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6F4D3" w14:textId="71135761" w:rsidR="001A4CD6" w:rsidRPr="009419DD" w:rsidRDefault="001A4CD6" w:rsidP="001A4CD6">
      <w:pPr>
        <w:jc w:val="center"/>
        <w:rPr>
          <w:rFonts w:asciiTheme="minorBidi" w:hAnsiTheme="minorBidi" w:cstheme="minorBidi"/>
          <w:color w:val="000000" w:themeColor="text1"/>
          <w:sz w:val="28"/>
          <w:szCs w:val="28"/>
        </w:rPr>
      </w:pPr>
      <w:r w:rsidRPr="009419DD">
        <w:rPr>
          <w:color w:val="000000" w:themeColor="text1"/>
          <w:sz w:val="28"/>
          <w:szCs w:val="28"/>
        </w:rPr>
        <w:t>Evaluating</w:t>
      </w:r>
      <w:r w:rsidR="00DE4AE8">
        <w:rPr>
          <w:rFonts w:asciiTheme="minorBidi" w:hAnsiTheme="minorBidi" w:cstheme="minorBidi"/>
          <w:color w:val="000000" w:themeColor="text1"/>
          <w:sz w:val="28"/>
          <w:szCs w:val="28"/>
        </w:rPr>
        <w:t xml:space="preserve"> the effectiveness of a large</w:t>
      </w:r>
      <w:r w:rsidRPr="009419DD">
        <w:rPr>
          <w:rFonts w:asciiTheme="minorBidi" w:hAnsiTheme="minorBidi" w:cstheme="minorBidi"/>
          <w:color w:val="000000" w:themeColor="text1"/>
          <w:sz w:val="28"/>
          <w:szCs w:val="28"/>
        </w:rPr>
        <w:t xml:space="preserve"> multi-use MPA in protecting key biodiversity areas for marine predators</w:t>
      </w:r>
    </w:p>
    <w:p w14:paraId="40758648" w14:textId="77777777" w:rsidR="001A4CD6" w:rsidRDefault="001A4CD6" w:rsidP="001A4CD6">
      <w:pPr>
        <w:rPr>
          <w:rFonts w:ascii="Calibri" w:hAnsi="Calibri" w:cs="Calibri"/>
          <w:b/>
          <w:bCs/>
          <w:color w:val="1F497D"/>
        </w:rPr>
      </w:pPr>
    </w:p>
    <w:p w14:paraId="0DB0467C" w14:textId="0D9FA47A" w:rsidR="00461C52" w:rsidRDefault="002160A3" w:rsidP="001A4CD6">
      <w:pPr>
        <w:pStyle w:val="Heading1"/>
      </w:pPr>
      <w:r>
        <w:t>Running title</w:t>
      </w:r>
    </w:p>
    <w:p w14:paraId="258FA076" w14:textId="63CC542D" w:rsidR="002160A3" w:rsidRPr="002160A3" w:rsidRDefault="002160A3" w:rsidP="004A2154">
      <w:r>
        <w:t>Key Biodiversity Areas and Fisheries</w:t>
      </w:r>
    </w:p>
    <w:p w14:paraId="5147F5A5" w14:textId="77777777" w:rsidR="00B70750" w:rsidRDefault="00B70750" w:rsidP="00B70750">
      <w:pPr>
        <w:pStyle w:val="Heading1"/>
        <w:rPr>
          <w:rFonts w:eastAsiaTheme="minorHAnsi"/>
        </w:rPr>
      </w:pPr>
      <w:r>
        <w:rPr>
          <w:rFonts w:eastAsiaTheme="minorHAnsi"/>
        </w:rPr>
        <w:t>Abstract</w:t>
      </w:r>
    </w:p>
    <w:p w14:paraId="46515456" w14:textId="627ADF72" w:rsidR="001950EF" w:rsidRDefault="00F824C1" w:rsidP="002916E8">
      <w:pPr>
        <w:rPr>
          <w:rFonts w:cstheme="minorHAnsi"/>
          <w:iCs/>
          <w:color w:val="000000" w:themeColor="text1"/>
        </w:rPr>
      </w:pPr>
      <w:r>
        <w:rPr>
          <w:rFonts w:cstheme="minorHAnsi"/>
          <w:b/>
          <w:bCs/>
          <w:iCs/>
          <w:color w:val="000000" w:themeColor="text1"/>
        </w:rPr>
        <w:t>Aim:</w:t>
      </w:r>
      <w:r w:rsidR="00425201">
        <w:rPr>
          <w:rFonts w:cstheme="minorHAnsi"/>
          <w:b/>
          <w:bCs/>
          <w:iCs/>
          <w:color w:val="000000" w:themeColor="text1"/>
        </w:rPr>
        <w:t xml:space="preserve"> </w:t>
      </w:r>
      <w:r w:rsidR="006D5B35">
        <w:rPr>
          <w:rFonts w:cstheme="minorHAnsi"/>
          <w:iCs/>
          <w:color w:val="000000" w:themeColor="text1"/>
        </w:rPr>
        <w:t xml:space="preserve">Marine protected areas </w:t>
      </w:r>
      <w:r w:rsidR="00CE3929">
        <w:rPr>
          <w:rFonts w:cstheme="minorHAnsi"/>
          <w:iCs/>
          <w:color w:val="000000" w:themeColor="text1"/>
        </w:rPr>
        <w:t xml:space="preserve">can </w:t>
      </w:r>
      <w:r w:rsidR="006D5B35">
        <w:rPr>
          <w:rFonts w:cstheme="minorHAnsi"/>
          <w:iCs/>
          <w:color w:val="000000" w:themeColor="text1"/>
        </w:rPr>
        <w:t xml:space="preserve">serve to regulate </w:t>
      </w:r>
      <w:r w:rsidR="00DE2FFE">
        <w:rPr>
          <w:rFonts w:cstheme="minorHAnsi"/>
          <w:iCs/>
          <w:color w:val="000000" w:themeColor="text1"/>
        </w:rPr>
        <w:t>harvesting</w:t>
      </w:r>
      <w:r w:rsidR="006D5B35">
        <w:rPr>
          <w:rFonts w:cstheme="minorHAnsi"/>
          <w:iCs/>
          <w:color w:val="000000" w:themeColor="text1"/>
        </w:rPr>
        <w:t xml:space="preserve"> and conserve biodiversity. </w:t>
      </w:r>
      <w:r w:rsidR="00FF65EA">
        <w:rPr>
          <w:rFonts w:cstheme="minorHAnsi"/>
          <w:iCs/>
          <w:color w:val="000000" w:themeColor="text1"/>
        </w:rPr>
        <w:t>W</w:t>
      </w:r>
      <w:r w:rsidR="006D4A74">
        <w:rPr>
          <w:rFonts w:cstheme="minorHAnsi"/>
          <w:iCs/>
          <w:color w:val="000000" w:themeColor="text1"/>
        </w:rPr>
        <w:t>ithin large multi-</w:t>
      </w:r>
      <w:r w:rsidR="006D5B35">
        <w:rPr>
          <w:rFonts w:cstheme="minorHAnsi"/>
          <w:iCs/>
          <w:color w:val="000000" w:themeColor="text1"/>
        </w:rPr>
        <w:t>use</w:t>
      </w:r>
      <w:r w:rsidR="00C7666B">
        <w:rPr>
          <w:rFonts w:cstheme="minorHAnsi"/>
          <w:iCs/>
          <w:color w:val="000000" w:themeColor="text1"/>
        </w:rPr>
        <w:t xml:space="preserve"> </w:t>
      </w:r>
      <w:r w:rsidR="006D5B35">
        <w:rPr>
          <w:rFonts w:cstheme="minorHAnsi"/>
          <w:iCs/>
          <w:color w:val="000000" w:themeColor="text1"/>
        </w:rPr>
        <w:t xml:space="preserve">MPAs it is often unclear to what degree </w:t>
      </w:r>
      <w:r w:rsidR="00BD0E52">
        <w:rPr>
          <w:rFonts w:cstheme="minorHAnsi"/>
          <w:iCs/>
          <w:color w:val="000000" w:themeColor="text1"/>
        </w:rPr>
        <w:t xml:space="preserve">critical sites of </w:t>
      </w:r>
      <w:r w:rsidR="006D5B35">
        <w:rPr>
          <w:rFonts w:cstheme="minorHAnsi"/>
          <w:iCs/>
          <w:color w:val="000000" w:themeColor="text1"/>
        </w:rPr>
        <w:t>biodiversity</w:t>
      </w:r>
      <w:r w:rsidR="00BD0E52">
        <w:rPr>
          <w:rFonts w:cstheme="minorHAnsi"/>
          <w:iCs/>
          <w:color w:val="000000" w:themeColor="text1"/>
        </w:rPr>
        <w:t xml:space="preserve"> are</w:t>
      </w:r>
      <w:r w:rsidR="006D5B35">
        <w:rPr>
          <w:rFonts w:cstheme="minorHAnsi"/>
          <w:iCs/>
          <w:color w:val="000000" w:themeColor="text1"/>
        </w:rPr>
        <w:t xml:space="preserve"> afforded protection</w:t>
      </w:r>
      <w:r w:rsidR="00BD0E52">
        <w:rPr>
          <w:rFonts w:cstheme="minorHAnsi"/>
          <w:iCs/>
          <w:color w:val="000000" w:themeColor="text1"/>
        </w:rPr>
        <w:t xml:space="preserve"> against</w:t>
      </w:r>
      <w:r w:rsidR="00F810D3">
        <w:rPr>
          <w:rFonts w:cstheme="minorHAnsi"/>
          <w:iCs/>
          <w:color w:val="000000" w:themeColor="text1"/>
        </w:rPr>
        <w:t xml:space="preserve"> commercial</w:t>
      </w:r>
      <w:r w:rsidR="006D4A74">
        <w:rPr>
          <w:rFonts w:cstheme="minorHAnsi"/>
          <w:iCs/>
          <w:color w:val="000000" w:themeColor="text1"/>
        </w:rPr>
        <w:t xml:space="preserve"> activities</w:t>
      </w:r>
      <w:r w:rsidR="00BD0E52">
        <w:rPr>
          <w:rFonts w:cstheme="minorHAnsi"/>
          <w:iCs/>
          <w:color w:val="000000" w:themeColor="text1"/>
        </w:rPr>
        <w:t>.</w:t>
      </w:r>
      <w:r w:rsidR="00DB20D1">
        <w:rPr>
          <w:rFonts w:cstheme="minorHAnsi"/>
          <w:iCs/>
          <w:color w:val="000000" w:themeColor="text1"/>
        </w:rPr>
        <w:t xml:space="preserve"> Addressing this issue is a prerequisite if we are to appropriately assess sites against conservation targets.</w:t>
      </w:r>
      <w:r w:rsidR="00BD0E52">
        <w:rPr>
          <w:rFonts w:cstheme="minorHAnsi"/>
          <w:iCs/>
          <w:color w:val="000000" w:themeColor="text1"/>
        </w:rPr>
        <w:t xml:space="preserve"> </w:t>
      </w:r>
      <w:r w:rsidR="00DB20D1">
        <w:rPr>
          <w:rFonts w:cstheme="minorHAnsi"/>
          <w:iCs/>
          <w:color w:val="000000" w:themeColor="text1"/>
        </w:rPr>
        <w:t xml:space="preserve">We evaluated whether the management regime of a large MPA </w:t>
      </w:r>
      <w:r w:rsidR="003C15D0">
        <w:rPr>
          <w:rFonts w:cstheme="minorHAnsi"/>
          <w:iCs/>
          <w:color w:val="000000" w:themeColor="text1"/>
        </w:rPr>
        <w:t xml:space="preserve">conserved sites (Key Biodiversity Areas, KBAs) </w:t>
      </w:r>
      <w:r w:rsidR="00FF65EA">
        <w:rPr>
          <w:rFonts w:cstheme="minorHAnsi"/>
          <w:iCs/>
          <w:color w:val="000000" w:themeColor="text1"/>
        </w:rPr>
        <w:t xml:space="preserve">supporting the global persistence </w:t>
      </w:r>
      <w:r w:rsidR="00DB20D1">
        <w:rPr>
          <w:rFonts w:cstheme="minorHAnsi"/>
          <w:iCs/>
          <w:color w:val="000000" w:themeColor="text1"/>
        </w:rPr>
        <w:t xml:space="preserve">of top marine predators. </w:t>
      </w:r>
    </w:p>
    <w:p w14:paraId="398AA411" w14:textId="3BC9D066" w:rsidR="001950EF" w:rsidRPr="001950EF" w:rsidRDefault="001950EF" w:rsidP="00C25CCC">
      <w:pPr>
        <w:rPr>
          <w:rFonts w:cstheme="minorHAnsi"/>
          <w:iCs/>
          <w:color w:val="000000" w:themeColor="text1"/>
        </w:rPr>
      </w:pPr>
      <w:r>
        <w:rPr>
          <w:rFonts w:cstheme="minorHAnsi"/>
          <w:b/>
          <w:bCs/>
          <w:iCs/>
          <w:color w:val="000000" w:themeColor="text1"/>
        </w:rPr>
        <w:t xml:space="preserve">Location: </w:t>
      </w:r>
      <w:r>
        <w:rPr>
          <w:rFonts w:cstheme="minorHAnsi"/>
          <w:iCs/>
          <w:color w:val="000000" w:themeColor="text1"/>
        </w:rPr>
        <w:t>South</w:t>
      </w:r>
      <w:r w:rsidR="002B1676">
        <w:rPr>
          <w:rFonts w:cstheme="minorHAnsi"/>
          <w:iCs/>
          <w:color w:val="000000" w:themeColor="text1"/>
        </w:rPr>
        <w:t>west</w:t>
      </w:r>
      <w:r>
        <w:rPr>
          <w:rFonts w:cstheme="minorHAnsi"/>
          <w:iCs/>
          <w:color w:val="000000" w:themeColor="text1"/>
        </w:rPr>
        <w:t xml:space="preserve"> Atlantic Ocean</w:t>
      </w:r>
    </w:p>
    <w:p w14:paraId="4AD2439E" w14:textId="1D90F773" w:rsidR="00C25CCC" w:rsidRDefault="00425201" w:rsidP="003C15D0">
      <w:pPr>
        <w:rPr>
          <w:rFonts w:cstheme="minorHAnsi"/>
          <w:iCs/>
        </w:rPr>
      </w:pPr>
      <w:r>
        <w:rPr>
          <w:rFonts w:cstheme="minorHAnsi"/>
          <w:b/>
          <w:bCs/>
          <w:iCs/>
          <w:color w:val="000000" w:themeColor="text1"/>
        </w:rPr>
        <w:t xml:space="preserve">Method: </w:t>
      </w:r>
      <w:r w:rsidR="00B70750">
        <w:rPr>
          <w:rFonts w:cstheme="minorHAnsi"/>
          <w:iCs/>
          <w:color w:val="000000" w:themeColor="text1"/>
        </w:rPr>
        <w:t>We collated population and tracking data (1418 tracks) from 14 marine predator species (</w:t>
      </w:r>
      <w:r w:rsidR="00290725" w:rsidRPr="003E4991">
        <w:rPr>
          <w:rFonts w:eastAsia="Times New Roman" w:cs="Calibri"/>
          <w:color w:val="000000"/>
          <w:lang w:eastAsia="en-GB"/>
        </w:rPr>
        <w:t>Procellariiformes</w:t>
      </w:r>
      <w:r w:rsidR="00290725">
        <w:rPr>
          <w:rFonts w:eastAsia="Times New Roman" w:cs="Calibri"/>
          <w:color w:val="000000"/>
          <w:lang w:eastAsia="en-GB"/>
        </w:rPr>
        <w:t xml:space="preserve">, </w:t>
      </w:r>
      <w:r w:rsidR="00290725" w:rsidRPr="003E4991">
        <w:rPr>
          <w:rFonts w:eastAsia="Times New Roman" w:cs="Calibri"/>
          <w:color w:val="000000"/>
          <w:lang w:eastAsia="en-GB"/>
        </w:rPr>
        <w:t>Sphenisciformes</w:t>
      </w:r>
      <w:r w:rsidR="00290725">
        <w:rPr>
          <w:rFonts w:eastAsia="Times New Roman" w:cs="Calibri"/>
          <w:color w:val="000000"/>
          <w:lang w:eastAsia="en-GB"/>
        </w:rPr>
        <w:t>, P</w:t>
      </w:r>
      <w:r w:rsidR="00290725" w:rsidRPr="003E4991">
        <w:rPr>
          <w:rFonts w:eastAsia="Times New Roman" w:cs="Calibri"/>
          <w:color w:val="000000"/>
          <w:lang w:eastAsia="en-GB"/>
        </w:rPr>
        <w:t>innipedia</w:t>
      </w:r>
      <w:r w:rsidR="00B70750">
        <w:rPr>
          <w:rFonts w:cstheme="minorHAnsi"/>
          <w:iCs/>
          <w:color w:val="000000" w:themeColor="text1"/>
        </w:rPr>
        <w:t>)</w:t>
      </w:r>
      <w:r w:rsidR="00E66024">
        <w:rPr>
          <w:rFonts w:cstheme="minorHAnsi"/>
          <w:iCs/>
          <w:color w:val="000000" w:themeColor="text1"/>
        </w:rPr>
        <w:t xml:space="preserve"> that breed at South Georgia and the South Sandwich Islands,</w:t>
      </w:r>
      <w:r w:rsidR="00B70750">
        <w:rPr>
          <w:rFonts w:cstheme="minorHAnsi"/>
          <w:iCs/>
          <w:color w:val="000000" w:themeColor="text1"/>
        </w:rPr>
        <w:t xml:space="preserve"> and identified </w:t>
      </w:r>
      <w:r w:rsidR="00830283">
        <w:rPr>
          <w:rFonts w:cstheme="minorHAnsi"/>
          <w:iCs/>
          <w:color w:val="000000" w:themeColor="text1"/>
        </w:rPr>
        <w:t>hotspots for their conservation</w:t>
      </w:r>
      <w:r w:rsidR="00B70750">
        <w:rPr>
          <w:rFonts w:cstheme="minorHAnsi"/>
          <w:iCs/>
          <w:color w:val="000000" w:themeColor="text1"/>
        </w:rPr>
        <w:t xml:space="preserve"> under the recently developed </w:t>
      </w:r>
      <w:r w:rsidR="003C15D0">
        <w:rPr>
          <w:rFonts w:cstheme="minorHAnsi"/>
          <w:iCs/>
          <w:color w:val="000000" w:themeColor="text1"/>
        </w:rPr>
        <w:t>KBA</w:t>
      </w:r>
      <w:r w:rsidR="00C57563">
        <w:rPr>
          <w:rFonts w:cstheme="minorHAnsi"/>
          <w:iCs/>
          <w:color w:val="000000" w:themeColor="text1"/>
        </w:rPr>
        <w:t xml:space="preserve"> framework.</w:t>
      </w:r>
      <w:r w:rsidR="006B7FC5">
        <w:rPr>
          <w:rFonts w:cstheme="minorHAnsi"/>
          <w:iCs/>
        </w:rPr>
        <w:t xml:space="preserve"> </w:t>
      </w:r>
      <w:r w:rsidR="00C25CCC">
        <w:rPr>
          <w:rFonts w:cstheme="minorHAnsi"/>
          <w:iCs/>
        </w:rPr>
        <w:t xml:space="preserve">We then evaluated the spatiotemporal overlap of these sites and the different management regimes of krill, demersal longline, and pelagic trawl fisheries operating within a large </w:t>
      </w:r>
      <w:r w:rsidR="00C25CCC">
        <w:rPr>
          <w:rFonts w:cstheme="minorHAnsi"/>
          <w:iCs/>
          <w:color w:val="000000" w:themeColor="text1"/>
        </w:rPr>
        <w:t>MPA</w:t>
      </w:r>
      <w:r w:rsidR="006B7FC5">
        <w:rPr>
          <w:rFonts w:cstheme="minorHAnsi"/>
          <w:iCs/>
          <w:color w:val="000000" w:themeColor="text1"/>
        </w:rPr>
        <w:t>,</w:t>
      </w:r>
      <w:r w:rsidR="00C25CCC">
        <w:rPr>
          <w:rFonts w:cstheme="minorHAnsi"/>
          <w:iCs/>
        </w:rPr>
        <w:t xml:space="preserve"> which was created </w:t>
      </w:r>
      <w:r w:rsidR="006B7FC5">
        <w:rPr>
          <w:rFonts w:cstheme="minorHAnsi"/>
          <w:iCs/>
        </w:rPr>
        <w:t xml:space="preserve">with the intention </w:t>
      </w:r>
      <w:r w:rsidR="00C25CCC">
        <w:rPr>
          <w:rFonts w:cstheme="minorHAnsi"/>
          <w:iCs/>
        </w:rPr>
        <w:t>to protect marine predator species.</w:t>
      </w:r>
    </w:p>
    <w:p w14:paraId="07000481" w14:textId="20AEE853" w:rsidR="004A2154" w:rsidRDefault="00E66024" w:rsidP="002916E8">
      <w:pPr>
        <w:rPr>
          <w:rFonts w:cstheme="minorHAnsi"/>
          <w:b/>
          <w:bCs/>
          <w:iCs/>
        </w:rPr>
      </w:pPr>
      <w:r>
        <w:rPr>
          <w:rFonts w:cstheme="minorHAnsi"/>
          <w:b/>
          <w:bCs/>
          <w:iCs/>
        </w:rPr>
        <w:t>Results:</w:t>
      </w:r>
      <w:r w:rsidR="00C57563">
        <w:rPr>
          <w:rFonts w:cstheme="minorHAnsi"/>
          <w:iCs/>
          <w:color w:val="000000" w:themeColor="text1"/>
        </w:rPr>
        <w:t xml:space="preserve"> </w:t>
      </w:r>
      <w:r w:rsidR="00830283">
        <w:rPr>
          <w:rFonts w:cstheme="minorHAnsi"/>
          <w:iCs/>
          <w:color w:val="000000" w:themeColor="text1"/>
        </w:rPr>
        <w:t xml:space="preserve">We identified 12 </w:t>
      </w:r>
      <w:r w:rsidR="00830283">
        <w:rPr>
          <w:rFonts w:cstheme="minorHAnsi"/>
          <w:iCs/>
        </w:rPr>
        <w:t xml:space="preserve">new global marine KBAs that are important for this community of top predators, both </w:t>
      </w:r>
      <w:r w:rsidR="00830283">
        <w:rPr>
          <w:rFonts w:cstheme="minorHAnsi"/>
          <w:iCs/>
          <w:color w:val="000000" w:themeColor="text1"/>
        </w:rPr>
        <w:t>within and beyond the focal MPA</w:t>
      </w:r>
      <w:r>
        <w:rPr>
          <w:rFonts w:cstheme="minorHAnsi"/>
          <w:iCs/>
        </w:rPr>
        <w:t>.</w:t>
      </w:r>
      <w:r w:rsidR="00830283">
        <w:rPr>
          <w:rFonts w:cstheme="minorHAnsi"/>
          <w:iCs/>
        </w:rPr>
        <w:t xml:space="preserve"> Only three species consistently used marine areas at a time when a potentially </w:t>
      </w:r>
      <w:r w:rsidR="002916E8">
        <w:rPr>
          <w:rFonts w:cstheme="minorHAnsi"/>
          <w:iCs/>
        </w:rPr>
        <w:t xml:space="preserve">higher-risk </w:t>
      </w:r>
      <w:r w:rsidR="00830283">
        <w:rPr>
          <w:rFonts w:cstheme="minorHAnsi"/>
          <w:iCs/>
        </w:rPr>
        <w:t>fishery was allowed to operate in that area, while other interactions between fisheries and our target species were mostly precluded by MPA management plans.</w:t>
      </w:r>
      <w:r w:rsidR="0031416B">
        <w:rPr>
          <w:rFonts w:cstheme="minorHAnsi"/>
          <w:b/>
          <w:bCs/>
          <w:iCs/>
        </w:rPr>
        <w:t xml:space="preserve"> </w:t>
      </w:r>
    </w:p>
    <w:p w14:paraId="0C0653A4" w14:textId="50652749" w:rsidR="002160A3" w:rsidRDefault="0031416B" w:rsidP="00FF65EA">
      <w:r>
        <w:rPr>
          <w:rFonts w:cstheme="minorHAnsi"/>
          <w:b/>
          <w:bCs/>
          <w:iCs/>
        </w:rPr>
        <w:t xml:space="preserve">Main conclusions: </w:t>
      </w:r>
      <w:r w:rsidR="00B70750">
        <w:t xml:space="preserve">We show that current </w:t>
      </w:r>
      <w:r w:rsidR="00134904">
        <w:t xml:space="preserve">fishery </w:t>
      </w:r>
      <w:r w:rsidR="00B70750">
        <w:t xml:space="preserve">management measures within the MPA </w:t>
      </w:r>
      <w:r w:rsidR="003613B3">
        <w:t>contribute to protecting</w:t>
      </w:r>
      <w:r w:rsidR="00B70750">
        <w:t xml:space="preserve"> top predators considered in this study</w:t>
      </w:r>
      <w:r w:rsidR="00B70750">
        <w:rPr>
          <w:rFonts w:cstheme="minorHAnsi"/>
          <w:iCs/>
        </w:rPr>
        <w:t xml:space="preserve">, and that resource harvesting within the </w:t>
      </w:r>
      <w:r w:rsidR="00B70750">
        <w:rPr>
          <w:rFonts w:cstheme="minorHAnsi"/>
          <w:iCs/>
          <w:color w:val="000000" w:themeColor="text1"/>
        </w:rPr>
        <w:t>MPA does not pose a major threat</w:t>
      </w:r>
      <w:r w:rsidR="00830283">
        <w:rPr>
          <w:rFonts w:cstheme="minorHAnsi"/>
          <w:iCs/>
          <w:color w:val="000000" w:themeColor="text1"/>
        </w:rPr>
        <w:t xml:space="preserve"> – under current climate conditions</w:t>
      </w:r>
      <w:r w:rsidR="00B70750">
        <w:rPr>
          <w:rFonts w:cstheme="minorHAnsi"/>
          <w:iCs/>
          <w:color w:val="000000" w:themeColor="text1"/>
        </w:rPr>
        <w:t>.</w:t>
      </w:r>
      <w:r w:rsidR="00CF0EFB">
        <w:rPr>
          <w:rFonts w:cstheme="minorHAnsi"/>
          <w:iCs/>
          <w:color w:val="000000" w:themeColor="text1"/>
        </w:rPr>
        <w:t xml:space="preserve"> Unregulated fisheries beyond the MPA, however, pose a likely threat to identified KBAs.</w:t>
      </w:r>
      <w:r w:rsidR="00B70750">
        <w:rPr>
          <w:rFonts w:cstheme="minorHAnsi"/>
          <w:iCs/>
          <w:color w:val="000000" w:themeColor="text1"/>
        </w:rPr>
        <w:t xml:space="preserve"> </w:t>
      </w:r>
      <w:r w:rsidR="00333F7A">
        <w:rPr>
          <w:rFonts w:cstheme="minorHAnsi"/>
          <w:iCs/>
          <w:color w:val="000000" w:themeColor="text1"/>
        </w:rPr>
        <w:t xml:space="preserve">Our approach demonstrates the utility of the KBA guidelines and multi-species tracking data </w:t>
      </w:r>
      <w:r w:rsidR="00333F7A">
        <w:t>to assess the</w:t>
      </w:r>
      <w:r w:rsidR="00290725">
        <w:t xml:space="preserve"> contributing</w:t>
      </w:r>
      <w:r w:rsidR="00333F7A">
        <w:t xml:space="preserve"> role of </w:t>
      </w:r>
      <w:r w:rsidR="004A2154">
        <w:t xml:space="preserve">well-designed </w:t>
      </w:r>
      <w:r w:rsidR="00333F7A">
        <w:t>MPA</w:t>
      </w:r>
      <w:r w:rsidR="00830283">
        <w:t>s</w:t>
      </w:r>
      <w:r w:rsidR="00333F7A">
        <w:t xml:space="preserve"> </w:t>
      </w:r>
      <w:r w:rsidR="00290725">
        <w:t>in achieving</w:t>
      </w:r>
      <w:r w:rsidR="00333F7A">
        <w:t xml:space="preserve"> local and internationally agreed conservation targets.</w:t>
      </w:r>
    </w:p>
    <w:p w14:paraId="4B2CFABD" w14:textId="0654A65A" w:rsidR="00305DFE" w:rsidRDefault="00305DFE" w:rsidP="00305DFE">
      <w:pPr>
        <w:pStyle w:val="Heading1"/>
        <w:rPr>
          <w:rFonts w:eastAsiaTheme="minorHAnsi"/>
        </w:rPr>
      </w:pPr>
      <w:r>
        <w:rPr>
          <w:rFonts w:eastAsiaTheme="minorHAnsi"/>
        </w:rPr>
        <w:lastRenderedPageBreak/>
        <w:t>Key words</w:t>
      </w:r>
    </w:p>
    <w:p w14:paraId="0C2538E5" w14:textId="593B46F4" w:rsidR="00B04568" w:rsidRDefault="00580CEB" w:rsidP="00A35248">
      <w:pPr>
        <w:rPr>
          <w:rFonts w:cstheme="minorHAnsi"/>
          <w:iCs/>
          <w:color w:val="000000" w:themeColor="text1"/>
        </w:rPr>
      </w:pPr>
      <w:r>
        <w:t>animal tracking,</w:t>
      </w:r>
      <w:r w:rsidR="00BC3770">
        <w:t xml:space="preserve"> fisheries,</w:t>
      </w:r>
      <w:r>
        <w:t xml:space="preserve"> important bird and biodiversity area, key biodiversity area, marine protected area</w:t>
      </w:r>
      <w:r w:rsidR="00BC3770">
        <w:t>, pinnipeds, seabirds</w:t>
      </w:r>
    </w:p>
    <w:p w14:paraId="3292E235" w14:textId="77777777" w:rsidR="002160A3" w:rsidRDefault="002160A3" w:rsidP="00A35248">
      <w:pPr>
        <w:rPr>
          <w:rFonts w:cstheme="minorHAnsi"/>
          <w:iCs/>
          <w:color w:val="000000" w:themeColor="text1"/>
        </w:rPr>
      </w:pPr>
    </w:p>
    <w:p w14:paraId="6AD42FEC" w14:textId="77777777" w:rsidR="00B95E60" w:rsidRDefault="00B95E60" w:rsidP="00B95E60">
      <w:pPr>
        <w:pStyle w:val="Heading1"/>
        <w:rPr>
          <w:rFonts w:eastAsiaTheme="minorHAnsi"/>
        </w:rPr>
      </w:pPr>
      <w:r>
        <w:rPr>
          <w:rFonts w:eastAsiaTheme="minorHAnsi"/>
        </w:rPr>
        <w:t>1. Introduction</w:t>
      </w:r>
    </w:p>
    <w:p w14:paraId="4CA7231D" w14:textId="66FFE6A2" w:rsidR="004812C3" w:rsidRDefault="00B95E60" w:rsidP="00260EA0">
      <w:pPr>
        <w:rPr>
          <w:iCs/>
          <w:color w:val="000000" w:themeColor="text1"/>
        </w:rPr>
      </w:pPr>
      <w:r>
        <w:rPr>
          <w:iCs/>
          <w:color w:val="000000" w:themeColor="text1"/>
        </w:rPr>
        <w:t xml:space="preserve">For the conservation of marine species and ecosystems, particularly for those where harvesting of living resources is pursued, it is imperative to ensure both sustainable production and adequate long-term protection are appropriately maintained </w:t>
      </w:r>
      <w:r>
        <w:rPr>
          <w:iCs/>
          <w:color w:val="000000" w:themeColor="text1"/>
        </w:rPr>
        <w:fldChar w:fldCharType="begin" w:fldLock="1"/>
      </w:r>
      <w:r w:rsidR="00195AA8">
        <w:rPr>
          <w:iCs/>
          <w:color w:val="000000" w:themeColor="text1"/>
        </w:rPr>
        <w:instrText>ADDIN CSL_CITATION { "citationItems" : [ { "id" : "ITEM-1", "itemData" : { "DOI" : "10.1038/35012251", "ISBN" : "0521703441", "ISSN" : "0521703441", "PMID" : "10821285", "abstract" : "The realization of conservation goals requires strategies for managing whole landscapes including areas allocated to both production and protection. Reserves alone are not adequate for nature conservation but they are the cornerstone on which regional strategies are built. Reserves have two main roles. They should sample or represent the biodiversity of each region and they should separate this biodiversity from processes that threaten its persistence. Existing reserve systems throughout the world contain a biased sample of biodiversity, usually that of remote places and other areas that are unsuitable for commercial activities. A more systematic approach to locating and designing reserves has been evolving and this approach will need to be implemented if a large proportion of today\u2019s biodiversity is to exist in a future of increasing numbers of people and their demands on natural resources.", "author" : [ { "dropping-particle" : "", "family" : "Margules", "given" : "CR", "non-dropping-particle" : "", "parse-names" : false, "suffix" : "" }, { "dropping-particle" : "", "family" : "Pressey", "given" : "RL", "non-dropping-particle" : "", "parse-names" : false, "suffix" : "" } ], "container-title" : "Nature", "id" : "ITEM-1", "issued" : { "date-parts" : [ [ "2000" ] ] }, "page" : "243-253", "title" : "A framework for systematic conservation planning", "type" : "article-journal", "volume" : "405" }, "uris" : [ "http://www.mendeley.com/documents/?uuid=355183f0-fa26-4c6d-8efb-c9973e5c772b", "http://www.mendeley.com/documents/?uuid=bcdd7b3f-3f7d-4b8b-a2d8-a292d6aa15e6" ] } ], "mendeley" : { "formattedCitation" : "(Margules &amp; Pressey, 2000)", "plainTextFormattedCitation" : "(Margules &amp; Pressey, 2000)", "previouslyFormattedCitation" : "(Margules &amp; Pressey, 2000)" }, "properties" : {  }, "schema" : "https://github.com/citation-style-language/schema/raw/master/csl-citation.json" }</w:instrText>
      </w:r>
      <w:r>
        <w:rPr>
          <w:iCs/>
          <w:color w:val="000000" w:themeColor="text1"/>
        </w:rPr>
        <w:fldChar w:fldCharType="separate"/>
      </w:r>
      <w:r w:rsidR="00126000" w:rsidRPr="00126000">
        <w:rPr>
          <w:iCs/>
          <w:noProof/>
          <w:color w:val="000000" w:themeColor="text1"/>
        </w:rPr>
        <w:t>(Margules &amp; Pressey, 2000)</w:t>
      </w:r>
      <w:r>
        <w:rPr>
          <w:iCs/>
          <w:color w:val="000000" w:themeColor="text1"/>
        </w:rPr>
        <w:fldChar w:fldCharType="end"/>
      </w:r>
      <w:r w:rsidR="00143B4C">
        <w:rPr>
          <w:iCs/>
          <w:color w:val="000000" w:themeColor="text1"/>
        </w:rPr>
        <w:t>. In the marine realm, both the UN Convention on Biological Diversity</w:t>
      </w:r>
      <w:r w:rsidR="004812C3">
        <w:rPr>
          <w:iCs/>
          <w:color w:val="000000" w:themeColor="text1"/>
        </w:rPr>
        <w:t xml:space="preserve"> (CBD)</w:t>
      </w:r>
      <w:r w:rsidR="00143B4C">
        <w:rPr>
          <w:iCs/>
          <w:color w:val="000000" w:themeColor="text1"/>
        </w:rPr>
        <w:t xml:space="preserve"> </w:t>
      </w:r>
      <w:r w:rsidR="00143B4C">
        <w:rPr>
          <w:rFonts w:cstheme="minorHAnsi"/>
          <w:iCs/>
          <w:color w:val="000000" w:themeColor="text1"/>
        </w:rPr>
        <w:t xml:space="preserve">Decision X/2 and the </w:t>
      </w:r>
      <w:r w:rsidR="00143B4C">
        <w:rPr>
          <w:iCs/>
          <w:color w:val="000000" w:themeColor="text1"/>
        </w:rPr>
        <w:t xml:space="preserve">Sustainable Development Goals (SDGs)  </w:t>
      </w:r>
      <w:r w:rsidR="00143B4C">
        <w:rPr>
          <w:rFonts w:cstheme="minorHAnsi"/>
          <w:iCs/>
          <w:color w:val="000000" w:themeColor="text1"/>
        </w:rPr>
        <w:t>highlight the need for sustainable use of marine resources (Aichi Target 6 and SDG 14)</w:t>
      </w:r>
      <w:r w:rsidR="004812C3">
        <w:rPr>
          <w:rFonts w:cstheme="minorHAnsi"/>
          <w:iCs/>
          <w:color w:val="000000" w:themeColor="text1"/>
        </w:rPr>
        <w:t xml:space="preserve"> </w:t>
      </w:r>
      <w:r w:rsidR="004812C3">
        <w:rPr>
          <w:iCs/>
          <w:color w:val="000000" w:themeColor="text1"/>
        </w:rPr>
        <w:fldChar w:fldCharType="begin" w:fldLock="1"/>
      </w:r>
      <w:r w:rsidR="00195AA8">
        <w:rPr>
          <w:iCs/>
          <w:color w:val="000000" w:themeColor="text1"/>
        </w:rPr>
        <w:instrText>ADDIN CSL_CITATION { "citationItems" : [ { "id" : "ITEM-1", "itemData" : { "author" : [ { "dropping-particle" : "", "family" : "CBD", "given" : "", "non-dropping-particle" : "", "parse-names" : false, "suffix" : "" } ], "id" : "ITEM-1", "issued" : { "date-parts" : [ [ "2010" ] ] }, "title" : "Aichi Biodiversity Targets. https://www.cbd.int/sp/targets/ (Accessed 12 Jan 2019)", "type" : "article-journal" }, "uris" : [ "http://www.mendeley.com/documents/?uuid=4f7a2a81-b9d8-4c2f-a371-12cec393d953", "http://www.mendeley.com/documents/?uuid=e8a8bc78-3c70-4ea3-90e5-db8bb11a3700" ] }, { "id" : "ITEM-2", "itemData" : { "author" : [ { "dropping-particle" : "", "family" : "UN General Assembly", "given" : "", "non-dropping-particle" : "", "parse-names" : false, "suffix" : "" } ], "id" : "ITEM-2", "issued" : { "date-parts" : [ [ "2015" ] ] }, "title" : "Transforming our world : the 2030 Agenda for Sustainable Development, 21 October 2015, A/RES/70/1, available at: https://www.refworld.org/docid/57b6e3e44.html [accessed 15 March 2019]", "type" : "article-journal" }, "uris" : [ "http://www.mendeley.com/documents/?uuid=22a21fd8-7e73-47e0-8e53-f0fb2cfaf552", "http://www.mendeley.com/documents/?uuid=991ec781-4bc8-4e8b-b5ab-9db4762e2103" ] } ], "mendeley" : { "formattedCitation" : "(CBD, 2010; UN General Assembly, 2015)", "plainTextFormattedCitation" : "(CBD, 2010; UN General Assembly, 2015)", "previouslyFormattedCitation" : "(CBD, 2010; UN General Assembly, 2015)" }, "properties" : {  }, "schema" : "https://github.com/citation-style-language/schema/raw/master/csl-citation.json" }</w:instrText>
      </w:r>
      <w:r w:rsidR="004812C3">
        <w:rPr>
          <w:iCs/>
          <w:color w:val="000000" w:themeColor="text1"/>
        </w:rPr>
        <w:fldChar w:fldCharType="separate"/>
      </w:r>
      <w:r w:rsidR="00126000" w:rsidRPr="00126000">
        <w:rPr>
          <w:iCs/>
          <w:noProof/>
          <w:color w:val="000000" w:themeColor="text1"/>
        </w:rPr>
        <w:t>(CBD, 2010; UN General Assembly, 2015)</w:t>
      </w:r>
      <w:r w:rsidR="004812C3">
        <w:rPr>
          <w:iCs/>
          <w:color w:val="000000" w:themeColor="text1"/>
        </w:rPr>
        <w:fldChar w:fldCharType="end"/>
      </w:r>
      <w:r w:rsidR="004812C3">
        <w:rPr>
          <w:iCs/>
          <w:color w:val="000000" w:themeColor="text1"/>
        </w:rPr>
        <w:t>. Additionally, the CBD has set a global conservation target of</w:t>
      </w:r>
      <w:r w:rsidR="00143B4C">
        <w:rPr>
          <w:rFonts w:cstheme="minorHAnsi"/>
          <w:iCs/>
          <w:color w:val="000000" w:themeColor="text1"/>
        </w:rPr>
        <w:t xml:space="preserve"> </w:t>
      </w:r>
      <w:r w:rsidR="00143B4C">
        <w:rPr>
          <w:iCs/>
          <w:color w:val="000000" w:themeColor="text1"/>
        </w:rPr>
        <w:t>10% of coastal and marine areas to be protected through effective management (</w:t>
      </w:r>
      <w:r w:rsidR="004812C3">
        <w:rPr>
          <w:iCs/>
          <w:color w:val="000000" w:themeColor="text1"/>
        </w:rPr>
        <w:t xml:space="preserve">encompassed in </w:t>
      </w:r>
      <w:r w:rsidR="00143B4C">
        <w:rPr>
          <w:iCs/>
          <w:color w:val="000000" w:themeColor="text1"/>
        </w:rPr>
        <w:t xml:space="preserve">Aichi Target 11) </w:t>
      </w:r>
      <w:r w:rsidR="00143B4C">
        <w:rPr>
          <w:iCs/>
          <w:color w:val="000000" w:themeColor="text1"/>
        </w:rPr>
        <w:fldChar w:fldCharType="begin" w:fldLock="1"/>
      </w:r>
      <w:r w:rsidR="00195AA8">
        <w:rPr>
          <w:iCs/>
          <w:color w:val="000000" w:themeColor="text1"/>
        </w:rPr>
        <w:instrText>ADDIN CSL_CITATION { "citationItems" : [ { "id" : "ITEM-1", "itemData" : { "author" : [ { "dropping-particle" : "", "family" : "CBD", "given" : "", "non-dropping-particle" : "", "parse-names" : false, "suffix" : "" } ], "id" : "ITEM-1", "issued" : { "date-parts" : [ [ "2010" ] ] }, "title" : "Aichi Biodiversity Targets. https://www.cbd.int/sp/targets/ (Accessed 12 Jan 2019)", "type" : "article-journal" }, "uris" : [ "http://www.mendeley.com/documents/?uuid=e8a8bc78-3c70-4ea3-90e5-db8bb11a3700", "http://www.mendeley.com/documents/?uuid=4f7a2a81-b9d8-4c2f-a371-12cec393d953" ] } ], "mendeley" : { "formattedCitation" : "(CBD, 2010)", "plainTextFormattedCitation" : "(CBD, 2010)", "previouslyFormattedCitation" : "(CBD, 2010)" }, "properties" : {  }, "schema" : "https://github.com/citation-style-language/schema/raw/master/csl-citation.json" }</w:instrText>
      </w:r>
      <w:r w:rsidR="00143B4C">
        <w:rPr>
          <w:iCs/>
          <w:color w:val="000000" w:themeColor="text1"/>
        </w:rPr>
        <w:fldChar w:fldCharType="separate"/>
      </w:r>
      <w:r w:rsidR="00126000" w:rsidRPr="00126000">
        <w:rPr>
          <w:iCs/>
          <w:noProof/>
          <w:color w:val="000000" w:themeColor="text1"/>
        </w:rPr>
        <w:t>(CBD, 2010)</w:t>
      </w:r>
      <w:r w:rsidR="00143B4C">
        <w:rPr>
          <w:iCs/>
          <w:color w:val="000000" w:themeColor="text1"/>
        </w:rPr>
        <w:fldChar w:fldCharType="end"/>
      </w:r>
      <w:r w:rsidR="00143B4C">
        <w:rPr>
          <w:iCs/>
          <w:color w:val="000000" w:themeColor="text1"/>
        </w:rPr>
        <w:t xml:space="preserve">. </w:t>
      </w:r>
      <w:r>
        <w:rPr>
          <w:iCs/>
          <w:color w:val="000000" w:themeColor="text1"/>
        </w:rPr>
        <w:t xml:space="preserve">The generally accepted route to achieving these outcomes is through robust fisheries management </w:t>
      </w:r>
      <w:r w:rsidR="00260EA0">
        <w:rPr>
          <w:iCs/>
          <w:color w:val="000000" w:themeColor="text1"/>
        </w:rPr>
        <w:t xml:space="preserve">and, more recently, in combination with </w:t>
      </w:r>
      <w:r>
        <w:rPr>
          <w:iCs/>
          <w:color w:val="000000" w:themeColor="text1"/>
        </w:rPr>
        <w:t xml:space="preserve">the designation of marine protected areas (MPAs) </w:t>
      </w:r>
      <w:r>
        <w:rPr>
          <w:iCs/>
          <w:color w:val="000000" w:themeColor="text1"/>
        </w:rPr>
        <w:fldChar w:fldCharType="begin" w:fldLock="1"/>
      </w:r>
      <w:r w:rsidR="00195AA8">
        <w:rPr>
          <w:iCs/>
          <w:color w:val="000000" w:themeColor="text1"/>
        </w:rPr>
        <w:instrText>ADDIN CSL_CITATION { "citationItems" : [ { "id" : "ITEM-1", "itemData" : { "DOI" : "10.1038/nature13022", "ISBN" : "0028-0836", "ISSN" : "00280836", "PMID" : "24499817", "abstract" : "In line with global targets agreed under the Convention on Biological Diversity, the number of marine protected areas (MPAs) is increasing rapidly, yet socio-economic benefits generated by MPAs remain difficult to predict and under debate. MPAs often fail to reach their full potential as a consequence of factors such as illegal harvesting, regulations that legally allow detrimental harvesting, or emigration of animals outside boundaries because of continuous habitat or inadequate size of reserve. Here we show that the conservation benefits of 87 MPAs investigated worldwide increase exponentially with the accumulation of five key features: no take, well enforced, old (&gt;10 years), large (&gt;100 km(2)), and isolated by deep water or sand. Using effective MPAs with four or five key features as an unfished standard, comparisons of underwater survey data from effective MPAs with predictions based on survey data from fished coasts indicate that total fish biomass has declined about two-thirds from historical baselines as a result of fishing. Effective MPAs also had twice as many large (&gt;250 mm total length) fish species per transect, five times more large fish biomass, and fourteen times more shark biomass than fished areas. Most (59%) of the MPAs studied had only one or two key features and were not ecologically distinguishable from fished sites. Our results show that global conservation targets based on area alone will not optimize protection of marine biodiversity. More emphasis is needed on better MPA design, durable management and compliance to ensure that MPAs achieve their desired conservation value.", "author" : [ { "dropping-particle" : "", "family" : "Edgar", "given" : "Graham J.", "non-dropping-particle" : "", "parse-names" : false, "suffix" : "" }, { "dropping-particle" : "", "family" : "Stuart-Smith", "given" : "Rick D.", "non-dropping-particle" : "", "parse-names" : false, "suffix" : "" }, { "dropping-particle" : "", "family" : "Willis", "given" : "Trevor J.", "non-dropping-particle" : "", "parse-names" : false, "suffix" : "" }, { "dropping-particle" : "", "family" : "Kininmonth", "given" : "Stuart", "non-dropping-particle" : "", "parse-names" : false, "suffix" : "" }, { "dropping-particle" : "", "family" : "Baker", "given" : "Susan C.", "non-dropping-particle" : "", "parse-names" : false, "suffix" : "" }, { "dropping-particle" : "", "family" : "Banks", "given" : "Stuart", "non-dropping-particle" : "", "parse-names" : false, "suffix" : "" }, { "dropping-particle" : "", "family" : "Barrett", "given" : "Neville S.", "non-dropping-particle" : "", "parse-names" : false, "suffix" : "" }, { "dropping-particle" : "", "family" : "Becerro", "given" : "Mikel A.", "non-dropping-particle" : "", "parse-names" : false, "suffix" : "" }, { "dropping-particle" : "", "family" : "Bernard", "given" : "Anthony T.F.", "non-dropping-particle" : "", "parse-names" : false, "suffix" : "" }, { "dropping-particle" : "", "family" : "Berkhout", "given" : "Just", "non-dropping-particle" : "", "parse-names" : false, "suffix" : "" }, { "dropping-particle" : "", "family" : "Buxton", "given" : "Colin D.", "non-dropping-particle" : "", "parse-names" : false, "suffix" : "" }, { "dropping-particle" : "", "family" : "Campbell", "given" : "Stuart J.", "non-dropping-particle" : "", "parse-names" : false, "suffix" : "" }, { "dropping-particle" : "", "family" : "Cooper", "given" : "Antonia T.", "non-dropping-particle" : "", "parse-names" : false, "suffix" : "" }, { "dropping-particle" : "", "family" : "Davey", "given" : "Marlene", "non-dropping-particle" : "", "parse-names" : false, "suffix" : "" }, { "dropping-particle" : "", "family" : "Edgar", "given" : "Sophie C.", "non-dropping-particle" : "", "parse-names" : false, "suffix" : "" }, { "dropping-particle" : "", "family" : "F\u00f6rsterra", "given" : "G\u00fcnter", "non-dropping-particle" : "", "parse-names" : false, "suffix" : "" }, { "dropping-particle" : "", "family" : "Galv\u00e1n", "given" : "David E.", "non-dropping-particle" : "", "parse-names" : false, "suffix" : "" }, { "dropping-particle" : "", "family" : "Irigoyen", "given" : "Alejo J.", "non-dropping-particle" : "", "parse-names" : false, "suffix" : "" }, { "dropping-particle" : "", "family" : "Kushner", "given" : "David J.", "non-dropping-particle" : "", "parse-names" : false, "suffix" : "" }, { "dropping-particle" : "", "family" : "Moura", "given" : "Rodrigo", "non-dropping-particle" : "", "parse-names" : false, "suffix" : "" }, { "dropping-particle" : "", "family" : "Parnell", "given" : "P. Ed", "non-dropping-particle" : "", "parse-names" : false, "suffix" : "" }, { "dropping-particle" : "", "family" : "Shears", "given" : "Nick T.", "non-dropping-particle" : "", "parse-names" : false, "suffix" : "" }, { "dropping-particle" : "", "family" : "Soler", "given" : "German", "non-dropping-particle" : "", "parse-names" : false, "suffix" : "" }, { "dropping-particle" : "", "family" : "Strain", "given" : "Elisabeth M.A.", "non-dropping-particle" : "", "parse-names" : false, "suffix" : "" }, { "dropping-particle" : "", "family" : "Thomson", "given" : "Russell J.", "non-dropping-particle" : "", "parse-names" : false, "suffix" : "" } ], "container-title" : "Nature", "id" : "ITEM-1", "issue" : "7487", "issued" : { "date-parts" : [ [ "2014" ] ] }, "page" : "216-220", "title" : "Global conservation outcomes depend on marine protected areas with five key features", "type" : "article-journal", "volume" : "506" }, "uris" : [ "http://www.mendeley.com/documents/?uuid=f09f5e99-1167-471a-b35f-1741eb306439", "http://www.mendeley.com/documents/?uuid=658d84d5-593f-4d2c-897a-fd4463a900af" ] } ], "mendeley" : { "formattedCitation" : "(Edgar et al., 2014)", "plainTextFormattedCitation" : "(Edgar et al., 2014)", "previouslyFormattedCitation" : "(Edgar et al., 2014)" }, "properties" : {  }, "schema" : "https://github.com/citation-style-language/schema/raw/master/csl-citation.json" }</w:instrText>
      </w:r>
      <w:r>
        <w:rPr>
          <w:iCs/>
          <w:color w:val="000000" w:themeColor="text1"/>
        </w:rPr>
        <w:fldChar w:fldCharType="separate"/>
      </w:r>
      <w:r w:rsidR="00126000" w:rsidRPr="00126000">
        <w:rPr>
          <w:iCs/>
          <w:noProof/>
          <w:color w:val="000000" w:themeColor="text1"/>
        </w:rPr>
        <w:t>(Edgar et al., 2014)</w:t>
      </w:r>
      <w:r>
        <w:rPr>
          <w:iCs/>
          <w:color w:val="000000" w:themeColor="text1"/>
        </w:rPr>
        <w:fldChar w:fldCharType="end"/>
      </w:r>
      <w:r>
        <w:rPr>
          <w:iCs/>
          <w:color w:val="000000" w:themeColor="text1"/>
        </w:rPr>
        <w:t xml:space="preserve">. However, while there has been increased emphasis on the establishment of MPAs </w:t>
      </w:r>
      <w:r>
        <w:rPr>
          <w:iCs/>
          <w:color w:val="000000" w:themeColor="text1"/>
        </w:rPr>
        <w:fldChar w:fldCharType="begin" w:fldLock="1"/>
      </w:r>
      <w:r w:rsidR="00195AA8">
        <w:rPr>
          <w:iCs/>
          <w:color w:val="000000" w:themeColor="text1"/>
        </w:rPr>
        <w:instrText>ADDIN CSL_CITATION { "citationItems" : [ { "id" : "ITEM-1", "itemData" : { "author" : [ { "dropping-particle" : "", "family" : "Lubchenco", "given" : "Jane", "non-dropping-particle" : "", "parse-names" : false, "suffix" : "" }, { "dropping-particle" : "", "family" : "Grorud-Colvert", "given" : "Kirsten", "non-dropping-particle" : "", "parse-names" : false, "suffix" : "" } ], "container-title" : "Science", "id" : "ITEM-1", "issue" : "6259", "issued" : { "date-parts" : [ [ "2015" ] ] }, "page" : "382-383", "title" : "Making waves: The science and politics of ocean protection", "type" : "article-journal", "volume" : "350" }, "uris" : [ "http://www.mendeley.com/documents/?uuid=a5c86843-3894-43e3-9481-411877827b29", "http://www.mendeley.com/documents/?uuid=69bd10bd-bf82-4056-9760-54aa78570277" ] } ], "mendeley" : { "formattedCitation" : "(Lubchenco &amp; Grorud-Colvert, 2015)", "plainTextFormattedCitation" : "(Lubchenco &amp; Grorud-Colvert, 2015)", "previouslyFormattedCitation" : "(Lubchenco &amp; Grorud-Colvert, 2015)" }, "properties" : {  }, "schema" : "https://github.com/citation-style-language/schema/raw/master/csl-citation.json" }</w:instrText>
      </w:r>
      <w:r>
        <w:rPr>
          <w:iCs/>
          <w:color w:val="000000" w:themeColor="text1"/>
        </w:rPr>
        <w:fldChar w:fldCharType="separate"/>
      </w:r>
      <w:r w:rsidR="00126000" w:rsidRPr="00126000">
        <w:rPr>
          <w:iCs/>
          <w:noProof/>
          <w:color w:val="000000" w:themeColor="text1"/>
        </w:rPr>
        <w:t>(Lubchenco &amp; Grorud-Colvert, 2015)</w:t>
      </w:r>
      <w:r>
        <w:rPr>
          <w:iCs/>
          <w:color w:val="000000" w:themeColor="text1"/>
        </w:rPr>
        <w:fldChar w:fldCharType="end"/>
      </w:r>
      <w:r>
        <w:rPr>
          <w:iCs/>
          <w:color w:val="000000" w:themeColor="text1"/>
        </w:rPr>
        <w:t xml:space="preserve">, their location and effectiveness has been questioned </w:t>
      </w:r>
      <w:r>
        <w:rPr>
          <w:iCs/>
          <w:color w:val="000000" w:themeColor="text1"/>
        </w:rPr>
        <w:fldChar w:fldCharType="begin" w:fldLock="1"/>
      </w:r>
      <w:r w:rsidR="00195AA8">
        <w:rPr>
          <w:iCs/>
          <w:color w:val="000000" w:themeColor="text1"/>
        </w:rPr>
        <w:instrText>ADDIN CSL_CITATION { "citationItems" : [ { "id" : "ITEM-1", "itemData" : { "DOI" : "10.1016/j.biocon.2018.03.013", "ISSN" : "00063207", "abstract" : "Marine protected areas (MPAs) are key tools to mitigate human impacts in coastal environments, promoting sustainable activities to conserve biodiversity. The designation of MPAs alone may not result in the lessening of some human threats, which is highly dependent on management goals and the related specific regulations that are adopted. Here, we develop and operationalize a local threat assessment framework. We develop indices to quantify the effectiveness of MPAs (or individual zones within MPAs in the case of multiple-use MPAs) in reducing anthropogenic extractive and non-extractive threats operating at local scale, focusing specifically on threats that can be managed through MPAs. We apply this framework in 15 Mediterranean MPAs to assess their threat reduction capacity. We show that fully protected areas effectively eliminate extractive activities, whereas the intensity of artisanal and recreational fishing within partially protected areas, paradoxically, is higher than that found outside MPAs, questioning their ability at reaching conservation targets. In addition, both fully and partially protected areas attract non-extractive activities that are potential threats. Overall, only three of the 15 MPAs had lower intensities for the entire set of eight threats considered, in respect to adjacent control unprotected areas. Understanding the intensity and occurrence of human threats operating at the local scale inside and around MPAs is important for assessing MPAs effectiveness in achieving the goals they have been designed for, informing management strategies, and prioritizing specific actions.", "author" : [ { "dropping-particle" : "", "family" : "Zupan", "given" : "Mirta", "non-dropping-particle" : "", "parse-names" : false, "suffix" : "" }, { "dropping-particle" : "", "family" : "Bulleri", "given" : "Fabio", "non-dropping-particle" : "", "parse-names" : false, "suffix" : "" }, { "dropping-particle" : "", "family" : "Evans", "given" : "Julian", "non-dropping-particle" : "", "parse-names" : false, "suffix" : "" }, { "dropping-particle" : "", "family" : "Fraschetti", "given" : "Simonetta", "non-dropping-particle" : "", "parse-names" : false, "suffix" : "" }, { "dropping-particle" : "", "family" : "Guidetti", "given" : "Paolo", "non-dropping-particle" : "", "parse-names" : false, "suffix" : "" }, { "dropping-particle" : "", "family" : "Garcia-Rubies", "given" : "Antoni", "non-dropping-particle" : "", "parse-names" : false, "suffix" : "" }, { "dropping-particle" : "", "family" : "Sostres", "given" : "Marta", "non-dropping-particle" : "", "parse-names" : false, "suffix" : "" }, { "dropping-particle" : "", "family" : "Asnaghi", "given" : "Valentina", "non-dropping-particle" : "", "parse-names" : false, "suffix" : "" }, { "dropping-particle" : "", "family" : "Caro", "given" : "Anthony", "non-dropping-particle" : "", "parse-names" : false, "suffix" : "" }, { "dropping-particle" : "", "family" : "Deudero", "given" : "Salud", "non-dropping-particle" : "", "parse-names" : false, "suffix" : "" }, { "dropping-particle" : "", "family" : "Go\u00f1i", "given" : "Raquel", "non-dropping-particle" : "", "parse-names" : false, "suffix" : "" }, { "dropping-particle" : "", "family" : "Guarnieri", "given" : "Giuseppe", "non-dropping-particle" : "", "parse-names" : false, "suffix" : "" }, { "dropping-particle" : "", "family" : "Guilhaumon", "given" : "Francois", "non-dropping-particle" : "", "parse-names" : false, "suffix" : "" }, { "dropping-particle" : "", "family" : "Kersting", "given" : "Diego", "non-dropping-particle" : "", "parse-names" : false, "suffix" : "" }, { "dropping-particle" : "", "family" : "Kokkali", "given" : "Athina", "non-dropping-particle" : "", "parse-names" : false, "suffix" : "" }, { "dropping-particle" : "", "family" : "Kruschel", "given" : "Claudia", "non-dropping-particle" : "", "parse-names" : false, "suffix" : "" }, { "dropping-particle" : "", "family" : "Macic", "given" : "Vesna", "non-dropping-particle" : "", "parse-names" : false, "suffix" : "" }, { "dropping-particle" : "", "family" : "Mangialajo", "given" : "Luisa", "non-dropping-particle" : "", "parse-names" : false, "suffix" : "" }, { "dropping-particle" : "", "family" : "Mallol", "given" : "Sandra", "non-dropping-particle" : "", "parse-names" : false, "suffix" : "" }, { "dropping-particle" : "", "family" : "Macpherson", "given" : "Enrique", "non-dropping-particle" : "", "parse-names" : false, "suffix" : "" }, { "dropping-particle" : "", "family" : "Panucci", "given" : "Antonella", "non-dropping-particle" : "", "parse-names" : false, "suffix" : "" }, { "dropping-particle" : "", "family" : "Radolovic", "given" : "Mirko", "non-dropping-particle" : "", "parse-names" : false, "suffix" : "" }, { "dropping-particle" : "", "family" : "Ramdani", "given" : "Mohamed", "non-dropping-particle" : "", "parse-names" : false, "suffix" : "" }, { "dropping-particle" : "", "family" : "Schembri", "given" : "Patrick J.", "non-dropping-particle" : "", "parse-names" : false, "suffix" : "" }, { "dropping-particle" : "", "family" : "Terlizzi", "given" : "Antonio", "non-dropping-particle" : "", "parse-names" : false, "suffix" : "" }, { "dropping-particle" : "", "family" : "Villa", "given" : "Elisa", "non-dropping-particle" : "", "parse-names" : false, "suffix" : "" }, { "dropping-particle" : "", "family" : "Claudet", "given" : "Joachim", "non-dropping-particle" : "", "parse-names" : false, "suffix" : "" } ], "container-title" : "Biological Conservation", "id" : "ITEM-1", "issue" : "August 2017", "issued" : { "date-parts" : [ [ "2018" ] ] }, "page" : "237-245", "publisher" : "Elsevier", "title" : "How good is your marine protected area at curbing threats?", "type" : "article-journal", "volume" : "221" }, "uris" : [ "http://www.mendeley.com/documents/?uuid=0f65ec29-518a-4e98-837b-46abc31580e4", "http://www.mendeley.com/documents/?uuid=993b286a-0040-4180-8116-d18b248a9690" ] }, { "id" : "ITEM-2", "itemData" : { "DOI" : "10.1038/nature21708", "ISBN" : "1476-4687 (Electronic)\r0028-0836 (Linking)", "ISSN" : "14764687", "PMID" : "28329771", "abstract" : "Marine protected areas are proliferating quickly in the hope of safeguarding marine resources. Here David Gill and colleagues show that inadequate staffing capacity is compromising the efficacy of marine protected areas globally. They analyse fish biomass and management data for marine protected areas around the world and find that, although 71 of these protected areas are benefiting fish populations, the effects are highly variable. Staff capacity was identified as the most important explanatory variable, accounting for around 19 of the variation in the benefits of marine protection. They suggest that continued expansion of marine protected areas around the globe without adequate investment in human and financial capacity could limit marine conservation outcomes.", "author" : [ { "dropping-particle" : "", "family" : "Gill", "given" : "David A.", "non-dropping-particle" : "", "parse-names" : false, "suffix" : "" }, { "dropping-particle" : "", "family" : "Mascia", "given" : "Michael B.", "non-dropping-particle" : "", "parse-names" : false, "suffix" : "" }, { "dropping-particle" : "", "family" : "Ahmadia", "given" : "Gabby N.", "non-dropping-particle" : "", "parse-names" : false, "suffix" : "" }, { "dropping-particle" : "", "family" : "Glew", "given" : "Louise", "non-dropping-particle" : "", "parse-names" : false, "suffix" : "" }, { "dropping-particle" : "", "family" : "Lester", "given" : "Sarah E.", "non-dropping-particle" : "", "parse-names" : false, "suffix" : "" }, { "dropping-particle" : "", "family" : "Barnes", "given" : "Megan", "non-dropping-particle" : "", "parse-names" : false, "suffix" : "" }, { "dropping-particle" : "", "family" : "Craigie", "given" : "Ian", "non-dropping-particle" : "", "parse-names" : false, "suffix" : "" }, { "dropping-particle" : "", "family" : "Darling", "given" : "Emily S.", "non-dropping-particle" : "", "parse-names" : false, "suffix" : "" }, { "dropping-particle" : "", "family" : "Free", "given" : "Christopher M.", "non-dropping-particle" : "", "parse-names" : false, "suffix" : "" }, { "dropping-particle" : "", "family" : "Geldmann", "given" : "Jonas", "non-dropping-particle" : "", "parse-names" : false, "suffix" : "" }, { "dropping-particle" : "", "family" : "Holst", "given" : "Susie", "non-dropping-particle" : "", "parse-names" : false, "suffix" : "" }, { "dropping-particle" : "", "family" : "Jensen", "given" : "Olaf P.", "non-dropping-particle" : "", "parse-names" : false, "suffix" : "" }, { "dropping-particle" : "", "family" : "White", "given" : "Alan T.", "non-dropping-particle" : "", "parse-names" : false, "suffix" : "" }, { "dropping-particle" : "", "family" : "Basurto", "given" : "Xavier", "non-dropping-particle" : "", "parse-names" : false, "suffix" : "" }, { "dropping-particle" : "", "family" : "Coad", "given" : "Lauren", "non-dropping-particle" : "", "parse-names" : false, "suffix" : "" }, { "dropping-particle" : "", "family" : "Gates", "given" : "Ruth D.", "non-dropping-particle" : "", "parse-names" : false, "suffix" : "" }, { "dropping-particle" : "", "family" : "Guannel", "given" : "Greg", "non-dropping-particle" : "", "parse-names" : false, "suffix" : "" }, { "dropping-particle" : "", "family" : "Mumby", "given" : "Peter J.", "non-dropping-particle" : "", "parse-names" : false, "suffix" : "" }, { "dropping-particle" : "", "family" : "Thomas", "given" : "Hannah", "non-dropping-particle" : "", "parse-names" : false, "suffix" : "" }, { "dropping-particle" : "", "family" : "Whitmee", "given" : "Sarah", "non-dropping-particle" : "", "parse-names" : false, "suffix" : "" }, { "dropping-particle" : "", "family" : "Woodley", "given" : "Stephen", "non-dropping-particle" : "", "parse-names" : false, "suffix" : "" }, { "dropping-particle" : "", "family" : "Fox", "given" : "Helen E.", "non-dropping-particle" : "", "parse-names" : false, "suffix" : "" } ], "container-title" : "Nature", "id" : "ITEM-2", "issue" : "7647", "issued" : { "date-parts" : [ [ "2017" ] ] }, "page" : "665-669", "publisher" : "Nature Publishing Group", "title" : "Capacity shortfalls hinder the performance of marine protected areas globally", "type" : "article-journal", "volume" : "543" }, "uris" : [ "http://www.mendeley.com/documents/?uuid=4ee85f7f-d9a6-4493-8da7-cd9d48066f93", "http://www.mendeley.com/documents/?uuid=21bd0720-d89f-4abc-8973-065652d7c96f" ] }, { "id" : "ITEM-3", "itemData" : { "ISBN" : "9789280735871", "author" : [ { "dropping-particle" : "", "family" : "UNEP-WCMC and IUCN", "given" : "", "non-dropping-particle" : "", "parse-names" : false, "suffix" : "" } ], "id" : "ITEM-3", "issued" : { "date-parts" : [ [ "2016" ] ] }, "title" : "Protected Planet Report 2016. UNEP-WCMC and IUCN: Cambridge UK and Gland, Switzerland.", "type" : "book" }, "uris" : [ "http://www.mendeley.com/documents/?uuid=4256b257-86f8-419e-9221-3526c1e7e73c", "http://www.mendeley.com/documents/?uuid=97458f3c-08ee-4a04-97a6-7296e461a83b" ] } ], "mendeley" : { "formattedCitation" : "(Gill et al., 2017; UNEP-WCMC and IUCN, 2016; Zupan et al., 2018)", "plainTextFormattedCitation" : "(Gill et al., 2017; UNEP-WCMC and IUCN, 2016; Zupan et al., 2018)", "previouslyFormattedCitation" : "(Gill et al., 2017; UNEP-WCMC and IUCN, 2016; Zupan et al., 2018)" }, "properties" : {  }, "schema" : "https://github.com/citation-style-language/schema/raw/master/csl-citation.json" }</w:instrText>
      </w:r>
      <w:r>
        <w:rPr>
          <w:iCs/>
          <w:color w:val="000000" w:themeColor="text1"/>
        </w:rPr>
        <w:fldChar w:fldCharType="separate"/>
      </w:r>
      <w:r w:rsidR="00126000" w:rsidRPr="00126000">
        <w:rPr>
          <w:iCs/>
          <w:noProof/>
          <w:color w:val="000000" w:themeColor="text1"/>
          <w:lang w:val="en-GB"/>
        </w:rPr>
        <w:t>(Gill et al., 2017; UNEP-WCMC and IUCN, 2016; Zupan et al., 2018)</w:t>
      </w:r>
      <w:r>
        <w:rPr>
          <w:iCs/>
          <w:color w:val="000000" w:themeColor="text1"/>
        </w:rPr>
        <w:fldChar w:fldCharType="end"/>
      </w:r>
      <w:r w:rsidRPr="00F65478">
        <w:rPr>
          <w:iCs/>
          <w:color w:val="000000" w:themeColor="text1"/>
          <w:lang w:val="en-GB"/>
        </w:rPr>
        <w:t xml:space="preserve">. </w:t>
      </w:r>
      <w:r>
        <w:rPr>
          <w:iCs/>
          <w:color w:val="000000" w:themeColor="text1"/>
          <w:lang w:val="en-GB"/>
        </w:rPr>
        <w:t>Robust fisheries management will always be a necessity, and capacity shortfall often limits protected area efficacy</w:t>
      </w:r>
      <w:r w:rsidR="0063126B">
        <w:rPr>
          <w:iCs/>
          <w:color w:val="000000" w:themeColor="text1"/>
          <w:lang w:val="en-GB"/>
        </w:rPr>
        <w:t xml:space="preserve"> of both small and large MPAs</w:t>
      </w:r>
      <w:r w:rsidR="004812C3">
        <w:rPr>
          <w:iCs/>
          <w:color w:val="000000" w:themeColor="text1"/>
          <w:lang w:val="en-GB"/>
        </w:rPr>
        <w:t xml:space="preserve"> </w:t>
      </w:r>
      <w:r w:rsidR="004812C3">
        <w:rPr>
          <w:iCs/>
          <w:color w:val="000000" w:themeColor="text1"/>
          <w:lang w:val="en-GB"/>
        </w:rPr>
        <w:fldChar w:fldCharType="begin" w:fldLock="1"/>
      </w:r>
      <w:r w:rsidR="00195AA8">
        <w:rPr>
          <w:iCs/>
          <w:color w:val="000000" w:themeColor="text1"/>
          <w:lang w:val="en-GB"/>
        </w:rPr>
        <w:instrText>ADDIN CSL_CITATION { "citationItems" : [ { "id" : "ITEM-1", "itemData" : { "DOI" : "10.1038/nature21708", "ISBN" : "1476-4687 (Electronic)\r0028-0836 (Linking)", "ISSN" : "14764687", "PMID" : "28329771", "abstract" : "Marine protected areas are proliferating quickly in the hope of safeguarding marine resources. Here David Gill and colleagues show that inadequate staffing capacity is compromising the efficacy of marine protected areas globally. They analyse fish biomass and management data for marine protected areas around the world and find that, although 71 of these protected areas are benefiting fish populations, the effects are highly variable. Staff capacity was identified as the most important explanatory variable, accounting for around 19 of the variation in the benefits of marine protection. They suggest that continued expansion of marine protected areas around the globe without adequate investment in human and financial capacity could limit marine conservation outcomes.", "author" : [ { "dropping-particle" : "", "family" : "Gill", "given" : "David A.", "non-dropping-particle" : "", "parse-names" : false, "suffix" : "" }, { "dropping-particle" : "", "family" : "Mascia", "given" : "Michael B.", "non-dropping-particle" : "", "parse-names" : false, "suffix" : "" }, { "dropping-particle" : "", "family" : "Ahmadia", "given" : "Gabby N.", "non-dropping-particle" : "", "parse-names" : false, "suffix" : "" }, { "dropping-particle" : "", "family" : "Glew", "given" : "Louise", "non-dropping-particle" : "", "parse-names" : false, "suffix" : "" }, { "dropping-particle" : "", "family" : "Lester", "given" : "Sarah E.", "non-dropping-particle" : "", "parse-names" : false, "suffix" : "" }, { "dropping-particle" : "", "family" : "Barnes", "given" : "Megan", "non-dropping-particle" : "", "parse-names" : false, "suffix" : "" }, { "dropping-particle" : "", "family" : "Craigie", "given" : "Ian", "non-dropping-particle" : "", "parse-names" : false, "suffix" : "" }, { "dropping-particle" : "", "family" : "Darling", "given" : "Emily S.", "non-dropping-particle" : "", "parse-names" : false, "suffix" : "" }, { "dropping-particle" : "", "family" : "Free", "given" : "Christopher M.", "non-dropping-particle" : "", "parse-names" : false, "suffix" : "" }, { "dropping-particle" : "", "family" : "Geldmann", "given" : "Jonas", "non-dropping-particle" : "", "parse-names" : false, "suffix" : "" }, { "dropping-particle" : "", "family" : "Holst", "given" : "Susie", "non-dropping-particle" : "", "parse-names" : false, "suffix" : "" }, { "dropping-particle" : "", "family" : "Jensen", "given" : "Olaf P.", "non-dropping-particle" : "", "parse-names" : false, "suffix" : "" }, { "dropping-particle" : "", "family" : "White", "given" : "Alan T.", "non-dropping-particle" : "", "parse-names" : false, "suffix" : "" }, { "dropping-particle" : "", "family" : "Basurto", "given" : "Xavier", "non-dropping-particle" : "", "parse-names" : false, "suffix" : "" }, { "dropping-particle" : "", "family" : "Coad", "given" : "Lauren", "non-dropping-particle" : "", "parse-names" : false, "suffix" : "" }, { "dropping-particle" : "", "family" : "Gates", "given" : "Ruth D.", "non-dropping-particle" : "", "parse-names" : false, "suffix" : "" }, { "dropping-particle" : "", "family" : "Guannel", "given" : "Greg", "non-dropping-particle" : "", "parse-names" : false, "suffix" : "" }, { "dropping-particle" : "", "family" : "Mumby", "given" : "Peter J.", "non-dropping-particle" : "", "parse-names" : false, "suffix" : "" }, { "dropping-particle" : "", "family" : "Thomas", "given" : "Hannah", "non-dropping-particle" : "", "parse-names" : false, "suffix" : "" }, { "dropping-particle" : "", "family" : "Whitmee", "given" : "Sarah", "non-dropping-particle" : "", "parse-names" : false, "suffix" : "" }, { "dropping-particle" : "", "family" : "Woodley", "given" : "Stephen", "non-dropping-particle" : "", "parse-names" : false, "suffix" : "" }, { "dropping-particle" : "", "family" : "Fox", "given" : "Helen E.", "non-dropping-particle" : "", "parse-names" : false, "suffix" : "" } ], "container-title" : "Nature", "id" : "ITEM-1", "issue" : "7647", "issued" : { "date-parts" : [ [ "2017" ] ] }, "page" : "665-669", "publisher" : "Nature Publishing Group", "title" : "Capacity shortfalls hinder the performance of marine protected areas globally", "type" : "article-journal", "volume" : "543" }, "uris" : [ "http://www.mendeley.com/documents/?uuid=21bd0720-d89f-4abc-8973-065652d7c96f", "http://www.mendeley.com/documents/?uuid=4ee85f7f-d9a6-4493-8da7-cd9d48066f93" ] }, { "id" : "ITEM-2", "itemData" : { "DOI" : "10.1093/biosci/biy021", "ISSN" : "15253244", "abstract" : "Designated large-scale marine protected areas (LSMPAs, 100,000 or more square kilometers) constitute over two-thirds of the approximately 6.6% of the ocean and approximately 14.5% of the exclusive economic zones within marine protected areas. Although LSMPAs have received support among scientists and conservation bodies for wilderness protection, regional ecological connectivity, and improving resilience to climate change, there are also concerns. We identified 10 common criticisms of LSMPAs along three themes: (1) placement, governance, and management; (2) political expediency; and (3) social ecological value and cost. Through critical evaluation of scientific evidence, we discuss the value, achievements, challenges, and potential of LSMPAs in these arenas. We conclude that although some criticisms are valid and need addressing, none pertain exclusively to LSMPAs, and many involve challenges ubiquitous in management. We argue that LSMPAs are an important component of a diversified management portfolio that tempers potential losses, hedges against uncertainty, and enhances the probability of achieving sustainably managed oceans.", "author" : [ { "dropping-particle" : "", "family" : "O'Leary", "given" : "Bethan C.", "non-dropping-particle" : "", "parse-names" : false, "suffix" : "" }, { "dropping-particle" : "", "family" : "Ban", "given" : "Natalie C.", "non-dropping-particle" : "", "parse-names" : false, "suffix" : "" }, { "dropping-particle" : "", "family" : "Fernandez", "given" : "Miriam", "non-dropping-particle" : "", "parse-names" : false, "suffix" : "" }, { "dropping-particle" : "", "family" : "Friedlander", "given" : "Alan M.", "non-dropping-particle" : "", "parse-names" : false, "suffix" : "" }, { "dropping-particle" : "", "family" : "Garc\u00eda-Borboroglu", "given" : "Pablo", "non-dropping-particle" : "", "parse-names" : false, "suffix" : "" }, { "dropping-particle" : "", "family" : "Golbuu", "given" : "Yimnang", "non-dropping-particle" : "", "parse-names" : false, "suffix" : "" }, { "dropping-particle" : "", "family" : "Guidetti", "given" : "Paolo", "non-dropping-particle" : "", "parse-names" : false, "suffix" : "" }, { "dropping-particle" : "", "family" : "Harris", "given" : "Jean M.", "non-dropping-particle" : "", "parse-names" : false, "suffix" : "" }, { "dropping-particle" : "", "family" : "Hawkins", "given" : "Julie P.", "non-dropping-particle" : "", "parse-names" : false, "suffix" : "" }, { "dropping-particle" : "", "family" : "Langlois", "given" : "Tim", "non-dropping-particle" : "", "parse-names" : false, "suffix" : "" }, { "dropping-particle" : "", "family" : "McCauley", "given" : "Douglas J.", "non-dropping-particle" : "", "parse-names" : false, "suffix" : "" }, { "dropping-particle" : "", "family" : "Pikitch", "given" : "Ellen K.", "non-dropping-particle" : "", "parse-names" : false, "suffix" : "" }, { "dropping-particle" : "", "family" : "Richmond", "given" : "Robert H.", "non-dropping-particle" : "", "parse-names" : false, "suffix" : "" }, { "dropping-particle" : "", "family" : "Roberts", "given" : "Callum M.", "non-dropping-particle" : "", "parse-names" : false, "suffix" : "" } ], "container-title" : "BioScience", "id" : "ITEM-2", "issue" : "5", "issued" : { "date-parts" : [ [ "2018" ] ] }, "page" : "359-370", "title" : "Addressing Criticisms of Large-Scale Marine Protected Areas", "type" : "article-journal", "volume" : "68" }, "uris" : [ "http://www.mendeley.com/documents/?uuid=f6e4a683-ac68-45e6-869a-244e0efedeff" ] } ], "mendeley" : { "formattedCitation" : "(Gill et al., 2017; O\u2019Leary et al., 2018)", "plainTextFormattedCitation" : "(Gill et al., 2017; O\u2019Leary et al., 2018)", "previouslyFormattedCitation" : "(Gill et al., 2017; O\u2019Leary et al., 2018)" }, "properties" : {  }, "schema" : "https://github.com/citation-style-language/schema/raw/master/csl-citation.json" }</w:instrText>
      </w:r>
      <w:r w:rsidR="004812C3">
        <w:rPr>
          <w:iCs/>
          <w:color w:val="000000" w:themeColor="text1"/>
          <w:lang w:val="en-GB"/>
        </w:rPr>
        <w:fldChar w:fldCharType="separate"/>
      </w:r>
      <w:r w:rsidR="00126000" w:rsidRPr="00126000">
        <w:rPr>
          <w:iCs/>
          <w:noProof/>
          <w:color w:val="000000" w:themeColor="text1"/>
          <w:lang w:val="en-GB"/>
        </w:rPr>
        <w:t>(Gill et al., 2017; O’Leary et al., 2018)</w:t>
      </w:r>
      <w:r w:rsidR="004812C3">
        <w:rPr>
          <w:iCs/>
          <w:color w:val="000000" w:themeColor="text1"/>
          <w:lang w:val="en-GB"/>
        </w:rPr>
        <w:fldChar w:fldCharType="end"/>
      </w:r>
      <w:r>
        <w:rPr>
          <w:iCs/>
          <w:color w:val="000000" w:themeColor="text1"/>
          <w:lang w:val="en-GB"/>
        </w:rPr>
        <w:t xml:space="preserve">. There are also concerns regarding whether </w:t>
      </w:r>
      <w:r>
        <w:rPr>
          <w:iCs/>
          <w:color w:val="000000" w:themeColor="text1"/>
        </w:rPr>
        <w:t>MPAs can ensure the long-term persistence of species, and whether they cover the most important sites for biodiversity</w:t>
      </w:r>
      <w:r w:rsidR="004812C3">
        <w:rPr>
          <w:iCs/>
          <w:color w:val="000000" w:themeColor="text1"/>
        </w:rPr>
        <w:t xml:space="preserve"> </w:t>
      </w:r>
      <w:r w:rsidR="004812C3">
        <w:rPr>
          <w:iCs/>
          <w:color w:val="000000" w:themeColor="text1"/>
        </w:rPr>
        <w:fldChar w:fldCharType="begin" w:fldLock="1"/>
      </w:r>
      <w:r w:rsidR="00195AA8">
        <w:rPr>
          <w:iCs/>
          <w:color w:val="000000" w:themeColor="text1"/>
        </w:rPr>
        <w:instrText>ADDIN CSL_CITATION { "citationItems" : [ { "id" : "ITEM-1", "itemData" : { "author" : [ { "dropping-particle" : "", "family" : "Barr", "given" : "Lissa", "non-dropping-particle" : "", "parse-names" : false, "suffix" : "" }, { "dropping-particle" : "", "family" : "Possingham", "given" : "Hugh P", "non-dropping-particle" : "", "parse-names" : false, "suffix" : "" } ], "container-title" : "Marine Policy", "id" : "ITEM-1", "issued" : { "date-parts" : [ [ "2013" ] ] }, "page" : "39-48", "title" : "Are outcomes matching policy commitments in Australian marine conservation planning?", "type" : "article-journal", "volume" : "42" }, "uris" : [ "http://www.mendeley.com/documents/?uuid=05c84655-4e5b-46ab-b6c5-191c24372a64", "http://www.mendeley.com/documents/?uuid=6b2dd970-2da5-46c5-9980-0755c823e059" ] }, { "id" : "ITEM-2", "itemData" : { "DOI" : "10.1038/srep17539", "author" : [ { "dropping-particle" : "", "family" : "Klein", "given" : "Carissa J", "non-dropping-particle" : "", "parse-names" : false, "suffix" : "" }, { "dropping-particle" : "", "family" : "Brown", "given" : "Christopher J", "non-dropping-particle" : "", "parse-names" : false, "suffix" : "" }, { "dropping-particle" : "", "family" : "Halpern", "given" : "Benjamin S", "non-dropping-particle" : "", "parse-names" : false, "suffix" : "" }, { "dropping-particle" : "", "family" : "Segan", "given" : "Daniel B", "non-dropping-particle" : "", "parse-names" : false, "suffix" : "" }, { "dropping-particle" : "", "family" : "Mcgowan", "given" : "Jennifer", "non-dropping-particle" : "", "parse-names" : false, "suffix" : "" }, { "dropping-particle" : "", "family" : "Beger", "given" : "Maria", "non-dropping-particle" : "", "parse-names" : false, "suffix" : "" }, { "dropping-particle" : "", "family" : "Watson", "given" : "James E M", "non-dropping-particle" : "", "parse-names" : false, "suffix" : "" } ], "container-title" : "Scientific Reports", "id" : "ITEM-2", "issued" : { "date-parts" : [ [ "2015" ] ] }, "page" : "17539", "publisher" : "Nature Publishing Group", "title" : "Shortfalls in the global protected area network at representing marine biodiversity", "type" : "article-journal", "volume" : "5" }, "uris" : [ "http://www.mendeley.com/documents/?uuid=c9d50b29-a746-4bb1-b1b1-ff1a7868939a", "http://www.mendeley.com/documents/?uuid=196aa8e8-8fc0-4eeb-a731-fe3d4bb53724" ] } ], "mendeley" : { "formattedCitation" : "(Barr &amp; Possingham, 2013; Klein et al., 2015)", "plainTextFormattedCitation" : "(Barr &amp; Possingham, 2013; Klein et al., 2015)", "previouslyFormattedCitation" : "(Barr &amp; Possingham, 2013; Klein et al., 2015)" }, "properties" : {  }, "schema" : "https://github.com/citation-style-language/schema/raw/master/csl-citation.json" }</w:instrText>
      </w:r>
      <w:r w:rsidR="004812C3">
        <w:rPr>
          <w:iCs/>
          <w:color w:val="000000" w:themeColor="text1"/>
        </w:rPr>
        <w:fldChar w:fldCharType="separate"/>
      </w:r>
      <w:r w:rsidR="00126000" w:rsidRPr="00126000">
        <w:rPr>
          <w:iCs/>
          <w:noProof/>
          <w:color w:val="000000" w:themeColor="text1"/>
        </w:rPr>
        <w:t>(Barr &amp; Possingham, 2013; Klein et al., 2015)</w:t>
      </w:r>
      <w:r w:rsidR="004812C3">
        <w:rPr>
          <w:iCs/>
          <w:color w:val="000000" w:themeColor="text1"/>
        </w:rPr>
        <w:fldChar w:fldCharType="end"/>
      </w:r>
      <w:r w:rsidR="004812C3">
        <w:rPr>
          <w:iCs/>
          <w:color w:val="000000" w:themeColor="text1"/>
        </w:rPr>
        <w:t>.</w:t>
      </w:r>
    </w:p>
    <w:p w14:paraId="755ABE30" w14:textId="75714BEE" w:rsidR="00C14FF5" w:rsidRDefault="004812C3" w:rsidP="005B5AC2">
      <w:pPr>
        <w:rPr>
          <w:iCs/>
          <w:lang w:val="en-GB"/>
        </w:rPr>
      </w:pPr>
      <w:r>
        <w:rPr>
          <w:iCs/>
        </w:rPr>
        <w:t xml:space="preserve">A suite of criteria now exist for identifying important sites for marine biodiversity </w:t>
      </w:r>
      <w:r w:rsidRPr="00FB2563">
        <w:rPr>
          <w:iCs/>
        </w:rPr>
        <w:fldChar w:fldCharType="begin" w:fldLock="1"/>
      </w:r>
      <w:r w:rsidR="00195AA8">
        <w:rPr>
          <w:iCs/>
        </w:rPr>
        <w:instrText>ADDIN CSL_CITATION { "citationItems" : [ { "id" : "ITEM-1", "itemData" : { "DOI" : "10.1016/j.marpol.2013.12.002", "ISSN" : "0308-597X", "author" : [ { "dropping-particle" : "", "family" : "Dunn", "given" : "Daniel C", "non-dropping-particle" : "", "parse-names" : false, "suffix" : "" }, { "dropping-particle" : "", "family" : "Ardron", "given" : "Jeff", "non-dropping-particle" : "", "parse-names" : false, "suffix" : "" }, { "dropping-particle" : "", "family" : "Bax", "given" : "Nicholas", "non-dropping-particle" : "", "parse-names" : false, "suffix" : "" }, { "dropping-particle" : "", "family" : "Bernal", "given" : "Patricio", "non-dropping-particle" : "", "parse-names" : false, "suffix" : "" }, { "dropping-particle" : "", "family" : "Cleary", "given" : "Jesse", "non-dropping-particle" : "", "parse-names" : false, "suffix" : "" }, { "dropping-particle" : "", "family" : "Cresswell", "given" : "Ian", "non-dropping-particle" : "", "parse-names" : false, "suffix" : "" }, { "dropping-particle" : "", "family" : "Donnelly", "given" : "Ben", "non-dropping-particle" : "", "parse-names" : false, "suffix" : "" }, { "dropping-particle" : "", "family" : "Dunstan", "given" : "Piers", "non-dropping-particle" : "", "parse-names" : false, "suffix" : "" }, { "dropping-particle" : "", "family" : "Gjerde", "given" : "Kristina", "non-dropping-particle" : "", "parse-names" : false, "suffix" : "" }, { "dropping-particle" : "", "family" : "Johnson", "given" : "David", "non-dropping-particle" : "", "parse-names" : false, "suffix" : "" }, { "dropping-particle" : "", "family" : "Kaschner", "given" : "Kristin", "non-dropping-particle" : "", "parse-names" : false, "suffix" : "" }, { "dropping-particle" : "", "family" : "Lascelles", "given" : "Ben", "non-dropping-particle" : "", "parse-names" : false, "suffix" : "" }, { "dropping-particle" : "", "family" : "Rice", "given" : "Jake", "non-dropping-particle" : "", "parse-names" : false, "suffix" : "" }, { "dropping-particle" : "Von", "family" : "Nordheim", "given" : "Henning", "non-dropping-particle" : "", "parse-names" : false, "suffix" : "" }, { "dropping-particle" : "", "family" : "Wood", "given" : "Louisa", "non-dropping-particle" : "", "parse-names" : false, "suffix" : "" }, { "dropping-particle" : "", "family" : "Halpin", "given" : "Patrick N", "non-dropping-particle" : "", "parse-names" : false, "suffix" : "" } ], "container-title" : "Marine Policy", "id" : "ITEM-1", "issued" : { "date-parts" : [ [ "2014" ] ] }, "page" : "137-145", "publisher" : "Elsevier", "title" : "The Convention on Biological Diversity's Ecologically or Biologically Significant Areas: Origins, development, and current status", "type" : "article-journal", "volume" : "49" }, "uris" : [ "http://www.mendeley.com/documents/?uuid=beb5c535-9cca-43d4-90fd-952b8e540763", "http://www.mendeley.com/documents/?uuid=b6d3a9d4-85bf-4100-87ce-03d0005dd015" ] }, { "id" : "ITEM-2", "itemData" : { "DOI" : "10.1163/9789004373303", "ISBN" : "9789004373303", "author" : [ { "dropping-particle" : "", "family" : "Lyons", "given" : "Youna", "non-dropping-particle" : "", "parse-names" : false, "suffix" : "" } ], "container-title" : "High Seas Governance: Gaps and Challenges", "editor" : [ { "dropping-particle" : "", "family" : "Beckman", "given" : "Robert", "non-dropping-particle" : "", "parse-names" : false, "suffix" : "" }, { "dropping-particle" : "", "family" : "McCreath", "given" : "Millicent", "non-dropping-particle" : "", "parse-names" : false, "suffix" : "" }, { "dropping-particle" : "", "family" : "Roach", "given" : "Ashley", "non-dropping-particle" : "", "parse-names" : false, "suffix" : "" }, { "dropping-particle" : "", "family" : "Sun", "given" : "Zhen", "non-dropping-particle" : "", "parse-names" : false, "suffix" : "" } ], "id" : "ITEM-2", "issued" : { "date-parts" : [ [ "2019" ] ] }, "page" : "57-125", "publisher" : "Brill | Nijhoff", "publisher-place" : "Netherlands", "title" : "Identifying Sensitive Marine Areas in the High Seas : a Review of the Scientific Criteria Adopted under International Law", "type" : "chapter" }, "uris" : [ "http://www.mendeley.com/documents/?uuid=9e2100d7-bc18-4f84-9ec4-300518f2e1f1", "http://www.mendeley.com/documents/?uuid=ff73cc20-89d1-4c09-9a9a-a15efa56b887" ] } ], "mendeley" : { "formattedCitation" : "(Dunn et al., 2014; Lyons, 2019)", "plainTextFormattedCitation" : "(Dunn et al., 2014; Lyons, 2019)", "previouslyFormattedCitation" : "(Dunn et al., 2014; Lyons, 2019)" }, "properties" : {  }, "schema" : "https://github.com/citation-style-language/schema/raw/master/csl-citation.json" }</w:instrText>
      </w:r>
      <w:r w:rsidRPr="00FB2563">
        <w:rPr>
          <w:iCs/>
        </w:rPr>
        <w:fldChar w:fldCharType="separate"/>
      </w:r>
      <w:r w:rsidR="00126000" w:rsidRPr="00126000">
        <w:rPr>
          <w:iCs/>
          <w:noProof/>
        </w:rPr>
        <w:t>(Dunn et al., 2014; Lyons, 2019)</w:t>
      </w:r>
      <w:r w:rsidRPr="00FB2563">
        <w:rPr>
          <w:iCs/>
        </w:rPr>
        <w:fldChar w:fldCharType="end"/>
      </w:r>
      <w:r w:rsidR="00FB2563" w:rsidRPr="00FB2563">
        <w:rPr>
          <w:rStyle w:val="CommentReference"/>
          <w:sz w:val="22"/>
          <w:szCs w:val="22"/>
        </w:rPr>
        <w:t xml:space="preserve">; </w:t>
      </w:r>
      <w:r w:rsidR="007A741D">
        <w:rPr>
          <w:rStyle w:val="CommentReference"/>
          <w:sz w:val="22"/>
          <w:szCs w:val="22"/>
        </w:rPr>
        <w:t xml:space="preserve">a </w:t>
      </w:r>
      <w:r w:rsidR="005B5AC2">
        <w:rPr>
          <w:rStyle w:val="CommentReference"/>
          <w:sz w:val="22"/>
          <w:szCs w:val="22"/>
        </w:rPr>
        <w:t>critical</w:t>
      </w:r>
      <w:r w:rsidR="007A741D">
        <w:rPr>
          <w:rStyle w:val="CommentReference"/>
          <w:sz w:val="22"/>
          <w:szCs w:val="22"/>
        </w:rPr>
        <w:t xml:space="preserve"> requirement</w:t>
      </w:r>
      <w:r w:rsidR="00FB2563" w:rsidRPr="00FB2563">
        <w:rPr>
          <w:rStyle w:val="CommentReference"/>
          <w:sz w:val="22"/>
          <w:szCs w:val="22"/>
        </w:rPr>
        <w:t xml:space="preserve"> </w:t>
      </w:r>
      <w:r w:rsidR="00FB2563">
        <w:rPr>
          <w:rStyle w:val="CommentReference"/>
          <w:sz w:val="22"/>
          <w:szCs w:val="22"/>
        </w:rPr>
        <w:t>for</w:t>
      </w:r>
      <w:r w:rsidR="007A741D">
        <w:rPr>
          <w:rStyle w:val="CommentReference"/>
          <w:sz w:val="22"/>
          <w:szCs w:val="22"/>
        </w:rPr>
        <w:t xml:space="preserve"> both</w:t>
      </w:r>
      <w:r w:rsidR="00FB2563">
        <w:rPr>
          <w:rStyle w:val="CommentReference"/>
          <w:sz w:val="22"/>
          <w:szCs w:val="22"/>
        </w:rPr>
        <w:t xml:space="preserve"> </w:t>
      </w:r>
      <w:r w:rsidR="007340E2">
        <w:rPr>
          <w:rStyle w:val="CommentReference"/>
          <w:sz w:val="22"/>
          <w:szCs w:val="22"/>
        </w:rPr>
        <w:t>MPA delineation</w:t>
      </w:r>
      <w:r w:rsidR="007A741D">
        <w:rPr>
          <w:rStyle w:val="CommentReference"/>
          <w:sz w:val="22"/>
          <w:szCs w:val="22"/>
        </w:rPr>
        <w:t xml:space="preserve"> and assessment </w:t>
      </w:r>
      <w:r w:rsidR="00BF7744">
        <w:rPr>
          <w:rStyle w:val="CommentReference"/>
          <w:sz w:val="22"/>
          <w:szCs w:val="22"/>
        </w:rPr>
        <w:fldChar w:fldCharType="begin" w:fldLock="1"/>
      </w:r>
      <w:r w:rsidR="00195AA8">
        <w:rPr>
          <w:rStyle w:val="CommentReference"/>
          <w:sz w:val="22"/>
          <w:szCs w:val="22"/>
        </w:rPr>
        <w:instrText>ADDIN CSL_CITATION { "citationItems" : [ { "id" : "ITEM-1", "itemData" : { "abstract" : "Ehler, Charles, and Fanny Douvere. Marine Spatial Planning: a step-by-step approach toward ecosystem-based management. Intergovernmental Oceanographic Commission and Man and the Biosphere Programme. IOC Manual and Guides No. 53, ICAM Dossier No. 6. Paris: UNESCO. 2009 (English)", "author" : [ { "dropping-particle" : "", "family" : "Ehler", "given" : "Charles", "non-dropping-particle" : "", "parse-names" : false, "suffix" : "" }, { "dropping-particle" : "", "family" : "Douvere", "given" : "Fanny", "non-dropping-particle" : "", "parse-names" : false, "suffix" : "" } ], "id" : "ITEM-1", "issued" : { "date-parts" : [ [ "2009" ] ] }, "title" : "Marine spatial planning. A Step-by-Step Approach toward ecosystem-based management. Intergovernmental Oceanographic Commission and Man and the Biosphere Programme. IOC Manual and Guides No. 53, ICAM Dossier No. 6. Paris: UNESCO. 2009 (English)", "type" : "article-journal" }, "uris" : [ "http://www.mendeley.com/documents/?uuid=8830e396-5df7-455e-859d-882434b95879", "http://www.mendeley.com/documents/?uuid=6d2bc9b1-75fc-44f7-9db3-3098cd59ccc6" ] }, { "id" : "ITEM-2", "itemData" : { "DOI" : "10.1111/conl.12625", "ISSN" : "1755263X", "abstract" : "Systematic conservation planning and Key Biodiversity Areas (KBAs) are the two most widely used approaches for identifying important sites for biodiversity. However, there is limited advice for conservation policy makers and practitioners on when and how they should be combined. Here we provide such guidance, using insights from the recently developed Global Standard for the Identification of KBAs and the language of decision science to review and clarify their similarities and differences. We argue the two approaches are broadly similar, with both setting transparent environmental objectives and specifying actions. There is however greater contrast in the data used and actions involved, as the KBA approach uses biodiversity data alone and identifies sites for monitoring and vigilance actions at a minimum, whereas systematic conservation planning combines biodiversity and implementation-relevant data to guide management actions. This difference means there is much scope for combining approaches, so conservation planners should use KBA data in their analyses, setting context-specific targets for each KBA type, and planners and donors should use systematic conservation planning techniques when prioritizing between KBAs for management action. In doing so, they will benefit conservation policy, practice and research by building on the collaborations formed through the KBA Standard's development.", "author" : [ { "dropping-particle" : "", "family" : "Smith", "given" : "Robert J.", "non-dropping-particle" : "", "parse-names" : false, "suffix" : "" }, { "dropping-particle" : "", "family" : "Bennun", "given" : "Leon", "non-dropping-particle" : "", "parse-names" : false, "suffix" : "" }, { "dropping-particle" : "", "family" : "Brooks", "given" : "Thomas M.", "non-dropping-particle" : "", "parse-names" : false, "suffix" : "" }, { "dropping-particle" : "", "family" : "Butchart", "given" : "Stuart H.M.", "non-dropping-particle" : "", "parse-names" : false, "suffix" : "" }, { "dropping-particle" : "", "family" : "Cuttelod", "given" : "Annabelle", "non-dropping-particle" : "", "parse-names" : false, "suffix" : "" }, { "dropping-particle" : "", "family" : "Marco", "given" : "Moreno", "non-dropping-particle" : "Di", "parse-names" : false, "suffix" : "" }, { "dropping-particle" : "", "family" : "Ferrier", "given" : "Simon", "non-dropping-particle" : "", "parse-names" : false, "suffix" : "" }, { "dropping-particle" : "", "family" : "Fishpool", "given" : "Lincoln D.C.", "non-dropping-particle" : "", "parse-names" : false, "suffix" : "" }, { "dropping-particle" : "", "family" : "Joppa", "given" : "Lucas", "non-dropping-particle" : "", "parse-names" : false, "suffix" : "" }, { "dropping-particle" : "", "family" : "Juffe-Bignoli", "given" : "Diego", "non-dropping-particle" : "", "parse-names" : false, "suffix" : "" }, { "dropping-particle" : "", "family" : "Knight", "given" : "Andrew T.", "non-dropping-particle" : "", "parse-names" : false, "suffix" : "" }, { "dropping-particle" : "", "family" : "Lamoreux", "given" : "John F.", "non-dropping-particle" : "", "parse-names" : false, "suffix" : "" }, { "dropping-particle" : "", "family" : "Langhammer", "given" : "Penny", "non-dropping-particle" : "", "parse-names" : false, "suffix" : "" }, { "dropping-particle" : "", "family" : "Possingham", "given" : "Hugh P.", "non-dropping-particle" : "", "parse-names" : false, "suffix" : "" }, { "dropping-particle" : "", "family" : "Rondinini", "given" : "Carlo", "non-dropping-particle" : "", "parse-names" : false, "suffix" : "" }, { "dropping-particle" : "", "family" : "Visconti", "given" : "Piero", "non-dropping-particle" : "", "parse-names" : false, "suffix" : "" }, { "dropping-particle" : "", "family" : "Watson", "given" : "James E.M.", "non-dropping-particle" : "", "parse-names" : false, "suffix" : "" }, { "dropping-particle" : "", "family" : "Woodley", "given" : "Stephen", "non-dropping-particle" : "", "parse-names" : false, "suffix" : "" }, { "dropping-particle" : "", "family" : "Boitani", "given" : "Luigi", "non-dropping-particle" : "", "parse-names" : false, "suffix" : "" }, { "dropping-particle" : "", "family" : "Burgess", "given" : "Neil D.", "non-dropping-particle" : "", "parse-names" : false, "suffix" : "" }, { "dropping-particle" : "", "family" : "Silva", "given" : "Naamal", "non-dropping-particle" : "De", "parse-names" : false, "suffix" : "" }, { "dropping-particle" : "", "family" : "Dudley", "given" : "Nigel", "non-dropping-particle" : "", "parse-names" : false, "suffix" : "" }, { "dropping-particle" : "", "family" : "Fivaz", "given" : "Fabien", "non-dropping-particle" : "", "parse-names" : false, "suffix" : "" }, { "dropping-particle" : "", "family" : "Game", "given" : "Edward T.", "non-dropping-particle" : "", "parse-names" : false, "suffix" : "" }, { "dropping-particle" : "", "family" : "Groves", "given" : "Craig", "non-dropping-particle" : "", "parse-names" : false, "suffix" : "" }, { "dropping-particle" : "", "family" : "L\u00f6tter", "given" : "Mervyn", "non-dropping-particle" : "", "parse-names" : false, "suffix" : "" }, { "dropping-particle" : "", "family" : "McGowan", "given" : "Jennifer", "non-dropping-particle" : "", "parse-names" : false, "suffix" : "" }, { "dropping-particle" : "", "family" : "Plumptre", "given" : "Andrew J.", "non-dropping-particle" : "", "parse-names" : false, "suffix" : "" }, { "dropping-particle" : "", "family" : "Rebelo", "given" : "Anthony G.", "non-dropping-particle" : "", "parse-names" : false, "suffix" : "" }, { "dropping-particle" : "", "family" : "Rodriguez", "given" : "Jon Paul", "non-dropping-particle" : "", "parse-names" : false, "suffix" : "" }, { "dropping-particle" : "", "family" : "Scaramuzza", "given" : "Carlos A.de M.", "non-dropping-particle" : "", "parse-names" : false, "suffix" : "" } ], "container-title" : "Conservation Letters", "id" : "ITEM-2", "issue" : "1", "issued" : { "date-parts" : [ [ "2019" ] ] }, "page" : ":e12625", "title" : "Synergies between the key biodiversity area and systematic conservation planning approaches", "type" : "article-journal", "volume" : "12" }, "uris" : [ "http://www.mendeley.com/documents/?uuid=b78fe7b9-03f5-447f-a004-df0910c42304" ] } ], "mendeley" : { "formattedCitation" : "(Ehler &amp; Douvere, 2009; Smith et al., 2019)", "plainTextFormattedCitation" : "(Ehler &amp; Douvere, 2009; Smith et al., 2019)", "previouslyFormattedCitation" : "(Ehler &amp; Douvere, 2009; Smith et al., 2019)" }, "properties" : {  }, "schema" : "https://github.com/citation-style-language/schema/raw/master/csl-citation.json" }</w:instrText>
      </w:r>
      <w:r w:rsidR="00BF7744">
        <w:rPr>
          <w:rStyle w:val="CommentReference"/>
          <w:sz w:val="22"/>
          <w:szCs w:val="22"/>
        </w:rPr>
        <w:fldChar w:fldCharType="separate"/>
      </w:r>
      <w:r w:rsidR="00126000" w:rsidRPr="00126000">
        <w:rPr>
          <w:rStyle w:val="CommentReference"/>
          <w:noProof/>
          <w:sz w:val="22"/>
          <w:szCs w:val="22"/>
        </w:rPr>
        <w:t>(Ehler &amp; Douvere, 2009; Smith et al., 2019)</w:t>
      </w:r>
      <w:r w:rsidR="00BF7744">
        <w:rPr>
          <w:rStyle w:val="CommentReference"/>
          <w:sz w:val="22"/>
          <w:szCs w:val="22"/>
        </w:rPr>
        <w:fldChar w:fldCharType="end"/>
      </w:r>
      <w:r w:rsidRPr="00FB2563">
        <w:rPr>
          <w:iCs/>
        </w:rPr>
        <w:t>. Of thes</w:t>
      </w:r>
      <w:r>
        <w:rPr>
          <w:iCs/>
        </w:rPr>
        <w:t xml:space="preserve">e, the overarching framework for identifying critical sites for species is that of Key Biodiversity Areas (KBAs) </w:t>
      </w:r>
      <w:r>
        <w:rPr>
          <w:iCs/>
        </w:rPr>
        <w:fldChar w:fldCharType="begin" w:fldLock="1"/>
      </w:r>
      <w:r w:rsidR="00195AA8">
        <w:rPr>
          <w:iCs/>
        </w:rPr>
        <w:instrText>ADDIN CSL_CITATION { "citationItems" : [ { "id" : "ITEM-1", "itemData" : { "author" : [ { "dropping-particle" : "", "family" : "Eken", "given" : "G\u00fcven", "non-dropping-particle" : "", "parse-names" : false, "suffix" : "" }, { "dropping-particle" : "", "family" : "Bennun", "given" : "Leon", "non-dropping-particle" : "", "parse-names" : false, "suffix" : "" }, { "dropping-particle" : "", "family" : "Brooks", "given" : "Thomas M", "non-dropping-particle" : "", "parse-names" : false, "suffix" : "" }, { "dropping-particle" : "", "family" : "Darwall", "given" : "Will", "non-dropping-particle" : "", "parse-names" : false, "suffix" : "" }, { "dropping-particle" : "", "family" : "Fishpool", "given" : "Lincoln D C", "non-dropping-particle" : "", "parse-names" : false, "suffix" : "" }, { "dropping-particle" : "", "family" : "Foster", "given" : "Matt", "non-dropping-particle" : "", "parse-names" : false, "suffix" : "" }, { "dropping-particle" : "", "family" : "Knox", "given" : "David", "non-dropping-particle" : "", "parse-names" : false, "suffix" : "" }, { "dropping-particle" : "", "family" : "Langhammer", "given" : "Penny", "non-dropping-particle" : "", "parse-names" : false, "suffix" : "" }, { "dropping-particle" : "", "family" : "Matiku", "given" : "Paul", "non-dropping-particle" : "", "parse-names" : false, "suffix" : "" }, { "dropping-particle" : "", "family" : "Radford", "given" : "Elizabeth", "non-dropping-particle" : "", "parse-names" : false, "suffix" : "" }, { "dropping-particle" : "", "family" : "Salaman", "given" : "Paul", "non-dropping-particle" : "", "parse-names" : false, "suffix" : "" }, { "dropping-particle" : "", "family" : "Sechrest", "given" : "W E S", "non-dropping-particle" : "", "parse-names" : false, "suffix" : "" }, { "dropping-particle" : "", "family" : "Smith", "given" : "Michael L", "non-dropping-particle" : "", "parse-names" : false, "suffix" : "" }, { "dropping-particle" : "", "family" : "Spector", "given" : "Sacha", "non-dropping-particle" : "", "parse-names" : false, "suffix" : "" }, { "dropping-particle" : "", "family" : "Tordoff", "given" : "Andrew", "non-dropping-particle" : "", "parse-names" : false, "suffix" : "" } ], "container-title" : "BioScience", "id" : "ITEM-1", "issue" : "12", "issued" : { "date-parts" : [ [ "2004" ] ] }, "page" : "1110-1118", "title" : "Key Biodiversity Areas as Site Conservation Targets", "type" : "article-journal", "volume" : "54" }, "uris" : [ "http://www.mendeley.com/documents/?uuid=47e0f1e1-16a8-4e8b-afe7-7f85177ea27b", "http://www.mendeley.com/documents/?uuid=f45e22e7-11a6-4069-9770-0b0e8b5a3786" ] } ], "mendeley" : { "formattedCitation" : "(Eken et al., 2004)", "plainTextFormattedCitation" : "(Eken et al., 2004)", "previouslyFormattedCitation" : "(Eken et al., 2004)" }, "properties" : {  }, "schema" : "https://github.com/citation-style-language/schema/raw/master/csl-citation.json" }</w:instrText>
      </w:r>
      <w:r>
        <w:rPr>
          <w:iCs/>
        </w:rPr>
        <w:fldChar w:fldCharType="separate"/>
      </w:r>
      <w:r w:rsidR="00126000" w:rsidRPr="00126000">
        <w:rPr>
          <w:iCs/>
          <w:noProof/>
        </w:rPr>
        <w:t>(Eken et al., 2004)</w:t>
      </w:r>
      <w:r>
        <w:rPr>
          <w:iCs/>
        </w:rPr>
        <w:fldChar w:fldCharType="end"/>
      </w:r>
      <w:r>
        <w:rPr>
          <w:iCs/>
        </w:rPr>
        <w:t>. KBAs are sites important for the global persistence of biodiversity, identified as containing a significant proportion of a species’ global population or ecosystem extent; the criteria include thresholds for threatened and geographically restricted species or ecosystems, and congregations of species during key life stages</w:t>
      </w:r>
      <w:r w:rsidR="00555D2B">
        <w:rPr>
          <w:iCs/>
        </w:rPr>
        <w:t xml:space="preserve"> </w:t>
      </w:r>
      <w:r w:rsidR="00555D2B">
        <w:rPr>
          <w:iCs/>
        </w:rPr>
        <w:fldChar w:fldCharType="begin" w:fldLock="1"/>
      </w:r>
      <w:r w:rsidR="00195AA8">
        <w:rPr>
          <w:iCs/>
        </w:rPr>
        <w:instrText>ADDIN CSL_CITATION { "citationItems" : [ { "id" : "ITEM-1", "itemData" : { "ISBN" : "9782831718354", "author" : [ { "dropping-particle" : "", "family" : "IUCN", "given" : "", "non-dropping-particle" : "", "parse-names" : false, "suffix" : "" } ], "id" : "ITEM-1", "issued" : { "date-parts" : [ [ "2016" ] ] }, "publisher-place" : "Gland, Switzerland", "title" : "A Global Standard for the Identification of Key Biodiversity Areas, Version 1.0.", "type" : "book" }, "uris" : [ "http://www.mendeley.com/documents/?uuid=7aa61310-4d2d-49a9-bfa9-5f48d70d25bf", "http://www.mendeley.com/documents/?uuid=7dbe1c9b-27ac-4452-be36-bffa9b7d4960" ] } ], "mendeley" : { "formattedCitation" : "(IUCN, 2016)", "plainTextFormattedCitation" : "(IUCN, 2016)", "previouslyFormattedCitation" : "(IUCN, 2016)" }, "properties" : {  }, "schema" : "https://github.com/citation-style-language/schema/raw/master/csl-citation.json" }</w:instrText>
      </w:r>
      <w:r w:rsidR="00555D2B">
        <w:rPr>
          <w:iCs/>
        </w:rPr>
        <w:fldChar w:fldCharType="separate"/>
      </w:r>
      <w:r w:rsidR="00126000" w:rsidRPr="00126000">
        <w:rPr>
          <w:iCs/>
          <w:noProof/>
        </w:rPr>
        <w:t>(IUCN, 2016)</w:t>
      </w:r>
      <w:r w:rsidR="00555D2B">
        <w:rPr>
          <w:iCs/>
        </w:rPr>
        <w:fldChar w:fldCharType="end"/>
      </w:r>
      <w:r w:rsidR="00555D2B">
        <w:rPr>
          <w:rStyle w:val="CommentReference"/>
        </w:rPr>
        <w:t xml:space="preserve">. </w:t>
      </w:r>
      <w:r>
        <w:rPr>
          <w:iCs/>
        </w:rPr>
        <w:t xml:space="preserve">These global criteria are applicable to all macro-organisms, and KBA identification follows a standardized and quantitative set of guidelines </w:t>
      </w:r>
      <w:r w:rsidR="00F04CAD">
        <w:rPr>
          <w:iCs/>
        </w:rPr>
        <w:t>that</w:t>
      </w:r>
      <w:r>
        <w:rPr>
          <w:iCs/>
        </w:rPr>
        <w:t xml:space="preserve"> have recently been released </w:t>
      </w:r>
      <w:r>
        <w:fldChar w:fldCharType="begin" w:fldLock="1"/>
      </w:r>
      <w:r w:rsidR="00195AA8">
        <w:rPr>
          <w:iCs/>
        </w:rPr>
        <w:instrText>ADDIN CSL_CITATION { "citationItems" : [ { "id" : "ITEM-1", "itemData" : { "author" : [ { "dropping-particle" : "", "family" : "KBA Standards and Appeals Committee", "given" : "", "non-dropping-particle" : "", "parse-names" : false, "suffix" : "" } ], "id" : "ITEM-1", "issued" : { "date-parts" : [ [ "2019" ] ] }, "title" : "Guidelines for using a Global Standard for the Identification of Key Biodiversity Areas. Version 1.0. Prepared by the KBA Standards and Appeals Committee of the IUCN Species Survival Commission and IUCN World Commission on Protected Areas. Gland, Switzerl", "type" : "article-journal" }, "uris" : [ "http://www.mendeley.com/documents/?uuid=d2a68418-8d5e-47ce-ab1a-e20b78546704", "http://www.mendeley.com/documents/?uuid=288b708e-3908-4000-bd58-2b2b823485e1" ] }, { "id" : "ITEM-2", "itemData" : { "ISBN" : "9782831718354", "author" : [ { "dropping-particle" : "", "family" : "IUCN", "given" : "", "non-dropping-particle" : "", "parse-names" : false, "suffix" : "" } ], "id" : "ITEM-2", "issued" : { "date-parts" : [ [ "2016" ] ] }, "publisher-place" : "Gland, Switzerland", "title" : "A Global Standard for the Identification of Key Biodiversity Areas, Version 1.0.", "type" : "book" }, "uris" : [ "http://www.mendeley.com/documents/?uuid=7dbe1c9b-27ac-4452-be36-bffa9b7d4960", "http://www.mendeley.com/documents/?uuid=7aa61310-4d2d-49a9-bfa9-5f48d70d25bf" ] } ], "mendeley" : { "formattedCitation" : "(IUCN, 2016; KBA Standards and Appeals Committee, 2019)", "plainTextFormattedCitation" : "(IUCN, 2016; KBA Standards and Appeals Committee, 2019)", "previouslyFormattedCitation" : "(IUCN, 2016; KBA Standards and Appeals Committee, 2019)" }, "properties" : {  }, "schema" : "https://github.com/citation-style-language/schema/raw/master/csl-citation.json" }</w:instrText>
      </w:r>
      <w:r>
        <w:fldChar w:fldCharType="separate"/>
      </w:r>
      <w:r w:rsidR="00126000" w:rsidRPr="00126000">
        <w:rPr>
          <w:iCs/>
          <w:noProof/>
        </w:rPr>
        <w:t>(IUCN, 2016; KBA Standards and Appeals Committee, 2019)</w:t>
      </w:r>
      <w:r>
        <w:fldChar w:fldCharType="end"/>
      </w:r>
      <w:r>
        <w:rPr>
          <w:iCs/>
        </w:rPr>
        <w:t xml:space="preserve">. </w:t>
      </w:r>
      <w:r w:rsidR="00F04CAD">
        <w:rPr>
          <w:iCs/>
        </w:rPr>
        <w:t>Coupled with these recently established guidelines, t</w:t>
      </w:r>
      <w:r>
        <w:rPr>
          <w:iCs/>
        </w:rPr>
        <w:t xml:space="preserve">he proliferation and enhanced </w:t>
      </w:r>
      <w:r>
        <w:rPr>
          <w:iCs/>
        </w:rPr>
        <w:lastRenderedPageBreak/>
        <w:t xml:space="preserve">resolution of animal tracking data has now made it feasible to identify marine biodiversity hotspots, along with associated abundance estimates of species within these hotspots </w:t>
      </w:r>
      <w:r>
        <w:rPr>
          <w:iCs/>
        </w:rPr>
        <w:fldChar w:fldCharType="begin" w:fldLock="1"/>
      </w:r>
      <w:r w:rsidR="00195AA8">
        <w:rPr>
          <w:iCs/>
        </w:rPr>
        <w:instrText>ADDIN CSL_CITATION { "citationItems" : [ { "id" : "ITEM-1", "itemData" : { "DOI" : "10.1111/ddi.12411", "ISBN" : "13669516", "ISSN" : "14724642", "abstract" : "ABSTRACT Aim Enhanced management of areas important for marine biodiversity are now obligations under a range of international treaties. Tracking data provide unparalleled information on the distribution of marine taxa, but there are no agreed guidelines that ensure these data are used consistently to identify biodi- versity hotspots and inform marine management decisions. Here, we develop methods to standardize the analysis of tracking data to identify sites of conser- vation importance at global and regional scales. Location We applied these methods to the largest available compilation of sea- bird tracking data, covering 60 species, collected from 55 deployment locations ranging from the poles to the tropics. Methods Key developments include a test for pseudo-replication to assess the independence of two groups of tracking data, an objective approach to define spe- cies-specific smoothing parameters (h values) for kernel density estimation based on area-restricted search behaviour, and an analysis to determine whether sites identified fromtracked individuals are also representative for the wider population. Results This analysis delineated priority sites for marine conservation for 52 of the 60 species assessed. We compiled 252 data groupings and defined 1052 polygons, between them meeting Important Bird and Biodiversity Area criteria over 1500 times. Other results showed 13% of data groups were inadequate for site definition and 10% showed some level of pseudo-replication. Between 25 and 50 trips were needed within a data group for data to be considered at least partially representative of the respective population. Main conclusions Our approach provides a consistent framework for using animal tracking data to delineate areas of global conservation importance, allowing greater integration into marine spatial planning and policy. The approaches we describe are exemplified for pelagic seabirds, but are applicable to a range of taxonomic groups. Covering 4.3% of the oceans, the sites identi- fied would benefit from enhanced protection to better safeguard the threatened species populations they contain.", "author" : [ { "dropping-particle" : "", "family" : "Lascelles", "given" : "B. G.", "non-dropping-particle" : "", "parse-names" : false, "suffix" : "" }, { "dropping-particle" : "", "family" : "Taylor", "given" : "P. R.", "non-dropping-particle" : "", "parse-names" : false, "suffix" : "" }, { "dropping-particle" : "", "family" : "Miller", "given" : "M. G.R.", "non-dropping-particle" : "", "parse-names" : false, "suffix" : "" }, { "dropping-particle" : "", "family" : "Dias", "given" : "M. P.", "non-dropping-particle" : "", "parse-names" : false, "suffix" : "" }, { "dropping-particle" : "", "family" : "Oppel", "given" : "S.", "non-dropping-particle" : "", "parse-names" : false, "suffix" : "" }, { "dropping-particle" : "", "family" : "Torres", "given" : "L.", "non-dropping-particle" : "", "parse-names" : false, "suffix" : "" }, { "dropping-particle" : "", "family" : "Hedd", "given" : "A.", "non-dropping-particle" : "", "parse-names" : false, "suffix" : "" }, { "dropping-particle" : "", "family" : "Corre", "given" : "M.", "non-dropping-particle" : "Le", "parse-names" : false, "suffix" : "" }, { "dropping-particle" : "", "family" : "Phillips", "given" : "R. A.", "non-dropping-particle" : "", "parse-names" : false, "suffix" : "" }, { "dropping-particle" : "", "family" : "Shaffer", "given" : "S. A.", "non-dropping-particle" : "", "parse-names" : false, "suffix" : "" }, { "dropping-particle" : "", "family" : "Weimerskirch", "given" : "H.", "non-dropping-particle" : "", "parse-names" : false, "suffix" : "" }, { "dropping-particle" : "", "family" : "Small", "given" : "C.", "non-dropping-particle" : "", "parse-names" : false, "suffix" : "" } ], "container-title" : "Diversity and Distributions", "id" : "ITEM-1", "issue" : "4", "issued" : { "date-parts" : [ [ "2016" ] ] }, "page" : "422-431", "title" : "Applying global criteria to tracking data to define important areas for marine conservation", "type" : "article-journal", "volume" : "22" }, "uris" : [ "http://www.mendeley.com/documents/?uuid=45b8f51d-c461-451a-9e47-7e49ac37dcba", "http://www.mendeley.com/documents/?uuid=d7b8767e-771a-4b74-963b-59a04395d909" ] }, { "id" : "ITEM-2", "itemData" : { "DOI" : "10.1002/ece3.4519", "ISSN" : "20457758", "author" : [ { "dropping-particle" : "", "family" : "Dias", "given" : "Maria P", "non-dropping-particle" : "", "parse-names" : false, "suffix" : "" }, { "dropping-particle" : "", "family" : "Carneiro", "given" : "Ana Paula B", "non-dropping-particle" : "", "parse-names" : false, "suffix" : "" }, { "dropping-particle" : "", "family" : "Warwick-evans", "given" : "Victoria", "non-dropping-particle" : "", "parse-names" : false, "suffix" : "" }, { "dropping-particle" : "", "family" : "Harris", "given" : "C", "non-dropping-particle" : "", "parse-names" : false, "suffix" : "" }, { "dropping-particle" : "", "family" : "Lorenz", "given" : "K", "non-dropping-particle" : "", "parse-names" : false, "suffix" : "" }, { "dropping-particle" : "", "family" : "Lascelles", "given" : "Ben", "non-dropping-particle" : "", "parse-names" : false, "suffix" : "" }, { "dropping-particle" : "", "family" : "Clewlow", "given" : "H", "non-dropping-particle" : "", "parse-names" : false, "suffix" : "" }, { "dropping-particle" : "", "family" : "Dunn", "given" : "Michael J", "non-dropping-particle" : "", "parse-names" : false, "suffix" : "" }, { "dropping-particle" : "", "family" : "Hinke", "given" : "Jefferson T", "non-dropping-particle" : "", "parse-names" : false, "suffix" : "" }, { "dropping-particle" : "", "family" : "Kim", "given" : "Jeong-Hoon", "non-dropping-particle" : "", "parse-names" : false, "suffix" : "" }, { "dropping-particle" : "", "family" : "Kokubun", "given" : "Nobuo", "non-dropping-particle" : "", "parse-names" : false, "suffix" : "" }, { "dropping-particle" : "", "family" : "Manco", "given" : "F", "non-dropping-particle" : "", "parse-names" : false, "suffix" : "" }, { "dropping-particle" : "", "family" : "Ratcliffe", "given" : "Norman", "non-dropping-particle" : "", "parse-names" : false, "suffix" : "" }, { "dropping-particle" : "", "family" : "Santos", "given" : "Mercedes", "non-dropping-particle" : "", "parse-names" : false, "suffix" : "" }, { "dropping-particle" : "", "family" : "Takahashi", "given" : "Akinori", "non-dropping-particle" : "", "parse-names" : false, "suffix" : "" }, { "dropping-particle" : "", "family" : "Trivelpiece", "given" : "Wayne", "non-dropping-particle" : "", "parse-names" : false, "suffix" : "" }, { "dropping-particle" : "", "family" : "Trathan", "given" : "Phil N", "non-dropping-particle" : "", "parse-names" : false, "suffix" : "" } ], "container-title" : "Ecology and Evolution", "id" : "ITEM-2", "issued" : { "date-parts" : [ [ "2018" ] ] }, "page" : "10520-10529", "title" : "Identification of marine Important Bird and Biodiversity Areas for penguins around the South Shetland Islands and South Orkeny Islands", "type" : "article-journal", "volume" : "8" }, "uris" : [ "http://www.mendeley.com/documents/?uuid=1dcc6a68-cd74-4ca3-8fd9-e2af3c993720", "http://www.mendeley.com/documents/?uuid=94524c60-bd3c-4340-9821-d63b3f3272bd" ] }, { "id" : "ITEM-3", "itemData" : { "DOI" : "10.1016/j.biocon.2016.02.007", "ISBN" : "0006-3207", "ISSN" : "00063207", "abstract" : "Recent international initiatives have promoted a number of different approaches to identify marine Important Bird and biodiversity Areas (IBAs), which are important areas for foraging, migrating or over-wintering seabirds. The 'Foraging Radius Approach' is one of these and uses known foraging range and habitat preferences to predict the size and location of foraging areas around breeding colonies. Here we assess the performance of the Foraging Radius Approach using GPS tracking data from six seabird species with a variety of foraging modes. For each species we compared the population home-range areas of our six study species with the home-range areas defined using the Foraging Radius Approach. We also assessed whether basic information on depth preferences from tracking data could improve these home-range area estimates. Foraging Radius Approach home-range areas based on maximum foraging radii encompassed the entire population home-range of five out of six of our study species but overestimated the size of the population home-range area in every case. The mean maximum foraging radius overestimated the population home-range areas by a factor of 4-14 for five of the six species whilst the mean foraging radius overestimated the population home-range area for half of the species and underestimated for the rest. In the absence of other data, the Foraging Radius Approach appears to provide a reasonable basis for preliminary marine IBA identification. We suggest that using the mean value of all previously reported maximum foraging radii, informed by basic depth preferences provides the most appropriate prediction, balancing the needs of seabirds with efficient use of marine space.", "author" : [ { "dropping-particle" : "", "family" : "Soanes", "given" : "L. M.", "non-dropping-particle" : "", "parse-names" : false, "suffix" : "" }, { "dropping-particle" : "", "family" : "Bright", "given" : "J. A.", "non-dropping-particle" : "", "parse-names" : false, "suffix" : "" }, { "dropping-particle" : "", "family" : "Angel", "given" : "L. P.", "non-dropping-particle" : "", "parse-names" : false, "suffix" : "" }, { "dropping-particle" : "", "family" : "Arnould", "given" : "J. P.Y.", "non-dropping-particle" : "", "parse-names" : false, "suffix" : "" }, { "dropping-particle" : "", "family" : "Bolton", "given" : "M.", "non-dropping-particle" : "", "parse-names" : false, "suffix" : "" }, { "dropping-particle" : "", "family" : "Berlincourt", "given" : "M.", "non-dropping-particle" : "", "parse-names" :</w:instrText>
      </w:r>
      <w:r w:rsidR="00195AA8" w:rsidRPr="002939C6">
        <w:rPr>
          <w:iCs/>
          <w:lang w:val="fr-FR"/>
        </w:rPr>
        <w:instrText xml:space="preserve"> false, "suffix" : "" }, { "dropping-particle" : "", "family" : "Lascelles", "given" : "B.", "non-dropping-particle" : "", "parse-names" : false, "suffix" : "" }, { "dropping-particle" : "", "family" : "Owen", "given" : "E.", "non-dropping-particle" : "", "parse-names" : false, "suffix" : "" }, { "dropping-particle" : "", "family" : "Simon-Bouhet", "given" : "B.", "non-dropping-particle" : "", "parse-names" : false, "suffix" : "" }, { "dropping-particle" : "", "family" : "Green", "given" : "J. A.", "non-dropping-particle" : "", "parse-names" : false, "suffix" : "" } ], "container-title" : "Biological Conservation", "id" : "ITEM-3", "issued" : { "date-parts" : [ [ "2016" ] ] }, "page" : "69-79", "publisher" : "The Authors", "title" : "Defining marine important bird areas: Testing the foraging radius approach", "type" : "article-journal", "volume" : "196" }, "uris" : [ "http://www.mendeley.com/documents/?uuid=b604466d-270d-4b1f-b626-f9d5a5207aad", "http://www.mendeley.com/documents/?uuid=da791031-aa59-4046-9f02-caee0e81f5a8" ] } ], "mendeley" : { "formattedCitation" : "(Dias, Carneiro, et al., 2018; Lascelles et al., 2016; Soanes et al., 2016)", "plainTextFormattedCitation" : "(Dias, Carneiro, et al., 2018; Lascelles et al., 2016; Soanes et al., 2016)", "previouslyFormattedCitation" : "(Dias, Carneiro, et al., 2018; Lascelles et al., 2016; Soanes et al., 2016)" }, "properties" : {  }, "schema" : "https://github.com/citation-style-language/schema/raw/master/csl-citation.json" }</w:instrText>
      </w:r>
      <w:r>
        <w:rPr>
          <w:iCs/>
        </w:rPr>
        <w:fldChar w:fldCharType="separate"/>
      </w:r>
      <w:r w:rsidR="00126000" w:rsidRPr="00126000">
        <w:rPr>
          <w:iCs/>
          <w:noProof/>
          <w:lang w:val="fr-FR"/>
        </w:rPr>
        <w:t>(Dias, Carneiro, et al., 2018; Lascelles et al., 2016; Soanes et al., 2016)</w:t>
      </w:r>
      <w:r>
        <w:rPr>
          <w:iCs/>
        </w:rPr>
        <w:fldChar w:fldCharType="end"/>
      </w:r>
      <w:r w:rsidRPr="00C6384D">
        <w:rPr>
          <w:iCs/>
          <w:lang w:val="fr-FR"/>
        </w:rPr>
        <w:t xml:space="preserve">. </w:t>
      </w:r>
      <w:r w:rsidR="00F04CAD" w:rsidRPr="0069774E">
        <w:rPr>
          <w:iCs/>
          <w:lang w:val="en-GB"/>
        </w:rPr>
        <w:t>Th</w:t>
      </w:r>
      <w:r w:rsidR="00F04CAD">
        <w:rPr>
          <w:iCs/>
          <w:lang w:val="en-GB"/>
        </w:rPr>
        <w:t>e marine conservation community</w:t>
      </w:r>
      <w:r w:rsidR="00F04CAD" w:rsidRPr="0069774E">
        <w:rPr>
          <w:iCs/>
          <w:lang w:val="en-GB"/>
        </w:rPr>
        <w:t xml:space="preserve"> can </w:t>
      </w:r>
      <w:r w:rsidR="00F04CAD">
        <w:rPr>
          <w:iCs/>
          <w:lang w:val="en-GB"/>
        </w:rPr>
        <w:t xml:space="preserve">therefore apply these standardized protocols to </w:t>
      </w:r>
      <w:r w:rsidR="00F04CAD" w:rsidRPr="0069774E">
        <w:rPr>
          <w:iCs/>
          <w:lang w:val="en-GB"/>
        </w:rPr>
        <w:t xml:space="preserve">identify sites of high biodiversity value </w:t>
      </w:r>
      <w:r w:rsidR="00F04CAD">
        <w:rPr>
          <w:iCs/>
          <w:lang w:val="en-GB"/>
        </w:rPr>
        <w:t>and assess whether they are sufficiently represented within the boundaries of established MPAs or whether further areas need to be afforded legislative protection</w:t>
      </w:r>
      <w:r w:rsidR="00972872">
        <w:rPr>
          <w:iCs/>
          <w:lang w:val="en-GB"/>
        </w:rPr>
        <w:t>.</w:t>
      </w:r>
    </w:p>
    <w:p w14:paraId="0E486B3E" w14:textId="009C1095" w:rsidR="00B207A3" w:rsidRPr="0038132C" w:rsidRDefault="000A6C3A" w:rsidP="00072F48">
      <w:r w:rsidRPr="0038132C">
        <w:rPr>
          <w:iCs/>
        </w:rPr>
        <w:t xml:space="preserve">We applied the new KBA criteria </w:t>
      </w:r>
      <w:r w:rsidRPr="0038132C">
        <w:rPr>
          <w:rFonts w:eastAsia="Times New Roman"/>
          <w:color w:val="000000"/>
          <w:lang w:eastAsia="en-GB"/>
        </w:rPr>
        <w:fldChar w:fldCharType="begin" w:fldLock="1"/>
      </w:r>
      <w:r w:rsidR="00195AA8">
        <w:rPr>
          <w:rFonts w:eastAsia="Times New Roman"/>
          <w:color w:val="000000"/>
          <w:lang w:eastAsia="en-GB"/>
        </w:rPr>
        <w:instrText>ADDIN CSL_CITATION { "citationItems" : [ { "id" : "ITEM-1", "itemData" : { "author" : [ { "dropping-particle" : "", "family" : "KBA Standards and Appeals Committee", "given" : "", "non-dropping-particle" : "", "parse-names" : false, "suffix" : "" } ], "id" : "ITEM-1", "issued" : { "date-parts" : [ [ "2019" ] ] }, "title" : "Guidelines for using a Global Standard for the Identification of Key Biodiversity Areas. Version 1.0. Prepared by the KBA Standards and Appeals Committee of the IUCN Species Survival Commission and IUCN World Commission on Protected Areas. Gland, Switzerl", "type" : "article-journal" }, "uris" : [ "http://www.mendeley.com/documents/?uuid=288b708e-3908-4000-bd58-2b2b823485e1", "http://www.mendeley.com/documents/?uuid=d2a68418-8d5e-47ce-ab1a-e20b78546704" ] } ], "mendeley" : { "formattedCitation" : "(KBA Standards and Appeals Committee, 2019)", "plainTextFormattedCitation" : "(KBA Standards and Appeals Committee, 2019)", "previouslyFormattedCitation" : "(KBA Standards and Appeals Committee, 2019)" }, "properties" : {  }, "schema" : "https://github.com/citation-style-language/schema/raw/master/csl-citation.json" }</w:instrText>
      </w:r>
      <w:r w:rsidRPr="0038132C">
        <w:rPr>
          <w:rFonts w:eastAsia="Times New Roman"/>
          <w:color w:val="000000"/>
          <w:lang w:eastAsia="en-GB"/>
        </w:rPr>
        <w:fldChar w:fldCharType="separate"/>
      </w:r>
      <w:r w:rsidR="00126000" w:rsidRPr="00126000">
        <w:rPr>
          <w:rFonts w:eastAsia="Times New Roman"/>
          <w:noProof/>
          <w:color w:val="000000"/>
          <w:lang w:eastAsia="en-GB"/>
        </w:rPr>
        <w:t>(KBA Standards and Appeals Committee, 2019)</w:t>
      </w:r>
      <w:r w:rsidRPr="0038132C">
        <w:rPr>
          <w:rFonts w:eastAsia="Times New Roman"/>
          <w:color w:val="000000"/>
          <w:lang w:eastAsia="en-GB"/>
        </w:rPr>
        <w:fldChar w:fldCharType="end"/>
      </w:r>
      <w:r w:rsidR="00B207A3" w:rsidRPr="0038132C">
        <w:rPr>
          <w:rFonts w:eastAsia="Times New Roman"/>
          <w:color w:val="000000"/>
          <w:lang w:eastAsia="en-GB"/>
        </w:rPr>
        <w:t xml:space="preserve"> to </w:t>
      </w:r>
      <w:r w:rsidR="00B207A3" w:rsidRPr="0038132C">
        <w:t xml:space="preserve">identify </w:t>
      </w:r>
      <w:r w:rsidR="00072F48">
        <w:t xml:space="preserve">sites </w:t>
      </w:r>
      <w:r w:rsidR="00B207A3" w:rsidRPr="0038132C">
        <w:t>critical</w:t>
      </w:r>
      <w:r w:rsidR="00072F48">
        <w:t xml:space="preserve"> to the persistence of</w:t>
      </w:r>
      <w:r w:rsidR="00B207A3" w:rsidRPr="0038132C">
        <w:t xml:space="preserve"> biodiversity</w:t>
      </w:r>
      <w:r w:rsidRPr="0038132C">
        <w:rPr>
          <w:rFonts w:eastAsia="Times New Roman"/>
          <w:color w:val="000000"/>
          <w:lang w:eastAsia="en-GB"/>
        </w:rPr>
        <w:t xml:space="preserve"> for a suite of marine top predators</w:t>
      </w:r>
      <w:r w:rsidR="00B207A3" w:rsidRPr="0038132C">
        <w:rPr>
          <w:rFonts w:eastAsia="Times New Roman"/>
          <w:color w:val="000000"/>
          <w:lang w:eastAsia="en-GB"/>
        </w:rPr>
        <w:t xml:space="preserve"> </w:t>
      </w:r>
      <w:r w:rsidR="00B207A3" w:rsidRPr="0038132C">
        <w:rPr>
          <w:iCs/>
          <w:color w:val="000000" w:themeColor="text1"/>
        </w:rPr>
        <w:t>(</w:t>
      </w:r>
      <w:r w:rsidR="007C6E7F">
        <w:t>12 seabird species, 2 mammal species</w:t>
      </w:r>
      <w:r w:rsidR="00B207A3" w:rsidRPr="0038132C">
        <w:rPr>
          <w:iCs/>
          <w:color w:val="000000" w:themeColor="text1"/>
        </w:rPr>
        <w:t>)</w:t>
      </w:r>
      <w:r w:rsidRPr="0038132C">
        <w:rPr>
          <w:rFonts w:eastAsia="Times New Roman"/>
          <w:color w:val="000000"/>
          <w:lang w:eastAsia="en-GB"/>
        </w:rPr>
        <w:t xml:space="preserve"> which breed </w:t>
      </w:r>
      <w:r w:rsidR="00B207A3" w:rsidRPr="0038132C">
        <w:rPr>
          <w:rFonts w:eastAsia="Times New Roman"/>
          <w:color w:val="000000"/>
          <w:lang w:eastAsia="en-GB"/>
        </w:rPr>
        <w:t>at South Georgia</w:t>
      </w:r>
      <w:r w:rsidR="002916E8">
        <w:rPr>
          <w:rFonts w:eastAsia="Times New Roman"/>
          <w:color w:val="000000"/>
          <w:lang w:eastAsia="en-GB"/>
        </w:rPr>
        <w:t xml:space="preserve"> and the South Sandwich Islands (SGSSI)</w:t>
      </w:r>
      <w:r w:rsidR="00B207A3" w:rsidRPr="0038132C">
        <w:rPr>
          <w:rFonts w:eastAsia="Times New Roman"/>
          <w:color w:val="000000"/>
          <w:lang w:eastAsia="en-GB"/>
        </w:rPr>
        <w:t xml:space="preserve">. </w:t>
      </w:r>
      <w:r w:rsidR="00D10863">
        <w:rPr>
          <w:rFonts w:eastAsia="Times New Roman"/>
          <w:color w:val="000000"/>
          <w:lang w:eastAsia="en-GB"/>
        </w:rPr>
        <w:t xml:space="preserve">Because KBAs can only be designated based on the current </w:t>
      </w:r>
      <w:r w:rsidR="008A11B2">
        <w:rPr>
          <w:rFonts w:eastAsia="Times New Roman"/>
          <w:color w:val="000000"/>
          <w:lang w:eastAsia="en-GB"/>
        </w:rPr>
        <w:t xml:space="preserve">known </w:t>
      </w:r>
      <w:r w:rsidR="00D10863">
        <w:rPr>
          <w:rFonts w:eastAsia="Times New Roman"/>
          <w:color w:val="000000"/>
          <w:lang w:eastAsia="en-GB"/>
        </w:rPr>
        <w:t>presence of biodiversity, w</w:t>
      </w:r>
      <w:r w:rsidR="00B207A3" w:rsidRPr="0038132C">
        <w:rPr>
          <w:rFonts w:eastAsia="Times New Roman"/>
          <w:color w:val="000000"/>
          <w:lang w:eastAsia="en-GB"/>
        </w:rPr>
        <w:t xml:space="preserve">e selected taxa which are </w:t>
      </w:r>
      <w:r w:rsidR="002B067D" w:rsidRPr="0038132C">
        <w:t>widely regarded as indicators of the broader biodiversity and state of the ecosys</w:t>
      </w:r>
      <w:r w:rsidR="00B207A3" w:rsidRPr="0038132C">
        <w:t xml:space="preserve">tem </w:t>
      </w:r>
      <w:r w:rsidR="00B207A3" w:rsidRPr="0038132C">
        <w:rPr>
          <w:rFonts w:eastAsia="Times New Roman"/>
          <w:color w:val="000000"/>
          <w:lang w:eastAsia="en-GB"/>
        </w:rPr>
        <w:fldChar w:fldCharType="begin" w:fldLock="1"/>
      </w:r>
      <w:r w:rsidR="00195AA8">
        <w:rPr>
          <w:rFonts w:eastAsia="Times New Roman"/>
          <w:color w:val="000000"/>
          <w:lang w:eastAsia="en-GB"/>
        </w:rPr>
        <w:instrText>ADDIN CSL_CITATION { "citationItems" : [ { "id" : "ITEM-1", "itemData" : { "DOI" : "10.1641/B580707", "author" : [ { "dropping-particle" : "", "family" : "Boersma", "given" : "P Dee", "non-dropping-particle" : "", "parse-names" : false, "suffix" : "" } ], "container-title" : "BioScience", "id" : "ITEM-1", "issue" : "7", "issued" : { "date-parts" : [ [ "2008" ] ] }, "page" : "597-607", "title" : "Penguins as Marine Sentinels", "type" : "article-journal", "volume" : "58" }, "uris" : [ "http://www.mendeley.com/documents/?uuid=a75967be-7983-45a5-84da-baedd71e8bc7", "http://www.mendeley.com/documents/?uuid=0d2a7f63-9c21-47e5-9656-c50e01b20134" ] }, { "id" : "ITEM-2", "itemData" : { "author" : [ { "dropping-particle" : "", "family" : "Moore", "given" : "Sue", "non-dropping-particle" : "", "parse-names" : false, "suffix" : "" } ], "container-title" : "Journal of Mammalogy", "id" : "ITEM-2", "issue" : "3", "issued" : { "date-parts" : [ [ "2008" ] ] }, "page" : "534-540", "title" : "Marine mammals as ecosystem sentinels", "type" : "article-journal", "volume" : "89" }, "uris" : [ "http://www.mendeley.com/documents/?uuid=80fa0f21-8834-4e52-849e-811650cca175", "http://www.mendeley.com/documents/?uuid=200ccb38-2c16-4bcf-a168-e03e4aa22339" ] }, { "id" : "ITEM-3", "itemData" : { "author" : [ { "dropping-particle" : "", "family" : "Furness", "given" : "R W", "non-dropping-particle" : "", "parse-names" : false, "suffix" : "" }, { "dropping-particle" : "", "family" : "Camphuysen", "given" : "Kees C J", "non-dropping-particle" : "", "parse-names" : false, "suffix" : "" } ], "container-title" : "ICES Journal of Marine Science", "id" : "ITEM-3", "issued" : { "date-parts" : [ [ "1997" ] ] }, "page" : "726-737", "title" : "Seabirds as monitors of the marine environment", "type" : "article-journal", "volume" : "54" }, "uris" : [ "http://www.mendeley.com/documents/?uuid=1f56c2be-162e-4866-b5e3-6039d3795d95", "http://www.mendeley.com/documents/?uuid=362cbec6-7ebb-4e78-a28c-4f188cac4e81" ] } ], "mendeley" : { "formattedCitation" : "(Boersma, 2008; Furness &amp; Camphuysen, 1997; Moore, 2008)", "plainTextFormattedCitation" : "(Boersma, 2008; Furness &amp; Camphuysen, 1997; Moore, 2008)", "previouslyFormattedCitation" : "(Boersma, 2008; Furness &amp; Camphuysen, 1997; Moore, 2008)" }, "properties" : {  }, "schema" : "https://github.com/citation-style-language/schema/raw/master/csl-citation.json" }</w:instrText>
      </w:r>
      <w:r w:rsidR="00B207A3" w:rsidRPr="0038132C">
        <w:rPr>
          <w:rFonts w:eastAsia="Times New Roman"/>
          <w:color w:val="000000"/>
          <w:lang w:eastAsia="en-GB"/>
        </w:rPr>
        <w:fldChar w:fldCharType="separate"/>
      </w:r>
      <w:r w:rsidR="00126000" w:rsidRPr="00126000">
        <w:rPr>
          <w:rFonts w:eastAsia="Times New Roman"/>
          <w:noProof/>
          <w:color w:val="000000"/>
          <w:lang w:eastAsia="en-GB"/>
        </w:rPr>
        <w:t>(Boersma, 2008; Furness &amp; Camphuysen, 1997; Moore, 2008)</w:t>
      </w:r>
      <w:r w:rsidR="00B207A3" w:rsidRPr="0038132C">
        <w:rPr>
          <w:rFonts w:eastAsia="Times New Roman"/>
          <w:color w:val="000000"/>
          <w:lang w:eastAsia="en-GB"/>
        </w:rPr>
        <w:fldChar w:fldCharType="end"/>
      </w:r>
      <w:r w:rsidR="008A11B2">
        <w:rPr>
          <w:rFonts w:eastAsia="Times New Roman"/>
          <w:color w:val="000000"/>
          <w:lang w:eastAsia="en-GB"/>
        </w:rPr>
        <w:t>, and for which sufficient data exist</w:t>
      </w:r>
      <w:r w:rsidR="00B207A3" w:rsidRPr="0038132C">
        <w:rPr>
          <w:rFonts w:eastAsia="Times New Roman"/>
          <w:color w:val="000000"/>
          <w:lang w:eastAsia="en-GB"/>
        </w:rPr>
        <w:t xml:space="preserve">. </w:t>
      </w:r>
      <w:r w:rsidR="00B207A3" w:rsidRPr="0038132C">
        <w:t>We then address</w:t>
      </w:r>
      <w:r w:rsidR="00C95988">
        <w:t>ed</w:t>
      </w:r>
      <w:r w:rsidR="00B207A3" w:rsidRPr="0038132C">
        <w:t xml:space="preserve"> the extent to wh</w:t>
      </w:r>
      <w:r w:rsidR="00C96561">
        <w:t>ich there is spatio</w:t>
      </w:r>
      <w:r w:rsidR="00B207A3" w:rsidRPr="0038132C">
        <w:t>temporal overlap between these sites and key fisheries, to assess whether the key objectives of the MPA could be potentially met. We focus</w:t>
      </w:r>
      <w:r w:rsidR="001A6D6A">
        <w:t>ed</w:t>
      </w:r>
      <w:r w:rsidR="00B207A3" w:rsidRPr="0038132C">
        <w:t xml:space="preserve"> particularly on </w:t>
      </w:r>
      <w:r w:rsidR="00C95988">
        <w:t xml:space="preserve">two </w:t>
      </w:r>
      <w:r w:rsidR="00B207A3" w:rsidRPr="0038132C">
        <w:t>objectives</w:t>
      </w:r>
      <w:r w:rsidR="00C95988">
        <w:t xml:space="preserve"> of the MPA, namely to</w:t>
      </w:r>
      <w:r w:rsidR="00B207A3" w:rsidRPr="0038132C">
        <w:t xml:space="preserve"> </w:t>
      </w:r>
      <w:r w:rsidR="00C95988">
        <w:t>‘</w:t>
      </w:r>
      <w:r w:rsidR="00B207A3" w:rsidRPr="0038132C">
        <w:t>better protect important biodiversity</w:t>
      </w:r>
      <w:r w:rsidR="00C95988">
        <w:t xml:space="preserve">’ </w:t>
      </w:r>
      <w:r w:rsidR="00B207A3" w:rsidRPr="0038132C">
        <w:t>and</w:t>
      </w:r>
      <w:r w:rsidR="00C95988">
        <w:t xml:space="preserve"> to ‘</w:t>
      </w:r>
      <w:r w:rsidR="00B207A3" w:rsidRPr="0038132C">
        <w:t>protect foraging areas used by spatially constrained krill-eating predators</w:t>
      </w:r>
      <w:r w:rsidR="00C95988">
        <w:t>’</w:t>
      </w:r>
      <w:r w:rsidR="00C95988" w:rsidRPr="0038132C">
        <w:t xml:space="preserve">. </w:t>
      </w:r>
      <w:r w:rsidR="00B207A3" w:rsidRPr="0038132C">
        <w:t xml:space="preserve">Assessing whether these objectives are being met will enhance the ability of the Government of </w:t>
      </w:r>
      <w:r w:rsidR="00A0170C">
        <w:t>SGSSI</w:t>
      </w:r>
      <w:r w:rsidR="00B207A3" w:rsidRPr="0038132C">
        <w:t xml:space="preserve"> to implement adaptive management regimes within the MPA, and will facilitate understanding about the broader factors that may play a role in driving species population trends</w:t>
      </w:r>
      <w:r w:rsidR="00184400" w:rsidRPr="0038132C">
        <w:t>.</w:t>
      </w:r>
    </w:p>
    <w:p w14:paraId="5161F472" w14:textId="1B8AC693" w:rsidR="00846E66" w:rsidRDefault="00184400" w:rsidP="00072F48">
      <w:pPr>
        <w:rPr>
          <w:rFonts w:eastAsiaTheme="minorEastAsia"/>
          <w:color w:val="000000"/>
          <w:lang w:eastAsia="ja-JP"/>
        </w:rPr>
      </w:pPr>
      <w:r w:rsidRPr="0038132C">
        <w:rPr>
          <w:color w:val="000000"/>
        </w:rPr>
        <w:t xml:space="preserve">Our approach focuses on evaluating whether established conservation investment is delivering desired protection, and is the first utilising the new KBA guidelines </w:t>
      </w:r>
      <w:r w:rsidR="00324E97" w:rsidRPr="0038132C">
        <w:rPr>
          <w:rFonts w:eastAsia="Times New Roman"/>
          <w:color w:val="000000"/>
          <w:lang w:eastAsia="en-GB"/>
        </w:rPr>
        <w:fldChar w:fldCharType="begin" w:fldLock="1"/>
      </w:r>
      <w:r w:rsidR="00195AA8">
        <w:rPr>
          <w:rFonts w:eastAsia="Times New Roman"/>
          <w:color w:val="000000"/>
          <w:lang w:eastAsia="en-GB"/>
        </w:rPr>
        <w:instrText>ADDIN CSL_CITATION { "citationItems" : [ { "id" : "ITEM-1", "itemData" : { "author" : [ { "dropping-particle" : "", "family" : "KBA Standards and Appeals Committee", "given" : "", "non-dropping-particle" : "", "parse-names" : false, "suffix" : "" } ], "id" : "ITEM-1", "issued" : { "date-parts" : [ [ "2019" ] ] }, "title" : "Guidelines for using a Global Standard for the Identification of Key Biodiversity Areas. Version 1.0. Prepared by the KBA Standards and Appeals Committee of the IUCN Species Survival Commission and IUCN World Commission on Protected Areas. Gland, Switzerl", "type" : "article-journal" }, "uris" : [ "http://www.mendeley.com/documents/?uuid=288b708e-3908-4000-bd58-2b2b823485e1", "http://www.mendeley.com/documents/?uuid=d2a68418-8d5e-47ce-ab1a-e20b78546704" ] } ], "mendeley" : { "formattedCitation" : "(KBA Standards and Appeals Committee, 2019)", "plainTextFormattedCitation" : "(KBA Standards and Appeals Committee, 2019)", "previouslyFormattedCitation" : "(KBA Standards and Appeals Committee, 2019)" }, "properties" : {  }, "schema" : "https://github.com/citation-style-language/schema/raw/master/csl-citation.json" }</w:instrText>
      </w:r>
      <w:r w:rsidR="00324E97" w:rsidRPr="0038132C">
        <w:rPr>
          <w:rFonts w:eastAsia="Times New Roman"/>
          <w:color w:val="000000"/>
          <w:lang w:eastAsia="en-GB"/>
        </w:rPr>
        <w:fldChar w:fldCharType="separate"/>
      </w:r>
      <w:r w:rsidR="00126000" w:rsidRPr="00126000">
        <w:rPr>
          <w:rFonts w:eastAsia="Times New Roman"/>
          <w:noProof/>
          <w:color w:val="000000"/>
          <w:lang w:eastAsia="en-GB"/>
        </w:rPr>
        <w:t>(KBA Standards and Appeals Committee, 2019)</w:t>
      </w:r>
      <w:r w:rsidR="00324E97" w:rsidRPr="0038132C">
        <w:rPr>
          <w:rFonts w:eastAsia="Times New Roman"/>
          <w:color w:val="000000"/>
          <w:lang w:eastAsia="en-GB"/>
        </w:rPr>
        <w:fldChar w:fldCharType="end"/>
      </w:r>
      <w:r w:rsidRPr="00184400">
        <w:rPr>
          <w:color w:val="000000"/>
        </w:rPr>
        <w:t xml:space="preserve"> for identifying critical biodiversity sites at-sea for marine</w:t>
      </w:r>
      <w:r w:rsidR="00072F48">
        <w:rPr>
          <w:color w:val="000000"/>
        </w:rPr>
        <w:t xml:space="preserve"> top</w:t>
      </w:r>
      <w:r w:rsidRPr="00184400">
        <w:rPr>
          <w:color w:val="000000"/>
        </w:rPr>
        <w:t xml:space="preserve"> predators. This approach is readily applicable for use by practitioners requiring the identifi</w:t>
      </w:r>
      <w:r>
        <w:rPr>
          <w:color w:val="000000"/>
        </w:rPr>
        <w:t>cation of KBA sites elsewhere</w:t>
      </w:r>
      <w:r w:rsidRPr="00184400">
        <w:rPr>
          <w:rFonts w:eastAsiaTheme="minorEastAsia"/>
          <w:color w:val="000000"/>
          <w:lang w:eastAsia="ja-JP"/>
        </w:rPr>
        <w:t>.</w:t>
      </w:r>
      <w:r>
        <w:rPr>
          <w:rFonts w:eastAsiaTheme="minorEastAsia"/>
          <w:color w:val="000000"/>
          <w:lang w:eastAsia="ja-JP"/>
        </w:rPr>
        <w:t xml:space="preserve"> </w:t>
      </w:r>
    </w:p>
    <w:p w14:paraId="3C9F6464" w14:textId="77777777" w:rsidR="00846E66" w:rsidRDefault="00846E66" w:rsidP="00846E66">
      <w:pPr>
        <w:rPr>
          <w:rFonts w:eastAsiaTheme="minorEastAsia"/>
          <w:color w:val="000000"/>
          <w:lang w:eastAsia="ja-JP"/>
        </w:rPr>
      </w:pPr>
    </w:p>
    <w:p w14:paraId="7929580D" w14:textId="77777777" w:rsidR="00324E97" w:rsidRDefault="00324E97" w:rsidP="00324E97">
      <w:pPr>
        <w:pStyle w:val="Heading1"/>
        <w:rPr>
          <w:rFonts w:eastAsiaTheme="minorHAnsi"/>
        </w:rPr>
      </w:pPr>
      <w:r>
        <w:rPr>
          <w:rFonts w:eastAsiaTheme="minorHAnsi"/>
        </w:rPr>
        <w:t>2. Methods</w:t>
      </w:r>
    </w:p>
    <w:p w14:paraId="4223F4F7" w14:textId="77777777" w:rsidR="00324E97" w:rsidRPr="00324E97" w:rsidRDefault="00324E97" w:rsidP="00324E97">
      <w:pPr>
        <w:pStyle w:val="Heading2"/>
      </w:pPr>
      <w:r w:rsidRPr="00324E97">
        <w:t>2.1 Study area</w:t>
      </w:r>
    </w:p>
    <w:p w14:paraId="7CA0FFE9" w14:textId="181FAE49" w:rsidR="00A74045" w:rsidRDefault="00324E97" w:rsidP="00072F48">
      <w:r>
        <w:t>South Georgia and the South Sandwich Islands lie within the Antarctic Circumpolar Current, south of the Polar Front</w:t>
      </w:r>
      <w:r w:rsidR="00B04568">
        <w:t xml:space="preserve"> (Figure 1)</w:t>
      </w:r>
      <w:r w:rsidR="0060614C">
        <w:t xml:space="preserve">, and </w:t>
      </w:r>
      <w:r w:rsidR="0060614C" w:rsidRPr="000A6C3A">
        <w:t>are a hotspot of marine biodiversity</w:t>
      </w:r>
      <w:r w:rsidR="0060614C">
        <w:t xml:space="preserve"> </w:t>
      </w:r>
      <w:r w:rsidR="0060614C">
        <w:fldChar w:fldCharType="begin" w:fldLock="1"/>
      </w:r>
      <w:r w:rsidR="00195AA8">
        <w:instrText>ADDIN CSL_CITATION { "citationItems" : [ { "id" : "ITEM-1", "itemData" : { "DOI" : "10.1016/bs.amb.2015.06.001", "ISBN" : "9780128036020", "ISSN" : "00652881", "PMID" : "26296718", "abstract" : "The current hiatus in the establishment of a network of marine protected areas (MPAs) in the Antarctic means that other routes to conservation are required. The protection of overseas territories in the Antarctic and sub-Antarctic represents one way to advance the initiation of such a network. This review of the physical and biological features of the United Kingdom (U.K.) overseas territories of South Georgia and South Sandwich Islands (SGSSI) is undertaken to estimate the importance of the islands in terms of marine conservation in the Southern Ocean and globally. The economy and management of SGSSI are also analysed, and the question of whether the islands already have sufficient protection to constitute part of an Antarctic network of MPAs is assessed. The SGSSI comprise unique geological and physical features, a diverse marine biota, including a significant proportion of endemic species and globally important breeding populations of marine predators. Regardless of past exploitation of biotic resources, such as seals, whales and finfish, SGSSI would make a significant contribution to biological diversity in an Antarctic network of MPAs. At present, conservation measures do not adequately protect all of the biological features that render the islands so important in terms of conservation at a regional and global level. However, a general lack of data on Antarctic marine ecosystems (particularly needed for SGSSSI) makes it difficult to assess this fully. One barrier to achieving more complete protection is the continuing emphasis on fishing effort in these waters by U.K. government. Other non-U.K. Antarctic overseas territories of conservation importance are also compromised as MPAs because of the exploitation of fisheries resources in their waters. The possible non-use values of SGSSI as well as the importance of ecosystem services that are indirectly used by people are outlined in this review. Technology is improving the potential for management of remote MPAs, particularly in the context of incursion by illegal fishing activities and use of satellite surveillance for enforcement of fisheries and conservation regulations. The conflict between commercial exploitation and conservation of Antarctic marine living resources is explored. \u00a9 2015 Elsevier Ltd.", "author" : [ { "dropping-particle" : "", "family" : "Rogers", "given" : "Alex D.", "non-dropping-particle" : "", "parse-names" : false, "suffix" : "" }, { "dropping-particle" : "", "family" : "Yesson", "given" : "Christopher", "non-dropping-particle" : "", "parse-names" : false, "suffix" : "" }, { "dropping-particle" : "", "family" : "Gravestock", "given" : "Pippa", "non-dropping-particle" : "", "parse-names" : false, "suffix" : "" } ], "container-title" : "Advances in Marine Biology", "edition" : "1", "id" : "ITEM-1", "issued" : { "date-parts" : [ [ "2016" ] ] }, "number-of-pages" : "1-286", "publisher" : "Elsevier Ltd.", "title" : "A Biophysical and Economic Profile of South Georgia and the South Sandwich Islands as Potential Large-Scale Antarctic Protected Areas", "type" : "book", "volume" : "73" }, "uris" : [ "http://www.mendeley.com/documents/?uuid=720a34bb-86bc-4d7d-a0ec-603397d3a366", "http://www.mendeley.com/documents/?uuid=d28e3ea4-337b-496b-970d-8eb8cd2bd607" ] }, { "id" : "ITEM-2", "itemData" : { "DOI" : "10.1016/B978-0-12-800214-8.00002-5", "ISBN" : "9780128002148", "ISSN" : "00652881", "PMID" : "25358297", "abstract" : "South Georgia and the South Sandwich Islands (SGSSI) are surrounded by oceans that are species-rich, have high levels of biodiversity, important endemism and which also support large aggregations of charismatic upper trophic level species. Spatial management around these islands is complex, particularly in the context of commercial fisheries that exploit some of these living resources. Furthermore, management is especially complicated as local productivity relies fundamentally upon biological production transported from outside the area. The MPA uses practical management boundaries, allowing access for the current legal fisheries for Patagonian toothfish, mackerel icefish and Antarctic krill. Management measures developed as part of the planning process designated the whole SGSSI Maritime Zone as an IUCN Category VI reserve, within which a number of IUCN Category I reserves were identified. Multiple-use zones and temporal closures were also designated. A key multiple-use principle was to identify whether the ecological impacts of a particular fishery threatened either the pelagic or benthic domain.", "author" : [ { "dropping-particle" : "", "family" : "Trathan", "given" : "Philip N.", "non-dropping-particle" : "", "parse-names" : false, "suffix" : "" }, { "dropping-particle" : "", "family" : "Collins", "given" : "Martin A.", "non-dropping-particle" : "", "parse-names" : false, "suffix" : "" }, { "dropping-particle" : "", "family" : "Grant", "given" : "Susie M.", "non-dropping-particle" : "", "parse-names" : false, "suffix" : "" }, { "dropping-particle" : "", "family" : "Belchier", "given" : "Mark", "non-dropping-particle" : "", "parse-names" : false, "suffix" : "" }, { "dropping-particle" : "", "family" : "Barnes", "given" : "David K A", "non-dropping-particle" : "", "parse-names" : false, "suffix" : "" }, { "dropping-particle" : "", "family" : "Brown", "given" : "Judith", "non-dropping-particle" : "", "parse-names" : false, "suffix" : "" }, { "dropping-particle" : "", "family" : "Staniland", "given" : "Iain J.", "non-dropping-particle" : "", "parse-names" : false, "suffix" : "" } ], "container-title" : "Advances in Marine Biology", "id" : "ITEM-2", "issued" : { "date-parts" : [ [ "2014" ] ] }, "number-of-pages" : "15-78", "title" : "The South Georgia and the South Sandwich Islands MPA: Protecting A Biodiverse Oceanic Island Chain Situated in the Flow of the Antarctic Circumpolar Current", "type" : "book", "volume" : "69" }, "uris" : [ "http://www.mendeley.com/documents/?uuid=b2db3696-99e6-4033-b435-b50639138ba4", "http://www.mendeley.com/documents/?uuid=3a91f214-3b1e-4dda-b789-35977b356ded" ] } ], "mendeley" : { "formattedCitation" : "(Rogers, Yesson, &amp; Gravestock, 2016; Trathan et al., 2014)", "plainTextFormattedCitation" : "(Rogers, Yesson, &amp; Gravestock, 2016; Trathan et al., 2014)", "previouslyFormattedCitation" : "(Rogers, Yesson, &amp; Gravestock, 2016; Trathan et al., 2014)" }, "properties" : {  }, "schema" : "https://github.com/citation-style-language/schema/raw/master/csl-citation.json" }</w:instrText>
      </w:r>
      <w:r w:rsidR="0060614C">
        <w:fldChar w:fldCharType="separate"/>
      </w:r>
      <w:r w:rsidR="00126000" w:rsidRPr="00126000">
        <w:rPr>
          <w:noProof/>
        </w:rPr>
        <w:t>(Rogers, Yesson, &amp; Gravestock, 2016; Trathan et al., 2014)</w:t>
      </w:r>
      <w:r w:rsidR="0060614C">
        <w:fldChar w:fldCharType="end"/>
      </w:r>
      <w:r>
        <w:t>. Their position means they are subject to strong seasonal variations in light, temperature and sea ice, which lead</w:t>
      </w:r>
      <w:r w:rsidR="0060614C">
        <w:t>s</w:t>
      </w:r>
      <w:r>
        <w:t xml:space="preserve"> to strong </w:t>
      </w:r>
      <w:r w:rsidRPr="00F307A2">
        <w:t>seasonality in primary production and the abundance of Antarctic krill</w:t>
      </w:r>
      <w:r w:rsidR="00F307A2" w:rsidRPr="00F307A2">
        <w:t xml:space="preserve"> </w:t>
      </w:r>
      <w:r w:rsidR="00F307A2" w:rsidRPr="00F307A2">
        <w:rPr>
          <w:rFonts w:eastAsia="Times New Roman"/>
          <w:color w:val="000000"/>
          <w:lang w:val="en-GB" w:eastAsia="en-GB"/>
        </w:rPr>
        <w:t>(</w:t>
      </w:r>
      <w:r w:rsidR="00F307A2" w:rsidRPr="00F307A2">
        <w:rPr>
          <w:rFonts w:eastAsia="Times New Roman"/>
          <w:i/>
          <w:iCs/>
          <w:color w:val="000000"/>
          <w:lang w:val="en-GB" w:eastAsia="en-GB"/>
        </w:rPr>
        <w:t>Euphausia superba</w:t>
      </w:r>
      <w:r w:rsidR="00F307A2" w:rsidRPr="00F307A2">
        <w:rPr>
          <w:rFonts w:eastAsia="Times New Roman"/>
          <w:color w:val="000000"/>
          <w:lang w:val="en-GB" w:eastAsia="en-GB"/>
        </w:rPr>
        <w:t>)</w:t>
      </w:r>
      <w:r w:rsidRPr="00F307A2">
        <w:t>, a key p</w:t>
      </w:r>
      <w:r>
        <w:t xml:space="preserve">rey item for many predators that breed at </w:t>
      </w:r>
      <w:r w:rsidR="00281833">
        <w:t>the islands</w:t>
      </w:r>
      <w:r>
        <w:t xml:space="preserve"> </w:t>
      </w:r>
      <w:r>
        <w:fldChar w:fldCharType="begin" w:fldLock="1"/>
      </w:r>
      <w:r w:rsidR="00195AA8">
        <w:instrText>ADDIN CSL_CITATION { "citationItems" : [ { "id" : "ITEM-1", "itemData" : { "DOI" : "10.1111/j.1469-7998.1997.tb03854.x", "ISBN" : "1469-7998", "ISSN" : "09528369", "abstract" : "The diets of six of the main seabird species (two petrels, two albatrosses, two penguins) breeding at Bird Island, South Georgia were studied simultaneously during the chick-rearing period in 1986. For five species, Antarctic krill Euphausia superba was the main food (39\u201398% by mass); grey-headed albatrosses took mainly the ommastrephid squid Martialia hyadesi (71%) and only 16% krill. The size of the krill taken was similar between seabird species, although there were small but significant differences between penguins and the other species. Sex and reproductive status of krill, however, was different between all seabird species, reflecting some combination of differences in foraging ranges, selectivity by predators, or differences in escape responses of krill. For the krill-eating species, the rest of the diet varied substantially between species, comprising Martialia and nototheniid fish (blackbrowed albatross and, along with lanternfish, white-chinned petrel), lanternfish and amphipods (Antarctic prion and macaroni penguin), and icefish (gentoo penguin). Long-term data on breeding success and information on diet in 5\u201310 other years suggest that in 1986 seabird diet and reproductive performance was indicative of a year of good availability of krill around South Georgia. In such circumstances, ecological segregation between krill-eating species appears to be maintained chiefly by differences in foraging range and feeding methods, which are reviewed. This situation is rather different from the few studies of seabird communities elsewhere, where prey type and size are believed to be the main mechanisms of dietary segregation.", "author" : [ { "dropping-particle" : "", "family" : "Croxall", "given" : "J. P.", "non-dropping-particle" : "", "parse-names" : false, "suffix" : "" }, { "dropping-particle" : "", "family" : "Prince", "given" : "P. A.", "non-dropping-particle" : "", "parse-names" : false, "suffix" : "" }, { "dropping-particle" : "", "family" : "Reid", "given" : "K.", "non-dropping-particle" : "", "parse-names" : false, "suffix" : "" } ], "container-title" : "Journal of Zoology", "id" : "ITEM-1", "issue" : "3", "issued" : { "date-parts" : [ [ "1997" ] ] }, "page" : "531-556", "title" : "Dietary segregation of krill-eating South Georgia seabirds", "type" : "article-journal", "volume" : "242" }, "uris" : [ "http://www.mendeley.com/documents/?uuid=c3df4ab6-d0cd-4f7a-bbe6-4f20a8f84655", "http://www.mendeley.com/documents/?uuid=7cb28cce-a227-4ff9-9ced-467cf9c887c5" ] }, { "id" : "ITEM-2", "itemData" : { "DOI" : "10.1007/s00227-001-0691-7", "ISBN" : "4412232212", "author" : [ { "dropping-particle" : "", "family" : "Barlow", "given" : "K E", "non-dropping-particle" : "", "parse-names" : false, "suffix" : "" }, { "dropping-particle" : "", "family" : "Boyd", "given" : "Ian L", "non-dropping-particle" : "", "parse-names" : false, "suffix" : "" }, { "dropping-particle" : "", "family" : "Croxall", "given" : "John P.", "non-dropping-particle" : "", "parse-names" : false, "suffix" : "" }, { "dropping-particle" : "", "family" : "Reid", "given" : "Keith", "non-dropping-particle" : "", "parse-names" : false, "suffix" : "" }, { "dropping-particle" : "", "family" : "Staniland", "given" : "Iain J.", "non-dropping-particle" : "", "parse-names" : false, "suffix" : "" }, { "dropping-particle" : "", "family" : "Brierly", "given" : "A S", "non-dropping-particle" : "", "parse-names" : false, "suffix" : "" } ], "container-title" : "Marine Biology", "id" : "ITEM-2", "issued" : { "date-parts" : [ [ "2002" ] ] }, "page" : "205-213", "title" : "Are penguins and seals in competition for Antarctic krill at South Georgia?", "type" : "article-journal", "volume" : "140" }, "uris" : [ "http://www.mendeley.com/documents/?uuid=27cf12e1-b0af-4e9c-916e-0a97db3b6173", "http://www.mendeley.com/documents/?uuid=9088206e-db87-49ec-8029-ca99ffca3390" ] } ], "mendeley" : { "formattedCitation" : "(Barlow et al., 2002; J. P. Croxall, Prince, &amp; Reid, 1997)", "plainTextFormattedCitation" : "(Barlow et al., 2002; J. P. Croxall, Prince, &amp; Reid, 1997)", "previouslyFormattedCitation" : "(Barlow et al., 2002; J. P. Croxall, Prince, &amp; Reid, 1997)" }, "properties" : {  }, "schema" : "https://github.com/citation-style-language/schema/raw/master/csl-citation.json" }</w:instrText>
      </w:r>
      <w:r>
        <w:fldChar w:fldCharType="separate"/>
      </w:r>
      <w:r w:rsidR="00126000" w:rsidRPr="00126000">
        <w:rPr>
          <w:noProof/>
        </w:rPr>
        <w:t xml:space="preserve">(Barlow et al., 2002; J. P. Croxall, Prince, &amp; Reid, </w:t>
      </w:r>
      <w:r w:rsidR="00126000" w:rsidRPr="00126000">
        <w:rPr>
          <w:noProof/>
        </w:rPr>
        <w:lastRenderedPageBreak/>
        <w:t>1997)</w:t>
      </w:r>
      <w:r>
        <w:fldChar w:fldCharType="end"/>
      </w:r>
      <w:r>
        <w:t>.</w:t>
      </w:r>
      <w:r w:rsidR="0060614C">
        <w:t xml:space="preserve"> Specifically, the islands support key populations of </w:t>
      </w:r>
      <w:r w:rsidR="0060614C" w:rsidRPr="000A6C3A">
        <w:t>seabirds</w:t>
      </w:r>
      <w:r w:rsidR="0060614C" w:rsidRPr="00DD0640">
        <w:t xml:space="preserve"> and pinnipeds</w:t>
      </w:r>
      <w:r w:rsidR="0060614C">
        <w:t xml:space="preserve"> </w:t>
      </w:r>
      <w:r w:rsidR="0060614C">
        <w:fldChar w:fldCharType="begin" w:fldLock="1"/>
      </w:r>
      <w:r w:rsidR="00195AA8">
        <w:instrText>ADDIN CSL_CITATION { "citationItems" : [ { "id" : "ITEM-1", "itemData" : { "author" : [ { "dropping-particle" : "", "family" : "Trathan", "given" : "Philip N.", "non-dropping-particle" : "", "parse-names" : false, "suffix" : "" }, { "dropping-particle" : "", "family" : "Daunt", "given" : "Francis", "non-dropping-particle" : "", "parse-names" : false, "suffix" : "" }, { "dropping-particle" : "", "family" : "Murphy", "given" : "Eugene J", "non-dropping-particle" : "", "parse-names" : false, "suffix" : "" } ], "id" : "ITEM-1", "issued" : { "date-parts" : [ [ "1996" ] ] }, "number-of-pages" : "87", "publisher" : "British Antarctic Survey", "publisher-place" : "Cambridge", "title" : "South Georgia: an ecological atlas", "type" : "book" }, "uris" : [ "http://www.mendeley.com/documents/?uuid=e7026da3-e8e5-4581-8bb4-3a8dfbe21289", "http://www.mendeley.com/documents/?uuid=12431796-b259-4c8b-99c4-7c8a642a3a7e" ] }, { "id" : "ITEM-2", "itemData" : { "DOI" : "10.1007/s00300-015-1886-6", "ISBN" : "0722-4060", "ISSN" : "07224060", "abstract" : "The South Sandwich Islands, in the South Atlantic Ocean, are a major biological hot spot for penguins and other seabirds, but their remoteness and challenging coastlines preclude regular biological censuses. Here we report on an extensive survey of the South Sandwich Islands, the first since the late 1990s, which was completed through a combination of direct counting, GPS mapping, and interpretation of high-resolution commercial satellite imagery. We find that the South Sandwich Islands host nearly half of the world's Chinstrap Penguin (Pygoscelis antarctica) population (1.3 million breeding pairs), as well as c. 95,000 breeding pairs of Macaroni Penguins (Eudyptes chrysolophus), and several thousand breeding pairs of Gentoo Penguins (Pygoscelis papua). Despite being at the northern edge of their breeding range, we found an unexpectedly large (&gt;= 125,000 breeding pairs) population of Adelie Penguins (Pygoscelis adeliae). Additionally, we report that nearly 1900 pairs of Southern Giant Petrels (Macronectes giganteus) breed in the South Sandwich Islands, 4 % of the global population, almost all of which are found on Candlemas Island. We find that the South Sandwich Islands have not experienced the same changes in penguin abundance and distribution as the rest of the Scotia Arc and associated portions of the western Antarctic Peninsula. This discovery adds important context to the larger conversation regarding changes to penguin populations in the Southern Ocean.", "author" : [ { "dropping-particle" : "", "family" : "Lynch", "given" : "Heather J.", "non-dropping-particle" : "", "parse-names" : false, "suffix" : "" }, { "dropping-particle" : "", "family" : "White", "given" : "Richard", "non-dropping-particle" : "", "parse-names" : false, "suffix" : "" }, { "dropping-particle" : "", "family" : "Naveen", "given" : "Ron", "non-dropping-particle" : "", "parse-names" : false, "suffix" : "" }, { "dropping-particle" : "", "family" : "Black", "given" : "Andy", "non-dropping-particle" : "", "parse-names" : false, "suffix" : "" }, { "dropping-particle" : "", "family" : "Meixler", "given" : "Marcia S.", "non-dropping-particle" : "", "parse-names" : false, "suffix" : "" }, { "dropping-particle" : "", "family" : "Fagan", "given" : "William F.", "non-dropping-particle" : "", "parse-names" : false, "suffix" : "" } ], "container-title" : "Polar Biology", "id" : "ITEM-2", "issue" : "9", "issued" : { "date-parts" : [ [ "2016" ] ] }, "page" : "1615-1625", "publisher" : "Springer Berlin Heidelberg", "title" : "In stark contrast to widespread declines along the Scotia Arc, a survey of the South Sandwich Islands finds a robust seabird community", "type" : "article-journal", "volume" : "39" }, "uris" : [ "http://www.mendeley.com/documents/?uuid=7bf37d09-128f-4dde-86db-2385c4ca5db2", "http://www.mendeley.com/documents/?uuid=54b1adc1-6503-476e-96f7-d682fa211225" ] }, { "id" : "ITEM-3", "itemData" : { "DOI" : "10.1080/14888386.2018.1464952", "ISSN" : "1488-8386", "author" : [ { "dropping-particle" : "", "family" : "Hart", "given" : "Tom", "non-dropping-particle" : "", "parse-names" : false, "suffix" : "" }, { "dropping-particle" : "", "family" : "Convey", "given" : "Peter", "non-dropping-particle" : "", "parse-names" : false, "suffix" : "" } ], "container-title" : "Biodiversity", "id" : "ITEM-3", "issued" : { "date-parts" : [ [ "2018" ] ] }, "publisher" : "Taylor &amp; Francis", "title" : "The South Sandwich Islands \u2013 a community of meta-populations across all trophic levels", "type" : "article-journal" }, "uris" : [ "http://www.mendeley.com/documents/?uuid=498e903e-3590-4d82-9be7-04079fc642d8", "http://www.mendeley.com/documents/?uuid=297bb348-5be1-4d45-ae4f-75adf8844660" ] } ], "mendeley" : { "formattedCitation" : "(Hart &amp; Convey, 2018; Lynch et al., 2016; Trathan, Daunt, &amp; Murphy, 1996)", "plainTextFormattedCitation" : "(Hart &amp; Convey, 2018; Lynch et al., 2016; Trathan, Daunt, &amp; Murphy, 1996)", "previouslyFormattedCitation" : "(Hart &amp; Convey, 2018; Lynch et al., 2016; Trathan, Daunt, &amp; Murphy, 1996)" }, "properties" : {  }, "schema" : "https://github.com/citation-style-language/schema/raw/master/csl-citation.json" }</w:instrText>
      </w:r>
      <w:r w:rsidR="0060614C">
        <w:fldChar w:fldCharType="separate"/>
      </w:r>
      <w:r w:rsidR="00126000" w:rsidRPr="00126000">
        <w:rPr>
          <w:noProof/>
        </w:rPr>
        <w:t>(Hart &amp; Convey, 2018; Lynch et al., 2016; Trathan, Daunt, &amp; Murphy, 1996)</w:t>
      </w:r>
      <w:r w:rsidR="0060614C">
        <w:fldChar w:fldCharType="end"/>
      </w:r>
      <w:r w:rsidR="0060614C">
        <w:t>.</w:t>
      </w:r>
      <w:r w:rsidR="00F12434">
        <w:t xml:space="preserve"> At South Georgia, top predators breed primarily along the north coast and in the northwest of the islands, where breeding habitat is favourable </w:t>
      </w:r>
      <w:r w:rsidR="00F12434">
        <w:fldChar w:fldCharType="begin" w:fldLock="1"/>
      </w:r>
      <w:r w:rsidR="00195AA8">
        <w:instrText>ADDIN CSL_CITATION { "citationItems" : [ { "id" : "ITEM-1", "itemData" : { "author" : [ { "dropping-particle" : "", "family" : "Trathan", "given" : "Philip N.", "non-dropping-particle" : "", "parse-names" : false, "suffix" : "" }, { "dropping-particle" : "", "family" : "Daunt", "given" : "Francis", "non-dropping-particle" : "", "parse-names" : false, "suffix" : "" }, { "dropping-particle" : "", "family" : "Murphy", "given" : "Eugene J", "non-dropping-particle" : "", "parse-names" : false, "suffix" : "" } ], "id" : "ITEM-1", "issued" : { "date-parts" : [ [ "1996" ] ] }, "number-of-pages" : "87", "publisher" : "British Antarctic Survey", "publisher-place" : "Cambridge", "title" : "South Georgia: an ecological atlas", "type" : "book" }, "uris" : [ "http://www.mendeley.com/documents/?uuid=12431796-b259-4c8b-99c4-7c8a642a3a7e" ] } ], "mendeley" : { "formattedCitation" : "(Trathan et al., 1996)", "manualFormatting" : "(Appendix 2, Trathan et al., 1996)", "plainTextFormattedCitation" : "(Trathan et al., 1996)", "previouslyFormattedCitation" : "(Trathan et al., 1996)" }, "properties" : {  }, "schema" : "https://github.com/citation-style-language/schema/raw/master/csl-citation.json" }</w:instrText>
      </w:r>
      <w:r w:rsidR="00F12434">
        <w:fldChar w:fldCharType="separate"/>
      </w:r>
      <w:r w:rsidR="00F12434" w:rsidRPr="00F12434">
        <w:rPr>
          <w:noProof/>
        </w:rPr>
        <w:t>(</w:t>
      </w:r>
      <w:r w:rsidR="00A74045">
        <w:rPr>
          <w:noProof/>
        </w:rPr>
        <w:t xml:space="preserve">Appendix 2, </w:t>
      </w:r>
      <w:r w:rsidR="00F12434" w:rsidRPr="00F12434">
        <w:rPr>
          <w:noProof/>
        </w:rPr>
        <w:t>Trathan et al., 1996)</w:t>
      </w:r>
      <w:r w:rsidR="00F12434">
        <w:fldChar w:fldCharType="end"/>
      </w:r>
      <w:r w:rsidR="00F12434">
        <w:t>.</w:t>
      </w:r>
      <w:r w:rsidR="00A74045">
        <w:t xml:space="preserve"> Furthermore, </w:t>
      </w:r>
      <w:r w:rsidR="00C0513F">
        <w:t xml:space="preserve">the seascape </w:t>
      </w:r>
      <w:r w:rsidR="00A74045">
        <w:t xml:space="preserve">northwest of </w:t>
      </w:r>
      <w:r w:rsidR="00072F48">
        <w:t xml:space="preserve">the </w:t>
      </w:r>
      <w:r w:rsidR="00A74045">
        <w:t>islands host</w:t>
      </w:r>
      <w:r w:rsidR="00C0513F">
        <w:t>s a region</w:t>
      </w:r>
      <w:r w:rsidR="00A74045">
        <w:t xml:space="preserve"> of high primary productivity </w:t>
      </w:r>
      <w:r w:rsidR="00072F48">
        <w:t>which supports local</w:t>
      </w:r>
      <w:r w:rsidR="00A74045">
        <w:t xml:space="preserve"> krill stocks </w:t>
      </w:r>
      <w:r w:rsidR="00A74045">
        <w:fldChar w:fldCharType="begin" w:fldLock="1"/>
      </w:r>
      <w:r w:rsidR="00195AA8">
        <w:instrText>ADDIN CSL_CITATION { "citationItems" : [ { "id" : "ITEM-1", "itemData" : { "DOI" : "10.1016/bs.amb.2015.06.001", "ISBN" : "9780128036020", "ISSN" : "00652881", "PMID" : "26296718", "abstract" : "The current hiatus in the establishment of a network of marine protected areas (MPAs) in the Antarctic means that other routes to conservation are required. The protection of overseas territories in the Antarctic and sub-Antarctic represents one way to advance the initiation of such a network. This review of the physical and biological features of the United Kingdom (U.K.) overseas territories of South Georgia and South Sandwich Islands (SGSSI) is undertaken to estimate the importance of the islands in terms of marine conservation in the Southern Ocean and globally. The economy and management of SGSSI are also analysed, and the question of whether the islands already have sufficient protection to constitute part of an Antarctic network of MPAs is assessed. The SGSSI comprise unique geological and physical features, a diverse marine biota, including a significant proportion of endemic species and globally important breeding populations of marine predators. Regardless of past exploitation of biotic resources, such as seals, whales and finfish, SGSSI would make a significant contribution to biological diversity in an Antarctic network of MPAs. At present, conservation measures do not adequately protect all of the biological features that render the islands so important in terms of conservation at a regional and global level. However, a general lack of data on Antarctic marine ecosystems (particularly needed for SGSSSI) makes it difficult to assess this fully. One barrier to achieving more complete protection is the continuing emphasis on fishing effort in these waters by U.K. government. Other non-U.K. Antarctic overseas territories of conservation importance are also compromised as MPAs because of the exploitation of fisheries resources in their waters. The possible non-use values of SGSSI as well as the importance of ecosystem services that are indirectly used by people are outlined in this review. Technology is improving the potential for management of remote MPAs, particularly in the context of incursion by illegal fishing activities and use of satellite surveillance for enforcement of fisheries and conservation regulations. The conflict between commercial exploitation and conservation of Antarctic marine living resources is explored. \u00a9 2015 Elsevier Ltd.", "author" : [ { "dropping-particle" : "", "family" : "Rogers", "given" : "Alex D.", "non-dropping-particle" : "", "parse-names" : false, "suffix" : "" }, { "dropping-particle" : "", "family" : "Yesson", "given" : "Christopher", "non-dropping-particle" : "", "parse-names" : false, "suffix" : "" }, { "dropping-particle" : "", "family" : "Gravestock", "given" : "Pippa", "non-dropping-particle" : "", "parse-names" : false, "suffix" : "" } ], "container-title" : "Advances in Marine Biology", "edition" : "1", "id" : "ITEM-1", "issued" : { "date-parts" : [ [ "2016" ] ] }, "number-of-pages" : "1-286", "publisher" : "Elsevier Ltd.", "title" : "A Biophysical and Economic Profile of South Georgia and the South Sandwich Islands as Potential Large-Scale Antarctic Protected Areas", "type" : "book", "volume" : "73" }, "uris" : [ "http://www.mendeley.com/documents/?uuid=d28e3ea4-337b-496b-970d-8eb8cd2bd607" ] } ], "mendeley" : { "formattedCitation" : "(Rogers et al., 2016)", "plainTextFormattedCitation" : "(Rogers et al., 2016)", "previouslyFormattedCitation" : "(Rogers et al., 2016)" }, "properties" : {  }, "schema" : "https://github.com/citation-style-language/schema/raw/master/csl-citation.json" }</w:instrText>
      </w:r>
      <w:r w:rsidR="00A74045">
        <w:fldChar w:fldCharType="separate"/>
      </w:r>
      <w:r w:rsidR="00126000" w:rsidRPr="00126000">
        <w:rPr>
          <w:noProof/>
        </w:rPr>
        <w:t>(Rogers et al., 2016)</w:t>
      </w:r>
      <w:r w:rsidR="00A74045">
        <w:fldChar w:fldCharType="end"/>
      </w:r>
      <w:r w:rsidR="00A74045">
        <w:t xml:space="preserve">. </w:t>
      </w:r>
    </w:p>
    <w:p w14:paraId="5810C250" w14:textId="4A3E4D4B" w:rsidR="002B1676" w:rsidRPr="0038132C" w:rsidRDefault="0060614C" w:rsidP="00A74045">
      <w:pPr>
        <w:rPr>
          <w:iCs/>
          <w:sz w:val="28"/>
          <w:szCs w:val="28"/>
        </w:rPr>
      </w:pPr>
      <w:r>
        <w:t>The islands are surrounded by a</w:t>
      </w:r>
      <w:r w:rsidRPr="00883AFA">
        <w:rPr>
          <w:iCs/>
        </w:rPr>
        <w:t xml:space="preserve"> large</w:t>
      </w:r>
      <w:r>
        <w:rPr>
          <w:iCs/>
        </w:rPr>
        <w:t xml:space="preserve"> </w:t>
      </w:r>
      <w:r w:rsidRPr="0089074F">
        <w:rPr>
          <w:iCs/>
        </w:rPr>
        <w:t>sustainable-use MPA (</w:t>
      </w:r>
      <w:r>
        <w:rPr>
          <w:iCs/>
        </w:rPr>
        <w:t>SGSSI MPA, 1.07 mil</w:t>
      </w:r>
      <w:r w:rsidRPr="0089074F">
        <w:rPr>
          <w:iCs/>
        </w:rPr>
        <w:t>lion km</w:t>
      </w:r>
      <w:r w:rsidRPr="0089074F">
        <w:rPr>
          <w:iCs/>
          <w:vertAlign w:val="superscript"/>
        </w:rPr>
        <w:t>2</w:t>
      </w:r>
      <w:r w:rsidRPr="0089074F">
        <w:rPr>
          <w:iCs/>
        </w:rPr>
        <w:t>)</w:t>
      </w:r>
      <w:r>
        <w:rPr>
          <w:iCs/>
        </w:rPr>
        <w:t xml:space="preserve"> which </w:t>
      </w:r>
      <w:r w:rsidRPr="0089074F">
        <w:rPr>
          <w:iCs/>
        </w:rPr>
        <w:t xml:space="preserve">was designated in 2012, and includes the entire exclusive economic zone </w:t>
      </w:r>
      <w:r>
        <w:rPr>
          <w:iCs/>
        </w:rPr>
        <w:t xml:space="preserve">(EEZ) </w:t>
      </w:r>
      <w:r>
        <w:rPr>
          <w:iCs/>
        </w:rPr>
        <w:fldChar w:fldCharType="begin" w:fldLock="1"/>
      </w:r>
      <w:r w:rsidR="00195AA8">
        <w:rPr>
          <w:iCs/>
        </w:rPr>
        <w:instrText>ADDIN CSL_CITATION { "citationItems" : [ { "id" : "ITEM-1", "itemData" : { "DOI" : "10.1016/B978-0-12-800214-8.00002-5", "ISBN" : "9780128002148", "ISSN" : "00652881", "PMID" : "25358297", "abstract" : "South Georgia and the South Sandwich Islands (SGSSI) are surrounded by oceans that are species-rich, have high levels of biodiversity, important endemism and which also support large aggregations of charismatic upper trophic level species. Spatial management around these islands is complex, particularly in the context of commercial fisheries that exploit some of these living resources. Furthermore, management is especially complicated as local productivity relies fundamentally upon biological production transported from outside the area. The MPA uses practical management boundaries, allowing access for the current legal fisheries for Patagonian toothfish, mackerel icefish and Antarctic krill. Management measures developed as part of the planning process designated the whole SGSSI Maritime Zone as an IUCN Category VI reserve, within which a number of IUCN Category I reserves were identified. Multiple-use zones and temporal closures were also designated. A key multiple-use principle was to identify whether the ecological impacts of a particular fishery threatened either the pelagic or benthic domain.", "author" : [ { "dropping-particle" : "", "family" : "Trathan", "given" : "Philip N.", "non-dropping-particle" : "", "parse-names" : false, "suffix" : "" }, { "dropping-particle" : "", "family" : "Collins", "given" : "Martin A.", "non-dropping-particle" : "", "parse-names" : false, "suffix" : "" }, { "dropping-particle" : "", "family" : "Grant", "given" : "Susie M.", "non-dropping-particle" : "", "parse-names" : false, "suffix" : "" }, { "dropping-particle" : "", "family" : "Belchier", "given" : "Mark", "non-dropping-particle" : "", "parse-names" : false, "suffix" : "" }, { "dropping-particle" : "", "family" : "Barnes", "given" : "David K A", "non-dropping-particle" : "", "parse-names" : false, "suffix" : "" }, { "dropping-particle" : "", "family" : "Brown", "given" : "Judith", "non-dropping-particle" : "", "parse-names" : false, "suffix" : "" }, { "dropping-particle" : "", "family" : "Staniland", "given" : "Iain J.", "non-dropping-particle" : "", "parse-names" : false, "suffix" : "" } ], "container-title" : "Advances in Marine Biology", "id" : "ITEM-1", "issued" : { "date-parts" : [ [ "2014" ] ] }, "number-of-pages" : "15-78", "title" : "The South Georgia and the South Sandwich Islands MPA: Protecting A Biodiverse Oceanic Island Chain Situated in the Flow of the Antarctic Circumpolar Current", "type" : "book", "volume" : "69" }, "uris" : [ "http://www.mendeley.com/documents/?uuid=3a91f214-3b1e-4dda-b789-35977b356ded", "http://www.mendeley.com/documents/?uuid=b2db3696-99e6-4033-b435-b50639138ba4" ] } ], "mendeley" : { "formattedCitation" : "(Trathan et al., 2014)", "plainTextFormattedCitation" : "(Trathan et al., 2014)", "previouslyFormattedCitation" : "(Trathan et al., 2014)" }, "properties" : {  }, "schema" : "https://github.com/citation-style-language/schema/raw/master/csl-citation.json" }</w:instrText>
      </w:r>
      <w:r>
        <w:rPr>
          <w:iCs/>
        </w:rPr>
        <w:fldChar w:fldCharType="separate"/>
      </w:r>
      <w:r w:rsidR="00126000" w:rsidRPr="00126000">
        <w:rPr>
          <w:iCs/>
          <w:noProof/>
        </w:rPr>
        <w:t>(Trathan et al., 2014)</w:t>
      </w:r>
      <w:r>
        <w:rPr>
          <w:iCs/>
        </w:rPr>
        <w:fldChar w:fldCharType="end"/>
      </w:r>
      <w:r>
        <w:rPr>
          <w:iCs/>
        </w:rPr>
        <w:t>. The primary objective of the MPA (IUCN Category VI) is to ensure the protection and conservation of the region</w:t>
      </w:r>
      <w:r w:rsidR="00257A27">
        <w:rPr>
          <w:iCs/>
        </w:rPr>
        <w:t>’</w:t>
      </w:r>
      <w:r>
        <w:rPr>
          <w:iCs/>
        </w:rPr>
        <w:t xml:space="preserve">s rich biodiversity, through a number of measures that reduce the risk of biodiversity loss, whilst also allowing for sustainable fisheries operations and ecotourism </w:t>
      </w:r>
      <w:r w:rsidRPr="00BB12DF">
        <w:rPr>
          <w:iCs/>
        </w:rPr>
        <w:fldChar w:fldCharType="begin" w:fldLock="1"/>
      </w:r>
      <w:r w:rsidR="00195AA8">
        <w:rPr>
          <w:iCs/>
        </w:rPr>
        <w:instrText>ADDIN CSL_CITATION { "citationItems" : [ { "id" : "ITEM-1", "itemData" : { "author" : [ { "dropping-particle" : "", "family" : "GSGSSI", "given" : "", "non-dropping-particle" : "", "parse-names" : false, "suffix" : "" } ], "id" : "ITEM-1", "issued" : { "date-parts" : [ [ "2013" ] ] }, "page" : "Version 2.0: 31/08/2013", "title" : "South Georgia and the South Sandwich Islands Marine Protected Area Management Plan", "type" : "article-journal" }, "uris" : [ "http://www.mendeley.com/documents/?uuid=a1f43f62-c3b1-45ae-b777-7a82c5066c89", "http://www.mendeley.com/documents/?uuid=efbdcfab-c0e5-4ce7-8ed7-d73c7ffcc97e" ] }, { "id" : "ITEM-2", "itemData" : { "DOI" : "10.1016/B978-0-12-800214-8.00002-5", "ISBN" : "9780128002148", "ISSN" : "00652881", "PMID" : "25358297", "abstract" : "South Georgia and the South Sandwich Islands (SGSSI) are surrounded by oceans that are species-rich, have high levels of biodiversity, important endemism and which also support large aggregations of charismatic upper trophic level species. Spatial management around these islands is complex, particularly in the context of commercial fisheries that exploit some of these living resources. Furthermore, management is especially complicated as local productivity relies fundamentally upon biological production transported from outside the area. The MPA uses practical management boundaries, allowing access for the current legal fisheries for Patagonian toothfish, mackerel icefish and Antarctic krill. Management measures developed as part of the planning process designated the whole SGSSI Maritime Zone as an IUCN Category VI reserve, within which a number of IUCN Category I reserves were identified. Multiple-use zones and temporal closures were also designated. A key multiple-use principle was to identify whether the ecological impacts of a particular fishery threatened either the pelagic or benthic domain.", "author" : [ { "dropping-particle" : "", "family" : "Trathan", "given" : "Philip N.", "non-dropping-particle" : "", "parse-names" : false, "suffix" : "" }, { "dropping-particle" : "", "family" : "Collins", "given" : "Martin A.", "non-dropping-particle" : "", "parse-names" : false, "suffix" : "" }, { "dropping-particle" : "", "family" : "Grant", "given" : "Susie M.", "non-dropping-particle" : "", "parse-names" : false, "suffix" : "" }, { "dropping-particle" : "", "family" : "Belchier", "given" : "Mark", "non-dropping-particle" : "", "parse-names" : false, "suffix" : "" }, { "dropping-particle" : "", "family" : "Barnes", "given" : "David K A", "non-dropping-particle" : "", "parse-names" : false, "suffix" : "" }, { "dropping-particle" : "", "family" : "Brown", "given" : "Judith", "non-dropping-particle" : "", "parse-names" : false, "suffix" : "" }, { "dropping-particle" : "", "family" : "Staniland", "given" : "Iain J.", "non-dropping-particle" : "", "parse-names" : false, "suffix" : "" } ], "container-title" : "Advances in Marine Biology", "id" : "ITEM-2", "issued" : { "date-parts" : [ [ "2014" ] ] }, "number-of-pages" : "15-78", "title" : "The South Georgia and the South Sandwich Islands MPA: Protecting A Biodiverse Oceanic Island Chain Situated in the Flow of the Antarctic Circumpolar Current", "type" : "book", "volume" : "69" }, "uris" : [ "http://www.mendeley.com/documents/?uuid=3a91f214-3b1e-4dda-b789-35977b356ded", "http://www.mendeley.com/documents/?uuid=b2db3696-99e6-4033-b435-b50639138ba4" ] }, { "id" : "ITEM-3", "itemData" : { "DOI" : "10.1016/bs.amb.2015.06.001", "ISBN" : "9780128036020", "ISSN" : "00652881", "PMID" : "26296718", "abstract" : "The current hiatus in the establishment of a network of marine protected areas (MPAs) in the Antarctic means that other routes to conservation are required. The protection of overseas territories in the Antarctic and sub-Antarctic represents one way to advance the initiation of such a network. This review of the physical and biological features of the United Kingdom (U.K.) overseas territories of South Georgia and South Sandwich Islands (SGSSI) is undertaken to estimate the importance of the islands in terms of marine conservation in the Southern Ocean and globally. The economy and management of SGSSI are also analysed, and the question of whether the islands already have sufficient protection to constitute part of an Antarctic network of MPAs is assessed. The SGSSI comprise unique geological and physical features, a diverse marine biota, including a significant proportion of endemic species and globally important breeding populations of marine predators. Regardless of past exploitation of biotic resources, such as seals, whales and finfish, SGSSI would make a significant contribution to biological diversity in an Antarctic network of MPAs. At present, conservation measures do not adequately protect all of the biological features that render the islands so important in terms of conservation at a regional and global level. However, a general lack of data on Antarctic marine ecosystems (particularly needed for SGSSSI) makes it difficult to assess this fully. One barrier to achieving more complete protection is the continuing emphasis on fishing effort in these waters by U.K. government. Other non-U.K. Antarctic overseas territories of conservation importance are also compromised as MPAs because of the exploitation of fisheries resources in their waters. The possible non-use values of SGSSI as well as the importance of ecosystem services that are indirectly used by people are outlined in this review. Technology is improving the potential for management of remote MPAs, particularly in the context of incursion by illegal fishing activities and use of satellite surveillance for enforcement of fisheries and conservation regulations. The conflict between commercial exploitation and conservation of Antarctic marine living resources is explored. \u00a9 2015 Elsevier Ltd.", "author" : [ { "dropping-particle" : "", "family" : "Rogers", "given" : "Alex D.", "non-dropping-particle" : "", "parse-names" : false, "suffix" : "" }, { "dropping-particle" : "", "family" : "Yesson", "given" : "Christopher", "non-dropping-particle" : "", "parse-names" : false, "suffix" : "" }, { "dropping-particle" : "", "family" : "Gravestock", "given" : "Pippa", "non-dropping-particle" : "", "parse-names" : false, "suffix" : "" } ], "container-title" : "Advances in Marine Biology", "edition" : "1", "id" : "ITEM-3", "issued" : { "date-parts" : [ [ "2016" ] ] }, "number-of-pages" : "1-286", "publisher" : "Elsevier Ltd.", "title" : "A Biophysical and Economic Profile of South Georgia and the South Sandwich Islands as Potential Large-Scale Antarctic Protected Areas", "type" : "book", "volume" : "73" }, "uris" : [ "http://www.mendeley.com/documents/?uuid=d28e3ea4-337b-496b-970d-8eb8cd2bd607", "http://www.mendeley.com/documents/?uuid=720a34bb-86bc-4d7d-a0ec-603397d3a366", "http://www.mendeley.com/documents/?uuid=8a0d41db-824f-4949-98d0-371ede8de11d" ] } ], "mendeley" : { "formattedCitation" : "(GSGSSI, 2013; Rogers et al., 2016; Trathan et al., 2014)", "plainTextFormattedCitation" : "(GSGSSI, 2013; Rogers et al., 2016; Trathan et al., 2014)", "previouslyFormattedCitation" : "(GSGSSI, 2013; Rogers et al., 2016; Trathan et al., 2014)" }, "properties" : {  }, "schema" : "https://github.com/citation-style-language/schema/raw/master/csl-citation.json" }</w:instrText>
      </w:r>
      <w:r w:rsidRPr="00BB12DF">
        <w:rPr>
          <w:iCs/>
        </w:rPr>
        <w:fldChar w:fldCharType="separate"/>
      </w:r>
      <w:r w:rsidR="00126000" w:rsidRPr="00126000">
        <w:rPr>
          <w:iCs/>
          <w:noProof/>
        </w:rPr>
        <w:t>(GSGSSI, 2013; Rogers et al., 2016; Trathan et al., 2014)</w:t>
      </w:r>
      <w:r w:rsidRPr="00BB12DF">
        <w:rPr>
          <w:iCs/>
        </w:rPr>
        <w:fldChar w:fldCharType="end"/>
      </w:r>
      <w:r w:rsidRPr="00BB12DF">
        <w:rPr>
          <w:iCs/>
        </w:rPr>
        <w:t xml:space="preserve">. </w:t>
      </w:r>
      <w:r>
        <w:rPr>
          <w:iCs/>
        </w:rPr>
        <w:t>Impetus for the MPA came from the desire to conserve species and habitats in the face of climate variability and change</w:t>
      </w:r>
      <w:r w:rsidR="00507430">
        <w:rPr>
          <w:iCs/>
        </w:rPr>
        <w:t>, and</w:t>
      </w:r>
      <w:r w:rsidR="004075A3">
        <w:rPr>
          <w:iCs/>
        </w:rPr>
        <w:t xml:space="preserve"> </w:t>
      </w:r>
      <w:r>
        <w:rPr>
          <w:iCs/>
        </w:rPr>
        <w:t xml:space="preserve">previously high levels of illegal, unregulated and unreported fishing (IUU), and </w:t>
      </w:r>
      <w:r w:rsidRPr="0038132C">
        <w:rPr>
          <w:iCs/>
        </w:rPr>
        <w:t xml:space="preserve">incidental mortality (bycatch) </w:t>
      </w:r>
      <w:r w:rsidRPr="0038132C">
        <w:fldChar w:fldCharType="begin" w:fldLock="1"/>
      </w:r>
      <w:r w:rsidR="00195AA8">
        <w:rPr>
          <w:iCs/>
        </w:rPr>
        <w:instrText>ADDIN CSL_CITATION { "citationItems" : [ { "id" : "ITEM-1", "itemData" : { "author" : [ { "dropping-particle" : "", "family" : "GSGSSI", "given" : "", "non-dropping-particle" : "", "parse-names" : false, "suffix" : "" } ], "id" : "ITEM-1", "issued" : { "date-parts" : [ [ "2017" ] ] }, "title" : "South Georgia &amp; the South Sandwich Islands Implementation Plan for the Agreement on the Conservation of Albatrosses and Petrels (ACAP) 2016-2020. Government of South Georgia &amp; the South Sandwich Islands, Stanley, Falkland Islands.", "type" : "article-journal" }, "uris" : [ "http://www.mendeley.com/documents/?uuid=5e238f57-9e52-4bbd-b4a1-5050045059fb", "http://www.mendeley.com/documents/?uuid=ca32940d-9453-4700-ac61-7cbece6cad76" ] }, { "id" : "ITEM-2", "itemData" : { "DOI" : "10.1016/B978-0-12-800214-8.00002-5", "ISBN" : "9780128002148", "ISSN" : "00652881", "PMID" : "25358297", "abstract" : "South Georgia and the South Sandwich Islands (SGSSI) are surrounded by oceans that are species-rich, have high levels of biodiversity, important endemism and which also support large aggregations of charismatic upper trophic level species. Spatial management around these islands is complex, particularly in the context of commercial fisheries that exploit some of these living resources. Furthermore, management is especially complicated as local productivity relies fundamentally upon biological production transported from outside the area. The MPA uses practical management boundaries, allowing access for the current legal fisheries for Patagonian toothfish, mackerel icefish and Antarctic krill. Management measures developed as part of the planning process designated the whole SGSSI Maritime Zone as an IUCN Category VI reserve, within which a number of IUCN Category I reserves were identified. Multiple-use zones and temporal closures were also designated. A key multiple-use principle was to identify whether the ecological impacts of a particular fishery threatened either the pelagic or benthic domain.", "author" : [ { "dropping-particle" : "", "family" : "Trathan", "given" : "Philip N.", "non-dropping-particle" : "", "parse-names" : false, "suffix" : "" }, { "dropping-particle" : "", "family" : "Collins", "given" : "Martin A.", "non-dropping-particle" : "", "parse-names" : false, "suffix" : "" }, { "dropping-particle" : "", "family" : "Grant", "given" : "Susie M.", "non-dropping-particle" : "", "parse-names" : false, "suffix" : "" }, { "dropping-particle" : "", "family" : "Belchier", "given" : "Mark", "non-dropping-particle" : "", "parse-names" : false, "suffix" : "" }, { "dropping-particle" : "", "family" : "Barnes", "given" : "David K A", "non-dropping-particle" : "", "parse-names" : false, "suffix" : "" }, { "dropping-particle" : "", "family" : "Brown", "given" : "Judith", "non-dropping-particle" : "", "parse-names" : false, "suffix" : "" }, { "dropping-particle" : "", "family" : "Staniland", "given" : "Iain J.", "non-dropping-particle" : "", "parse-names" : false, "suffix" : "" } ], "container-title" : "Advances in Marine Biology", "id" : "ITEM-2", "issued" : { "date-parts" : [ [ "2014" ] ] }, "number-of-pages" : "15-78", "title" : "The South Georgia and the South Sandwich Islands MPA: Protecting A Biodiverse Oceanic Island Chain Situated in the Flow of the Antarctic Circumpolar Current", "type" : "book", "volume" : "69" }, "uris" : [ "http://www.mendeley.com/documents/?uuid=3a91f214-3b1e-4dda-b789-35977b356ded", "http://www.mendeley.com/documents/?uuid=b2db3696-99e6-4033-b435-b50639138ba4" ] } ], "mendeley" : { "formattedCitation" : "(GSGSSI, 2017; Trathan et al., 2014)", "plainTextFormattedCitation" : "(GSGSSI, 2017; Trathan et al., 2014)", "previouslyFormattedCitation" : "(GSGSSI, 2017; Trathan et al., 2014)" }, "properties" : {  }, "schema" : "https://github.com/citation-style-language/schema/raw/master/csl-citation.json" }</w:instrText>
      </w:r>
      <w:r w:rsidRPr="0038132C">
        <w:fldChar w:fldCharType="separate"/>
      </w:r>
      <w:r w:rsidR="00126000" w:rsidRPr="00126000">
        <w:rPr>
          <w:iCs/>
          <w:noProof/>
        </w:rPr>
        <w:t>(GSGSSI, 2017; Trathan et al., 2014)</w:t>
      </w:r>
      <w:r w:rsidRPr="0038132C">
        <w:fldChar w:fldCharType="end"/>
      </w:r>
      <w:r w:rsidRPr="0038132C">
        <w:rPr>
          <w:iCs/>
        </w:rPr>
        <w:t xml:space="preserve">. </w:t>
      </w:r>
      <w:r w:rsidR="00324E97">
        <w:t xml:space="preserve"> </w:t>
      </w:r>
    </w:p>
    <w:p w14:paraId="095B509B" w14:textId="72C51162" w:rsidR="00281833" w:rsidRDefault="00281833" w:rsidP="00281833">
      <w:pPr>
        <w:pStyle w:val="Heading2"/>
        <w:rPr>
          <w:rFonts w:ascii="Arial" w:hAnsi="Arial" w:cs="Arial"/>
        </w:rPr>
      </w:pPr>
      <w:r>
        <w:t>2.2 Data considered for KBA identification</w:t>
      </w:r>
    </w:p>
    <w:p w14:paraId="7513F8F7" w14:textId="52C019C9" w:rsidR="00281833" w:rsidRDefault="00281833" w:rsidP="00C70A52">
      <w:pPr>
        <w:spacing w:after="120"/>
      </w:pPr>
      <w:r>
        <w:t xml:space="preserve">We collated data on IUCN Red List threat status </w:t>
      </w:r>
      <w:r>
        <w:fldChar w:fldCharType="begin" w:fldLock="1"/>
      </w:r>
      <w:r w:rsidR="00195AA8">
        <w:instrText>ADDIN CSL_CITATION { "citationItems" : [ { "id" : "ITEM-1", "itemData" : { "author" : [ { "dropping-particle" : "", "family" : "IUCN", "given" : "", "non-dropping-particle" : "", "parse-names" : false, "suffix" : "" } ], "id" : "ITEM-1", "issued" : { "date-parts" : [ [ "2018" ] ] }, "title" : "IUCN 2018. The IUCN Red List of Threatened Species. Version 2018-1. &lt;http://www.iucnredlist.org&gt;. Downloaded on 05 July 2018.", "type" : "article-journal" }, "uris" : [ "http://www.mendeley.com/documents/?uuid=bd57aadd-61e8-4776-86b8-ebe3a19692b7", "http://www.mendeley.com/documents/?uuid=d8bdf883-2e2e-4498-835e-8963aab17349", "http://www.mendeley.com/documents/?uuid=63f8f5e9-4e59-44cc-bad1-52d42cb30063" ] } ], "mendeley" : { "formattedCitation" : "(IUCN, 2018)", "plainTextFormattedCitation" : "(IUCN, 2018)", "previouslyFormattedCitation" : "(IUCN, 2018)" }, "properties" : {  }, "schema" : "https://github.com/citation-style-language/schema/raw/master/csl-citation.json" }</w:instrText>
      </w:r>
      <w:r>
        <w:fldChar w:fldCharType="separate"/>
      </w:r>
      <w:r w:rsidR="00126000" w:rsidRPr="00126000">
        <w:rPr>
          <w:noProof/>
        </w:rPr>
        <w:t>(IUCN, 2018)</w:t>
      </w:r>
      <w:r>
        <w:fldChar w:fldCharType="end"/>
      </w:r>
      <w:r>
        <w:t>, breeding site locations, population sizes, and at-sea locations (derived from tracking data) sampled using global positioning systems (GPS) and platform terminal transmitters (PTT)</w:t>
      </w:r>
      <w:r w:rsidR="002F7087">
        <w:t>,</w:t>
      </w:r>
      <w:r>
        <w:t xml:space="preserve"> for 14 species of higher predators</w:t>
      </w:r>
      <w:r w:rsidR="00335826">
        <w:t xml:space="preserve"> (Table 1)</w:t>
      </w:r>
      <w:r>
        <w:t xml:space="preserve"> which breed </w:t>
      </w:r>
      <w:r w:rsidR="00335826">
        <w:t xml:space="preserve">at approximately 815 sites across </w:t>
      </w:r>
      <w:r w:rsidR="00A0170C">
        <w:t xml:space="preserve">SGSSI </w:t>
      </w:r>
      <w:r w:rsidR="00883399">
        <w:t>(</w:t>
      </w:r>
      <w:r w:rsidR="00637C94">
        <w:t>Appendix 1</w:t>
      </w:r>
      <w:r w:rsidR="00335826">
        <w:t xml:space="preserve">, Sheet: </w:t>
      </w:r>
      <w:r w:rsidR="00316683">
        <w:t>‘</w:t>
      </w:r>
      <w:r w:rsidR="00335826">
        <w:t>Pops_data_sources</w:t>
      </w:r>
      <w:r w:rsidR="00316683">
        <w:t>’</w:t>
      </w:r>
      <w:r w:rsidR="00F65478">
        <w:t xml:space="preserve"> &amp; </w:t>
      </w:r>
      <w:r w:rsidR="00637C94">
        <w:t>Appendix 2</w:t>
      </w:r>
      <w:r w:rsidR="00F65478">
        <w:t>, section ‘Species overview’</w:t>
      </w:r>
      <w:r w:rsidR="00335826">
        <w:t>)</w:t>
      </w:r>
      <w:r>
        <w:t xml:space="preserve">. We used the most recent population estimates available for each </w:t>
      </w:r>
      <w:r w:rsidR="0098500D">
        <w:t>breeding site</w:t>
      </w:r>
      <w:r>
        <w:t>, based on published information (</w:t>
      </w:r>
      <w:r w:rsidR="00F65478">
        <w:t>Table 1</w:t>
      </w:r>
      <w:r>
        <w:t>) and our own databases (British Antarctic Survey, unpublished data). Population sizes refer to the number of breeding pairs and adult females for seabirds and seals, respectively</w:t>
      </w:r>
      <w:r w:rsidR="00C70A52">
        <w:t>; e</w:t>
      </w:r>
      <w:r w:rsidR="00C70A52" w:rsidRPr="00E34F7C">
        <w:t>stimates</w:t>
      </w:r>
      <w:r w:rsidR="00C70A52">
        <w:t xml:space="preserve"> which</w:t>
      </w:r>
      <w:r w:rsidR="00C70A52" w:rsidRPr="00E34F7C">
        <w:t xml:space="preserve"> are based on the standardised census techniques for each taxon</w:t>
      </w:r>
      <w:r w:rsidR="00C70A52">
        <w:t>.</w:t>
      </w:r>
    </w:p>
    <w:p w14:paraId="287F7DE4" w14:textId="3EB6AB7F" w:rsidR="00281833" w:rsidRDefault="00281833" w:rsidP="00832CF2">
      <w:pPr>
        <w:spacing w:after="120"/>
      </w:pPr>
      <w:r>
        <w:t>In total, 1418 tracks, comprising 2351 trips, were compiled from the BirdLife International Seabird Tracking Database (www.seabirdtracking.org) and other stakeholders, representing 12 different species</w:t>
      </w:r>
      <w:r w:rsidR="00CA441C">
        <w:t xml:space="preserve"> (Table 2)</w:t>
      </w:r>
      <w:r>
        <w:t>. Tracking data came from</w:t>
      </w:r>
      <w:r w:rsidR="001D2FC1">
        <w:t xml:space="preserve"> species rich sites with high abundance of biodiversity. Sites included </w:t>
      </w:r>
      <w:r w:rsidR="00832CF2">
        <w:t>a</w:t>
      </w:r>
      <w:r w:rsidR="001D2FC1">
        <w:t xml:space="preserve"> primary</w:t>
      </w:r>
      <w:r w:rsidR="003055F2">
        <w:t xml:space="preserve"> site in the north-west of South Georgia, Bird Island, and six other regions</w:t>
      </w:r>
      <w:r w:rsidR="00AC34CB">
        <w:t xml:space="preserve"> on the</w:t>
      </w:r>
      <w:r w:rsidR="00335826">
        <w:t xml:space="preserve"> northern coastline</w:t>
      </w:r>
      <w:r w:rsidR="001A755E">
        <w:t xml:space="preserve"> of South Georgia</w:t>
      </w:r>
      <w:r w:rsidR="00F12434">
        <w:t xml:space="preserve">. </w:t>
      </w:r>
      <w:r w:rsidR="001D2FC1">
        <w:t>Two key sites to the west and south of South Georgia would benef</w:t>
      </w:r>
      <w:r w:rsidR="00F12434">
        <w:t xml:space="preserve">it from future sampling efforts, but </w:t>
      </w:r>
      <w:r w:rsidR="001D2FC1">
        <w:t xml:space="preserve">the southwest coast of South Georgia provides </w:t>
      </w:r>
      <w:r w:rsidR="00A82FEC">
        <w:t xml:space="preserve">generally </w:t>
      </w:r>
      <w:r w:rsidR="001D2FC1">
        <w:t xml:space="preserve">poor breeding habitat for </w:t>
      </w:r>
      <w:r w:rsidR="00F12434">
        <w:t xml:space="preserve">many of </w:t>
      </w:r>
      <w:r w:rsidR="001D2FC1">
        <w:t>the species consi</w:t>
      </w:r>
      <w:r w:rsidR="00F12434">
        <w:t>dered in this study (Appendix 2, Figure S1).</w:t>
      </w:r>
      <w:r w:rsidR="003055F2">
        <w:t xml:space="preserve"> Tracking data</w:t>
      </w:r>
      <w:r>
        <w:t xml:space="preserve"> spanned the 1990/91 austral summer to the 2015 austral winter</w:t>
      </w:r>
      <w:r w:rsidR="00883399">
        <w:t xml:space="preserve"> (</w:t>
      </w:r>
      <w:r w:rsidR="00637C94">
        <w:t>Appendix 1</w:t>
      </w:r>
      <w:r w:rsidR="00AC34CB">
        <w:t>, Sheet: Tracking_data_sources)</w:t>
      </w:r>
      <w:r>
        <w:t xml:space="preserve">. No species </w:t>
      </w:r>
      <w:r w:rsidR="00AC34CB">
        <w:t>have been tracked from the South Sandwich Islands</w:t>
      </w:r>
      <w:r>
        <w:t xml:space="preserve">. </w:t>
      </w:r>
    </w:p>
    <w:p w14:paraId="4B4022E1" w14:textId="5C1B4012" w:rsidR="00846E66" w:rsidRDefault="00A5510D" w:rsidP="000D41FA">
      <w:pPr>
        <w:spacing w:after="120"/>
      </w:pPr>
      <w:r>
        <w:lastRenderedPageBreak/>
        <w:t>Data were analysed at the level of</w:t>
      </w:r>
      <w:r w:rsidR="006C5C66">
        <w:t xml:space="preserve"> homogeneous units, which </w:t>
      </w:r>
      <w:r w:rsidR="00330287">
        <w:t xml:space="preserve">account for specific stages in the annual cycle of an organism where distribution may be more or less constrained during a given stage, location or age of the organism. Specifically, we refer to these homogeneous units as ‘data-groups’, where each data-group represents a </w:t>
      </w:r>
      <w:r w:rsidRPr="00D72659">
        <w:t>species</w:t>
      </w:r>
      <w:r>
        <w:t>,</w:t>
      </w:r>
      <w:r w:rsidRPr="00D72659">
        <w:t xml:space="preserve"> </w:t>
      </w:r>
      <w:r w:rsidR="00557092">
        <w:t xml:space="preserve">from a particular </w:t>
      </w:r>
      <w:r w:rsidRPr="00D72659">
        <w:t xml:space="preserve">breeding </w:t>
      </w:r>
      <w:r>
        <w:t xml:space="preserve">site and </w:t>
      </w:r>
      <w:r w:rsidR="00557092">
        <w:t xml:space="preserve">during a specific </w:t>
      </w:r>
      <w:r w:rsidRPr="00D72659">
        <w:t xml:space="preserve">breeding stage, </w:t>
      </w:r>
      <w:r w:rsidR="00330287">
        <w:t xml:space="preserve">and accounts </w:t>
      </w:r>
      <w:r>
        <w:t xml:space="preserve">for </w:t>
      </w:r>
      <w:r w:rsidRPr="00D72659">
        <w:t>age</w:t>
      </w:r>
      <w:r>
        <w:t xml:space="preserve"> </w:t>
      </w:r>
      <w:r w:rsidR="00330287">
        <w:t>or</w:t>
      </w:r>
      <w:r w:rsidR="00330287" w:rsidRPr="00D72659">
        <w:t xml:space="preserve"> </w:t>
      </w:r>
      <w:r w:rsidRPr="00D72659">
        <w:t xml:space="preserve">sex </w:t>
      </w:r>
      <w:r>
        <w:t>differences</w:t>
      </w:r>
      <w:r w:rsidRPr="00D72659">
        <w:t xml:space="preserve"> where necessary</w:t>
      </w:r>
      <w:r w:rsidDel="00A5510D">
        <w:t xml:space="preserve"> </w:t>
      </w:r>
      <w:r w:rsidR="00E4410E">
        <w:t>(e.g. Figure 2)</w:t>
      </w:r>
      <w:r w:rsidR="00F626FF">
        <w:t>.</w:t>
      </w:r>
      <w:r w:rsidR="009B36A5">
        <w:t xml:space="preserve"> Initially, 69 data-groups were distinguished from the collated tracking data</w:t>
      </w:r>
      <w:r w:rsidR="00832CF2">
        <w:t xml:space="preserve"> </w:t>
      </w:r>
      <w:r w:rsidR="009B36A5">
        <w:t>(</w:t>
      </w:r>
      <w:r w:rsidR="00637C94">
        <w:t>Appendix 2</w:t>
      </w:r>
      <w:r w:rsidR="009B36A5">
        <w:t xml:space="preserve">, Figure S2). </w:t>
      </w:r>
      <w:r w:rsidR="000D41FA">
        <w:t>Each of these data-groups were assessed in a step-wise fashion to determine whether at-sea distribution data were suitable for attempts to identify representative core-area use sites (step 1</w:t>
      </w:r>
      <w:r w:rsidR="00932DB8">
        <w:t>, e.g. sufficient sample size</w:t>
      </w:r>
      <w:r w:rsidR="000D41FA">
        <w:t>), then whether these sites were representative of the sampled population (step 2), and finally if these sites would be regarded as manageable units</w:t>
      </w:r>
      <w:r w:rsidR="00932DB8">
        <w:t xml:space="preserve"> as per the KBA guidelines</w:t>
      </w:r>
      <w:r w:rsidR="000D41FA">
        <w:t xml:space="preserve"> (step 3). The final </w:t>
      </w:r>
      <w:r w:rsidR="00932DB8">
        <w:t xml:space="preserve">at-sea </w:t>
      </w:r>
      <w:r w:rsidR="000D41FA">
        <w:t>sites</w:t>
      </w:r>
      <w:r w:rsidR="00932DB8">
        <w:t>,</w:t>
      </w:r>
      <w:r w:rsidR="000D41FA">
        <w:t xml:space="preserve"> identified through the approaches outlined below</w:t>
      </w:r>
      <w:r w:rsidR="00932DB8">
        <w:t>,</w:t>
      </w:r>
      <w:r w:rsidR="000D41FA">
        <w:t xml:space="preserve"> were assessed to determine if they met the global KBA criteria (</w:t>
      </w:r>
      <w:r w:rsidR="00932DB8">
        <w:t xml:space="preserve">See </w:t>
      </w:r>
      <w:r w:rsidR="000D41FA">
        <w:t>Appendix 2</w:t>
      </w:r>
      <w:r w:rsidR="00932DB8">
        <w:t xml:space="preserve"> for further details and</w:t>
      </w:r>
      <w:r w:rsidR="000D41FA">
        <w:t xml:space="preserve"> Table S1</w:t>
      </w:r>
      <w:r w:rsidR="00932DB8">
        <w:t xml:space="preserve"> for details pertaining to each data-group</w:t>
      </w:r>
      <w:r w:rsidR="000D41FA">
        <w:t>).</w:t>
      </w:r>
    </w:p>
    <w:p w14:paraId="59026EE4" w14:textId="73096A4E" w:rsidR="00631C98" w:rsidRDefault="00631C98" w:rsidP="00846E66">
      <w:pPr>
        <w:pStyle w:val="Heading2"/>
        <w:rPr>
          <w:rFonts w:ascii="Arial" w:hAnsi="Arial" w:cs="Arial"/>
        </w:rPr>
      </w:pPr>
      <w:r>
        <w:t>2.3 Delineating KBAs</w:t>
      </w:r>
    </w:p>
    <w:p w14:paraId="4D650947" w14:textId="12C73A85" w:rsidR="00631C98" w:rsidRDefault="00631C98" w:rsidP="00F43640">
      <w:r>
        <w:t xml:space="preserve">Delineating KBAs for </w:t>
      </w:r>
      <w:r w:rsidR="00E83F39">
        <w:t>marine predators at sea requires</w:t>
      </w:r>
      <w:r>
        <w:t xml:space="preserve"> the identification of representative core areas used by </w:t>
      </w:r>
      <w:r w:rsidR="00932DB8">
        <w:t xml:space="preserve">a threshold number of </w:t>
      </w:r>
      <w:r>
        <w:t xml:space="preserve">individuals from a population. These areas </w:t>
      </w:r>
      <w:r w:rsidR="00E83F39">
        <w:t>were</w:t>
      </w:r>
      <w:r>
        <w:t xml:space="preserve"> then assessed against two of the five sets</w:t>
      </w:r>
      <w:r w:rsidR="008540CB">
        <w:t xml:space="preserve"> of </w:t>
      </w:r>
      <w:r>
        <w:t>KBA criteria</w:t>
      </w:r>
      <w:r w:rsidR="008540CB">
        <w:t xml:space="preserve"> </w:t>
      </w:r>
      <w:r w:rsidR="00C6384D">
        <w:fldChar w:fldCharType="begin" w:fldLock="1"/>
      </w:r>
      <w:r w:rsidR="00195AA8">
        <w:instrText>ADDIN CSL_CITATION { "citationItems" : [ { "id" : "ITEM-1", "itemData" : { "DOI" : "10.1111/ddi.12411", "ISBN" : "13669516", "ISSN" : "14724642", "abstract" : "ABSTRACT Aim Enhanced management of areas important for marine biodiversity are now obligations under a range of international treaties. Tracking data provide unparalleled information on the distribution of marine taxa, but there are no agreed guidelines that ensure these data are used consistently to identify biodi- versity hotspots and inform marine management decisions. Here, we develop methods to standardize the analysis of tracking data to identify sites of conser- vation importance at global and regional scales. Location We applied these methods to the largest available compilation of sea- bird tracking data, covering 60 species, collected from 55 deployment locations ranging from the poles to the tropics. Methods Key developments include a test for pseudo-replication to assess the independence of two groups of tracking data, an objective approach to define spe- cies-specific smoothing parameters (h values) for kernel density estimation based on area-restricted search behaviour, and an analysis to determine whether sites identified fromtracked individuals are also representative for the wider population. Results This analysis delineated priority sites for marine conservation for 52 of the 60 species assessed. We compiled 252 data groupings and defined 1052 polygons, between them meeting Important Bird and Biodiversity Area criteria over 1500 times. Other results showed 13% of data groups were inadequate for site definition and 10% showed some level of pseudo-replication. Between 25 and 50 trips were needed within a data group for data to be considered at least partially representative of the respective population. Main conclusions Our approach provides a consistent framework for using animal tracking data to delineate areas of global conservation importance, allowing greater integration into marine spatial planning and policy. The approaches we describe are exemplified for pelagic seabirds, but are applicable to a range of taxonomic groups. Covering 4.3% of the oceans, the sites identi- fied would benefit from enhanced protection to better safeguard the threatened species populations they contain.", "author" : [ { "dropping-particle" : "", "family" : "Lascelles", "given" : "B. G.", "non-dropping-particle" : "", "parse-names" : false, "suffix" : "" }, { "dropping-particle" : "", "family" : "Taylor", "given" : "P. R.", "non-dropping-particle" : "", "parse-names" : false, "suffix" : "" }, { "dropping-particle" : "", "family" : "Miller", "given" : "M. G.R.", "non-dropping-particle" : "", "parse-names" : false, "suffix" : "" }, { "dropping-particle" : "", "family" : "Dias", "given" : "M. P.", "non-dropping-particle" : "", "parse-names" : false, "suffix" : "" }, { "dropping-particle" : "", "family" : "Oppel", "given" : "S.", "non-dropping-particle" : "", "parse-names" : false, "suffix" : "" }, { "dropping-particle" : "", "family" : "Torres", "given" : "L.", "non-dropping-particle" : "", "parse-names" : false, "suffix" : "" }, { "dropping-particle" : "", "family" : "Hedd", "given" : "A.", "non-dropping-particle" : "", "parse-names" : false, "suffix" : "" }, { "dropping-particle" : "", "family" : "Corre", "given" : "M.", "non-dropping-particle" : "Le", "parse-names" : false, "suffix" : "" }, { "dropping-particle" : "", "family" : "Phillips", "given" : "R. A.", "non-dropping-particle" : "", "parse-names" : false, "suffix" : "" }, { "dropping-particle" : "", "family" : "Shaffer", "given" : "S. A.", "non-dropping-particle" : "", "parse-names" : false, "suffix" : "" }, { "dropping-particle" : "", "family" : "Weimerskirch", "given" : "H.", "non-dropping-particle" : "", "parse-names" : false, "suffix" : "" }, { "dropping-particle" : "", "family" : "Small", "given" : "C.", "non-dropping-particle" : "", "parse-names" : false, "suffix" : "" } ], "container-title" : "Diversity and Distributions", "id" : "ITEM-1", "issue" : "4", "issued" : { "date-parts" : [ [ "2016" ] ] }, "page" : "422-431", "title" : "Applying global criteria to tracking data to define important areas for marine conservation", "type" : "article-journal", "volume" : "22" }, "uris" : [ "http://www.mendeley.com/documents/?uuid=d7b8767e-771a-4b74-963b-59a04395d909", "http://www.mendeley.com/documents/?uuid=45b8f51d-c461-451a-9e47-7e49ac37dcba" ] }, { "id" : "ITEM-2", "itemData" : { "ISBN" : "9782831718354", "author" : [ { "dropping-particle" : "", "family" : "IUCN", "given" : "", "non-dropping-particle" : "", "parse-names" : false, "suffix" : "" } ], "id" : "ITEM-2", "issued" : { "date-parts" : [ [ "2016" ] ] }, "publisher-place" : "Gland, Switzerland", "title" : "A Global Standard for the Identification of Key Biodiversity Areas, Version 1.0.", "type" : "book" }, "uris" : [ "http://www.mendeley.com/documents/?uuid=7dbe1c9b-27ac-4452-be36-bffa9b7d4960", "http://www.mendeley.com/documents/?uuid=7aa61310-4d2d-49a9-bfa9-5f48d70d25bf", "http://www.mendeley.com/documents/?uuid=e816bf79-15ca-4adb-90cf-b4607ecdd3c7" ] } ], "mendeley" : { "formattedCitation" : "(IUCN, 2016; Lascelles et al., 2016)", "plainTextFormattedCitation" : "(IUCN, 2016; Lascelles et al., 2016)", "previouslyFormattedCitation" : "(IUCN, 2016; Lascelles et al., 2016)" }, "properties" : {  }, "schema" : "https://github.com/citation-style-language/schema/raw/master/csl-citation.json" }</w:instrText>
      </w:r>
      <w:r w:rsidR="00C6384D">
        <w:fldChar w:fldCharType="separate"/>
      </w:r>
      <w:r w:rsidR="00126000" w:rsidRPr="00126000">
        <w:rPr>
          <w:noProof/>
        </w:rPr>
        <w:t>(IUCN, 2016; Lascelles et al., 2016)</w:t>
      </w:r>
      <w:r w:rsidR="00C6384D">
        <w:fldChar w:fldCharType="end"/>
      </w:r>
      <w:r>
        <w:t>: presence of significant numbers of globally threatened species</w:t>
      </w:r>
      <w:r w:rsidR="00E83F39">
        <w:t xml:space="preserve"> subject to conservation status</w:t>
      </w:r>
      <w:r>
        <w:t xml:space="preserve"> (KBA criterion A), or </w:t>
      </w:r>
      <w:r w:rsidR="00E83F39">
        <w:t>demographic</w:t>
      </w:r>
      <w:r>
        <w:t xml:space="preserve"> aggregations (</w:t>
      </w:r>
      <w:r w:rsidR="00C6384D">
        <w:t>&gt;</w:t>
      </w:r>
      <w:r>
        <w:t xml:space="preserve">1% of the species </w:t>
      </w:r>
      <w:r w:rsidR="00C6384D">
        <w:t xml:space="preserve">population is </w:t>
      </w:r>
      <w:r>
        <w:t>present, regardless of the conservation status) during key stages of their life cycles (KBA criterion D)</w:t>
      </w:r>
      <w:r w:rsidR="00F43640">
        <w:t xml:space="preserve"> (</w:t>
      </w:r>
      <w:r w:rsidR="00637C94">
        <w:t>Appendix 2</w:t>
      </w:r>
      <w:r w:rsidR="00F43640">
        <w:t>)</w:t>
      </w:r>
      <w:r>
        <w:t xml:space="preserve">. </w:t>
      </w:r>
    </w:p>
    <w:p w14:paraId="3821CA93" w14:textId="0211EB13" w:rsidR="00631C98" w:rsidRDefault="00631C98" w:rsidP="000D41FA">
      <w:r>
        <w:t xml:space="preserve">We used recently established methods which have been derived for seabird species to identify representative </w:t>
      </w:r>
      <w:r w:rsidR="006064B3">
        <w:t xml:space="preserve">at-sea </w:t>
      </w:r>
      <w:r>
        <w:t xml:space="preserve">areas used by a threshold number of individuals based on, i) tracking data </w:t>
      </w:r>
      <w:r>
        <w:fldChar w:fldCharType="begin" w:fldLock="1"/>
      </w:r>
      <w:r w:rsidR="00195AA8">
        <w:instrText xml:space="preserve">ADDIN CSL_CITATION { "citationItems" : [ { "id" : "ITEM-1", "itemData" : { "DOI" : "10.1111/ddi.12411", "ISBN" : "13669516", "ISSN" : "14724642", "abstract" : "ABSTRACT Aim Enhanced management of areas important for marine biodiversity are now obligations under a range of international treaties. Tracking data provide unparalleled information on the distribution of marine taxa, but there are no agreed guidelines that ensure these data are used consistently to identify biodi- versity hotspots and inform marine management decisions. Here, we develop methods to standardize the analysis of tracking data to identify sites of conser- vation importance at global and regional scales. Location We applied these methods to the largest available compilation of sea- bird tracking data, covering 60 species, collected from 55 deployment locations ranging from the poles to the tropics. Methods Key developments include a test for pseudo-replication to assess the independence of two groups of tracking data, an objective approach to define spe- cies-specific smoothing parameters (h values) for kernel density estimation based on area-restricted search behaviour, and an analysis to determine whether sites identified fromtracked individuals are also representative for the wider population. Results This analysis delineated priority sites for marine conservation for 52 of the 60 species assessed. We compiled 252 data groupings and defined 1052 polygons, between them meeting Important Bird and Biodiversity Area criteria over 1500 times. Other results showed 13% of data groups were inadequate for site definition and 10% showed some level of pseudo-replication. Between 25 and 50 trips were needed within a data group for data to be considered at least partially representative of the respective population. Main conclusions Our approach provides a consistent framework for using animal tracking data to delineate areas of global conservation importance, allowing greater integration into marine spatial planning and policy. The approaches we describe are exemplified for pelagic seabirds, but are applicable to a range of taxonomic groups. Covering 4.3% of the oceans, the sites identi- fied would benefit from enhanced protection to better safeguard the threatened species populations they contain.", "author" : [ { "dropping-particle" : "", "family" : "Lascelles", "given" : "B. G.", "non-dropping-particle" : "", "parse-names" : false, "suffix" : "" }, { "dropping-particle" : "", "family" : "Taylor", "given" : "P. R.", "non-dropping-particle" : "", "parse-names" : false, "suffix" : "" }, { "dropping-particle" : "", "family" : "Miller", "given" : "M. G.R.", "non-dropping-particle" : "", "parse-names" : false, "suffix" : "" }, { "dropping-particle" : "", "family" : "Dias", "given" : "M. P.", "non-dropping-particle" : "", "parse-names" : false, "suffix" : "" }, { "dropping-particle" : "", "family" : "Oppel", "given" : "S.", "non-dropping-particle" : "", "parse-names" : false, "suffix" : "" }, { "dropping-particle" : "", "family" : "Torres", "given" : "L.", "non-dropping-particle" : "", "parse-names" : false, "suffix" : "" }, { "dropping-particle" : "", "family" : "Hedd", "given" : "A.", "non-dropping-particle" : "", "parse-names" : false, "suffix" : "" }, { "dropping-particle" : "", "family" : "Corre", "given" : "M.", </w:instrText>
      </w:r>
      <w:r w:rsidR="00195AA8" w:rsidRPr="002939C6">
        <w:rPr>
          <w:lang w:val="fr-FR"/>
        </w:rPr>
        <w:instrText>"non-dropping-particle" : "Le", "parse-names" : false, "suffix" : "" }, { "dropping-particle" : "", "family" : "Phillips", "given" : "R. A.", "non-dropping-particle" : "", "parse-names" : false, "suffix" : "" }, { "dropping-particle" : "", "family" : "Shaffer", "given" : "S. A.", "non-dropping-particle" : "", "parse-names" : false, "suffix" : "" }, { "dropping-particle" : "", "family" : "Weimerskirch", "given" : "H.", "non-dropping-particle" : "", "parse-names" : false, "suffix" : "" }, { "dropping-particle" : "", "family" : "Small", "given" : "C.", "non-dropping-particle" : "", "parse-names" : false, "suffix" : "" } ], "container-title" : "Diversity and Distributions", "id" : "ITEM-1", "issue" : "4", "issued" : { "date-parts" : [ [ "2016" ] ] }, "page" : "422-431", "title" : "Applying global criteria to tracking data to define important areas for marine conservation", "type" : "article-journal", "volume" : "22" }, "uris" : [ "http://www.mendeley.com/documents/?uuid=d7b8767e-771a-4b74-963b-59a04395d909", "http://www.mendeley.com/documents/?uuid=45b8f51d-c461-451a-9e47-7e49ac37dcba" ] } ], "mendeley" : { "formattedCitation" : "(Lascelles et al., 2016)", "manualFormatting" : "(Lascelles et al. 2016; Dias et al. 2017, 2018a, Heraah et al. 2019)", "plainTextFormattedCitation" : "(Lascelles et al., 2016)", "previouslyFormattedCitation" : "(Lascelles et al., 2016)" }, "properties" : {  }, "schema" : "https://github.com/citation-style-language/schema/raw/master/csl-citation.json" }</w:instrText>
      </w:r>
      <w:r>
        <w:fldChar w:fldCharType="separate"/>
      </w:r>
      <w:r>
        <w:rPr>
          <w:noProof/>
          <w:lang w:val="fr-FR"/>
        </w:rPr>
        <w:t>(Lascelles et al. 2016; Dias et al. 2017, 2018a, Heraah et al. 2019)</w:t>
      </w:r>
      <w:r>
        <w:fldChar w:fldCharType="end"/>
      </w:r>
      <w:r>
        <w:rPr>
          <w:lang w:val="fr-FR"/>
        </w:rPr>
        <w:t>,</w:t>
      </w:r>
      <w:r w:rsidR="00F65478">
        <w:rPr>
          <w:lang w:val="fr-FR"/>
        </w:rPr>
        <w:t xml:space="preserve"> and</w:t>
      </w:r>
      <w:r>
        <w:rPr>
          <w:lang w:val="fr-FR"/>
        </w:rPr>
        <w:t xml:space="preserve"> ii) foraging radii </w:t>
      </w:r>
      <w:r>
        <w:fldChar w:fldCharType="begin" w:fldLock="1"/>
      </w:r>
      <w:r w:rsidR="00195AA8">
        <w:rPr>
          <w:lang w:val="fr-FR"/>
        </w:rPr>
        <w:instrText>ADDIN CSL_CITATION { "citationItems" : [ { "id" : "ITEM-1", "itemData" : { "DOI" : "10.1016/j.biocon.2016.02.007", "ISBN" : "0006-3207", "ISSN" : "00063207", "abstract" : "Recent international initiatives have promoted a number of different approaches to identify marine Important Bird and biodiversity Areas (IBAs), which are important areas for foraging, migrating or over-wintering seabirds. The 'Foraging Radius Approach' is one of these and uses known foraging range and habitat preferences to predict the size and location of foraging areas around breeding colonies. Here we assess the performance of the Foraging Radius Approach using GPS tracking data from six seabird species with a variety of foraging modes. For each species we compared the population home-range areas of our six study species with the home-range areas defined using the Foraging Radius Approach. We also assessed whether basic information on depth preferences from tracking data could improve these home-range area estimates. Foraging Radius Approach home-range areas based on maximum foraging radii encompassed the entire population home-range of five out of six of our study species but overestimated the size of the population home-range area in every case. The mean maximum foraging radius overestimated the population home-range areas by a factor of 4-14 for five of the six species whilst the mean foraging radius overestimated the population home-range area for half of the species and underestimated for the rest. In the absence of other data, the Foraging Radius Approach appears to provide a reasonable basis for preliminary marine IBA identification. We suggest that using the mean value of all previously reported maximum foraging radii, informed by basic depth preferences provides the most appropriate prediction, balancing the needs of seabirds with efficient use of marine space.", "author" : [ { "dropping-particle" : "", "family" : "Soanes", "given" : "L. M.", "non-dropping-particle" : "", "parse-names" : false, "suffix" : "" }, { "dropping-particle" : "", "family" : "Bright", "given" : "J. A.", "non-dropping-particle" : "", "parse-names" : false, "suffix" : "" }, { "dropping-particle" : "", "family" : "Angel", "given" : "L. P.", "non-dropping-particle" : "", "parse-names" : false, "suffix" : "" }, { "dropping-particle" : "", "family" : "Arnould", "given" : "J. P.Y.", "non-dropping-particle" : "", "parse-names" : false, "suffix" : "" }, { "dropping-particle" : "", "family" : "Bolton", "given" : "M.", "non-dropping-particle" : "", "parse-names" : false, "suffix" : "" }, { "dropping-particle" : "", "family" : "Berlincourt", "given" : "M.", "non-dropping-particle" : "", "parse-names" : false, "suffix" : "" }, { "dropping-particle" : "", "family" : "Lascelles", "given" : "B.", "non-dropping-particle" : "", "parse-names" : false, "suffix" : "" }, { "dropping-particle" : "", "family" : "Owen", "given" : "E.", "non-dropping-particle" : "", "parse-names" : false, "suffix" : "" }, { "dropping-particle" : "", "family" : "Simon-Bouhet", "given" : "B.", "non-dropping-particle" : "", "parse-names" : false, "suffix" : "" }, { "dropping-particle" : "", "family" : "Green", "given" : "J. A.", "non-dropping-particle" : "", "parse-names" : false, "suffix" : "" } ], "container-title" : "Biological Conservation", "id" : "ITEM-1", "issued" : { "date-parts" : [ [ "2016" ] ] }, "page" : "69-79", "publisher" : "The Authors", "title" : "Defining marine important bird areas: Testing the foraging radius approach", "type" : "article-journal", "volume" : "196" }, "uris" : [ "http://www.mendeley.com/documents/?uuid=da791031-aa59-4046-9f02-caee0e81f5a8", "http://www.mendeley.com/documents/?uuid=b604466d-270d-4b1f-b626-f9d5a5207aad" ] } ], "mendeley" : { "formattedCitation" : "(Soanes et al., 2016)", "plainTextFormattedCitation" : "(Soanes et al., 2016)", "previouslyFormattedCitation" : "(Soanes et al., 2016)" }, "properties" : {  }, "schema" : "https://github.com/citation-style-language/schema/raw/master/csl-citation.json" }</w:instrText>
      </w:r>
      <w:r>
        <w:fldChar w:fldCharType="separate"/>
      </w:r>
      <w:r w:rsidR="00126000" w:rsidRPr="00126000">
        <w:rPr>
          <w:noProof/>
        </w:rPr>
        <w:t>(Soanes et al., 2016)</w:t>
      </w:r>
      <w:r>
        <w:fldChar w:fldCharType="end"/>
      </w:r>
      <w:r w:rsidR="00F65478">
        <w:t xml:space="preserve"> and species distribution models</w:t>
      </w:r>
      <w:r>
        <w:t xml:space="preserve"> </w:t>
      </w:r>
      <w:r>
        <w:fldChar w:fldCharType="begin" w:fldLock="1"/>
      </w:r>
      <w:r w:rsidR="00195AA8">
        <w:instrText>ADDIN CSL_CITATION { "citationItems" : [ { "id" : "ITEM-1", "itemData" : { "DOI" : "10.1007/s00300-018-2404-4", "ISBN" : "0123456789", "ISSN" : "07224060", "PMID" : "17600522", "abstract" : "Many lesion studies report an amazing variety of deficits in behavioral\\nfunctions that cannot possibly be encoded in great detail by the\\nrelatively small number of midbrain dopamine neurons. Although hoping\\nto unravel a single dopamine function underlying these phenomena,\\nelectrophysiological and neurochemical studies still give a confusing,\\nmutually exclusive, and partly contradictory account of dopamine's\\nrole in behavior. However, the speed of observed phasic dopamine\\nchanges varies several thousand fold, which offers a means to differentiate\\nthe behavioral relationships according to their time courses. Thus\\ndopamine is involved in mediating the reactivity of the organism\\nto the environment at different time scales, from fast impulse responses\\nrelated to reward via slower changes with uncertainty, punishment,\\nand possibly movement to the tonic enabling of postsynaptic motor,\\ncognitive, and motivational systems deficient in Parkinson's disease.", "author" : [ { "dropping-particle" : "", "family" : "Dias", "given" : "Maria P", "non-dropping-particle" : "", "parse-names" : false, "suffix" : "" }, { "dropping-particle" : "", "family" : "Warwick-Evans", "given" : "V.", "non-dropping-particle" : "", "parse-names" : false, "suffix" : "" }, { "dropping-particle" : "", "family" : "Carneiro", "given" : "A. P.B.", "non-dropping-particle" : "", "parse-names" : false, "suffix" : "" }, { "dropping-particle" : "", "family" : "Harris", "given" : "C.", "non-dropping-particle" : "", "parse-names" : false, "suffix" : "" }, { "dropping-particle" : "", "family" : "Lascelles", "given" : "B. G.", "non-dropping-particle" : "", "parse-names" : false, "suffix" : "" }, { "dropping-particle" : "", "family" : "Clewlow", "given" : "H. L.", "non-dropping-particle" : "", "parse-names" : false, "suffix" : "" }, { "dropping-particle" : "", "family" : "Manco", "given" : "F.", "non-dropping-particle" : "", "parse-names" : false, "suffix" : "" }, { "dropping-particle" : "", "family" : "Ratcliffe", "given" : "N.", "non-dropping-particle" : "", "parse-names" : false, "suffix" : "" }, { "dropping-particle" : "", "family" : "Trathan", "given" : "P. N.", "non-dropping-particle" : "", "parse-names" : false, "suffix" : "" } ], "container-title" : "Polar Biology", "id" : "ITEM-1", "issued" : { "date-parts" : [ [ "2018" ] ] }, "page" : "1-9", "publisher" : "Springer Berlin Heidelberg", "title" : "Using habitat models to identify marine important bird and biodiversity areas for Chinstrap Penguins Pygoscelis antarcticus in the South Orkney Islands", "type" : "article-journal" }, "uris" : [ "http://www.mendeley.com/documents/?uuid=aacad619-8633-4a43-95ab-592e05bf9018", "http://www.mendeley.com/documents/?uuid=af2e5f28-f090-4074-9ce3-4d1fdc154d90" ] } ], "mendeley" : { "formattedCitation" : "(Dias, Warwick-Evans, et al., 2018)", "plainTextFormattedCitation" : "(Dias, Warwick-Evans, et al., 2018)", "previouslyFormattedCitation" : "(Dias, Warwick-Evans, et al., 2018)" }, "properties" : {  }, "schema" : "https://github.com/citation-style-language/schema/raw/master/csl-citation.json" }</w:instrText>
      </w:r>
      <w:r>
        <w:fldChar w:fldCharType="separate"/>
      </w:r>
      <w:r w:rsidR="00126000" w:rsidRPr="00126000">
        <w:rPr>
          <w:noProof/>
        </w:rPr>
        <w:t>(Dias, Warwick-Evans, et al., 2018)</w:t>
      </w:r>
      <w:r>
        <w:fldChar w:fldCharType="end"/>
      </w:r>
      <w:r>
        <w:t xml:space="preserve">. </w:t>
      </w:r>
    </w:p>
    <w:p w14:paraId="1F5F78B5" w14:textId="0FD0868B" w:rsidR="00C6384D" w:rsidRDefault="00C6384D" w:rsidP="000D41FA">
      <w:r>
        <w:t xml:space="preserve">The above methods were originally developed for the identification of marine Important Bird and Biodiversity Areas (mIBAs) </w:t>
      </w:r>
      <w:r>
        <w:fldChar w:fldCharType="begin" w:fldLock="1"/>
      </w:r>
      <w:r w:rsidR="00195AA8">
        <w:instrText>ADDIN CSL_CITATION { "citationItems" : [ { "id" : "ITEM-1", "itemData" : { "DOI" : "10.1111/ddi.12411", "ISBN" : "13669516", "ISSN" : "14724642", "abstract" : "ABSTRACT Aim Enhanced management of areas important for marine biodiversity are now obligations under a range of international treaties. Tracking data provide unparalleled information on the distribution of marine taxa, but there are no agreed guidelines that ensure these data are used consistently to identify biodi- versity hotspots and inform marine management decisions. Here, we develop methods to standardize the analysis of tracking data to identify sites of conser- vation importance at global and regional scales. Location We applied these methods to the largest available compilation of sea- bird tracking data, covering 60 species, collected from 55 deployment locations ranging from the poles to the tropics. Methods Key developments include a test for pseudo-replication to assess the independence of two groups of tracking data, an objective approach to define spe- cies-specific smoothing parameters (h values) for kernel density estimation based on area-restricted search behaviour, and an analysis to determine whether sites identified fromtracked individuals are also representative for the wider population. Results This analysis delineated priority sites for marine conservation for 52 of the 60 species assessed. We compiled 252 data groupings and defined 1052 polygons, between them meeting Important Bird and Biodiversity Area criteria over 1500 times. Other results showed 13% of data groups were inadequate for site definition and 10% showed some level of pseudo-replication. Between 25 and 50 trips were needed within a data group for data to be considered at least partially representative of the respective population. Main conclusions Our approach provides a consistent framework for using animal tracking data to delineate areas of global conservation importance, allowing greater integration into marine spatial planning and policy. The approaches we describe are exemplified for pelagic seabirds, but are applicable to a range of taxonomic groups. Covering 4.3% of the oceans, the sites identi- fied would benefit from enhanced protection to better safeguard the threatened species populations they contain.", "author" : [ { "dropping-particle" : "", "family" : "Lascelles", "given" : "B. G.", "non-dropping-particle" : "", "parse-names" : false, "suffix" : "" }, { "dropping-particle" : "", "family" : "Taylor", "given" : "P. R.", "non-dropping-particle" : "", "parse-names" : false, "suffix" : "" }, { "dropping-particle" : "", "family" : "Miller", "given" : "M. G.R.", "non-dropping-particle" : "", "parse-names" : false, "suffix" : "" }, { "dropping-particle" : "", "family" : "Dias", "given" : "M. P.", "non-dropping-particle" : "", "parse-names" : false, "suffix" : "" }, { "dropping-particle" : "", "family" : "Oppel", "given" : "S.", "non-dropping-particle" : "", "parse-names" : false, "suffix" : "" }, { "dropping-particle" : "", "family" : "Torres", "given" : "L.", "non-dropping-particle" : "", "parse-names" : false, "suffix" : "" }, { "dropping-particle" : "", "family" : "Hedd", "given" : "A.", "non-dropping-particle" : "", "parse-name</w:instrText>
      </w:r>
      <w:r w:rsidR="00195AA8" w:rsidRPr="00D664C2">
        <w:rPr>
          <w:lang w:val="en-GB"/>
        </w:rPr>
        <w:instrText>s" : false, "suffix" : "" }, { "dropping-particle" : "", "family" : "Corre", "given" : "M.", "non-dropping-particle" : "Le", "parse-names" : false, "suffix" : "" }, { "dropping-particle" : "", "family" : "Phillips", "given" : "R. A.", "non-dropping-particle" : "", "parse-names" : false, "suffix" : "" }, { "dropping-particle" : "", "family" : "Shaffer", "given" : "S. A.", "non-dropping-particle" : "", "parse-names" : false, "suffix" : "" }, { "dropping-particle" : "", "family" : "Weimerskirch", "given" : "H.", "non-dropping-particle" : "", "parse-names" : false, "suffix" : "" }, { "dropping-particle" : "", "family" : "Small", "given" : "C.", "non-dropping-particle" : "", "parse-names" : false, "suffix" : "" } ], "container-title" : "Diversity and Distributions", "id" : "ITEM-1", "issue" : "4", "issued" : { "date-parts" : [ [ "2016" ] ] }, "page" : "422-431", "title" : "Applying global criteria to tracking data to define important areas for marine conservation", "type" : "article-journal", "volume" : "22" }, "uris" : [ "http://www.mendeley.com/documents/?uuid=d7b8767e-771a-4b74-963b-59a04395d909", "http://www.mendeley.com/documents/?uuid=45b8f51d-c461-451a-9e47-7e49ac37dcba" ] } ], "mendeley" : { "formattedCitation" : "(Lascelles et al., 2016)", "plainTextFormattedCitation" : "(Lascelles et al., 2016)", "previouslyFormattedCitation" : "(Lascelles et al., 2016)" }, "properties" : {  }, "schema" : "https://github.com/citation-style-language/schema/raw/master/csl-citation.json" }</w:instrText>
      </w:r>
      <w:r>
        <w:fldChar w:fldCharType="separate"/>
      </w:r>
      <w:r w:rsidR="00126000" w:rsidRPr="00D664C2">
        <w:rPr>
          <w:noProof/>
          <w:lang w:val="en-GB"/>
        </w:rPr>
        <w:t>(Lascelles et al., 2016)</w:t>
      </w:r>
      <w:r>
        <w:fldChar w:fldCharType="end"/>
      </w:r>
      <w:r w:rsidRPr="00D664C2">
        <w:rPr>
          <w:lang w:val="en-GB"/>
        </w:rPr>
        <w:t xml:space="preserve">. </w:t>
      </w:r>
      <w:r w:rsidRPr="00932DB8">
        <w:rPr>
          <w:lang w:val="en-GB"/>
        </w:rPr>
        <w:t>However, the key outcome from these methods is a spatial polygon representative of the sampled population in which one can assi</w:t>
      </w:r>
      <w:r>
        <w:t>gn the proportion of individuals compared to the global population</w:t>
      </w:r>
      <w:r w:rsidR="000D41FA">
        <w:t xml:space="preserve"> (the method used to determine the number of individuals should be consistent between the global and site levels</w:t>
      </w:r>
      <w:r w:rsidR="00932DB8">
        <w:t xml:space="preserve"> as per the KBA guidelines</w:t>
      </w:r>
      <w:r w:rsidR="000D41FA">
        <w:t>)</w:t>
      </w:r>
      <w:r>
        <w:t xml:space="preserve">, and the IUCN Red List threat status of the species. Thus, these methods are directly suited to the identification of sites (spatial polygons) which can be assessed against the KBA criteria. Furthermore, IBA identification and conservation has played a major role in shaping the design and implementation of the new KBA programme, as the previously </w:t>
      </w:r>
      <w:r>
        <w:lastRenderedPageBreak/>
        <w:t xml:space="preserve">identified marine and terrestrial IBAs form a core part of the KBA network </w:t>
      </w:r>
      <w:r>
        <w:fldChar w:fldCharType="begin" w:fldLock="1"/>
      </w:r>
      <w:r w:rsidR="00195AA8">
        <w:instrText>ADDIN CSL_CITATION { "citationItems" : [ { "id" : "ITEM-1", "itemData" : { "DOI" : "10.1017/S0959270918000175", "ISSN" : "14740001", "author" : [ { "dropping-particle" : "", "family" : "Waliczky", "given" : "Zoltan", "non-dropping-particle" : "", "parse-names" : false, "suffix" : "" }, { "dropping-particle" : "", "family" : "Fishpool", "given" : "Lincoln", "non-dropping-particle" : "", "parse-names" : false, "suffix" : "" }, { "dropping-particle" : "", "family" : "Butchart", "given" : "Stuart H. M.", "non-dropping-particle" : "", "parse-names" : false, "suffix" : "" }, { "dropping-particle" : "", "family" : "Thomas", "given" : "David", "non-dropping-particle" : "", "parse-names" : false, "suffix" : "" }, { "dropping-particle" : "", "family" : "Heath", "given" : "Melanie", "non-dropping-particle" : "", "parse-names" : false, "suffix" : "" }, { "dropping-particle" : "", "family" : "Donald", "given" : "Paul", "non-dropping-particle" : "", "parse-names" : false, "suffix" : "" }, { "dropping-particle" : "", "family" : "Kowalska", "given" : "Aida", "non-dropping-particle" : "", "parse-names" : false, "suffix" : "" }, { "dropping-particle" : "", "family" : "Dias", "given" : "Maria P", "non-dropping-particle" : "", "parse-names" : false, "suffix" : "" }, { "dropping-particle" : "", "family" : "Allison", "given" : "Tris", "non-dropping-particle" : "", "parse-names" : false, "suffix" : "" } ], "container-title" : "Bird Conservation International", "id" : "ITEM-1", "issued" : { "date-parts" : [ [ "2018" ] ] }, "title" : "Important Bird and Biodiversity Areas (IBAs): their impact on conservation policy, advocacy and action", "type" : "article-journal" }, "uris" : [ "http://www.mendeley.com/documents/?uuid=2d6293e2-deaf-4da5-aa21-9d2df82b25b2", "http://www.mendeley.com/documents/?uuid=0c324b35-c511-40b9-b08f-f6cd84c7f99a" ] } ], "mendeley" : { "formattedCitation" : "(Waliczky et al., 2018)", "plainTextFormattedCitation" : "(Waliczky et al., 2018)", "previouslyFormattedCitation" : "(Waliczky et al., 2018)" }, "properties" : {  }, "schema" : "https://github.com/citation-style-language/schema/raw/master/csl-citation.json" }</w:instrText>
      </w:r>
      <w:r>
        <w:fldChar w:fldCharType="separate"/>
      </w:r>
      <w:r w:rsidR="00126000" w:rsidRPr="00126000">
        <w:rPr>
          <w:noProof/>
        </w:rPr>
        <w:t>(Waliczky et al., 2018)</w:t>
      </w:r>
      <w:r>
        <w:fldChar w:fldCharType="end"/>
      </w:r>
      <w:r>
        <w:t xml:space="preserve">. </w:t>
      </w:r>
    </w:p>
    <w:p w14:paraId="066990F2" w14:textId="77777777" w:rsidR="00C60760" w:rsidRPr="00C60760" w:rsidRDefault="00C60760" w:rsidP="000430EE">
      <w:pPr>
        <w:pStyle w:val="Heading3"/>
        <w:spacing w:before="100" w:beforeAutospacing="1" w:after="120"/>
      </w:pPr>
      <w:r w:rsidRPr="00C60760">
        <w:t>2.3.1. Tracking data</w:t>
      </w:r>
    </w:p>
    <w:p w14:paraId="29823056" w14:textId="6A0D8B6D" w:rsidR="00C60760" w:rsidRDefault="000430EE" w:rsidP="007D42E0">
      <w:pPr>
        <w:spacing w:before="100" w:beforeAutospacing="1" w:after="120"/>
      </w:pPr>
      <w:r>
        <w:t xml:space="preserve">The primary method used to identify marine KBA sites utilised the raw tracking data </w:t>
      </w:r>
      <w:r>
        <w:fldChar w:fldCharType="begin" w:fldLock="1"/>
      </w:r>
      <w:r w:rsidR="00195AA8">
        <w:instrText>ADDIN CSL_CITATION { "citationItems" : [ { "id" : "ITEM-1", "itemData" : { "DOI" : "10.1111/ddi.12411", "ISBN" : "13669516", "ISSN" : "14724642", "abstract" : "ABSTRACT Aim Enhanced management of areas important for marine biodiversity are now obligations under a range of international treaties. Tracking data provide unparalleled information on the distribution of marine taxa, but there are no agreed guidelines that ensure these data are used consistently to identify biodi- versity hotspots and inform marine management decisions. Here, we develop methods to standardize the analysis of tracking data to identify sites of conser- vation importance at global and regional scales. Location We applied these methods to the largest available compilation of sea- bird tracking data, covering 60 species, collected from 55 deployment locations ranging from the poles to the tropics. Methods Key developments include a test for pseudo-replication to assess the independence of two groups of tracking data, an objective approach to define spe- cies-specific smoothing parameters (h values) for kernel density estimation based on area-restricted search behaviour, and an analysis to determine whether sites identified fromtracked individuals are also representative for the wider population. Results This analysis delineated priority sites for marine conservation for 52 of the 60 species assessed. We compiled 252 data groupings and defined 1052 polygons, between them meeting Important Bird and Biodiversity Area criteria over 1500 times. Other results showed 13% of data groups were inadequate for site definition and 10% showed some level of pseudo-replication. Between 25 and 50 trips were needed within a data group for data to be considered at least partially representative of the respective population. Main conclusions Our approach provides a consistent framework for using animal tracking data to delineate areas of global conservation importance, allowing greater integration into marine spatial planning and policy. The approaches we describe are exemplified for pelagic seabirds, but are applicable to a range of taxonomic groups. Covering 4.3% of the oceans, the sites identi- fied would benefit from enhanced protection to better safeguard the threatened species populations they contain.", "author" : [ { "dropping-particle" : "", "family" : "Lascelles", "given" : "B. G.", "non-dropping-particle" : "", "parse-names" : false, "suffix" : "" }, { "dropping-particle" : "", "family" : "Taylor", "given" : "P. R.", "non-dropping-particle" : "", "parse-names" : false, "suffix" : "" }, { "dropping-particle" : "", "family" : "Miller", "given" : "M. G.R.", "non-dropping-particle" : "", "parse-names" : false, "suffix" : "" }, { "dropping-particle" : "", "family" : "Dias", "given" : "M. P.", "non-dropping-particle" : "", "parse-names" : false, "suffix" : "" }, { "dropping-particle" : "", "family" : "Oppel", "given" : "S.", "non-dropping-particle" : "", "parse-names" : false, "suffix" : "" }, { "dropping-particle" : "", "family" : "Torres", "given" : "L.", "non-dropping-particle" : "", "parse-names" : false, "suffix" : "" }, { "dropping-particle" : "", "family" : "Hedd", "given" : "A.", "non-dropping-particle" : "", "parse-names" : false, "suffix" : "" }, { "dropping-particle" : "", "family" : "Corre", "given" : "M.", "non-dropping-particle" : "Le", "parse-names" : false, "suffix" : "" }, { "dropping-particle" : "", "family" : "Phillips", "given" : "R. A.", "non-dropping-particle" : "", "parse-names" : false, "suffix" : "" }, { "dropping-particle" : "", "family" : "Shaffer", "given" : "S. A.", "non-dropping-particle" : "", "parse-names" : false, "suffix" : "" }, { "dropping-particle" : "", "family" : "Weimerskirch", "given" : "H.", "non-dropping-particle" : "", "parse-names" : false, "suffix" : "" }, { "dropping-particle" : "", "family" : "Small", "given" : "C.", "non-dropping-particle" : "", "parse-names" : false, "suffix" : "" } ], "container-title" : "Diversity and Distributions", "id" : "ITEM-1", "issue" : "4", "issued" : { "date-parts" : [ [ "2016" ] ] }, "page" : "422-431", "title" : "Applying global criteria to tracking data to define important areas for marine conservation", "type" : "article-journal", "volume" : "22" }, "uris" : [ "http://www.mendeley.com/documents/?uuid=d7b8767e-771a-4b74-963b-59a04395d909", "http://www.mendeley.com/documents/?uuid=45b8f51d-c461-451a-9e47-7e49ac37dcba" ] }, { "id" : "ITEM-2", "itemData" : { "DOI" : "10.1002/ece3.4519", "ISSN" : "20457758", "author" : [ { "dropping-particle" : "", "family" : "Dias", "given" : "Maria P", "non-dropping-particle" : "", "parse-names" : false, "suffix" : "" }, { "dropping-particle" : "", "family" : "Carneiro", "given" : "Ana Paula B", "non-dropping-particle" : "", "parse-names" : false, "suffix" : "" }, { "dropping-particle" : "", "family" : "Warwick-evans", "given" : "Victoria", "non-dropping-particle" : "", "parse-names" : false, "suffix" : "" }, { "dropping-particle" : "", "family" : "Harris", "given" : "C", "non-dropping-particle" : "", "parse-names" : false, "suffix" : "" }, { "dropping-particle" : "", "family" : "Lorenz", "given" : "K", "non-dropping-particle" : "", "parse-names" : false, "suffix" : "" }, { "dropping-particle" : "", "family" : "Lascelles", "given" : "Ben", "non-dropping-particle" : "", "parse-names" : false, "suffix" : "" }, { "dropping-particle" : "", "family" : "Clewlow", "given" : "H", "non-dropping-particle" : "", "parse-names" : false, "suffix" : "" }, { "dropping-particle" : "", "family" : "Dunn", "given" : "Michael J", "non-dropping-particle" : "", "parse-names" : false, "suffix" : "" }, { "dropping-particle" : "", "family" : "Hinke", "given" : "Jefferson T", "non-dropping-particle" : "", "parse-names" : false, "suffix" : "" }, { "dropping-particle" : "", "family" : "Kim", "given" : "Jeong-Hoon", "non-dropping-particle" : "", "parse-names" : false, "suffix" : "" }, { "dropping-particle" : "", "family" : "Kokubun", "given" : "Nobuo", "non-dropping-particle" : "", "parse-names" : false, "suffix" : "" }, { "dropping-particle" : "", "family" : "Manco", "given" : "F", "non-dropping-particle" : "", "parse-names" : false, "suffix" : "" }, { "dropping-particle" : "", "family" : "Ratcliffe", "given" : "Norman", "non-dropping-particle" : "", "parse-names" : false, "suffix" : "" }, { "dropping-particle" : "", "family" : "Santos", "given" : "Mercedes", "non-dropping-particle" : "", "parse-names" : false, "suffix" : "" }, { "dropping-particle" : "", "family" : "Takahashi", "given" : "Akinori", "non-dropping-particle" : "", "parse-names" : false, "suffix" : "" }, { "dropping-particle" : "", "family" : "Trivelpiece", "given" : "Wayne", "non-dropping-particle" : "", "parse-names" : false, "suffix" : "" }, { "dropping-particle" : "", "family" : "Trathan", "given" : "Phil N", "non-dropping-particle" : "", "parse-names" : false, "suffix" : "" } ], "container-title" : "Ecology and Evolution", "id" : "ITEM-2", "issued" : { "date-parts" : [ [ "2018" ] ] }, "page" : "10520-10529", "title" : "Identification of marine Important Bird and Biodiversity Areas for penguins around the South Shetland Islands and South Orkeny Islands", "type" : "article-journal", "volume" : "8" }, "uris" : [ "http://www.mendeley.com/documents/?uuid=94524c60-bd3c-4340-9821-d63b3f3272bd", "http://www.mendeley.com/documents/?uuid=1dcc6a68-cd74-4ca3-8fd9-e2af3c993720", "http://www.mendeley.com/documents/?uuid=9d16ca59-2fb7-43a3-bc8e-58b45e018b18" ] }, { "id" : "ITEM-3", "itemData" : { "DOI" : "10.1007/s00300-018-2404-4", "ISBN" : "0123456789", "ISSN" : "07224060", "PMID" : "17600522", "abstract" : "Many lesion studies report an amazing variety of deficits in behavioral\\nfunctions that cannot possibly be encoded in great detail by the\\nrelatively small number of midbrain dopamine neurons. Although hoping\\nto unravel a single dopamine function underlying these phenomena,\\nelectrophysiological and neurochemical studies still give a confusing,\\nmutually exclusive, and partly contradictory account of dopamine's\\nrole in behavior. However, the speed of observed phasic dopamine\\nchanges varies several thousand fold, which offers a means to differentiate\\nthe behavioral relationships according to their time courses. Thus\\ndopamine is involved in mediating the reactivity of the organism\\nto the environment at different time scales, from fast impulse responses\\nrelated to reward via slower changes with uncertainty, punishment,\\nand possibly movement to the tonic enabling of postsynaptic motor,\\ncognitive, and motivational systems deficient in Parkinson's disease.", "author" : [ { "dropping-particle" : "", "family" : "Dias", "given" : "Maria P", "non-dropping-particle" : "", "parse-names" : false, "suffix" : "" }, { "dropping-particle" : "", "family" : "Warwick-Evans", "given" : "V.", "non-dropping-particle" : "", "parse-names" : false, "suffix" : "" }, { "dropping-particle" : "", "family" : "Carneiro", "given" : "A. P.B.", "non-dropping-particle" : "", "parse-names" : false, "suffix" : "" }, { "dropping-particle" : "", "family" : "Harris", "given" : "C.", "non-dropping-particle" : "", "parse-names" : false, "suffix" : "" }, { "dropping-particle" : "", "family" : "Lascelles", "given" : "B. G.", "non-dropping-particle" : "", "parse-names" : false, "suffix" : "" }, { "dropping-particle" : "", "family" : "Clewlow", "given" : "H. L.", "non-dropping-particle" : "", "parse-names" : false, "suffix" : "" }, { "dropping-particle"</w:instrText>
      </w:r>
      <w:r w:rsidR="00195AA8" w:rsidRPr="002939C6">
        <w:rPr>
          <w:lang w:val="fr-FR"/>
        </w:rPr>
        <w:instrText xml:space="preserve"> : "", "family" : "Manco", "given" : "F.", "non-dropping-particle" : "", "parse-names" : false, "suffix" : "" }, { "dropping-particle" : "", "family" : "Ratcliffe", "given" : "N.", "non-dropping-particle" : "", "parse-names" : false, "suffix" : "" }, { "dropping-particle" : "", "family" : "Trathan", "given" : "P. N.", "non-dropping-particle" : "", "parse-names" : false, "suffix" : "" } ], "container-title" : "Polar Biology", "id" : "ITEM-3", "issued" : { "date-parts" : [ [ "2018" ] ] }, "page" : "1-9", "publisher" : "Springer Berlin Heidelberg", "title" : "Using habitat models to identify marine important bird and biodiversity areas for Chinstrap Penguins Pygoscelis antarcticus in the South Orkney Islands", "type" : "article-journal" }, "uris" : [ "http://www.mendeley.com/documents/?uuid=af2e5f28-f090-4074-9ce3-4d1fdc154d90", "http://www.mendeley.com/documents/?uuid=aacad619-8633-4a43-95ab-592e05bf9018", "http://www.mendeley.com/documents/?uuid=50e87d84-83db-4fa9-94b0-38e0b57a33e6" ] } ], "mendeley" : { "formattedCitation" : "(Dias, Carneiro, et al., 2018; Dias, Warwick-Evans, et al., 2018; Lascelles et al., 2016)", "plainTextFormattedCitation" : "(Dias, Carneiro, et al., 2018; Dias, Warwick-Evans, et al., 2018; Lascelles et al., 2016)", "previouslyFormattedCitation" : "(Dias, Carneiro, et al., 2018; Dias, Warwick-Evans, et al., 2018; Lascelles et al., 2016)" }, "properties" : {  }, "schema" : "https://github.com/citation-style-language/schema/raw/master/csl-citation.json" }</w:instrText>
      </w:r>
      <w:r>
        <w:fldChar w:fldCharType="separate"/>
      </w:r>
      <w:r w:rsidR="00126000" w:rsidRPr="00126000">
        <w:rPr>
          <w:noProof/>
          <w:lang w:val="fr-FR"/>
        </w:rPr>
        <w:t>(Dias, Carneiro, et al., 2018; Dias, Warwick-Evans, et al., 2018; Lascelles et al., 2016)</w:t>
      </w:r>
      <w:r>
        <w:fldChar w:fldCharType="end"/>
      </w:r>
      <w:r w:rsidR="00F65478" w:rsidRPr="00843706">
        <w:rPr>
          <w:lang w:val="fr-FR"/>
        </w:rPr>
        <w:t xml:space="preserve"> (Figure 2)</w:t>
      </w:r>
      <w:r w:rsidRPr="00843706">
        <w:rPr>
          <w:lang w:val="fr-FR"/>
        </w:rPr>
        <w:t xml:space="preserve">. </w:t>
      </w:r>
      <w:r w:rsidR="00C60760">
        <w:t xml:space="preserve">Tracks from GPS and PTT devices were filtered </w:t>
      </w:r>
      <w:r w:rsidR="007C24E6">
        <w:t xml:space="preserve">following standard protocols </w:t>
      </w:r>
      <w:r w:rsidR="00C60760">
        <w:t xml:space="preserve">to remove outlying locations based on speed thresholds and ARGOS location classes </w:t>
      </w:r>
      <w:r w:rsidR="00C60760">
        <w:fldChar w:fldCharType="begin" w:fldLock="1"/>
      </w:r>
      <w:r w:rsidR="00195AA8">
        <w:instrText>ADDIN CSL_CITATION { "citationItems" : [ { "id" : "ITEM-1", "itemData" : { "author" : [ { "dropping-particle" : "", "family" : "Sumner", "given" : "Michael D.", "non-dropping-particle" : "", "parse-names" : false, "suffix" : "" } ], "id" : "ITEM-1", "issued" : { "date-parts" : [ [ "2016" ] ] }, "title" : "trip: Tools for the Analysis of Animal Track Data. R package version 1.5.0. https://CRAN.R-project.org/package=trip", "type" : "article-journal" }, "uris" : [ "http://www.mendeley.com/documents/?uuid=5da80d29-4d96-4a62-8e5b-f4cb84cd5540", "http://www.mendeley.com/documents/?uuid=54dd8a81-63ef-4150-8612-1c3f40234ff4" ] }, { "id" : "ITEM-2", "itemData" : { "author" : [ { "dropping-particle" : "", "family" : "Freitas", "given" : "Carla", "non-dropping-particle" : "", "parse-names" : false, "suffix" : "" } ], "container-title" : "R package version 0.63.", "id" : "ITEM-2", "issued" : { "date-parts" : [ [ "2012" ] ] }, "title" : "argosfilter: Argos locations filter", "type" : "article-journal" }, "uris" : [ "http://www.mendeley.com/documents/?uuid=dbd7d8e4-3fc9-4def-a389-e079ba45e948", "http://www.mendeley.com/documents/?uuid=61e1d2b6-08c4-40c2-a9bb-dd7ffdc912c3" ] } ], "mendeley" : { "formattedCitation" : "(Freitas, 2012; Sumner, 2016)", "plainTextFormattedCitation" : "(Freitas, 2012; Sumner, 2016)", "previouslyFormattedCitation" : "(Freitas, 2012; Sumner, 2016)" }, "properties" : {  }, "schema" : "https://github.com/citation-style-language/schema/raw/master/csl-citation.json" }</w:instrText>
      </w:r>
      <w:r w:rsidR="00C60760">
        <w:fldChar w:fldCharType="separate"/>
      </w:r>
      <w:r w:rsidR="00126000" w:rsidRPr="00126000">
        <w:rPr>
          <w:noProof/>
        </w:rPr>
        <w:t>(Freitas, 2012; Sumner, 2016)</w:t>
      </w:r>
      <w:r w:rsidR="00C60760">
        <w:fldChar w:fldCharType="end"/>
      </w:r>
      <w:r w:rsidR="00C60760">
        <w:t xml:space="preserve">, remove points on land, and regularise sampling intervals across all </w:t>
      </w:r>
      <w:r w:rsidR="007D42E0">
        <w:t xml:space="preserve">data-groups </w:t>
      </w:r>
      <w:r w:rsidR="00C60760">
        <w:fldChar w:fldCharType="begin" w:fldLock="1"/>
      </w:r>
      <w:r w:rsidR="00195AA8">
        <w:instrText>ADDIN CSL_CITATION { "citationItems" : [ { "id" : "ITEM-1", "itemData" : { "author" : [ { "dropping-particle" : "", "family" : "Calenge", "given" : "Cl\u00e9ment", "non-dropping-particle" : "", "parse-names" : false, "suffix" : "" } ], "container-title" : "Ecological Modelling", "id" : "ITEM-1", "issued" : { "date-parts" : [ [ "2006" ] ] }, "page" : "516-519", "title" : "The package adehabitat for the R software: a tool for the analysis of space and habitat use by animals", "type" : "article-journal", "volume" : "197" }, "uris" : [ "http://www.mendeley.com/documents/?uuid=07edae16-3b8b-439f-9413-0a6ebbc822f1", "http://www.mendeley.com/documents/?uuid=cef99387-0fe2-49da-9300-f469e028df1c" ] } ], "mendeley" : { "formattedCitation" : "(Calenge, 2006)", "plainTextFormattedCitation" : "(Calenge, 2006)", "previouslyFormattedCitation" : "(Calenge, 2006)" }, "properties" : {  }, "schema" : "https://github.com/citation-style-language/schema/raw/master/csl-citation.json" }</w:instrText>
      </w:r>
      <w:r w:rsidR="00C60760">
        <w:fldChar w:fldCharType="separate"/>
      </w:r>
      <w:r w:rsidR="00126000" w:rsidRPr="00126000">
        <w:rPr>
          <w:noProof/>
        </w:rPr>
        <w:t>(Calenge, 2006)</w:t>
      </w:r>
      <w:r w:rsidR="00C60760">
        <w:fldChar w:fldCharType="end"/>
      </w:r>
      <w:r w:rsidR="007D42E0">
        <w:t xml:space="preserve">. Additionally, data-groups were removed when </w:t>
      </w:r>
      <w:r w:rsidR="00637EB7">
        <w:t xml:space="preserve">the </w:t>
      </w:r>
      <w:r w:rsidR="007D42E0">
        <w:t xml:space="preserve">sample size was insufficient or sampling intervals too sparse </w:t>
      </w:r>
      <w:r w:rsidR="004470F9">
        <w:t>(</w:t>
      </w:r>
      <w:r w:rsidR="00637C94">
        <w:t>Appendix 2</w:t>
      </w:r>
      <w:r w:rsidR="004470F9">
        <w:t>: F</w:t>
      </w:r>
      <w:r w:rsidR="00336BEC">
        <w:t>urther details)</w:t>
      </w:r>
      <w:r w:rsidR="00C60760">
        <w:t xml:space="preserve">. </w:t>
      </w:r>
    </w:p>
    <w:p w14:paraId="02852511" w14:textId="12B8C2DF" w:rsidR="00C60760" w:rsidRDefault="00C60760" w:rsidP="00357B0F">
      <w:pPr>
        <w:spacing w:after="200"/>
      </w:pPr>
      <w:r>
        <w:t xml:space="preserve">Following the methods detailed in Lascelles et al. (2016), </w:t>
      </w:r>
      <w:r w:rsidR="00661F68">
        <w:t xml:space="preserve">we identified </w:t>
      </w:r>
      <w:r w:rsidR="00F65478">
        <w:t>representative core areas used by individuals from a population based on tracking data</w:t>
      </w:r>
      <w:r>
        <w:t xml:space="preserve"> by performing a kernel density analysis</w:t>
      </w:r>
      <w:r w:rsidR="00C260C5">
        <w:t xml:space="preserve"> (Figure 2 i, ii, Appendix 2)</w:t>
      </w:r>
      <w:r w:rsidR="00E810B4">
        <w:t xml:space="preserve">. </w:t>
      </w:r>
      <w:r w:rsidR="004075A3">
        <w:t xml:space="preserve">Kernel density analysis calculates the density of locations by fitting a bivariate normal function with a pre-defined radius (smoothing parameter, </w:t>
      </w:r>
      <w:r w:rsidR="004075A3">
        <w:rPr>
          <w:i/>
          <w:iCs/>
        </w:rPr>
        <w:t>h</w:t>
      </w:r>
      <w:r w:rsidR="004075A3">
        <w:t xml:space="preserve">) around each location, and summing up the values to create a smooth density surface. The kernel utilisation distribution (UD) is the isopleth that contains a certain percentage of the density distribution </w:t>
      </w:r>
      <w:r w:rsidR="006F7BDA">
        <w:fldChar w:fldCharType="begin" w:fldLock="1"/>
      </w:r>
      <w:r w:rsidR="00195AA8">
        <w:instrText>ADDIN CSL_CITATION { "citationItems" : [ { "id" : "ITEM-1", "itemData" : { "author" : [ { "dropping-particle" : "", "family" : "Calenge", "given" : "Cl\u00e9ment", "non-dropping-particle" : "", "parse-names" : false, "suffix" : "" } ], "container-title" : "Ecological Modelling", "id" : "ITEM-1", "issued" : { "date-parts" : [ [ "2006" ] ] }, "page" : "516-519", "title" : "The package adehabitat for the R software: a tool for the analysis of space and habitat use by animals", "type" : "article-journal", "volume" : "197" }, "uris" : [ "http://www.mendeley.com/documents/?uuid=cef99387-0fe2-49da-9300-f469e028df1c" ] } ], "mendeley" : { "formattedCitation" : "(Calenge, 2006)", "plainTextFormattedCitation" : "(Calenge, 2006)", "previouslyFormattedCitation" : "(Calenge, 2006)" }, "properties" : {  }, "schema" : "https://github.com/citation-style-language/schema/raw/master/csl-citation.json" }</w:instrText>
      </w:r>
      <w:r w:rsidR="006F7BDA">
        <w:fldChar w:fldCharType="separate"/>
      </w:r>
      <w:r w:rsidR="00126000" w:rsidRPr="00126000">
        <w:rPr>
          <w:noProof/>
        </w:rPr>
        <w:t>(Calenge, 2006)</w:t>
      </w:r>
      <w:r w:rsidR="006F7BDA">
        <w:fldChar w:fldCharType="end"/>
      </w:r>
      <w:r w:rsidR="007D2301">
        <w:t>.</w:t>
      </w:r>
      <w:r>
        <w:t xml:space="preserve"> </w:t>
      </w:r>
      <w:r w:rsidR="006F7BDA">
        <w:t>T</w:t>
      </w:r>
      <w:r>
        <w:t>he smoothing parameter (</w:t>
      </w:r>
      <w:r>
        <w:rPr>
          <w:i/>
        </w:rPr>
        <w:t>h</w:t>
      </w:r>
      <w:r>
        <w:t>) and utilisation distribution (UD)</w:t>
      </w:r>
      <w:r w:rsidR="006F7BDA">
        <w:t xml:space="preserve"> were set</w:t>
      </w:r>
      <w:r>
        <w:t xml:space="preserve"> specific to each data-group</w:t>
      </w:r>
      <w:r w:rsidR="00661F68">
        <w:t xml:space="preserve"> </w:t>
      </w:r>
      <w:r w:rsidR="006F7BDA">
        <w:t>according to the species foraging ecology</w:t>
      </w:r>
      <w:r w:rsidR="00C260C5">
        <w:t xml:space="preserve"> (Appendix 2)</w:t>
      </w:r>
      <w:r>
        <w:t>. We then quantified the representativeness of the tracking data for each data-group</w:t>
      </w:r>
      <w:r w:rsidR="00661F68">
        <w:t xml:space="preserve"> (i.e. how well the sample of data is deemed to represent the sampled population) (Figure 2 iii)</w:t>
      </w:r>
      <w:r>
        <w:t>, and quantified the number of overlapping core foraging ranges across all tracked individuals from each breeding population in each 0.1 x 0.1° grid cell (chosen accor</w:t>
      </w:r>
      <w:r w:rsidR="00661F68">
        <w:t xml:space="preserve">ding </w:t>
      </w:r>
      <w:r w:rsidR="00503946">
        <w:t xml:space="preserve">to </w:t>
      </w:r>
      <w:r w:rsidR="00661F68">
        <w:t xml:space="preserve">the scale of the </w:t>
      </w:r>
      <w:r w:rsidR="00A0170C">
        <w:t>SGSSI</w:t>
      </w:r>
      <w:r w:rsidR="00661F68">
        <w:t xml:space="preserve"> MPA)</w:t>
      </w:r>
      <w:r>
        <w:t xml:space="preserve">. Finally, we identified the sites used by ≥10%, ≥12.5% or ≥20% of the tracked individuals, </w:t>
      </w:r>
      <w:r w:rsidR="00503946">
        <w:t>depending on whether</w:t>
      </w:r>
      <w:r>
        <w:t xml:space="preserve"> representativeness values of &gt;90%, 80-90% or 70-80%, respectively, were </w:t>
      </w:r>
      <w:r w:rsidR="00503946">
        <w:t xml:space="preserve">achieved by a given data-group </w:t>
      </w:r>
      <w:r>
        <w:fldChar w:fldCharType="begin" w:fldLock="1"/>
      </w:r>
      <w:r w:rsidR="00195AA8">
        <w:instrText>ADDIN CSL_CITATION { "citationItems" : [ { "id" : "ITEM-1", "itemData" : { "DOI" : "10.1111/ddi.12411", "ISBN" : "13669516", "ISSN" : "14724642", "abstract" : "ABSTRACT Aim Enhanced management of areas important for marine biodiversity are now obligations under a range of international treaties. Tracking data provide unparalleled information on the distribution of marine taxa, but there are no agreed guidelines that ensure these data are used consistently to identify biodi- versity hotspots and inform marine management decisions. Here, we develop methods to standardize the analysis of tracking data to identify sites of conser- vation importance at global and regional scales. Location We applied these methods to the largest available compilation of sea- bird tracking data, covering 60 species, collected from 55 deployment locations ranging from the poles to the tropics. Methods Key developments include a test for pseudo-replication to assess the independence of two groups of tracking data, an objective approach to define spe- cies-specific smoothing parameters (h values) for kernel density estimation based on area-restricted search behaviour, and an analysis to determine whether sites identified fromtracked individuals are also representative for the wider population. Results This analysis delineated priority sites for marine conservation for 52 of the 60 species assessed. We compiled 252 data groupings and defined 1052 polygons, between them meeting Important Bird and Biodiversity Area criteria over 1500 times. Other results showed 13% of data groups were inadequate for site definition and 10% showed some level of pseudo-replication. Between 25 and 50 trips were needed within a data group for data to be considered at least partially representative of the respective population. Main conclusions Our approach provides a consistent framework for using animal tracking data to delineate areas of global conservation importance, allowing greater integration into marine spatial planning and policy. The approaches we describe are exemplified for pelagic seabirds, but are applicable to a range of taxonomic groups. Covering 4.3% of the oceans, the sites identi- fied would benefit from enhanced protection to better safeguard the threatened species populations they contain.", "author" : [ { "dropping-particle" : "", "family" : "Lascelles", "given" : "B. G.", "non-dropping-particle" : "", "parse-names" : false, "suffix" : "" }, { "dropping-particle" : "", "family" : "Taylor", "given" : "P. R.", "non-dropping-particle" : "", "parse-names" : false, "suffix" : "" }, { "dropping-particle" : "", "family" : "Miller", "given" : "M. G.R.", "non-dropping-particle" : "", "parse-names" : false, "suffix" : "" }, { "dropping-particle" : "", "family" : "Dias", "given" : "M. P.", "non-dropping-particle" : "", "parse-names" : false, "suffix" : "" }, { "dropping-particle" : "", "family" : "Oppel", "given" : "S.", "non-dropping-particle" : "", "parse-names" : false, "suffix" : "" }, { "dropping-particle" : "", "family" : "Torres", "given" : "L.", "non-dropping-particle" : "", "parse-names" : false, "suffix" : "" }, { "dropping-particle" : "", "family" : "Hedd", "given" : "A.", "non-dropping-particle" : "", "parse-names" : false, "suffix" : "" }, { "dropping-particle" : "", "family" : "Corre", "given" : "M.", "non-dropping-particle" : "Le", "parse-names" : false, "suffix" : "" }, { "dropping-particle" : "", "family" : "Phillips", "given" : "R. A.", "non-dropping-particle" : "", "parse-names" : false, "suffix" : "" }, { "dropping-particle" : "", "family" : "Shaffer", "given" : "S. A.", "non-dropping-particle" : "", "parse-names" : false, "suffix" : "" }, { "dropping-particle" : "", "family" : "Weimerskirch", "given" : "H.", "non-dropping-particle" : "", "parse-names" : false, "suffix" : "" }, { "dropping-particle" : "", "family" : "Small", "given" : "C.", "non-dropping-particle" : "", "parse-names" : false, "suffix" : "" } ], "container-title" : "Diversity and Distributions", "id" : "ITEM-1", "issue" : "4", "issued" : { "date-parts" : [ [ "2016" ] ] }, "page" : "422-431", "title" : "Applying global criteria to tracking data to define important areas for marine conservation", "type" : "article-journal", "volume" : "22" }, "uris" : [ "http://www.mendeley.com/documents/?uuid=d7b8767e-771a-4b74-963b-59a04395d909", "http://www.mendeley.com/documents/?uuid=45b8f51d-c461-451a-9e47-7e49ac37dcba" ] } ], "mendeley" : { "formattedCitation" : "(Lascelles et al., 2016)", "plainTextFormattedCitation" : "(Lascelles et al., 2016)", "previouslyFormattedCitation" : "(Lascelles et al., 2016)" }, "properties" : {  }, "schema" : "https://github.com/citation-style-language/schema/raw/master/csl-citation.json" }</w:instrText>
      </w:r>
      <w:r>
        <w:fldChar w:fldCharType="separate"/>
      </w:r>
      <w:r w:rsidR="00126000" w:rsidRPr="00126000">
        <w:rPr>
          <w:noProof/>
        </w:rPr>
        <w:t>(Lascelles et al., 2016)</w:t>
      </w:r>
      <w:r>
        <w:fldChar w:fldCharType="end"/>
      </w:r>
      <w:r w:rsidR="00661F68">
        <w:t xml:space="preserve"> (Figure iv</w:t>
      </w:r>
      <w:r w:rsidR="000430EE">
        <w:t>, v</w:t>
      </w:r>
      <w:r w:rsidR="00661F68">
        <w:t>)</w:t>
      </w:r>
      <w:r>
        <w:t xml:space="preserve">. </w:t>
      </w:r>
      <w:r w:rsidR="000D41FA">
        <w:t xml:space="preserve">Abundance estimates within the at-sea sites (based on breeding site population numbers) were modified by a correction factor of 0.9, 0.75, or 0.5, respectively, to give a conservative estimate of </w:t>
      </w:r>
      <w:r w:rsidR="008B6A01">
        <w:t xml:space="preserve">the number of </w:t>
      </w:r>
      <w:r w:rsidR="000D41FA">
        <w:t xml:space="preserve">individuals using the site; depending on the representativeness (See Lascelles et al. 2016 supplementary material). </w:t>
      </w:r>
      <w:r>
        <w:t xml:space="preserve">Where representativeness was &lt;70% for a data-group, the tracking data were deemed inadequate to describe the space-use of the </w:t>
      </w:r>
      <w:r w:rsidR="00324761">
        <w:t>population (</w:t>
      </w:r>
      <w:r w:rsidR="00357B0F">
        <w:t>Appendix 2, Table S1)</w:t>
      </w:r>
      <w:r>
        <w:t>.</w:t>
      </w:r>
    </w:p>
    <w:p w14:paraId="32511286" w14:textId="3C18BDD0" w:rsidR="00281833" w:rsidRDefault="00C60760" w:rsidP="00336BEC">
      <w:r>
        <w:t>To enhance practicability of management zones, the identified spatial</w:t>
      </w:r>
      <w:r w:rsidR="00336BEC">
        <w:t xml:space="preserve"> polygons</w:t>
      </w:r>
      <w:r>
        <w:t xml:space="preserve"> were aggregated to minimise the boundary-to-area ratio</w:t>
      </w:r>
      <w:r w:rsidR="007D42E0">
        <w:t xml:space="preserve"> via a custom R script</w:t>
      </w:r>
      <w:r w:rsidR="002841F9">
        <w:t xml:space="preserve"> utilising the smoothr package </w:t>
      </w:r>
      <w:r w:rsidR="002841F9">
        <w:fldChar w:fldCharType="begin" w:fldLock="1"/>
      </w:r>
      <w:r w:rsidR="00195AA8">
        <w:instrText>ADDIN CSL_CITATION { "citationItems" : [ { "id" : "ITEM-1", "itemData" : { "author" : [ { "dropping-particle" : "", "family" : "Strimas-Mackey", "given" : "Matthew", "non-dropping-particle" : "", "parse-names" : false, "suffix" : "" } ], "id" : "ITEM-1", "issued" : { "date-parts" : [ [ "2018" ] ] }, "title" : "smoothr: Smooth and Tidy Spatial Features. R package version 0.1.0. https://CRAN.R-project.org/package=smoothr", "type" : "article-journal" }, "uris" : [ "http://www.mendeley.com/documents/?uuid=9beeb0ce-1825-47ea-9d2a-4d001e4f2187" ] } ], "mendeley" : { "formattedCitation" : "(Strimas-Mackey, 2018)", "plainTextFormattedCitation" : "(Strimas-Mackey, 2018)", "previouslyFormattedCitation" : "(Strimas-Mackey, 2018)" }, "properties" : {  }, "schema" : "https://github.com/citation-style-language/schema/raw/master/csl-citation.json" }</w:instrText>
      </w:r>
      <w:r w:rsidR="002841F9">
        <w:fldChar w:fldCharType="separate"/>
      </w:r>
      <w:r w:rsidR="00126000" w:rsidRPr="00126000">
        <w:rPr>
          <w:noProof/>
        </w:rPr>
        <w:t>(Strimas-Mackey, 2018)</w:t>
      </w:r>
      <w:r w:rsidR="002841F9">
        <w:fldChar w:fldCharType="end"/>
      </w:r>
      <w:r>
        <w:t xml:space="preserve">. Specifically, any isolated polygon or hole within a larger </w:t>
      </w:r>
      <w:r>
        <w:lastRenderedPageBreak/>
        <w:t>polygon, which was smaller than 5% of the total area identified was removed or filled, respectively.</w:t>
      </w:r>
      <w:r w:rsidR="00336BEC">
        <w:t xml:space="preserve"> F</w:t>
      </w:r>
      <w:r w:rsidR="00661F68">
        <w:t>or the remaining polygons, the great circle distance between centroids was calculated. Using this distance matrix, a hierarchical cluster analysis was implemented to identify which polygons could be grouped specified by a threshold distance of 5% of the maximum distance between polygons</w:t>
      </w:r>
      <w:r>
        <w:t>. The final boundaries of sites identified for each data-group were delimited by a mi</w:t>
      </w:r>
      <w:r w:rsidR="00661F68">
        <w:t>nimum convex polygon (Figure 2</w:t>
      </w:r>
      <w:r w:rsidR="000430EE">
        <w:t>, vi</w:t>
      </w:r>
      <w:r w:rsidR="00661F68">
        <w:t>).</w:t>
      </w:r>
    </w:p>
    <w:p w14:paraId="0695683D" w14:textId="264CFC13" w:rsidR="000430EE" w:rsidRDefault="000430EE" w:rsidP="00C77F7E">
      <w:pPr>
        <w:pStyle w:val="Heading3"/>
        <w:spacing w:after="120"/>
      </w:pPr>
      <w:r>
        <w:t>2.3.2 Foraging radii and species distribution models</w:t>
      </w:r>
    </w:p>
    <w:p w14:paraId="2CCC8D48" w14:textId="47078735" w:rsidR="000430EE" w:rsidRDefault="00C77F7E" w:rsidP="00205427">
      <w:pPr>
        <w:rPr>
          <w:lang w:val="pt-PT"/>
        </w:rPr>
      </w:pPr>
      <w:r>
        <w:t xml:space="preserve">Where tracking data </w:t>
      </w:r>
      <w:r w:rsidR="00205427">
        <w:t>were</w:t>
      </w:r>
      <w:r>
        <w:t xml:space="preserve"> unavailable for species, the alternate methods of using foraging radii and </w:t>
      </w:r>
      <w:r w:rsidR="00F0427C">
        <w:t xml:space="preserve">previously developed </w:t>
      </w:r>
      <w:r>
        <w:t>species distribution models for near-shore foraging species were used</w:t>
      </w:r>
      <w:r w:rsidR="008C4B4A">
        <w:t xml:space="preserve"> (See </w:t>
      </w:r>
      <w:r w:rsidR="00637C94">
        <w:t>Appendix 2</w:t>
      </w:r>
      <w:r w:rsidR="004D53FD">
        <w:t xml:space="preserve">, ‘KBA sites per data-group’, </w:t>
      </w:r>
      <w:r w:rsidR="008C4B4A">
        <w:t>for further details of methods specific to sites identified for each data-group)</w:t>
      </w:r>
      <w:r>
        <w:t xml:space="preserve">. </w:t>
      </w:r>
      <w:r w:rsidR="000430EE">
        <w:t xml:space="preserve">The foraging radius approach </w:t>
      </w:r>
      <w:r>
        <w:t>was applied to</w:t>
      </w:r>
      <w:r w:rsidR="000430EE">
        <w:t xml:space="preserve"> breeding sites holding </w:t>
      </w:r>
      <w:r>
        <w:t>&gt;</w:t>
      </w:r>
      <w:r w:rsidR="000430EE">
        <w:t>1% of the global population</w:t>
      </w:r>
      <w:r>
        <w:t xml:space="preserve"> of a species</w:t>
      </w:r>
      <w:r w:rsidR="000430EE">
        <w:t xml:space="preserve">. This method consists of defining a radius around the colony based on the mean-maximum foraging distance achieved by the species (derived from tracking data collected </w:t>
      </w:r>
      <w:r w:rsidR="00205427">
        <w:t>elsewhere</w:t>
      </w:r>
      <w:r w:rsidR="000430EE">
        <w:t xml:space="preserve">) </w:t>
      </w:r>
      <w:r w:rsidR="000430EE">
        <w:fldChar w:fldCharType="begin" w:fldLock="1"/>
      </w:r>
      <w:r w:rsidR="00195AA8">
        <w:instrText>ADDIN CSL_CITATION { "citationItems" : [ { "id" : "ITEM-1", "itemData" : { "DOI" : "10.1016/j.biocon.2016.02.007", "ISBN" : "0006-3207", "ISSN" : "00063207", "abstract" : "Recent international initiatives have promoted a number of different approaches to identify marine Important Bird and biodiversity Areas (IBAs), which are important areas for foraging, migrating or over-wintering seabirds. The 'Foraging Radius Approach' is one of these and uses known foraging range and habitat preferences to predict the size and location of foraging areas around breeding colonies. Here we assess the performance of the Foraging Radius Approach using GPS tracking data from six seabird species with a variety of foraging modes. For each species we compared the population home-range areas of our six study species with the home-range areas defined using the Foraging Radius Approach. We also assessed whether basic information on depth preferences from tracking data could improve these home-range area estimates. Foraging Radius Approach home-range areas based on maximum foraging radii encompassed the entire population home-range of five out of six of our study species but overestimated the size of the population home-range area in every case. The mean maximum foraging radius overestimated the population home-range areas by a factor of 4-14 for five of the six species whilst the mean foraging radius overestimated the population home-range area for half of the species and underestimated for the rest. In the absence of other data, the Foraging Radius Approach appears to provide a reasonable basis for preliminary marine IBA identification. We suggest that using the mean value of all previously reported maximum foraging radii, informed by basic depth preferences provides the most appropriate prediction, balancing the needs of seabirds with efficient use of marine space.", "author" : [ { "dropping-particle" : "", "family" : "Soanes", "given" : "L. M.", "non-dropping-particle" : "", "parse-names" : false, "suffix" : "" }, { "dropping-particle" : "", "family" : "Bright", "given" : "J. A.", "non-dropping-particle" : "", "parse-names" : false, "suffix" : "" }, { "dropping-particle" : "", "family" : "Angel", "given" : "L. P.", "non-dropping-particle" : "", "parse-names" : false, "suffix" : "" }, { "dropping-particle" : "", "family" : "Arnould", "given" : "J. P.Y.", "non-dropping-particle" : "", "parse-names" : false, "suffix" : "" }, { "dropping-particle" : "", "family" : "Bolton", "given" : "M.", "non-dropping-particle" : "", "parse-names" : false, "suffix" : "" }, { "dropping-particle" : "", "family" : "Berlincourt", "given" : "M.", "non-dropping-particle" : "", "parse-names" : false, "suffix" : "" }, { "dropping-particle" : "", "family" : "Lascelles", "given" : "B.", "non-dropping-particle" : "", "parse-names" : false, "suffix" : "" }, { "dropping-particle" : "", "family" : "Owen", "given" : "E.", "non-dropping-particle" : "", "parse-names" : false, "suffix" : "" }, { "dropping-particle" : "", "family" : "Simon-Bouhet", "given" : "B.", "non-dropping-particle" : "", "parse-names" : false, "suffix" : "" }, { "dropping-particle" : "", "family" : "Green", "given" : "J. A.", "non-dropping-particle" : "", "parse-names" : false, "suffix" : "" } ], "container-title" : "Biological Conservation", "id" : "ITEM-1", "issued" : { "date-parts" : [ [ "2016" ] ] }, "page" : "69-79", "publisher" : "The Authors", "title" : "Defining marine important bird areas: Testing the foraging radius approach", "type" : "article-journal", "volume" : "196" }, "uris" : [ "http://www.mendeley.com/documents/?uuid=da791031-aa59-4046-9f02-caee0e81f5a8", "http://www.mendeley.com/documents/?uuid=b604466d-270d-4b1f-b626-f9d5a5207aad" ] } ], "mendeley" : { "formattedCitation" : "(Soanes et al., 2016)", "plainTextFormattedCitation" : "(Soanes et al., 2016)", "previouslyFormattedCitation" : "(Soanes et al., 2016)" }, "properties" : {  }, "schema" : "https://github.com/citation-style-language/schema/raw/master/csl-citation.json" }</w:instrText>
      </w:r>
      <w:r w:rsidR="000430EE">
        <w:fldChar w:fldCharType="separate"/>
      </w:r>
      <w:r w:rsidR="00126000" w:rsidRPr="00126000">
        <w:rPr>
          <w:noProof/>
        </w:rPr>
        <w:t>(Soanes et al., 2016)</w:t>
      </w:r>
      <w:r w:rsidR="000430EE">
        <w:fldChar w:fldCharType="end"/>
      </w:r>
      <w:r w:rsidR="000430EE">
        <w:t xml:space="preserve">. This approach was applied </w:t>
      </w:r>
      <w:r>
        <w:t>for</w:t>
      </w:r>
      <w:r w:rsidR="000430EE">
        <w:t xml:space="preserve"> Gentoo Penguins (17 km radius </w:t>
      </w:r>
      <w:r w:rsidR="000430EE">
        <w:fldChar w:fldCharType="begin" w:fldLock="1"/>
      </w:r>
      <w:r w:rsidR="00195AA8">
        <w:rPr>
          <w:lang w:val="pt-PT"/>
        </w:rPr>
        <w:instrText>ADDIN CSL_CITATION { "citationItems" : [ { "id" : "ITEM-1", "itemData" : { "DOI" : "10.1038/s41598-018-25318-7", "ISSN" : "2045-2322", "abstract" : "Optimal foraging theory predicts that when food is plentiful all individuals should take a small range of preferred prey types, but as competition increases less preferred prey will be included in the diet. This dietary switching may not be uniform among individuals, which produces discrete dietary clusters. We tested this hypothesis for gentoo penguins at Bird Island, South Georgia, using stable isotope analysis and biologging. Competition, in the form of the density of foraging dives, increased markedly from incubation to chick-rearing owing to increased foraging effort. Birds responded behaviourally by exploiting a greater portion of the available foraging radius and increasing dive depths. Dietary niche width doubled and two discrete dietary clusters appeared; one comprising birds that consumed mostly krill and another that ate a greater proportion of demersal fish. There were no differences in morphology between the dietary classes, but birds in the fish class had a tendency to dive deeper, which suggests a behavioural basis for specialization. Our findings are consistent with the hypothesis that intra-specific competition expands the population\u2019s dietary niche width and drives divergence in diets among individuals.", "author" : [ { "dropping-particle" : "", "family" : "Ratcliffe", "given" : "Norman", "non-dropping-particle" : "", "parse-names" : false, "suffix" : "" }, { "dropping-particle" : "", "family" : "Adlard", "given" : "Stacey", "non-dropping-particle" : "", "parse-names" : false, "suffix" : "" }, { "dropping-particle" : "", "family" : "Stowasser", "given" : "Gabrielle", "non-dropping-particle" : "", "parse-names" : false, "suffix" : "" }, { "dropping-particle" : "", "family" : "Mcgill", "given" : "Rona", "non-dropping-particle" : "", "parse-names" : false, "suffix" : "" } ], "container-title" : "Scientific Reports", "id" : "ITEM-1", "issue" : "April", "issued" : { "date-parts" : [ [ "2018" ] ] }, "page" : "6827", "publisher" : "Springer US", "title" : "Dietary divergence is associated with increased intra-specific competition in a marine predator", "type" : "article-journal", "volume" : "8" }, "uris" : [ "http://www.mendeley.com/documents/?uuid=ecfd6f50-547a-49ce-854d-085e43f1480e", "http://www.mendeley.com/documents/?uuid=38c21ef3-b88e-4d05-8fda-707116471ae4" ] }, { "id" : "ITEM-2", "itemData" : { "DOI" : "10.1007/s00300-004-0592-6", "ISBN" : "4412232212", "ISSN" : "0722-4060", "author" : [ { "dropping-particle" : "", "family" : "Tanton", "given" : "Jane L.", "non-dropping-particle" : "", "parse-names" : false, "suffix" : "" }, { "dropping-particle" : "", "family" : "Reid", "given" : "Keith", "non-dropping-particle" : "", "parse-names" : false, "suffix" : "" }, { "dropping-particle" : "", "family" : "Croxall", "given" : "John P.", "non-dropping-particle" : "", "parse-names" : false, "suffix" : "" }, { "dropping-particle" : "", "family" : "Trathan", "given" : "Phil N.", "non-dropping-particle" : "", "parse-names" : false, "suffix" : "" } ], "container-title" : "Polar Biology", "id" : "ITEM-2", "issue" : "5", "issued" : { "date-parts" : [ [ "2004", "4" ] ] }, "page" : "299-303", "title" : "Winter distribution and behaviour of gentoo penguins &lt;i&gt;Pygoscelis papua&lt;/i&gt; at South Georgia", "type" : "article-journal", "volume" : "27" }, "uris" : [ "http://www.mendeley.com/documents/?uuid=e0a8466a-f4e2-4dfb-b904-956f52cb9c50", "http://www.mendeley.com/documents/?uuid=c5b3c080-91c5-466d-ab4d-d394e4f14248" ] } ], "mendeley" : { "formattedCitation" : "(Ratcliffe, Adlard, Stowasser, &amp; Mcgill, 2018; Tanton, Reid, Croxall, &amp; Trathan, 2004)", "plainTextFormattedCitation" : "(Ratcliffe, Adlard, Stowasser, &amp; Mcgill, 2018; Tanton, Reid, Croxall, &amp; Trathan, 2004)", "previouslyFormattedCitation" : "(Ratcliffe, Adlard, Stowasser, &amp; Mcgill, 2018; Tanton, Reid, Croxall, &amp; Trathan, 2004)" }, "properties" : {  }, "schema" : "https://github.com/citation-style-language/schema/raw/master/csl-citation.json" }</w:instrText>
      </w:r>
      <w:r w:rsidR="000430EE">
        <w:fldChar w:fldCharType="separate"/>
      </w:r>
      <w:r w:rsidR="00126000" w:rsidRPr="00126000">
        <w:rPr>
          <w:noProof/>
          <w:lang w:val="pt-PT"/>
        </w:rPr>
        <w:t>(Ratcliffe, Adlard, Stowasser, &amp; Mcgill, 2018; Tanton, Reid, Croxall, &amp; Trathan, 2004)</w:t>
      </w:r>
      <w:r w:rsidR="000430EE">
        <w:fldChar w:fldCharType="end"/>
      </w:r>
      <w:r w:rsidR="000430EE">
        <w:rPr>
          <w:lang w:val="pt-PT"/>
        </w:rPr>
        <w:t xml:space="preserve">) at South Georgia, and for Chinstrap Penguins (60 km radius </w:t>
      </w:r>
      <w:r w:rsidR="000430EE">
        <w:fldChar w:fldCharType="begin" w:fldLock="1"/>
      </w:r>
      <w:r w:rsidR="00195AA8">
        <w:rPr>
          <w:lang w:val="pt-PT"/>
        </w:rPr>
        <w:instrText>ADDIN CSL_CITATION { "citationItems" : [ { "id" : "ITEM-1", "itemData" : { "author" : [ { "dropping-particle" : "", "family" : "Ratcliffe", "given" : "Norman", "non-dropping-particle" : "", "parse-names" : false, "suffix" : "" }, { "dropping-particle" : "", "family" : "Trathan", "given" : "Philip N", "non-dropping-particle" : "", "parse-names" : false, "suffix" : "" } ], "container-title" : "CCAMLR Science", "id" : "ITEM-1", "issued" : { "date-parts" : [ [ "2011" ] ] }, "page" : "75-114", "title" : "A review of the diet and at-sea distribution of penguins breeding within the CCAMLR Convention Area", "type" : "article-journal", "volume" : "19" }, "uris" : [ "http://www.mendeley.com/documents/?uuid=c2a08ea4-d8e0-42b1-9e9b-8bbd6a13e5a1", "http://www.mendeley.com/documents/?uuid=cebc3d3e-6f74-4436-addc-459f4a123520" ] } ], "mendeley" : { "formattedCitation" : "(Ratcliffe &amp; Trathan, 2011)", "plainTextFormattedCitation" : "(Ratcliffe &amp; Trathan, 2011)", "previouslyFormattedCitation" : "(Ratcliffe &amp; Trathan, 2011)" }, "properties" : {  }, "schema" : "https://github.com/citation-style-language/schema/raw/master/csl-citation.json" }</w:instrText>
      </w:r>
      <w:r w:rsidR="000430EE">
        <w:fldChar w:fldCharType="separate"/>
      </w:r>
      <w:r w:rsidR="00126000" w:rsidRPr="00126000">
        <w:rPr>
          <w:noProof/>
          <w:lang w:val="pt-PT"/>
        </w:rPr>
        <w:t>(Ratcliffe &amp; Trathan, 2011)</w:t>
      </w:r>
      <w:r w:rsidR="000430EE">
        <w:fldChar w:fldCharType="end"/>
      </w:r>
      <w:r w:rsidR="000430EE">
        <w:rPr>
          <w:lang w:val="pt-PT"/>
        </w:rPr>
        <w:t>) at the South Sandwich Islands.</w:t>
      </w:r>
      <w:r>
        <w:rPr>
          <w:lang w:val="pt-PT"/>
        </w:rPr>
        <w:t xml:space="preserve"> We also used the foraging radius approach for Antarctic Fur Seals (150 km radius </w:t>
      </w:r>
      <w:r>
        <w:fldChar w:fldCharType="begin" w:fldLock="1"/>
      </w:r>
      <w:r w:rsidR="00195AA8">
        <w:rPr>
          <w:lang w:val="pt-PT"/>
        </w:rPr>
        <w:instrText>ADDIN CSL_CITATION { "citationItems" : [ { "id" : "ITEM-1", "itemData" : { "DOI" : "10.1093/beheco/10.2.198", "ISBN" : "1045-2249", "ISSN" : "14657279", "abstract" : "This study examined three competing hypotheses to explain how lactating Antarctic fur seals (Arctocephalus gazella) respond to changes in the level of resource availability. Antarctic fur seals have episodic bouts of suckling (1-3 days), alternating with foraging trips (3-10 days). Foraging time budgets varied significantly (p &lt;.001) among 8 consecutive years at Bird Island, South Georgia. Foraging trip duration increased during periods of relative food shortage. Time spent ashore was more consistent among years than foraging trip duration but declined during a year of particularly low food availability. In 4 of the 8 years, there was a significant positive correlation between time spent ashore and foraging trip duration. In the other years, the relationship was close to statistical significance. Energy delivery to pups during suckling bouts followed an asymptotic power function. Energy gain during foraging trips was estimated from diving behavior, which suggested that the energy gain function was linear. Distance traveled during foraging trips was correlated with foraging trip duration, and long foraging trips were associated with reduced foraging intensity. There was support for the hypothesis that lactating Antarctic fur seals compensate for reduced resources by increasing the foraging trip duration rather than working harder and increasing their energy expenditure. However, there was most support for the hypothesis that lactating Antarctic fur seals adjust time spent ashore as well as foraging trip duration, possibly to maximize the delivery of food to their offspring. Lactation appears to impose constraints on provisioning of offspring that differ from those of seabirds foraging in the same environment and often on the same prey.", "author" : [ { "dropping-particle" : "", "family" : "Boyd", "given" : "I. L.", "non-dropping-particle" : "", "parse-names" : false, "suffix" : "" } ], "container-title" : "Behavioral Ecology", "id" : "ITEM-1", "issue" : "2", "issued" : { "date-parts" : [ [ "1999" ] ] }, "page" : "198-208", "title" : "Foraging and provisioning in Antarctic fur seals: interannual variability in time-energy budgets", "type" : "article-journal", "volume" : "10" }, "uris" : [ "http://www.mendeley.com/documents/?uuid=4ab26686-e37e-4479-908b-78aa0de8782d", "http://www.mendeley.com/documents/?uuid=e9c5b83a-a24f-43b1-b0e4-dce1594e88bc" ] } ], "mendeley" : { "formattedCitation" : "(Boyd, 1999)", "plainTextFormattedCitation" : "(Boyd, 1999)", "previouslyFormattedCitation" : "(Boyd, 1999)" }, "properties" : {  }, "schema" : "https://github.com/citation-style-language/schema/raw/master/csl-citation.json" }</w:instrText>
      </w:r>
      <w:r>
        <w:fldChar w:fldCharType="separate"/>
      </w:r>
      <w:r w:rsidR="00126000" w:rsidRPr="00126000">
        <w:rPr>
          <w:noProof/>
          <w:lang w:val="pt-PT"/>
        </w:rPr>
        <w:t>(Boyd, 1999)</w:t>
      </w:r>
      <w:r>
        <w:fldChar w:fldCharType="end"/>
      </w:r>
      <w:r>
        <w:rPr>
          <w:lang w:val="pt-PT"/>
        </w:rPr>
        <w:t xml:space="preserve">, but bound this site by an established species distribution model </w:t>
      </w:r>
      <w:r>
        <w:fldChar w:fldCharType="begin" w:fldLock="1"/>
      </w:r>
      <w:r w:rsidR="00195AA8">
        <w:rPr>
          <w:lang w:val="pt-PT"/>
        </w:rPr>
        <w:instrText>ADDIN CSL_CITATION { "citationItems" : [ { "id" : "ITEM-1", "itemData" : { "DOI" : "10.3354/meps242285", "ISBN" : "ISSN: 0171-8630", "ISSN" : "01718630", "abstract" : "The study examined the distribution of critical habitat for foraging by female Antarctic fur seals breeding at the island of South Georgia. Bathymetric features of the continental shelf around the island of South Georgia were an important indicator for the localisation of foraging. This pattern was consistent among years of different prey availability. Lactating females were constrained to forage mainly within 100 km of the location at which the offspring was being raised. When this constraint was removed at the end of lactation, females foraged to much greater ranges and dispersed to specific regions of the continental shelf east of Patagonia (&gt;1000 km) and to the northern edge of the Antarctic pack ice (500 km). The empirical distribution of foraging during the breeding season was used to develop a function that described the foraging distribution for the whole breeding population of females. The result was consistent with past observations from ship-based surveys and it allowed estimation of the spatial impact of breeding female fur seals on krill at South Georgia. This suggested that, in extreme cases and assuming that krill influx is limited, female fur seals could eat most of the krill present in some regions where they forage intensively. However, mean consumption was about one-tenth of the mean density of krill.", "author" : [ { "dropping-particle" : "", "family" : "Boyd", "given" : "I. L.", "non-dropping-particle" : "", "parse-names" : false, "suffix" : "" }, { "dropping-particle" : "", "family" : "Staniland", "given" : "I. J.", "non-dropping-particle" : "", "parse-names" : false, "suffix" : "" }, { "dropping-particle" : "", "family" : "Martin", "given" : "A. R.", "non-dropping-particle" : "", "parse-names" : false, "suffix" : "" } ], "container-title" : "Marine Ecology Progress Series", "id" : "ITEM-1", "issued" : { "date-parts" : [ [ "2002" ] ] }, "page" : "285-294", "title" : "Distribution of foraging by female Antarctic fur seals", "type" : "article-journal", "volume" : "242" }, "uris" : [ "http://www.mendeley.com/documents/?uuid=f4c79f94-8e40-4a1a-bf7b-5aaf93c86e09", "http://www.mendeley.com/documents/?uuid=70147a7c-6814-44ad-820a-56122c37ee2e" ] } ], "mendeley" : { "formattedCitation" : "(Boyd, Staniland, &amp; Martin, 2002)", "plainTextFormattedCitation" : "(Boyd, Staniland, &amp; Martin, 2002)", "previouslyFormattedCitation" : "(Boyd, Staniland, &amp; Martin, 2002)" }, "properties" : {  }, "schema" : "https://github.com/citation-style-language/schema/raw/master/csl-citation.json" }</w:instrText>
      </w:r>
      <w:r>
        <w:fldChar w:fldCharType="separate"/>
      </w:r>
      <w:r w:rsidR="00126000" w:rsidRPr="00126000">
        <w:rPr>
          <w:noProof/>
          <w:lang w:val="pt-PT"/>
        </w:rPr>
        <w:t>(Boyd, Staniland, &amp; Martin, 2002)</w:t>
      </w:r>
      <w:r>
        <w:fldChar w:fldCharType="end"/>
      </w:r>
      <w:r>
        <w:rPr>
          <w:lang w:val="pt-PT"/>
        </w:rPr>
        <w:t xml:space="preserve">) and further understanding of the species foraging ecology </w:t>
      </w:r>
      <w:r>
        <w:rPr>
          <w:lang w:val="pt-PT"/>
        </w:rPr>
        <w:fldChar w:fldCharType="begin" w:fldLock="1"/>
      </w:r>
      <w:r w:rsidR="00195AA8">
        <w:rPr>
          <w:lang w:val="pt-PT"/>
        </w:rPr>
        <w:instrText>ADDIN CSL_CITATION { "citationItems" : [ { "id" : "ITEM-1", "itemData" : { "author" : [ { "dropping-particle" : "", "family" : "Lunn", "given" : "NJ", "non-dropping-particle" : "", "parse-names" : false, "suffix" : "" }, { "dropping-particle" : "", "family" : "Boyd", "given" : "IL", "non-dropping-particle" : "", "parse-names" : false, "suffix" : "" }, { "dropping-particle" : "", "family" : "Barton", "given" : "T", "non-dropping-particle" : "", "parse-names" : false, "suffix" : "" }, { "dropping-particle" : "", "family" : "Croxall", "given" : "JP", "non-dropping-particle" : "", "parse-names" : false, "suffix" : "" } ], "container-title" : "Journal of Mammalogy", "id" : "ITEM-1", "issue" : "4", "issued" : { "date-parts" : [ [ "1993" ] ] }, "page" : "908-919", "title" : "Factors Affecting the Growth Rate and Mass at Weaning of Antarctic Fur Seals at Bird Island, South Georgia", "type" : "article-journal", "volume" : "74" }, "uris" : [ "http://www.mendeley.com/documents/?uuid=1e5d1a99-5436-4d4a-933f-b5a00875a399", "http://www.mendeley.com/documents/?uuid=bd5f7d6d-1562-4cd1-b8b4-7d4a5faafbae" ] } ], "mendeley" : { "formattedCitation" : "(Lunn, Boyd, Barton, &amp; Croxall, 1993)", "plainTextFormattedCitation" : "(Lunn, Boyd, Barton, &amp; Croxall, 1993)", "previouslyFormattedCitation" : "(Lunn, Boyd, Barton, &amp; Croxall, 1993)" }, "properties" : {  }, "schema" : "https://github.com/citation-style-language/schema/raw/master/csl-citation.json" }</w:instrText>
      </w:r>
      <w:r>
        <w:rPr>
          <w:lang w:val="pt-PT"/>
        </w:rPr>
        <w:fldChar w:fldCharType="separate"/>
      </w:r>
      <w:r w:rsidR="00126000" w:rsidRPr="00126000">
        <w:rPr>
          <w:noProof/>
          <w:lang w:val="pt-PT"/>
        </w:rPr>
        <w:t>(Lunn, Boyd, Barton, &amp; Croxall, 1993)</w:t>
      </w:r>
      <w:r>
        <w:rPr>
          <w:lang w:val="pt-PT"/>
        </w:rPr>
        <w:fldChar w:fldCharType="end"/>
      </w:r>
      <w:r>
        <w:rPr>
          <w:lang w:val="pt-PT"/>
        </w:rPr>
        <w:t>.</w:t>
      </w:r>
    </w:p>
    <w:p w14:paraId="679A18A6" w14:textId="3FF71171" w:rsidR="00215D47" w:rsidRDefault="000430EE" w:rsidP="000D41FA">
      <w:r>
        <w:t>A recent Chinstrap Penguin tracking study</w:t>
      </w:r>
      <w:r w:rsidR="008C4B4A">
        <w:t>, a near-shore foraging species during the breeding period,</w:t>
      </w:r>
      <w:r>
        <w:t xml:space="preserve"> at the South Orkney Islands showed a high degree of overlap between the areas identified as important using  tracking data and those predicted from species distribution models </w:t>
      </w:r>
      <w:r>
        <w:fldChar w:fldCharType="begin" w:fldLock="1"/>
      </w:r>
      <w:r w:rsidR="00195AA8">
        <w:instrText>ADDIN CSL_CITATION { "citationItems" : [ { "id" : "ITEM-1", "itemData" : { "DOI" : "10.1111/ddi.12817", "ISBN" : "8182257522", "ISSN" : "13669516", "abstract" : "Recent studies of the role of lobby groups in European Union (EU) policymaking have drawn attention to the concept of 'multilevel governance' as a powerful explanatory tool in analysing how these organisations exert political influence on EU institutions. One of the longest standing of these groups is the Comite\u00e8 des Organisations Professionnelles Agricoles (COPA). Until the mid-1980s, COPA was regarded as being remarkably successful in influencing the content and direction of the EU's Common Agricultural Policy (CAP). More recently, however, commentators have noted a marked decline in COPA's influence, citing as evidence the organisation's abortive attempts to blunt the radical edge of the 1992 reform package of the Common Agricultural Policy. In this paper the authors use Grande's conception of multilevel governance to provide a thorough examination of why COPA carried little influence with the European Commission's Agriculture Directorate, Directorate-General VI (DGVI) during the 1992 reforms. An illustrative case study is presented of a minor though notable element of these reforms, the so-called 'agri-environment' regulation, EU 2078/92. In explaining COPA's slight effect on the final text of the regulation, Grande's notion of multilevel governance emphasises the eclectic positions adopted by COPA's constituent farming unions towards the regulation, and the complexities of a negotiating process transacted simultaneously with different EU institutions, each requiring the tailoring of specific lobbying strategies by COPA's secretariat. The authors conclude that the negative outcome of COPA's lobbying resulted not only from disarray among this organisation's national policy constituencies, but also from skillful counterlobbying mounted by DGVI to prevent COPA from derailing the delicate CAP reform process.", "author" : [ { "dropping-particle" : "", "family" : "Warwick-Evans", "given" : "Victoria", "non-dropping-particle" : "", "parse-names" : false, "suffix" : "" }, { "dropping-particle" : "", "family" : "Ratcliffe", "given" : "Norman", "non-dropping-particle" : "", "parse-names" : false, "suffix" : "" }, { "dropping-particle" : "", "family" : "Lowther", "given" : "Andrew D.", "non-dropping-particle" : "", "parse-names" : false, "suffix" : "" }, { "dropping-particle" : "", "family" : "Manco", "given" : "Fabrizio", "non-dropping-particle" : "", "parse-names" : false, "suffix" : "" }, { "dropping-particle" : "", "family" : "Ireland", "given" : "Louise", "non-dropping-particle" : "", "parse-names" : false, "suffix" : "" }, { "dropping-particle" : "", "family" : "Clewlow", "given" : "Harriet L.", "non-dropping-particle" : "", "parse-names" : false, "suffix" : "" }, { "dropping-particle" : "", "family" : "Trathan", "given" : "Philip N.", "non-dropping-particle" : "", "parse-names" : false, "suffix" : "" } ], "container-title" : "Diversity and Distributions", "id" : "ITEM-1", "issue" : "June", "issued" : { "date-parts" : [ [ "2018" ] ] }, "page" : "1756-1771", "title" : "Using habitat models for chinstrap penguins &lt;i&gt;Pygoscelis antarctica&lt;/i&gt; to advise krill fisheries management during the penguin breeding season", "type" : "article-journal" }, "uris" : [ "http://www.mendeley.com/documents/?uuid=fe146d8f-26cf-4014-9873-51cdc99cd513", "http://www.mendeley.com/documents/?uuid=4cdb594c-6168-4a3d-861a-9a2a9ed02fc9" ] }, { "id" : "ITEM-2", "itemData" : { "DOI" : "10.1007/s00300-018-2404-4", "ISBN" : "0123456789", "ISSN" : "07224060", "PMID" : "17600522", "abstract" : "Many lesion studies report an amazing variety of deficits in behavioral\\nfunctions that cannot possibly be encoded in great detail by the\\nrelatively small number of midbrain dopamine neurons. Although hoping\\nto unravel a single dopamine function underlying these phenomena,\\nelectrophysiological and neurochemical studies still give a confusing,\\nmutually exclusive, and partly contradictory account of dopamine's\\nrole in behavior. However, the speed of observed phasic dopamine\\nchanges varies several thousand fold, which offers a means to differentiate\\nthe behavioral relationships according to their time courses. Thus\\ndopamine is involved in mediating the reactivity of the organism\\nto the environment at different time scales, from fast impulse responses\\nrelated to reward via slower changes with uncertainty, punishment,\\nand possibly movement to the tonic enabling of postsynaptic motor,\\ncognitive, and motivational systems deficient in Parkinson's disease.", "author" : [ { "dropping-particle" : "", "family" : "Dias", "given" : "Maria P", "non-dropping-particle" : "", "parse-names" : false, "suffix" : "" }, { "dropping-particle" : "", "family" : "Warwick-Evans", "given" : "V.", "non-dropping-particle" : "", "parse-names" : false, "suffix" : "" }, { "dropping-particle" : "", "family" : "Carneiro", "given" : "A. P.B.", "non-dropping-particle" : "", "parse-names" : false, "suffix" : "" }, { "dropping-particle" : "", "family" : "Harris", "given" : "C.", "non-dropping-particle" : "", "parse-names" : false, "suffix" : "" }, { "dropping-particle" : "", "family" : "Lascelles", "given" : "B. G.", "non-dropping-particle" : "", "parse-names" : false, "suffix" : "" }, { "dropping-particle" : "", "family" : "Clewlow", "given" : "H. L.", "non-dropping-particle" : "", "parse-names" : false, "suffix" : "" }, { "dropping-particle" : "", "family" : "Manco", "given" : "F.", "non-dropping-particle" : "", "parse-names" : false, "suffix" : "" }, { "dropping-particle" : "", "family" : "Ratcliffe", "given" : "N.", "non-dropping-particle" : "", "parse-names" : false, "suffix" : "" }, { "dropping-particle" : "", "family" : "Trathan", "given" : "P. N.", "non-dropping-particle" : "", "parse-names" : false, "suffix" : "" } ], "container-title" : "Polar Biology", "id" : "ITEM-2", "issued" : { "date-parts" : [ [ "2018" ] ] }, "page" : "1-9", "publisher" : "Springer Berlin Heidelberg", "title" : "Using habitat models to identify marine important bird and biodiversity areas for Chinstrap Penguins Pygoscelis antarcticus in the South Orkney Islands", "type" : "article-journal" }, "uris" : [ "http://www.mendeley.com/documents/?uuid=af2e5f28-f090-4074-9ce3-4d1fdc154d90", "http://www.mendeley.com/documents/?uuid=aacad619-8633-4a43-95ab-592e05bf9018" ] } ], "mendeley" : { "formattedCitation" : "(Dias, Warwick-Evans, et al., 2018; Warwick-Evans et al., 2018)", "plainTextFormattedCitation" : "(Dias, Warwick-Evans, et al., 2018; Warwick-Evans et al., 2018)", "previouslyFormattedCitation" : "(Dias, Warwick-Evans, et al., 2018; Warwick-Evans et al., 2018)" }, "properties" : {  }, "schema" : "https://github.com/citation-style-language/schema/raw/master/csl-citation.json" }</w:instrText>
      </w:r>
      <w:r>
        <w:fldChar w:fldCharType="separate"/>
      </w:r>
      <w:r w:rsidR="00126000" w:rsidRPr="00126000">
        <w:rPr>
          <w:noProof/>
        </w:rPr>
        <w:t>(Dias, Warwick-Evans, et al., 2018; Warwick-Evans et al., 2018)</w:t>
      </w:r>
      <w:r>
        <w:fldChar w:fldCharType="end"/>
      </w:r>
      <w:r>
        <w:t>. Therefore,</w:t>
      </w:r>
      <w:r w:rsidR="00B5466E">
        <w:t xml:space="preserve"> for Macaroni Penguins</w:t>
      </w:r>
      <w:r>
        <w:t xml:space="preserve"> </w:t>
      </w:r>
      <w:r w:rsidR="00B5466E">
        <w:t xml:space="preserve"> which also forage in the near-shore environment during the brood-guard and crèche periods, </w:t>
      </w:r>
      <w:r w:rsidR="008C4B4A">
        <w:t>we used the final boundar</w:t>
      </w:r>
      <w:r w:rsidR="00191249">
        <w:t>ies</w:t>
      </w:r>
      <w:r w:rsidR="008C4B4A">
        <w:t xml:space="preserve"> of South Georgia island-wide predicted distribution </w:t>
      </w:r>
      <w:r w:rsidR="00B5466E">
        <w:t>models</w:t>
      </w:r>
      <w:r w:rsidR="00191249">
        <w:t xml:space="preserve"> for Macaroni Penguins during these </w:t>
      </w:r>
      <w:r w:rsidR="000D41FA">
        <w:t xml:space="preserve">different </w:t>
      </w:r>
      <w:r w:rsidR="00191249">
        <w:t>periods</w:t>
      </w:r>
      <w:r w:rsidR="00B5466E">
        <w:t xml:space="preserve"> </w:t>
      </w:r>
      <w:r w:rsidR="008C4B4A">
        <w:fldChar w:fldCharType="begin" w:fldLock="1"/>
      </w:r>
      <w:r w:rsidR="00195AA8">
        <w:instrText>ADDIN CSL_CITATION { "citationItems" : [ { "id" : "ITEM-1", "itemData" : { "author" : [ { "dropping-particle" : "", "family" : "Scheffer", "given" : "Annette", "non-dropping-particle" : "", "parse-names" : false, "suffix" : "" }, { "dropping-particle" : "", "family" : "Ratcliffe", "given" : "Norman", "non-dropping-particle" : "", "parse-names" : false, "suffix" : "" }, { "dropping-particle" : "", "family" : "Dias", "given" : "Maria P", "non-dropping-particle" : "", "parse-names" : false, "suffix" : "" }, { "dropping-particle" : "", "family" : "Bost", "given" : "Charles-Andr\u00e9", "non-dropping-particle" : "", "parse-names" : false, "suffix" : "" }, { "dropping-particle" : "", "family" : "Trathan", "given" : "Philip N", "non-dropping-particle" : "", "parse-names" : false, "suffix" : "" } ], "id" : "ITEM-1", "issued" : { "date-parts" : [ [ "2015" ] ] }, "title" : "Identifying important marine areas for macaroni penguins (&lt;i&gt;Eudyptes chrysolophus&lt;/i&gt;) in the UK and French Overseas Territories. Final report of the EU-BEST project 2012-6.", "type" : "article-journal" }, "uris" : [ "http://www.mendeley.com/documents/?uuid=e8b8d68c-73cb-4cb4-870b-b496f755e4f9", "http://www.mendeley.com/documents/?uuid=37aef4b4-cb11-406b-bda8-19434844f96c" ] } ], "mendeley" : { "formattedCitation" : "(Scheffer, Ratcliffe, Dias, Bost, &amp; Trathan, 2015)", "plainTextFormattedCitation" : "(Scheffer, Ratcliffe, Dias, Bost, &amp; Trathan, 2015)", "previouslyFormattedCitation" : "(Scheffer, Ratcliffe, Dias, Bost, &amp; Trathan, 2015)" }, "properties" : {  }, "schema" : "https://github.com/citation-style-language/schema/raw/master/csl-citation.json" }</w:instrText>
      </w:r>
      <w:r w:rsidR="008C4B4A">
        <w:fldChar w:fldCharType="separate"/>
      </w:r>
      <w:r w:rsidR="00126000" w:rsidRPr="00126000">
        <w:rPr>
          <w:noProof/>
        </w:rPr>
        <w:t>(Scheffer, Ratcliffe, Dias, Bost, &amp; Trathan, 2015)</w:t>
      </w:r>
      <w:r w:rsidR="008C4B4A">
        <w:fldChar w:fldCharType="end"/>
      </w:r>
      <w:r w:rsidR="008C4B4A">
        <w:t xml:space="preserve">. </w:t>
      </w:r>
      <w:r w:rsidR="000D41FA">
        <w:t>As these projected distributions reflect t</w:t>
      </w:r>
      <w:r w:rsidR="008B6A01">
        <w:t>he likely distribution for this</w:t>
      </w:r>
      <w:r w:rsidR="000D41FA">
        <w:t xml:space="preserve"> species across </w:t>
      </w:r>
      <w:r w:rsidR="008B6A01">
        <w:t xml:space="preserve">the whole of </w:t>
      </w:r>
      <w:r w:rsidR="000D41FA">
        <w:t>South Georgia as oppose to the site-based tracking data approach, we based abundance estimates for these data-groups on the island-wide population estimates for species during the breeding period.</w:t>
      </w:r>
      <w:r>
        <w:t xml:space="preserve"> </w:t>
      </w:r>
    </w:p>
    <w:p w14:paraId="1B619656" w14:textId="77777777" w:rsidR="00215D47" w:rsidRDefault="00215D47" w:rsidP="00215D47">
      <w:pPr>
        <w:pStyle w:val="Heading2"/>
        <w:rPr>
          <w:rFonts w:ascii="Arial" w:hAnsi="Arial" w:cs="Arial"/>
        </w:rPr>
      </w:pPr>
      <w:r>
        <w:t>2.4 Final KBA boundaries</w:t>
      </w:r>
    </w:p>
    <w:p w14:paraId="09D110D3" w14:textId="4FD2B0C1" w:rsidR="00215D47" w:rsidRDefault="00215D47" w:rsidP="00336BEC">
      <w:r>
        <w:t xml:space="preserve">Key Biodiversity Area sites identified for </w:t>
      </w:r>
      <w:r w:rsidR="001B45E1">
        <w:t xml:space="preserve">unique </w:t>
      </w:r>
      <w:r>
        <w:t>data-groups</w:t>
      </w:r>
      <w:r w:rsidR="002841F9">
        <w:t xml:space="preserve"> (KBA element layers)</w:t>
      </w:r>
      <w:r>
        <w:t xml:space="preserve"> might overlap in space. However, the finalised KBAs submitted to the KBA Secretariat for ratification cannot consist </w:t>
      </w:r>
      <w:r w:rsidR="001B45E1">
        <w:t xml:space="preserve">of multiple overlapping layers, and </w:t>
      </w:r>
      <w:r>
        <w:t>must be delineated as manageabl</w:t>
      </w:r>
      <w:r w:rsidR="001B45E1">
        <w:t xml:space="preserve">e units </w:t>
      </w:r>
      <w:r w:rsidR="001B45E1">
        <w:lastRenderedPageBreak/>
        <w:t>(IUCN 2016). Therefore</w:t>
      </w:r>
      <w:r>
        <w:t xml:space="preserve">, all individual overlapping data-group layers were </w:t>
      </w:r>
      <w:r w:rsidR="001B45E1">
        <w:t xml:space="preserve">first </w:t>
      </w:r>
      <w:r>
        <w:t>merged to encompass their entire area. To fulfil the objective of creating manageable units, two zones were delineated around South Georgia and the KBA polygon was split accordingly: Zone 1 (Inner EEZ Zone): a 160 km buffer from the South Georgia main island, defined by a radius which would encompass the near-shore foraging species range. Zone 2 (Outer EEZ Zone): the remaining zone between the Inner EEZ Zone buffer and SGSSI EEZ boundary. Finally, where KBAs fell beyond the jurisdiction of their respective territories, final boundaries were clipped to the limits of the relevant EEZs.</w:t>
      </w:r>
    </w:p>
    <w:p w14:paraId="2128F5D8" w14:textId="77777777" w:rsidR="00EE665B" w:rsidRDefault="00EE665B" w:rsidP="00EE665B">
      <w:pPr>
        <w:pStyle w:val="Heading2"/>
        <w:rPr>
          <w:rFonts w:ascii="Arial" w:hAnsi="Arial" w:cs="Arial"/>
        </w:rPr>
      </w:pPr>
      <w:r>
        <w:t>2.5 Fisheries in identified KBAs</w:t>
      </w:r>
    </w:p>
    <w:p w14:paraId="234F5E8A" w14:textId="3B219E52" w:rsidR="00383BD5" w:rsidRDefault="00B40F71" w:rsidP="008B34D9">
      <w:pPr>
        <w:spacing w:after="120"/>
      </w:pPr>
      <w:r>
        <w:t>T</w:t>
      </w:r>
      <w:r w:rsidR="00F0427C">
        <w:t xml:space="preserve">hree </w:t>
      </w:r>
      <w:r w:rsidR="00383BD5">
        <w:t>fisheries</w:t>
      </w:r>
      <w:r w:rsidR="008B34D9">
        <w:t xml:space="preserve"> (details outlined in Table 3)</w:t>
      </w:r>
      <w:r w:rsidR="00383BD5">
        <w:t xml:space="preserve"> operate within the </w:t>
      </w:r>
      <w:r w:rsidR="00A0170C">
        <w:t>SGSSI</w:t>
      </w:r>
      <w:r w:rsidR="00383BD5">
        <w:t xml:space="preserve"> MPA</w:t>
      </w:r>
      <w:r w:rsidR="00383BD5" w:rsidRPr="00383BD5">
        <w:t xml:space="preserve">: the demersal </w:t>
      </w:r>
      <w:r w:rsidR="00383BD5">
        <w:t>longline fishery</w:t>
      </w:r>
      <w:r w:rsidR="00383BD5" w:rsidRPr="00383BD5">
        <w:t xml:space="preserve"> for Patagonian</w:t>
      </w:r>
      <w:r w:rsidR="001B45E1">
        <w:t xml:space="preserve"> </w:t>
      </w:r>
      <w:r w:rsidR="00383BD5" w:rsidRPr="00383BD5">
        <w:t>(</w:t>
      </w:r>
      <w:r w:rsidR="00383BD5" w:rsidRPr="00383BD5">
        <w:rPr>
          <w:i/>
          <w:iCs/>
        </w:rPr>
        <w:t>Dissostichus eleginoides</w:t>
      </w:r>
      <w:r w:rsidR="00383BD5" w:rsidRPr="00383BD5">
        <w:t>)</w:t>
      </w:r>
      <w:r w:rsidR="00383BD5">
        <w:t xml:space="preserve"> </w:t>
      </w:r>
      <w:r w:rsidR="001B45E1">
        <w:t>and</w:t>
      </w:r>
      <w:r w:rsidR="00383BD5" w:rsidRPr="00383BD5">
        <w:t xml:space="preserve"> Antarctic Toothfish (</w:t>
      </w:r>
      <w:r w:rsidR="00383BD5" w:rsidRPr="00383BD5">
        <w:rPr>
          <w:i/>
          <w:iCs/>
        </w:rPr>
        <w:t>Dissostichus mawsoni</w:t>
      </w:r>
      <w:r w:rsidR="00383BD5" w:rsidRPr="00383BD5">
        <w:t>)</w:t>
      </w:r>
      <w:r w:rsidR="00383BD5">
        <w:t>,</w:t>
      </w:r>
      <w:r w:rsidR="00383BD5" w:rsidRPr="00383BD5">
        <w:t xml:space="preserve"> </w:t>
      </w:r>
      <w:r w:rsidR="00F0427C">
        <w:t xml:space="preserve">and </w:t>
      </w:r>
      <w:r w:rsidR="001B45E1">
        <w:t>the pelagic trawl fisheries</w:t>
      </w:r>
      <w:r w:rsidR="00383BD5" w:rsidRPr="00383BD5">
        <w:t xml:space="preserve"> for Mackerel Icefish (</w:t>
      </w:r>
      <w:r w:rsidR="00383BD5" w:rsidRPr="00383BD5">
        <w:rPr>
          <w:i/>
          <w:iCs/>
        </w:rPr>
        <w:t>Champsocephalus gunnari</w:t>
      </w:r>
      <w:r>
        <w:t xml:space="preserve">) </w:t>
      </w:r>
      <w:r w:rsidR="001B45E1">
        <w:t>and</w:t>
      </w:r>
      <w:r w:rsidR="00383BD5" w:rsidRPr="00383BD5">
        <w:t xml:space="preserve"> A</w:t>
      </w:r>
      <w:r w:rsidR="00F0427C">
        <w:t>ntarctic Krill</w:t>
      </w:r>
      <w:r w:rsidR="00383BD5" w:rsidRPr="00383BD5">
        <w:t xml:space="preserve"> </w:t>
      </w:r>
      <w:r w:rsidR="00383BD5">
        <w:rPr>
          <w:iCs/>
        </w:rPr>
        <w:fldChar w:fldCharType="begin" w:fldLock="1"/>
      </w:r>
      <w:r w:rsidR="00195AA8">
        <w:rPr>
          <w:iCs/>
        </w:rPr>
        <w:instrText>ADDIN CSL_CITATION { "citationItems" : [ { "id" : "ITEM-1", "itemData" : { "DOI" : "10.1016/B978-0-12-800214-8.00002-5", "ISBN" : "9780128002148", "ISSN" : "00652881", "PMID" : "25358297", "abstract" : "South Georgia and the South Sandwich Islands (SGSSI) are surrounded by oceans that are species-rich, have high levels of biodiversity, important endemism and which also support large aggregations of charismatic upper trophic level species. Spatial management around these islands is complex, particularly in the context of commercial fisheries that exploit some of these living resources. Furthermore, management is especially complicated as local productivity relies fundamentally upon biological production transported from outside the area. The MPA uses practical management boundaries, allowing access for the current legal fisheries for Patagonian toothfish, mackerel icefish and Antarctic krill. Management measures developed as part of the planning process designated the whole SGSSI Maritime Zone as an IUCN Category VI reserve, within which a number of IUCN Category I reserves were identified. Multiple-use zones and temporal closures were also designated. A key multiple-use principle was to identify whether the ecological impacts of a particular fishery threatened either the pelagic or benthic domain.", "author" : [ { "dropping-particle" : "", "family" : "Trathan", "given" : "Philip N.", "non-dropping-particle" : "", "parse-names" : false, "suffix" : "" }, { "dropping-particle" : "", "family" : "Collins", "given" : "Martin A.", "non-dropping-particle" : "", "parse-names" : false, "suffix" : "" }, { "dropping-particle" : "", "family" : "Grant", "given" : "Susie M.", "non-dropping-particle" : "", "parse-names" : false, "suffix" : "" }, { "dropping-particle" : "", "family" : "Belchier", "given" : "Mark", "non-dropping-particle" : "", "parse-names" : false, "suffix" : "" }, { "dropping-particle" : "", "family" : "Barnes", "given" : "David K A", "non-dropping-particle" : "", "parse-names" : false, "suffix" : "" }, { "dropping-particle" : "", "family" : "Brown", "given" : "Judith", "non-dropping-particle" : "", "parse-names" : false, "suffix" : "" }, { "dropping-particle" : "", "family" : "Staniland", "given" : "Iain J.", "non-dropping-particle" : "", "parse-names" : false, "suffix" : "" } ], "container-title" : "Advances in Marine Biology", "id" : "ITEM-1", "issued" : { "date-parts" : [ [ "2014" ] ] }, "number-of-pages" : "15-78", "title" : "The South Georgia and the South Sandwich Islands MPA: Protecting A Biodiverse Oceanic Island Chain Situated in the Flow of the Antarctic Circumpolar Current", "type" : "book", "volume" : "69" }, "uris" : [ "http://www.mendeley.com/documents/?uuid=3a91f214-3b1e-4dda-b789-35977b356ded", "http://www.mendeley.com/documents/?uuid=b2db3696-99e6-4033-b435-b50639138ba4" ] }, { "id" : "ITEM-2", "itemData" : { "DOI" : "10.1016/bs.amb.2015.06.001", "ISBN" : "9780128036020", "ISSN" : "00652881", "PMID" : "26296718", "abstract" : "The current hiatus in the establishment of a network of marine protected areas (MPAs) in the Antarctic means that other routes to conservation are required. The protection of overseas territories in the Antarctic and sub-Antarctic represents one way to advance the initiation of such a network. This review of the physical and biological features of the United Kingdom (U.K.) overseas territories of South Georgia and South Sandwich Islands (SGSSI) is undertaken to estimate the importance of the islands in terms of marine conservation in the Southern Ocean and globally. The economy and management of SGSSI are also analysed, and the question of whether the islands already have sufficient protection to constitute part of an Antarctic network of MPAs is assessed. The SGSSI comprise unique geological and physical features, a diverse marine biota, including a significant proportion of endemic species and globally important breeding populations of marine predators. Regardless of past exploitation of biotic resources, such as seals, whales and finfish, SGSSI would make a significant contribution to biological diversity in an Antarctic network of MPAs. At present, conservation measures do not adequately protect all of the biological features that render the islands so important in terms of conservation at a regional and global level. However, a general lack of data on Antarctic marine ecosystems (particularly needed for SGSSSI) makes it difficult to assess this fully. One barrier to achieving more complete protection is the continuing emphasis on fishing effort in these waters by U.K. government. Other non-U.K. Antarctic overseas territories of conservation importance are also compromised as MPAs because of the exploitation of fisheries resources in their waters. The possible non-use values of SGSSI as well as the importance of ecosystem services that are indirectly used by people are outlined in this review. Technology is improving the potential for management of remote MPAs, particularly in the context of incursion by illegal fishing activities and use of satellite surveillance for enforcement of fisheries and conservation regulations. The conflict between commercial exploitation and conservation of Antarctic marine living resources is explored. \u00a9 2015 Elsevier Ltd.", "author" : [ { "dropping-particle" : "", "family" : "Rogers", "given" : "Alex D.", "non-dropping-particle" : "", "parse-names" : false, "suffix" : "" }, { "dropping-particle" : "", "family" : "Yesson", "given" : "Christopher", "non-dropping-particle" : "", "parse-names" : false, "suffix" : "" }, { "dropping-particle" : "", "family" : "Gravestock", "given" : "Pippa", "non-dropping-particle" : "", "parse-names" : false, "suffix" : "" } ], "container-title" : "Advances in Marine Biology", "edition" : "1", "id" : "ITEM-2", "issued" : { "date-parts" : [ [ "2016" ] ] }, "number-of-pages" : "1-286", "publisher" : "Elsevier Ltd.", "title" : "A Biophysical and Economic Profile of South Georgia and the South Sandwich Islands as Potential Large-Scale Antarctic Protected Areas", "type" : "book", "volume" : "73" }, "uris" : [ "http://www.mendeley.com/documents/?uuid=d28e3ea4-337b-496b-970d-8eb8cd2bd607", "http://www.mendeley.com/documents/?uuid=720a34bb-86bc-4d7d-a0ec-603397d3a366", "http://www.mendeley.com/documents/?uuid=4d922c71-687e-46b7-b69c-9867c11456cd" ] }, { "id" : "ITEM-3", "itemData" : { "author" : [ { "dropping-particle" : "", "family" : "GSGSSI", "given" : "", "non-dropping-particle" : "", "parse-names" : false, "suffix" : "" } ], "id" : "ITEM-3", "issued" : { "date-parts" : [ [ "2013" ] ] }, "page" : "Version 2.0: 31/08/2013", "title" : "South Georgia and the South Sandwich Islands Marine Protected Area Management Plan", "type" : "article-journal" }, "uris" : [ "http://www.mendeley.com/documents/?uuid=efbdcfab-c0e5-4ce7-8ed7-d73c7ffcc97e", "http://www.mendeley.com/documents/?uuid=a1f43f62-c3b1-45ae-b777-7a82c5066c89", "http://www.mendeley.com/documents/?uuid=67e51a71-9248-4f1b-895e-26fa324b4db5" ] } ], "mendeley" : { "formattedCitation" : "(GSGSSI, 2013; Rogers et al., 2016; Trathan et al., 2014)", "plainTextFormattedCitation" : "(GSGSSI, 2013; Rogers et al., 2016; Trathan et al., 2014)", "previouslyFormattedCitation" : "(GSGSSI, 2013; Rogers et al., 2016; Trathan et al., 2014)" }, "properties" : {  }, "schema" : "https://github.com/citation-style-language/schema/raw/master/csl-citation.json" }</w:instrText>
      </w:r>
      <w:r w:rsidR="00383BD5">
        <w:rPr>
          <w:iCs/>
        </w:rPr>
        <w:fldChar w:fldCharType="separate"/>
      </w:r>
      <w:r w:rsidR="00126000" w:rsidRPr="00126000">
        <w:rPr>
          <w:iCs/>
          <w:noProof/>
        </w:rPr>
        <w:t>(GSGSSI, 2013; Rogers et al., 2016; Trathan et al., 2014)</w:t>
      </w:r>
      <w:r w:rsidR="00383BD5">
        <w:rPr>
          <w:iCs/>
        </w:rPr>
        <w:fldChar w:fldCharType="end"/>
      </w:r>
      <w:r w:rsidR="00383BD5">
        <w:t xml:space="preserve">. </w:t>
      </w:r>
    </w:p>
    <w:p w14:paraId="6F23981E" w14:textId="622D3131" w:rsidR="00717C22" w:rsidRDefault="00DC5B93" w:rsidP="00846E66">
      <w:pPr>
        <w:spacing w:after="120"/>
        <w:rPr>
          <w:rFonts w:ascii="Times New Roman" w:hAnsi="Times New Roman" w:cs="Times New Roman"/>
          <w:sz w:val="24"/>
          <w:szCs w:val="24"/>
          <w:lang w:val="en-GB" w:eastAsia="ja-JP"/>
        </w:rPr>
      </w:pPr>
      <w:r>
        <w:t xml:space="preserve">We evaluated </w:t>
      </w:r>
      <w:r w:rsidRPr="00383BD5">
        <w:t xml:space="preserve">the role of the MPA </w:t>
      </w:r>
      <w:r w:rsidR="00383BD5" w:rsidRPr="00383BD5">
        <w:rPr>
          <w:iCs/>
        </w:rPr>
        <w:t>in conserving globally important sites of biodiversity</w:t>
      </w:r>
      <w:r w:rsidR="00383BD5" w:rsidRPr="00383BD5">
        <w:t xml:space="preserve"> </w:t>
      </w:r>
      <w:r w:rsidR="00383BD5">
        <w:t>by assessing</w:t>
      </w:r>
      <w:r w:rsidRPr="00383BD5">
        <w:t xml:space="preserve"> the overlap between the identified KBAs and the operational areas of the main fisheries</w:t>
      </w:r>
      <w:r w:rsidR="00383BD5">
        <w:t xml:space="preserve"> within the MPA.</w:t>
      </w:r>
      <w:r w:rsidR="00B30C56">
        <w:t xml:space="preserve"> This analysis was</w:t>
      </w:r>
      <w:r w:rsidR="006217F3">
        <w:t xml:space="preserve"> carried out for each data-</w:t>
      </w:r>
      <w:r w:rsidR="00B30C56">
        <w:t xml:space="preserve">group separately to account for variation in foraging distributions. Due to differences in diets and foraging behaviours of predators, overlap with the krill fishery was only assessed for krill-dependent species and overlap with demersal longline and pelagic trawl fisheries only for species which have historically been recorded as bycatch (Table 3). We first assessed temporal overlap for data-groups which met the KBA criteria during the operating periods of the fisheries. Then, when temporal overlap was possible, we assessed spatial overlap as the proportion of the KBA layer which intersected with potential fishing grounds within the </w:t>
      </w:r>
      <w:r w:rsidR="00A0170C">
        <w:t>SGSSI</w:t>
      </w:r>
      <w:r w:rsidR="00B30C56">
        <w:t xml:space="preserve"> MPA.</w:t>
      </w:r>
      <w:r w:rsidR="00B30C56">
        <w:rPr>
          <w:rFonts w:ascii="Times New Roman" w:hAnsi="Times New Roman" w:cs="Times New Roman"/>
          <w:sz w:val="24"/>
          <w:szCs w:val="24"/>
          <w:lang w:val="en-GB" w:eastAsia="ja-JP"/>
        </w:rPr>
        <w:t xml:space="preserve"> </w:t>
      </w:r>
    </w:p>
    <w:p w14:paraId="7AC51A49" w14:textId="77777777" w:rsidR="00846E66" w:rsidRDefault="00846E66" w:rsidP="00846E66">
      <w:pPr>
        <w:spacing w:after="120"/>
      </w:pPr>
    </w:p>
    <w:p w14:paraId="6315378A" w14:textId="732593C3" w:rsidR="00212785" w:rsidRDefault="00212785" w:rsidP="00212785">
      <w:pPr>
        <w:pStyle w:val="Heading1"/>
        <w:rPr>
          <w:rFonts w:eastAsiaTheme="minorHAnsi"/>
        </w:rPr>
      </w:pPr>
      <w:r>
        <w:rPr>
          <w:rFonts w:eastAsiaTheme="minorHAnsi"/>
        </w:rPr>
        <w:t>3. Results</w:t>
      </w:r>
    </w:p>
    <w:p w14:paraId="290D4C79" w14:textId="5C3A8E1F" w:rsidR="00212785" w:rsidRDefault="00DC68F2" w:rsidP="00DC68F2">
      <w:pPr>
        <w:pStyle w:val="Heading2"/>
      </w:pPr>
      <w:r>
        <w:t>3.1 KBA identification</w:t>
      </w:r>
    </w:p>
    <w:p w14:paraId="20B29511" w14:textId="250C3AC5" w:rsidR="00C57563" w:rsidRDefault="00DC68F2" w:rsidP="00846E66">
      <w:r>
        <w:t xml:space="preserve">Representative core areas at sea which met the global KBA criteria were identified for </w:t>
      </w:r>
      <w:r w:rsidR="00B64DFF">
        <w:t>1</w:t>
      </w:r>
      <w:r w:rsidR="00F81BF8">
        <w:t>9</w:t>
      </w:r>
      <w:r>
        <w:t xml:space="preserve"> data-groups, featuring </w:t>
      </w:r>
      <w:r w:rsidR="00B64DFF">
        <w:t>9</w:t>
      </w:r>
      <w:r>
        <w:t xml:space="preserve"> species (1 seal, </w:t>
      </w:r>
      <w:r w:rsidR="00B64DFF">
        <w:t>8</w:t>
      </w:r>
      <w:r>
        <w:t xml:space="preserve"> seabird species) of the 69 data-groups assessed (Table 4</w:t>
      </w:r>
      <w:r w:rsidR="00553968">
        <w:t xml:space="preserve"> and </w:t>
      </w:r>
      <w:r w:rsidR="00637C94">
        <w:t>Appendix 2</w:t>
      </w:r>
      <w:r w:rsidR="004D53FD">
        <w:t xml:space="preserve"> (‘KBA sites per data-group’)</w:t>
      </w:r>
      <w:r>
        <w:t xml:space="preserve">). After accounting for jurisdictional boundaries, this resulted in the delimitation of 12 new global KBAs (Figure 3), which were within the EEZs of </w:t>
      </w:r>
      <w:r w:rsidR="00A0170C">
        <w:t>SGSSI</w:t>
      </w:r>
      <w:r>
        <w:t xml:space="preserve">, Falkland Islands and Argentina, and within the high seas and around the Antarctic Peninsula. The KBAs within the </w:t>
      </w:r>
      <w:r w:rsidR="00AD024A">
        <w:t>SGSSI</w:t>
      </w:r>
      <w:r>
        <w:t xml:space="preserve"> MPA were concentrated in the north-west of the MPA, where </w:t>
      </w:r>
      <w:r w:rsidR="00EA3479">
        <w:t>a</w:t>
      </w:r>
      <w:r>
        <w:t xml:space="preserve"> majority of tracking studies </w:t>
      </w:r>
      <w:r w:rsidR="00EA3479">
        <w:t>have been</w:t>
      </w:r>
      <w:r>
        <w:t xml:space="preserve"> conducted</w:t>
      </w:r>
      <w:r w:rsidR="00EA3479">
        <w:t>, and numerous species breed</w:t>
      </w:r>
      <w:r>
        <w:t xml:space="preserve"> (</w:t>
      </w:r>
      <w:r w:rsidR="00637C94">
        <w:t>Appendix 2</w:t>
      </w:r>
      <w:r>
        <w:t>, Figure S1).</w:t>
      </w:r>
    </w:p>
    <w:p w14:paraId="0A2345ED" w14:textId="063E394B" w:rsidR="00EA3479" w:rsidRDefault="00EA3479" w:rsidP="00EA3479">
      <w:pPr>
        <w:pStyle w:val="Heading2"/>
      </w:pPr>
      <w:r>
        <w:lastRenderedPageBreak/>
        <w:t xml:space="preserve">3.2 Potential interactions with fisheries in KBAs </w:t>
      </w:r>
    </w:p>
    <w:p w14:paraId="26B56F18" w14:textId="5026A1D7" w:rsidR="00EA3479" w:rsidRDefault="00EA3479" w:rsidP="002D0350">
      <w:r>
        <w:t xml:space="preserve">For four species, comprising five of the </w:t>
      </w:r>
      <w:r w:rsidR="00735217">
        <w:t>1</w:t>
      </w:r>
      <w:r w:rsidR="00F81BF8">
        <w:t>9</w:t>
      </w:r>
      <w:r>
        <w:t xml:space="preserve"> data-groups, there was temporal overlap with the KBA site and the respective fisheries operating period (Table 4).</w:t>
      </w:r>
      <w:r w:rsidR="004313BD">
        <w:t xml:space="preserve"> F</w:t>
      </w:r>
      <w:r>
        <w:t>or</w:t>
      </w:r>
      <w:r w:rsidR="004313BD">
        <w:t xml:space="preserve"> four of</w:t>
      </w:r>
      <w:r>
        <w:t xml:space="preserve"> these data-groups there was also the opportunity </w:t>
      </w:r>
      <w:r w:rsidR="006E79C4">
        <w:t>for direct interaction with a fishery through spatial overlap (Figure 4).</w:t>
      </w:r>
      <w:r>
        <w:t xml:space="preserve"> For the remaining </w:t>
      </w:r>
      <w:r w:rsidR="00324761">
        <w:t>5</w:t>
      </w:r>
      <w:r>
        <w:t xml:space="preserve"> species and </w:t>
      </w:r>
      <w:r w:rsidR="00F81BF8">
        <w:t>14</w:t>
      </w:r>
      <w:r>
        <w:t xml:space="preserve"> of </w:t>
      </w:r>
      <w:r w:rsidR="00735217">
        <w:t>1</w:t>
      </w:r>
      <w:r w:rsidR="00F81BF8">
        <w:t>9</w:t>
      </w:r>
      <w:r>
        <w:t xml:space="preserve"> data-groups, </w:t>
      </w:r>
      <w:r w:rsidRPr="00951401">
        <w:t>the relevant fishery would be closed</w:t>
      </w:r>
      <w:r>
        <w:t xml:space="preserve"> during the period for which we identified KBAs</w:t>
      </w:r>
      <w:r w:rsidRPr="00951401">
        <w:t xml:space="preserve"> </w:t>
      </w:r>
      <w:r w:rsidR="006E79C4">
        <w:t>(</w:t>
      </w:r>
      <w:r w:rsidR="00637C94">
        <w:t>Appendix 2</w:t>
      </w:r>
      <w:r w:rsidR="00553968">
        <w:t xml:space="preserve">, </w:t>
      </w:r>
      <w:r w:rsidR="004D53FD">
        <w:t>‘Temporal overlap of KBA sites with fisheries operating periods’</w:t>
      </w:r>
      <w:r w:rsidR="006E79C4">
        <w:t>).</w:t>
      </w:r>
      <w:r w:rsidRPr="00951401">
        <w:t xml:space="preserve"> </w:t>
      </w:r>
    </w:p>
    <w:p w14:paraId="453E4D65" w14:textId="77777777" w:rsidR="00553968" w:rsidRDefault="00553968" w:rsidP="00553968">
      <w:pPr>
        <w:pStyle w:val="Heading3"/>
      </w:pPr>
      <w:r>
        <w:t>3.2.1 Krill fishery</w:t>
      </w:r>
    </w:p>
    <w:p w14:paraId="022BF3F6" w14:textId="6A3052E8" w:rsidR="00553968" w:rsidRDefault="00663337" w:rsidP="004470F9">
      <w:r>
        <w:t>Six species</w:t>
      </w:r>
      <w:r w:rsidR="00220338">
        <w:t xml:space="preserve"> were</w:t>
      </w:r>
      <w:r w:rsidR="00553968">
        <w:t xml:space="preserve"> recognised as krill-dependent predators (Table 3)</w:t>
      </w:r>
      <w:r>
        <w:t>. For the four species</w:t>
      </w:r>
      <w:r w:rsidR="00553968">
        <w:t xml:space="preserve"> </w:t>
      </w:r>
      <w:r>
        <w:t xml:space="preserve">which had representative </w:t>
      </w:r>
      <w:r w:rsidR="00AD024A">
        <w:t>sites</w:t>
      </w:r>
      <w:r>
        <w:t xml:space="preserve"> at sea that met</w:t>
      </w:r>
      <w:r w:rsidR="00553968">
        <w:t xml:space="preserve"> the</w:t>
      </w:r>
      <w:r w:rsidR="00793CF5">
        <w:t xml:space="preserve"> KBA</w:t>
      </w:r>
      <w:r>
        <w:t xml:space="preserve"> criteria</w:t>
      </w:r>
      <w:r w:rsidR="00793CF5">
        <w:t>,</w:t>
      </w:r>
      <w:r>
        <w:t xml:space="preserve"> all</w:t>
      </w:r>
      <w:r w:rsidR="00793CF5">
        <w:t xml:space="preserve"> except one</w:t>
      </w:r>
      <w:r w:rsidR="00553968">
        <w:t xml:space="preserve"> were delimited </w:t>
      </w:r>
      <w:r w:rsidR="005112CA">
        <w:t xml:space="preserve">entirely </w:t>
      </w:r>
      <w:r w:rsidR="00553968">
        <w:t>within the MPA (</w:t>
      </w:r>
      <w:r w:rsidR="005112CA">
        <w:t>Table 4</w:t>
      </w:r>
      <w:r w:rsidR="00553968">
        <w:t>).</w:t>
      </w:r>
      <w:r w:rsidR="00220338">
        <w:t xml:space="preserve"> </w:t>
      </w:r>
      <w:r w:rsidR="00AD024A">
        <w:t>Two</w:t>
      </w:r>
      <w:r w:rsidR="00220338">
        <w:t xml:space="preserve"> of nine</w:t>
      </w:r>
      <w:r w:rsidR="00553968">
        <w:t xml:space="preserve"> data-groups had the potential for </w:t>
      </w:r>
      <w:r w:rsidR="00AD024A">
        <w:t>temporal</w:t>
      </w:r>
      <w:r w:rsidR="00220338">
        <w:t xml:space="preserve"> </w:t>
      </w:r>
      <w:r w:rsidR="00553968">
        <w:t>interaction with the krill fishery, as for all other data-groups their use of the MPA was during the fishery closure period</w:t>
      </w:r>
      <w:r w:rsidR="00220338">
        <w:t xml:space="preserve"> (</w:t>
      </w:r>
      <w:r w:rsidR="00637C94">
        <w:t>Appendix 2</w:t>
      </w:r>
      <w:r w:rsidR="00220338">
        <w:t>)</w:t>
      </w:r>
      <w:r w:rsidR="00553968">
        <w:t>. These data-groups were 1) adult Macaroni Penguins from Fairy Point and Goldcrest Point which utilise three core-areas in the north west of the MPA during the post-moult period (</w:t>
      </w:r>
      <w:r w:rsidR="001A755E">
        <w:t>May</w:t>
      </w:r>
      <w:r w:rsidR="00553968">
        <w:t xml:space="preserve">-August), and 2) adult Gentoo Penguins around the entirety of South Georgia during the </w:t>
      </w:r>
      <w:r w:rsidR="003D1E7E">
        <w:t>non-breeding</w:t>
      </w:r>
      <w:r w:rsidR="00553968">
        <w:t xml:space="preserve"> period</w:t>
      </w:r>
      <w:r w:rsidR="003D1E7E">
        <w:t xml:space="preserve"> (</w:t>
      </w:r>
      <w:r w:rsidR="001A755E">
        <w:t>May</w:t>
      </w:r>
      <w:r w:rsidR="003D1E7E">
        <w:t>-</w:t>
      </w:r>
      <w:r w:rsidR="001A755E">
        <w:t>September</w:t>
      </w:r>
      <w:r w:rsidR="003D1E7E">
        <w:t>)</w:t>
      </w:r>
      <w:r w:rsidR="00553968" w:rsidRPr="001A755E">
        <w:t xml:space="preserve"> (Figure </w:t>
      </w:r>
      <w:r w:rsidR="00793CF5" w:rsidRPr="001A755E">
        <w:t>4(i), 4(ii)</w:t>
      </w:r>
      <w:r w:rsidR="00553968" w:rsidRPr="001A755E">
        <w:t>)</w:t>
      </w:r>
      <w:r w:rsidR="00553968">
        <w:t>. For both species, 100% of the KBAs fell within the MPA. However, only the KBA of Macaroni Penguins has the potential for spatial overlap with the krill fishery</w:t>
      </w:r>
      <w:r>
        <w:t xml:space="preserve"> as 88.8</w:t>
      </w:r>
      <w:r w:rsidR="00553968">
        <w:t xml:space="preserve">% of this KBA is beyond the </w:t>
      </w:r>
      <w:r>
        <w:t>30 km</w:t>
      </w:r>
      <w:r w:rsidR="00553968">
        <w:t xml:space="preserve"> no-take zone</w:t>
      </w:r>
      <w:r w:rsidR="00AD024A">
        <w:t xml:space="preserve"> </w:t>
      </w:r>
      <w:r>
        <w:t>(Table 4)</w:t>
      </w:r>
      <w:r w:rsidR="00553968">
        <w:t>. By contrast, the South Georgia island-wide KBA identified for Gentoo Penguins, based on a 17 km foraging radius, lies entirely within the pelagic no-take zone.</w:t>
      </w:r>
    </w:p>
    <w:p w14:paraId="56FDA0CB" w14:textId="77777777" w:rsidR="000903A3" w:rsidRDefault="000903A3" w:rsidP="000903A3">
      <w:pPr>
        <w:pStyle w:val="Heading3"/>
      </w:pPr>
      <w:r>
        <w:t>3.2.2 Demersal longline fishery</w:t>
      </w:r>
    </w:p>
    <w:p w14:paraId="5B0E6463" w14:textId="47BF5ECB" w:rsidR="000903A3" w:rsidRDefault="000903A3" w:rsidP="00AD024A">
      <w:r>
        <w:t>Of the six species recognised to be at risk of bycatch</w:t>
      </w:r>
      <w:r w:rsidR="000309A4">
        <w:t xml:space="preserve"> in the demersal longline fishery</w:t>
      </w:r>
      <w:r>
        <w:t xml:space="preserve"> (Table 3</w:t>
      </w:r>
      <w:r w:rsidR="00663337">
        <w:t>), four</w:t>
      </w:r>
      <w:r w:rsidR="000309A4">
        <w:t xml:space="preserve"> had representative sit</w:t>
      </w:r>
      <w:r w:rsidR="00663337">
        <w:t xml:space="preserve">es at sea that met the KBA criteria. </w:t>
      </w:r>
      <w:r w:rsidR="000309A4">
        <w:t xml:space="preserve">For these four species, </w:t>
      </w:r>
      <w:r>
        <w:t>two of nine data-groups, both for the Wandering Albatrosses, had KBAs where a potential for interaction with the demersal longline fishery would be possible (Table 4). These data-groups were adult Wandering Albatrosses during the 1) brood-guard period (April) and 2) post-guard period (April-August), where 82.0% and 98.1% of the KBAs fell within the MPA, respectivel</w:t>
      </w:r>
      <w:r w:rsidRPr="001A755E">
        <w:t>y</w:t>
      </w:r>
      <w:r w:rsidR="00663337" w:rsidRPr="001A755E">
        <w:t xml:space="preserve"> (Figure 4(iii), 4(iv))</w:t>
      </w:r>
      <w:r>
        <w:t xml:space="preserve">. During both periods, KBAs were situated in the region where the longline fishery is legally allowed to operate (waters between 700-2250 m deep). However, areas of these KBA sites are also off limits to demersal longline fisheries because they fall within the 30 km </w:t>
      </w:r>
      <w:r w:rsidR="00793CF5">
        <w:t>no-take</w:t>
      </w:r>
      <w:r>
        <w:t xml:space="preserve"> zone, the no bottom fishing zones (0-700 m depth) and two of the main benthic closed areas (</w:t>
      </w:r>
      <w:r w:rsidRPr="00663337">
        <w:t>Figu</w:t>
      </w:r>
      <w:r w:rsidR="00663337" w:rsidRPr="00663337">
        <w:t>re 1</w:t>
      </w:r>
      <w:r>
        <w:t xml:space="preserve">). Therefore, for both Wandering Albatross data-groups, the proportion of the KBAs for which there is potential for interaction with fisheries within the </w:t>
      </w:r>
      <w:r w:rsidR="00793CF5">
        <w:t>MPA, is 23.5</w:t>
      </w:r>
      <w:r>
        <w:t>% and 2</w:t>
      </w:r>
      <w:r w:rsidR="00793CF5">
        <w:t>7.8</w:t>
      </w:r>
      <w:r>
        <w:t>% for the brood-guard and post-guard period, respectively</w:t>
      </w:r>
      <w:r w:rsidR="00663337">
        <w:t xml:space="preserve"> (Table 4)</w:t>
      </w:r>
      <w:r>
        <w:t>.</w:t>
      </w:r>
    </w:p>
    <w:p w14:paraId="522DFF3C" w14:textId="77777777" w:rsidR="000903A3" w:rsidRDefault="000903A3" w:rsidP="000903A3">
      <w:pPr>
        <w:pStyle w:val="Heading3"/>
      </w:pPr>
      <w:r>
        <w:lastRenderedPageBreak/>
        <w:t>3.2.3 Pelagic trawl fishery</w:t>
      </w:r>
    </w:p>
    <w:p w14:paraId="712906D3" w14:textId="52A0D4E7" w:rsidR="00EA3479" w:rsidRDefault="000309A4" w:rsidP="00AD024A">
      <w:r>
        <w:t>For two species,</w:t>
      </w:r>
      <w:r w:rsidR="000903A3">
        <w:t xml:space="preserve"> </w:t>
      </w:r>
      <w:r>
        <w:t>Black-browed Albatrosses and White-chinned Petrels, we recognised the</w:t>
      </w:r>
      <w:r w:rsidR="000903A3">
        <w:t xml:space="preserve"> potential for negative interactions with</w:t>
      </w:r>
      <w:r>
        <w:t xml:space="preserve"> the pelagic trawl fishery</w:t>
      </w:r>
      <w:r w:rsidR="00793CF5">
        <w:t xml:space="preserve"> (Table 3)</w:t>
      </w:r>
      <w:r w:rsidR="000903A3">
        <w:t xml:space="preserve">. </w:t>
      </w:r>
      <w:r w:rsidR="00793CF5">
        <w:t>A single data-group for</w:t>
      </w:r>
      <w:r w:rsidR="000903A3">
        <w:t xml:space="preserve"> White-chinned petrels during the breeding period (January &amp; February), </w:t>
      </w:r>
      <w:r w:rsidR="00793CF5">
        <w:t xml:space="preserve">met </w:t>
      </w:r>
      <w:r w:rsidR="000903A3">
        <w:t>the global KBA</w:t>
      </w:r>
      <w:r w:rsidR="00793CF5">
        <w:t xml:space="preserve"> criteria.</w:t>
      </w:r>
      <w:r w:rsidR="000903A3">
        <w:t xml:space="preserve"> </w:t>
      </w:r>
      <w:r w:rsidR="00793CF5">
        <w:t xml:space="preserve">This KBA site </w:t>
      </w:r>
      <w:r w:rsidR="000903A3">
        <w:t xml:space="preserve">is entirely within the </w:t>
      </w:r>
      <w:r w:rsidR="00793CF5">
        <w:t>MPA</w:t>
      </w:r>
      <w:r w:rsidR="000903A3">
        <w:t xml:space="preserve"> and 90% of the site is open to the pelagic trawl fishery</w:t>
      </w:r>
      <w:r w:rsidR="00793CF5">
        <w:t xml:space="preserve">, </w:t>
      </w:r>
      <w:r>
        <w:t>after</w:t>
      </w:r>
      <w:r w:rsidR="00793CF5">
        <w:t xml:space="preserve"> accounting for the 30 km no-take zon</w:t>
      </w:r>
      <w:r w:rsidR="00793CF5" w:rsidRPr="001A755E">
        <w:t xml:space="preserve">e (Figure 1, Figure </w:t>
      </w:r>
      <w:r w:rsidR="002D1A42" w:rsidRPr="001A755E">
        <w:t>4</w:t>
      </w:r>
      <w:r w:rsidR="00793CF5" w:rsidRPr="001A755E">
        <w:t>(v))</w:t>
      </w:r>
      <w:r w:rsidR="000903A3">
        <w:t xml:space="preserve">. </w:t>
      </w:r>
    </w:p>
    <w:p w14:paraId="36AA21F6" w14:textId="36B98E0A" w:rsidR="00260362" w:rsidRDefault="00746AE8" w:rsidP="00260362">
      <w:r w:rsidRPr="00746AE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9043293" w14:textId="2DD6D425" w:rsidR="0089287C" w:rsidRDefault="0089287C" w:rsidP="00980982">
      <w:pPr>
        <w:pStyle w:val="Heading1"/>
        <w:rPr>
          <w:rFonts w:eastAsiaTheme="minorHAnsi"/>
        </w:rPr>
      </w:pPr>
      <w:r>
        <w:rPr>
          <w:rFonts w:eastAsiaTheme="minorHAnsi"/>
        </w:rPr>
        <w:t>4. Discussion</w:t>
      </w:r>
    </w:p>
    <w:p w14:paraId="7F59950B" w14:textId="77F092B1" w:rsidR="0045622A" w:rsidRPr="0057366C" w:rsidRDefault="0045622A" w:rsidP="00110978">
      <w:pPr>
        <w:spacing w:after="120"/>
      </w:pPr>
      <w:r>
        <w:rPr>
          <w:iCs/>
          <w:color w:val="000000" w:themeColor="text1"/>
        </w:rPr>
        <w:t xml:space="preserve">Using a </w:t>
      </w:r>
      <w:r w:rsidR="00EA4AB2">
        <w:rPr>
          <w:iCs/>
          <w:color w:val="000000" w:themeColor="text1"/>
        </w:rPr>
        <w:t>collation</w:t>
      </w:r>
      <w:r>
        <w:rPr>
          <w:iCs/>
          <w:color w:val="000000" w:themeColor="text1"/>
        </w:rPr>
        <w:t xml:space="preserve"> of contemporary tracking data and knowledge of species breeding </w:t>
      </w:r>
      <w:r w:rsidR="00EA4AB2">
        <w:rPr>
          <w:iCs/>
          <w:color w:val="000000" w:themeColor="text1"/>
        </w:rPr>
        <w:t>populations</w:t>
      </w:r>
      <w:r>
        <w:rPr>
          <w:iCs/>
          <w:color w:val="000000" w:themeColor="text1"/>
        </w:rPr>
        <w:t>, we identified the first marine KBAs both within and beyond the borders of the South Georgia and South Sandwich Islands large MPA.</w:t>
      </w:r>
      <w:r w:rsidR="00ED7618">
        <w:rPr>
          <w:iCs/>
          <w:color w:val="000000" w:themeColor="text1"/>
        </w:rPr>
        <w:t xml:space="preserve"> This distribution of KBAs reflects the contrasting </w:t>
      </w:r>
      <w:r w:rsidR="00ED7618">
        <w:t xml:space="preserve">foraging strategies </w:t>
      </w:r>
      <w:r w:rsidR="00ED7618">
        <w:rPr>
          <w:iCs/>
          <w:color w:val="000000" w:themeColor="text1"/>
        </w:rPr>
        <w:t xml:space="preserve">of </w:t>
      </w:r>
      <w:r>
        <w:t xml:space="preserve">top predators </w:t>
      </w:r>
      <w:r w:rsidR="00871B20">
        <w:t>assessed</w:t>
      </w:r>
      <w:r>
        <w:t xml:space="preserve"> in this study</w:t>
      </w:r>
      <w:r w:rsidR="00ED7618">
        <w:t xml:space="preserve"> </w:t>
      </w:r>
      <w:r>
        <w:t>(</w:t>
      </w:r>
      <w:r w:rsidR="00637C94">
        <w:t>Appendix 2</w:t>
      </w:r>
      <w:r>
        <w:t>, Figure S2).</w:t>
      </w:r>
      <w:r w:rsidR="00871B20">
        <w:t xml:space="preserve"> </w:t>
      </w:r>
      <w:r w:rsidR="00110978">
        <w:t xml:space="preserve">Critically, </w:t>
      </w:r>
      <w:r w:rsidR="000B4319">
        <w:rPr>
          <w:iCs/>
          <w:color w:val="000000" w:themeColor="text1"/>
        </w:rPr>
        <w:t xml:space="preserve">the primary objective of the MPA </w:t>
      </w:r>
      <w:r w:rsidR="000B4319">
        <w:rPr>
          <w:iCs/>
        </w:rPr>
        <w:t xml:space="preserve">is to protect marine biodiversity, habitats and critical ecosystem function </w:t>
      </w:r>
      <w:r w:rsidR="000B4319">
        <w:rPr>
          <w:iCs/>
        </w:rPr>
        <w:fldChar w:fldCharType="begin" w:fldLock="1"/>
      </w:r>
      <w:r w:rsidR="00195AA8">
        <w:rPr>
          <w:iCs/>
        </w:rPr>
        <w:instrText>ADDIN CSL_CITATION { "citationItems" : [ { "id" : "ITEM-1", "itemData" : { "DOI" : "10.1016/B978-0-12-800214-8.00002-5", "ISBN" : "9780128002148", "ISSN" : "00652881", "PMID" : "25358297", "abstract" : "South Georgia and the South Sandwich Islands (SGSSI) are surrounded by oceans that are species-rich, have high levels of biodiversity, important endemism and which also support large aggregations of charismatic upper trophic level species. Spatial management around these islands is complex, particularly in the context of commercial fisheries that exploit some of these living resources. Furthermore, management is especially complicated as local productivity relies fundamentally upon biological production transported from outside the area. The MPA uses practical management boundaries, allowing access for the current legal fisheries for Patagonian toothfish, mackerel icefish and Antarctic krill. Management measures developed as part of the planning process designated the whole SGSSI Maritime Zone as an IUCN Category VI reserve, within which a number of IUCN Category I reserves were identified. Multiple-use zones and temporal closures were also designated. A key multiple-use principle was to identify whether the ecological impacts of a particular fishery threatened either the pelagic or benthic domain.", "author" : [ { "dropping-particle" : "", "family" : "Trathan", "given" : "Philip N.", "non-dropping-particle" : "", "parse-names" : false, "suffix" : "" }, { "dropping-particle" : "", "family" : "Collins", "given" : "Martin A.", "non-dropping-particle" : "", "parse-names" : false, "suffix" : "" }, { "dropping-particle" : "", "family" : "Grant", "given" : "Susie M.", "non-dropping-particle" : "", "parse-names" : false, "suffix" : "" }, { "dropping-particle" : "", "family" : "Belchier", "given" : "Mark", "non-dropping-particle" : "", "parse-names" : false, "suffix" : "" }, { "dropping-particle" : "", "family" : "Barnes", "given" : "David K A", "non-dropping-particle" : "", "parse-names" : false, "suffix" : "" }, { "dropping-particle" : "", "family" : "Brown", "given" : "Judith", "non-dropping-particle" : "", "parse-names" : false, "suffix" : "" }, { "dropping-particle" : "", "family" : "Staniland", "given" : "Iain J.", "non-dropping-particle" : "", "parse-names" : false, "suffix" : "" } ], "container-title" : "Advances in Marine Biology", "id" : "ITEM-1", "issued" : { "date-parts" : [ [ "2014" ] ] }, "number-of-pages" : "15-78", "title" : "The South Georgia and the South Sandwich Islands MPA: Protecting A Biodiverse Oceanic Island Chain Situated in the Flow of the Antarctic Circumpolar Current", "type" : "book", "volume" : "69" }, "uris" : [ "http://www.mendeley.com/documents/?uuid=3a91f214-3b1e-4dda-b789-35977b356ded", "http://www.mendeley.com/documents/?uuid=b2db3696-99e6-4033-b435-b50639138ba4" ] } ], "mendeley" : { "formattedCitation" : "(Trathan et al., 2014)", "plainTextFormattedCitation" : "(Trathan et al., 2014)", "previouslyFormattedCitation" : "(Trathan et al., 2014)" }, "properties" : {  }, "schema" : "https://github.com/citation-style-language/schema/raw/master/csl-citation.json" }</w:instrText>
      </w:r>
      <w:r w:rsidR="000B4319">
        <w:rPr>
          <w:iCs/>
        </w:rPr>
        <w:fldChar w:fldCharType="separate"/>
      </w:r>
      <w:r w:rsidR="000B4319" w:rsidRPr="00126000">
        <w:rPr>
          <w:iCs/>
          <w:noProof/>
        </w:rPr>
        <w:t>(Trathan et al., 2014)</w:t>
      </w:r>
      <w:r w:rsidR="000B4319">
        <w:rPr>
          <w:iCs/>
        </w:rPr>
        <w:fldChar w:fldCharType="end"/>
      </w:r>
      <w:r w:rsidR="000B4319">
        <w:rPr>
          <w:iCs/>
        </w:rPr>
        <w:t xml:space="preserve">. </w:t>
      </w:r>
      <w:r w:rsidR="00110978">
        <w:rPr>
          <w:iCs/>
        </w:rPr>
        <w:t xml:space="preserve">Therefore, </w:t>
      </w:r>
      <w:r w:rsidR="00110978">
        <w:rPr>
          <w:iCs/>
          <w:color w:val="000000" w:themeColor="text1"/>
        </w:rPr>
        <w:t>c</w:t>
      </w:r>
      <w:r>
        <w:rPr>
          <w:iCs/>
          <w:color w:val="000000" w:themeColor="text1"/>
        </w:rPr>
        <w:t>onsidering that for only five data-groups</w:t>
      </w:r>
      <w:r w:rsidR="00871B20">
        <w:rPr>
          <w:iCs/>
          <w:color w:val="000000" w:themeColor="text1"/>
        </w:rPr>
        <w:t xml:space="preserve"> </w:t>
      </w:r>
      <w:r>
        <w:rPr>
          <w:iCs/>
          <w:color w:val="000000" w:themeColor="text1"/>
        </w:rPr>
        <w:t xml:space="preserve">there was the possibility of spatiotemporal overlap with a unique KBA site and relevant fishery within the MPA, </w:t>
      </w:r>
      <w:r>
        <w:rPr>
          <w:iCs/>
        </w:rPr>
        <w:t>the current conservation measures</w:t>
      </w:r>
      <w:r w:rsidR="00615CAF">
        <w:rPr>
          <w:iCs/>
        </w:rPr>
        <w:t xml:space="preserve"> (Table 3)</w:t>
      </w:r>
      <w:r>
        <w:rPr>
          <w:iCs/>
        </w:rPr>
        <w:t xml:space="preserve"> in the context of interaction with fisheries appear to be achieving the desired goals for the 14 top predators considered in this study</w:t>
      </w:r>
      <w:r w:rsidR="00110978">
        <w:rPr>
          <w:iCs/>
        </w:rPr>
        <w:t xml:space="preserve">. </w:t>
      </w:r>
      <w:r>
        <w:rPr>
          <w:iCs/>
        </w:rPr>
        <w:t>Coupled with the seasonal closures</w:t>
      </w:r>
      <w:r w:rsidR="00873248">
        <w:rPr>
          <w:iCs/>
        </w:rPr>
        <w:t xml:space="preserve"> of the krill and demersal longline fisheries throughout the entire MPA</w:t>
      </w:r>
      <w:r w:rsidR="000B4319">
        <w:rPr>
          <w:iCs/>
        </w:rPr>
        <w:t>,</w:t>
      </w:r>
      <w:r>
        <w:rPr>
          <w:iCs/>
        </w:rPr>
        <w:t xml:space="preserve"> </w:t>
      </w:r>
      <w:r w:rsidR="000B4319">
        <w:rPr>
          <w:iCs/>
        </w:rPr>
        <w:t xml:space="preserve">protection </w:t>
      </w:r>
      <w:r w:rsidR="00A87700">
        <w:rPr>
          <w:iCs/>
        </w:rPr>
        <w:t xml:space="preserve">of these marine predators at sea </w:t>
      </w:r>
      <w:r w:rsidR="000B4319">
        <w:rPr>
          <w:iCs/>
        </w:rPr>
        <w:t xml:space="preserve">is also promoted by </w:t>
      </w:r>
      <w:r>
        <w:rPr>
          <w:iCs/>
        </w:rPr>
        <w:t>regulations on gear used and fishing practices (Table 3)</w:t>
      </w:r>
      <w:r w:rsidR="00873248">
        <w:rPr>
          <w:iCs/>
        </w:rPr>
        <w:t xml:space="preserve">. These </w:t>
      </w:r>
      <w:r w:rsidR="00110978">
        <w:rPr>
          <w:iCs/>
        </w:rPr>
        <w:t xml:space="preserve">mitigation measures </w:t>
      </w:r>
      <w:r w:rsidR="00873248">
        <w:rPr>
          <w:iCs/>
        </w:rPr>
        <w:t>facilitate the achievement of</w:t>
      </w:r>
      <w:r>
        <w:rPr>
          <w:iCs/>
        </w:rPr>
        <w:t xml:space="preserve"> objective I of the MPA; protection for all species considered in this study </w:t>
      </w:r>
      <w:r>
        <w:fldChar w:fldCharType="begin" w:fldLock="1"/>
      </w:r>
      <w:r w:rsidR="00195AA8">
        <w:rPr>
          <w:iCs/>
        </w:rPr>
        <w:instrText>ADDIN CSL_CITATION { "citationItems" : [ { "id" : "ITEM-1", "itemData" : { "DOI" : "10.1017/S0954102004002330", "author" : [ { "dropping-particle" : "", "family" : "Croxall", "given" : "John", "non-dropping-particle" : "", "parse-names" : false, "suffix" : "" }, { "dropping-particle" : "", "family" : "Prince", "given" : "P.", "non-dropping-particle" : "", "parse-names" : false, "suffix" : "" }, { "dropping-particle" : "", "family" : "Reid", "given" : "Keith", "non-dropping-particle" : "", "parse-names" : false, "suffix" : "" } ], "container-title" : "Antarctic Science", "id" : "ITEM-1", "issue" : "4", "issued" : { "date-parts" : [ [ "2004" ] ] }, "page" : "569-584", "title" : "Management of Southern Ocean fisheries: global forces and future sustainability", "type" : "article-journal", "volume" : "16" }, "uris" : [ "http://www.mendeley.com/documents/?uuid=102a1903-7467-4043-89d4-61772c5f46f2", "http://www.mendeley.com/documents/?uuid=f6bbf551-a11c-4098-b1f2-40a22e86105e" ] }, { "id" : "ITEM-2", "itemData" : { "author" : [ { "dropping-particle" : "", "family" : "GSGSSI", "given" : "", "non-dropping-particle" : "", "parse-names" : false, "suffix" : "" } ], "id" : "ITEM-2", "issued" : { "date-parts" : [ [ "2013" ] ] }, "page" : "Version 2.0: 31/08/2013", "title" : "South Georgia and the South Sandwich Islands Marine Protected Area Management Plan", "type" : "article-journal" }, "uris" : [ "http://www.mendeley.com/documents/?uuid=efbdcfab-c0e5-4ce7-8ed7-d73c7ffcc97e", "http://www.mendeley.com/documents/?uuid=a1f43f62-c3b1-45ae-b777-7a82c5066c89" ] }, { "id" : "ITEM-3", "itemData" : { "author" : [ { "dropping-particle" : "", "family" : "GSGSSI", "given" : "", "non-dropping-particle" : "", "parse-names" : false, "suffix" : "" } ], "id" : "ITEM-3", "issued" : { "date-parts" : [ [ "2017" ] ] }, "title" : "South Georgia &amp; the South Sandwich Islands Implementation Plan for the Agreement on the Conservation of Albatrosses and Petrels (ACAP) 2016-2020. Government of South Georgia &amp; the South Sandwich Islands, Stanley, Falkland Islands.", "type" : "article-journal" }, "uris" : [ "http://www.mendeley.com/documents/?uuid=ca32940d-9453-4700-ac61-7cbece6cad76", "http://www.mendeley.com/documents/?uuid=5e238f57-9e52-4bbd-b4a1-5050045059fb", "http://www.mendeley.com/documents/?uuid=02c96ea5-43e8-4ce0-9b30-dd8da22009a9" ] } ], "mendeley" : { "formattedCitation" : "(J. Croxall, Prince, &amp; Reid, 2004; GSGSSI, 2013, 2017)", "plainTextFormattedCitation" : "(J. Croxall, Prince, &amp; Reid, 2004; GSGSSI, 2013, 2017)", "previouslyFormattedCitation" : "(J. Croxall, Prince, &amp; Reid, 2004; GSGSSI, 2013, 2017)" }, "properties" : {  }, "schema" : "https://github.com/citation-style-language/schema/raw/master/csl-citation.json" }</w:instrText>
      </w:r>
      <w:r>
        <w:fldChar w:fldCharType="separate"/>
      </w:r>
      <w:r w:rsidR="00126000" w:rsidRPr="00126000">
        <w:rPr>
          <w:iCs/>
          <w:noProof/>
        </w:rPr>
        <w:t>(J. Croxall, Prince, &amp; Reid, 2004; GSGSSI, 2013, 2017)</w:t>
      </w:r>
      <w:r>
        <w:fldChar w:fldCharType="end"/>
      </w:r>
      <w:r>
        <w:rPr>
          <w:iCs/>
        </w:rPr>
        <w:t xml:space="preserve">. For krill-eating Macaroni Penguins, </w:t>
      </w:r>
      <w:r w:rsidR="00A87700">
        <w:rPr>
          <w:iCs/>
        </w:rPr>
        <w:t xml:space="preserve">there is </w:t>
      </w:r>
      <w:r>
        <w:rPr>
          <w:iCs/>
        </w:rPr>
        <w:t>potential for spatial overlap with the krill fishery</w:t>
      </w:r>
      <w:r w:rsidR="00D1680C">
        <w:rPr>
          <w:iCs/>
        </w:rPr>
        <w:t xml:space="preserve"> during the post-moult period (</w:t>
      </w:r>
      <w:r w:rsidR="00D1680C">
        <w:t>May-August)</w:t>
      </w:r>
      <w:r>
        <w:rPr>
          <w:iCs/>
        </w:rPr>
        <w:t xml:space="preserve">, </w:t>
      </w:r>
      <w:r w:rsidR="00A87700">
        <w:rPr>
          <w:iCs/>
        </w:rPr>
        <w:t xml:space="preserve">however </w:t>
      </w:r>
      <w:r>
        <w:rPr>
          <w:iCs/>
        </w:rPr>
        <w:t>the estimated krill stock taken by both this species and the krill fishery is</w:t>
      </w:r>
      <w:r w:rsidR="00A87700">
        <w:rPr>
          <w:iCs/>
        </w:rPr>
        <w:t xml:space="preserve"> </w:t>
      </w:r>
      <w:r>
        <w:rPr>
          <w:iCs/>
        </w:rPr>
        <w:t>negligible</w:t>
      </w:r>
      <w:r w:rsidR="00A87700">
        <w:rPr>
          <w:iCs/>
        </w:rPr>
        <w:t>. As such, d</w:t>
      </w:r>
      <w:r>
        <w:rPr>
          <w:iCs/>
        </w:rPr>
        <w:t>irect competition</w:t>
      </w:r>
      <w:r w:rsidR="00D1680C">
        <w:rPr>
          <w:iCs/>
        </w:rPr>
        <w:t xml:space="preserve"> during this period</w:t>
      </w:r>
      <w:r>
        <w:rPr>
          <w:iCs/>
        </w:rPr>
        <w:t xml:space="preserve"> </w:t>
      </w:r>
      <w:r w:rsidR="00A87700">
        <w:rPr>
          <w:iCs/>
        </w:rPr>
        <w:t xml:space="preserve">is likely to be </w:t>
      </w:r>
      <w:r>
        <w:rPr>
          <w:iCs/>
        </w:rPr>
        <w:t xml:space="preserve">low under the current krill harvesting levels </w:t>
      </w:r>
      <w:r>
        <w:rPr>
          <w:iCs/>
        </w:rPr>
        <w:fldChar w:fldCharType="begin" w:fldLock="1"/>
      </w:r>
      <w:r w:rsidR="00195AA8">
        <w:rPr>
          <w:iCs/>
        </w:rPr>
        <w:instrText>ADDIN CSL_CITATION { "citationItems" : [ { "id" : "ITEM-1", "itemData" : { "DOI" : "10.1111/ddi.12366", "author" : [ { "dropping-particle" : "", "family" : "Ratcliffe", "given" : "Norman", "non-dropping-particle" : "", "parse-names" : false, "suffix" : "" }, { "dropping-particle" : "", "family" : "Hill", "given" : "Simeon L", "non-dropping-particle" : "", "parse-names" : false, "suffix" : "" }, { "dropping-particle" : "", "family" : "Staniland", "given" : "Iain J", "non-dropping-particle" : "", "parse-names" : false, "suffix" : "" }, { "dropping-particle" : "", "family" : "Brown", "given" : "Ruth", "non-dropping-particle" : "", "parse-names" : false, "suffix" : "" }, { "dropping-particle" : "", "family" : "Adlard", "given" : "Stacey", "non-dropping-particle" : "", "parse-names" : false, "suffix" : "" }, { "dropping-particle" : "", "family" : "Horswill", "given" : "Catharine", "non-dropping-particle" : "", "parse-names" : false, "suffix" : "" }, { "dropping-particle" : "", "family" : "Trathan", "given" : "Philip N", "non-dropping-particle" : "", "parse-names" : false, "suffix" : "" } ], "container-title" : "Diversity and Distributions", "id" : "ITEM-1", "issued" : { "date-parts" : [ [ "2015" ] ] }, "page" : "1339-1348", "title" : "Do krill fisheries compete with macaroni penguins? Spatial overlap in prey consumption and catches during winter", "type" : "article-journal", "volume" : "21" }, "uris" : [ "http://www.mendeley.com/documents/?uuid=d84f408a-6499-42e1-955d-26ff4ee26aa3", "http://www.mendeley.com/documents/?uuid=e2198357-62a2-417a-a872-1fb167b7a30c" ] } ], "mendeley" : { "formattedCitation" : "(Ratcliffe et al., 2015)", "plainTextFormattedCitation" : "(Ratcliffe et al., 2015)", "previouslyFormattedCitation" : "(Ratcliffe et al., 2015)" }, "properties" : {  }, "schema" : "https://github.com/citation-style-language/schema/raw/master/csl-citation.json" }</w:instrText>
      </w:r>
      <w:r>
        <w:rPr>
          <w:iCs/>
        </w:rPr>
        <w:fldChar w:fldCharType="separate"/>
      </w:r>
      <w:r w:rsidR="00126000" w:rsidRPr="00126000">
        <w:rPr>
          <w:iCs/>
          <w:noProof/>
        </w:rPr>
        <w:t>(Ratcliffe et al., 2015)</w:t>
      </w:r>
      <w:r>
        <w:rPr>
          <w:iCs/>
        </w:rPr>
        <w:fldChar w:fldCharType="end"/>
      </w:r>
      <w:r>
        <w:rPr>
          <w:iCs/>
        </w:rPr>
        <w:t xml:space="preserve">. </w:t>
      </w:r>
      <w:r w:rsidR="00A87700">
        <w:rPr>
          <w:iCs/>
        </w:rPr>
        <w:t>It seems likely, t</w:t>
      </w:r>
      <w:r>
        <w:rPr>
          <w:iCs/>
        </w:rPr>
        <w:t xml:space="preserve">herefore, </w:t>
      </w:r>
      <w:r w:rsidR="00A87700">
        <w:rPr>
          <w:iCs/>
        </w:rPr>
        <w:t xml:space="preserve">that the </w:t>
      </w:r>
      <w:r>
        <w:rPr>
          <w:iCs/>
        </w:rPr>
        <w:t xml:space="preserve">foraging areas </w:t>
      </w:r>
      <w:r w:rsidR="00A87700">
        <w:rPr>
          <w:iCs/>
        </w:rPr>
        <w:t>of</w:t>
      </w:r>
      <w:r>
        <w:rPr>
          <w:iCs/>
        </w:rPr>
        <w:t xml:space="preserve"> the six krill-eating predators (Table 3) are well-protected; contributing to objective V of the MPA</w:t>
      </w:r>
      <w:r w:rsidR="00D60B74">
        <w:rPr>
          <w:iCs/>
        </w:rPr>
        <w:t xml:space="preserve">, the protection of localised areas of ecological importance </w:t>
      </w:r>
      <w:r w:rsidR="00D60B74">
        <w:rPr>
          <w:iCs/>
        </w:rPr>
        <w:fldChar w:fldCharType="begin" w:fldLock="1"/>
      </w:r>
      <w:r w:rsidR="00195AA8">
        <w:rPr>
          <w:iCs/>
        </w:rPr>
        <w:instrText>ADDIN CSL_CITATION { "citationItems" : [ { "id" : "ITEM-1", "itemData" : { "DOI" : "10.1016/B978-0-12-800214-8.00002-5", "ISBN" : "9780128002148", "ISSN" : "00652881", "PMID" : "25358297", "abstract" : "South Georgia and the South Sandwich Islands (SGSSI) are surrounded by oceans that are species-rich, have high levels of biodiversity, important endemism and which also support large aggregations of charismatic upper trophic level species. Spatial management around these islands is complex, particularly in the context of commercial fisheries that exploit some of these living resources. Furthermore, management is especially complicated as local productivity relies fundamentally upon biological production transported from outside the area. The MPA uses practical management boundaries, allowing access for the current legal fisheries for Patagonian toothfish, mackerel icefish and Antarctic krill. Management measures developed as part of the planning process designated the whole SGSSI Maritime Zone as an IUCN Category VI reserve, within which a number of IUCN Category I reserves were identified. Multiple-use zones and temporal closures were also designated. A key multiple-use principle was to identify whether the ecological impacts of a particular fishery threatened either the pelagic or benthic domain.", "author" : [ { "dropping-particle" : "", "family" : "Trathan", "given" : "Philip N.", "non-dropping-particle" : "", "parse-names" : false, "suffix" : "" }, { "dropping-particle" : "", "family" : "Collins", "given" : "Martin A.", "non-dropping-particle" : "", "parse-names" : false, "suffix" : "" }, { "dropping-particle" : "", "family" : "Grant", "given" : "Susie M.", "non-dropping-particle" : "", "parse-names" : false, "suffix" : "" }, { "dropping-particle" : "", "family" : "Belchier", "given" : "Mark", "non-dropping-particle" : "", "parse-names" : false, "suffix" : "" }, { "dropping-particle" : "", "family" : "Barnes", "given" : "David K A", "non-dropping-particle" : "", "parse-names" : false, "suffix" : "" }, { "dropping-particle" : "", "family" : "Brown", "given" : "Judith", "non-dropping-particle" : "", "parse-names" : false, "suffix" : "" }, { "dropping-particle" : "", "family" : "Staniland", "given" : "Iain J.", "non-dropping-particle" : "", "parse-names" : false, "suffix" : "" } ], "container-title" : "Advances in Marine Biology", "id" : "ITEM-1", "issued" : { "date-parts" : [ [ "2014" ] ] }, "number-of-pages" : "15-78", "title" : "The South Georgia and the South Sandwich Islands MPA: Protecting A Biodiverse Oceanic Island Chain Situated in the Flow of the Antarctic Circumpolar Current", "type" : "book", "volume" : "69" }, "uris" : [ "http://www.mendeley.com/documents/?uuid=3a91f214-3b1e-4dda-b789-35977b356ded" ] } ], "mendeley" : { "formattedCitation" : "(Trathan et al., 2014)", "plainTextFormattedCitation" : "(Trathan et al., 2014)", "previouslyFormattedCitation" : "(Trathan et al., 2014)" }, "properties" : {  }, "schema" : "https://github.com/citation-style-language/schema/raw/master/csl-citation.json" }</w:instrText>
      </w:r>
      <w:r w:rsidR="00D60B74">
        <w:rPr>
          <w:iCs/>
        </w:rPr>
        <w:fldChar w:fldCharType="separate"/>
      </w:r>
      <w:r w:rsidR="00126000" w:rsidRPr="00126000">
        <w:rPr>
          <w:iCs/>
          <w:noProof/>
        </w:rPr>
        <w:t>(Trathan et al., 2014)</w:t>
      </w:r>
      <w:r w:rsidR="00D60B74">
        <w:rPr>
          <w:iCs/>
        </w:rPr>
        <w:fldChar w:fldCharType="end"/>
      </w:r>
      <w:r>
        <w:rPr>
          <w:iCs/>
        </w:rPr>
        <w:t xml:space="preserve">. For these reasons, the conservation measures implemented within the </w:t>
      </w:r>
      <w:r w:rsidR="00A0170C">
        <w:rPr>
          <w:iCs/>
        </w:rPr>
        <w:t>SGSSI</w:t>
      </w:r>
      <w:r>
        <w:rPr>
          <w:iCs/>
        </w:rPr>
        <w:t xml:space="preserve"> MPA should be recognised as </w:t>
      </w:r>
      <w:r w:rsidR="00871B20">
        <w:rPr>
          <w:iCs/>
        </w:rPr>
        <w:t>positive</w:t>
      </w:r>
      <w:r>
        <w:rPr>
          <w:iCs/>
        </w:rPr>
        <w:t xml:space="preserve"> practice for similar MPAs. </w:t>
      </w:r>
    </w:p>
    <w:p w14:paraId="577119EA" w14:textId="5209D5C2" w:rsidR="00C43D7D" w:rsidRDefault="00C43D7D" w:rsidP="002D7F8C">
      <w:pPr>
        <w:rPr>
          <w:iCs/>
        </w:rPr>
      </w:pPr>
      <w:r>
        <w:rPr>
          <w:iCs/>
        </w:rPr>
        <w:t xml:space="preserve">MPAs have been designated </w:t>
      </w:r>
      <w:r w:rsidR="00821490">
        <w:rPr>
          <w:iCs/>
        </w:rPr>
        <w:t>recently</w:t>
      </w:r>
      <w:r>
        <w:rPr>
          <w:iCs/>
        </w:rPr>
        <w:t xml:space="preserve"> within the EEZs </w:t>
      </w:r>
      <w:r w:rsidR="00777F15">
        <w:rPr>
          <w:iCs/>
        </w:rPr>
        <w:t>of</w:t>
      </w:r>
      <w:r>
        <w:rPr>
          <w:iCs/>
        </w:rPr>
        <w:t xml:space="preserve"> </w:t>
      </w:r>
      <w:r w:rsidR="00777F15">
        <w:rPr>
          <w:iCs/>
        </w:rPr>
        <w:t>other archipelagos</w:t>
      </w:r>
      <w:r>
        <w:rPr>
          <w:iCs/>
        </w:rPr>
        <w:t xml:space="preserve"> which are key breeding sites for similar suites of marine top predators; Prince Edward Islands (2013), Crozet and Kerguelen archipelago</w:t>
      </w:r>
      <w:r w:rsidR="00637614">
        <w:rPr>
          <w:iCs/>
        </w:rPr>
        <w:t>s (</w:t>
      </w:r>
      <w:r w:rsidR="000D7E11">
        <w:rPr>
          <w:iCs/>
        </w:rPr>
        <w:t xml:space="preserve">2006, revised in </w:t>
      </w:r>
      <w:r w:rsidR="00637614">
        <w:rPr>
          <w:iCs/>
        </w:rPr>
        <w:t>2016), Amsterdam Island (</w:t>
      </w:r>
      <w:r w:rsidR="000D7E11">
        <w:rPr>
          <w:iCs/>
        </w:rPr>
        <w:t xml:space="preserve">2006, revised </w:t>
      </w:r>
      <w:r w:rsidR="00637614">
        <w:rPr>
          <w:iCs/>
        </w:rPr>
        <w:t>2017</w:t>
      </w:r>
      <w:r>
        <w:rPr>
          <w:iCs/>
        </w:rPr>
        <w:t xml:space="preserve">), Heard &amp; McDonald Islands (1997, revised in 2002) and Macquarie Island (1997, revised in 2012) </w:t>
      </w:r>
      <w:r>
        <w:rPr>
          <w:iCs/>
        </w:rPr>
        <w:fldChar w:fldCharType="begin" w:fldLock="1"/>
      </w:r>
      <w:r w:rsidR="00195AA8">
        <w:rPr>
          <w:iCs/>
        </w:rPr>
        <w:instrText>ADDIN CSL_CITATION { "citationItems" : [ { "id" : "ITEM-1", "itemData" : { "author" : [ { "dropping-particle" : "", "family" : "Marine Conservation Institute", "given" : ".", "non-dropping-particle" : "", "parse-names" : false, "suffix" : "" } ], "id" : "ITEM-1", "issued" : { "date-parts" : [ [ "2019" ] ] }, "title" : "MPAtlas [On-line]. Seattle, WA. Available at: www.mpatlas.org [Accessed 02/03/2019].", "type" : "webpage" }, "uris" : [ "http://www.mendeley.com/documents/?uuid=d835c24d-9715-428a-8045-c74615f84c62", "http://www.mendeley.com/documents/?uuid=04131aac-e107-4a3f-b191-208db107803b" ] } ], "mendeley" : { "formattedCitation" : "(Marine Conservation Institute, 2019)", "plainTextFormattedCitation" : "(Marine Conservation Institute, 2019)", "previouslyFormattedCitation" : "(Marine Conservation Institute, 2019)" }, "properties" : {  }, "schema" : "https://github.com/citation-style-language/schema/raw/master/csl-citation.json" }</w:instrText>
      </w:r>
      <w:r>
        <w:rPr>
          <w:iCs/>
        </w:rPr>
        <w:fldChar w:fldCharType="separate"/>
      </w:r>
      <w:r w:rsidR="00126000" w:rsidRPr="00126000">
        <w:rPr>
          <w:iCs/>
          <w:noProof/>
        </w:rPr>
        <w:t>(Marine Conservation Institute, 2019)</w:t>
      </w:r>
      <w:r>
        <w:rPr>
          <w:iCs/>
        </w:rPr>
        <w:fldChar w:fldCharType="end"/>
      </w:r>
      <w:r>
        <w:rPr>
          <w:iCs/>
        </w:rPr>
        <w:t xml:space="preserve">. </w:t>
      </w:r>
      <w:r w:rsidR="00637614">
        <w:rPr>
          <w:iCs/>
        </w:rPr>
        <w:t>Many of these MPAs</w:t>
      </w:r>
      <w:r>
        <w:rPr>
          <w:iCs/>
        </w:rPr>
        <w:t xml:space="preserve"> do not encompass the </w:t>
      </w:r>
      <w:r>
        <w:rPr>
          <w:iCs/>
        </w:rPr>
        <w:lastRenderedPageBreak/>
        <w:t xml:space="preserve">entirety of the EEZs, as is the case of the </w:t>
      </w:r>
      <w:r w:rsidR="00A0170C">
        <w:rPr>
          <w:iCs/>
        </w:rPr>
        <w:t>SGSSI</w:t>
      </w:r>
      <w:r>
        <w:rPr>
          <w:iCs/>
        </w:rPr>
        <w:t xml:space="preserve"> MPA. However, retrospective analyses of tracking data from top predators at the Prince Edwards Islands</w:t>
      </w:r>
      <w:r w:rsidR="005B28DB">
        <w:rPr>
          <w:iCs/>
        </w:rPr>
        <w:t xml:space="preserve"> </w:t>
      </w:r>
      <w:r w:rsidR="005B28DB">
        <w:rPr>
          <w:iCs/>
        </w:rPr>
        <w:fldChar w:fldCharType="begin" w:fldLock="1"/>
      </w:r>
      <w:r w:rsidR="00195AA8">
        <w:rPr>
          <w:iCs/>
        </w:rPr>
        <w:instrText>ADDIN CSL_CITATION { "citationItems" : [ { "id" : "ITEM-1", "itemData" : { "DOI" : "10.1111/ddi.12702", "ISBN" : "2005060800001", "author" : [ { "dropping-particle" : "", "family" : "Reisinger", "given" : "Ryan R", "non-dropping-particle" : "", "parse-names" : false, "suffix" : "" }, { "dropping-particle" : "", "family" : "Raymond", "given" : "Ben", "non-dropping-particle" : "", "parse-names" : false, "suffix" : "" }, { "dropping-particle" : "", "family" : "Hindell", "given" : "Mark A", "non-dropping-particle" : "", "parse-names" : false, "suffix" : "" }, { "dropping-particle" : "", "family" : "Bester", "given" : "Marth\u00e1n N", "non-dropping-particle" : "", "parse-names" : false, "suffix" : "" }, { "dropping-particle" : "", "family" : "Crawford", "given" : "Robert J M", "non-dropping-particle" : "", "parse-names" : false, "suffix" : "" }, { "dropping-particle" : "", "family" : "Davies", "given" : "Delia", "non-dropping-particle" : "", "parse-names" : false, "suffix" : "" }, { "dropping-particle" : "De", "family" : "Bruyn", "given" : "P J Nico", "non-dropping-particle" : "", "parse-names" : false, "suffix" : "" }, { "dropping-particle" : "", "family" : "Dilley", "given" : "Ben J", "non-dropping-particle" : "", "parse-names" : false, "suffix" : "" }, { "dropping-particle" : "", "family" : "Kirkman", "given" : "Stephen P", "non-dropping-particle" : "", "parse-names" : false, "suffix" : "" }, { "dropping-particle" : "", "family" : "Makhado", "given" : "Azwianewi B", "non-dropping-particle" : "", "parse-names" : false, "suffix" : "" }, { "dropping-particle" : "", "family" : "Ryan", "given" : "Peter G", "non-dropping-particle" : "", "parse-names" : false, "suffix" : "" }, { "dropping-particle" : "", "family" : "Schoombie", "given" : "Stefan", "non-dropping-particle" : "", "parse-names" : false, "suffix" : "" }, { "dropping-particle" : "", "family" : "Stevens", "given" : "Kim", "non-dropping-particle" : "", "parse-names" : false, "suffix" : "" }, { "dropping-particle" : "", "family" : "Sumner", "given" : "Michael D", "non-dropping-particle" : "", "parse-names" : false, "suffix" : "" }, { "dropping-particle" : "", "family" : "Tosh", "given" : "Cheryl A", "non-dropping-particle" : "", "parse-names" : false, "suffix" : "" }, { "dropping-particle" : "", "family" : "Wege", "given" : "Mia", "non-dropping-particle" : "", "parse-names" : false, "suffix" : "" }, { "dropping-particle" : "", "family" : "Otto", "given" : "Thomas", "non-dropping-particle" : "", "parse-names" : false, "suffix" : "" }, { "dropping-particle" : "", "family" : "Simon", "given" : "Whitehead", "non-dropping-particle" : "", "parse-names" : false, "suffix" : "" }, { "dropping-particle" : "", "family" : "Pistorius", "given" : "Pierre A", "non-dropping-particle" : "", "parse-names" : false, "suffix" : "" } ], "container-title" : "Diversity and Distributions", "id" : "ITEM-1", "issued" : { "date-parts" : [ [ "2018" ] ] }, "page" : "535-550", "title" : "Habitat modelling of tracking data from multiple marine predators identifies important areas in the Southern Indian Ocean", "type" : "article-journal", "volume" : "24" }, "uris" : [ "http://www.mendeley.com/documents/?uuid=f40d6c52-ec6f-464c-a93d-a4e594290532", "http://www.mendeley.com/documents/?uuid=d2de98e9-8bb5-4763-9289-e558f649b5b0" ] } ], "mendeley" : { "formattedCitation" : "(Reisinger et al., 2018)", "plainTextFormattedCitation" : "(Reisinger et al., 2018)", "previouslyFormattedCitation" : "(Reisinger et al., 2018)" }, "properties" : {  }, "schema" : "https://github.com/citation-style-language/schema/raw/master/csl-citation.json" }</w:instrText>
      </w:r>
      <w:r w:rsidR="005B28DB">
        <w:rPr>
          <w:iCs/>
        </w:rPr>
        <w:fldChar w:fldCharType="separate"/>
      </w:r>
      <w:r w:rsidR="00126000" w:rsidRPr="00126000">
        <w:rPr>
          <w:iCs/>
          <w:noProof/>
        </w:rPr>
        <w:t>(Reisinger et al., 2018)</w:t>
      </w:r>
      <w:r w:rsidR="005B28DB">
        <w:rPr>
          <w:iCs/>
        </w:rPr>
        <w:fldChar w:fldCharType="end"/>
      </w:r>
      <w:r>
        <w:rPr>
          <w:iCs/>
        </w:rPr>
        <w:t xml:space="preserve">, Amsterdam Island </w:t>
      </w:r>
      <w:r>
        <w:rPr>
          <w:iCs/>
        </w:rPr>
        <w:fldChar w:fldCharType="begin" w:fldLock="1"/>
      </w:r>
      <w:r w:rsidR="00195AA8">
        <w:rPr>
          <w:iCs/>
        </w:rPr>
        <w:instrText>ADDIN CSL_CITATION { "citationItems" : [ { "id" : "ITEM-1", "itemData" : { "DOI" : "10.1016/j.biocon.2019.03.037", "ISSN" : "0006-3207", "author" : [ { "dropping-particle" : "", "family" : "Heerah", "given" : "K", "non-dropping-particle" : "", "parse-names" : false, "suffix" : "" }, { "dropping-particle" : "", "family" : "Dias", "given" : "M P", "non-dropping-particle" : "", "parse-names" : false, "suffix" : "" }, { "dropping-particle" : "", "family" : "Delord", "given" : "K", "non-dropping-particle" : "", "parse-names" : false, "suffix" : "" }, { "dropping-particle" : "", "family" : "Oppel", "given" : "S", "non-dropping-particle" : "", "parse-names" : false, "suffix" : "" }, { "dropping-particle" : "", "family" : "Barbraud", "given" : "C", "non-dropping-particle" : "", "parse-names" : false, "suffix" : "" }, { "dropping-particle" : "", "family" : "Weimerskirch", "given" : "H", "non-dropping-particle" : "", "parse-names" : false, "suffix" : "" }, { "dropping-particle" : "", "family" : "Bost", "given" : "C A", "non-dropping-particle" : "", "parse-names" : false, "suffix" : "" } ], "container-title" : "Biological Conservation", "id" : "ITEM-1", "issued" : { "date-parts" : [ [ "2019" ] ] }, "page" : "192-201", "publisher" : "Elsevier", "title" : "Important areas and conservation sites for a community of globally threatened marine predators of the Southern Indian Ocean", "type" : "article-journal", "volume" : "234" }, "uris" : [ "http://www.mendeley.com/documents/?uuid=e26cd949-7269-48e6-9ecf-f6c9b454a823", "http://www.mendeley.com/documents/?uuid=9466895f-27ec-4a87-8054-39a2d8d9bf8c" ] }, { "id" : "ITEM-2", "itemData" : { "DOI" : "10.1016/j.marpol.2014.02.019", "ISSN" : "0308597X", "abstract" : "Seabirds are increasingly threatened worldwide, with population declines for many species that are faster than in any other group of birds. Here the Important Bird Area (IBA) criteria recommended by BirdLife International were applied to a large tracking dataset collected from a range of seabirds, to identify areas of importance at an ocean basin scale. Key areas were identified using tracks obtained from both the breeding and non-breeding periods of 10 species that have different habitat requirements. These species range in their IUCN threat status from Least Concern to Critically Endangered. An evaluation of spatial overlap between the key areas for these species and the jurisdiction of Regional Fisheries Management Organisations (RFMOs), national Exclusive Economic Zones (EEZs) and other stakeholder bodies highlighted the major importance of the French EEZs (around Crozet, Kerguelen and Amsterdam Islands) for seabird conservation. The majority of the candidate marine IBAs that were identified were located in the High Seas, where Marine Protected Areas cannot easily be designated under existing international agreements, except in the Commission for the Conservation of Antarctic Marine Living Resources Convention Area. In the short term, it seems that only fisheries regulations (through international agreements) can bring about efficient protection for seabirds in the High Seas. The BirdLife IBA approach, although sensitive to heterogeneity in the data (species selected, inclusion of different life stages, years etc.), proved valuable for selecting important areas corresponding to large-scale oceanographic structures that are considered to be key foraging habitats for many species. \u00a9 2014 Elsevier Ltd.", "author" : [ { "dropping-particle" : "", "family" : "Delord", "given" : "Karine", "non-dropping-particle" : "", "parse-names" : false, "suffix" : "" }, { "dropping-particle" : "", "family" : "Barbraud", "given" : "Christophe", "non-dropping-particle" : "", "parse-names" : false, "suffix" : "" }, { "dropping-particle" : "", "family" : "Bost", "given" : "Charles Andr\u00e9", "non-dropping-particle" : "", "parse-names" : false, "suffix" : "" }, { "dropping-particle" : "", "family" : "Deceuninck", "given" : "Bernard", "non-dropping-particle" : "", "parse-names" : false, "suffix" : "" }, { "dropping-particle" : "", "family" : "Lefebvre", "given" : "Thierry", "non-dropping-particle" : "", "parse-names" : false, "suffix" : "" }, { "dropping-particle" : "", "family" : "Lutz", "given" : "Rose", "non-dropping-particle" : "", "parse-names" : false, "suffix" : "" }, { "dropping-particle" : "", "family" : "Micol", "given" : "Thierry", "non-dropping-particle" : "", "parse-names" : false, "suffix" : "" }, { "dropping-particle" : "", "family" : "Phillips", "given" : "Richard A.", "non-dropping-particle" : "", "parse-names" : false, "suffix" : "" }, { "dropping-particle" : "", "family" : "Trathan", "given" : "Phil N.", "non-dropping-particle" : "", "parse-names" : false, "suffix" : "" }, { "dropping-particle" : "", "family" : "Weimerskirch", "given" : "Henri", "non-dropping-particle" : "", "parse-names" : false, "suffix" : "" } ], "container-title" : "Marine Policy", "id" : "ITEM-2", "issued" : { "date-parts" : [ [ "2014" ] ] }, "page" : "1-13", "publisher" : "Elsevier", "title" : "Areas of importance for seabirds tracked from French southern territories, and recommendations for conservation", "type" : "article-journal", "volume" : "48" }, "uris" : [ "http://www.mendeley.com/documents/?uuid=1b893cd6-c414-41ac-abf9-44185efccf79" ] } ], "mendeley" : { "formattedCitation" : "(Delord et al., 2014; Heerah et al., 2019)", "plainTextFormattedCitation" : "(Delord et al., 2014; Heerah et al., 2019)", "previouslyFormattedCitation" : "(Delord et al., 2014; Heerah et al., 2019)" }, "properties" : {  }, "schema" : "https://github.com/citation-style-language/schema/raw/master/csl-citation.json" }</w:instrText>
      </w:r>
      <w:r>
        <w:rPr>
          <w:iCs/>
        </w:rPr>
        <w:fldChar w:fldCharType="separate"/>
      </w:r>
      <w:r w:rsidR="00126000" w:rsidRPr="00126000">
        <w:rPr>
          <w:iCs/>
          <w:noProof/>
        </w:rPr>
        <w:t>(Delord et al., 2014; Heerah et al., 2019)</w:t>
      </w:r>
      <w:r>
        <w:rPr>
          <w:iCs/>
        </w:rPr>
        <w:fldChar w:fldCharType="end"/>
      </w:r>
      <w:r>
        <w:rPr>
          <w:iCs/>
        </w:rPr>
        <w:t xml:space="preserve">  and Heard Island </w:t>
      </w:r>
      <w:r>
        <w:rPr>
          <w:iCs/>
        </w:rPr>
        <w:fldChar w:fldCharType="begin" w:fldLock="1"/>
      </w:r>
      <w:r w:rsidR="00195AA8">
        <w:rPr>
          <w:iCs/>
        </w:rPr>
        <w:instrText>ADDIN CSL_CITATION { "citationItems" : [ { "id" : "ITEM-1", "itemData" : { "DOI" : "10.1016/j.ecolind.2016.05.049", "ISSN" : "1470-160X", "author" : [ { "dropping-particle" : "", "family" : "Patterson", "given" : "T A", "non-dropping-particle" : "", "parse-names" : false, "suffix" : "" }, { "dropping-particle" : "", "family" : "Sharples", "given" : "R J", "non-dropping-particle" : "", "parse-names" : false, "suffix" : "" }, { "dropping-particle" : "", "family" : "Raymond", "given" : "Ben", "non-dropping-particle" : "", "parse-names" : false, "suffix" : "" }, { "dropping-particle" : "", "family" : "Welsford", "given" : "D.C.", "non-dropping-particle" : "", "parse-names" : false, "suffix" : "" }, { "dropping-particle" : "", "family" : "Andrews-Goff", "given" : "V.", "non-dropping-particle" : "", "parse-names" : false, "suffix" : "" }, { "dropping-particle" : "", "family" : "Lea", "given" : "M A", "non-dropping-particle" : "", "parse-names" : false, "suffix" : "" }, { "dropping-particle" : "", "family" : "Goldsworthy", "given" : "S D", "non-dropping-particle" : "", "parse-names" : false, "suffix" : "" }, { "dropping-particle" : "", "family" : "Gales", "given" : "Nick J", "non-dropping-particle" : "", "parse-names" : false, "suffix" : "" }, { "dropping-particle" : "", "family" : "Hindell", "given" : "Mark", "non-dropping-particle" : "", "parse-names" : false, "suffix" : "" } ], "container-title" : "Ecological Indicators", "id" : "ITEM-1", "issued" : { "date-parts" : [ [ "2016" ] ] }, "page" : "531-544", "publisher" : "Elsevier Ltd", "title" : "Foraging distribution overlap and marine reserve usage amongst sub-Antarctic predators inferred from a multi-species satellite tagging experiment", "type" : "article-journal", "volume" : "70" }, "uris" : [ "http://www.mendeley.com/documents/?uuid=2763e484-f1f8-493f-86b4-a2bf35056aec", "http://www.mendeley.com/documents/?uuid=65ae7398-2fe2-42a4-aeba-8f47c5d4fbd3" ] } ], "mendeley" : { "formattedCitation" : "(Patterson et al., 2016)", "plainTextFormattedCitation" : "(Patterson et al., 2016)", "previouslyFormattedCitation" : "(Patterson et al., 2016)" }, "properties" : {  }, "schema" : "https://github.com/citation-style-language/schema/raw/master/csl-citation.json" }</w:instrText>
      </w:r>
      <w:r>
        <w:rPr>
          <w:iCs/>
        </w:rPr>
        <w:fldChar w:fldCharType="separate"/>
      </w:r>
      <w:r w:rsidR="00126000" w:rsidRPr="00126000">
        <w:rPr>
          <w:iCs/>
          <w:noProof/>
        </w:rPr>
        <w:t>(Patterson et al., 2016)</w:t>
      </w:r>
      <w:r>
        <w:rPr>
          <w:iCs/>
        </w:rPr>
        <w:fldChar w:fldCharType="end"/>
      </w:r>
      <w:r>
        <w:rPr>
          <w:iCs/>
        </w:rPr>
        <w:t xml:space="preserve"> have shown that these MPAs </w:t>
      </w:r>
      <w:r w:rsidR="00687551">
        <w:rPr>
          <w:iCs/>
        </w:rPr>
        <w:t>prevent</w:t>
      </w:r>
      <w:r>
        <w:rPr>
          <w:iCs/>
        </w:rPr>
        <w:t xml:space="preserve"> interaction</w:t>
      </w:r>
      <w:r w:rsidR="00687551">
        <w:rPr>
          <w:iCs/>
        </w:rPr>
        <w:t>s</w:t>
      </w:r>
      <w:r>
        <w:rPr>
          <w:iCs/>
        </w:rPr>
        <w:t xml:space="preserve"> with fisheries which operate within their respective EEZs. Conservation measures in many of these areas, beyond seasonal closures, require seabird bycatch mitigation measures to be used within the fisheries which are similar to those in the </w:t>
      </w:r>
      <w:r w:rsidR="00A0170C">
        <w:rPr>
          <w:iCs/>
        </w:rPr>
        <w:t>SGSSI</w:t>
      </w:r>
      <w:r>
        <w:rPr>
          <w:iCs/>
        </w:rPr>
        <w:t xml:space="preserve"> MPA, all of which have greatly reduced seabird bycatch rat</w:t>
      </w:r>
      <w:r w:rsidR="00BE7A30">
        <w:rPr>
          <w:iCs/>
        </w:rPr>
        <w:t>es. Concern</w:t>
      </w:r>
      <w:r w:rsidR="00821490">
        <w:rPr>
          <w:iCs/>
        </w:rPr>
        <w:t>s</w:t>
      </w:r>
      <w:r w:rsidR="00BE7A30">
        <w:rPr>
          <w:iCs/>
        </w:rPr>
        <w:t xml:space="preserve"> which still remain</w:t>
      </w:r>
      <w:r>
        <w:rPr>
          <w:iCs/>
        </w:rPr>
        <w:t xml:space="preserve"> for many of these species, however, are the effects of distant-water pelagic longline fisheries and IUU fishing, mostly in waters beyond the jurisdiction of MPAs</w:t>
      </w:r>
      <w:r w:rsidR="00EE1006">
        <w:rPr>
          <w:iCs/>
        </w:rPr>
        <w:t xml:space="preserve"> </w:t>
      </w:r>
      <w:r w:rsidR="00EE1006">
        <w:rPr>
          <w:iCs/>
        </w:rPr>
        <w:fldChar w:fldCharType="begin" w:fldLock="1"/>
      </w:r>
      <w:r w:rsidR="00195AA8">
        <w:rPr>
          <w:iCs/>
        </w:rPr>
        <w:instrText>ADDIN CSL_CITATION { "citationItems" : [ { "id" : "ITEM-1", "itemData" : { "author" : [ { "dropping-particle" : "", "family" : "Michael", "given" : "P E", "non-dropping-particle" : "", "parse-names" : false, "suffix" : "" }, { "dropping-particle" : "", "family" : "Thomson", "given" : "R", "non-dropping-particle" : "", "parse-names" : false, "suffix" : "" }, { "dropping-particle" : "", "family" : "Barbraud", "given" : "C", "non-dropping-particle" : "", "parse-names" : false, "suffix" : "" }, { "dropping-particle" : "", "family" : "Delord", "given" : "Karine", "non-dropping-particle" : "", "parse-names" : false, "suffix" : "" }, { "dropping-particle" : "", "family" : "Grissac", "given" : "S", "non-dropping-particle" : "De", "parse-names" : false, "suffix" : "" }, { "dropping-particle" : "", "family" : "Hobday", "given" : "A J", "non-dropping-particle" : "", "parse-names" : false, "suffix" : "" }, { "dropping-particle" : "", "family" : "Strutton", "given" : "P G", "non-dropping-particle" : "", "parse-names" : false, "suffix" : "" }, { "dropping-particle" : "", "family" : "Tuck", "given" : "G N", "non-dropping-particle" : "", "parse-names" : false, "suffix" : "" }, { "dropping-particle" : "", "family" : "Weimerskirsch", "given" : "H", "non-dropping-particle" : "", "parse-names" : false, "suffix" : "" }, { "dropping-particle" : "", "family" : "Wilcox", "given" : "C", "non-dropping-particle" : "", "parse-names" : false, "suffix" : "" } ], "container-title" : "Marine Ecology Progress Series", "id" : "ITEM-1", "issued" : { "date-parts" : [ [ "2017" ] ] }, "page" : "185-199", "title" : "Illegal fishing bycatch overshadows climate as a driver of albatross population decline", "type" : "article-journal", "volume" : "579" }, "uris" : [ "http://www.mendeley.com/documents/?uuid=161eef66-9b44-42e1-8425-8348eedda052", "http://www.mendeley.com/documents/?uuid=a85541f5-00a0-4713-931e-5f6c9e93451a" ] }, { "id" : "ITEM-2", "itemData" : { "DOI" : "10.1111/j.1523-1739.2012.01850.x", "author" : [ { "dropping-particle" : "", "family" : "\u00d6sterblom", "given" : "Henrik", "non-dropping-particle" : "", "parse-names" : false, "suffix" : "" }, { "dropping-particle" : "", "family" : "Bodin", "given" : "\u00d6rjan", "non-dropping-particle" : "", "parse-names" : false, "suffix" : "" } ], "container-title" : "Conservation Biology", "id" : "ITEM-2", "issue" : "4", "issued" : { "date-parts" : [ [ "2012" ] ] }, "page" : "638-648", "title" : "Global Cooperation among Diverse Organizations to Reduce Illegal Fishing in the Southern Ocean", "type" : "article-journal", "volume" : "26" }, "uris" : [ "http://www.mendeley.com/documents/?uuid=87060b3b-746d-494b-8fd6-060f7a903e9e", "http://www.mendeley.com/documents/?uuid=76a0d0ec-91f9-4654-bb44-faefc15f9d87" ] }, { "id" : "ITEM-3", "itemData" : { "DOI" : "10.1111/1365-2664.13407", "author" : [ { "dropping-particle" : "", "family" : "Clay", "given" : "Thomas A", "non-dropping-particle" : "", "parse-names" : false, "suffix" : "" }, { "dropping-particle" : "", "family" : "Small", "given" : "Cleo", "non-dropping-particle" : "", "parse-names" : false, "suffix" : "" }, { "dropping-particle" : "", "family" : "Tuck", "given" : "Geoffrey N", "non-dropping-particle" : "", "parse-names" : false, "suffix" : "" }, { "dropping-particle" : "", "family" : "Pardo", "given" : "Deborah", "non-dropping-particle" : "", "parse-names" : false, "suffix" : "" }, { "dropping-particle" : "", "family" : "Carneiro", "given" : "Ana P B", "non-dropping-particle" : "", "parse-names" : false, "suffix" : "" }, { "dropping-particle" : "", "family" : "Wood", "given" : "Andrew G", "non-dropping-particle" : "", "parse-names" : false, "suffix" : "" }, { "dropping-particle" : "", "family" : "Croxall", "given" : "John P", "non-dropping-particle" : "", "parse-names" : false, "suffix" : "" }, { "dropping-particle" : "", "family" : "Crossin", "given" : "Glenn T", "non-dropping-particle" : "", "parse-names" : false, "suffix" : "" }, { "dropping-particle" : "", "family" : "Phillips", "given" : "Richard A", "non-dropping-particle" : "", "parse-names" : false, "suffix" : "" } ], "container-title" : "Journal of Applied Ecology", "id" : "ITEM-3", "issued" : { "date-parts" : [ [ "2019" ] ] }, "page" : "1-12", "title" : "A comprehensive large\u2010scale assessment of fisheries bycatch risk to threatened seabird populations", "type" : "article-journal", "volume" : "00" }, "uris" : [ "http://www.mendeley.com/documents/?uuid=8da982b2-f418-41bd-81be-c90f6c3fa028", "http://www.mendeley.com/documents/?uuid=69198e7c-489b-408b-b3bd-2933c587003f" ] } ], "mendeley" : { "formattedCitation" : "(Clay et al., 2019; Michael et al., 2017; \u00d6sterblom &amp; Bodin, 2012)", "plainTextFormattedCitation" : "(Clay et al., 2019; Michael et al., 2017; \u00d6sterblom &amp; Bodin, 2012)", "previouslyFormattedCitation" : "(Clay et al., 2019; Michael et al., 2017; \u00d6sterblom &amp; Bodin, 2012)" }, "properties" : {  }, "schema" : "https://github.com/citation-style-language/schema/raw/master/csl-citation.json" }</w:instrText>
      </w:r>
      <w:r w:rsidR="00EE1006">
        <w:rPr>
          <w:iCs/>
        </w:rPr>
        <w:fldChar w:fldCharType="separate"/>
      </w:r>
      <w:r w:rsidR="00126000" w:rsidRPr="00126000">
        <w:rPr>
          <w:iCs/>
          <w:noProof/>
        </w:rPr>
        <w:t>(Clay et al., 2019; Michael et al., 2017; Österblom &amp; Bodin, 2012)</w:t>
      </w:r>
      <w:r w:rsidR="00EE1006">
        <w:rPr>
          <w:iCs/>
        </w:rPr>
        <w:fldChar w:fldCharType="end"/>
      </w:r>
      <w:r>
        <w:rPr>
          <w:iCs/>
        </w:rPr>
        <w:t>. This threat is believed to be a key driver in continued declines of some albatross and petrel populations, including</w:t>
      </w:r>
      <w:r w:rsidR="00821490">
        <w:rPr>
          <w:iCs/>
        </w:rPr>
        <w:t xml:space="preserve"> those at</w:t>
      </w:r>
      <w:r>
        <w:rPr>
          <w:iCs/>
        </w:rPr>
        <w:t xml:space="preserve"> </w:t>
      </w:r>
      <w:r w:rsidR="00821490">
        <w:rPr>
          <w:iCs/>
        </w:rPr>
        <w:t>SGSSI</w:t>
      </w:r>
      <w:r w:rsidR="006175D8">
        <w:rPr>
          <w:iCs/>
        </w:rPr>
        <w:t xml:space="preserve"> (Table 1)</w:t>
      </w:r>
      <w:r>
        <w:rPr>
          <w:iCs/>
        </w:rPr>
        <w:t xml:space="preserve"> </w:t>
      </w:r>
      <w:r>
        <w:rPr>
          <w:iCs/>
        </w:rPr>
        <w:fldChar w:fldCharType="begin" w:fldLock="1"/>
      </w:r>
      <w:r w:rsidR="00195AA8">
        <w:rPr>
          <w:iCs/>
        </w:rPr>
        <w:instrText>ADDIN CSL_CITATION { "citationItems" : [ { "id" : "ITEM-1", "itemData" : { "DOI" : "10.1007/s00300-016-2057-0", "ISBN" : "0030001620570", "ISSN" : "07224060", "abstract" : "South Georgia supports globally important populations of seabirds, including the wandering albatross Diomedea exulans, black-browed albatross Thalassarche melanophris and grey-headed albatross T. chrysostoma, currently classified by the world Conservation Union (IUCN) as vulnerable, near threatened and endangered, respectively. Surveys of these species at South Georgia were conducted during the incubation stage in November 2014 to January 2015, repeating previous surveys conducted in the 2003/2004 season. Numbers of wandering albatrosses breeding annually at South Georgia decreased by 18% (1.8% per year) from 1553 pairs in 2003/2004 to an estimated 1278 pairs in 2014/2015. Over the same period, black-browed and grey-headed albatrosses decreased by 19% (1.9% per year) and 43% (5% per year), respectively. These represent a continuation of negative trends at South Georgia since the 1970s and are in contrast to some populations elsewhere, which have shown signs of recent recovery. Given the importance of South Georgia for these species, the ongoing population declines, and in the case of grey-headed albatrosses, an acceleration of the decline is of major conservation concern. Incidental fisheries mortality (bycatch) is currently considered to be the main threat. Although seabird bycatch has been reduced to negligible levels in the fisheries operating around South Georgia, wider implementation of effective seabird bycatch mitigation measures is required to improve the conservation status of the South Georgia populations of wandering, black-browed and grey-headed albatrosses. In addition, more research is required to investigate the respective roles of bycatch and climate change in driving these population trends.", "author" : [ { "dropping-particle" : "", "family" : "Poncet", "given" : "Sally", "non-dropping-particle" : "", "parse-names" : false, "suffix" : "" }, { "dropping-particle" : "", "family" : "Wolfaardt", "given" : "Anton C.", "non-dropping-particle" : "", "parse-names" : false, "suffix" : "" }, { "dropping-particle" : "", "family" : "Black", "given" : "Andy", "non-dropping-particle" : "", "parse-names" : false, "suffix" : "" }, { "dropping-particle" : "", "family" : "Browning", "given" : "Sarah", "non-dropping-particle" : "", "parse-names" : false, "suffix" : "" }, { "dropping-particle" : "", "family" : "Lawton", "given" : "Kieran", "non-dropping-particle" : "", "parse-names" : false, "suffix" : "" }, { "dropping-particle" : "", "family" : "Lee", "given" : "Jennifer", "non-dropping-particle" : "", "parse-names" : false, "suffix" : "" }, { "dropping-particle" : "", "family" : "Passfield", "given" : "Ken", "non-dropping-particle" : "", "parse-names" : false, "suffix" : "" }, { "dropping-particle" : "", "family" : "Strange", "given" : "Georgina", "non-dropping-particle" : "", "parse-names" : false, "suffix" : "" }, { "dropping-particle" : "", "family" : "Phillips", "given" : "Richard A.", "non-dropping-particle" : "", "parse-names" : false, "suffix" : "" } ], "container-title" : "Polar Biology", "id" : "ITEM-1", "issue" : "7", "issued" : { "date-parts" : [ [ "2017" ] ] }, "page" : "1347-1358", "publisher" : "Springer Berlin Heidelberg", "title" : "Recent trends in numbers of wandering (&lt;i&gt;Diomedea exulans&lt;/i&gt;), black-browed (&lt;i&gt;Thalassarche melanophris&lt;/i&gt;) and grey-headed (&lt;i&gt;T. chrysostoma&lt;/i&gt;) albatrosses breeding at South Georgia", "type" : "article-journal", "volume" : "40" }, "uris" : [ "http://www.mendeley.com/documents/?uuid=3c90f905-cc16-40eb-adbc-cd450ec95fea", "http://www.mendeley.com/documents/?uuid=1c450242-5080-4bdc-b180-453017ca8f5b" ] }, { "id" : "ITEM-2", "itemData" : { "DOI" : "10.1073/pnas.1618819114", "author" : [ { "dropping-particle" : "", "family" : "Pardo", "given" : "Deborah", "non-dropping-particle" : "", "parse-names" : false, "suffix" : "" }, { "dropping-particle" : "", "family" : "Forcada", "given" : "Jaume", "non-dropping-particle" : "", "parse-names" : false, "suffix" : "" }, { "dropping-particle" : "", "family" : "Wood", "given" : "Andrew G", "non-dropping-particle" : "", "parse-names" : false, "suffix" : "" }, { "dropping-particle" : "", "family" : "Tuck", "given" : "Geoff N", "non-dropping-particle" : "", "parse-names" : false, "suffix" : "" }, { "dropping-particle" : "", "family" : "Ireland", "given" : "Louise", "non-dropping-particle" : "", "parse-names" : false, "suffix" : "" }, { "dropping-particle" : "", "family" : "Pradel", "given" : "Roger", "non-dropping-particle" : "", "parse-names" : false, "suffix" : "" }, { "dropping-particle" : "", "family" : "Croxall", "given" : "John P", "non-dropping-particle" : "", "parse-names" : false, "suffix" : "" }, { "dropping-particle" : "", "family" : "Phillips", "given" : "Richard A", "non-dropping-particle" : "", "parse-names" : false, "suffix" : "" } ], "container-title" : "Proceedings of the National Academy of Sciences", "id" : "ITEM-2", "issued" : { "date-parts" : [ [ "2017" ] ] }, "page" : "E10829-E10837", "title" : "Additive effects of climate and fisheries drive ongoing declines in multiple albatross species", "type" : "article-journal", "volume" : "50" }, "uris" : [ "http://www.mendeley.com/documents/?uuid=39aa9b73-0261-4fe2-ba92-d82cf533e9d1", "http://www.mendeley.com/documents/?uuid=0d8c0ac5-5361-475c-90db-3a1c9ad81a20" ] }, { "id" : "ITEM-3", "itemData" : { "DOI" : "10.1111/ecog.02590", "ISBN" : "0000000346375", "author" : [ { "dropping-particle" : "", "family" : "Kr\u00fcger", "given" : "L", "non-dropping-particle" : "", "parse-names" : false, "suffix" : "" }, { "dropping-particle" : "", "family" : "Ramos", "given" : "Jaime A", "non-dropping-particle" : "", "parse-names" : false, "suffix" : "" }, { "dropping-particle" : "", "family" : "Xavier", "given" : "Jos\u00e9 C.", "non-dropping-particle" : "", "parse-names" : false, "suffix" : "" }, { "dropping-particle" : "", "family" : "Gr\u00e9millet", "given" : "David", "non-dropping-particle" : "", "parse-names" : false, "suffix" : "" }, { "dropping-particle" : "", "family" : "Gonz\u00e1lez-sol\u00eds", "given" : "Jacob", "non-dropping-particle" : "", "parse-names" : false, "suffix" : "" }, { "dropping-particle" : "V.", "family" : "Petry", "given" : "M.", "non-dropping-particle" : "", "parse-names" : false, "suffix" : "" }, { "dropping-particle" : "", "family" : "Phillips", "given" : "Richard A", "non-dropping-particle" : "", "parse-names" : false, "suffix" : "" }, { "dropping-particle" : "", "family" : "Wanless", "given" : "Ross M", "non-dropping-particle" : "", "parse-names" : false, "suffix" : "" }, { "dropping-particle" : "", "family" : "Paiva", "given" : "Vitor H.", "non-dropping-particle" : "", "parse-names" : false, "suffix" : "" } ], "container-title" : "Ecography", "id" : "ITEM-3", "issued" : { "date-parts" : [ [ "2018" ] ] }, "page" : "195-208", "title" : "Projected distributions of Southern Ocean albatrosses, petrels and fisheries as a consequence of climatic change", "type" : "article-journal", "volume" : "41" }, "uris" : [ "http://www.mendeley.com/documents/?uuid=7125ff1e-40f8-4456-803d-b2b2a420f42a", "http://www.mendeley.com/documents/?uuid=f068f7ac-85f0-40d8-8f1a-f3b7cc3eb4b6" ] } ], "mendeley" : { "formattedCitation" : "(Kr\u00fcger et al., 2018; Pardo et al., 2017; Poncet et al., 2017)", "plainTextFormattedCitation" : "(Kr\u00fcger et al., 2018; Pardo et al., 2017; Poncet et al., 2017)", "previouslyFormattedCitation" : "(Kr\u00fcger et al., 2018; Pardo et al., 2017; Poncet et al., 2017)" }, "properties" : {  }, "schema" : "https://github.com/citation-style-language/schema/raw/master/csl-citation.json" }</w:instrText>
      </w:r>
      <w:r>
        <w:rPr>
          <w:iCs/>
        </w:rPr>
        <w:fldChar w:fldCharType="separate"/>
      </w:r>
      <w:r w:rsidR="00126000" w:rsidRPr="00126000">
        <w:rPr>
          <w:iCs/>
          <w:noProof/>
          <w:lang w:val="en-GB"/>
        </w:rPr>
        <w:t>(Krüger et al., 2018; Pardo et al., 2017; Poncet et al., 2017)</w:t>
      </w:r>
      <w:r>
        <w:rPr>
          <w:iCs/>
        </w:rPr>
        <w:fldChar w:fldCharType="end"/>
      </w:r>
      <w:r w:rsidRPr="0086345B">
        <w:rPr>
          <w:iCs/>
          <w:lang w:val="en-GB"/>
        </w:rPr>
        <w:t xml:space="preserve">. </w:t>
      </w:r>
      <w:r>
        <w:rPr>
          <w:iCs/>
        </w:rPr>
        <w:t>Therefore, efforts must still be made across fisheries management organisations to implement and enforce best-practice bycatch mitigation both within areas beyond national jurisdiction and the EEZs of other coastal states</w:t>
      </w:r>
      <w:r w:rsidR="00EE1006">
        <w:rPr>
          <w:iCs/>
        </w:rPr>
        <w:t xml:space="preserve"> </w:t>
      </w:r>
      <w:r w:rsidR="00992576">
        <w:rPr>
          <w:iCs/>
        </w:rPr>
        <w:fldChar w:fldCharType="begin" w:fldLock="1"/>
      </w:r>
      <w:r w:rsidR="00B92111">
        <w:rPr>
          <w:iCs/>
        </w:rPr>
        <w:instrText>ADDIN CSL_CITATION { "citationItems" : [ { "id" : "ITEM-1", "itemData" : { "author" : [ { "dropping-particle" : "", "family" : "Melanie", "given" : "Imen", "non-dropping-particle" : "", "parse-names" : false, "suffix" : "" }, { "dropping-particle" : "", "family" : "White", "given" : "Alan", "non-dropping-particle" : "", "parse-names" : false, "suffix" : "" }, { "dropping-particle" : "", "family" : "Smith", "given" : "Scott", "non-dropping-particle" : "", "parse-names" : false, "suffix" : "" }, { "dropping-particle" : "", "family" : "Crain", "given" : "Caitlan", "non-dropping-particle" : "", "parse-names" : false, "suffix" : "" }, { "dropping-particle" : "", "family" : "Beck", "given" : "Michael", "non-dropping-particle" : "", "parse-names" : false, "suffix" : "" } ], "container-title" : "Global ocean protection: Present status and future possibilities", "editor" : [ { "dropping-particle" : "", "family" : "Toropova", "given" : "Caitlyn", "non-dropping-particle" : "", "parse-names" : false, "suffix" : "" }, { "dropping-particle" : "", "family" : "Meliane", "given" : "Imen", "non-dropping-particle" : "", "parse-names" : false, "suffix" : "" }, { "dropping-particle" : "", "family" : "Laffoley", "given" : "D", "non-dropping-particle" : "", "parse-names" : false, "suffix" : "" }, { "dropping-particle" : "", "family" : "Matthews", "given" : "Elizabeth", "non-dropping-particle" : "", "parse-names" : false, "suffix" : "" }, { "dropping-particle" : "", "family" : "Spalding", "given" : "Mark", "non-dropping-particle" : "", "parse-names" : false, "suffix" : "" } ], "id" : "ITEM-1", "issued" : { "date-parts" : [ [ "2010" ] ] }, "page" : "69-82", "publisher" : "UNEP-WCMC", "publisher-place" : "Cambridge", "title" : "Moving forward toward networks and broader spatial management", "type" : "chapter" }, "uris" : [ "http://www.mendeley.com/documents/?uuid=305a9831-6909-4b5f-982d-376a8b554be8", "http://www.mendeley.com/documents/?uuid=4e4fd5ac-5f16-4575-a17b-a3cf5eca60ba" ] }, { "id" : "ITEM-2", "itemData" : { "DOI" : "10.1111/1365-2664.13407", "author" : [ { "dropping-particle" : "", "family" : "Clay", "given" : "Thomas A", "non-dropping-particle" : "", "parse-names" : false, "suffix" : "" }, { "dropping-particle" : "", "family" : "Small", "given" : "Cleo", "non-dropping-particle" : "", "parse-names" : false, "suffix" : "" }, { "dropping-particle" : "", "family" : "Tuck", "given" : "Geoffrey N", "non-dropping-particle" : "", "parse-names" : false, "suffix" : "" }, { "dropping-particle" : "", "family" : "Pardo", "given" : "Deborah", "non-dropping-particle" : "", "parse-names" : false, "suffix" : "" }, { "dropping-particle" : "", "family" : "Carneiro", "given" : "Ana P B", "non-dropping-particle" : "", "parse-names" : false, "suffix" : "" }, { "dropping-particle" : "", "family" : "Wood", "given" : "Andrew G", "non-dropping-particle" : "", "parse-names" : false, "suffix" : "" }, { "dropping-particle" : "", "family" : "Croxall", "given" : "John P", "non-dropping-particle" : "", "parse-names" : false, "suffix" : "" }, { "dropping-particle" : "", "family" : "Crossin", "given" : "Glenn T", "non-dropping-particle" : "", "parse-names" : false, "suffix" : "" }, { "dropping-particle" : "", "family" : "Phillips", "given" : "Richard A", "non-dropping-particle" : "", "parse-names" : false, "suffix" : "" } ], "container-title" : "Journal of Applied Ecology", "id" : "ITEM-2", "issued" : { "date-parts" : [ [ "2019" ] ] }, "page" : "1-12", "title" : "A comprehensive large\u2010scale assessment of fisheries bycatch risk to threatened seabird populations", "type" : "article-journal", "volume" : "00" }, "uris" : [ "http://www.mendeley.com/documents/?uuid=69198e7c-489b-408b-b3bd-2933c587003f", "http://www.mendeley.com/documents/?uuid=8da982b2-f418-41bd-81be-c90f6c3fa028" ] }, { "id" : "ITEM-3", "itemData" : { "author" : [ { "dropping-particle" : "", "family" : "Carneiro", "given" : "Ana P.B.", "non-dropping-particle" : "", "parse-names" : false, "suffix" : "" }, { "dropping-particle" : "", "family" : "Pearmain", "given" : "Elizabeth J.", "non-dropping-particle" : "", "parse-names" : false, "suffix" : "" }, { "dropping-particle" : "", "family" : "Oppel", "given" : "Steffen", "non-dropping-particle" : "", "parse-names" : false, "suffix" : "" }, { "dropping-particle" : "", "family" : "Clay", "given" : "Thomas A", "non-dropping-particle" : "", "parse-names" : false, "suffix" : "" }, { "dropping-particle" : "", "family" : "Phillips", "given" : "Richard A.", "non-dropping-particle" : "", "parse-names" : false, "suffix" : "" }, { "dropping-particle" : "", "family" : "Bonnet-Lebrun", "given" : "Anne-Sophie", "non-dropping-particle" : "", "parse-names" : false, "suffix" : "" }, { "dropping-particle" : "", "family" : "Wanless", "given" : "Ross M.", "non-dropping-particle" : "", "parse-names" : false, "suffix" : "" }, { "dropping-particle" : "", "family" : "Abraham", "given" : "Edward", "non-dropping-particle" : "", "parse-names" : false, "suffix" : "" }, { "dropping-particle" : "", "family" : "Richard", "given" : "Yvan", "non-dropping-particle" : "", "parse-names" : false, "suffix" : "" }, { "dropping-particle" : "", "family" : "Rice", "given" : "Joel", "non-dropping-particle" : "", "parse-names" : false, "suffix" : "" }, { "dropping-particle" : "", "family" : "Handley", "given" : "Jonathan", "non-dropping-particle" : "", "parse-names" : false, "suffix" : "" }, { "dropping-particle" : "", "family" : "Davies", "given" : "Tammy E.", "non-dropping-particle" : "", "parse-names" : false, "suffix" : "" }, { "dropping-particle" : "", "family" : "Dilley", "given" : "Ben J.", "non-dropping-particle" : "", "parse-names" : false, "suffix" : "" }, { "dropping-particle" : "", "family" : "Ryan", "given" : "Peter G.", "non-dropping-particle" : "", "parse-names" : false, "suffix" : "" }, { "dropping-particle" : "", "family" : "Small", "given" : "Cleo", "non-dropping-particle" : "", "parse-names" : false, "suffix" : "" }, { "dropping-particle" : "", "family" : "Arata", "given" : "Javier", "non-dropping-particle" : "", "parse-names" : false, "suffix" : "" }, { "dropping-particle" : "", "family" : "Arnould", "given" : "John P Y", "non-dropping-particle" : "", "parse-names" : false, "suffix" : "" }, { "dropping-particle" : "", "family" : "Bell", "given" : "Elizabeth", "non-dropping-particle" : "", "parse-names" : false, "suffix" : "" }, { "dropping-particle" : "", "family" : "Bugoni", "given" : "Leandro", "non-dropping-particle" : "", "parse-names" : false, "suffix" : "" }, { "dropping-particle" : "", "family" : "Campioni", "given" : "Letizia", "non-dropping-particle" : "", "parse-names" : false, "suffix" : "" }, { "dropping-particle" : "", "family" : "Catry", "given" : "Paulo", "non-dropping-particle" : "", "parse-names" : false, "suffix" : "" }, { "dropping-particle" : "", "family" : "Cleeland", "given" : "Jamie", "non-dropping-particle" : "", "parse-names" : false, "suffix" : "" }, { "dropping-particle" : "", "family" : "Deppe", "given" : "Lorna", "non-dropping-particle" : "", "parse-names" : false, "suffix" : "" }, { "dropping-particle" : "", "family" : "Elliot", "given" : "Graeme", "non-dropping-particle" : "", "parse-names" : false, "suffix" : "" }, { "dropping-particle" : "", "family" : "Freeman", "given" : "Amanda", "non-dropping-particle" : "", "parse-names" : false, "suffix" : "" }, { "dropping-particle" : "", "family" : "Gonz\u00e1lez-Sol\u00eds", "given" : "Jacob", "non-dropping-particle" : "", "parse-names" : false, "suffix" : "" }, { "dropping-particle" : "", "family" : "Granadeiro", "given" : "Jos\u00e9 Pedro", "non-dropping-particle" : "", "parse-names" : false, "suffix" : "" }, { "dropping-particle" : "", "family" : "Gr\u00e9millet", "given" : "David", "non-dropping-particle" : "", "parse-names" : false, "suffix" : "" }, { "dropping-particle" : "", "family" : "Landers", "given" : "Todd J.", "non-dropping-particle" : "", "parse-names" : false, "suffix" : "" }, { "dropping-particle" : "", "family" : "Makhado", "given" : "Azwianewi B.", "non-dropping-particle" : "", "parse-names" : false, "suffix" : "" }, { "dropping-particle" : "", "family" : "Nel", "given" : "Deon", "non-dropping-particle" : "", "parse-names" : false, "suffix" : "" }, { "dropping-particle" : "", "family" : "Nicholls", "given" : "David G.", "non-dropping-particle" : "", "parse-names" : false, "suffix" : "" }, { "dropping-particle" : "", "family" : "Rexer-Huber", "given" : "Kalinka", "non-dropping-particle" : "", "parse-names" : false, "suffix" : "" }, { "dropping-particle" : "", "family" : "Robertson", "given" : "Christopher J. R.", "non-dropping-particle" : "", "parse-names" : false, "suffix" : "" }, { "dropping-particle" : "", "family" : "Sagar", "given" : "Paul M.", "non-dropping-particle" : "", "parse-names" : false, "suffix" : "" }, { "dropping-particle" : "", "family" : "Scofield", "given" : "Paul", "non-dropping-particle" : "", "parse-names" : false, "suffix" : "" }, { "dropping-particle" : "", "family" : "Stahl", "given" : "Jean-Claude", "non-dropping-particle" : "", "parse-names" : false, "suffix" : "" }, { "dropping-particle" : "", "family" : "Stanworth", "given" : "Andrew", "non-dropping-particle" : "", "parse-names" : false, "suffix" : "" }, { "dropping-particle" : "", "family" : "Stevens", "given" : "Kim L.", "non-dropping-particle" : "", "parse-names" : false, "suffix" : "" }, { "dropping-particle" : "", "family" : "Trathan", "given" : "Philip N.", "non-dropping-particle" : "", "parse-names" : false, "suffix" : "" }, { "dropping-particle" : "", "family" : "Thompson", "given" : "David R.", "non-dropping-particle" : "", "parse-names" : false, "suffix" : "" }, { "dropping-particle" : "", "family" : "Torres", "given" : "Leigh G.", "non-dropping-particle" : "", "parse-names" : false, "suffix" : "" }, { "dropping-particle" : "", "family" : "Walker", "given" : "Kath", "non-dropping-particle" : "", "parse-names" : false, "suffix" : "" }, { "dropping-particle" : "", "family" : "Waugh", "given" : "Susan M.", "non-dropping-particle" : "", "parse-names" : false, "suffix" : "" }, { "dropping-particle" : "", "family" : "Weimerskirch", "given" : "Henri", "non-dropping-particle" : "", "parse-names" : false, "suffix" : "" }, { "dropping-particle" : "", "family" : "Dias", "given" : "Maria P.", "non-dropping-particle" : "", "parse-names" : false, "suffix" : "" } ], "container-title" : "Journal of Applied Ecology", "id" : "ITEM-3", "issued" : { "date-parts" : [ [ "0" ] ] }, "title" : "A framework for mapping the distribution of Southern Ocean seabirds across life-history stages, by integrating tracking, demography and phenology", "type" : "article-journal" }, "uris" : [ "http://www.mendeley.com/documents/?uuid=b430fd4b-dce6-4b5f-90b7-b909fbb27b7e" ] } ], "mendeley" : { "formattedCitation" : "(Carneiro et al., n.d.; Clay et al., 2019; Melanie, White, Smith, Crain, &amp; Beck, 2010)", "manualFormatting" : "(Carneiro et al., in press; Clay et al., 2019; Melanie, White, Smith, Crain, &amp; Beck, 2010)", "plainTextFormattedCitation" : "(Carneiro et al., n.d.; Clay et al., 2019; Melanie, White, Smith, Crain, &amp; Beck, 2010)", "previouslyFormattedCitation" : "(Carneiro et al., n.d.; Clay et al., 2019; Melanie, White, Smith, Crain, &amp; Beck, 2010)" }, "properties" : {  }, "schema" : "https://github.com/citation-style-language/schema/raw/master/csl-citation.json" }</w:instrText>
      </w:r>
      <w:r w:rsidR="00992576">
        <w:rPr>
          <w:iCs/>
        </w:rPr>
        <w:fldChar w:fldCharType="separate"/>
      </w:r>
      <w:r w:rsidR="005B51DA">
        <w:rPr>
          <w:iCs/>
          <w:noProof/>
        </w:rPr>
        <w:t>(Carneiro et al., in press</w:t>
      </w:r>
      <w:r w:rsidR="005B51DA" w:rsidRPr="005B51DA">
        <w:rPr>
          <w:iCs/>
          <w:noProof/>
        </w:rPr>
        <w:t>; Clay et al., 2019; Melanie, White, Smith, Crain, &amp; Beck, 2010)</w:t>
      </w:r>
      <w:r w:rsidR="00992576">
        <w:rPr>
          <w:iCs/>
        </w:rPr>
        <w:fldChar w:fldCharType="end"/>
      </w:r>
      <w:r>
        <w:rPr>
          <w:iCs/>
        </w:rPr>
        <w:t>.</w:t>
      </w:r>
    </w:p>
    <w:p w14:paraId="1A31970D" w14:textId="619FCC90" w:rsidR="00233FE5" w:rsidRDefault="00233FE5" w:rsidP="00A0170C">
      <w:pPr>
        <w:rPr>
          <w:iCs/>
        </w:rPr>
      </w:pPr>
      <w:r>
        <w:rPr>
          <w:iCs/>
        </w:rPr>
        <w:t xml:space="preserve">While the links between both local and distant-water fisheries and marine top predator population declines have been well-established, of growing concern is the impact of climate change on predator populations and their prey </w:t>
      </w:r>
      <w:r>
        <w:rPr>
          <w:iCs/>
        </w:rPr>
        <w:fldChar w:fldCharType="begin" w:fldLock="1"/>
      </w:r>
      <w:r w:rsidR="00195AA8">
        <w:rPr>
          <w:iCs/>
        </w:rPr>
        <w:instrText>ADDIN CSL_CITATION { "citationItems" : [ { "id" : "ITEM-1", "itemData" : { "DOI" : "10.1038/s41558-018-0370-z", "ISSN" : "1758-678X", "author" : [ { "dropping-particle" : "", "family" : "Atkinson", "given" : "Angus", "non-dropping-particle" : "", "parse-names" : false, "suffix" : "" }, { "dropping-particle" : "", "family" : "Hill", "given" : "Simeon L.", "non-dropping-particle" : "", "parse-names" : false, "suffix" : "" }, { "dropping-particle" : "", "family" : "Pakhomov", "given" : "Evgeny A.", "non-dropping-particle" : "", "parse-names" : false, "suffix" : "" }, { "dropping-particle" : "", "family" : "Siegel", "given" : "Volker", "non-dropping-particle" : "", "parse-names" : false, "suffix" : "" }, { "dropping-particle" : "", "family" : "Reiss", "given" : "Christian S.", "non-dropping-particle" : "", "parse-names" : false, "suffix" : "" }, { "dropping-particle" : "", "family" : "Loeb", "given" : "Valerie J.", "non-dropping-particle" : "", "parse-names" : false, "suffix" : "" }, { "dropping-particle" : "", "family" : "Steinberg", "given" : "Deborah K.", "non-dropping-particle" : "", "parse-names" : false, "suffix" : "" }, { "dropping-particle" : "", "family" : "Schmidt", "given" : "Katrin", "non-dropping-particle" : "", "parse-names" : false, "suffix" : "" }, { "dropping-particle" : "", "family" : "Tarling", "given" : "Geraint A.", "non-dropping-particle" : "", "parse-names" : false, "suffix" : "" }, { "dropping-particle" : "", "family" : "Gerrish", "given" : "Laura", "non-dropping-particle" : "", "parse-names" : false, "suffix" : "" }, { "dropping-particle" : "", "family" : "Sailley", "given" : "S\u00e9vrine F.", "non-dropping-particle" : "", "parse-names" : false, "suffix" : "" } ], "container-title" : "Nature Climate Change", "id" : "ITEM-1", "issued" : { "date-parts" : [ [ "2019" ] ] }, "title" : "Krill (&lt;i&gt;Euphausia superba&lt;/i&gt;) distribution contracts southward during rapid regional warming", "type" : "article-journal" }, "uris" : [ "http://www.mendeley.com/documents/?uuid=024c7421-fdf3-4fc7-84ab-82b087f67ab5", "http://www.mendeley.com/documents/?uuid=ca32ad02-ef48-41ce-859a-4dc1611a014c" ] }, { "id" : "ITEM-2", "itemData" : { "DOI" : "10.1073/pnas.1618819114", "author" : [ { "dropping-particle" : "", "family" : "Pardo", "given" : "Deborah", "non-dropping-particle" : "", "parse-names" : false, "suffix" : "" }, { "dropping-particle" : "", "family" : "Forcada", "given" : "Jaume", "non-dropping-particle" : "", "parse-names" : false, "suffix" : "" }, { "dropping-particle" : "", "family" : "Wood", "given" : "Andrew G", "non-dropping-particle" : "", "parse-names" : false, "suffix" : "" }, { "dropping-particle" : "", "family" : "Tuck", "given" : "Geoff N", "non-dropping-particle" : "", "parse-names" : false, "suffix" : "" }, { "dropping-particle" : "", "family" : "Ireland", "given" : "Louise", "non-dropping-particle" : "", "parse-names" : false, "suffix" : "" }, { "dropping-particle" : "", "family" : "Pradel", "given" : "Roger", "non-dropping-particle" : "", "parse-names" : false, "suffix" : "" }, { "dropping-particle" : "", "family" : "Croxall", "given" : "John P", "non-dropping-particle" : "", "parse-names" : false, "suffix" : "" }, { "dropping-particle" : "", "family" : "Phillips", "given" : "Richard A", "non-dropping-particle" : "", "parse-names" : false, "suffix" : "" } ], "container-title" : "Proceedings of the National Academy of Sciences", "id" : "ITEM-2", "issued" : { "date-parts" : [ [ "2017" ] ] }, "page" : "E10829-E10837", "title" : "Additive effects of climate and fisheries drive ongoing declines in multiple albatross species", "type" : "article-journal", "volume" : "50" }, "uris" : [ "http://www.mendeley.com/documents/?uuid=0d8c0ac5-5361-475c-90db-3a1c9ad81a20", "http://www.mendeley.com/documents/?uuid=39aa9b73-0261-4fe2-ba92-d82cf533e9d1" ] }, { "id" : "ITEM-3", "itemData" : { "DOI" : "10.1111/ecog.02590", "ISBN" : "0000000346375", "author" : [ { "dropping-particle" : "", "family" : "Kr\u00fcger", "given" : "L", "non-dropping-particle" : "", "parse-names" : false, "suffix" : "" }, { "dropping-particle" : "", "family" : "Ramos", "given" : "Jaime A", "non-dropping-particle" : "", "parse-names" : false, "suffix" : "" }, { "dropping-particle" : "", "family" : "Xavier", "given" : "Jos\u00e9 C.", "non-dropping-particle" : "", "parse-names" : false, "suffix" : "" }, { "dropping-particle" : "", "family" : "Gr\u00e9millet", "given" : "David", "non-dropping-particle" : "", "parse-names" : false, "suffix" : "" }, { "dropping-particle" : "", "family" : "Gonz\u00e1lez-sol\u00eds", "given" : "Jacob", "non-dropping-particle" : "", "parse-names" : false, "suffix" : "" }, { "dropping-particle" : "V.", "family" : "Petry", "given" : "M.", "non-dropping-particle" : "", "parse-names" : false, "suffix" : "" }, { "dropping-particle" : "", "family" : "Phillips", "given" : "Richard A", "non-dropping-particle" : "", "parse-names" : false, "suffix" : "" }, { "dropping-particle" : "", "family" : "Wanless", "given" : "Ross M", "non-dropping-particle" : "", "parse-names" : false, "suffix" : "" }, { "dropping-particle" : "", "family" : "Paiva", "given" : "Vitor H.", "non-dropping-particle" : "", "parse-names" : false, "suffix" : "" } ], "container-title" : "Ecography", "id" : "ITEM-3", "issued" : { "date-parts" : [ [ "2018" ] ] }, "page" : "195-208", "title" : "Projected distributions of Southern Ocean albatrosses, petrels and fisheries as a consequence of climatic change", "type" : "article-journal", "volume" : "41" }, "uris" : [ "http://www.mendeley.com/documents/?uuid=f068f7ac-85f0-40d8-8f1a-f3b7cc3eb4b6", "http://www.mendeley.com/documents/?uuid=7125ff1e-40f8-4456-803d-b2b2a420f42a", "http://www.mendeley.com/documents/?uuid=0aded8f3-97c8-4341-87c0-2cd54525b2ed" ] } ], "mendeley" : { "formattedCitation" : "(Atkinson et al., 2019; Kr\u00fcger et al., 2018; Pardo et al., 2017)", "plainTextFormattedCitation" : "(Atkinson et al., 2019; Kr\u00fcger et al., 2018; Pardo et al., 2017)", "previouslyFormattedCitation" : "(Atkinson et al., 2019; Kr\u00fcger et al., 2018; Pardo et al., 2017)" }, "properties" : {  }, "schema" : "https://github.com/citation-style-language/schema/raw/master/csl-citation.json" }</w:instrText>
      </w:r>
      <w:r>
        <w:rPr>
          <w:iCs/>
        </w:rPr>
        <w:fldChar w:fldCharType="separate"/>
      </w:r>
      <w:r w:rsidR="00126000" w:rsidRPr="00126000">
        <w:rPr>
          <w:iCs/>
          <w:noProof/>
        </w:rPr>
        <w:t>(Atkinson et al., 2019; Krüger et al., 2018; Pardo et al., 2017)</w:t>
      </w:r>
      <w:r>
        <w:rPr>
          <w:iCs/>
        </w:rPr>
        <w:fldChar w:fldCharType="end"/>
      </w:r>
      <w:r>
        <w:rPr>
          <w:iCs/>
        </w:rPr>
        <w:t xml:space="preserve">. Of particular importance for </w:t>
      </w:r>
      <w:r w:rsidR="00A0170C">
        <w:rPr>
          <w:iCs/>
        </w:rPr>
        <w:t>SGSSI</w:t>
      </w:r>
      <w:r>
        <w:rPr>
          <w:iCs/>
        </w:rPr>
        <w:t xml:space="preserve"> is the impact of climate change on the distribution of Antarctic krill, an important prey item for numerous top predators which breed at the islands </w:t>
      </w:r>
      <w:r>
        <w:rPr>
          <w:iCs/>
        </w:rPr>
        <w:fldChar w:fldCharType="begin" w:fldLock="1"/>
      </w:r>
      <w:r w:rsidR="00195AA8">
        <w:rPr>
          <w:iCs/>
        </w:rPr>
        <w:instrText>ADDIN CSL_CITATION { "citationItems" : [ { "id" : "ITEM-1", "itemData" : { "DOI" : "10.1038/nature13542", "ISBN" : "0028-0836", "ISSN" : "14764687", "PMID" : "25056064", "abstract" : "Global environmental change is expected to alter selection pressures in many biological systems1\u20133, but the long-term molecular and life history data required to quantify changes in selection are rare4. An unusual opportunity is afforded by three decades of individual-based data collected from a declining population of Antarctic fur seals in the SouthAtlantic. Here, climate change has reduced prey availability and caused a significant decline in seal birth weight. However, the mean age and size of females recruiting into the breeding population are increasing.We show that such females have significantly higher heterozygosity (a measure ofwithin-individual genetic variation) than their non-recruiting siblings and theirownmothers. Thus, breeding female heterozygosity has increased by 8.5%per generation over the last two decades.Nonetheless, as heterozygosity is not inherited from mothers to daughters, substantial heterozygote advantage isnot transmitted fromone generation to the next and the decreasing viability of homozygous individuals causes the population to decline. Our results provide compelling evidence that selection due to climate change is intensifying, with far-reaching consequences for demography as well as phenotypic and genetic variation.", "author" : [ { "dropping-particle" : "", "family" : "Forcada", "given" : "Jaume", "non-dropping-particle" : "", "parse-names" : false, "suffix" : "" }, { "dropping-particle" : "", "family" : "Hoffman", "given" : "Joseph Ivan", "non-dropping-particle" : "", "parse-names" : false, "suffix" : "" } ], "container-title" : "Nature", "id" : "ITEM-1", "issue" : "7510", "issued" : { "date-parts" : [ [ "2014" ] ] }, "page" : "462-465", "publisher" : "Nature Publishing Group", "title" : "Climate change selects for heterozygosity in a declining fur seal population", "type" : "article-journal", "volume" : "511" }, "uris" : [ "http://www.mendeley.com/documents/?uuid=801a9c9f-ca6d-46fe-bb05-d131cc013376", "http://www.mendeley.com/documents/?uuid=e774fa18-d296-4160-9218-66dd194a94cf" ] }, { "id" : "ITEM-2", "itemData" : { "DOI" : "10.1111/j.1469-7998.1997.tb03854.x", "ISBN" : "1469-7998", "ISSN" : "09528369", "abstract" : "The diets of six of the main seabird species (two petrels, two albatrosses, two penguins) breeding at Bird Island, South Georgia were studied simultaneously during the chick-rearing period in 1986. For five species, Antarctic krill Euphausia superba was the main food (39\u201398% by mass); grey-headed albatrosses took mainly the ommastrephid squid Martialia hyadesi (71%) and only 16% krill. The size of the krill taken was similar between seabird species, although there were small but significant differences between penguins and the other species. Sex and reproductive status of krill, however, was different between all seabird species, reflecting some combination of differences in foraging ranges, selectivity by predators, or differences in escape responses of krill. For the krill-eating species, the rest of the diet varied substantially between species, comprising Martialia and nototheniid fish (blackbrowed albatross and, along with lanternfish, white-chinned petrel), lanternfish and amphipods (Antarctic prion and macaroni penguin), and icefish (gentoo penguin). Long-term data on breeding success and information on diet in 5\u201310 other years suggest that in 1986 seabird diet and reproductive performance was indicative of a year of good availability of krill around South Georgia. In such circumstances, ecological segregation between krill-eating species appears to be maintained chiefly by differences in foraging range and feeding methods, which are reviewed. This situation is rather different from the few studies of seabird communities elsewhere, where prey type and size are believed to be the main mechanisms of dietary segregation.", "author" : [ { "dropping-particle" : "", "family" : "Croxall", "given" : "J. P.", "non-dropping-particle" : "", "parse-names" : false, "suffix" : "" }, { "dropping-particle" : "", "family" : "Prince", "given" : "P. A.", "non-dropping-particle" : "", "parse-names" : false, "suffix" : "" }, { "dropping-particle" : "", "family" : "Reid", "given" : "K.", "non-dropping-particle" : "", "parse-names" : false, "suffix" : "" } ], "container-title" : "Journal of Zoology", "id" : "ITEM-2", "issue" : "3", "issued" : { "date-parts" : [ [ "1997" ] ] }, "page" : "531-556", "title" : "Dietary segregation of krill-eating South Georgia seabirds", "type" : "article-journal", "volume" : "242" }, "uris" : [ "http://www.mendeley.com/documents/?uuid=7cb28cce-a227-4ff9-9ced-467cf9c887c5", "http://www.mendeley.com/documents/?uuid=c3df4ab6-d0cd-4f7a-bbe6-4f20a8f84655" ] }, { "id" : "ITEM-3", "itemData" : { "DOI" : "10.1093/beheco/10.2.198", "ISBN" : "1045-2249", "ISSN" : "14657279", "abstract" : "This study examined three competing hypotheses to explain how lactating Antarctic fur seals (Arctocephalus gazella) respond to changes in the level of resource availability. Antarctic fur seals have episodic bouts of suckling (1-3 days), alternating with foraging trips (3-10 days). Foraging time budgets varied significantly (p &lt;.001) among 8 consecutive years at Bird Island, South Georgia. Foraging trip duration increased during periods of relative food shortage. Time spent ashore was more consistent among years than foraging trip duration but declined during a year of particularly low food availability. In 4 of the 8 years, there was a significant positive correlation between time spent ashore and foraging trip duration. In the other years, the relationship was close to statistical significance. Energy delivery to pups during suckling bouts followed an asymptotic power function. Energy gain during foraging trips was estimated from diving behavior, which suggested that the energy gain function was linear. Distance traveled during foraging trips was correlated with foraging trip duration, and long foraging trips were associated with reduced foraging intensity. There was support for the hypothesis that lactating Antarctic fur seals compensate for reduced resources by increasing the foraging trip duration rather than working harder and increasing their energy expenditure. However, there was most support for the hypothesis that lactating Antarctic fur seals adjust time spent ashore as well as foraging trip duration, possibly to maximize the delivery of food to their offspring. Lactation appears to impose constraints on provisioning of offspring that differ from those of seabirds foraging in the same environment and often on the same prey.", "author" : [ { "dropping-particle" : "", "family" : "Boyd", "given" : "I. L.", "non-dropping-particle" : "", "parse-names" : false, "suffix" : "" } ], "container-title" : "Behavioral Ecology", "id" : "ITEM-3", "issue" : "2", "issued" : { "date-parts" : [ [ "1999" ] ] }, "page" : "198-208", "title" : "Foraging and provisioning in Antarctic fur seals: interannual variability in time-energy budgets", "type" : "article-journal", "volume" : "10" }, "uris" : [ "http://www.mendeley.com/documents/?uuid=e9c5b83a-a24f-43b1-b0e4-dce1594e88bc", "http://www.mendeley.com/documents/?uuid=4ab26686-e37e-4479-908b-78aa0de8782d", "http://www.mendeley.com/documents/?uuid=e33d6d30-afac-4fd5-baf5-6210bb603466" ] } ], "mendeley" : { "formattedCitation" : "(Boyd, 1999; J. P. Croxall et al., 1997; Forcada &amp; Hoffman, 2014)", "plainTextFormattedCitation" : "(Boyd, 1999; J. P. Croxall et al., 1997; Forcada &amp; Hoffman, 2014)", "previouslyFormattedCitation" : "(Boyd, 1999; J. P. Croxall et al., 1997; Forcada &amp; Hoffman, 2014)" }, "properties" : {  }, "schema" : "https://github.com/citation-style-language/schema/raw/master/csl-citation.json" }</w:instrText>
      </w:r>
      <w:r>
        <w:rPr>
          <w:iCs/>
        </w:rPr>
        <w:fldChar w:fldCharType="separate"/>
      </w:r>
      <w:r w:rsidR="00126000" w:rsidRPr="00126000">
        <w:rPr>
          <w:iCs/>
          <w:noProof/>
        </w:rPr>
        <w:t>(Boyd, 1999; J. P. Croxall et al., 1997; Forcada &amp; Hoffman, 2014)</w:t>
      </w:r>
      <w:r>
        <w:rPr>
          <w:iCs/>
        </w:rPr>
        <w:fldChar w:fldCharType="end"/>
      </w:r>
      <w:r>
        <w:rPr>
          <w:iCs/>
        </w:rPr>
        <w:t>. Recent evidence suggests that over a 90</w:t>
      </w:r>
      <w:r w:rsidR="00687551">
        <w:rPr>
          <w:iCs/>
        </w:rPr>
        <w:t>-</w:t>
      </w:r>
      <w:r>
        <w:rPr>
          <w:iCs/>
        </w:rPr>
        <w:t xml:space="preserve">year period, krill distribution has shifted southward by approximately 440 km, likely as a result of warming seas and a reduction in sea-ice cover </w:t>
      </w:r>
      <w:r>
        <w:rPr>
          <w:iCs/>
        </w:rPr>
        <w:fldChar w:fldCharType="begin" w:fldLock="1"/>
      </w:r>
      <w:r w:rsidR="00195AA8">
        <w:rPr>
          <w:iCs/>
        </w:rPr>
        <w:instrText>ADDIN CSL_CITATION { "citationItems" : [ { "id" : "ITEM-1", "itemData" : { "DOI" : "10.1038/s41558-018-0370-z", "ISSN" : "1758-678X", "author" : [ { "dropping-particle" : "", "family" : "Atkinson", "given" : "Angus", "non-dropping-particle" : "", "parse-names" : false, "suffix" : "" }, { "dropping-particle" : "", "family" : "Hill", "given" : "Simeon L.", "non-dropping-particle" : "", "parse-names" : false, "suffix" : "" }, { "dropping-particle" : "", "family" : "Pakhomov", "given" : "Evgeny A.", "non-dropping-particle" : "", "parse-names" : false, "suffix" : "" }, { "dropping-particle" : "", "family" : "Siegel", "given" : "Volker", "non-dropping-particle" : "", "parse-names" : false, "suffix" : "" }, { "dropping-particle" : "", "family" : "Reiss", "given" : "Christian S.", "non-dropping-particle" : "", "parse-names" : false, "suffix" : "" }, { "dropping-particle" : "", "family" : "Loeb", "given" : "Valerie J.", "non-dropping-particle" : "", "parse-names" : false, "suffix" : "" }, { "dropping-particle" : "", "family" : "Steinberg", "given" : "Deborah K.", "non-dropping-particle" : "", "parse-names" : false, "suffix" : "" }, { "dropping-particle" : "", "family" : "Schmidt", "given" : "Katrin", "non-dropping-particle" : "", "parse-names" : false, "suffix" : "" }, { "dropping-particle" : "", "family" : "Tarling", "given" : "Geraint A.", "non-dropping-particle" : "", "parse-names" : false, "suffix" : "" }, { "dropping-particle" : "", "family" : "Gerrish", "given" : "Laura", "non-dropping-particle" : "", "parse-names" : false, "suffix" : "" }, { "dropping-particle" : "", "family" : "Sailley", "given" : "S\u00e9vrine F.", "non-dropping-particle" : "", "parse-names" : false, "suffix" : "" } ], "container-title" : "Nature Climate Change", "id" : "ITEM-1", "issued" : { "date-parts" : [ [ "2019" ] ] }, "title" : "Krill (&lt;i&gt;Euphausia superba&lt;/i&gt;) distribution contracts southward during rapid regional warming", "type" : "article-journal" }, "uris" : [ "http://www.mendeley.com/documents/?uuid=ca32ad02-ef48-41ce-859a-4dc1611a014c", "http://www.mendeley.com/documents/?uuid=024c7421-fdf3-4fc7-84ab-82b087f67ab5" ] } ], "mendeley" : { "formattedCitation" : "(Atkinson et al., 2019)", "plainTextFormattedCitation" : "(Atkinson et al., 2019)", "previouslyFormattedCitation" : "(Atkinson et al., 2019)" }, "properties" : {  }, "schema" : "https://github.com/citation-style-language/schema/raw/master/csl-citation.json" }</w:instrText>
      </w:r>
      <w:r>
        <w:rPr>
          <w:iCs/>
        </w:rPr>
        <w:fldChar w:fldCharType="separate"/>
      </w:r>
      <w:r w:rsidR="00126000" w:rsidRPr="00126000">
        <w:rPr>
          <w:iCs/>
          <w:noProof/>
        </w:rPr>
        <w:t>(Atkinson et al., 2019)</w:t>
      </w:r>
      <w:r>
        <w:rPr>
          <w:iCs/>
        </w:rPr>
        <w:fldChar w:fldCharType="end"/>
      </w:r>
      <w:r>
        <w:rPr>
          <w:iCs/>
        </w:rPr>
        <w:t xml:space="preserve">. The shifting distribution of krill may in turn influence the breeding success of top predators as these species are constrained in foraging duration and distance when rearing offspring </w:t>
      </w:r>
      <w:r>
        <w:rPr>
          <w:iCs/>
        </w:rPr>
        <w:fldChar w:fldCharType="begin" w:fldLock="1"/>
      </w:r>
      <w:r w:rsidR="00195AA8">
        <w:rPr>
          <w:iCs/>
        </w:rPr>
        <w:instrText>ADDIN CSL_CITATION { "citationItems" : [ { "id" : "ITEM-1", "itemData" : { "DOI" : "10.1016/j.dsr2.2006.11.013", "ISSN" : "09670645", "author" : [ { "dropping-particle" : "", "family" : "Weimerskirch", "given" : "Henri", "non-dropping-particle" : "", "parse-names" : false, "suffix" : "" } ], "container-title" : "Deep Sea Research Part II: Topical Studies in Oceanography", "id" : "ITEM-1", "issue" : "3-4", "issued" : { "date-parts" : [ [ "2007", "2" ] ] }, "page" : "211-223", "title" : "Are seabirds foraging for unpredictable resources?", "type" : "article-journal", "volume" : "54" }, "uris" : [ "http://www.mendeley.com/documents/?uuid=3c875998-2d2b-403c-ad57-bd26bbca9765", "http://www.mendeley.com/documents/?uuid=3c43e8eb-e56f-49b5-96da-4b614168cdec" ] }, { "id" : "ITEM-2", "itemData" : { "author" : [ { "dropping-particle" : "", "family" : "Lunn", "given" : "NJ", "non-dropping-particle" : "", "parse-names" : false, "suffix" : "" }, { "dropping-particle" : "", "family" : "Boyd", "given" : "IL", "non-dropping-particle" : "", "parse-names" : false, "suffix" : "" }, { "dropping-particle" : "", "family" : "Barton", "given" : "T", "non-dropping-particle" : "", "parse-names" : false, "suffix" : "" }, { "dropping-particle" : "", "family" : "Croxall", "given" : "JP", "non-dropping-particle" : "", "parse-names" : false, "suffix" : "" } ], "container-title" : "Journal of Mammalogy", "id" : "ITEM-2", "issue" : "4", "issued" : { "date-parts" : [ [ "1993" ] ] }, "page" : "908-919", "title" : "Factors Affecting the Growth Rate and Mass at Weaning of Antarctic Fur Seals at Bird Island, South Georgia", "type" : "article-journal", "volume" : "74" }, "uris" : [ "http://www.mendeley.com/documents/?uuid=bd5f7d6d-1562-4cd1-b8b4-7d4a5faafbae", "http://www.mendeley.com/documents/?uuid=1e5d1a99-5436-4d4a-933f-b5a00875a399" ] } ], "mendeley" : { "formattedCitation" : "(Lunn et al., 1993; Weimerskirch, 2007)", "plainTextFormattedCitation" : "(Lunn et al., 1993; Weimerskirch, 2007)", "previouslyFormattedCitation" : "(Lunn et al., 1993; Weimerskirch, 2007)" }, "properties" : {  }, "schema" : "https://github.com/citation-style-language/schema/raw/master/csl-citation.json" }</w:instrText>
      </w:r>
      <w:r>
        <w:rPr>
          <w:iCs/>
        </w:rPr>
        <w:fldChar w:fldCharType="separate"/>
      </w:r>
      <w:r w:rsidR="00126000" w:rsidRPr="00126000">
        <w:rPr>
          <w:iCs/>
          <w:noProof/>
        </w:rPr>
        <w:t>(Lunn et al., 1993; Weimerskirch, 2007)</w:t>
      </w:r>
      <w:r>
        <w:rPr>
          <w:iCs/>
        </w:rPr>
        <w:fldChar w:fldCharType="end"/>
      </w:r>
      <w:r>
        <w:rPr>
          <w:iCs/>
        </w:rPr>
        <w:t xml:space="preserve">. Therefore, </w:t>
      </w:r>
      <w:r w:rsidR="006175D8">
        <w:rPr>
          <w:iCs/>
        </w:rPr>
        <w:t xml:space="preserve">just as for predators which breed in high northern latitudes </w:t>
      </w:r>
      <w:r w:rsidR="006175D8">
        <w:rPr>
          <w:iCs/>
        </w:rPr>
        <w:fldChar w:fldCharType="begin" w:fldLock="1"/>
      </w:r>
      <w:r w:rsidR="00195AA8">
        <w:rPr>
          <w:iCs/>
        </w:rPr>
        <w:instrText>ADDIN CSL_CITATION { "citationItems" : [ { "id" : "ITEM-1", "itemData" : { "author" : [ { "dropping-particle" : "", "family" : "Macias-Fauria", "given" : "Marc", "non-dropping-particle" : "", "parse-names" : false, "suffix" : "" }, { "dropping-particle" : "", "family" : "Post", "given" : "Eric", "non-dropping-particle" : "", "parse-names" : false, "suffix" : "" } ], "container-title" : "Biology Letters", "id" : "ITEM-1", "issued" : { "date-parts" : [ [ "2018" ] ] }, "page" : "20170702", "title" : "Effects of sea ice on Arctic biota: an emerging crisis discipline", "type" : "article-journal", "volume" : "14" }, "uris" : [ "http://www.mendeley.com/documents/?uuid=c3d2d999-c7ba-4861-b423-ec42c7404bbe", "http://www.mendeley.com/documents/?uuid=0502bfad-af04-4662-b569-98c69bd4fdcf" ] }, { "id" : "ITEM-2", "itemData" : { "author" : [ { "dropping-particle" : "", "family" : "Divoky", "given" : "G J", "non-dropping-particle" : "", "parse-names" : false, "suffix" : "" }, { "dropping-particle" : "", "family" : "Douglas", "given" : "D C", "non-dropping-particle" : "", "parse-names" : false, "suffix" : "" }, { "dropping-particle" : "", "family" : "Stenhouse", "given" : "I J", "non-dropping-particle" : "", "parse-names" : false, "suffix" : "" } ], "container-title" : "Biology Letters", "id" : "ITEM-2", "issued" : { "date-parts" : [ [ "2016" ] ] }, "page" : "20160275", "title" : "Arctic sea ice a major determinant in Mandt \u2019s black guillemot movement and distribution during non-breeding season", "type" : "article-journal", "volume" : "12" }, "uris" : [ "http://www.mendeley.com/documents/?uuid=afe709d6-6b8d-4c2c-aaf3-64aa6efb33da", "http://www.mendeley.com/documents/?uuid=18f51ccc-c3b1-446a-b735-d256f53d8611" ] } ], "mendeley" : { "formattedCitation" : "(Divoky, Douglas, &amp; Stenhouse, 2016; Macias-Fauria &amp; Post, 2018)", "plainTextFormattedCitation" : "(Divoky, Douglas, &amp; Stenhouse, 2016; Macias-Fauria &amp; Post, 2018)", "previouslyFormattedCitation" : "(Divoky, Douglas, &amp; Stenhouse, 2016; Macias-Fauria &amp; Post, 2018)" }, "properties" : {  }, "schema" : "https://github.com/citation-style-language/schema/raw/master/csl-citation.json" }</w:instrText>
      </w:r>
      <w:r w:rsidR="006175D8">
        <w:rPr>
          <w:iCs/>
        </w:rPr>
        <w:fldChar w:fldCharType="separate"/>
      </w:r>
      <w:r w:rsidR="00126000" w:rsidRPr="00126000">
        <w:rPr>
          <w:iCs/>
          <w:noProof/>
        </w:rPr>
        <w:t>(Divoky, Douglas, &amp; Stenhouse, 2016; Macias-Fauria &amp; Post, 2018)</w:t>
      </w:r>
      <w:r w:rsidR="006175D8">
        <w:rPr>
          <w:iCs/>
        </w:rPr>
        <w:fldChar w:fldCharType="end"/>
      </w:r>
      <w:r w:rsidR="006175D8">
        <w:rPr>
          <w:iCs/>
        </w:rPr>
        <w:t xml:space="preserve">, </w:t>
      </w:r>
      <w:r>
        <w:rPr>
          <w:iCs/>
        </w:rPr>
        <w:t>there is a critical need for continued monitoring efforts to assess the effects of shifting prey distributions</w:t>
      </w:r>
      <w:r w:rsidR="00687551">
        <w:rPr>
          <w:iCs/>
        </w:rPr>
        <w:t xml:space="preserve"> (due to </w:t>
      </w:r>
      <w:r>
        <w:rPr>
          <w:iCs/>
        </w:rPr>
        <w:t>climate change</w:t>
      </w:r>
      <w:r w:rsidR="00687551">
        <w:rPr>
          <w:iCs/>
        </w:rPr>
        <w:t>)</w:t>
      </w:r>
      <w:r>
        <w:rPr>
          <w:iCs/>
        </w:rPr>
        <w:t xml:space="preserve"> on predator populations. Spatially explicit analyses of krill consumption by predators would be particularly informative, especially in understanding if recovery of marine mammals or changes in other predator species distributions have occurred in particular areas as a result of changing krill distributions. Identifying KBAs at sea may serve as a key baseline with which to compare spatial distribution of sites identified in future.</w:t>
      </w:r>
    </w:p>
    <w:p w14:paraId="37B3699B" w14:textId="54897EAC" w:rsidR="00804D7B" w:rsidRDefault="00804D7B" w:rsidP="00A0170C">
      <w:pPr>
        <w:rPr>
          <w:iCs/>
        </w:rPr>
      </w:pPr>
      <w:r>
        <w:rPr>
          <w:iCs/>
        </w:rPr>
        <w:lastRenderedPageBreak/>
        <w:t>Because South Georgia is a comparatively well-studied archipelago</w:t>
      </w:r>
      <w:r w:rsidDel="0098070C">
        <w:rPr>
          <w:iCs/>
        </w:rPr>
        <w:t xml:space="preserve"> </w:t>
      </w:r>
      <w:r>
        <w:rPr>
          <w:iCs/>
        </w:rPr>
        <w:t xml:space="preserve"> </w:t>
      </w:r>
      <w:r>
        <w:rPr>
          <w:iCs/>
        </w:rPr>
        <w:fldChar w:fldCharType="begin" w:fldLock="1"/>
      </w:r>
      <w:r w:rsidR="00195AA8">
        <w:rPr>
          <w:iCs/>
        </w:rPr>
        <w:instrText>ADDIN CSL_CITATION { "citationItems" : [ { "id" : "ITEM-1", "itemData" : { "DOI" : "10.1007/s00300-015-1886-6", "ISBN" : "0722-4060", "ISSN" : "07224060", "abstract" : "The South Sandwich Islands, in the South Atlantic Ocean, are a major biological hot spot for penguins and other seabirds, but their remoteness and challenging coastlines preclude regular biological censuses. Here we report on an extensive survey of the South Sandwich Islands, the first since the late 1990s, which was completed through a combination of direct counting, GPS mapping, and interpretation of high-resolution commercial satellite imagery. We find that the South Sandwich Islands host nearly half of the world's Chinstrap Penguin (Pygoscelis antarctica) population (1.3 million breeding pairs), as well as c. 95,000 breeding pairs of Macaroni Penguins (Eudyptes chrysolophus), and several thousand breeding pairs of Gentoo Penguins (Pygoscelis papua). Despite being at the northern edge of their breeding range, we found an unexpectedly large (&gt;= 125,000 breeding pairs) population of Adelie Penguins (Pygoscelis adeliae). Additionally, we report that nearly 1900 pairs of Southern Giant Petrels (Macronectes giganteus) breed in the South Sandwich Islands, 4 % of the global population, almost all of which are found on Candlemas Island. We find that the South Sandwich Islands have not experienced the same changes in penguin abundance and distribution as the rest of the Scotia Arc and associated portions of the western Antarctic Peninsula. This discovery adds important context to the larger conversation regarding changes to penguin populations in the Southern Ocean.", "author" : [ { "dropping-particle" : "", "family" : "Lynch", "given" : "Heather J.", "non-dropping-particle" : "", "parse-names" : false, "suffix" : "" }, { "dropping-particle" : "", "family" : "White", "given" : "Richard", "non-dropping-particle" : "", "parse-names" : false, "suffix" : "" }, { "dropping-particle" : "", "family" : "Naveen", "given" : "Ron", "non-dropping-particle" : "", "parse-names" : false, "suffix" : "" }, { "dropping-particle" : "", "family" : "Black", "given" : "Andy", "non-dropping-particle" : "", "parse-names" : false, "suffix" : "" }, { "dropping-particle" : "", "family" : "Meixler", "given" : "Marcia S.", "non-dropping-particle" : "", "parse-names" : false, "suffix" : "" }, { "dropping-particle" : "", "family" : "Fagan", "given" : "William F.", "non-dropping-particle" : "", "parse-names" : false, "suffix" : "" } ], "container-title" : "Polar Biology", "id" : "ITEM-1", "issue" : "9", "issued" : { "date-parts" : [ [ "2016" ] ] }, "page" : "1615-1625", "publisher" : "Springer Berlin Heidelberg", "title" : "In stark contrast to widespread declines along the Scotia Arc, a survey of the South Sandwich Islands finds a robust seabird community", "type" : "article-journal", "volume" : "39" }, "uris" : [ "http://www.mendeley.com/documents/?uuid=54b1adc1-6503-476e-96f7-d682fa211225", "http://www.mendeley.com/documents/?uuid=7bf37d09-128f-4dde-86db-2385c4ca5db2" ] }, { "id" : "ITEM-2", "itemData" : { "DOI" : "10.1016/B978-0-12-800214-8.00002-5", "ISBN" : "9780128002148", "ISSN" : "00652881", "PMID" : "25358297", "abstract" : "South Georgia and the South Sandwich Islands (SGSSI) are surrounded by oceans that are species-rich, have high levels of biodiversity, important endemism and which also support large aggregations of charismatic upper trophic level species. Spatial management around these islands is complex, particularly in the context of commercial fisheries that exploit some of these living resources. Furthermore, management is especially complicated as local productivity relies fundamentally upon biological production transported from outside the area. The MPA uses practical management boundaries, allowing access for the current legal fisheries for Patagonian toothfish, mackerel icefish and Antarctic krill. Management measures developed as part of the planning process designated the whole SGSSI Maritime Zone as an IUCN Category VI reserve, within which a number of IUCN Category I reserves were identified. Multiple-use zones and temporal closures were also designated. A key multiple-use principle was to identify whether the ecological impacts of a particular fishery threatened either the pelagic or benthic domain.", "author" : [ { "dropping-particle" : "", "family" : "Trathan", "given" : "Philip N.", "non-dropping-particle" : "", "parse-names" : false, "suffix" : "" }, { "dropping-particle" : "", "family" : "Collins", "given" : "Martin A.", "non-dropping-particle" : "", "parse-names" : false, "suffix" : "" }, { "dropping-particle" : "", "family" : "Grant", "given" : "Susie M.", "non-dropping-particle" : "", "parse-names" : false, "suffix" : "" }, { "dropping-particle" : "", "family" : "Belchier", "given" : "Mark", "non-dropping-particle" : "", "parse-names" : false, "suffix" : "" }, { "dropping-particle" : "", "family" : "Barnes", "given" : "David K A", "non-dropping-particle" : "", "parse-names" : false, "suffix" : "" }, { "dropping-particle" : "", "family" : "Brown", "given" : "Judith", "non-dropping-particle" : "", "parse-names" : false, "suffix" : "" }, { "dropping-particle" : "", "family" : "Staniland", "given" : "Iain J.", "non-dropping-particle" : "", "parse-names" : false, "suffix" : "" } ], "container-title" : "Advances in Marine Biology", "id" : "ITEM-2", "issued" : { "date-parts" : [ [ "2014" ] ] }, "number-of-pages" : "15-78", "title" : "The South Georgia and the South Sandwich Islands MPA: Protecting A Biodiverse Oceanic Island Chain Situated in the Flow of the Antarctic Circumpolar Current", "type" : "book", "volume" : "69" }, "uris" : [ "http://www.mendeley.com/documents/?uuid=3a91f214-3b1e-4dda-b789-35977b356ded", "http://www.mendeley.com/documents/?uuid=b2db3696-99e6-4033-b435-b50639138ba4", "http://www.mendeley.com/documents/?uuid=9906cc16-a4d7-444e-9748-529693314769" ] }, { "id" : "ITEM-3", "itemData" : { "DOI" : "10.1016/bs.amb.2015.06.001", "ISBN" : "9780128036020", "ISSN" : "00652881", "PMID" : "26296718", "abstract" : "The current hiatus in the establishment of a network of marine protected areas (MPAs) in the Antarctic means that other routes to conservation are required. The protection of overseas territories in the Antarctic and sub-Antarctic represents one way to advance the initiation of such a network. This review of the physical and biological features of the United Kingdom (U.K.) overseas territories of South Georgia and South Sandwich Islands (SGSSI) is undertaken to estimate the importance of the islands in terms of marine conservation in the Southern Ocean and globally. The economy and management of SGSSI are also analysed, and the question of whether the islands already have sufficient protection to constitute part of an Antarctic network of MPAs is assessed. The SGSSI comprise unique geological and physical features, a diverse marine biota, including a significant proportion of endemic species and globally important breeding populations of marine predators. Regardless of past exploitation of biotic resources, such as seals, whales and finfish, SGSSI would make a significant contribution to biological diversity in an Antarctic network of MPAs. At present, conservation measures do not adequately protect all of the biological features that render the islands so important in terms of conservation at a regional and global level. However, a general lack of data on Antarctic marine ecosystems (particularly needed for SGSSSI) makes it difficult to assess this fully. One barrier to achieving more complete protection is the continuing emphasis on fishing effort in these waters by U.K. government. Other non-U.K. Antarctic overseas territories of conservation importance are also compromised as MPAs because of the exploitation of fisheries resources in their waters. The possible non-use values of SGSSI as well as the importance of ecosystem services that are indirectly used by people are outlined in this review. Technology is improving the potential for management of remote MPAs, particularly in the context of incursion by illegal fishing activities and use of satellite surveillance for enforcement of fisheries and conservation regulations. The conflict between commercial exploitation and conservation of Antarctic marine living resources is explored. \u00a9 2015 Elsevier Ltd.", "author" : [ { "dropping-particle" : "", "family" : "Rogers", "given" : "Alex D.", "non-dropping-particle" : "", "parse-names" : false, "suffix" : "" }, { "dropping-particle" : "", "family" : "Yesson", "given" : "Christopher", "non-dropping-particle" : "", "parse-names" : false, "suffix" : "" }, { "dropping-particle" : "", "family" : "Gravestock", "given" : "Pippa", "non-dropping-particle" : "", "parse-names" : false, "suffix" : "" } ], "container-title" : "Advances in Marine Biology", "edition" : "1", "id" : "ITEM-3", "issued" : { "date-parts" : [ [ "2016" ] ] }, "number-of-pages" : "1-286", "publisher" : "Elsevier Ltd.", "title" : "A Biophysical and Economic Profile of South Georgia and the South Sandwich Islands as Potential Large-Scale Antarctic Protected Areas", "type" : "book", "volume" : "73" }, "uris" : [ "http://www.mendeley.com/documents/?uuid=d28e3ea4-337b-496b-970d-8eb8cd2bd607", "http://www.mendeley.com/documents/?uuid=720a34bb-86bc-4d7d-a0ec-603397d3a366", "http://www.mendeley.com/documents/?uuid=275ba648-a890-4d80-8ebe-a03f63770d72" ] }, { "id" : "ITEM-4", "itemData" : { "DOI" : "10.1080/14888386.2018.1464952", "ISSN" : "1488-8386", "author" : [ { "dropping-particle" : "", "family" : "Hart", "given" : "Tom", "non-dropping-particle" : "", "parse-names" : false, "suffix" : "" }, { "dropping-particle" : "", "family" : "Convey", "given" : "Peter", "non-dropping-particle" : "", "parse-names" : false, "suffix" : "" } ], "container-title" : "Biodiversity", "id" : "ITEM-4", "issued" : { "date-parts" : [ [ "2018" ] ] }, "publisher" : "Taylor &amp; Francis", "title" : "The South Sandwich Islands \u2013 a community of meta-populations across all trophic levels", "type" : "article-journal" }, "uris" : [ "http://www.mendeley.com/documents/?uuid=297bb348-5be1-4d45-ae4f-75adf8844660", "http://www.mendeley.com/documents/?uuid=498e903e-3590-4d82-9be7-04079fc642d8", "http://www.mendeley.com/documents/?uuid=af6bc336-4d8f-4fe0-b597-b43d78c177d9" ] }, { "id" : "ITEM-5", "itemData" : { "author" : [ { "dropping-particle" : "", "family" : "Trathan", "given" : "Philip N.", "non-dropping-particle" : "", "parse-names" : false, "suffix" : "" }, { "dropping-particle" : "", "family" : "Daunt", "given" : "Francis", "non-dropping-particle" : "", "parse-names" : false, "suffix" : "" }, { "dropping-particle" : "", "family" : "Murphy", "given" : "Eugene J", "non-dropping-particle" : "", "parse-names" : false, "suffix" : "" } ], "id" : "ITEM-5", "issued" : { "date-parts" : [ [ "1996" ] ] }, "number-of-pages" : "87", "publisher" : "British Antarctic Survey", "publisher-place" : "Cambridge", "title" : "South Georgia: an ecological atlas", "type" : "book" }, "uris" : [ "http://www.mendeley.com/documents/?uuid=12431796-b259-4c8b-99c4-7c8a642a3a7e", "http://www.mendeley.com/documents/?uuid=e7026da3-e8e5-4581-8bb4-3a8dfbe21289", "http://www.mendeley.com/documents/?uuid=c95698aa-50d2-463d-aa76-5d1748c36dc5" ] } ], "mendeley" : { "formattedCitation" : "(Hart &amp; Convey, 2018; Lynch et al., 2016; Rogers et al., 2016; Trathan et al., 2014, 1996)", "plainTextFormattedCitation" : "(Hart &amp; Convey, 2018; Lynch et al., 2016; Rogers et al., 2016; Trathan et al., 2014, 1996)", "previouslyFormattedCitation" : "(Hart &amp; Convey, 2018; Lynch et al., 2016; Rogers et al., 2016; Trathan et al., 2014, 1996)" }, "properties" : {  }, "schema" : "https://github.com/citation-style-language/schema/raw/master/csl-citation.json" }</w:instrText>
      </w:r>
      <w:r>
        <w:rPr>
          <w:iCs/>
        </w:rPr>
        <w:fldChar w:fldCharType="separate"/>
      </w:r>
      <w:r w:rsidR="00126000" w:rsidRPr="00126000">
        <w:rPr>
          <w:iCs/>
          <w:noProof/>
        </w:rPr>
        <w:t>(Hart &amp; Convey, 2018; Lynch et al., 2016; Rogers et al., 2016; Trathan et al., 2014, 1996)</w:t>
      </w:r>
      <w:r>
        <w:rPr>
          <w:iCs/>
        </w:rPr>
        <w:fldChar w:fldCharType="end"/>
      </w:r>
      <w:r>
        <w:rPr>
          <w:iCs/>
        </w:rPr>
        <w:t xml:space="preserve">, prior conservation successes for some albatross and petrel species have been possible </w:t>
      </w:r>
      <w:r>
        <w:rPr>
          <w:iCs/>
        </w:rPr>
        <w:fldChar w:fldCharType="begin" w:fldLock="1"/>
      </w:r>
      <w:r w:rsidR="00195AA8">
        <w:rPr>
          <w:iCs/>
        </w:rPr>
        <w:instrText>ADDIN CSL_CITATION { "citationItems" : [ { "id" : "ITEM-1", "itemData" : { "DOI" : "10.1017/S0959270908000300", "author" : [ { "dropping-particle" : "", "family" : "Croxall", "given" : "John P", "non-dropping-particle" : "", "parse-names" : false, "suffix" : "" } ], "container-title" : "Bird Conservation International", "id" : "ITEM-1", "issued" : { "date-parts" : [ [ "2008" ] ] }, "page" : "13-29", "title" : "The role of science and advocacy in the conservation of Southern Ocean albatrosses at sea", "type" : "article-journal", "volume" : "18" }, "uris" : [ "http://www.mendeley.com/documents/?uuid=cbf35caa-8f1c-4dc5-b0ff-4e62fe324b4f", "http://www.mendeley.com/documents/?uuid=32113db4-67aa-4950-83e6-e36eba074672" ] }, { "id" : "ITEM-2", "itemData" : { "DOI" : "10.1016/j.tree.2019.01.009", "author" : [ { "dropping-particle" : "", "family" : "Hays", "given" : "Graeme C", "non-dropping-particle" : "", "parse-names" : false, "suffix" : "" }, { "dropping-particle" : "", "family" : "Bailey", "given" : "Helen", "non-dropping-particle" : "", "parse-names" : false, "suffix" : "" }, { "dropping-particle" : "", "family" : "Bograd", "given" : "Steven J", "non-dropping-particle" : "", "parse-names" : false, "suffix" : "" }, { "dropping-particle" : "", "family" : "Bowen", "given" : "W Don", "non-dropping-particle" : "", "parse-names" : false, "suffix" : "" }, { "dropping-particle" : "", "family" : "Campagna", "given" : "Claudio", "non-dropping-particle" : "", "parse-names" : false, "suffix" : "" }, { "dropping-particle" : "", "family" : "Carmichael", "given" : "Ruth H", "non-dropping-particle" : "", "parse-names" : false, "suffix" : "" }, { "dropping-particle" : "", "family" : "Casale", "given" : "Paolo", "non-dropping-particle" : "", "parse-names" : false, "suffix" : "" }, { "dropping-particle" : "", "family" : "Chiaradia", "given" : "Andre", "non-dropping-particle" : "", "parse-names" : false, "suffix" : "" }, { "dropping-particle" : "", "family" : "Costa", "given" : "Daniel P", "non-dropping-particle" : "", "parse-names" : false, "suffix" : "" }, { "dropping-particle" : "", "family" : "Cuevas", "given" : "Eduardo", "non-dropping-particle" : "", "parse-names" : false, "suffix" : "" }, { "dropping-particle" : "De", "family" : "Bruyn", "given" : "P J Nico", "non-dropping-particle" : "", "parse-names" : false, "suffix" : "" }, { "dropping-particle" : "", "family" : "Dias", "given" : "Maria P", "non-dropping-particle" : "", "parse-names" : false, "suffix" : "" }, { "dropping-particle" : "", "family" : "Duarte", "given" : "Carlos M", "non-dropping-particle" : "", "parse-names" : false, "suffix" : "" }, { "dropping-particle" : "", "family" : "Dunn", "given" : "Daniel C", "non-dropping-particle" : "", "parse-names" : false, "suffix" : "" }, { "dropping-particle" : "", "family" : "Dutton", "given" : "Peter H", "non-dropping-particle" : "", "parse-names" : false, "suffix" : "" }, { "dropping-particle" : "", "family" : "Esteban", "given" : "Nicole", "non-dropping-particle" : "", "parse-names" : false, "suffix" : "" }, { "dropping-particle" : "", "family" : "Friedlaender", "given" : "Ari", "non-dropping-particle" : "", "parse-names" : false, "suffix" : "" }, { "dropping-particle" : "", "family" : "Goetz", "given" : "Kimberly T", "non-dropping-particle" : "", "parse-names" : false, "suffix" : "" }, { "dropping-particle" : "", "family" : "Godley", "given" : "Brendan J", "non-dropping-particle" : "", "parse-names" : false, "suffix" : "" }, { "dropping-particle" : "", "family" : "Halpin", "given" : "Patrick N", "non-dropping-particle" : "", "parse-names" : false, "suffix" : "" }, { "dropping-particle" : "", "family" : "Hamann", "given" : "Mark", "non-dropping-particle" : "", "parse-names" : false, "suffix" : "" }, { "dropping-particle" : "", "family" : "Hammerschlag", "given" : "Neil", "non-dropping-particle" : "", "parse-names" : false, "suffix" : "" }, { "dropping-particle" : "", "family" : "Harcourt", "given" : "Robert", "non-dropping-particle" : "", "parse-names" : false, "suffix" : "" }, { "dropping-particle" : "", "family" : "Harrison", "given" : "Autumn-lynn", "non-dropping-particle" : "", "parse-names" : false, "suffix" : "" }, { "dropping-particle" : "", "family" : "Hazen", "given" : "Elliott L", "non-dropping-particle" : "", "parse-names" : false, "suffix" : "" }, { "dropping-particle" : "", "family" : "Heupel", "given" : "Michelle R", "non-dropping-particle" : "", "parse-names" : false, "suffix" : "" }, { "dropping-particle" : "", "family" : "Hoyt", "given" : "Erich", "non-dropping-particle" : "", "parse-names" : false, "suffix" : "" }, { "dropping-particle" : "", "family" : "Humphries", "given" : "Nicolas E", "non-dropping-particle" : "", "parse-names" : false, "suffix" : "" }, { "dropping-particle" : "", "family" : "Kot", "given" : "Connie Y", "non-dropping-particle" : "", "parse-names" : false, "suffix" : "" }, { "dropping-particle" : "", "family" : "Lea", "given" : "James S E", "non-dropping-particle" : "", "parse-names" : false, "suffix" : "" }, { "dropping-particle" : "", "family" : "Marsh", "given" : "Helene", "non-dropping-particle" : "", "parse-names" : false, "suffix" : "" }, { "dropping-particle" : "", "family" : "Maxwell", "given" : "Sara M", "non-dropping-particle" : "", "parse-names" : false, "suffix" : "" }, { "dropping-particle" : "", "family" : "Mcmahon", "given" : "Clive R", "non-dropping-particle" : "", "parse-names" : false, "suffix" : "" }, { "dropping-particle" : "", "family" : "Notarbartolo", "given" : "Giuseppe", "non-dropping-particle" : "", "parse-names" : false, "suffix" : "" }, { "dropping-particle" : "", "family" : "Palacios", "given" : "Daniel M", "non-dropping-particle" : "", "parse-names" : false, "suffix" : "" }, { "dropping-particle" : "", "family" : "Phillips", "given" : "Richard A", "non-dropping-particle" : "", "parse-names" : false, "suffix" : "" }, { "dropping-particle" : "", "family" : "Righton", "given" : "David", "non-dropping-particle" : "", "parse-names" : false, "suffix" : "" }, { "dropping-particle" : "", "family" : "Scho", "given" : "Gail", "non-dropping-particle" : "", "parse-names" : false, "suffix" : "" }, { "dropping-particle" : "", "family" : "Seminoff", "given" : "Jeffrey A", "non-dropping-particle" : "", "parse-names" : false, "suffix" : "" }, { "dropping-particle" : "", "family" : "Simpfendorfer", "given" : "Colin A", "non-dropping-particle" : "", "parse-names" : false, "suffix" : "" }, { "dropping-particle" : "", "family" : "Sims", "given" : "David W", "non-dropping-particle" : "", "parse-names" : false, "suffix" : "" }, { "dropping-particle" : "", "family" : "Takahashi", "given" : "Akinori", "non-dropping-particle" : "", "parse-names" : false, "suffix" : "" }, { "dropping-particle" : "", "family" : "Tetley", "given" : "Michael J", "non-dropping-particle" : "", "parse-names" : false, "suffix" : "" }, { "dropping-particle" : "", "family" : "Thums", "given" : "Michele", "non-dropping-particle" : "", "parse-names" : false, "suffix" : "" }, { "dropping-particle" : "", "family" : "Trathan", "given" : "Philip N", "non-dropping-particle" : "", "parse-names" : false, "suffix" : "" }, { "dropping-particle" : "", "family" : "Villegas-amtmann", "given" : "Stella", "non-dropping-particle" : "", "parse-names" : false, "suffix" : "" }, { "dropping-particle" : "", "family" : "Wells", "given" : "Randall S", "non-dropping-particle" : "", "parse-names" : false, "suffix" : "" }, { "dropping-particle" : "", "family" : "Whiting", "given" : "Scott D", "non-dropping-particle" : "", "parse-names" : false, "suffix" : "" }, { "dropping-particle" : "", "family" : "Wildermann", "given" : "Natalie E", "non-dropping-particle" : "", "parse-names" : false, "suffix" : "" }, { "dropping-particle" : "", "family" : "Sequeira", "given" : "Ana M M", "non-dropping-particle" : "", "parse-names" : false, "suffix" : "" } ], "container-title" : "Trends in Ecology and Evolution", "id" : "ITEM-2", "issue" : "5", "issued" : { "date-parts" : [ [ "2019" ] ] }, "page" : "459-473", "title" : "Translating Marine Animal Tracking Data into Conservation Policy and Management", "type" : "article-journal", "volume" : "34" }, "uris" : [ "http://www.mendeley.com/documents/?uuid=f209aa4c-e11a-419a-9bf5-a14ae8c44b6b", "http://www.mendeley.com/documents/?uuid=6416d7bb-5267-4382-8879-074ed7b4d1c3" ] } ], "mendeley" : { "formattedCitation" : "(John P Croxall, 2008; Hays et al., 2019)", "plainTextFormattedCitation" : "(John P Croxall, 2008; Hays et al., 2019)", "previouslyFormattedCitation" : "(John P Croxall, 2008; Hays et al., 2019)" }, "properties" : {  }, "schema" : "https://github.com/citation-style-language/schema/raw/master/csl-citation.json" }</w:instrText>
      </w:r>
      <w:r>
        <w:rPr>
          <w:iCs/>
        </w:rPr>
        <w:fldChar w:fldCharType="separate"/>
      </w:r>
      <w:r w:rsidR="00126000" w:rsidRPr="00126000">
        <w:rPr>
          <w:iCs/>
          <w:noProof/>
        </w:rPr>
        <w:t>(John P Croxall, 2008; Hays et al., 2019)</w:t>
      </w:r>
      <w:r>
        <w:rPr>
          <w:iCs/>
        </w:rPr>
        <w:fldChar w:fldCharType="end"/>
      </w:r>
      <w:r>
        <w:rPr>
          <w:iCs/>
        </w:rPr>
        <w:t xml:space="preserve">. However, to enhance the identification of at-sea KBAs for marine top predators that inhabit remote sites in future, several limitations of this study which apply to marine predator datasets globally (e.g. incomplete population estimates and representativeness of tracking data) will need to be overcome. Although the population counts and tracking data were not available for the same time periods, it is unlikely that the KBAs would have changed substantially if we used more contemporaneous population estimates. This is because many of the sites identified for each data-group were from declining populations of globally threatened species (Table 1, Table 4) where the proportion of mature individuals need only exceed ≥0.1% or ≥0.2% of the global population for Critically Endangered or Endangered, and Vulnerable species, respectively (KBA criteria A1c, A1d). Furthermore, for species which sites met KBA criteria D1a (aggregations of &gt;1% of the global population), the primary breeding site for many of these species (Gentoo Penguin, King Penguin, Chinstrap Penguin, Antarctic Fur Seal) is at </w:t>
      </w:r>
      <w:r w:rsidR="00A0170C">
        <w:rPr>
          <w:iCs/>
        </w:rPr>
        <w:t>SGSSI</w:t>
      </w:r>
      <w:r>
        <w:rPr>
          <w:iCs/>
        </w:rPr>
        <w:t xml:space="preserve"> </w:t>
      </w:r>
      <w:r>
        <w:rPr>
          <w:iCs/>
        </w:rPr>
        <w:fldChar w:fldCharType="begin" w:fldLock="1"/>
      </w:r>
      <w:r w:rsidR="00195AA8">
        <w:rPr>
          <w:iCs/>
        </w:rPr>
        <w:instrText>ADDIN CSL_CITATION { "citationItems" : [ { "id" : "ITEM-1", "itemData" : { "author" : [ { "dropping-particle" : "", "family" : "Borboroglu", "given" : "P G", "non-dropping-particle" : "", "parse-names" : false, "suffix" : "" }, { "dropping-particle" : "", "family" : "Boersma", "given" : "P Dee", "non-dropping-particle" : "", "parse-names" : false, "suffix" : "" } ], "id" : "ITEM-1", "issued" : { "date-parts" : [ [ "2013" ] ] }, "publisher" : "University of Washington Press", "publisher-place" : "Seattle", "title" : "Penguins: Natural History and Conservation", "type" : "book" }, "uris" : [ "http://www.mendeley.com/documents/?uuid=4fb6a570-09c1-4060-9ef1-96df583db89a", "http://www.mendeley.com/documents/?uuid=e8bbe774-efc0-4a52-ba12-c2bf7b11d622" ] }, { "id" : "ITEM-2", "itemData" : { "DOI" : "10.3354/meps242285", "ISBN" : "ISSN: 0171-8630", "ISSN" : "01718630", "abstract" : "The study examined the distribution of critical habitat for foraging by female Antarctic fur seals breeding at the island of South Georgia. Bathymetric features of the continental shelf around the island of South Georgia were an important indicator for the localisation of foraging. This pattern was consistent among years of different prey availability. Lactating females were constrained to forage mainly within 100 km of the location at which the offspring was being raised. When this constraint was removed at the end of lactation, females foraged to much greater ranges and dispersed to specific regions of the continental shelf east of Patagonia (&gt;1000 km) and to the northern edge of the Antarctic pack ice (500 km). The empirical distribution of foraging during the breeding season was used to develop a function that described the foraging distribution for the whole breeding population of females. The result was consistent with past observations from ship-based surveys and it allowed estimation of the spatial impact of breeding female fur seals on krill at South Georgia. This suggested that, in extreme cases and assuming that krill influx is limited, female fur seals could eat most of the krill present in some regions where they forage intensively. However, mean consumption was about one-tenth of the mean density of krill.", "author" : [ { "dropping-particle" : "", "family" : "Boyd", "given" : "I. L.", "non-dropping-particle" : "", "parse-names" : false, "suffix" : "" }, { "dropping-particle" : "", "family" : "Staniland", "given" : "I. J.", "non-dropping-particle" : "", "parse-names" : false, "suffix" : "" }, { "dropping-particle" : "", "family" : "Martin", "given" : "A. R.", "non-dropping-particle" : "", "parse-names" : false, "suffix" : "" } ], "container-title" : "Marine Ecology Progress Series", "id" : "ITEM-2", "issued" : { "date-parts" : [ [ "2002" ] ] }, "page" : "285-294", "title" : "Distribution of foraging by female Antarctic fur seals", "type" : "article-journal", "volume" : "242" }, "uris" : [ "http://www.mendeley.com/documents/?uuid=70147a7c-6814-44ad-820a-56122c37ee2e", "http://www.mendeley.com/documents/?uuid=f4c79f94-8e40-4a1a-bf7b-5aaf93c86e09" ] }, { "id" : "ITEM-3", "itemData" : { "DOI" : "10.1007/s00300-015-1886-6", "ISBN" : "0722-4060", "ISSN" : "07224060", "abstract" : "The South Sandwich Islands, in the South Atlantic Ocean, are a major biological hot spot for penguins and other seabirds, but their remoteness and challenging coastlines preclude regular biological censuses. Here we report on an extensive survey of the South Sandwich Islands, the first since the late 1990s, which was completed through a combination of direct counting, GPS mapping, and interpretation of high-resolution commercial satellite imagery. We find that the South Sandwich Islands host nearly half of the world's Chinstrap Penguin (Pygoscelis antarctica) population (1.3 million breeding pairs), as well as c. 95,000 breeding pairs of Macaroni Penguins (Eudyptes chrysolophus), and several thousand breeding pairs of Gentoo Penguins (Pygoscelis papua). Despite being at the northern edge of their breeding range, we found an unexpectedly large (&gt;= 125,000 breeding pairs) population of Adelie Penguins (Pygoscelis adeliae). Additionally, we report that nearly 1900 pairs of Southern Giant Petrels (Macronectes giganteus) breed in the South Sandwich Islands, 4 % of the global population, almost all of which are found on Candlemas Island. We find that the South Sandwich Islands have not experienced the same changes in penguin abundance and distribution as the rest of the Scotia Arc and associated portions of the western Antarctic Peninsula. This discovery adds important context to the larger conversation regarding changes to penguin populations in the Southern Ocean.", "author" : [ { "dropping-particle" : "", "family" : "Lynch", "given" : "Heather J.", "non-dropping-particle" : "", "parse-names" : false, "suffix" : "" }, { "dropping-particle" : "", "family" : "White", "given" : "Richard", "non-dropping-particle" : "", "parse-names" : false, "suffix" : "" }, { "dropping-particle" : "", "family" : "Naveen", "given" : "Ron", "non-dropping-particle" : "", "parse-names" : false, "suffix" : "" }, { "dropping-particle" : "", "family" : "Black", "given" : "Andy", "non-dropping-particle" : "", "parse-names" : false, "suffix" : "" }, { "dropping-particle" : "", "family" : "Meixler", "given" : "Marcia S.", "non-dropping-particle" : "", "parse-names" : false, "suffix" : "" }, { "dropping-particle" : "", "family" : "Fagan", "given" : "William F.", "non-dropping-particle" : "", "parse-names" : false, "suffix" : "" } ], "container-title" : "Polar Biology", "id" : "ITEM-3", "issue" : "9", "issued" : { "date-parts" : [ [ "2016" ] ] }, "page" : "1615-1625", "publisher" : "Springer Berlin Heidelberg", "title" : "In stark contrast to widespread declines along the Scotia Arc, a survey of the South Sandwich Islands finds a robust seabird community", "type" : "article-journal", "volume" : "39" }, "uris" : [ "http://www.mendeley.com/documents/?uuid=54b1adc1-6503-476e-96f7-d682fa211225", "http://www.mendeley.com/documents/?uuid=7bf37d09-128f-4dde-86db-2385c4ca5db2", "http://www.mendeley.com/documents/?uuid=dc8dcec9-c534-4fe7-93b6-f752488f25ab" ] } ], "mendeley" : { "formattedCitation" : "(Borboroglu &amp; Boersma, 2013; Boyd et al., 2002; Lynch et al., 2016)", "plainTextFormattedCitation" : "(Borboroglu &amp; Boersma, 2013; Boyd et al., 2002; Lynch et al., 2016)", "previouslyFormattedCitation" : "(Borboroglu &amp; Boersma, 2013; Boyd et al., 2002; Lynch et al., 2016)" }, "properties" : {  }, "schema" : "https://github.com/citation-style-language/schema/raw/master/csl-citation.json" }</w:instrText>
      </w:r>
      <w:r>
        <w:rPr>
          <w:iCs/>
        </w:rPr>
        <w:fldChar w:fldCharType="separate"/>
      </w:r>
      <w:r w:rsidR="00126000" w:rsidRPr="00126000">
        <w:rPr>
          <w:iCs/>
          <w:noProof/>
        </w:rPr>
        <w:t>(Borboroglu &amp; Boersma, 2013; Boyd et al., 2002; Lynch et al., 2016)</w:t>
      </w:r>
      <w:r>
        <w:rPr>
          <w:iCs/>
        </w:rPr>
        <w:fldChar w:fldCharType="end"/>
      </w:r>
      <w:r>
        <w:rPr>
          <w:iCs/>
        </w:rPr>
        <w:t>.</w:t>
      </w:r>
    </w:p>
    <w:p w14:paraId="78E73D31" w14:textId="1124D9CF" w:rsidR="00804D7B" w:rsidRDefault="00804D7B" w:rsidP="00195AA8">
      <w:pPr>
        <w:rPr>
          <w:iCs/>
        </w:rPr>
      </w:pPr>
      <w:r>
        <w:rPr>
          <w:iCs/>
        </w:rPr>
        <w:t>Improved knowledge of the spatio-temporal distribution of top predators during all major life-history stages is crucial for a holistic understanding of population-level habitat use and overlap with threats</w:t>
      </w:r>
      <w:r w:rsidR="00992576">
        <w:rPr>
          <w:iCs/>
        </w:rPr>
        <w:t xml:space="preserve"> </w:t>
      </w:r>
      <w:r w:rsidR="00992576">
        <w:rPr>
          <w:iCs/>
        </w:rPr>
        <w:fldChar w:fldCharType="begin" w:fldLock="1"/>
      </w:r>
      <w:r w:rsidR="00B92111">
        <w:rPr>
          <w:iCs/>
        </w:rPr>
        <w:instrText>ADDIN CSL_CITATION { "citationItems" : [ { "id" : "ITEM-1", "itemData" : { "DOI" : "10.1111/1365-2664.13407", "author" : [ { "dropping-particle" : "", "family" : "Clay", "given" : "Thomas A", "non-dropping-particle" : "", "parse-names" : false, "suffix" : "" }, { "dropping-particle" : "", "family" : "Small", "given" : "Cleo", "non-dropping-particle" : "", "parse-names" : false, "suffix" : "" }, { "dropping-particle" : "", "family" : "Tuck", "given" : "Geoffrey N", "non-dropping-particle" : "", "parse-names" : false, "suffix" : "" }, { "dropping-particle" : "", "family" : "Pardo", "given" : "Deborah", "non-dropping-particle" : "", "parse-names" : false, "suffix" : "" }, { "dropping-particle" : "", "family" : "Carneiro", "given" : "Ana P B", "non-dropping-particle" : "", "parse-names" : false, "suffix" : "" }, { "dropping-particle" : "", "family" : "Wood", "given" : "Andrew G", "non-dropping-particle" : "", "parse-names" : false, "suffix" : "" }, { "dropping-particle" : "", "family" : "Croxall", "given" : "John P", "non-dropping-particle" : "", "parse-names" : false, "suffix" : "" }, { "dropping-particle" : "", "family" : "Crossin", "given" : "Glenn T", "non-dropping-particle" : "", "parse-names" : false, "suffix" : "" }, { "dropping-particle" : "", "family" : "Phillips", "given" : "Richard A", "non-dropping-particle" : "", "parse-names" : false, "suffix" : "" } ], "container-title" : "Journal of Applied Ecology", "id" : "ITEM-1", "issued" : { "date-parts" : [ [ "2019" ] ] }, "page" : "1-12", "title" : "A comprehensive large\u2010scale assessment of fisheries bycatch risk to threatened seabird populations", "type" : "article-journal", "volume" : "00" }, "uris" : [ "http://www.mendeley.com/documents/?uuid=69198e7c-489b-408b-b3bd-2933c587003f", "http://www.mendeley.com/documents/?uuid=8da982b2-f418-41bd-81be-c90f6c3fa028" ] }, { "id" : "ITEM-2", "itemData" : { "DOI" : "10.1111/ddi.12702", "ISBN" : "2005060800001", "author" : [ { "dropping-particle" : "", "family" : "Reisinger", "given" : "Ryan R", "non-dropping-particle" : "", "parse-names" : false, "suffix" : "" }, { "dropping-particle" : "", "family" : "Raymond", "given" : "Ben", "non-dropping-particle" : "", "parse-names" : false, "suffix" : "" }, { "dropping-particle" : "", "family" : "Hindell", "given" : "Mark A", "non-dropping-particle" : "", "parse-names" : false, "suffix" : "" }, { "dropping-particle" : "", "family" : "Bester", "given" : "Marth\u00e1n N", "non-dropping-particle" : "", "parse-names" : false, "suffix" : "" }, { "dropping-particle" : "", "family" : "Crawford", "given" : "Robert J M", "non-dropping-particle" : "", "parse-names" : false, "suffix" : "" }, { "dropping-particle" : "", "family" : "Davies", "given" : "Delia", "non-dropping-particle" : "", "parse-names" : false, "suffix" : "" }, { "dropping-particle" : "De", "family" : "Bruyn", "given" : "P J Nico", "non-dropping-particle" : "", "parse-names" : false, "suffix" : "" }, { "dropping-particle" : "", "family" : "Dilley", "given" : "Ben J", "non-dropping-particle" : "", "parse-names" : false, "suffix" : "" }, { "dropping-particle" : "", "family" : "Kirkman", "given" : "Stephen P", "non-dropping-particle" : "", "parse-names" : false, "suffix" : "" }, { "dropping-particle" : "", "family" : "Makhado", "given" : "Azwianewi B", "non-dropping-particle" : "", "parse-names" : false, "suffix" : "" }, { "dropping-particle" : "", "family" : "Ryan", "given" : "Peter G", "non-dropping-particle" : "", "parse-names" : false, "suffix" : "" }, { "dropping-particle" : "", "family" : "Schoombie", "given" : "Stefan", "non-dropping-particle" : "", "parse-names" : false, "suffix" : "" }, { "dropping-particle" : "", "family" : "Stevens", "given" : "Kim", "non-dropping-particle" : "", "parse-names" : false, "suffix" : "" }, { "dropping-particle" : "", "family" : "Sumner", "given" : "Michael D", "non-dropping-particle" : "", "parse-names" : false, "suffix" : "" }, { "dropping-particle" : "", "family" : "Tosh", "given" : "Cheryl A", "non-dropping-particle" : "", "parse-names" : false, "suffix" : "" }, { "dropping-particle" : "", "family" : "Wege", "given" : "Mia", "non-dropping-particle" : "", "parse-names" : false, "suffix" : "" }, { "dropping-particle" : "", "family" : "Otto", "given" : "Thomas", "non-dropping-particle" : "", "parse-names" : false, "suffix" : "" }, { "dropping-particle" : "", "family" : "Simon", "given" : "Whitehead", "non-dropping-particle" : "", "parse-names" : false, "suffix" : "" }, { "dropping-particle" : "", "family" : "Pistorius", "given" : "Pierre A", "non-dropping-particle" : "", "parse-names" : false, "suffix" : "" } ], "container-title" : "Diversity and Distributions", "id" : "ITEM-2", "issued" : { "date-parts" : [ [ "2018" ] ] }, "page" : "535-550", "title" : "Habitat modelling of tracking data from multiple marine predators identifies important areas in the Southern Indian Ocean", "type" : "article-journal", "volume" : "24" }, "uris" : [ "http://www.mendeley.com/documents/?uuid=d2de98e9-8bb5-4763-9289-e558f649b5b0", "http://www.mendeley.com/documents/?uuid=f40d6c52-ec6f-464c-a93d-a4e594290532", "http://www.mendeley.com/documents/?uuid=a1e58f34-f3d9-4e8e-9904-98809419825a" ] }, { "id" : "ITEM-3", "itemData" : { "author" : [ { "dropping-particle" : "", "family" : "Carneiro", "given" : "Ana P.B.", "non-dropping-particle" : "", "parse-names" : false, "suffix" : "" }, { "dropping-particle" : "", "family" : "Pearmain", "given" : "Elizabeth J.", "non-dropping-particle" : "", "parse-names" : false, "suffix" : "" }, { "dropping-particle" : "", "family" : "Oppel", "given" : "Steffen", "non-dropping-particle" : "", "parse-names" : false, "suffix" : "" }, { "dropping-particle" : "", "family" : "Clay", "given" : "Thomas A", "non-dropping-particle" : "", "parse-names" : false, "suffix" : "" }, { "dropping-particle" : "", "family" : "Phillips", "given" : "Richard A.", "non-dropping-particle" : "", "parse-names" : false, "suffix" : "" }, { "dropping-particle" : "", "family" : "Bonnet-Lebrun", "given" : "Anne-Sophie", "non-dropping-particle" : "", "parse-names" : false, "suffix" : "" }, { "dropping-particle" : "", "family" : "Wanless", "given" : "Ross M.", "non-dropping-particle" : "", "parse-names" : false, "suffix" : "" }, { "dropping-particle" : "", "family" : "Abraham", "given" : "Edward", "non-dropping-particle" : "", "parse-names" : false, "suffix" : "" }, { "dropping-particle" : "", "family" : "Richard", "given" : "Yvan", "non-dropping-particle" : "", "parse-names" : false, "suffix" : "" }, { "dropping-particle" : "", "family" : "Rice", "given" : "Joel", "non-dropping-particle" : "", "parse-names" : false, "suffix" : "" }, { "dropping-particle" : "", "family" : "Handley", "given" : "Jonathan", "non-dropping-particle" : "", "parse-names" : false, "suffix" : "" }, { "dropping-particle" : "", "family" : "Davies", "given" : "Tammy E.", "non-dropping-particle" : "", "parse-names" : false, "suffix" : "" }, { "dropping-particle" : "", "family" : "Dilley", "given" : "Ben J.", "non-dropping-particle" : "", "parse-names" : false, "suffix" : "" }, { "dropping-particle" : "", "family" : "Ryan", "given" : "Peter G.", "non-dropping-particle" : "", "parse-names" : false, "suffix" : "" }, { "dropping-particle" : "", "family" : "Small", "given" : "Cleo", "non-dropping-particle" : "", "parse-names" : false, "suffix" : "" }, { "dropping-particle" : "", "family" : "Arata", "given" : "Javier", "non-dropping-particle" : "", "parse-names" : false, "suffix" : "" }, { "dropping-particle" : "", "family" : "Arnould", "given" : "John P Y", "non-dropping-particle" : "", "parse-names" : false, "suffix" : "" }, { "dropping-particle" : "", "family" : "Bell", "given" : "Elizabeth", "non-dropping-particle" : "", "parse-names" : false, "suffix" : "" }, { "dropping-particle" : "", "family" : "Bugoni", "given" : "Leandro", "non-dropping-particle" : "", "parse-names" : false, "suffix" : "" }, { "dropping-particle" : "", "family" : "Campioni", "given" : "Letizia", "non-dropping-particle" : "", "parse-names" : false, "suffix" : "" }, { "dropping-particle" : "", "family" : "Catry", "given" : "Paulo", "non-dropping-particle" : "", "parse-names" : false, "suffix" : "" }, { "dropping-particle" : "", "family" : "Cleeland", "given" : "Jamie", "non-dropping-particle" : "", "parse-names" : false, "suffix" : "" }, { "dropping-particle" : "", "family" : "Deppe", "given" : "Lorna", "non-dropping-particle" : "", "parse-names" : false, "suffix" : "" }, { "dropping-particle" : "", "family" : "Elliot", "given" : "Graeme", "non-dropping-particle" : "", "parse-names" : false, "suffix" : "" }, { "dropping-particle" : "", "family" : "Freeman", "given" : "Amanda", "non-dropping-particle" : "", "parse-names" : false, "suffix" : "" }, { "dropping-particle" : "", "family" : "Gonz\u00e1lez-Sol\u00eds", "given" : "Jacob", "non-dropping-particle" : "", "parse-names" : false, "suffix" : "" }, { "dropping-particle" : "", "family" : "Granadeiro", "given" : "Jos\u00e9 Pedro", "non-dropping-particle" : "", "parse-names" : false, "suffix" : "" }, { "dropping-particle" : "", "family" : "Gr\u00e9millet", "given" : "David", "non-dropping-particle" : "", "parse-names" : false, "suffix" : "" }, { "dropping-particle" : "", "family" : "Landers", "given" : "Todd J.", "non-dropping-particle" : "", "parse-names" : false, "suffix" : "" }, { "dropping-particle" : "", "family" : "Makhado", "given" : "Azwianewi B.", "non-dropping-particle" : "", "parse-names" : false, "suffix" : "" }, { "dropping-particle" : "", "family" : "Nel", "given" : "Deon", "non-dropping-particle" : "", "parse-names" : false, "suffix" : "" }, { "dropping-particle" : "", "family" : "Nicholls", "given" : "David G.", "non-dropping-particle" : "", "parse-names" : false, "suffix" : "" }, { "dropping-particle" : "", "family" : "Rexer-Huber", "given" : "Kalinka", "non-dropping-particle" : "", "parse-names" : false, "suffix" : "" }, { "dropping-particle" : "", "family" : "Robertson", "given" : "Christopher J. R.", "non-dropping-particle" : "", "parse-names" : false, "suffix" : "" }, { "dropping-particle" : "", "family" : "Sagar", "given" : "Paul M.", "non-dropping-particle" : "", "parse-names" : false, "suffix" : "" }, { "dropping-particle" : "", "family" : "Scofield", "given" : "Paul", "non-dropping-particle" : "", "parse-names" : false, "suffix" : "" }, { "dropping-particle" : "", "family" : "Stahl", "given" : "Jean-Claude", "non-dropping-particle" : "", "parse-names" : false, "suffix" : "" }, { "dropping-particle" : "", "family" : "Stanworth", "given" : "Andrew", "non-dropping-particle" : "", "parse-names" : false, "suffix" : "" }, { "dropping-particle" : "", "family" : "Stevens", "given" : "Kim L.", "non-dropping-particle" : "", "parse-names" : false, "suffix" : "" }, { "dropping-particle" : "", "family" : "Trathan", "given" : "Philip N.", "non-dropping-particle" : "", "parse-names" : false, "suffix" : "" }, { "dropping-particle" : "", "family" : "Thompson", "given" : "David R.", "non-dropping-particle" : "", "parse-names" : false, "suffix" : "" }, { "dropping-particle" : ""</w:instrText>
      </w:r>
      <w:r w:rsidR="00B92111" w:rsidRPr="006F14D0">
        <w:rPr>
          <w:iCs/>
          <w:lang w:val="en-GB"/>
        </w:rPr>
        <w:instrText>, "family" : "Torres</w:instrText>
      </w:r>
      <w:r w:rsidR="00B92111" w:rsidRPr="00B92111">
        <w:rPr>
          <w:iCs/>
          <w:lang w:val="en-GB"/>
        </w:rPr>
        <w:instrText>", "g</w:instrText>
      </w:r>
      <w:r w:rsidR="00B92111" w:rsidRPr="006F14D0">
        <w:rPr>
          <w:iCs/>
          <w:lang w:val="en-GB"/>
        </w:rPr>
        <w:instrText>iven" : "Leigh G.", "non-dropping-particle" : "", "parse-names" : false, "suffix" : "" }, { "dropping-particle" : "", "family" : "Walker", "given" : "Kath", "non-dropping-particle" : "", "parse-names" : false, "suffix" : "" }, { "dropping-particle" : "", "family" : "Waugh", "given" : "Susan M.", "non-dropping-particle" : "", "parse-names" : false, "suffix" : "" }, { "dropping-particle" : "", "family" : "Weimerskirch", "given" : "Henri", "non-dropping-particle" : "", "parse-names" : false, "suffix" : "" }, { "dropping-particle" : "", "family" : "Dias", "given" : "Maria P.", "non-dropping-particle" : "", "parse-names" : false, "suffix" : "" } ], "container-title" : "Journal of Applied Ecology", "id" : "ITEM-3", "issued" : { "date-parts" : [ [ "0" ] ] }, "title" : "A framework for mapping the distribution of Southern Ocean seabirds across life-history stages, by integrating tracking, demography and phenology", "type" : "article-journal" }, "uris" : [ "http://www.mendeley.com/documents/?uuid=b430fd4b-dce6-4b5f-90b7-b909fbb27b7e" ] } ], "mendeley" : { "formattedCitation" : "(Carneiro et al., n.d.; Clay et al., 2019; Reisinger et al., 2018)", "plainTextFormattedCitation" : "(Carneiro et al., n.d.; Clay et al., 2019; Reisinger et al., 2018)", "previouslyFormattedCitation" : "(Carneiro et al., n.d.; Clay et al., 2019; Reisinger et al., 2018)" }, "properties" : {  }, "schema" : "https://github.com/citation-style-language/schema/raw/master/csl-citation.json" }</w:instrText>
      </w:r>
      <w:r w:rsidR="00992576">
        <w:rPr>
          <w:iCs/>
        </w:rPr>
        <w:fldChar w:fldCharType="separate"/>
      </w:r>
      <w:r w:rsidR="00B92111" w:rsidRPr="006F14D0">
        <w:rPr>
          <w:iCs/>
          <w:noProof/>
          <w:lang w:val="en-GB"/>
        </w:rPr>
        <w:t>(Carneiro et al., in press.; Clay et al., 2019; Reisinger et al., 2018)</w:t>
      </w:r>
      <w:r w:rsidR="00992576">
        <w:rPr>
          <w:iCs/>
        </w:rPr>
        <w:fldChar w:fldCharType="end"/>
      </w:r>
      <w:r w:rsidRPr="006F14D0">
        <w:rPr>
          <w:iCs/>
          <w:lang w:val="en-GB"/>
        </w:rPr>
        <w:t xml:space="preserve">. </w:t>
      </w:r>
      <w:r>
        <w:rPr>
          <w:iCs/>
        </w:rPr>
        <w:t>For the species breeding at South Georgia, many have been tracked throughout key life-history stages. However, there are still critical gaps in our knowledge of dispersal patterns and survival rates of juveniles and immatures</w:t>
      </w:r>
      <w:r w:rsidR="00746AE8">
        <w:rPr>
          <w:iCs/>
        </w:rPr>
        <w:t xml:space="preserve"> which cannot be inferred from existing tracking data </w:t>
      </w:r>
      <w:r w:rsidR="006E747A">
        <w:rPr>
          <w:iCs/>
        </w:rPr>
        <w:fldChar w:fldCharType="begin" w:fldLock="1"/>
      </w:r>
      <w:r w:rsidR="00195AA8">
        <w:rPr>
          <w:iCs/>
        </w:rPr>
        <w:instrText>ADDIN CSL_CITATION { "citationItems" : [ { "id" : "ITEM-1", "itemData" : { "DOI" : "10.1016/j.marpol.2018.08.024", "ISSN" : "0308597X", "abstract" : "Knowing the spatial scales at which effective management can be implemented is fundamental for conservation planning. This is especially important for mobile species, which can be exposed to threats across large areas, but the space use requirements of different species can vary to an extent that might render some management approaches inefficient. Here the space use patterns of seabirds were examined to provide guidance on whether conservation management approaches should be tailored for taxonomic groups with different movement characteristics. Seabird tracking data were synthesised from 5419 adult breeding individuals of 52 species in ten families that were collected in the Atlantic Ocean basin between 1998 and 2017. Two key aspects of spatial distribution were quantified, namely how far seabirds ranged from their colony, and to what extent individuals from the same colony used the same areas at sea. There was evidence for substantial differences in patterns of space-use among the ten studied seabird families, indicating that several alternative conservation management approaches are needed. Several species exhibited large foraging ranges and little aggregation at sea, indicating that area-based conservation solutions would have to be extremely large to adequately protect such species. The results highlight that short-ranging and aggregating species such as cormorants, auks, some penguins, and gulls would benefit from conservation approaches at relatively small spatial scales during their breeding season. However, improved regulation of fisheries, bycatch, pollution and other threats over large spatial scales will be needed for wide-ranging and dispersed species such as albatrosses, petrels, storm petrels and frigatebirds.", "author" : [ { "dropping-particle" : "", "family" : "Oppel", "given" : "Steffen", "non-dropping-particle" : "", "parse-names" : false, "suffix" : "" }, { "dropping-particle" : "", "family" : "Bolton", "given" : "Mark", "non-dropping-particle" : "", "parse-names" : false, "suffix" : "" }, { "dropping-particle" : "", "family" : "Carneiro", "given" : "Ana P.B.", "non-dropping-particle" : "", "parse-names" : false, "suffix" : "" }, { "dropping-particle" : "", "family" : "Dias", "given" : "Maria P.", "non-dropping-particle" : "", "parse-names" : false, "suffix" : "" }, { "dropping-particle" : "", "family" : "Green", "given" : "Jonathan A.", "non-dropping-particle" : "", "parse-names" : false, "suffix" : "" }, { "dropping-particle" : "", "family" : "Masello", "given" : "Juan F.", "non-dropping-particle" : "", "parse-names" : false, "suffix" : "" }, { "dropping-particle" : "", "family" : "Phillips", "given" : "Richard A.", "non-dropping-particle" : "", "parse-names" : false, "suffix" : "" }, { "dropping-particle" : "", "family" : "Owen", "given" : "Ellie", "non-dropping-particle" : "", "parse-names" : false, "suffix" : "" }, { "dropping-particle" : "", "family" : "Quillfeldt", "given" : "Petra", "non-dropping-particle" : "", "parse-names" : false, "suffix" : "" }, { "dropping-particle" : "", "family" : "Beard", "given" : "Annalea", "non-dropping-particle" : "", "parse-names" : false, "suffix" : "" }, { "dropping-particle" : "", "family" : "Bertrand", "given" : "Sophie", "non-dropping-particle" : "", "parse-names" : false, "suffix" : "" }, { "dropping-particle" : "", "family" : "Blackburn", "given" : "Jez", "non-dropping-particle" : "", "parse-names" : false, "suffix" : "" }, { "dropping-particle" : "", "family" : "Boersma", "given" : "P. Dee", "non-dropping-particle" : "", "parse-names" : false, "suffix" : "" }, { "dropping-particle" : "", "family" : "Borges", "given" : "Alder", "non-dropping-particle" : "", "parse-names" : false, "suffix" : "" }, { "dropping-particle" : "", "family" : "Broderick", "given" : "Annette C.", "non-dropping-particle" : "", "parse-names" : false, "suffix" : "" }, { "dropping-particle" : "", "family" : "Catry", "given" : "Paulo", "non-dropping-particle" : "", "parse-names" : false, "suffix" : "" }, { "dropping-particle" : "", "family" : "Cleasby", "given" : "Ian", "non-dropping-particle" : "", "parse-names" : false, "suffix" : "" }, { "dropping-particle" : "", "family" : "Clingham", "given" : "Elizabeth", "non-dropping-particle" : "", "parse-names" : false, "suffix" : "" }, { "dropping-particle" : "", "family" : "Creuwels", "given" : "Jeroen", "non-dropping-particle" : "", "parse-names" : false, "suffix" : "" }, { "dropping-particle" : "", "family" : "Crofts", "given" : "Sarah", "non-dropping-particle" : "", "parse-names" : false, "suffix" : "" }, { "dropping-particle" : "", "family" : "Cuthbert", "given" : "Richard J.", "non-dropping-particle" : "", "parse-names" : false, "suffix" : "" }, { "dropping-particle" : "", "family" : "Dallmeijer", "given" : "Hanneke", "non-dropping-particle" : "", "parse-names" : false, "suffix" : "" }, { "dropping-particle" : "", "family" : "Davies", "given" : "Delia", "non-dropping-particle" : "", "parse-names" : false, "suffix" : "" }, { "dropping-particle" : "", "family" : "Davies", "given" : "Rachel", "non-dropping-particle" : "", "parse-names" : false, "suffix" : "" }, { "dropping-particle" : "", "family" : "Dilley", "given" : "Ben J.", "non-dropping-particle" : "", "parse-names" : false, "suffix" : "" }, { "dropping-particle" : "", "family" : "Dinis", "given" : "Herculano Andrade", "non-dropping-particle" : "", "parse-names" : false, "suffix" : "" }, { "dropping-particle" : "", "family" : "Dossa", "given" : "Justine", "non-dropping-particle" : "", "parse-names" : false, "suffix" : "" }, { "dropping-particle" : "", "family" : "Dunn", "given" : "Michael J.", "non-dropping-particle" : "", "parse-names" : false, "suffix" : "" }, { "dropping-particle" : "", "family" : "Efe", "given" : "Marcio A.", "non-dropping-particle" : "", "parse-names" : false, "suffix" : "" }, { "dropping-particle" : "", "family" : "Fayet", "given" : "Annette L.", "non-dropping-particle" : "", "parse-names" : false, "suffix" : "" }, { "dropping-particle" : "", "family" : "Figueiredo", "given" : "Leila", "non-dropping-particle" : "", "parse-names" : false, "suffix" : "" }, { "dropping-particle" : "", "family" : "Frederico", "given" : "Adelcides Pereira", "non-dropping-particle" : "", "parse-names" : false, "suffix" : "" }, { "dropping-particle" : "", "family" : "Gjerdrum", "given" : "Carina", "non-dropping-particle" : "", "parse-names" : false, "suffix" : "" }, { "dropping-particle" : "", "family" : "Godley", "given" : "Brendan J.", "non-dropping-particle" : "", "parse-names" : false, "suffix" : "" }, { "dropping-particle" : "", "family" : "Granadeiro", "given" : "Jos\u00e9 Pedro", "non-dropping-particle" : "", "parse-names" : false, "suffix" : "" }, { "dropping-particle" : "", "family" : "Guilford", "given" : "Tim", "non-dropping-particle" : "", "parse-names" : false, "suffix" : "" }, { "dropping-particle" : "", "family" : "Hamer", "given" : "Keith C.", "non-dropping-particle" : "", "parse-names" : false, "suffix" : "" }, { "dropping-particle" : "", "family" : "Hazin", "given" : "Carolina", "non-dropping-particle" : "", "parse-names" : false, "suffix" : "" }, { "dropping-particle" : "", "family" : "Hedd", "given" : "April", "non-dropping-particle" : "", "parse-names" : false, "suffix" : "" }, { "dropping-particle" : "", "family" : "Henry", "given" : "Leeann", "non-dropping-particle" : "", "parse-names" : false, "suffix" : "" }, { "dropping-particle" : "", "family" : "Hern\u00e1ndez-Montero", "given" : "Marcos", "non-dropping-particle" : "", "parse-names" : false, "suffix" : "" }, { "dropping-particle" : "", "family" : "Hinke", "given" : "Jefferson", "non-dropping-particle" : "", "parse-names" : false, "suffix" : "" }, { "dropping-particle" : "", "family" : "Kokubun", "given" : "Nobuo", "non-dropping-particle" : "", "parse-names" : false, "suffix" : "" }, { "dropping-particle" : "", "family" : "Leat", "given" : "Eliza", "non-dropping-particle" : "", "parse-names" : false, "suffix" : "" }, { "dropping-particle" : "", "family" : "Tranquilla", "given" : "Laura Mc Farlane", "non-dropping-particle" : "", "parse-names" : false, "suffix" : "" }, { "dropping-particle" : "", "family" : "Metzger", "given" : "Benjamin", "non-dropping-particle" : "", "parse-names" : false, "suffix" : "" }, { "dropping-particle" : "", "family" : "Milit\u00e3o", "given" : "Teresa", "non-dropping-particle" : "", "parse-names" : false, "suffix" : "" }, { "dropping-particle" : "", "family" : "Montrond", "given" : "Gilson", "non-dropping-particle" : "", "parse-names" : false, "suffix" : "" }, { "dropping-particle" : "", "family" : "Mulli\u00e9", "given" : "Wim", "non-dropping-particle" : "", "parse-names" : false, "suffix" : "" }, { "dropping-particle" : "", "family" : "Padget", "given" : "Oliver", "non-dropping-particle" : "", "parse-names" : false, "suffix" : "" }, { "dropping-particle" : "", "family" : "Pearmain", "given" : "Elizabeth J.", "non-dropping-particle" : "", "parse-names" : false, "suffix" : "" }, { "dropping-particle" : "", "family" : "Pollet", "given" : "Ingrid L.", "non-dropping-particle" : "", "parse-names" : false, "suffix" : "" }, { "dropping-particle" : "", "family" : "P\u00fctz", "given" : "Klemens", "non-dropping-particle" : "", "parse-names" : false, "suffix" : "" }, { "dropping-particle" : "", "family" : "Quintana", "given" : "Flavio", "non-dropping-particle" : "", "parse-names" : false, "suffix" : "" }, { "dropping-particle" : "", "family" : "Ratcliffe", "given" : "Norman", "non-dropping-particle" : "", "parse-names" : false, "suffix" : "" }, { "dropping-particle" : "", "family" : "Ronconi", "given" : "Robert A.", "non-dropping-particle" : "", "parse-names" : false, "suffix" : "" }, { "dropping-particle" : "", "family" : "Ryan", "given" : "Peter G.", "non-dropping-particle" : "", "parse-names" : false, "suffix" : "" }, { "dropping-particle" : "", "family" : "Saldanha", "given" : "Sarah", "non-dropping-particle" : "", "parse-names" : false, "suffix" : "" }, { "dropping-particle" : "", "family" : "Shoji", "given" : "Akiko", "non-dropping-particle" : "", "parse-names" : false, "suffix" : "" }, { "dropping-particle" : "", "family" : "Sim", "given" : "Jolene", "non-dropping-particle" : "", "parse-names" : false, "suffix" : "" }, { "dropping-particle" : "", "family" : "Small", "given" : "Cleo", "non-dropping-particle" : "", "parse-names" : false, "suffix" : "" }, { "dropping-particle" : "", "family" : "Soanes", "given" : "Louise", "non-dropping-particle" : "", "parse-names" : false, "suffix" : "" }, { "dropping-particle" : "", "family" : "Takahashi", "given" : "Akinori", "non-dropping-particle" : "", "parse-names" : false, "suffix" : "" }, { "dropping-particle" : "", "family" : "Trathan", "given" : "Phil", "non-dropping-particle" : "", "parse-names" : false, "suffix" : "" }, { "dropping-particle" : "", "family" : "Trivelpiece", "given" : "Wayne", "non-dropping-particle" : "", "parse-names" : false, "suffix" : "" }, { "dropping-particle" : "", "family" : "Veen", "given" : "Jan", "non-dropping-particle" : "", "parse-names" : false, "suffix" : "" }, { "dropping-particle" : "", "family" : "Wakefield", "given" : "Ewan", "non-dropping-particle" : "", "parse-names" : false, "suffix" : "" }, { "dropping-particle" : "", "family" : "Weber", "given" : "Nicola", "non-dropping-particle" : "", "parse-names" : false, "suffix" : "" }, { "dropping-particle" : "", "family" : "Weber", "given" : "Sam", "non-dropping-particle" : "", "parse-names" : false, "suffix" : "" }, { "dropping-particle" : "", "family" : "Zango", "given" : "Laura", "non-dropping-particle" : "", "parse-names" : false, "suffix" : "" }, { "dropping-particle" : "", "family" : "Gonz\u00e1lez-Sol\u00eds", "given" : "Jacob", "non-dropping-particle" : "", "parse-names" : false, "suffix" : "" }, { "dropping-particle" : "", "family" : "Croxall", "given" : "John", "non-dropping-particle" : "", "parse-names" : false, "suffix" : "" } ], "container-title" : "Marine Policy", "id" : "ITEM-1", "issued" : { "date-parts" : [ [ "2018" ] ] }, "page" : "37-46", "publisher" : "Elsevier Ltd", "title" : "Spatial scales of marine conservation management for breeding seabirds", "type" : "article-journal", "volume" : "98" }, "uris" : [ "http://www.mendeley.com/documents/?uuid=696857fc-3a9d-4d34-803a-b95d6ca4fdaf", "http://www.mendeley.com/documents/?uuid=2f5672d6-ae35-4565-84d0-f2a095d58cd1" ] } ], "mendeley" : { "formattedCitation" : "(Oppel et al., 2018)", "plainTextFormattedCitation" : "(Oppel et al., 2018)", "previouslyFormattedCitation" : "(Oppel et al., 2018)" }, "properties" : {  }, "schema" : "https://github.com/citation-style-language/schema/raw/master/csl-citation.json" }</w:instrText>
      </w:r>
      <w:r w:rsidR="006E747A">
        <w:rPr>
          <w:iCs/>
        </w:rPr>
        <w:fldChar w:fldCharType="separate"/>
      </w:r>
      <w:r w:rsidR="00126000" w:rsidRPr="00126000">
        <w:rPr>
          <w:iCs/>
          <w:noProof/>
        </w:rPr>
        <w:t>(Oppel et al., 2018)</w:t>
      </w:r>
      <w:r w:rsidR="006E747A">
        <w:rPr>
          <w:iCs/>
        </w:rPr>
        <w:fldChar w:fldCharType="end"/>
      </w:r>
      <w:r>
        <w:rPr>
          <w:iCs/>
        </w:rPr>
        <w:t xml:space="preserve">. Additionally, for some species, the at-sea distribution </w:t>
      </w:r>
      <w:r w:rsidR="008B6CF6">
        <w:rPr>
          <w:iCs/>
        </w:rPr>
        <w:t>of</w:t>
      </w:r>
      <w:r>
        <w:rPr>
          <w:iCs/>
        </w:rPr>
        <w:t xml:space="preserve"> major colonies at South Georgia and all colonies at the South Sandwich Islands remains to be investigated (</w:t>
      </w:r>
      <w:r w:rsidR="00637C94">
        <w:rPr>
          <w:iCs/>
        </w:rPr>
        <w:t>Appendix 2</w:t>
      </w:r>
      <w:r>
        <w:rPr>
          <w:iCs/>
        </w:rPr>
        <w:t>, Figure S1</w:t>
      </w:r>
      <w:r w:rsidR="00CF68EE">
        <w:rPr>
          <w:iCs/>
        </w:rPr>
        <w:t>, and ‘Future research’</w:t>
      </w:r>
      <w:r>
        <w:rPr>
          <w:iCs/>
        </w:rPr>
        <w:t xml:space="preserve">). Despite these knowledge gaps, the network of KBA sites is probably well justified for the </w:t>
      </w:r>
      <w:r w:rsidR="006A39EC">
        <w:rPr>
          <w:iCs/>
        </w:rPr>
        <w:t>species</w:t>
      </w:r>
      <w:r>
        <w:rPr>
          <w:iCs/>
        </w:rPr>
        <w:t xml:space="preserve"> considered in this study, particularly near-shore foraging species – penguins and Antarctic Fur Seals – as they account for their most plausible island-wide breeding ranges. During the non-breeding period when all species considered in this study (excl. Gentoo Penguins) are wide-ranging (</w:t>
      </w:r>
      <w:r w:rsidR="00637C94">
        <w:rPr>
          <w:iCs/>
        </w:rPr>
        <w:t>Appendix 2</w:t>
      </w:r>
      <w:r>
        <w:rPr>
          <w:iCs/>
        </w:rPr>
        <w:t>, Figure S2)</w:t>
      </w:r>
      <w:r w:rsidR="007A5F2B">
        <w:rPr>
          <w:iCs/>
        </w:rPr>
        <w:t xml:space="preserve"> and site-based conservation </w:t>
      </w:r>
      <w:r w:rsidR="00E3194E">
        <w:rPr>
          <w:iCs/>
        </w:rPr>
        <w:t>approaches</w:t>
      </w:r>
      <w:r w:rsidR="007A5F2B">
        <w:rPr>
          <w:iCs/>
        </w:rPr>
        <w:t xml:space="preserve"> such as</w:t>
      </w:r>
      <w:r w:rsidR="00E3194E">
        <w:rPr>
          <w:iCs/>
        </w:rPr>
        <w:t xml:space="preserve"> protection or management of</w:t>
      </w:r>
      <w:r w:rsidR="007A5F2B">
        <w:rPr>
          <w:iCs/>
        </w:rPr>
        <w:t xml:space="preserve"> KBAs are less effective</w:t>
      </w:r>
      <w:r>
        <w:rPr>
          <w:iCs/>
        </w:rPr>
        <w:t xml:space="preserve">, likely conservation solutions will be the mitigation of </w:t>
      </w:r>
      <w:r w:rsidR="006A39EC">
        <w:rPr>
          <w:iCs/>
        </w:rPr>
        <w:t xml:space="preserve">the </w:t>
      </w:r>
      <w:r>
        <w:rPr>
          <w:iCs/>
        </w:rPr>
        <w:t xml:space="preserve">broad threats marine predators face across the oceans </w:t>
      </w:r>
      <w:r w:rsidR="00992576">
        <w:rPr>
          <w:iCs/>
        </w:rPr>
        <w:fldChar w:fldCharType="begin" w:fldLock="1"/>
      </w:r>
      <w:r w:rsidR="00195AA8">
        <w:rPr>
          <w:iCs/>
        </w:rPr>
        <w:instrText>ADDIN CSL_CITATION { "citationItems" : [ { "id" : "ITEM-1", "itemData" : { "DOI" : "10.1038/ncomms8615", "author" : [ { "dropping-particle" : "", "family" : "Halpern", "given" : "Benjamin S", "non-dropping-particle" : "", "parse-names" : false, "suffix" : "" }, { "dropping-particle" : "", "family" : "Frazier", "given" : "Melanie", "non-dropping-particle" : "", "parse-names" : false, "suffix" : "" }, { "dropping-particle" : "", "family" : "Potapenko", "given" : "John", "non-dropping-particle" : "", "parse-names" : false, "suffix" : "" }, { "dropping-particle" : "", "family" : "Casey", "given" : "Kenneth S", "non-dropping-particle" : "", "parse-names" : false, "suffix" : "" }, { "dropping-particle" : "", "family" : "Koenig", "given" : "Kellee", "non-dropping-particle" : "", "parse-names" : false, "suffix" : "" }, { "dropping-particle" : "", "family" : "Longo", "given" : "Catherine", "non-dropping-particle" : "", "parse-names" : false, "suffix" : "" }, { "dropping-particle" : "", "family" : "Lowndes", "given" : "Julia Stewart", "non-dropping-particle" : "", "parse-names" : false, "suffix" : "" }, { "dropping-particle" : "", "family" : "Rockwood", "given" : "R Cotton", "non-dropping-particle" : "", "parse-names" : false, "suffix" : "" }, { "dropping-particle" : "", "family" : "Selig", "given" : "Elizabeth R", "non-dropping-particle" : "", "parse-names" : false, "suffix" : "" }, { "dropping-particle" : "", "family" : "Selkoe", "given" : "Kimberly A", "non-dropping-particle" : "", "parse-names" : false, "suffix" : "" }, { "dropping-particle" : "", "family" : "Walbridge", "given" : "Shaun", "non-dropping-particle" : "", "parse-names" : false, "suffix" : "" } ], "container-title" : "Nature Communications", "id" : "ITEM-1", "issue" : "7615", "issued" : { "date-parts" : [ [ "2015" ] ] }, "page" : "1-7", "publisher" : "Nature Publishing Group", "title" : "Spatial and temporal changes in cumulative human impacts on the world\u2019s ocean", "type" : "article-journal", "volume" : "6" }, "uris" : [ "http://www.mendeley.com/documents/?uuid=ac994a30-52f7-4516-92e4-be0f63bdfd95", "http://www.mendeley.com/documents/?uuid=d311293c-6ab1-42fe-a5b6-aa644916f861" ] }, { "id" : "ITEM-2", "itemData" : { "DOI" : "10.1111/1365-2664.13407", "author" : [ { "dropping-particle" : "", "family" : "Clay", "given" : "Thomas A", "non-dropping-particle" : "", "parse-names" : false, "suffix" : "" }, { "dropping-particle" : "", "family" : "Small", "given" : "Cleo", "non-dropping-particle" : "", "parse-names" : false, "suffix" : "" }, { "dropping-particle" : "", "family" : "Tuck", "given" : "Geoffrey N", "non-dropping-particle" : "", "parse-names" : false, "suffix" : "" }, { "dropping-particle" : "", "family" : "Pardo", "given" : "Deborah", "non-dropping-particle" : "", "parse-names" : false, "suffix" : "" }, { "dropping-particle" : "", "family" : "Carneiro", "given" : "Ana P B", "non-dropping-particle" : "", "parse-names" : false, "suffix" : "" }, { "dropping-particle" : "", "family" : "Wood", "given" : "Andrew G", "non-dropping-particle" : "", "parse-names" : false, "suffix" : "" }, { "dropping-particle" : "", "family" : "Croxall", "given" : "John P", "non-dropping-particle" : "", "parse-names" : false, "suffix" : "" }, { "dropping-particle" : "", "family" : "Crossin", "given" : "Glenn T", "non-dropping-particle" : "", "parse-names" : false, "suffix" : "" }, { "dropping-particle" : "", "family" : "Phillips", "given" : "Richard A", "non-dropping-particle" : "", "parse-names" : false, "suffix" : "" } ], "container-title" : "Journal of Applied Ecology", "id" : "ITEM-2", "issued" : { "date-parts" : [ [ "2019" ] ] }, "page" : "1-12", "title" : "A comprehensive large\u2010scale assessment of fisheries bycatch risk to threatened seabird populations", "type" : "article-journal", "volume" : "00" }, "uris" : [ "http://www.mendeley.com/documents/?uuid=69198e7c-489b-408b-b3bd-2933c587003f", "http://www.mendeley.com/documents/?uuid=8da982b2-f418-41bd-81be-c90f6c3fa028" ] } ], "mendeley" : { "formattedCitation" : "(Clay et al., 2019; Halpern et al., 2015)", "plainTextFormattedCitation" : "(Clay et al., 2019; Halpern et al., 2015)", "previouslyFormattedCitation" : "(Clay et al., 2019; Halpern et al., 2015)" }, "properties" : {  }, "schema" : "https://github.com/citation-style-language/schema/raw/master/csl-citation.json" }</w:instrText>
      </w:r>
      <w:r w:rsidR="00992576">
        <w:rPr>
          <w:iCs/>
        </w:rPr>
        <w:fldChar w:fldCharType="separate"/>
      </w:r>
      <w:r w:rsidR="00126000" w:rsidRPr="00126000">
        <w:rPr>
          <w:iCs/>
          <w:noProof/>
        </w:rPr>
        <w:t>(Clay et al., 2019; Halpern et al., 2015)</w:t>
      </w:r>
      <w:r w:rsidR="00992576">
        <w:rPr>
          <w:iCs/>
        </w:rPr>
        <w:fldChar w:fldCharType="end"/>
      </w:r>
      <w:r>
        <w:rPr>
          <w:iCs/>
        </w:rPr>
        <w:t>.</w:t>
      </w:r>
      <w:r w:rsidRPr="0008189C">
        <w:rPr>
          <w:iCs/>
        </w:rPr>
        <w:t xml:space="preserve"> </w:t>
      </w:r>
      <w:r w:rsidR="00793357">
        <w:rPr>
          <w:iCs/>
        </w:rPr>
        <w:t>Future effort should also be directed towards recovering populations of previously over-exploited cetaceans</w:t>
      </w:r>
      <w:r w:rsidR="00FC42D4">
        <w:rPr>
          <w:iCs/>
        </w:rPr>
        <w:t xml:space="preserve"> </w:t>
      </w:r>
      <w:r w:rsidR="00195AA8">
        <w:rPr>
          <w:iCs/>
        </w:rPr>
        <w:fldChar w:fldCharType="begin" w:fldLock="1"/>
      </w:r>
      <w:r w:rsidR="00195AA8">
        <w:rPr>
          <w:iCs/>
        </w:rPr>
        <w:instrText>ADDIN CSL_CITATION { "citationItems" : [ { "id" : "ITEM-1", "itemData" : { "DOI" : "10.1098/rsos.190368", "ISBN" : "0000000302", "ISSN" : "20545703", "abstract" : "The recovery of whale populations from centuries of exploitation will have important management and ecological implications due to greater exposure to anthropogenic activities and increasing prey consumption. Here, a Bayesian population model integrates catch data, estimates of abundance, and information on genetics and biology to assess the recovery of western South Atlantic (WSA) humpback whales (Megaptera novaeangliae). Modelling scenarios evaluated the sensitivity of model outputs resulting from the use of different data, different model assumptions and uncertainty in catch allocation and in accounting for whales killed but not landed. A long period of exploitation drove WSA humpback whales to the brink of extinction. They declined from nearly 27 000 (95% PI = 22 800\u201333 000) individuals in 1830 to only 450 (95% PI = 200\u20131400) whales in the mid-1950s. Protection led to a strong recovery and the current population is estimated to be at 93% (95% PI = 73\u2013100%) of its pre-exploitation size. The recovery of WSA humpback whales may result in large removals of their primary prey, the Antarctic krill (Euphausia superba), and has the potential to modify the community structure in their feeding grounds. Continued monitoring is needed to", "author" : [ { "dropping-particle" : "", "family" : "Zerbini", "given" : "Alexandre N.", "non-dropping-particle" : "", "parse-names" : false, "suffix" : "" }, { "dropping-particle" : "", "family" : "Adams", "given" : "Grant", "non-dropping-particle" : "", "parse-names" : false, "suffix" : "" }, { "dropping-particle" : "", "family" : "Best", "given" : "John", "non-dropping-particle" : "", "parse-names" : false, "suffix" : "" }, { "dropping-particle" : "", "family" : "Clapham", "given" : "Phillip J.", "non-dropping-particle" : "", "parse-names" : false, "suffix" : "" }, { "dropping-particle" : "", "family" : "Jackson", "given" : "Jennifer A.", "non-dropping-particle" : "", "parse-names" : false, "suffix" : "" }, { "dropping-particle" : "", "family" : "Punt", "given" : "Andre E.", "non-dropping-particle" : "", "parse-names" : false, "suffix" : "" } ], "container-title" : "Royal Society Open Science", "id" : "ITEM-1", "issue" : "10", "issued" : { "date-parts" : [ [ "2019" ] ] }, "page" : "190368", "title" : "Assessing the recovery of an Antarctic predator from historical exploitation", "type" : "article-journal", "volume" : "6" }, "uris" : [ "http://www.mendeley.com/documents/?uuid=592adc27-f3b6-4ac8-a293-fbf69a2f1db3" ] } ], "mendeley" : { "formattedCitation" : "(Zerbini et al., 2019)", "plainTextFormattedCitation" : "(Zerbini et al., 2019)", "previouslyFormattedCitation" : "(Zerbini et al., 2019)" }, "properties" : {  }, "schema" : "https://github.com/citation-style-language/schema/raw/master/csl-citation.json" }</w:instrText>
      </w:r>
      <w:r w:rsidR="00195AA8">
        <w:rPr>
          <w:iCs/>
        </w:rPr>
        <w:fldChar w:fldCharType="separate"/>
      </w:r>
      <w:r w:rsidR="00195AA8" w:rsidRPr="00195AA8">
        <w:rPr>
          <w:iCs/>
          <w:noProof/>
        </w:rPr>
        <w:t>(Zerbini et al., 2019)</w:t>
      </w:r>
      <w:r w:rsidR="00195AA8">
        <w:rPr>
          <w:iCs/>
        </w:rPr>
        <w:fldChar w:fldCharType="end"/>
      </w:r>
      <w:r w:rsidR="00793357">
        <w:rPr>
          <w:iCs/>
        </w:rPr>
        <w:t>.</w:t>
      </w:r>
    </w:p>
    <w:p w14:paraId="21112D82" w14:textId="6ACD0B34" w:rsidR="007A5F2B" w:rsidRDefault="006561CA" w:rsidP="00B34ED4">
      <w:pPr>
        <w:rPr>
          <w:iCs/>
        </w:rPr>
      </w:pPr>
      <w:r>
        <w:rPr>
          <w:iCs/>
        </w:rPr>
        <w:t xml:space="preserve">In a more localised context, </w:t>
      </w:r>
      <w:r w:rsidR="00C12593">
        <w:rPr>
          <w:iCs/>
        </w:rPr>
        <w:t>environmental management plans</w:t>
      </w:r>
      <w:r>
        <w:rPr>
          <w:iCs/>
        </w:rPr>
        <w:t xml:space="preserve"> should also consider the fact that sites meeting the global KBA criteria are those site</w:t>
      </w:r>
      <w:r w:rsidR="00167FAB">
        <w:rPr>
          <w:iCs/>
        </w:rPr>
        <w:t>s</w:t>
      </w:r>
      <w:r>
        <w:rPr>
          <w:iCs/>
        </w:rPr>
        <w:t xml:space="preserve"> which “contribute significantly to the </w:t>
      </w:r>
      <w:r>
        <w:rPr>
          <w:i/>
        </w:rPr>
        <w:lastRenderedPageBreak/>
        <w:t>global</w:t>
      </w:r>
      <w:r>
        <w:rPr>
          <w:iCs/>
        </w:rPr>
        <w:t xml:space="preserve"> persistence of biodiversity” </w:t>
      </w:r>
      <w:r w:rsidR="00C12593">
        <w:rPr>
          <w:iCs/>
        </w:rPr>
        <w:fldChar w:fldCharType="begin" w:fldLock="1"/>
      </w:r>
      <w:r w:rsidR="00195AA8">
        <w:rPr>
          <w:iCs/>
        </w:rPr>
        <w:instrText>ADDIN CSL_CITATION { "citationItems" : [ { "id" : "ITEM-1", "itemData" : { "ISBN" : "9782831718354", "author" : [ { "dropping-particle" : "", "family" : "IUCN", "given" : "", "non-dropping-particle" : "", "parse-names" : false, "suffix" : "" } ], "id" : "ITEM-1", "issued" : { "date-parts" : [ [ "2016" ] ] }, "publisher-place" : "Gland, Switzerland", "title" : "A Global Standard for the Identification of Key Biodiversity Areas, Version 1.0.", "type" : "book" }, "uris" : [ "http://www.mendeley.com/documents/?uuid=7dbe1c9b-27ac-4452-be36-bffa9b7d4960" ] } ], "mendeley" : { "formattedCitation" : "(IUCN, 2016)", "plainTextFormattedCitation" : "(IUCN, 2016)", "previouslyFormattedCitation" : "(IUCN, 2016)" }, "properties" : {  }, "schema" : "https://github.com/citation-style-language/schema/raw/master/csl-citation.json" }</w:instrText>
      </w:r>
      <w:r w:rsidR="00C12593">
        <w:rPr>
          <w:iCs/>
        </w:rPr>
        <w:fldChar w:fldCharType="separate"/>
      </w:r>
      <w:r w:rsidR="00126000" w:rsidRPr="00126000">
        <w:rPr>
          <w:iCs/>
          <w:noProof/>
        </w:rPr>
        <w:t>(IUCN, 2016)</w:t>
      </w:r>
      <w:r w:rsidR="00C12593">
        <w:rPr>
          <w:iCs/>
        </w:rPr>
        <w:fldChar w:fldCharType="end"/>
      </w:r>
      <w:r w:rsidR="00167FAB">
        <w:rPr>
          <w:iCs/>
        </w:rPr>
        <w:t xml:space="preserve">. This presents caveats to the KBA approach that may either </w:t>
      </w:r>
      <w:r w:rsidR="00E93A31">
        <w:rPr>
          <w:iCs/>
        </w:rPr>
        <w:t>promote or</w:t>
      </w:r>
      <w:r w:rsidR="00167FAB">
        <w:rPr>
          <w:iCs/>
        </w:rPr>
        <w:t xml:space="preserve"> </w:t>
      </w:r>
      <w:r w:rsidR="008B4C61">
        <w:rPr>
          <w:iCs/>
        </w:rPr>
        <w:t>mask</w:t>
      </w:r>
      <w:r w:rsidR="00167FAB">
        <w:rPr>
          <w:iCs/>
        </w:rPr>
        <w:t xml:space="preserve"> the conservation</w:t>
      </w:r>
      <w:r w:rsidR="008B4C61">
        <w:rPr>
          <w:iCs/>
        </w:rPr>
        <w:t xml:space="preserve"> requirements</w:t>
      </w:r>
      <w:r w:rsidR="00167FAB">
        <w:rPr>
          <w:iCs/>
        </w:rPr>
        <w:t xml:space="preserve"> of species at a region</w:t>
      </w:r>
      <w:r w:rsidR="008B6CF6">
        <w:rPr>
          <w:iCs/>
        </w:rPr>
        <w:t xml:space="preserve">al </w:t>
      </w:r>
      <w:r w:rsidR="00167FAB">
        <w:rPr>
          <w:iCs/>
        </w:rPr>
        <w:t xml:space="preserve">scale. For example, if a species is locally abundant but globally rare </w:t>
      </w:r>
      <w:r w:rsidR="00E93A31">
        <w:rPr>
          <w:iCs/>
        </w:rPr>
        <w:t>(</w:t>
      </w:r>
      <w:r w:rsidR="00167FAB">
        <w:rPr>
          <w:iCs/>
        </w:rPr>
        <w:t>such as the Antarctic fur seal</w:t>
      </w:r>
      <w:r w:rsidR="00E93A31">
        <w:rPr>
          <w:iCs/>
        </w:rPr>
        <w:t>)</w:t>
      </w:r>
      <w:r w:rsidR="00167FAB">
        <w:rPr>
          <w:iCs/>
        </w:rPr>
        <w:t xml:space="preserve"> higher priority might be given to the conservation of a species in systematic conservation planning procedures </w:t>
      </w:r>
      <w:r w:rsidR="00167FAB">
        <w:rPr>
          <w:iCs/>
        </w:rPr>
        <w:fldChar w:fldCharType="begin" w:fldLock="1"/>
      </w:r>
      <w:r w:rsidR="00195AA8">
        <w:rPr>
          <w:iCs/>
        </w:rPr>
        <w:instrText>ADDIN CSL_CITATION { "citationItems" : [ { "id" : "ITEM-1", "itemData" : { "DOI" : "10.1111/conl.12625", "ISSN" : "1755263X", "abstract" : "Systematic conservation planning and Key Biodiversity Areas (KBAs) are the two most widely used approaches for identifying important sites for biodiversity. However, there is limited advice for conservation policy makers and practitioners on when and how they should be combined. Here we provide such guidance, using insights from the recently developed Global Standard for the Identification of KBAs and the language of decision science to review and clarify their similarities and differences. We argue the two approaches are broadly similar, with both setting transparent environmental objectives and specifying actions. There is however greater contrast in the data used and actions involved, as the KBA approach uses biodiversity data alone and identifies sites for monitoring and vigilance actions at a minimum, whereas systematic conservation planning combines biodiversity and implementation-relevant data to guide management actions. This difference means there is much scope for combining approaches, so conservation planners should use KBA data in their analyses, setting context-specific targets for each KBA type, and planners and donors should use systematic conservation planning techniques when prioritizing between KBAs for management action. In doing so, they will benefit conservation policy, practice and research by building on the collaborations formed through the KBA Standard's development.", "author" : [ { "dropping-particle" : "", "family" : "Smith", "given" : "Robert J.", "non-dropping-particle" : "", "parse-names" : false, "suffix" : "" }, { "dropping-particle" : "", "family" : "Bennun", "given" : "Leon", "non-dropping-particle" : "", "parse-names" : false, "suffix" : "" }, { "dropping-particle" : "", "family" : "Brooks", "given" : "Thomas M.", "non-dropping-particle" : "", "parse-names" : false, "suffix" : "" }, { "dropping-particle" : "", "family" : "Butchart", "given" : "Stuart H.M.", "non-dropping-particle" : "", "parse-names" : false, "suffix" : "" }, { "dropping-particle" : "", "family" : "Cuttelod", "given" : "Annabelle", "non-dropping-particle" : "", "parse-names" : false, "suffix" : "" }, { "dropping-particle" : "", "family" : "Marco", "given" : "Moreno", "non-dropping-particle" : "Di", "parse-names" : false, "suffix" : "" }, { "dropping-particle" : "", "family" : "Ferrier", "given" : "Simon", "non-dropping-particle" : "", "parse-names" : false, "suffix" : "" }, { "dropping-particle" : "", "family" : "Fishpool", "given" : "Lincoln D.C.", "non-dropping-particle" : "", "parse-names" : false, "suffix" : "" }, { "dropping-particle" : "", "family" : "Joppa", "given" : "Lucas", "non-dropping-particle" : "", "parse-names" : false, "suffix" : "" }, { "dropping-particle" : "", "family" : "Juffe-Bignoli", "given" : "Diego", "non-dropping-particle" : "", "parse-names" : false, "suffix" : "" }, { "dropping-particle" : "", "family" : "Knight", "given" : "Andrew T.", "non-dropping-particle" : "", "parse-names" : false, "suffix" : "" }, { "dropping-particle" : "", "family" : "Lamoreux", "given" : "John F.", "non-dropping-particle" : "", "parse-names" : false, "suffix" : "" }, { "dropping-particle" : "", "family" : "Langhammer", "given" : "Penny", "non-dropping-particle" : "", "parse-names" : false, "suffix" : "" }, { "dropping-particle" : "", "family" : "Possingham", "given" : "Hugh P.", "non-dropping-particle" : "", "parse-names" : false, "suffix" : "" }, { "dropping-particle" : "", "family" : "Rondinini", "given" : "Carlo", "non-dropping-particle" : "", "parse-names" : false, "suffix" : "" }, { "dropping-particle" : "", "family" : "Visconti", "given" : "Piero", "non-dropping-particle" : "", "parse-names" : false, "suffix" : "" }, { "dropping-particle" : "", "family" : "Watson", "given" : "James E.M.", "non-dropping-particle" : "", "parse-names" : false, "suffix" : "" }, { "dropping-particle" : "", "family" : "Woodley", "given" : "Stephen", "non-dropping-particle" : "", "parse-names" : false, "suffix" : "" }, { "dropping-particle" : "", "family" : "Boitani", "given" : "Luigi", "non-dropping-particle" : "", "parse-names" : false, "suffix" : "" }, { "dropping-particle" : "", "family" : "Burgess", "given" : "Neil D.", "non-dropping-particle" : "", "parse-names" : false, "suffix" : "" }, { "dropping-particle" : "", "family" : "Silva", "given" : "Naamal", "non-dropping-particle" : "De", "parse-names" : false, "suffix" : "" }, { "dropping-particle" : "", "family" : "Dudley", "given" : "Nigel", "non-dropping-particle" : "", "parse-names" : false, "suffix" : "" }, { "dropping-particle" : "", "family" : "Fivaz", "given" : "Fabien", "non-dropping-particle" : "", "parse-names" : false, "suffix" : "" }, { "dropping-particle" : "", "family" : "Game", "given" : "Edward T.", "non-dropping-particle" : "", "parse-names" : false, "suffix" : "" }, { "dropping-particle" : "", "family" : "Groves", "given" : "Craig", "non-dropping-particle" : "", "parse-names" : false, "suffix" : "" }, { "dropping-particle" : "", "family" : "L\u00f6tter", "given" : "Mervyn", "non-dropping-particle" : "", "parse-names" : false, "suffix" : "" }, { "dropping-particle" : "", "family" : "McGowan", "given" : "Jennifer", "non-dropping-particle" : "", "parse-names" : false, "suffix" : "" }, { "dropping-particle" : "", "family" : "Plumptre", "given" : "Andrew J.", "non-dropping-particle" : "", "parse-names" : false, "suffix" : "" }, { "dropping-particle" : "", "family" : "Rebelo", "given" : "Anthony G.", "non-dropping-particle" : "", "parse-names" : false, "suffix" : "" }, { "dropping-particle" : "", "family" : "Rodriguez", "given" : "Jon Paul", "non-dropping-particle" : "", "parse-names" : false, "suffix" : "" }, { "dropping-particle" : "", "family" : "Scaramuzza", "given" : "Carlos A.de M.", "non-dropping-particle" : "", "parse-names" : false, "suffix" : "" } ], "container-title" : "Conservation Letters", "id" : "ITEM-1", "issue" : "1", "issued" : { "date-parts" : [ [ "2019" ] ] }, "page" : ":e12625", "title" : "Synergies between the key biodiversity area and systematic conservation planning approaches", "type" : "article-journal", "volume" : "12" }, "uris" : [ "http://www.mendeley.com/documents/?uuid=b78fe7b9-03f5-447f-a004-df0910c42304" ] } ], "mendeley" : { "formattedCitation" : "(Smith et al., 2019)", "plainTextFormattedCitation" : "(Smith et al., 2019)", "previouslyFormattedCitation" : "(Smith et al., 2019)" }, "properties" : {  }, "schema" : "https://github.com/citation-style-language/schema/raw/master/csl-citation.json" }</w:instrText>
      </w:r>
      <w:r w:rsidR="00167FAB">
        <w:rPr>
          <w:iCs/>
        </w:rPr>
        <w:fldChar w:fldCharType="separate"/>
      </w:r>
      <w:r w:rsidR="00126000" w:rsidRPr="00126000">
        <w:rPr>
          <w:iCs/>
          <w:noProof/>
        </w:rPr>
        <w:t>(Smith et al., 2019)</w:t>
      </w:r>
      <w:r w:rsidR="00167FAB">
        <w:rPr>
          <w:iCs/>
        </w:rPr>
        <w:fldChar w:fldCharType="end"/>
      </w:r>
      <w:r w:rsidR="0030759D">
        <w:rPr>
          <w:iCs/>
        </w:rPr>
        <w:t xml:space="preserve">. </w:t>
      </w:r>
      <w:r w:rsidR="008B6CF6">
        <w:rPr>
          <w:iCs/>
        </w:rPr>
        <w:t>In contrast,</w:t>
      </w:r>
      <w:r w:rsidR="004B6008">
        <w:rPr>
          <w:iCs/>
        </w:rPr>
        <w:t xml:space="preserve"> species which are globally abundant but experiencing local population declines</w:t>
      </w:r>
      <w:r w:rsidR="004005EC">
        <w:rPr>
          <w:iCs/>
        </w:rPr>
        <w:t xml:space="preserve"> may not yield sites which meet global KBA criteria</w:t>
      </w:r>
      <w:r w:rsidR="004B6008">
        <w:rPr>
          <w:iCs/>
        </w:rPr>
        <w:t xml:space="preserve"> </w:t>
      </w:r>
      <w:r w:rsidR="00E93A31">
        <w:rPr>
          <w:iCs/>
        </w:rPr>
        <w:t>(</w:t>
      </w:r>
      <w:r w:rsidR="004B6008">
        <w:rPr>
          <w:iCs/>
        </w:rPr>
        <w:t xml:space="preserve">such as the South Georgia Black-browed Albatross population which is considered locally vulnerable </w:t>
      </w:r>
      <w:r w:rsidR="00E93A31">
        <w:rPr>
          <w:iCs/>
        </w:rPr>
        <w:fldChar w:fldCharType="begin" w:fldLock="1"/>
      </w:r>
      <w:r w:rsidR="005B51DA">
        <w:rPr>
          <w:iCs/>
        </w:rPr>
        <w:instrText>ADDIN CSL_CITATION { "citationItems" : [ { "id" : "ITEM-1", "itemData" : { "DOI" : "10.1007/s00300-016-2057-0", "ISBN" : "0030001620570", "ISSN" : "07224060", "abstract" : "South Georgia supports globally important populations of seabirds, including the wandering albatross Diomedea exulans, black-browed albatross Thalassarche melanophris and grey-headed albatross T. chrysostoma, currently classified by the world Conservation Union (IUCN) as vulnerable, near threatened and endangered, respectively. Surveys of these species at South Georgia were conducted during the incubation stage in November 2014 to January 2015, repeating previous surveys conducted in the 2003/2004 season. Numbers of wandering albatrosses breeding annually at South Georgia decreased by 18% (1.8% per year) from 1553 pairs in 2003/2004 to an estimated 1278 pairs in 2014/2015. Over the same period, black-browed and grey-headed albatrosses decreased by 19% (1.9% per year) and 43% (5% per year), respectively. These represent a continuation of negative trends at South Georgia since the 1970s and are in contrast to some populations elsewhere, which have shown signs of recent recovery. Given the importance of South Georgia for these species, the ongoing population declines, and in the case of grey-headed albatrosses, an acceleration of the decline is of major conservation concern. Incidental fisheries mortality (bycatch) is currently considered to be the main threat. Although seabird bycatch has been reduced to negligible levels in the fisheries operating around South Georgia, wider implementation of effective seabird bycatch mitigation measures is required to improve the conservation status of the South Georgia populations of wandering, black-browed and grey-headed albatrosses. In addition, more research is required to investigate the respective roles of bycatch and climate change in driving these population trends.", "author" : [ { "dropping-particle" : "", "family" : "Poncet", "given" : "Sally", "non-dropping-particle" : "", "parse-names" : false, "suffix" : "" }, { "dropping-particle" : "", "family" : "Wolfaardt", "given" : "Anton C.", "non-dropping-particle" : "", "parse-names" : false, "suffix" : "" }, { "dropping-particle" : "", "family" : "Black", "given" : "Andy", "non-dropping-particle" : "", "parse-names" : false, "suffix" : "" }, { "dropping-particle" : "", "family" : "Browning", "given" : "Sarah", "non-dropping-particle" : "", "parse-names" : false, "suffix" : "" }, { "dropping-particle" : "", "family" : "Lawton", "given" : "Kieran", "non-dropping-particle" : "", "parse-names" : false, "suffix" : "" }, { "dropping-particle" : "", "family" : "Lee", "given" : "Jennifer", "non-dropping-particle" : "", "parse-names" : false, "suffix" : "" }, { "dropping-particle" : "", "family" : "Passfield", "given" : "Ken", "non-dropping-particle" : "", "parse-names" : false, "suffix" : "" }, { "dropping-particle" : "", "family" : "Strange", "given" : "Georgina", "non-dropping-particle" : "", "parse-names" : false, "suffix" : "" }, { "dropping-particle" : "", "family" : "Phillips", "given" : "Richard A.", "non-dropping-particle" : "", "parse-names" : false, "suffix" : "" } ], "container-title" : "Polar Biology", "id" : "ITEM-1", "issue" : "7", "issued" : { "date-parts" : [ [ "2017" ] ] }, "page" : "1347-1358", "publisher" : "Springer Berlin Heidelberg", "title" : "Recent trends in numbers of wandering (&lt;i&gt;Diomedea exulans&lt;/i&gt;), black-browed (&lt;i&gt;Thalassarche melanophris&lt;/i&gt;) and grey-headed (&lt;i&gt;T. chrysostoma&lt;/i&gt;) albatrosses breeding at South Georgia", "type" : "article-journal", "volume" : "40" }, "uris" : [ "http://www.mendeley.com/documents/?uuid=1c450242-5080-4bdc-b180-453017ca8f5b" ] } ], "mendeley" : { "formattedCitation" : "(Poncet et al., 2017)", "manualFormatting" : "(Poncet et al., 2017)", "plainTextFormattedCitation" : "(Poncet et al., 2017)", "previouslyFormattedCitation" : "(Poncet et al., 2017)" }, "properties" : {  }, "schema" : "https://github.com/citation-style-language/schema/raw/master/csl-citation.json" }</w:instrText>
      </w:r>
      <w:r w:rsidR="00E93A31">
        <w:rPr>
          <w:iCs/>
        </w:rPr>
        <w:fldChar w:fldCharType="separate"/>
      </w:r>
      <w:r w:rsidR="00126000" w:rsidRPr="00126000">
        <w:rPr>
          <w:iCs/>
          <w:noProof/>
        </w:rPr>
        <w:t>(Poncet et al., 2017)</w:t>
      </w:r>
      <w:r w:rsidR="00E93A31">
        <w:rPr>
          <w:iCs/>
        </w:rPr>
        <w:fldChar w:fldCharType="end"/>
      </w:r>
      <w:r w:rsidR="004005EC">
        <w:rPr>
          <w:iCs/>
        </w:rPr>
        <w:t>)</w:t>
      </w:r>
      <w:r w:rsidR="00E93A31">
        <w:rPr>
          <w:iCs/>
        </w:rPr>
        <w:t>.</w:t>
      </w:r>
      <w:r w:rsidR="00895795">
        <w:rPr>
          <w:iCs/>
        </w:rPr>
        <w:t xml:space="preserve"> </w:t>
      </w:r>
      <w:r w:rsidR="004005EC">
        <w:rPr>
          <w:iCs/>
        </w:rPr>
        <w:t>Thus, context-specific decisions must be made as to how and when the utility of KBAs can be used to achieve local, national and global goals</w:t>
      </w:r>
      <w:r w:rsidR="00342B52">
        <w:rPr>
          <w:iCs/>
        </w:rPr>
        <w:t>,</w:t>
      </w:r>
      <w:r w:rsidR="004005EC">
        <w:rPr>
          <w:iCs/>
        </w:rPr>
        <w:t xml:space="preserve"> </w:t>
      </w:r>
      <w:r w:rsidR="00342B52">
        <w:rPr>
          <w:iCs/>
        </w:rPr>
        <w:t xml:space="preserve">and when additional data sources or approaches will be required to achieve </w:t>
      </w:r>
      <w:r w:rsidR="008B4C61">
        <w:rPr>
          <w:iCs/>
        </w:rPr>
        <w:t xml:space="preserve">conservation </w:t>
      </w:r>
      <w:r w:rsidR="00342B52">
        <w:rPr>
          <w:iCs/>
        </w:rPr>
        <w:t xml:space="preserve">goals at varying spatiotemporal scales </w:t>
      </w:r>
      <w:r w:rsidR="00342B52">
        <w:rPr>
          <w:iCs/>
        </w:rPr>
        <w:fldChar w:fldCharType="begin" w:fldLock="1"/>
      </w:r>
      <w:r w:rsidR="00195AA8">
        <w:rPr>
          <w:iCs/>
        </w:rPr>
        <w:instrText>ADDIN CSL_CITATION { "citationItems" : [ { "id" : "ITEM-1", "itemData" : { "DOI" : "10.1111/conl.12625", "ISSN" : "1755263X", "abstract" : "Systematic conservation planning and Key Biodiversity Areas (KBAs) are the two most widely used approaches for identifying important sites for biodiversity. However, there is limited advice for conservation policy makers and practitioners on when and how they should be combined. Here we provide such guidance, using insights from the recently developed Global Standard for the Identification of KBAs and the language of decision science to review and clarify their similarities and differences. We argue the two approaches are broadly similar, with both setting transparent environmental objectives and specifying actions. There is however greater contrast in the data used and actions involved, as the KBA approach uses biodiversity data alone and identifies sites for monitoring and vigilance actions at a minimum, whereas systematic conservation planning combines biodiversity and implementation-relevant data to guide management actions. This difference means there is much scope for combining approaches, so conservation planners should use KBA data in their analyses, setting context-specific targets for each KBA type, and planners and donors should use systematic conservation planning techniques when prioritizing between KBAs for management action. In doing so, they will benefit conservation policy, practice and research by building on the collaborations formed through the KBA Standard's development.", "author" : [ { "dropping-particle" : "", "family" : "Smith", "given" : "Robert J.", "non-dropping-particle" : "", "parse-names" : false, "suffix" : "" }, { "dropping-particle" : "", "family" : "Bennun", "given" : "Leon", "non-dropping-particle" : "", "parse-names" : false, "suffix" : "" }, { "dropping-particle" : "", "family" : "Brooks", "given" : "Thomas M.", "non-dropping-particle" : "", "parse-names" : false, "suffix" : "" }, { "dropping-particle" : "", "family" : "Butchart", "given" : "Stuart H.M.", "non-dropping-particle" : "", "parse-names" : false, "suffix" : "" }, { "dropping-particle" : "", "family" : "Cuttelod", "given" : "Annabelle", "non-dropping-particle" : "", "parse-names" : false, "suffix" : "" }, { "dropping-particle" : "", "family" : "Marco", "given" : "Moreno", "non-dropping-particle" : "Di", "parse-names" : false, "suffix" : "" }, { "dropping-particle" : "", "family" : "Ferrier", "given" : "Simon", "non-dropping-particle" : "", "parse-names" : false, "suffix" : "" }, { "dropping-particle" : "", "family" : "Fishpool", "given" : "Lincoln D.C.", "non-dropping-particle" : "", "parse-names" : false, "suffix" : "" }, { "dropping-particle" : "", "family" : "Joppa", "given" : "Lucas", "non-dropping-particle" : "", "parse-names" : false, "suffix" : "" }, { "dropping-particle" : "", "family" : "Juffe-Bignoli", "given" : "Diego", "non-dropping-particle" : "", "parse-names" : false, "suffix" : "" }, { "dropping-particle" : "", "family" : "Knight", "given" : "Andrew T.", "non-dropping-particle" : "", "parse-names" : false, "suffix" : "" }, { "dropping-particle" : "", "family" : "Lamoreux", "given" : "John F.", "non-dropping-particle" : "", "parse-names" : false, "suffix" : "" }, { "dropping-particle" : "", "family" : "Langhammer", "given" : "Penny", "non-dropping-particle" : "", "parse-names" : false, "suffix" : "" }, { "dropping-particle" : "", "family" : "Possingham", "given" : "Hugh P.", "non-dropping-particle" : "", "parse-names" : false, "suffix" : "" }, { "dropping-particle" : "", "family" : "Rondinini", "given" : "Carlo", "non-dropping-particle" : "", "parse-names" : false, "suffix" : "" }, { "dropping-particle" : "", "family" : "Visconti", "given" : "Piero", "non-dropping-particle" : "", "parse-names" : false, "suffix" : "" }, { "dropping-particle" : "", "family" : "Watson", "given" : "James E.M.", "non-dropping-particle" : "", "parse-names" : false, "suffix" : "" }, { "dropping-particle" : "", "family" : "Woodley", "given" : "Stephen", "non-dropping-particle" : "", "parse-names" : false, "suffix" : "" }, { "dropping-particle" : "", "family" : "Boitani", "given" : "Luigi", "non-dropping-particle" : "", "parse-names" : false, "suffix" : "" }, { "dropping-particle" : "", "family" : "Burgess", "given" : "Neil D.", "non-dropping-particle" : "", "parse-names" : false, "suffix" : "" }, { "dropping-particle" : "", "family" : "Silva", "given" : "Naamal", "non-dropping-particle" : "De", "parse-names" : false, "suffix" : "" }, { "dropping-particle" : "", "family" : "Dudley", "given" : "Nigel", "non-dropping-particle" : "", "parse-names" : false, "suffix" : "" }, { "dropping-particle" : "", "family" : "Fivaz", "given" : "Fabien", "non-dropping-particle" : "", "parse-names" : false, "suffix" : "" }, { "dropping-particle" : "", "family" : "Game", "given" : "Edward T.", "non-dropping-particle" : "", "parse-names" : false, "suffix" : "" }, { "dropping-particle" : "", "family" : "Groves", "given" : "Craig", "non-dropping-particle" : "", "parse-names" : false, "suffix" : "" }, { "dropping-particle" : "", "family" : "L\u00f6tter", "given" : "Mervyn", "non-dropping-particle" : "", "parse-names" : false, "suffix" : "" }, { "dropping-particle" : "", "family" : "McGowan", "given" : "Jennifer", "non-dropping-particle" : "", "parse-names" : false, "suffix" : "" }, { "dropping-particle" : "", "family" : "Plumptre", "given" : "Andrew J.", "non-dropping-particle" : "", "parse-names" : false, "suffix" : "" }, { "dropping-particle" : "", "family" : "Rebelo", "given" : "Anthony G.", "non-dropping-particle" : "", "parse-names" : false, "suffix" : "" }, { "dropping-particle" : "", "family" : "Rodriguez", "given" : "Jon Paul", "non-dropping-particle" : "", "parse-names" : false, "suffix" : "" }, { "dropping-particle" : "", "family" : "Scaramuzza", "given" : "Carlos A.de M.", "non-dropping-particle" : "", "parse-names" : false, "suffix" : "" } ], "container-title" : "Conservation Letters", "id" : "ITEM-1", "issue" : "1", "issued" : { "date-parts" : [ [ "2019" ] ] }, "page" : ":e12625", "title" : "Synergies between the key biodiversity area and systematic conservation planning approaches", "type" : "article-journal", "volume" : "12" }, "uris" : [ "http://www.mendeley.com/documents/?uuid=b78fe7b9-03f5-447f-a004-df0910c42304" ] } ], "mendeley" : { "formattedCitation" : "(Smith et al., 2019)", "plainTextFormattedCitation" : "(Smith et al., 2019)", "previouslyFormattedCitation" : "(Smith et al., 2019)" }, "properties" : {  }, "schema" : "https://github.com/citation-style-language/schema/raw/master/csl-citation.json" }</w:instrText>
      </w:r>
      <w:r w:rsidR="00342B52">
        <w:rPr>
          <w:iCs/>
        </w:rPr>
        <w:fldChar w:fldCharType="separate"/>
      </w:r>
      <w:r w:rsidR="00126000" w:rsidRPr="00126000">
        <w:rPr>
          <w:iCs/>
          <w:noProof/>
        </w:rPr>
        <w:t>(Smith et al., 2019)</w:t>
      </w:r>
      <w:r w:rsidR="00342B52">
        <w:rPr>
          <w:iCs/>
        </w:rPr>
        <w:fldChar w:fldCharType="end"/>
      </w:r>
      <w:r w:rsidR="00FF65EA">
        <w:rPr>
          <w:iCs/>
        </w:rPr>
        <w:t>.</w:t>
      </w:r>
    </w:p>
    <w:p w14:paraId="4619FB88" w14:textId="1F27DB08" w:rsidR="006175D8" w:rsidRDefault="00342B52" w:rsidP="00B33DC8">
      <w:r>
        <w:t>In recognition of the globally threatened species and species with significant proportions of the</w:t>
      </w:r>
      <w:r w:rsidR="008B4C61">
        <w:t>ir respective</w:t>
      </w:r>
      <w:r>
        <w:t xml:space="preserve"> global </w:t>
      </w:r>
      <w:r w:rsidR="008B4C61">
        <w:t>populations that</w:t>
      </w:r>
      <w:r>
        <w:t xml:space="preserve"> breed at SGSSI, </w:t>
      </w:r>
      <w:r w:rsidR="006175D8">
        <w:t>our study informed policy and management processes at a local level</w:t>
      </w:r>
      <w:r>
        <w:t xml:space="preserve"> through the utility of the new global KBA initiative</w:t>
      </w:r>
      <w:r w:rsidR="006175D8">
        <w:t xml:space="preserve">. . Ensuring both the conservation of species and sustainable harvesting of biological resources is a critical factor for the continued success of the MPA, as revenue generated from fisheries is often key to supporting the ongoing monitoring and management of MPAs </w:t>
      </w:r>
      <w:r w:rsidR="006175D8">
        <w:fldChar w:fldCharType="begin" w:fldLock="1"/>
      </w:r>
      <w:r w:rsidR="00195AA8">
        <w:instrText>ADDIN CSL_CITATION { "citationItems" : [ { "id" : "ITEM-1", "itemData" : { "author" : [ { "dropping-particle" : "", "family" : "Melanie", "given" : "Imen", "non-dropping-particle" : "", "parse-names" : false, "suffix" : "" }, { "dropping-particle" : "", "family" : "White", "given" : "Alan", "non-dropping-particle" : "", "parse-names" : false, "suffix" : "" }, { "dropping-particle" : "", "family" : "Smith", "given" : "Scott", "non-dropping-particle" : "", "parse-names" : false, "suffix" : "" }, { "dropping-particle" : "", "family" : "Crain", "given" : "Caitlan", "non-dropping-particle" : "", "parse-names" : false, "suffix" : "" }, { "dropping-particle" : "", "family" : "Beck", "given" : "Michael", "non-dropping-particle" : "", "parse-names" : false, "suffix" : "" } ], "container-title" : "Global ocean protection: Present status and future possibilities", "editor" : [ { "dropping-particle" : "", "family" : "Toropova", "given" : "Caitlyn", "non-dropping-particle" : "", "parse-names" : false, "suffix" : "" }, { "dropping-particle" : "", "family" : "Meliane", "given" : "Imen", "non-dropping-particle" : "", "parse-names" : false, "suffix" : "" }, { "dropping-particle" : "", "family" : "Laffoley", "given" : "D", "non-dropping-particle" : "", "parse-names" : false, "suffix" : "" }, { "dropping-particle" : "", "family" : "Matthews", "given" : "Elizabeth", "non-dropping-particle" : "", "parse-names" : false, "suffix" : "" }, { "dropping-particle" : "", "family" : "Spalding", "given" : "Mark", "non-dropping-particle" : "", "parse-names" : false, "suffix" : "" } ], "id" : "ITEM-1", "issued" : { "date-parts" : [ [ "2010" ] ] }, "page" : "69-82", "publisher" : "UNEP-WCMC", "publisher-place" : "Cambridge", "title" : "Moving forward toward networks and broader spatial management", "type" : "chapter" }, "uris" : [ "http://www.mendeley.com/documents/?uuid=4e4fd5ac-5f16-4575-a17b-a3cf5eca60ba", "http://www.mendeley.com/documents/?uuid=305a9831-6909-4b5f-982d-376a8b554be8" ] } ], "mendeley" : { "formattedCitation" : "(Melanie et al., 2010)", "plainTextFormattedCitation" : "(Melanie et al., 2010)", "previouslyFormattedCitation" : "(Melanie et al., 2010)" }, "properties" : {  }, "schema" : "https://github.com/citation-style-language/schema/raw/master/csl-citation.json" }</w:instrText>
      </w:r>
      <w:r w:rsidR="006175D8">
        <w:fldChar w:fldCharType="separate"/>
      </w:r>
      <w:r w:rsidR="00126000" w:rsidRPr="00126000">
        <w:rPr>
          <w:noProof/>
        </w:rPr>
        <w:t>(Melanie et al., 2010)</w:t>
      </w:r>
      <w:r w:rsidR="006175D8">
        <w:fldChar w:fldCharType="end"/>
      </w:r>
      <w:r w:rsidR="006175D8">
        <w:t xml:space="preserve">. Furthermore, the objectively defined sites identified in this study play a critical role toward meeting the 2020 Aichi Biodiversity Targets and the 2030 Agenda for the Sustainable Development, as the coverage of KBAs by protected areas is already an indicator of these global goals </w:t>
      </w:r>
      <w:r w:rsidR="006175D8">
        <w:fldChar w:fldCharType="begin" w:fldLock="1"/>
      </w:r>
      <w:r w:rsidR="00195AA8">
        <w:instrText>ADDIN CSL_CITATION { "citationItems" : [ { "id" : "ITEM-1", "itemData" : { "author" : [ { "dropping-particle" : "", "family" : "UN General Assembly", "given" : "", "non-dropping-particle" : "", "parse-names" : false, "suffix" : "" } ], "id" : "ITEM-1", "issued" : { "date-parts" : [ [ "2015" ] ] }, "title" : "Transforming our world : the 2030 Agenda for Sustainable Development, 21 October 2015, A/RES/70/1, available at: https://www.refworld.org/docid/57b6e3e44.html [accessed 15 March 2019]", "type" : "article-journal" }, "uris" : [ "http://www.mendeley.com/documents/?uuid=991ec781-4bc8-4e8b-b5ab-9db4762e2103", "http://www.mendeley.com/documents/?uuid=22a21fd8-7e73-47e0-8e53-f0fb2cfaf552" ] } ], "mendeley" : { "formattedCitation" : "(UN General Assembly, 2015)", "plainTextFormattedCitation" : "(UN General Assembly, 2015)", "previouslyFormattedCitation" : "(UN General Assembly, 2015)" }, "properties" : {  }, "schema" : "https://github.com/citation-style-language/schema/raw/master/csl-citation.json" }</w:instrText>
      </w:r>
      <w:r w:rsidR="006175D8">
        <w:fldChar w:fldCharType="separate"/>
      </w:r>
      <w:r w:rsidR="00126000" w:rsidRPr="00126000">
        <w:rPr>
          <w:noProof/>
        </w:rPr>
        <w:t>(UN General Assembly, 2015)</w:t>
      </w:r>
      <w:r w:rsidR="006175D8">
        <w:fldChar w:fldCharType="end"/>
      </w:r>
      <w:r w:rsidR="006175D8">
        <w:t xml:space="preserve">. </w:t>
      </w:r>
      <w:r w:rsidR="004D6E35">
        <w:t>B</w:t>
      </w:r>
      <w:r w:rsidR="006175D8">
        <w:t xml:space="preserve">eyond the borders of the </w:t>
      </w:r>
      <w:r w:rsidR="00A0170C">
        <w:t>SGSSI</w:t>
      </w:r>
      <w:r w:rsidR="006175D8">
        <w:t xml:space="preserve"> MPA, where KBAs were also identified, global conservation efforts must focus on the enforcement of bycatch mitigation measures, as their benefits have been clearly demonstrated within the MPA </w:t>
      </w:r>
      <w:r w:rsidR="006175D8">
        <w:fldChar w:fldCharType="begin" w:fldLock="1"/>
      </w:r>
      <w:r w:rsidR="00195AA8">
        <w:instrText>ADDIN CSL_CITATION { "citationItems" : [ { "id" : "ITEM-1", "itemData" : { "DOI" : "10.1016/j.biocon.2016.06.017", "ISSN" : "0006-3207", "author" : [ { "dropping-particle" : "", "family" : "Phillips", "given" : "R A", "non-dropping-particle" : "", "parse-names" : false, "suffix" : "" }, { "dropping-particle" : "", "family" : "Gales", "given" : "R", "non-dropping-particle" : "", "parse-names" : false, "suffix" : "" }, { "dropping-particle" : "", "family" : "Baker", "given" : "G B", "non-dropping-particle" : "", "parse-names" : false, "suffix" : "" }, { "dropping-particle" : "", "family" : "Double", "given" : "M C", "non-dropping-particle" : "", "parse-names" : false, "suffix" : "" }, { "dropping-particle" : "", "family" : "Favero", "given" : "M", "non-dropping-particle" : "", "parse-names" : false, "suffix" : "" }, { "dropping-particle" : "", "family" : "Quintana", "given" : "F", "non-dropping-particle" : "", "parse-names" : false, "suffix" : "" }, { "dropping-particle" : "", "family" : "Tasker", "given" : "M L", "non-dropping-particle" : "", "parse-names" : false, "suffix" : "" }, { "dropping-particle" : "", "family" : "Weimerskirch", "given" : "H", "non-dropping-particle" : "", "parse-names" : false, "suffix" : "" }, { "dropping-particle" : "", "family" : "Uhart", "given" : "M", "non-dropping-particle" : "", "parse-names" : false, "suffix" : "" }, { "dropping-particle" : "", "family" : "Wolfaardt", "given" : "A", "non-dropping-particle" : "", "parse-names" : false, "suffix" : "" } ], "container-title" : "Biological Conservation", "id" : "ITEM-1", "issued" : { "date-parts" : [ [ "2016" ] ] }, "page" : "169-183", "publisher" : "Elsevier Ltd.", "title" : "The conservation status and priorities for albatrosses and large petrels", "type" : "article-journal", "volume" : "201" }, "uris" : [ "http://www.mendeley.com/documents/?uuid=6bcf780b-5eae-43ee-80e7-f74621fbb3e5", "http://www.mendeley.com/documents/?uuid=4b150cfc-db1a-4742-9a1c-162ed7f78515" ] }, { "id" : "ITEM-2", "itemData" : { "DOI" : "10.1016/j.tree.2019.01.009", "author" : [ { "dropping-particle" : "", "family" : "Hays", "given" : "Graeme C", "non-dropping-particle" : "", "parse-names" : false, "suffix" : "" }, { "dropping-particle" : "", "family" : "Bailey", "given" : "Helen", "non-dropping-particle" : "", "parse-names" : false, "suffix" : "" }, { "dropping-particle" : "", "family" : "Bograd", "given" : "Steven J", "non-dropping-particle" : "", "parse-names" : false, "suffix" : "" }, { "dropping-particle" : "", "family" : "Bowen", "given" : "W Don", "non-dropping-particle" : "", "parse-names" : false, "suffix" : "" }, { "dropping-particle" : "", "family" : "Campagna", "given" : "Claudio", "non-dropping-particle" : "", "parse-names" : false, "suffix" : "" }, { "dropping-particle" : "", "family" : "Carmichael", "given" : "Ruth H", "non-dropping-particle" : "", "parse-names" : false, "suffix" : "" }, { "dropping-particle" : "", "family" : "Casale", "given" : "Paolo", "non-dropping-particle" : "", "parse-names" : false, "suffix" : "" }, { "dropping-particle" : "", "family" : "Chiaradia", "given" : "Andre", "non-dropping-particle" : "", "parse-names" : false, "suffix" : "" }, { "dropping-particle" : "", "family" : "Costa", "given" : "Daniel P", "non-dropping-particle" : "", "parse-names" : false, "suffix" : "" }, { "dropping-particle" : "", "family" : "Cuevas", "given" : "Eduardo", "non-dropping-particle" : "", "parse-names" : false, "suffix" : "" }, { "dropping-particle" : "De", "family" : "Bruyn", "given" : "P J Nico", "non-dropping-particle" : "", "parse-names" : false, "suffix" : "" }, { "dropping-particle" : "", "family" : "Dias", "given" : "Maria P", "non-dropping-particle" : "", "parse-names" : false, "suffix" : "" }, { "dropping-particle" : "", "family" : "Duarte", "given" : "Carlos M", "non-dropping-particle" : "", "parse-names" : false, "suffix" : "" }, { "dropping-particle" : "", "family" : "Dunn", "given" : "Daniel C", "non-dropping-particle" : "", "parse-names" : false, "suffix" : "" }, { "dropping-particle" : "", "family" : "Dutton", "given" : "Peter H", "non-dropping-particle" : "", "parse-names" : false, "suffix" : "" }, { "dropping-particle" : "", "family" : "Esteban", "given" : "Nicole", "non-dropping-particle" : "", "parse-names" : false, "suffix" : "" }, { "dropping-particle" : "", "family" : "Friedlaender", "given" : "Ari", "non-dropping-particle" : "", "parse-names" : false, "suffix" : "" }, { "dropping-particle" : "", "family" : "Goetz", "given" : "Kimberly T", "non-dropping-particle" : "", "parse-names" : false, "suffix" : "" }, { "dropping-particle" : "", "family" : "Godley", "given" : "Brendan J", "non-dropping-particle" : "", "parse-names" : false, "suffix" : "" }, { "dropping-particle" : "", "family" : "Halpin", "given" : "Patrick N", "non-dropping-particle" : "", "parse-names" : false, "suffix" : "" }, { "dropping-particle" : "", "family" : "Hamann", "given" : "Mark", "non-dropping-particle" : "", "parse-names" : false, "suffix" : "" }, { "dropping-particle" : "", "family" : "Hammerschlag", "given" : "Neil", "non-dropping-particle" : "", "parse-names" : false, "suffix" : "" }, { "dropping-particle" : "", "family" : "Harcourt", "given" : "Robert", "non-dropping-particle" : "", "parse-names" : false, "suffix" : "" }, { "dropping-particle" : "", "family" : "Harrison", "given" : "Autumn-lynn", "non-dropping-particle" : "", "parse-names" : false, "suffix" : "" }, { "dropping-particle" : "", "family" : "Hazen", "given" : "Elliott L", "non-dropping-particle" : "", "parse-names" : false, "suffix" : "" }, { "dropping-particle" : "", "family" : "Heupel", "given" : "Michelle R", "non-dropping-particle" : "", "parse-names" : false, "suffix" : "" }, { "dropping-particle" : "", "family" : "Hoyt", "given" : "Erich", "non-dropping-particle" : "", "parse-names" : false, "suffix" : "" }, { "dropping-particle" : "", "family" : "Humphries", "given" : "Nicolas E", "non-dropping-particle" : "", "parse-names" : false, "suffix" : "" }, { "dropping-particle" : "", "family" : "Kot", "given" : "Connie Y", "non-dropping-particle" : "", "parse-names" : false, "suffix" : "" }, { "dropping-particle" : "", "family" : "Lea", "given" : "James S E", "non-dropping-particle" : "", "parse-names" : false, "suffix" : "" }, { "dropping-particle" : "", "family" : "Marsh", "given" : "Helene", "non-dropping-particle" : "", "parse-names" : false, "suffix" : "" }, { "dropping-particle" : "", "family" : "Maxwell", "given" : "Sara M", "non-dropping-particle" : "", "parse-names" : false, "suffix" : "" }, { "dropping-particle" : "", "family" : "Mcmahon", "given" : "Clive R", "non-dropping-particle" : "", "parse-names" : false, "suffix" : "" }, { "dropping-particle" : "", "family" : "Notarbartolo", "given" : "Giuseppe", "non-dropping-particle" : "", "parse-names" : false, "suffix" : "" }, { "dropping-particle" : "", "family" : "Palacios", "given" : "Daniel M", "non-dropping-particle" : "", "parse-names" : false, "suffix" : "" }, { "dropping-particle" : "", "family" : "Phillips", "given" : "Richard A", "non-dropping-particle" : "", "parse-names" : false, "suffix" : "" }, { "dropping-particle" : "", "family" : "Righton", "given" : "David", "non-dropping-particle" : "", "parse-names" : false, "suffix" : "" }, { "dropping-particle" : "", "family" : "Scho", "given" : "Gail", "non-dropping-particle" : "", "parse-names" : false, "suffix" : "" }, { "dropping-particle" : "", "family" : "Seminoff", "given" : "Jeffrey A", "non-dropping-particle" : "", "parse-names" : false, "suffix" : "" }, { "dropping-particle" : "", "family" : "Simpfendorfer", "given" : "Colin A", "non-dropping-particle" : "", "parse-names" : false, "suffix" : "" }, { "dropping-particle" : "", "family" : "Sims", "given" : "David W", "non-dropping-particle" : "", "parse-names" : false, "suffix" : "" }, { "dropping-particle" : "", "family" : "Takahashi", "given" : "Akinori", "non-dropping-particle" : "", "parse-names" : false, "suffix" : "" }, { "dropping-particle" : "", "family" : "Tetley", "given" : "Michael J", "non-dropping-particle" : "", "parse-names" : false, "suffix" : "" }, { "dropping-particle" : "", "family" : "Thums", "given" : "Michele", "non-dropping-particle" : "", "parse-names" : false, "suffix" : "" }, { "dropping-particle" : "", "family" : "Trathan", "given" : "Philip N", "non-dropping-particle" : "", "parse-names" : false, "suffix" : "" }, { "dropping-particle" : "", "family" : "Villegas-amtmann", "given" : "Stella", "non-dropping-particle" : "", "parse-names" : false, "suffix" : "" }, { "dropping-particle" : "", "family" : "Wells", "given" : "Randall S", "non-dropping-particle" : "", "parse-names" : false, "suffix" : "" }, { "dropping-particle" : "", "family" : "Whiting", "given" : "Scott D", "non-dropping-particle" : "", "parse-names" : false, "suffix" : "" }, { "dropping-particle" : "", "family" : "Wildermann", "given" : "Natalie E", "non-dropping-particle" : "", "parse-names" : false, "suffix" : "" }, { "dropping-particle" : "", "family" : "Sequeira", "given" : "Ana M M", "non-dropping-particle" : "", "parse-names" : false, "suffix" : "" } ], "container-title" : "Trends in Ecology and Evolution", "id" : "ITEM-2", "issue" : "5", "issued" : { "date-parts" : [ [ "2019" ] ] }, "page" : "459-473", "title" : "Translating Marine Animal Tracking Data into Conservation Policy and Management", "type" : "article-journal", "volume" : "34" }, "uris" : [ "http://www.mendeley.com/documents/?uuid=6416d7bb-5267-4382-8879-074ed7b4d1c3", "http://www.mendeley.com/documents/?uuid=f209aa4c-e11a-419a-9bf5-a14ae8c44b6b" ] } ], "mendeley" : { "formattedCitation" : "(Hays et al., 2019; Phillips et al., 2016)", "plainTextFormattedCitation" : "(Hays et al., 2019; Phillips et al., 2016)", "previouslyFormattedCitation" : "(Hays et al., 2019; Phillips et al., 2016)" }, "properties" : {  }, "schema" : "https://github.com/citation-style-language/schema/raw/master/csl-citation.json" }</w:instrText>
      </w:r>
      <w:r w:rsidR="006175D8">
        <w:fldChar w:fldCharType="separate"/>
      </w:r>
      <w:r w:rsidR="00126000" w:rsidRPr="00126000">
        <w:rPr>
          <w:noProof/>
        </w:rPr>
        <w:t>(Hays et al., 2019; Phillips et al., 2016)</w:t>
      </w:r>
      <w:r w:rsidR="006175D8">
        <w:fldChar w:fldCharType="end"/>
      </w:r>
      <w:r w:rsidR="006175D8">
        <w:t xml:space="preserve">. Precedence to address the effects of competition for resources, particularly with a growing interest in mesopelagic fisheries </w:t>
      </w:r>
      <w:r w:rsidR="006175D8">
        <w:fldChar w:fldCharType="begin" w:fldLock="1"/>
      </w:r>
      <w:r w:rsidR="00195AA8">
        <w:instrText>ADDIN CSL_CITATION { "citationItems" : [ { "id" : "ITEM-1", "itemData" : { "DOI" : "10.3389/fmars.2016.00031", "author" : [ { "dropping-particle" : "", "family" : "St John", "given" : "Michael A", "non-dropping-particle" : "", "parse-names" : false, "suffix" : "" }, { "dropping-particle" : "", "family" : "Borja", "given" : "Angel", "non-dropping-particle" : "", "parse-names" : false, "suffix" : "" }, { "dropping-particle" : "", "family" : "Chust", "given" : "Guillem", "non-dropping-particle" : "", "parse-names" : false, "suffix" : "" }, { "dropping-particle" : "", "family" : "Heath", "given" : "Michael", "non-dropping-particle" : "", "parse-names" : false, "suffix" : "" }, { "dropping-particle" : "", "family" : "Grigorov", "given" : "Ivo", "non-dropping-particle" : "", "parse-names" : false, "suffix" : "" }, { "dropping-particle" : "", "family" : "Mariani", "given" : "Patrizio", "non-dropping-particle" : "", "parse-names" : false, "suffix" : "" }, { "dropping-particle" : "", "family" : "Martin", "given" : "Adrian P", "non-dropping-particle" : "", "parse-names" : false, "suffix" : "" }, { "dropping-particle" : "", "family" : "Santos", "given" : "Ricardo S", "non-dropping-particle" : "", "parse-names" : false, "suffix" : "" } ], "container-title" : "Frontiers in Marine Science", "id" : "ITEM-1", "issue" : "31", "issued" : { "date-parts" : [ [ "2016" ] ] }, "title" : "A Dark Hole in Our Understanding of Marine Ecosystems and Their Services: Perspectives from the Mesopelagic Community", "type" : "article-journal", "volume" : "3" }, "uris" : [ "http://www.mendeley.com/documents/?uuid=748b4237-2c5b-4a30-acff-6fac38fd516a", "http://www.mendeley.com/documents/?uuid=28ac8b47-f95e-403e-9e7f-af5e1c4db208" ] } ], "mendeley" : { "formattedCitation" : "(St John et al., 2016)", "plainTextFormattedCitation" : "(St John et al., 2016)", "previouslyFormattedCitation" : "(St John et al., 2016)" }, "properties" : {  }, "schema" : "https://github.com/citation-style-language/schema/raw/master/csl-citation.json" }</w:instrText>
      </w:r>
      <w:r w:rsidR="006175D8">
        <w:fldChar w:fldCharType="separate"/>
      </w:r>
      <w:r w:rsidR="00126000" w:rsidRPr="00126000">
        <w:rPr>
          <w:noProof/>
        </w:rPr>
        <w:t>(St John et al., 2016)</w:t>
      </w:r>
      <w:r w:rsidR="006175D8">
        <w:fldChar w:fldCharType="end"/>
      </w:r>
      <w:r w:rsidR="006175D8">
        <w:t xml:space="preserve">, and the future resilience of systems to  climate change will also be critical to consider. Ultimately, recognising sites through the new KBA framework now provides a harmonised approach to identify sites critical to biodiversity across all taxa </w:t>
      </w:r>
      <w:r w:rsidR="006175D8">
        <w:fldChar w:fldCharType="begin" w:fldLock="1"/>
      </w:r>
      <w:r w:rsidR="00195AA8">
        <w:instrText>ADDIN CSL_CITATION { "citationItems" : [ { "id" : "ITEM-1", "itemData" : { "ISBN" : "9782831718354", "author" : [ { "dropping-particle" : "", "family" : "IUCN", "given" : "", "non-dropping-particle" : "", "parse-names" : false, "suffix" : "" } ], "id" : "ITEM-1", "issued" : { "date-parts" : [ [ "2016" ] ] }, "publisher-place" : "Gland, Switzerland", "title" : "A Global Standard for the Identification of Key Biodiversity Areas, Version 1.0.", "type" : "book" }, "uris" : [ "http://www.mendeley.com/documents/?uuid=7dbe1c9b-27ac-4452-be36-bffa9b7d4960", "http://www.mendeley.com/documents/?uuid=7aa61310-4d2d-49a9-bfa9-5f48d70d25bf" ] }, { "id" : "ITEM-2", "itemData" : { "author" : [ { "dropping-particle" : "", "family" : "KBA Standards and Appeals Committee", "given" : "", "non-dropping-particle" : "", "parse-names" : false, "suffix" : "" } ], "id" : "ITEM-2", "issued" : { "date-parts" : [ [ "2019" ] ] }, "title" : "Guidelines for using a Global Standard for the Identification of Key Biodiversity Areas. Version 1.0. Prepared by the KBA Standards and Appeals Committee of the IUCN Species Survival Commission and IUCN World Commission on Protected Areas. Gland, Switzerl", "type" : "article-journal" }, "uris" : [ "http://www.mendeley.com/documents/?uuid=288b708e-3908-4000-bd58-2b2b823485e1", "http://www.mendeley.com/documents/?uuid=d2a68418-8d5e-47ce-ab1a-e20b78546704", "http://www.mendeley.com/documents/?uuid=d45a334e-27b4-428f-b85c-5f392bb18d47" ] } ], "mendeley" : { "formattedCitation" : "(IUCN, 2016; KBA Standards and Appeals Committee, 2019)", "plainTextFormattedCitation" : "(IUCN, 2016; KBA Standards and Appeals Committee, 2019)", "previouslyFormattedCitation" : "(IUCN, 2016; KBA Standards and Appeals Committee, 2019)" }, "properties" : {  }, "schema" : "https://github.com/citation-style-language/schema/raw/master/csl-citation.json" }</w:instrText>
      </w:r>
      <w:r w:rsidR="006175D8">
        <w:fldChar w:fldCharType="separate"/>
      </w:r>
      <w:r w:rsidR="00126000" w:rsidRPr="00126000">
        <w:rPr>
          <w:noProof/>
        </w:rPr>
        <w:t>(IUCN, 2016; KBA Standards and Appeals Committee, 2019)</w:t>
      </w:r>
      <w:r w:rsidR="006175D8">
        <w:fldChar w:fldCharType="end"/>
      </w:r>
      <w:r w:rsidR="006175D8">
        <w:t>. Therefore, we encourage practitioners to adopt this framework both for the development of future projects investigating species distributions and for the retrospective analysis of animal tracking data.</w:t>
      </w:r>
    </w:p>
    <w:p w14:paraId="3B0B0A62" w14:textId="77777777" w:rsidR="0014221E" w:rsidRPr="0014221E" w:rsidRDefault="0014221E" w:rsidP="0014221E"/>
    <w:p w14:paraId="1926F5D6" w14:textId="65C464F6" w:rsidR="008D0C12" w:rsidRDefault="008D0C12" w:rsidP="008D0C12">
      <w:pPr>
        <w:pStyle w:val="Heading1"/>
        <w:rPr>
          <w:rFonts w:eastAsiaTheme="minorHAnsi"/>
        </w:rPr>
      </w:pPr>
      <w:r>
        <w:rPr>
          <w:rFonts w:eastAsiaTheme="minorHAnsi"/>
        </w:rPr>
        <w:t>5. References</w:t>
      </w:r>
    </w:p>
    <w:p w14:paraId="381CE748" w14:textId="1468713F" w:rsidR="00B92111" w:rsidRPr="00B92111" w:rsidRDefault="00FE737C" w:rsidP="00B92111">
      <w:pPr>
        <w:widowControl w:val="0"/>
        <w:autoSpaceDE w:val="0"/>
        <w:autoSpaceDN w:val="0"/>
        <w:adjustRightInd w:val="0"/>
        <w:ind w:left="480" w:hanging="480"/>
        <w:rPr>
          <w:noProof/>
          <w:szCs w:val="24"/>
        </w:rPr>
      </w:pPr>
      <w:r>
        <w:fldChar w:fldCharType="begin" w:fldLock="1"/>
      </w:r>
      <w:r>
        <w:instrText xml:space="preserve">ADDIN Mendeley Bibliography CSL_BIBLIOGRAPHY </w:instrText>
      </w:r>
      <w:r>
        <w:fldChar w:fldCharType="separate"/>
      </w:r>
      <w:r w:rsidR="00B92111" w:rsidRPr="00B92111">
        <w:rPr>
          <w:noProof/>
          <w:szCs w:val="24"/>
        </w:rPr>
        <w:t>Atkinson, A., Hill, S. L., Pakhomov, E. A., Siegel, V., Reiss, C. S., Loeb, V. J., … Sailley, S. F. (2019). Krill (</w:t>
      </w:r>
      <w:r w:rsidR="00B92111" w:rsidRPr="00B92111">
        <w:rPr>
          <w:i/>
          <w:iCs/>
          <w:noProof/>
          <w:szCs w:val="24"/>
        </w:rPr>
        <w:t>Euphausia superba</w:t>
      </w:r>
      <w:r w:rsidR="00B92111" w:rsidRPr="00B92111">
        <w:rPr>
          <w:noProof/>
          <w:szCs w:val="24"/>
        </w:rPr>
        <w:t xml:space="preserve">) distribution contracts southward during rapid regional </w:t>
      </w:r>
      <w:r w:rsidR="00B92111" w:rsidRPr="00B92111">
        <w:rPr>
          <w:noProof/>
          <w:szCs w:val="24"/>
        </w:rPr>
        <w:lastRenderedPageBreak/>
        <w:t xml:space="preserve">warming. </w:t>
      </w:r>
      <w:r w:rsidR="00B92111" w:rsidRPr="00B92111">
        <w:rPr>
          <w:i/>
          <w:iCs/>
          <w:noProof/>
          <w:szCs w:val="24"/>
        </w:rPr>
        <w:t>Nature Climate Change</w:t>
      </w:r>
      <w:r w:rsidR="00B92111" w:rsidRPr="00B92111">
        <w:rPr>
          <w:noProof/>
          <w:szCs w:val="24"/>
        </w:rPr>
        <w:t>. https://doi.org/10.1038/s41558-018-0370-z</w:t>
      </w:r>
    </w:p>
    <w:p w14:paraId="47E1833B"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Barlow, K. E., Boyd, I. L., Croxall, J. P., Reid, K., Staniland, I. J., &amp; Brierly, A. S. (2002). Are penguins and seals in competition for Antarctic krill at South Georgia? </w:t>
      </w:r>
      <w:r w:rsidRPr="00B92111">
        <w:rPr>
          <w:i/>
          <w:iCs/>
          <w:noProof/>
          <w:szCs w:val="24"/>
        </w:rPr>
        <w:t>Marine Biology</w:t>
      </w:r>
      <w:r w:rsidRPr="00B92111">
        <w:rPr>
          <w:noProof/>
          <w:szCs w:val="24"/>
        </w:rPr>
        <w:t xml:space="preserve">, </w:t>
      </w:r>
      <w:r w:rsidRPr="00B92111">
        <w:rPr>
          <w:i/>
          <w:iCs/>
          <w:noProof/>
          <w:szCs w:val="24"/>
        </w:rPr>
        <w:t>140</w:t>
      </w:r>
      <w:r w:rsidRPr="00B92111">
        <w:rPr>
          <w:noProof/>
          <w:szCs w:val="24"/>
        </w:rPr>
        <w:t>, 205–213. https://doi.org/10.1007/s00227-001-0691-7</w:t>
      </w:r>
    </w:p>
    <w:p w14:paraId="3174529D"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Barr, L., &amp; Possingham, H. P. (2013). Are outcomes matching policy commitments in Australian marine conservation planning? </w:t>
      </w:r>
      <w:r w:rsidRPr="00B92111">
        <w:rPr>
          <w:i/>
          <w:iCs/>
          <w:noProof/>
          <w:szCs w:val="24"/>
        </w:rPr>
        <w:t>Marine Policy</w:t>
      </w:r>
      <w:r w:rsidRPr="00B92111">
        <w:rPr>
          <w:noProof/>
          <w:szCs w:val="24"/>
        </w:rPr>
        <w:t xml:space="preserve">, </w:t>
      </w:r>
      <w:r w:rsidRPr="00B92111">
        <w:rPr>
          <w:i/>
          <w:iCs/>
          <w:noProof/>
          <w:szCs w:val="24"/>
        </w:rPr>
        <w:t>42</w:t>
      </w:r>
      <w:r w:rsidRPr="00B92111">
        <w:rPr>
          <w:noProof/>
          <w:szCs w:val="24"/>
        </w:rPr>
        <w:t>, 39–48.</w:t>
      </w:r>
    </w:p>
    <w:p w14:paraId="56922541"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Boersma, P. D. (2008). Penguins as Marine Sentinels. </w:t>
      </w:r>
      <w:r w:rsidRPr="00B92111">
        <w:rPr>
          <w:i/>
          <w:iCs/>
          <w:noProof/>
          <w:szCs w:val="24"/>
        </w:rPr>
        <w:t>BioScience</w:t>
      </w:r>
      <w:r w:rsidRPr="00B92111">
        <w:rPr>
          <w:noProof/>
          <w:szCs w:val="24"/>
        </w:rPr>
        <w:t xml:space="preserve">, </w:t>
      </w:r>
      <w:r w:rsidRPr="00B92111">
        <w:rPr>
          <w:i/>
          <w:iCs/>
          <w:noProof/>
          <w:szCs w:val="24"/>
        </w:rPr>
        <w:t>58</w:t>
      </w:r>
      <w:r w:rsidRPr="00B92111">
        <w:rPr>
          <w:noProof/>
          <w:szCs w:val="24"/>
        </w:rPr>
        <w:t>(7), 597–607. https://doi.org/10.1641/B580707</w:t>
      </w:r>
    </w:p>
    <w:p w14:paraId="3FAC0EBF"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Borboroglu, P. G., &amp; Boersma, P. D. (2013). </w:t>
      </w:r>
      <w:r w:rsidRPr="00B92111">
        <w:rPr>
          <w:i/>
          <w:iCs/>
          <w:noProof/>
          <w:szCs w:val="24"/>
        </w:rPr>
        <w:t>Penguins: Natural History and Conservation</w:t>
      </w:r>
      <w:r w:rsidRPr="00B92111">
        <w:rPr>
          <w:noProof/>
          <w:szCs w:val="24"/>
        </w:rPr>
        <w:t>. Seattle: University of Washington Press.</w:t>
      </w:r>
    </w:p>
    <w:p w14:paraId="46BE90F3"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Boyd, I. L. (1999). Foraging and provisioning in Antarctic fur seals: interannual variability in time-energy budgets. </w:t>
      </w:r>
      <w:r w:rsidRPr="00B92111">
        <w:rPr>
          <w:i/>
          <w:iCs/>
          <w:noProof/>
          <w:szCs w:val="24"/>
        </w:rPr>
        <w:t>Behavioral Ecology</w:t>
      </w:r>
      <w:r w:rsidRPr="00B92111">
        <w:rPr>
          <w:noProof/>
          <w:szCs w:val="24"/>
        </w:rPr>
        <w:t xml:space="preserve">, </w:t>
      </w:r>
      <w:r w:rsidRPr="00B92111">
        <w:rPr>
          <w:i/>
          <w:iCs/>
          <w:noProof/>
          <w:szCs w:val="24"/>
        </w:rPr>
        <w:t>10</w:t>
      </w:r>
      <w:r w:rsidRPr="00B92111">
        <w:rPr>
          <w:noProof/>
          <w:szCs w:val="24"/>
        </w:rPr>
        <w:t>(2), 198–208. https://doi.org/10.1093/beheco/10.2.198</w:t>
      </w:r>
    </w:p>
    <w:p w14:paraId="17CB92C5"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Boyd, I. L., Staniland, I. J., &amp; Martin, A. R. (2002). Distribution of foraging by female Antarctic fur seals. </w:t>
      </w:r>
      <w:r w:rsidRPr="00B92111">
        <w:rPr>
          <w:i/>
          <w:iCs/>
          <w:noProof/>
          <w:szCs w:val="24"/>
        </w:rPr>
        <w:t>Marine Ecology Progress Series</w:t>
      </w:r>
      <w:r w:rsidRPr="00B92111">
        <w:rPr>
          <w:noProof/>
          <w:szCs w:val="24"/>
        </w:rPr>
        <w:t xml:space="preserve">, </w:t>
      </w:r>
      <w:r w:rsidRPr="00B92111">
        <w:rPr>
          <w:i/>
          <w:iCs/>
          <w:noProof/>
          <w:szCs w:val="24"/>
        </w:rPr>
        <w:t>242</w:t>
      </w:r>
      <w:r w:rsidRPr="00B92111">
        <w:rPr>
          <w:noProof/>
          <w:szCs w:val="24"/>
        </w:rPr>
        <w:t>, 285–294. https://doi.org/10.3354/meps242285</w:t>
      </w:r>
    </w:p>
    <w:p w14:paraId="77CA56E5"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Calenge, C. (2006). The package adehabitat for the R software: a tool for the analysis of space and habitat use by animals. </w:t>
      </w:r>
      <w:r w:rsidRPr="00B92111">
        <w:rPr>
          <w:i/>
          <w:iCs/>
          <w:noProof/>
          <w:szCs w:val="24"/>
        </w:rPr>
        <w:t>Ecological Modelling</w:t>
      </w:r>
      <w:r w:rsidRPr="00B92111">
        <w:rPr>
          <w:noProof/>
          <w:szCs w:val="24"/>
        </w:rPr>
        <w:t xml:space="preserve">, </w:t>
      </w:r>
      <w:r w:rsidRPr="00B92111">
        <w:rPr>
          <w:i/>
          <w:iCs/>
          <w:noProof/>
          <w:szCs w:val="24"/>
        </w:rPr>
        <w:t>197</w:t>
      </w:r>
      <w:r w:rsidRPr="00B92111">
        <w:rPr>
          <w:noProof/>
          <w:szCs w:val="24"/>
        </w:rPr>
        <w:t>, 516–519.</w:t>
      </w:r>
    </w:p>
    <w:p w14:paraId="28748C66" w14:textId="5242EACA" w:rsidR="00B92111" w:rsidRPr="00B92111" w:rsidRDefault="00B92111" w:rsidP="00B92111">
      <w:pPr>
        <w:widowControl w:val="0"/>
        <w:autoSpaceDE w:val="0"/>
        <w:autoSpaceDN w:val="0"/>
        <w:adjustRightInd w:val="0"/>
        <w:ind w:left="480" w:hanging="480"/>
        <w:rPr>
          <w:noProof/>
          <w:szCs w:val="24"/>
        </w:rPr>
      </w:pPr>
      <w:r w:rsidRPr="00B92111">
        <w:rPr>
          <w:noProof/>
          <w:szCs w:val="24"/>
        </w:rPr>
        <w:t>Carneiro, A. P. B., Pearmain, E. J., Oppel, S., Clay, T. A., Phillips, R. A., Bonnet-Le</w:t>
      </w:r>
      <w:r w:rsidR="006D29D7">
        <w:rPr>
          <w:noProof/>
          <w:szCs w:val="24"/>
        </w:rPr>
        <w:t>brun, A.-S., … Dias, M. P. (in press.</w:t>
      </w:r>
      <w:r w:rsidRPr="00B92111">
        <w:rPr>
          <w:noProof/>
          <w:szCs w:val="24"/>
        </w:rPr>
        <w:t xml:space="preserve">). A framework for mapping the distribution of Southern Ocean seabirds across life-history stages, by integrating tracking, demography and phenology. </w:t>
      </w:r>
      <w:r w:rsidRPr="00B92111">
        <w:rPr>
          <w:i/>
          <w:iCs/>
          <w:noProof/>
          <w:szCs w:val="24"/>
        </w:rPr>
        <w:t>Journal of Applied Ecology</w:t>
      </w:r>
      <w:r w:rsidRPr="00B92111">
        <w:rPr>
          <w:noProof/>
          <w:szCs w:val="24"/>
        </w:rPr>
        <w:t>.</w:t>
      </w:r>
    </w:p>
    <w:p w14:paraId="1A3AEC9D"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CBD. (2010). Aichi Biodiversity Targets. https://www.cbd.int/sp/targets/ (Accessed 12 Jan 2019).</w:t>
      </w:r>
    </w:p>
    <w:p w14:paraId="6194086B"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Clay, T. A., Small, C., Tuck, G. N., Pardo, D., Carneiro, A. P. B., Wood, A. G., … Phillips, R. A. (2019). A comprehensive large</w:t>
      </w:r>
      <w:r w:rsidRPr="00B92111">
        <w:rPr>
          <w:rFonts w:ascii="Cambria Math" w:hAnsi="Cambria Math" w:cs="Cambria Math"/>
          <w:noProof/>
          <w:szCs w:val="24"/>
        </w:rPr>
        <w:t>‐</w:t>
      </w:r>
      <w:r w:rsidRPr="00B92111">
        <w:rPr>
          <w:noProof/>
          <w:szCs w:val="24"/>
        </w:rPr>
        <w:t xml:space="preserve">scale assessment of fisheries bycatch risk to threatened seabird populations. </w:t>
      </w:r>
      <w:r w:rsidRPr="00B92111">
        <w:rPr>
          <w:i/>
          <w:iCs/>
          <w:noProof/>
          <w:szCs w:val="24"/>
        </w:rPr>
        <w:t>Journal of Applied Ecology</w:t>
      </w:r>
      <w:r w:rsidRPr="00B92111">
        <w:rPr>
          <w:noProof/>
          <w:szCs w:val="24"/>
        </w:rPr>
        <w:t xml:space="preserve">, </w:t>
      </w:r>
      <w:r w:rsidRPr="00B92111">
        <w:rPr>
          <w:i/>
          <w:iCs/>
          <w:noProof/>
          <w:szCs w:val="24"/>
        </w:rPr>
        <w:t>0</w:t>
      </w:r>
      <w:r w:rsidRPr="00B92111">
        <w:rPr>
          <w:noProof/>
          <w:szCs w:val="24"/>
        </w:rPr>
        <w:t>, 1–12. https://doi.org/10.1111/1365-2664.13407</w:t>
      </w:r>
    </w:p>
    <w:p w14:paraId="0713D25B"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Croxall, J. P. (2008). The role of science and advocacy in the conservation of Southern Ocean albatrosses at sea. </w:t>
      </w:r>
      <w:r w:rsidRPr="00B92111">
        <w:rPr>
          <w:i/>
          <w:iCs/>
          <w:noProof/>
          <w:szCs w:val="24"/>
        </w:rPr>
        <w:t>Bird Conservation International</w:t>
      </w:r>
      <w:r w:rsidRPr="00B92111">
        <w:rPr>
          <w:noProof/>
          <w:szCs w:val="24"/>
        </w:rPr>
        <w:t xml:space="preserve">, </w:t>
      </w:r>
      <w:r w:rsidRPr="00B92111">
        <w:rPr>
          <w:i/>
          <w:iCs/>
          <w:noProof/>
          <w:szCs w:val="24"/>
        </w:rPr>
        <w:t>18</w:t>
      </w:r>
      <w:r w:rsidRPr="00B92111">
        <w:rPr>
          <w:noProof/>
          <w:szCs w:val="24"/>
        </w:rPr>
        <w:t>, 13–29. https://doi.org/10.1017/S0959270908000300</w:t>
      </w:r>
    </w:p>
    <w:p w14:paraId="1E79AC9A"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Croxall, J. P., Prince, P. A., &amp; Reid, K. (1997). Dietary segregation of krill-eating South Georgia </w:t>
      </w:r>
      <w:r w:rsidRPr="00B92111">
        <w:rPr>
          <w:noProof/>
          <w:szCs w:val="24"/>
        </w:rPr>
        <w:lastRenderedPageBreak/>
        <w:t xml:space="preserve">seabirds. </w:t>
      </w:r>
      <w:r w:rsidRPr="00B92111">
        <w:rPr>
          <w:i/>
          <w:iCs/>
          <w:noProof/>
          <w:szCs w:val="24"/>
        </w:rPr>
        <w:t>Journal of Zoology</w:t>
      </w:r>
      <w:r w:rsidRPr="00B92111">
        <w:rPr>
          <w:noProof/>
          <w:szCs w:val="24"/>
        </w:rPr>
        <w:t xml:space="preserve">, </w:t>
      </w:r>
      <w:r w:rsidRPr="00B92111">
        <w:rPr>
          <w:i/>
          <w:iCs/>
          <w:noProof/>
          <w:szCs w:val="24"/>
        </w:rPr>
        <w:t>242</w:t>
      </w:r>
      <w:r w:rsidRPr="00B92111">
        <w:rPr>
          <w:noProof/>
          <w:szCs w:val="24"/>
        </w:rPr>
        <w:t>(3), 531–556. https://doi.org/10.1111/j.1469-7998.1997.tb03854.x</w:t>
      </w:r>
    </w:p>
    <w:p w14:paraId="3CDF449F"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Croxall, J., Prince, P., &amp; Reid, K. (2004). Management of Southern Ocean fisheries: global forces and future sustainability. </w:t>
      </w:r>
      <w:r w:rsidRPr="00B92111">
        <w:rPr>
          <w:i/>
          <w:iCs/>
          <w:noProof/>
          <w:szCs w:val="24"/>
        </w:rPr>
        <w:t>Antarctic Science</w:t>
      </w:r>
      <w:r w:rsidRPr="00B92111">
        <w:rPr>
          <w:noProof/>
          <w:szCs w:val="24"/>
        </w:rPr>
        <w:t xml:space="preserve">, </w:t>
      </w:r>
      <w:r w:rsidRPr="00B92111">
        <w:rPr>
          <w:i/>
          <w:iCs/>
          <w:noProof/>
          <w:szCs w:val="24"/>
        </w:rPr>
        <w:t>16</w:t>
      </w:r>
      <w:r w:rsidRPr="00B92111">
        <w:rPr>
          <w:noProof/>
          <w:szCs w:val="24"/>
        </w:rPr>
        <w:t>(4), 569–584. https://doi.org/10.1017/S0954102004002330</w:t>
      </w:r>
    </w:p>
    <w:p w14:paraId="5C5855D6"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Delord, K., Barbraud, C., Bost, C. A., Deceuninck, B., Lefebvre, T., Lutz, R., … Weimerskirch, H. (2014). Areas of importance for seabirds tracked from French southern territories, and recommendations for conservation. </w:t>
      </w:r>
      <w:r w:rsidRPr="00B92111">
        <w:rPr>
          <w:i/>
          <w:iCs/>
          <w:noProof/>
          <w:szCs w:val="24"/>
        </w:rPr>
        <w:t>Marine Policy</w:t>
      </w:r>
      <w:r w:rsidRPr="00B92111">
        <w:rPr>
          <w:noProof/>
          <w:szCs w:val="24"/>
        </w:rPr>
        <w:t xml:space="preserve">, </w:t>
      </w:r>
      <w:r w:rsidRPr="00B92111">
        <w:rPr>
          <w:i/>
          <w:iCs/>
          <w:noProof/>
          <w:szCs w:val="24"/>
        </w:rPr>
        <w:t>48</w:t>
      </w:r>
      <w:r w:rsidRPr="00B92111">
        <w:rPr>
          <w:noProof/>
          <w:szCs w:val="24"/>
        </w:rPr>
        <w:t>, 1–13. https://doi.org/10.1016/j.marpol.2014.02.019</w:t>
      </w:r>
    </w:p>
    <w:p w14:paraId="43E1D6EC"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Dias, M. P., Carneiro, A. P. B., Warwick-evans, V., Harris, C., Lorenz, K., Lascelles, B., … Trathan, P. N. (2018). Identification of marine Important Bird and Biodiversity Areas for penguins around the South Shetland Islands and South Orkeny Islands. </w:t>
      </w:r>
      <w:r w:rsidRPr="00B92111">
        <w:rPr>
          <w:i/>
          <w:iCs/>
          <w:noProof/>
          <w:szCs w:val="24"/>
        </w:rPr>
        <w:t>Ecology and Evolution</w:t>
      </w:r>
      <w:r w:rsidRPr="00B92111">
        <w:rPr>
          <w:noProof/>
          <w:szCs w:val="24"/>
        </w:rPr>
        <w:t xml:space="preserve">, </w:t>
      </w:r>
      <w:r w:rsidRPr="00B92111">
        <w:rPr>
          <w:i/>
          <w:iCs/>
          <w:noProof/>
          <w:szCs w:val="24"/>
        </w:rPr>
        <w:t>8</w:t>
      </w:r>
      <w:r w:rsidRPr="00B92111">
        <w:rPr>
          <w:noProof/>
          <w:szCs w:val="24"/>
        </w:rPr>
        <w:t>, 10520–10529. https://doi.org/10.1002/ece3.4519</w:t>
      </w:r>
    </w:p>
    <w:p w14:paraId="49FEEFF4"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Dias, M. P., Warwick-Evans, V., Carneiro, A. P. B., Harris, C., Lascelles, B. G., Clewlow, H. L., … Trathan, P. N. (2018). Using habitat models to identify marine important bird and biodiversity areas for Chinstrap Penguins Pygoscelis antarcticus in the South Orkney Islands. </w:t>
      </w:r>
      <w:r w:rsidRPr="00B92111">
        <w:rPr>
          <w:i/>
          <w:iCs/>
          <w:noProof/>
          <w:szCs w:val="24"/>
        </w:rPr>
        <w:t>Polar Biology</w:t>
      </w:r>
      <w:r w:rsidRPr="00B92111">
        <w:rPr>
          <w:noProof/>
          <w:szCs w:val="24"/>
        </w:rPr>
        <w:t>, 1–9. https://doi.org/10.1007/s00300-018-2404-4</w:t>
      </w:r>
    </w:p>
    <w:p w14:paraId="544843C6"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Divoky, G. J., Douglas, D. C., &amp; Stenhouse, I. J. (2016). Arctic sea ice a major determinant in Mandt ’s black guillemot movement and distribution during non-breeding season. </w:t>
      </w:r>
      <w:r w:rsidRPr="00B92111">
        <w:rPr>
          <w:i/>
          <w:iCs/>
          <w:noProof/>
          <w:szCs w:val="24"/>
        </w:rPr>
        <w:t>Biology Letters</w:t>
      </w:r>
      <w:r w:rsidRPr="00B92111">
        <w:rPr>
          <w:noProof/>
          <w:szCs w:val="24"/>
        </w:rPr>
        <w:t xml:space="preserve">, </w:t>
      </w:r>
      <w:r w:rsidRPr="00B92111">
        <w:rPr>
          <w:i/>
          <w:iCs/>
          <w:noProof/>
          <w:szCs w:val="24"/>
        </w:rPr>
        <w:t>12</w:t>
      </w:r>
      <w:r w:rsidRPr="00B92111">
        <w:rPr>
          <w:noProof/>
          <w:szCs w:val="24"/>
        </w:rPr>
        <w:t>, 20160275.</w:t>
      </w:r>
    </w:p>
    <w:p w14:paraId="735CDE7D"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Dunn, D. C., Ardron, J., Bax, N., Bernal, P., Cleary, J., Cresswell, I., … Halpin, P. N. (2014). The Convention on Biological Diversity’s Ecologically or Biologically Significant Areas: Origins, development, and current status. </w:t>
      </w:r>
      <w:r w:rsidRPr="00B92111">
        <w:rPr>
          <w:i/>
          <w:iCs/>
          <w:noProof/>
          <w:szCs w:val="24"/>
        </w:rPr>
        <w:t>Marine Policy</w:t>
      </w:r>
      <w:r w:rsidRPr="00B92111">
        <w:rPr>
          <w:noProof/>
          <w:szCs w:val="24"/>
        </w:rPr>
        <w:t xml:space="preserve">, </w:t>
      </w:r>
      <w:r w:rsidRPr="00B92111">
        <w:rPr>
          <w:i/>
          <w:iCs/>
          <w:noProof/>
          <w:szCs w:val="24"/>
        </w:rPr>
        <w:t>49</w:t>
      </w:r>
      <w:r w:rsidRPr="00B92111">
        <w:rPr>
          <w:noProof/>
          <w:szCs w:val="24"/>
        </w:rPr>
        <w:t>, 137–145. https://doi.org/10.1016/j.marpol.2013.12.002</w:t>
      </w:r>
    </w:p>
    <w:p w14:paraId="4CD06043"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Edgar, G. J., Stuart-Smith, R. D., Willis, T. J., Kininmonth, S., Baker, S. C., Banks, S., … Thomson, R. J. (2014). Global conservation outcomes depend on marine protected areas with five key features. </w:t>
      </w:r>
      <w:r w:rsidRPr="00B92111">
        <w:rPr>
          <w:i/>
          <w:iCs/>
          <w:noProof/>
          <w:szCs w:val="24"/>
        </w:rPr>
        <w:t>Nature</w:t>
      </w:r>
      <w:r w:rsidRPr="00B92111">
        <w:rPr>
          <w:noProof/>
          <w:szCs w:val="24"/>
        </w:rPr>
        <w:t xml:space="preserve">, </w:t>
      </w:r>
      <w:r w:rsidRPr="00B92111">
        <w:rPr>
          <w:i/>
          <w:iCs/>
          <w:noProof/>
          <w:szCs w:val="24"/>
        </w:rPr>
        <w:t>506</w:t>
      </w:r>
      <w:r w:rsidRPr="00B92111">
        <w:rPr>
          <w:noProof/>
          <w:szCs w:val="24"/>
        </w:rPr>
        <w:t>(7487), 216–220. https://doi.org/10.1038/nature13022</w:t>
      </w:r>
    </w:p>
    <w:p w14:paraId="7109D81B"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Ehler, C., &amp; Douvere, F. (2009). Marine spatial planning. A Step-by-Step Approach toward ecosystem-based management. Intergovernmental Oceanographic Commission and Man and the Biosphere Programme. IOC Manual and Guides No. 53, ICAM Dossier No. 6. Paris: UNESCO. 2009 (English).</w:t>
      </w:r>
    </w:p>
    <w:p w14:paraId="21B487FC"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Eken, G., Bennun, L., Brooks, T. M., Darwall, W., Fishpool, L. D. C., Foster, M., … Tordoff, A. (2004). Key Biodiversity Areas as Site Conservation Targets. </w:t>
      </w:r>
      <w:r w:rsidRPr="00B92111">
        <w:rPr>
          <w:i/>
          <w:iCs/>
          <w:noProof/>
          <w:szCs w:val="24"/>
        </w:rPr>
        <w:t>BioScience</w:t>
      </w:r>
      <w:r w:rsidRPr="00B92111">
        <w:rPr>
          <w:noProof/>
          <w:szCs w:val="24"/>
        </w:rPr>
        <w:t xml:space="preserve">, </w:t>
      </w:r>
      <w:r w:rsidRPr="00B92111">
        <w:rPr>
          <w:i/>
          <w:iCs/>
          <w:noProof/>
          <w:szCs w:val="24"/>
        </w:rPr>
        <w:t>54</w:t>
      </w:r>
      <w:r w:rsidRPr="00B92111">
        <w:rPr>
          <w:noProof/>
          <w:szCs w:val="24"/>
        </w:rPr>
        <w:t>(12), 1110–</w:t>
      </w:r>
      <w:r w:rsidRPr="00B92111">
        <w:rPr>
          <w:noProof/>
          <w:szCs w:val="24"/>
        </w:rPr>
        <w:lastRenderedPageBreak/>
        <w:t>1118.</w:t>
      </w:r>
    </w:p>
    <w:p w14:paraId="25D191E9" w14:textId="77777777" w:rsidR="00B92111" w:rsidRPr="00BF1053" w:rsidRDefault="00B92111" w:rsidP="00B92111">
      <w:pPr>
        <w:widowControl w:val="0"/>
        <w:autoSpaceDE w:val="0"/>
        <w:autoSpaceDN w:val="0"/>
        <w:adjustRightInd w:val="0"/>
        <w:ind w:left="480" w:hanging="480"/>
        <w:rPr>
          <w:noProof/>
          <w:szCs w:val="24"/>
          <w:lang w:val="fr-FR"/>
        </w:rPr>
      </w:pPr>
      <w:r w:rsidRPr="00BF1053">
        <w:rPr>
          <w:noProof/>
          <w:szCs w:val="24"/>
          <w:lang w:val="es-ES"/>
        </w:rPr>
        <w:t xml:space="preserve">Forcada, J., &amp; Hoffman, J. I. (2014). </w:t>
      </w:r>
      <w:r w:rsidRPr="00B92111">
        <w:rPr>
          <w:noProof/>
          <w:szCs w:val="24"/>
        </w:rPr>
        <w:t xml:space="preserve">Climate change selects for heterozygosity in a declining fur seal population. </w:t>
      </w:r>
      <w:r w:rsidRPr="00BF1053">
        <w:rPr>
          <w:i/>
          <w:iCs/>
          <w:noProof/>
          <w:szCs w:val="24"/>
          <w:lang w:val="fr-FR"/>
        </w:rPr>
        <w:t>Nature</w:t>
      </w:r>
      <w:r w:rsidRPr="00BF1053">
        <w:rPr>
          <w:noProof/>
          <w:szCs w:val="24"/>
          <w:lang w:val="fr-FR"/>
        </w:rPr>
        <w:t xml:space="preserve">, </w:t>
      </w:r>
      <w:r w:rsidRPr="00BF1053">
        <w:rPr>
          <w:i/>
          <w:iCs/>
          <w:noProof/>
          <w:szCs w:val="24"/>
          <w:lang w:val="fr-FR"/>
        </w:rPr>
        <w:t>511</w:t>
      </w:r>
      <w:r w:rsidRPr="00BF1053">
        <w:rPr>
          <w:noProof/>
          <w:szCs w:val="24"/>
          <w:lang w:val="fr-FR"/>
        </w:rPr>
        <w:t>(7510), 462–465. https://doi.org/10.1038/nature13542</w:t>
      </w:r>
    </w:p>
    <w:p w14:paraId="73D7566E" w14:textId="77777777" w:rsidR="00B92111" w:rsidRPr="00BF1053" w:rsidRDefault="00B92111" w:rsidP="00B92111">
      <w:pPr>
        <w:widowControl w:val="0"/>
        <w:autoSpaceDE w:val="0"/>
        <w:autoSpaceDN w:val="0"/>
        <w:adjustRightInd w:val="0"/>
        <w:ind w:left="480" w:hanging="480"/>
        <w:rPr>
          <w:noProof/>
          <w:szCs w:val="24"/>
          <w:lang w:val="fr-FR"/>
        </w:rPr>
      </w:pPr>
      <w:r w:rsidRPr="00BF1053">
        <w:rPr>
          <w:noProof/>
          <w:szCs w:val="24"/>
          <w:lang w:val="fr-FR"/>
        </w:rPr>
        <w:t xml:space="preserve">Freitas, C. (2012). argosfilter: Argos locations filter. </w:t>
      </w:r>
      <w:r w:rsidRPr="00BF1053">
        <w:rPr>
          <w:i/>
          <w:iCs/>
          <w:noProof/>
          <w:szCs w:val="24"/>
          <w:lang w:val="fr-FR"/>
        </w:rPr>
        <w:t>R Package Version 0.63.</w:t>
      </w:r>
    </w:p>
    <w:p w14:paraId="271BC268"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Furness, R. W., &amp; Camphuysen, K. C. J. (1997). Seabirds as monitors of the marine environment. </w:t>
      </w:r>
      <w:r w:rsidRPr="00B92111">
        <w:rPr>
          <w:i/>
          <w:iCs/>
          <w:noProof/>
          <w:szCs w:val="24"/>
        </w:rPr>
        <w:t>ICES Journal of Marine Science</w:t>
      </w:r>
      <w:r w:rsidRPr="00B92111">
        <w:rPr>
          <w:noProof/>
          <w:szCs w:val="24"/>
        </w:rPr>
        <w:t xml:space="preserve">, </w:t>
      </w:r>
      <w:r w:rsidRPr="00B92111">
        <w:rPr>
          <w:i/>
          <w:iCs/>
          <w:noProof/>
          <w:szCs w:val="24"/>
        </w:rPr>
        <w:t>54</w:t>
      </w:r>
      <w:r w:rsidRPr="00B92111">
        <w:rPr>
          <w:noProof/>
          <w:szCs w:val="24"/>
        </w:rPr>
        <w:t>, 726–737.</w:t>
      </w:r>
    </w:p>
    <w:p w14:paraId="6EFDE0C7"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Gill, D. A., Mascia, M. B., Ahmadia, G. N., Glew, L., Lester, S. E., Barnes, M., … Fox, H. E. (2017). Capacity shortfalls hinder the performance of marine protected areas globally. </w:t>
      </w:r>
      <w:r w:rsidRPr="00B92111">
        <w:rPr>
          <w:i/>
          <w:iCs/>
          <w:noProof/>
          <w:szCs w:val="24"/>
        </w:rPr>
        <w:t>Nature</w:t>
      </w:r>
      <w:r w:rsidRPr="00B92111">
        <w:rPr>
          <w:noProof/>
          <w:szCs w:val="24"/>
        </w:rPr>
        <w:t xml:space="preserve">, </w:t>
      </w:r>
      <w:r w:rsidRPr="00B92111">
        <w:rPr>
          <w:i/>
          <w:iCs/>
          <w:noProof/>
          <w:szCs w:val="24"/>
        </w:rPr>
        <w:t>543</w:t>
      </w:r>
      <w:r w:rsidRPr="00B92111">
        <w:rPr>
          <w:noProof/>
          <w:szCs w:val="24"/>
        </w:rPr>
        <w:t>(7647), 665–669. https://doi.org/10.1038/nature21708</w:t>
      </w:r>
    </w:p>
    <w:p w14:paraId="1CA519B2"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GSGSSI. (2013). South Georgia and the South Sandwich Islands Marine Protected Area Management Plan, Version 2.0: 31/08/2013.</w:t>
      </w:r>
    </w:p>
    <w:p w14:paraId="04D78E9F"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GSGSSI. (2017). South Georgia &amp; the South Sandwich Islands Implementation Plan for the Agreement on the Conservation of Albatrosses and Petrels (ACAP) 2016-2020. Government of South Georgia &amp; the South Sandwich Islands, Stanley, Falkland Islands.</w:t>
      </w:r>
    </w:p>
    <w:p w14:paraId="5C870BC7" w14:textId="77777777" w:rsidR="00B92111" w:rsidRPr="00BF1053" w:rsidRDefault="00B92111" w:rsidP="00B92111">
      <w:pPr>
        <w:widowControl w:val="0"/>
        <w:autoSpaceDE w:val="0"/>
        <w:autoSpaceDN w:val="0"/>
        <w:adjustRightInd w:val="0"/>
        <w:ind w:left="480" w:hanging="480"/>
        <w:rPr>
          <w:noProof/>
          <w:szCs w:val="24"/>
          <w:lang w:val="fr-FR"/>
        </w:rPr>
      </w:pPr>
      <w:r w:rsidRPr="00B92111">
        <w:rPr>
          <w:noProof/>
          <w:szCs w:val="24"/>
        </w:rPr>
        <w:t xml:space="preserve">Halpern, B. S., Frazier, M., Potapenko, J., Casey, K. S., Koenig, K., Longo, C., … Walbridge, S. (2015). Spatial and temporal changes in cumulative human impacts on the world’s ocean. </w:t>
      </w:r>
      <w:r w:rsidRPr="00BF1053">
        <w:rPr>
          <w:i/>
          <w:iCs/>
          <w:noProof/>
          <w:szCs w:val="24"/>
          <w:lang w:val="fr-FR"/>
        </w:rPr>
        <w:t>Nature Communications</w:t>
      </w:r>
      <w:r w:rsidRPr="00BF1053">
        <w:rPr>
          <w:noProof/>
          <w:szCs w:val="24"/>
          <w:lang w:val="fr-FR"/>
        </w:rPr>
        <w:t xml:space="preserve">, </w:t>
      </w:r>
      <w:r w:rsidRPr="00BF1053">
        <w:rPr>
          <w:i/>
          <w:iCs/>
          <w:noProof/>
          <w:szCs w:val="24"/>
          <w:lang w:val="fr-FR"/>
        </w:rPr>
        <w:t>6</w:t>
      </w:r>
      <w:r w:rsidRPr="00BF1053">
        <w:rPr>
          <w:noProof/>
          <w:szCs w:val="24"/>
          <w:lang w:val="fr-FR"/>
        </w:rPr>
        <w:t>(7615), 1–7. https://doi.org/10.1038/ncomms8615</w:t>
      </w:r>
    </w:p>
    <w:p w14:paraId="43DBBCF7" w14:textId="77777777" w:rsidR="00B92111" w:rsidRPr="00B92111" w:rsidRDefault="00B92111" w:rsidP="00B92111">
      <w:pPr>
        <w:widowControl w:val="0"/>
        <w:autoSpaceDE w:val="0"/>
        <w:autoSpaceDN w:val="0"/>
        <w:adjustRightInd w:val="0"/>
        <w:ind w:left="480" w:hanging="480"/>
        <w:rPr>
          <w:noProof/>
          <w:szCs w:val="24"/>
        </w:rPr>
      </w:pPr>
      <w:r w:rsidRPr="00BF1053">
        <w:rPr>
          <w:noProof/>
          <w:szCs w:val="24"/>
          <w:lang w:val="fr-FR"/>
        </w:rPr>
        <w:t xml:space="preserve">Hart, T., &amp; Convey, P. (2018). </w:t>
      </w:r>
      <w:r w:rsidRPr="00B92111">
        <w:rPr>
          <w:noProof/>
          <w:szCs w:val="24"/>
        </w:rPr>
        <w:t xml:space="preserve">The South Sandwich Islands – a community of meta-populations across all trophic levels. </w:t>
      </w:r>
      <w:r w:rsidRPr="00B92111">
        <w:rPr>
          <w:i/>
          <w:iCs/>
          <w:noProof/>
          <w:szCs w:val="24"/>
        </w:rPr>
        <w:t>Biodiversity</w:t>
      </w:r>
      <w:r w:rsidRPr="00B92111">
        <w:rPr>
          <w:noProof/>
          <w:szCs w:val="24"/>
        </w:rPr>
        <w:t>. https://doi.org/10.1080/14888386.2018.1464952</w:t>
      </w:r>
    </w:p>
    <w:p w14:paraId="5FED2A3E"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Hays, G. C., Bailey, H., Bograd, S. J., Bowen, W. D., Campagna, C., Carmichael, R. H., … Sequeira, A. M. M. (2019). Translating Marine Animal Tracking Data into Conservation Policy and Management. </w:t>
      </w:r>
      <w:r w:rsidRPr="00B92111">
        <w:rPr>
          <w:i/>
          <w:iCs/>
          <w:noProof/>
          <w:szCs w:val="24"/>
        </w:rPr>
        <w:t>Trends in Ecology and Evolution</w:t>
      </w:r>
      <w:r w:rsidRPr="00B92111">
        <w:rPr>
          <w:noProof/>
          <w:szCs w:val="24"/>
        </w:rPr>
        <w:t xml:space="preserve">, </w:t>
      </w:r>
      <w:r w:rsidRPr="00B92111">
        <w:rPr>
          <w:i/>
          <w:iCs/>
          <w:noProof/>
          <w:szCs w:val="24"/>
        </w:rPr>
        <w:t>34</w:t>
      </w:r>
      <w:r w:rsidRPr="00B92111">
        <w:rPr>
          <w:noProof/>
          <w:szCs w:val="24"/>
        </w:rPr>
        <w:t>(5), 459–473. https://doi.org/10.1016/j.tree.2019.01.009</w:t>
      </w:r>
    </w:p>
    <w:p w14:paraId="287A768C"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Heerah, K., Dias, M. P., Delord, K., Oppel, S., Barbraud, C., Weimerskirch, H., &amp; Bost, C. A. (2019). Important areas and conservation sites for a community of globally threatened marine predators of the Southern Indian Ocean. </w:t>
      </w:r>
      <w:r w:rsidRPr="00B92111">
        <w:rPr>
          <w:i/>
          <w:iCs/>
          <w:noProof/>
          <w:szCs w:val="24"/>
        </w:rPr>
        <w:t>Biological Conservation</w:t>
      </w:r>
      <w:r w:rsidRPr="00B92111">
        <w:rPr>
          <w:noProof/>
          <w:szCs w:val="24"/>
        </w:rPr>
        <w:t xml:space="preserve">, </w:t>
      </w:r>
      <w:r w:rsidRPr="00B92111">
        <w:rPr>
          <w:i/>
          <w:iCs/>
          <w:noProof/>
          <w:szCs w:val="24"/>
        </w:rPr>
        <w:t>234</w:t>
      </w:r>
      <w:r w:rsidRPr="00B92111">
        <w:rPr>
          <w:noProof/>
          <w:szCs w:val="24"/>
        </w:rPr>
        <w:t>, 192–201. https://doi.org/10.1016/j.biocon.2019.03.037</w:t>
      </w:r>
    </w:p>
    <w:p w14:paraId="7D22B385"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IUCN. (2016). </w:t>
      </w:r>
      <w:r w:rsidRPr="00B92111">
        <w:rPr>
          <w:i/>
          <w:iCs/>
          <w:noProof/>
          <w:szCs w:val="24"/>
        </w:rPr>
        <w:t>A Global Standard for the Identification of Key Biodiversity Areas, Version 1.0.</w:t>
      </w:r>
      <w:r w:rsidRPr="00B92111">
        <w:rPr>
          <w:noProof/>
          <w:szCs w:val="24"/>
        </w:rPr>
        <w:t xml:space="preserve"> Gland, Switzerland.</w:t>
      </w:r>
    </w:p>
    <w:p w14:paraId="374DED47"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IUCN. (2018). IUCN 2018. The IUCN Red List of Threatened Species. Version 2018-1. &lt;http://www.iucnredlist.org&gt;. Downloaded on 05 July 2018.</w:t>
      </w:r>
    </w:p>
    <w:p w14:paraId="43948F4A"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lastRenderedPageBreak/>
        <w:t>KBA Standards and Appeals Committee. (2019). Guidelines for using a Global Standard for the Identification of Key Biodiversity Areas. Version 1.0. Prepared by the KBA Standards and Appeals Committee of the IUCN Species Survival Commission and IUCN World Commission on Protected Areas. Gland, Switzerl.</w:t>
      </w:r>
    </w:p>
    <w:p w14:paraId="3549E333" w14:textId="77777777" w:rsidR="00B92111" w:rsidRPr="00BF1053" w:rsidRDefault="00B92111" w:rsidP="00B92111">
      <w:pPr>
        <w:widowControl w:val="0"/>
        <w:autoSpaceDE w:val="0"/>
        <w:autoSpaceDN w:val="0"/>
        <w:adjustRightInd w:val="0"/>
        <w:ind w:left="480" w:hanging="480"/>
        <w:rPr>
          <w:noProof/>
          <w:szCs w:val="24"/>
          <w:lang w:val="es-ES"/>
        </w:rPr>
      </w:pPr>
      <w:r w:rsidRPr="00B92111">
        <w:rPr>
          <w:noProof/>
          <w:szCs w:val="24"/>
        </w:rPr>
        <w:t xml:space="preserve">Klein, C. J., Brown, C. J., Halpern, B. S., Segan, D. B., Mcgowan, J., Beger, M., &amp; Watson, J. E. M. (2015). Shortfalls in the global protected area network at representing marine biodiversity. </w:t>
      </w:r>
      <w:r w:rsidRPr="00BF1053">
        <w:rPr>
          <w:i/>
          <w:iCs/>
          <w:noProof/>
          <w:szCs w:val="24"/>
          <w:lang w:val="es-ES"/>
        </w:rPr>
        <w:t>Scientific Reports</w:t>
      </w:r>
      <w:r w:rsidRPr="00BF1053">
        <w:rPr>
          <w:noProof/>
          <w:szCs w:val="24"/>
          <w:lang w:val="es-ES"/>
        </w:rPr>
        <w:t xml:space="preserve">, </w:t>
      </w:r>
      <w:r w:rsidRPr="00BF1053">
        <w:rPr>
          <w:i/>
          <w:iCs/>
          <w:noProof/>
          <w:szCs w:val="24"/>
          <w:lang w:val="es-ES"/>
        </w:rPr>
        <w:t>5</w:t>
      </w:r>
      <w:r w:rsidRPr="00BF1053">
        <w:rPr>
          <w:noProof/>
          <w:szCs w:val="24"/>
          <w:lang w:val="es-ES"/>
        </w:rPr>
        <w:t>, 17539. https://doi.org/10.1038/srep17539</w:t>
      </w:r>
    </w:p>
    <w:p w14:paraId="6E9DE2C8" w14:textId="77777777" w:rsidR="00B92111" w:rsidRPr="00B92111" w:rsidRDefault="00B92111" w:rsidP="00B92111">
      <w:pPr>
        <w:widowControl w:val="0"/>
        <w:autoSpaceDE w:val="0"/>
        <w:autoSpaceDN w:val="0"/>
        <w:adjustRightInd w:val="0"/>
        <w:ind w:left="480" w:hanging="480"/>
        <w:rPr>
          <w:noProof/>
          <w:szCs w:val="24"/>
        </w:rPr>
      </w:pPr>
      <w:r w:rsidRPr="00BF1053">
        <w:rPr>
          <w:noProof/>
          <w:szCs w:val="24"/>
          <w:lang w:val="es-ES"/>
        </w:rPr>
        <w:t xml:space="preserve">Krüger, L., Ramos, J. A., Xavier, J. C., Grémillet, D., González-solís, J., Petry, M. V., … </w:t>
      </w:r>
      <w:r w:rsidRPr="00B92111">
        <w:rPr>
          <w:noProof/>
          <w:szCs w:val="24"/>
        </w:rPr>
        <w:t xml:space="preserve">Paiva, V. H. (2018). Projected distributions of Southern Ocean albatrosses, petrels and fisheries as a consequence of climatic change. </w:t>
      </w:r>
      <w:r w:rsidRPr="00B92111">
        <w:rPr>
          <w:i/>
          <w:iCs/>
          <w:noProof/>
          <w:szCs w:val="24"/>
        </w:rPr>
        <w:t>Ecography</w:t>
      </w:r>
      <w:r w:rsidRPr="00B92111">
        <w:rPr>
          <w:noProof/>
          <w:szCs w:val="24"/>
        </w:rPr>
        <w:t xml:space="preserve">, </w:t>
      </w:r>
      <w:r w:rsidRPr="00B92111">
        <w:rPr>
          <w:i/>
          <w:iCs/>
          <w:noProof/>
          <w:szCs w:val="24"/>
        </w:rPr>
        <w:t>41</w:t>
      </w:r>
      <w:r w:rsidRPr="00B92111">
        <w:rPr>
          <w:noProof/>
          <w:szCs w:val="24"/>
        </w:rPr>
        <w:t>, 195–208. https://doi.org/10.1111/ecog.02590</w:t>
      </w:r>
    </w:p>
    <w:p w14:paraId="3A1208E5"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Lascelles, B. G., Taylor, P. R., Miller, M. G. R., Dias, M. P., Oppel, S., Torres, L., … Small, C. (2016). Applying global criteria to tracking data to define important areas for marine conservation. </w:t>
      </w:r>
      <w:r w:rsidRPr="00B92111">
        <w:rPr>
          <w:i/>
          <w:iCs/>
          <w:noProof/>
          <w:szCs w:val="24"/>
        </w:rPr>
        <w:t>Diversity and Distributions</w:t>
      </w:r>
      <w:r w:rsidRPr="00B92111">
        <w:rPr>
          <w:noProof/>
          <w:szCs w:val="24"/>
        </w:rPr>
        <w:t xml:space="preserve">, </w:t>
      </w:r>
      <w:r w:rsidRPr="00B92111">
        <w:rPr>
          <w:i/>
          <w:iCs/>
          <w:noProof/>
          <w:szCs w:val="24"/>
        </w:rPr>
        <w:t>22</w:t>
      </w:r>
      <w:r w:rsidRPr="00B92111">
        <w:rPr>
          <w:noProof/>
          <w:szCs w:val="24"/>
        </w:rPr>
        <w:t>(4), 422–431. https://doi.org/10.1111/ddi.12411</w:t>
      </w:r>
    </w:p>
    <w:p w14:paraId="60EC04F1"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Lubchenco, J., &amp; Grorud-Colvert, K. (2015). Making waves: The science and politics of ocean protection. </w:t>
      </w:r>
      <w:r w:rsidRPr="00B92111">
        <w:rPr>
          <w:i/>
          <w:iCs/>
          <w:noProof/>
          <w:szCs w:val="24"/>
        </w:rPr>
        <w:t>Science</w:t>
      </w:r>
      <w:r w:rsidRPr="00B92111">
        <w:rPr>
          <w:noProof/>
          <w:szCs w:val="24"/>
        </w:rPr>
        <w:t xml:space="preserve">, </w:t>
      </w:r>
      <w:r w:rsidRPr="00B92111">
        <w:rPr>
          <w:i/>
          <w:iCs/>
          <w:noProof/>
          <w:szCs w:val="24"/>
        </w:rPr>
        <w:t>350</w:t>
      </w:r>
      <w:r w:rsidRPr="00B92111">
        <w:rPr>
          <w:noProof/>
          <w:szCs w:val="24"/>
        </w:rPr>
        <w:t>(6259), 382–383.</w:t>
      </w:r>
    </w:p>
    <w:p w14:paraId="598683E4"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Lunn, N., Boyd, I., Barton, T., &amp; Croxall, J. (1993). Factors Affecting the Growth Rate and Mass at Weaning of Antarctic Fur Seals at Bird Island, South Georgia. </w:t>
      </w:r>
      <w:r w:rsidRPr="00B92111">
        <w:rPr>
          <w:i/>
          <w:iCs/>
          <w:noProof/>
          <w:szCs w:val="24"/>
        </w:rPr>
        <w:t>Journal of Mammalogy</w:t>
      </w:r>
      <w:r w:rsidRPr="00B92111">
        <w:rPr>
          <w:noProof/>
          <w:szCs w:val="24"/>
        </w:rPr>
        <w:t xml:space="preserve">, </w:t>
      </w:r>
      <w:r w:rsidRPr="00B92111">
        <w:rPr>
          <w:i/>
          <w:iCs/>
          <w:noProof/>
          <w:szCs w:val="24"/>
        </w:rPr>
        <w:t>74</w:t>
      </w:r>
      <w:r w:rsidRPr="00B92111">
        <w:rPr>
          <w:noProof/>
          <w:szCs w:val="24"/>
        </w:rPr>
        <w:t>(4), 908–919.</w:t>
      </w:r>
    </w:p>
    <w:p w14:paraId="187EA2B7"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Lynch, H. J., White, R., Naveen, R., Black, A., Meixler, M. S., &amp; Fagan, W. F. (2016). In stark contrast to widespread declines along the Scotia Arc, a survey of the South Sandwich Islands finds a robust seabird community. </w:t>
      </w:r>
      <w:r w:rsidRPr="00B92111">
        <w:rPr>
          <w:i/>
          <w:iCs/>
          <w:noProof/>
          <w:szCs w:val="24"/>
        </w:rPr>
        <w:t>Polar Biology</w:t>
      </w:r>
      <w:r w:rsidRPr="00B92111">
        <w:rPr>
          <w:noProof/>
          <w:szCs w:val="24"/>
        </w:rPr>
        <w:t xml:space="preserve">, </w:t>
      </w:r>
      <w:r w:rsidRPr="00B92111">
        <w:rPr>
          <w:i/>
          <w:iCs/>
          <w:noProof/>
          <w:szCs w:val="24"/>
        </w:rPr>
        <w:t>39</w:t>
      </w:r>
      <w:r w:rsidRPr="00B92111">
        <w:rPr>
          <w:noProof/>
          <w:szCs w:val="24"/>
        </w:rPr>
        <w:t>(9), 1615–1625. https://doi.org/10.1007/s00300-015-1886-6</w:t>
      </w:r>
    </w:p>
    <w:p w14:paraId="4D34F4A3"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Lyons, Y. (2019). Identifying Sensitive Marine Areas in the High Seas : a Review of the Scientific Criteria Adopted under International Law. In R. Beckman, M. McCreath, A. Roach, &amp; Z. Sun (Eds.), </w:t>
      </w:r>
      <w:r w:rsidRPr="00B92111">
        <w:rPr>
          <w:i/>
          <w:iCs/>
          <w:noProof/>
          <w:szCs w:val="24"/>
        </w:rPr>
        <w:t>High Seas Governance: Gaps and Challenges</w:t>
      </w:r>
      <w:r w:rsidRPr="00B92111">
        <w:rPr>
          <w:noProof/>
          <w:szCs w:val="24"/>
        </w:rPr>
        <w:t xml:space="preserve"> (pp. 57–125). Netherlands: Brill | Nijhoff. https://doi.org/10.1163/9789004373303</w:t>
      </w:r>
    </w:p>
    <w:p w14:paraId="0399E6DD"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Macias-Fauria, M., &amp; Post, E. (2018). Effects of sea ice on Arctic biota: an emerging crisis discipline. </w:t>
      </w:r>
      <w:r w:rsidRPr="00B92111">
        <w:rPr>
          <w:i/>
          <w:iCs/>
          <w:noProof/>
          <w:szCs w:val="24"/>
        </w:rPr>
        <w:t>Biology Letters</w:t>
      </w:r>
      <w:r w:rsidRPr="00B92111">
        <w:rPr>
          <w:noProof/>
          <w:szCs w:val="24"/>
        </w:rPr>
        <w:t xml:space="preserve">, </w:t>
      </w:r>
      <w:r w:rsidRPr="00B92111">
        <w:rPr>
          <w:i/>
          <w:iCs/>
          <w:noProof/>
          <w:szCs w:val="24"/>
        </w:rPr>
        <w:t>14</w:t>
      </w:r>
      <w:r w:rsidRPr="00B92111">
        <w:rPr>
          <w:noProof/>
          <w:szCs w:val="24"/>
        </w:rPr>
        <w:t>, 20170702.</w:t>
      </w:r>
    </w:p>
    <w:p w14:paraId="423A5100"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Margules, C., &amp; Pressey, R. (2000). A framework for systematic conservation planning. </w:t>
      </w:r>
      <w:r w:rsidRPr="00B92111">
        <w:rPr>
          <w:i/>
          <w:iCs/>
          <w:noProof/>
          <w:szCs w:val="24"/>
        </w:rPr>
        <w:t>Nature</w:t>
      </w:r>
      <w:r w:rsidRPr="00B92111">
        <w:rPr>
          <w:noProof/>
          <w:szCs w:val="24"/>
        </w:rPr>
        <w:t xml:space="preserve">, </w:t>
      </w:r>
      <w:r w:rsidRPr="00B92111">
        <w:rPr>
          <w:i/>
          <w:iCs/>
          <w:noProof/>
          <w:szCs w:val="24"/>
        </w:rPr>
        <w:t>405</w:t>
      </w:r>
      <w:r w:rsidRPr="00B92111">
        <w:rPr>
          <w:noProof/>
          <w:szCs w:val="24"/>
        </w:rPr>
        <w:t>, 243–253. https://doi.org/10.1038/35012251</w:t>
      </w:r>
    </w:p>
    <w:p w14:paraId="524246FD"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lastRenderedPageBreak/>
        <w:t>Marine Conservation Institute, . (2019). MPAtlas [On-line]. Seattle, WA. Available at: www.mpatlas.org [Accessed 02/03/2019].</w:t>
      </w:r>
    </w:p>
    <w:p w14:paraId="53AA3785" w14:textId="77777777" w:rsidR="00B92111" w:rsidRPr="00BF1053" w:rsidRDefault="00B92111" w:rsidP="00B92111">
      <w:pPr>
        <w:widowControl w:val="0"/>
        <w:autoSpaceDE w:val="0"/>
        <w:autoSpaceDN w:val="0"/>
        <w:adjustRightInd w:val="0"/>
        <w:ind w:left="480" w:hanging="480"/>
        <w:rPr>
          <w:noProof/>
          <w:szCs w:val="24"/>
          <w:lang w:val="fr-FR"/>
        </w:rPr>
      </w:pPr>
      <w:r w:rsidRPr="00B92111">
        <w:rPr>
          <w:noProof/>
          <w:szCs w:val="24"/>
        </w:rPr>
        <w:t xml:space="preserve">Melanie, I., White, A., Smith, S., Crain, C., &amp; Beck, M. (2010). Moving forward toward networks and broader spatial management. In C. Toropova, I. Meliane, D. Laffoley, E. Matthews, &amp; M. Spalding (Eds.), </w:t>
      </w:r>
      <w:r w:rsidRPr="00B92111">
        <w:rPr>
          <w:i/>
          <w:iCs/>
          <w:noProof/>
          <w:szCs w:val="24"/>
        </w:rPr>
        <w:t>Global ocean protection: Present status and future possibilities</w:t>
      </w:r>
      <w:r w:rsidRPr="00B92111">
        <w:rPr>
          <w:noProof/>
          <w:szCs w:val="24"/>
        </w:rPr>
        <w:t xml:space="preserve"> (pp. 69–82). </w:t>
      </w:r>
      <w:r w:rsidRPr="00BF1053">
        <w:rPr>
          <w:noProof/>
          <w:szCs w:val="24"/>
          <w:lang w:val="fr-FR"/>
        </w:rPr>
        <w:t>Cambridge: UNEP-WCMC.</w:t>
      </w:r>
    </w:p>
    <w:p w14:paraId="4420BA77" w14:textId="77777777" w:rsidR="00B92111" w:rsidRPr="00B92111" w:rsidRDefault="00B92111" w:rsidP="00B92111">
      <w:pPr>
        <w:widowControl w:val="0"/>
        <w:autoSpaceDE w:val="0"/>
        <w:autoSpaceDN w:val="0"/>
        <w:adjustRightInd w:val="0"/>
        <w:ind w:left="480" w:hanging="480"/>
        <w:rPr>
          <w:noProof/>
          <w:szCs w:val="24"/>
        </w:rPr>
      </w:pPr>
      <w:r w:rsidRPr="00BF1053">
        <w:rPr>
          <w:noProof/>
          <w:szCs w:val="24"/>
          <w:lang w:val="fr-FR"/>
        </w:rPr>
        <w:t xml:space="preserve">Michael, P. E., Thomson, R., Barbraud, C., Delord, K., De Grissac, S., Hobday, A. J., … </w:t>
      </w:r>
      <w:r w:rsidRPr="00B92111">
        <w:rPr>
          <w:noProof/>
          <w:szCs w:val="24"/>
        </w:rPr>
        <w:t xml:space="preserve">Wilcox, C. (2017). Illegal fishing bycatch overshadows climate as a driver of albatross population decline. </w:t>
      </w:r>
      <w:r w:rsidRPr="00B92111">
        <w:rPr>
          <w:i/>
          <w:iCs/>
          <w:noProof/>
          <w:szCs w:val="24"/>
        </w:rPr>
        <w:t>Marine Ecology Progress Series</w:t>
      </w:r>
      <w:r w:rsidRPr="00B92111">
        <w:rPr>
          <w:noProof/>
          <w:szCs w:val="24"/>
        </w:rPr>
        <w:t xml:space="preserve">, </w:t>
      </w:r>
      <w:r w:rsidRPr="00B92111">
        <w:rPr>
          <w:i/>
          <w:iCs/>
          <w:noProof/>
          <w:szCs w:val="24"/>
        </w:rPr>
        <w:t>579</w:t>
      </w:r>
      <w:r w:rsidRPr="00B92111">
        <w:rPr>
          <w:noProof/>
          <w:szCs w:val="24"/>
        </w:rPr>
        <w:t>, 185–199.</w:t>
      </w:r>
    </w:p>
    <w:p w14:paraId="369E3635"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Moore, S. (2008). Marine mammals as ecosystem sentinels. </w:t>
      </w:r>
      <w:r w:rsidRPr="00B92111">
        <w:rPr>
          <w:i/>
          <w:iCs/>
          <w:noProof/>
          <w:szCs w:val="24"/>
        </w:rPr>
        <w:t>Journal of Mammalogy</w:t>
      </w:r>
      <w:r w:rsidRPr="00B92111">
        <w:rPr>
          <w:noProof/>
          <w:szCs w:val="24"/>
        </w:rPr>
        <w:t xml:space="preserve">, </w:t>
      </w:r>
      <w:r w:rsidRPr="00B92111">
        <w:rPr>
          <w:i/>
          <w:iCs/>
          <w:noProof/>
          <w:szCs w:val="24"/>
        </w:rPr>
        <w:t>89</w:t>
      </w:r>
      <w:r w:rsidRPr="00B92111">
        <w:rPr>
          <w:noProof/>
          <w:szCs w:val="24"/>
        </w:rPr>
        <w:t>(3), 534–540.</w:t>
      </w:r>
    </w:p>
    <w:p w14:paraId="6E9253F6"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O’Leary, B. C., Ban, N. C., Fernandez, M., Friedlander, A. M., García-Borboroglu, P., Golbuu, Y., … Roberts, C. M. (2018). Addressing Criticisms of Large-Scale Marine Protected Areas. </w:t>
      </w:r>
      <w:r w:rsidRPr="00B92111">
        <w:rPr>
          <w:i/>
          <w:iCs/>
          <w:noProof/>
          <w:szCs w:val="24"/>
        </w:rPr>
        <w:t>BioScience</w:t>
      </w:r>
      <w:r w:rsidRPr="00B92111">
        <w:rPr>
          <w:noProof/>
          <w:szCs w:val="24"/>
        </w:rPr>
        <w:t xml:space="preserve">, </w:t>
      </w:r>
      <w:r w:rsidRPr="00B92111">
        <w:rPr>
          <w:i/>
          <w:iCs/>
          <w:noProof/>
          <w:szCs w:val="24"/>
        </w:rPr>
        <w:t>68</w:t>
      </w:r>
      <w:r w:rsidRPr="00B92111">
        <w:rPr>
          <w:noProof/>
          <w:szCs w:val="24"/>
        </w:rPr>
        <w:t>(5), 359–370. https://doi.org/10.1093/biosci/biy021</w:t>
      </w:r>
    </w:p>
    <w:p w14:paraId="7EABF3DB"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Oppel, S., Bolton, M., Carneiro, A. P. B., Dias, M. P., Green, J. A., Masello, J. F., … Croxall, J. (2018). Spatial scales of marine conservation management for breeding seabirds. </w:t>
      </w:r>
      <w:r w:rsidRPr="00B92111">
        <w:rPr>
          <w:i/>
          <w:iCs/>
          <w:noProof/>
          <w:szCs w:val="24"/>
        </w:rPr>
        <w:t>Marine Policy</w:t>
      </w:r>
      <w:r w:rsidRPr="00B92111">
        <w:rPr>
          <w:noProof/>
          <w:szCs w:val="24"/>
        </w:rPr>
        <w:t xml:space="preserve">, </w:t>
      </w:r>
      <w:r w:rsidRPr="00B92111">
        <w:rPr>
          <w:i/>
          <w:iCs/>
          <w:noProof/>
          <w:szCs w:val="24"/>
        </w:rPr>
        <w:t>98</w:t>
      </w:r>
      <w:r w:rsidRPr="00B92111">
        <w:rPr>
          <w:noProof/>
          <w:szCs w:val="24"/>
        </w:rPr>
        <w:t>, 37–46. https://doi.org/10.1016/j.marpol.2018.08.024</w:t>
      </w:r>
    </w:p>
    <w:p w14:paraId="25B7238D"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Österblom, H., &amp; Bodin, Ö. (2012). Global Cooperation among Diverse Organizations to Reduce Illegal Fishing in the Southern Ocean. </w:t>
      </w:r>
      <w:r w:rsidRPr="00B92111">
        <w:rPr>
          <w:i/>
          <w:iCs/>
          <w:noProof/>
          <w:szCs w:val="24"/>
        </w:rPr>
        <w:t>Conservation Biology</w:t>
      </w:r>
      <w:r w:rsidRPr="00B92111">
        <w:rPr>
          <w:noProof/>
          <w:szCs w:val="24"/>
        </w:rPr>
        <w:t xml:space="preserve">, </w:t>
      </w:r>
      <w:r w:rsidRPr="00B92111">
        <w:rPr>
          <w:i/>
          <w:iCs/>
          <w:noProof/>
          <w:szCs w:val="24"/>
        </w:rPr>
        <w:t>26</w:t>
      </w:r>
      <w:r w:rsidRPr="00B92111">
        <w:rPr>
          <w:noProof/>
          <w:szCs w:val="24"/>
        </w:rPr>
        <w:t>(4), 638–648. https://doi.org/10.1111/j.1523-1739.2012.01850.x</w:t>
      </w:r>
    </w:p>
    <w:p w14:paraId="7DDBAFF6"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Pardo, D., Forcada, J., Wood, A. G., Tuck, G. N., Ireland, L., Pradel, R., … Phillips, R. A. (2017). Additive effects of climate and fisheries drive ongoing declines in multiple albatross species. </w:t>
      </w:r>
      <w:r w:rsidRPr="00B92111">
        <w:rPr>
          <w:i/>
          <w:iCs/>
          <w:noProof/>
          <w:szCs w:val="24"/>
        </w:rPr>
        <w:t>Proceedings of the National Academy of Sciences</w:t>
      </w:r>
      <w:r w:rsidRPr="00B92111">
        <w:rPr>
          <w:noProof/>
          <w:szCs w:val="24"/>
        </w:rPr>
        <w:t xml:space="preserve">, </w:t>
      </w:r>
      <w:r w:rsidRPr="00B92111">
        <w:rPr>
          <w:i/>
          <w:iCs/>
          <w:noProof/>
          <w:szCs w:val="24"/>
        </w:rPr>
        <w:t>50</w:t>
      </w:r>
      <w:r w:rsidRPr="00B92111">
        <w:rPr>
          <w:noProof/>
          <w:szCs w:val="24"/>
        </w:rPr>
        <w:t>, E10829–E10837. https://doi.org/10.1073/pnas.1618819114</w:t>
      </w:r>
    </w:p>
    <w:p w14:paraId="6FFA651A"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Patterson, T. A., Sharples, R. J., Raymond, B., Welsford, D. C., Andrews-Goff, V., Lea, M. A., … Hindell, M. (2016). Foraging distribution overlap and marine reserve usage amongst sub-Antarctic predators inferred from a multi-species satellite tagging experiment. </w:t>
      </w:r>
      <w:r w:rsidRPr="00B92111">
        <w:rPr>
          <w:i/>
          <w:iCs/>
          <w:noProof/>
          <w:szCs w:val="24"/>
        </w:rPr>
        <w:t>Ecological Indicators</w:t>
      </w:r>
      <w:r w:rsidRPr="00B92111">
        <w:rPr>
          <w:noProof/>
          <w:szCs w:val="24"/>
        </w:rPr>
        <w:t xml:space="preserve">, </w:t>
      </w:r>
      <w:r w:rsidRPr="00B92111">
        <w:rPr>
          <w:i/>
          <w:iCs/>
          <w:noProof/>
          <w:szCs w:val="24"/>
        </w:rPr>
        <w:t>70</w:t>
      </w:r>
      <w:r w:rsidRPr="00B92111">
        <w:rPr>
          <w:noProof/>
          <w:szCs w:val="24"/>
        </w:rPr>
        <w:t>, 531–544. https://doi.org/10.1016/j.ecolind.2016.05.049</w:t>
      </w:r>
    </w:p>
    <w:p w14:paraId="740596A5"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Phillips, R. A., Gales, R., Baker, G. B., Double, M. C., Favero, M., Quintana, F., … Wolfaardt, A. (2016). The conservation status and priorities for albatrosses and large petrels. </w:t>
      </w:r>
      <w:r w:rsidRPr="00B92111">
        <w:rPr>
          <w:i/>
          <w:iCs/>
          <w:noProof/>
          <w:szCs w:val="24"/>
        </w:rPr>
        <w:t>Biological Conservation</w:t>
      </w:r>
      <w:r w:rsidRPr="00B92111">
        <w:rPr>
          <w:noProof/>
          <w:szCs w:val="24"/>
        </w:rPr>
        <w:t xml:space="preserve">, </w:t>
      </w:r>
      <w:r w:rsidRPr="00B92111">
        <w:rPr>
          <w:i/>
          <w:iCs/>
          <w:noProof/>
          <w:szCs w:val="24"/>
        </w:rPr>
        <w:t>201</w:t>
      </w:r>
      <w:r w:rsidRPr="00B92111">
        <w:rPr>
          <w:noProof/>
          <w:szCs w:val="24"/>
        </w:rPr>
        <w:t>, 169–183. https://doi.org/10.1016/j.biocon.2016.06.017</w:t>
      </w:r>
    </w:p>
    <w:p w14:paraId="1571300E"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Poncet, S., Wolfaardt, A. C., Black, A., Browning, S., Lawton, K., Lee, J., … Phillips, R. A. </w:t>
      </w:r>
      <w:r w:rsidRPr="00B92111">
        <w:rPr>
          <w:noProof/>
          <w:szCs w:val="24"/>
        </w:rPr>
        <w:lastRenderedPageBreak/>
        <w:t>(2017). Recent trends in numbers of wandering (</w:t>
      </w:r>
      <w:r w:rsidRPr="00B92111">
        <w:rPr>
          <w:i/>
          <w:iCs/>
          <w:noProof/>
          <w:szCs w:val="24"/>
        </w:rPr>
        <w:t>Diomedea exulans</w:t>
      </w:r>
      <w:r w:rsidRPr="00B92111">
        <w:rPr>
          <w:noProof/>
          <w:szCs w:val="24"/>
        </w:rPr>
        <w:t>), black-browed (</w:t>
      </w:r>
      <w:r w:rsidRPr="00B92111">
        <w:rPr>
          <w:i/>
          <w:iCs/>
          <w:noProof/>
          <w:szCs w:val="24"/>
        </w:rPr>
        <w:t>Thalassarche melanophris</w:t>
      </w:r>
      <w:r w:rsidRPr="00B92111">
        <w:rPr>
          <w:noProof/>
          <w:szCs w:val="24"/>
        </w:rPr>
        <w:t>) and grey-headed (</w:t>
      </w:r>
      <w:r w:rsidRPr="00B92111">
        <w:rPr>
          <w:i/>
          <w:iCs/>
          <w:noProof/>
          <w:szCs w:val="24"/>
        </w:rPr>
        <w:t>T. chrysostoma</w:t>
      </w:r>
      <w:r w:rsidRPr="00B92111">
        <w:rPr>
          <w:noProof/>
          <w:szCs w:val="24"/>
        </w:rPr>
        <w:t xml:space="preserve">) albatrosses breeding at South Georgia. </w:t>
      </w:r>
      <w:r w:rsidRPr="00B92111">
        <w:rPr>
          <w:i/>
          <w:iCs/>
          <w:noProof/>
          <w:szCs w:val="24"/>
        </w:rPr>
        <w:t>Polar Biology</w:t>
      </w:r>
      <w:r w:rsidRPr="00B92111">
        <w:rPr>
          <w:noProof/>
          <w:szCs w:val="24"/>
        </w:rPr>
        <w:t xml:space="preserve">, </w:t>
      </w:r>
      <w:r w:rsidRPr="00B92111">
        <w:rPr>
          <w:i/>
          <w:iCs/>
          <w:noProof/>
          <w:szCs w:val="24"/>
        </w:rPr>
        <w:t>40</w:t>
      </w:r>
      <w:r w:rsidRPr="00B92111">
        <w:rPr>
          <w:noProof/>
          <w:szCs w:val="24"/>
        </w:rPr>
        <w:t>(7), 1347–1358. https://doi.org/10.1007/s00300-016-2057-0</w:t>
      </w:r>
    </w:p>
    <w:p w14:paraId="324D4328"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Ratcliffe, N., Adlard, S., Stowasser, G., &amp; Mcgill, R. (2018). Dietary divergence is associated with increased intra-specific competition in a marine predator. </w:t>
      </w:r>
      <w:r w:rsidRPr="00B92111">
        <w:rPr>
          <w:i/>
          <w:iCs/>
          <w:noProof/>
          <w:szCs w:val="24"/>
        </w:rPr>
        <w:t>Scientific Reports</w:t>
      </w:r>
      <w:r w:rsidRPr="00B92111">
        <w:rPr>
          <w:noProof/>
          <w:szCs w:val="24"/>
        </w:rPr>
        <w:t xml:space="preserve">, </w:t>
      </w:r>
      <w:r w:rsidRPr="00B92111">
        <w:rPr>
          <w:i/>
          <w:iCs/>
          <w:noProof/>
          <w:szCs w:val="24"/>
        </w:rPr>
        <w:t>8</w:t>
      </w:r>
      <w:r w:rsidRPr="00B92111">
        <w:rPr>
          <w:noProof/>
          <w:szCs w:val="24"/>
        </w:rPr>
        <w:t>(April), 6827. https://doi.org/10.1038/s41598-018-25318-7</w:t>
      </w:r>
    </w:p>
    <w:p w14:paraId="5916269A"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Ratcliffe, N., Hill, S. L., Staniland, I. J., Brown, R., Adlard, S., Horswill, C., &amp; Trathan, P. N. (2015). Do krill fisheries compete with macaroni penguins? Spatial overlap in prey consumption and catches during winter. </w:t>
      </w:r>
      <w:r w:rsidRPr="00B92111">
        <w:rPr>
          <w:i/>
          <w:iCs/>
          <w:noProof/>
          <w:szCs w:val="24"/>
        </w:rPr>
        <w:t>Diversity and Distributions</w:t>
      </w:r>
      <w:r w:rsidRPr="00B92111">
        <w:rPr>
          <w:noProof/>
          <w:szCs w:val="24"/>
        </w:rPr>
        <w:t xml:space="preserve">, </w:t>
      </w:r>
      <w:r w:rsidRPr="00B92111">
        <w:rPr>
          <w:i/>
          <w:iCs/>
          <w:noProof/>
          <w:szCs w:val="24"/>
        </w:rPr>
        <w:t>21</w:t>
      </w:r>
      <w:r w:rsidRPr="00B92111">
        <w:rPr>
          <w:noProof/>
          <w:szCs w:val="24"/>
        </w:rPr>
        <w:t>, 1339–1348. https://doi.org/10.1111/ddi.12366</w:t>
      </w:r>
    </w:p>
    <w:p w14:paraId="41D3D051"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Ratcliffe, N., &amp; Trathan, P. N. (2011). A review of the diet and at-sea distribution of penguins breeding within the CCAMLR Convention Area. </w:t>
      </w:r>
      <w:r w:rsidRPr="00B92111">
        <w:rPr>
          <w:i/>
          <w:iCs/>
          <w:noProof/>
          <w:szCs w:val="24"/>
        </w:rPr>
        <w:t>CCAMLR Science</w:t>
      </w:r>
      <w:r w:rsidRPr="00B92111">
        <w:rPr>
          <w:noProof/>
          <w:szCs w:val="24"/>
        </w:rPr>
        <w:t xml:space="preserve">, </w:t>
      </w:r>
      <w:r w:rsidRPr="00B92111">
        <w:rPr>
          <w:i/>
          <w:iCs/>
          <w:noProof/>
          <w:szCs w:val="24"/>
        </w:rPr>
        <w:t>19</w:t>
      </w:r>
      <w:r w:rsidRPr="00B92111">
        <w:rPr>
          <w:noProof/>
          <w:szCs w:val="24"/>
        </w:rPr>
        <w:t>, 75–114.</w:t>
      </w:r>
    </w:p>
    <w:p w14:paraId="75EB7C41"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Reisinger, R. R., Raymond, B., Hindell, M. A., Bester, M. N., Crawford, R. J. M., Davies, D., … Pistorius, P. A. (2018). Habitat modelling of tracking data from multiple marine predators identifies important areas in the Southern Indian Ocean. </w:t>
      </w:r>
      <w:r w:rsidRPr="00B92111">
        <w:rPr>
          <w:i/>
          <w:iCs/>
          <w:noProof/>
          <w:szCs w:val="24"/>
        </w:rPr>
        <w:t>Diversity and Distributions</w:t>
      </w:r>
      <w:r w:rsidRPr="00B92111">
        <w:rPr>
          <w:noProof/>
          <w:szCs w:val="24"/>
        </w:rPr>
        <w:t xml:space="preserve">, </w:t>
      </w:r>
      <w:r w:rsidRPr="00B92111">
        <w:rPr>
          <w:i/>
          <w:iCs/>
          <w:noProof/>
          <w:szCs w:val="24"/>
        </w:rPr>
        <w:t>24</w:t>
      </w:r>
      <w:r w:rsidRPr="00B92111">
        <w:rPr>
          <w:noProof/>
          <w:szCs w:val="24"/>
        </w:rPr>
        <w:t>, 535–550. https://doi.org/10.1111/ddi.12702</w:t>
      </w:r>
    </w:p>
    <w:p w14:paraId="660AB8BB"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Rogers, A. D., Yesson, C., &amp; Gravestock, P. (2016). </w:t>
      </w:r>
      <w:r w:rsidRPr="00B92111">
        <w:rPr>
          <w:i/>
          <w:iCs/>
          <w:noProof/>
          <w:szCs w:val="24"/>
        </w:rPr>
        <w:t>A Biophysical and Economic Profile of South Georgia and the South Sandwich Islands as Potential Large-Scale Antarctic Protected Areas</w:t>
      </w:r>
      <w:r w:rsidRPr="00B92111">
        <w:rPr>
          <w:noProof/>
          <w:szCs w:val="24"/>
        </w:rPr>
        <w:t xml:space="preserve">. </w:t>
      </w:r>
      <w:r w:rsidRPr="00B92111">
        <w:rPr>
          <w:i/>
          <w:iCs/>
          <w:noProof/>
          <w:szCs w:val="24"/>
        </w:rPr>
        <w:t>Advances in Marine Biology</w:t>
      </w:r>
      <w:r w:rsidRPr="00B92111">
        <w:rPr>
          <w:noProof/>
          <w:szCs w:val="24"/>
        </w:rPr>
        <w:t xml:space="preserve"> (1st ed., Vol. 73). Elsevier Ltd. https://doi.org/10.1016/bs.amb.2015.06.001</w:t>
      </w:r>
    </w:p>
    <w:p w14:paraId="445DC629"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Scheffer, A., Ratcliffe, N., Dias, M. P., Bost, C.-A., &amp; Trathan, P. N. (2015). Identifying important marine areas for macaroni penguins (</w:t>
      </w:r>
      <w:r w:rsidRPr="00B92111">
        <w:rPr>
          <w:i/>
          <w:iCs/>
          <w:noProof/>
          <w:szCs w:val="24"/>
        </w:rPr>
        <w:t>Eudyptes chrysolophus</w:t>
      </w:r>
      <w:r w:rsidRPr="00B92111">
        <w:rPr>
          <w:noProof/>
          <w:szCs w:val="24"/>
        </w:rPr>
        <w:t>) in the UK and French Overseas Territories. Final report of the EU-BEST project 2012-6.</w:t>
      </w:r>
    </w:p>
    <w:p w14:paraId="5C87DFC5"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Smith, R. J., Bennun, L., Brooks, T. M., Butchart, S. H. M., Cuttelod, A., Di Marco, M., … Scaramuzza, C. A. d. M. (2019). Synergies between the key biodiversity area and systematic conservation planning approaches. </w:t>
      </w:r>
      <w:r w:rsidRPr="00B92111">
        <w:rPr>
          <w:i/>
          <w:iCs/>
          <w:noProof/>
          <w:szCs w:val="24"/>
        </w:rPr>
        <w:t>Conservation Letters</w:t>
      </w:r>
      <w:r w:rsidRPr="00B92111">
        <w:rPr>
          <w:noProof/>
          <w:szCs w:val="24"/>
        </w:rPr>
        <w:t xml:space="preserve">, </w:t>
      </w:r>
      <w:r w:rsidRPr="00B92111">
        <w:rPr>
          <w:i/>
          <w:iCs/>
          <w:noProof/>
          <w:szCs w:val="24"/>
        </w:rPr>
        <w:t>12</w:t>
      </w:r>
      <w:r w:rsidRPr="00B92111">
        <w:rPr>
          <w:noProof/>
          <w:szCs w:val="24"/>
        </w:rPr>
        <w:t>(1), :e12625. https://doi.org/10.1111/conl.12625</w:t>
      </w:r>
    </w:p>
    <w:p w14:paraId="63A07057"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Soanes, L. M., Bright, J. A., Angel, L. P., Arnould, J. P. Y., Bolton, M., Berlincourt, M., … Green, J. A. (2016). Defining marine important bird areas: Testing the foraging radius approach. </w:t>
      </w:r>
      <w:r w:rsidRPr="00B92111">
        <w:rPr>
          <w:i/>
          <w:iCs/>
          <w:noProof/>
          <w:szCs w:val="24"/>
        </w:rPr>
        <w:t>Biological Conservation</w:t>
      </w:r>
      <w:r w:rsidRPr="00B92111">
        <w:rPr>
          <w:noProof/>
          <w:szCs w:val="24"/>
        </w:rPr>
        <w:t xml:space="preserve">, </w:t>
      </w:r>
      <w:r w:rsidRPr="00B92111">
        <w:rPr>
          <w:i/>
          <w:iCs/>
          <w:noProof/>
          <w:szCs w:val="24"/>
        </w:rPr>
        <w:t>196</w:t>
      </w:r>
      <w:r w:rsidRPr="00B92111">
        <w:rPr>
          <w:noProof/>
          <w:szCs w:val="24"/>
        </w:rPr>
        <w:t>, 69–79. https://doi.org/10.1016/j.biocon.2016.02.007</w:t>
      </w:r>
    </w:p>
    <w:p w14:paraId="1D02A967"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St John, M. A., Borja, A., Chust, G., Heath, M., Grigorov, I., Mariani, P., … Santos, R. S. </w:t>
      </w:r>
      <w:r w:rsidRPr="00B92111">
        <w:rPr>
          <w:noProof/>
          <w:szCs w:val="24"/>
        </w:rPr>
        <w:lastRenderedPageBreak/>
        <w:t xml:space="preserve">(2016). A Dark Hole in Our Understanding of Marine Ecosystems and Their Services: Perspectives from the Mesopelagic Community. </w:t>
      </w:r>
      <w:r w:rsidRPr="00B92111">
        <w:rPr>
          <w:i/>
          <w:iCs/>
          <w:noProof/>
          <w:szCs w:val="24"/>
        </w:rPr>
        <w:t>Frontiers in Marine Science</w:t>
      </w:r>
      <w:r w:rsidRPr="00B92111">
        <w:rPr>
          <w:noProof/>
          <w:szCs w:val="24"/>
        </w:rPr>
        <w:t xml:space="preserve">, </w:t>
      </w:r>
      <w:r w:rsidRPr="00B92111">
        <w:rPr>
          <w:i/>
          <w:iCs/>
          <w:noProof/>
          <w:szCs w:val="24"/>
        </w:rPr>
        <w:t>3</w:t>
      </w:r>
      <w:r w:rsidRPr="00B92111">
        <w:rPr>
          <w:noProof/>
          <w:szCs w:val="24"/>
        </w:rPr>
        <w:t>(31). https://doi.org/10.3389/fmars.2016.00031</w:t>
      </w:r>
    </w:p>
    <w:p w14:paraId="0A298832" w14:textId="77777777" w:rsidR="00B92111" w:rsidRPr="00BF1053" w:rsidRDefault="00B92111" w:rsidP="00B92111">
      <w:pPr>
        <w:widowControl w:val="0"/>
        <w:autoSpaceDE w:val="0"/>
        <w:autoSpaceDN w:val="0"/>
        <w:adjustRightInd w:val="0"/>
        <w:ind w:left="480" w:hanging="480"/>
        <w:rPr>
          <w:noProof/>
          <w:szCs w:val="24"/>
          <w:lang w:val="fr-FR"/>
        </w:rPr>
      </w:pPr>
      <w:r w:rsidRPr="00B92111">
        <w:rPr>
          <w:noProof/>
          <w:szCs w:val="24"/>
        </w:rPr>
        <w:t xml:space="preserve">Strimas-Mackey, M. (2018). smoothr: Smooth and Tidy Spatial Features. </w:t>
      </w:r>
      <w:r w:rsidRPr="00BF1053">
        <w:rPr>
          <w:noProof/>
          <w:szCs w:val="24"/>
          <w:lang w:val="fr-FR"/>
        </w:rPr>
        <w:t>R package version 0.1.0. https://CRAN.R-project.org/package=smoothr.</w:t>
      </w:r>
    </w:p>
    <w:p w14:paraId="765AAD58" w14:textId="77777777" w:rsidR="00B92111" w:rsidRPr="00BF1053" w:rsidRDefault="00B92111" w:rsidP="00B92111">
      <w:pPr>
        <w:widowControl w:val="0"/>
        <w:autoSpaceDE w:val="0"/>
        <w:autoSpaceDN w:val="0"/>
        <w:adjustRightInd w:val="0"/>
        <w:ind w:left="480" w:hanging="480"/>
        <w:rPr>
          <w:noProof/>
          <w:szCs w:val="24"/>
          <w:lang w:val="fr-FR"/>
        </w:rPr>
      </w:pPr>
      <w:r w:rsidRPr="00B92111">
        <w:rPr>
          <w:noProof/>
          <w:szCs w:val="24"/>
        </w:rPr>
        <w:t xml:space="preserve">Sumner, M. D. (2016). trip: Tools for the Analysis of Animal Track Data. </w:t>
      </w:r>
      <w:r w:rsidRPr="00BF1053">
        <w:rPr>
          <w:noProof/>
          <w:szCs w:val="24"/>
          <w:lang w:val="fr-FR"/>
        </w:rPr>
        <w:t>R package version 1.5.0. https://CRAN.R-project.org/package=trip.</w:t>
      </w:r>
    </w:p>
    <w:p w14:paraId="0FB8F83E"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Tanton, J. L., Reid, K., Croxall, J. P., &amp; Trathan, P. N. (2004). Winter distribution and behaviour of gentoo penguins </w:t>
      </w:r>
      <w:r w:rsidRPr="00B92111">
        <w:rPr>
          <w:i/>
          <w:iCs/>
          <w:noProof/>
          <w:szCs w:val="24"/>
        </w:rPr>
        <w:t>Pygoscelis papua</w:t>
      </w:r>
      <w:r w:rsidRPr="00B92111">
        <w:rPr>
          <w:noProof/>
          <w:szCs w:val="24"/>
        </w:rPr>
        <w:t xml:space="preserve"> at South Georgia. </w:t>
      </w:r>
      <w:r w:rsidRPr="00B92111">
        <w:rPr>
          <w:i/>
          <w:iCs/>
          <w:noProof/>
          <w:szCs w:val="24"/>
        </w:rPr>
        <w:t>Polar Biology</w:t>
      </w:r>
      <w:r w:rsidRPr="00B92111">
        <w:rPr>
          <w:noProof/>
          <w:szCs w:val="24"/>
        </w:rPr>
        <w:t xml:space="preserve">, </w:t>
      </w:r>
      <w:r w:rsidRPr="00B92111">
        <w:rPr>
          <w:i/>
          <w:iCs/>
          <w:noProof/>
          <w:szCs w:val="24"/>
        </w:rPr>
        <w:t>27</w:t>
      </w:r>
      <w:r w:rsidRPr="00B92111">
        <w:rPr>
          <w:noProof/>
          <w:szCs w:val="24"/>
        </w:rPr>
        <w:t>(5), 299–303. https://doi.org/10.1007/s00300-004-0592-6</w:t>
      </w:r>
    </w:p>
    <w:p w14:paraId="46180BF5"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Trathan, P. N., Collins, M. A., Grant, S. M., Belchier, M., Barnes, D. K. A., Brown, J., &amp; Staniland, I. J. (2014). </w:t>
      </w:r>
      <w:r w:rsidRPr="00B92111">
        <w:rPr>
          <w:i/>
          <w:iCs/>
          <w:noProof/>
          <w:szCs w:val="24"/>
        </w:rPr>
        <w:t>The South Georgia and the South Sandwich Islands MPA: Protecting A Biodiverse Oceanic Island Chain Situated in the Flow of the Antarctic Circumpolar Current</w:t>
      </w:r>
      <w:r w:rsidRPr="00B92111">
        <w:rPr>
          <w:noProof/>
          <w:szCs w:val="24"/>
        </w:rPr>
        <w:t xml:space="preserve">. </w:t>
      </w:r>
      <w:r w:rsidRPr="00B92111">
        <w:rPr>
          <w:i/>
          <w:iCs/>
          <w:noProof/>
          <w:szCs w:val="24"/>
        </w:rPr>
        <w:t>Advances in Marine Biology</w:t>
      </w:r>
      <w:r w:rsidRPr="00B92111">
        <w:rPr>
          <w:noProof/>
          <w:szCs w:val="24"/>
        </w:rPr>
        <w:t xml:space="preserve"> (Vol. 69). https://doi.org/10.1016/B978-0-12-800214-8.00002-5</w:t>
      </w:r>
    </w:p>
    <w:p w14:paraId="238FA101"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Trathan, P. N., Daunt, F., &amp; Murphy, E. J. (1996). </w:t>
      </w:r>
      <w:r w:rsidRPr="00B92111">
        <w:rPr>
          <w:i/>
          <w:iCs/>
          <w:noProof/>
          <w:szCs w:val="24"/>
        </w:rPr>
        <w:t>South Georgia: an ecological atlas</w:t>
      </w:r>
      <w:r w:rsidRPr="00B92111">
        <w:rPr>
          <w:noProof/>
          <w:szCs w:val="24"/>
        </w:rPr>
        <w:t>. Cambridge: British Antarctic Survey.</w:t>
      </w:r>
    </w:p>
    <w:p w14:paraId="58206586"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UN General Assembly. (2015). Transforming our world : the 2030 Agenda for Sustainable Development, 21 October 2015, A/RES/70/1, available at: https://www.refworld.org/docid/57b6e3e44.html [accessed 15 March 2019].</w:t>
      </w:r>
    </w:p>
    <w:p w14:paraId="6DE3AE6D"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UNEP-WCMC and IUCN. (2016). </w:t>
      </w:r>
      <w:r w:rsidRPr="00B92111">
        <w:rPr>
          <w:i/>
          <w:iCs/>
          <w:noProof/>
          <w:szCs w:val="24"/>
        </w:rPr>
        <w:t>Protected Planet Report 2016. UNEP-WCMC and IUCN: Cambridge UK and Gland, Switzerland.</w:t>
      </w:r>
    </w:p>
    <w:p w14:paraId="52A78940"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Waliczky, Z., Fishpool, L., Butchart, S. H. M., Thomas, D., Heath, M., Donald, P., … Allison, T. (2018). Important Bird and Biodiversity Areas (IBAs): their impact on conservation policy, advocacy and action. </w:t>
      </w:r>
      <w:r w:rsidRPr="00B92111">
        <w:rPr>
          <w:i/>
          <w:iCs/>
          <w:noProof/>
          <w:szCs w:val="24"/>
        </w:rPr>
        <w:t>Bird Conservation International</w:t>
      </w:r>
      <w:r w:rsidRPr="00B92111">
        <w:rPr>
          <w:noProof/>
          <w:szCs w:val="24"/>
        </w:rPr>
        <w:t>. https://doi.org/10.1017/S0959270918000175</w:t>
      </w:r>
    </w:p>
    <w:p w14:paraId="00494D9F"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Warwick-Evans, V., Ratcliffe, N., Lowther, A. D., Manco, F., Ireland, L., Clewlow, H. L., &amp; Trathan, P. N. (2018). Using habitat models for chinstrap penguins </w:t>
      </w:r>
      <w:r w:rsidRPr="00B92111">
        <w:rPr>
          <w:i/>
          <w:iCs/>
          <w:noProof/>
          <w:szCs w:val="24"/>
        </w:rPr>
        <w:t>Pygoscelis antarctica</w:t>
      </w:r>
      <w:r w:rsidRPr="00B92111">
        <w:rPr>
          <w:noProof/>
          <w:szCs w:val="24"/>
        </w:rPr>
        <w:t xml:space="preserve"> to advise krill fisheries management during the penguin breeding season. </w:t>
      </w:r>
      <w:r w:rsidRPr="00B92111">
        <w:rPr>
          <w:i/>
          <w:iCs/>
          <w:noProof/>
          <w:szCs w:val="24"/>
        </w:rPr>
        <w:t>Diversity and Distributions</w:t>
      </w:r>
      <w:r w:rsidRPr="00B92111">
        <w:rPr>
          <w:noProof/>
          <w:szCs w:val="24"/>
        </w:rPr>
        <w:t>, (June), 1756–1771. https://doi.org/10.1111/ddi.12817</w:t>
      </w:r>
    </w:p>
    <w:p w14:paraId="1733796C"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Weimerskirch, H. (2007). Are seabirds foraging for unpredictable resources? </w:t>
      </w:r>
      <w:r w:rsidRPr="00B92111">
        <w:rPr>
          <w:i/>
          <w:iCs/>
          <w:noProof/>
          <w:szCs w:val="24"/>
        </w:rPr>
        <w:t>Deep Sea Research Part II: Topical Studies in Oceanography</w:t>
      </w:r>
      <w:r w:rsidRPr="00B92111">
        <w:rPr>
          <w:noProof/>
          <w:szCs w:val="24"/>
        </w:rPr>
        <w:t xml:space="preserve">, </w:t>
      </w:r>
      <w:r w:rsidRPr="00B92111">
        <w:rPr>
          <w:i/>
          <w:iCs/>
          <w:noProof/>
          <w:szCs w:val="24"/>
        </w:rPr>
        <w:t>54</w:t>
      </w:r>
      <w:r w:rsidRPr="00B92111">
        <w:rPr>
          <w:noProof/>
          <w:szCs w:val="24"/>
        </w:rPr>
        <w:t xml:space="preserve">(3–4), 211–223. </w:t>
      </w:r>
      <w:r w:rsidRPr="00B92111">
        <w:rPr>
          <w:noProof/>
          <w:szCs w:val="24"/>
        </w:rPr>
        <w:lastRenderedPageBreak/>
        <w:t>https://doi.org/10.1016/j.dsr2.2006.11.013</w:t>
      </w:r>
    </w:p>
    <w:p w14:paraId="2CC5E19B" w14:textId="77777777" w:rsidR="00B92111" w:rsidRPr="00B92111" w:rsidRDefault="00B92111" w:rsidP="00B92111">
      <w:pPr>
        <w:widowControl w:val="0"/>
        <w:autoSpaceDE w:val="0"/>
        <w:autoSpaceDN w:val="0"/>
        <w:adjustRightInd w:val="0"/>
        <w:ind w:left="480" w:hanging="480"/>
        <w:rPr>
          <w:noProof/>
          <w:szCs w:val="24"/>
        </w:rPr>
      </w:pPr>
      <w:r w:rsidRPr="00B92111">
        <w:rPr>
          <w:noProof/>
          <w:szCs w:val="24"/>
        </w:rPr>
        <w:t xml:space="preserve">Zerbini, A. N., Adams, G., Best, J., Clapham, P. J., Jackson, J. A., &amp; Punt, A. E. (2019). Assessing the recovery of an Antarctic predator from historical exploitation. </w:t>
      </w:r>
      <w:r w:rsidRPr="00B92111">
        <w:rPr>
          <w:i/>
          <w:iCs/>
          <w:noProof/>
          <w:szCs w:val="24"/>
        </w:rPr>
        <w:t>Royal Society Open Science</w:t>
      </w:r>
      <w:r w:rsidRPr="00B92111">
        <w:rPr>
          <w:noProof/>
          <w:szCs w:val="24"/>
        </w:rPr>
        <w:t xml:space="preserve">, </w:t>
      </w:r>
      <w:r w:rsidRPr="00B92111">
        <w:rPr>
          <w:i/>
          <w:iCs/>
          <w:noProof/>
          <w:szCs w:val="24"/>
        </w:rPr>
        <w:t>6</w:t>
      </w:r>
      <w:r w:rsidRPr="00B92111">
        <w:rPr>
          <w:noProof/>
          <w:szCs w:val="24"/>
        </w:rPr>
        <w:t>(10), 190368. https://doi.org/10.1098/rsos.190368</w:t>
      </w:r>
    </w:p>
    <w:p w14:paraId="3E6CB016" w14:textId="77777777" w:rsidR="00B92111" w:rsidRPr="00B92111" w:rsidRDefault="00B92111" w:rsidP="00B92111">
      <w:pPr>
        <w:widowControl w:val="0"/>
        <w:autoSpaceDE w:val="0"/>
        <w:autoSpaceDN w:val="0"/>
        <w:adjustRightInd w:val="0"/>
        <w:ind w:left="480" w:hanging="480"/>
        <w:rPr>
          <w:noProof/>
        </w:rPr>
      </w:pPr>
      <w:r w:rsidRPr="00B92111">
        <w:rPr>
          <w:noProof/>
          <w:szCs w:val="24"/>
        </w:rPr>
        <w:t xml:space="preserve">Zupan, M., Bulleri, F., Evans, J., Fraschetti, S., Guidetti, P., Garcia-Rubies, A., … Claudet, J. (2018). How good is your marine protected area at curbing threats? </w:t>
      </w:r>
      <w:r w:rsidRPr="00B92111">
        <w:rPr>
          <w:i/>
          <w:iCs/>
          <w:noProof/>
          <w:szCs w:val="24"/>
        </w:rPr>
        <w:t>Biological Conservation</w:t>
      </w:r>
      <w:r w:rsidRPr="00B92111">
        <w:rPr>
          <w:noProof/>
          <w:szCs w:val="24"/>
        </w:rPr>
        <w:t xml:space="preserve">, </w:t>
      </w:r>
      <w:r w:rsidRPr="00B92111">
        <w:rPr>
          <w:i/>
          <w:iCs/>
          <w:noProof/>
          <w:szCs w:val="24"/>
        </w:rPr>
        <w:t>221</w:t>
      </w:r>
      <w:r w:rsidRPr="00B92111">
        <w:rPr>
          <w:noProof/>
          <w:szCs w:val="24"/>
        </w:rPr>
        <w:t>(August 2017), 237–245. https://doi.org/10.1016/j.biocon.2018.03.013</w:t>
      </w:r>
    </w:p>
    <w:p w14:paraId="65C9588F" w14:textId="263A6849" w:rsidR="004A2154" w:rsidRDefault="00FE737C" w:rsidP="004A2154">
      <w:pPr>
        <w:pStyle w:val="Heading1"/>
        <w:rPr>
          <w:b w:val="0"/>
          <w:bCs/>
          <w:sz w:val="22"/>
          <w:szCs w:val="22"/>
          <w:shd w:val="clear" w:color="auto" w:fill="FFFFFF"/>
        </w:rPr>
      </w:pPr>
      <w:r>
        <w:fldChar w:fldCharType="end"/>
      </w:r>
      <w:r w:rsidR="004A2154">
        <w:rPr>
          <w:rFonts w:eastAsiaTheme="minorHAnsi"/>
        </w:rPr>
        <w:t>Data Accessibility</w:t>
      </w:r>
    </w:p>
    <w:p w14:paraId="58D03810" w14:textId="24D469D5" w:rsidR="008D0C12" w:rsidRDefault="004A2154" w:rsidP="00D664C2">
      <w:r>
        <w:t>Tra</w:t>
      </w:r>
      <w:r w:rsidR="00C2393A">
        <w:t>cking data used in this study are</w:t>
      </w:r>
      <w:r>
        <w:t xml:space="preserve"> detailed in</w:t>
      </w:r>
      <w:r w:rsidR="00E545FA">
        <w:t xml:space="preserve"> </w:t>
      </w:r>
      <w:r w:rsidR="00637C94">
        <w:t>Appendix 1</w:t>
      </w:r>
      <w:r w:rsidR="001F256C">
        <w:t xml:space="preserve"> </w:t>
      </w:r>
      <w:r w:rsidR="00E545FA">
        <w:t>(Sheet: Tracking_data_sources), where users may view the tracking dataset IDs and make appropriate requests for the data via the BirdLife International Seabird Tracking Database (</w:t>
      </w:r>
      <w:hyperlink r:id="rId7" w:history="1">
        <w:r w:rsidR="00E545FA" w:rsidRPr="00E1204E">
          <w:rPr>
            <w:rStyle w:val="Hyperlink"/>
          </w:rPr>
          <w:t>www.seabirdtracking.org</w:t>
        </w:r>
      </w:hyperlink>
      <w:r w:rsidR="00E545FA">
        <w:t>). South Georgia MPA spatial management layers are available via the South Georgia GIS data portal (</w:t>
      </w:r>
      <w:hyperlink r:id="rId8" w:history="1">
        <w:r w:rsidR="00E545FA" w:rsidRPr="00E1204E">
          <w:rPr>
            <w:rStyle w:val="Hyperlink"/>
          </w:rPr>
          <w:t>https://www.sggis.gov.gs/</w:t>
        </w:r>
      </w:hyperlink>
      <w:r w:rsidR="00E545FA">
        <w:t xml:space="preserve">). Population estimates and colony locations are available in </w:t>
      </w:r>
      <w:r w:rsidR="00637C94">
        <w:t>Appendix 1</w:t>
      </w:r>
      <w:r w:rsidR="00E545FA">
        <w:t xml:space="preserve">. </w:t>
      </w:r>
      <w:r w:rsidR="00C32426">
        <w:t xml:space="preserve">Key Biodiversity Area layers can be requested via: </w:t>
      </w:r>
      <w:hyperlink r:id="rId9" w:history="1">
        <w:r w:rsidR="00C32426">
          <w:rPr>
            <w:rStyle w:val="Hyperlink"/>
          </w:rPr>
          <w:t>http://www.keybiodiversityareas.org/home</w:t>
        </w:r>
      </w:hyperlink>
    </w:p>
    <w:p w14:paraId="4435D955" w14:textId="77777777" w:rsidR="00C32426" w:rsidRDefault="00C32426" w:rsidP="00C32426">
      <w:pPr>
        <w:sectPr w:rsidR="00C32426" w:rsidSect="00F67A04">
          <w:footerReference w:type="default" r:id="rId10"/>
          <w:pgSz w:w="11906" w:h="16838"/>
          <w:pgMar w:top="1440" w:right="1440" w:bottom="1440" w:left="1440" w:header="708" w:footer="708" w:gutter="0"/>
          <w:lnNumType w:countBy="1" w:restart="continuous"/>
          <w:cols w:space="708"/>
          <w:docGrid w:linePitch="360"/>
        </w:sectPr>
      </w:pPr>
    </w:p>
    <w:p w14:paraId="41BE9B54" w14:textId="483F9B4A" w:rsidR="00C32426" w:rsidRDefault="00C32426" w:rsidP="00484883">
      <w:pPr>
        <w:spacing w:line="240" w:lineRule="auto"/>
      </w:pPr>
      <w:r>
        <w:lastRenderedPageBreak/>
        <w:t xml:space="preserve">Table 1: Marine predators breeding at South Georgia (SG) and the South Sandwich Islands (SSI) (including, IUCN Red List threat status and population status), considered for identification of Key Biodiversity Areas. Breeding site types, </w:t>
      </w:r>
      <w:r>
        <w:rPr>
          <w:rFonts w:eastAsia="Times New Roman"/>
          <w:color w:val="000000"/>
          <w:lang w:val="en-GB" w:eastAsia="en-GB"/>
        </w:rPr>
        <w:t xml:space="preserve">* = breeding colonies; </w:t>
      </w:r>
      <w:r>
        <w:rPr>
          <w:rFonts w:eastAsia="Times New Roman"/>
          <w:color w:val="000000"/>
          <w:lang w:eastAsia="en-GB"/>
        </w:rPr>
        <w:t xml:space="preserve">† = Bird Island breeding colony only; ‡ = breeding zones/regions; ║ = main haul-out regions; </w:t>
      </w:r>
      <w:r>
        <w:rPr>
          <w:rFonts w:eastAsia="Times New Roman"/>
          <w:color w:val="000000"/>
          <w:lang w:val="en-GB" w:eastAsia="en-GB"/>
        </w:rPr>
        <w:t xml:space="preserve">╬ = </w:t>
      </w:r>
      <w:r>
        <w:rPr>
          <w:rFonts w:eastAsia="Times New Roman"/>
          <w:color w:val="000000"/>
          <w:lang w:eastAsia="en-GB"/>
        </w:rPr>
        <w:t>specific haul-out beaches</w:t>
      </w:r>
      <w:r>
        <w:rPr>
          <w:rFonts w:eastAsia="Times New Roman"/>
          <w:color w:val="000000"/>
          <w:lang w:val="en-GB" w:eastAsia="en-GB"/>
        </w:rPr>
        <w:t xml:space="preserve">. </w:t>
      </w:r>
      <w:r>
        <w:rPr>
          <w:rFonts w:eastAsia="Times New Roman"/>
          <w:color w:val="000000"/>
          <w:lang w:val="en-GB" w:eastAsia="ja-JP"/>
        </w:rPr>
        <w:t xml:space="preserve">◊ = trend based on Bird Island colony only. </w:t>
      </w:r>
      <w:r w:rsidR="00484883">
        <w:t>Breeding site-specific population estimates available in Appendix I (Sheet: ‘Pops_data_sources’).</w:t>
      </w:r>
      <w:r w:rsidR="00C82C44">
        <w:t xml:space="preserve"> </w:t>
      </w:r>
      <w:r>
        <w:rPr>
          <w:rFonts w:eastAsia="Times New Roman"/>
          <w:color w:val="000000"/>
          <w:lang w:val="en-GB" w:eastAsia="ja-JP"/>
        </w:rPr>
        <w:t>References</w:t>
      </w:r>
      <w:r>
        <w:t xml:space="preserve"> (alphabetic characters) listed in </w:t>
      </w:r>
      <w:r w:rsidR="00637C94">
        <w:t>Appendix 3</w:t>
      </w:r>
      <w:r>
        <w:t xml:space="preserve">. </w:t>
      </w:r>
      <w:r w:rsidR="002D0350">
        <w:t>Population sizes refer to the number of breeding pairs and adult females for seabirds and seals, respectively.</w:t>
      </w:r>
    </w:p>
    <w:tbl>
      <w:tblPr>
        <w:tblW w:w="5350" w:type="pct"/>
        <w:tblInd w:w="-426" w:type="dxa"/>
        <w:tblLook w:val="04A0" w:firstRow="1" w:lastRow="0" w:firstColumn="1" w:lastColumn="0" w:noHBand="0" w:noVBand="1"/>
      </w:tblPr>
      <w:tblGrid>
        <w:gridCol w:w="1692"/>
        <w:gridCol w:w="2396"/>
        <w:gridCol w:w="705"/>
        <w:gridCol w:w="986"/>
        <w:gridCol w:w="986"/>
        <w:gridCol w:w="1269"/>
        <w:gridCol w:w="1266"/>
        <w:gridCol w:w="1269"/>
        <w:gridCol w:w="1126"/>
        <w:gridCol w:w="1974"/>
        <w:gridCol w:w="1266"/>
      </w:tblGrid>
      <w:tr w:rsidR="00C32426" w14:paraId="432C1915" w14:textId="77777777" w:rsidTr="00C2393A">
        <w:trPr>
          <w:trHeight w:val="290"/>
        </w:trPr>
        <w:tc>
          <w:tcPr>
            <w:tcW w:w="566" w:type="pct"/>
            <w:tcBorders>
              <w:top w:val="single" w:sz="4" w:space="0" w:color="auto"/>
              <w:left w:val="nil"/>
              <w:bottom w:val="single" w:sz="4" w:space="0" w:color="auto"/>
              <w:right w:val="nil"/>
            </w:tcBorders>
            <w:vAlign w:val="center"/>
            <w:hideMark/>
          </w:tcPr>
          <w:p w14:paraId="4859BA8F"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(sub)Order</w:t>
            </w:r>
          </w:p>
        </w:tc>
        <w:tc>
          <w:tcPr>
            <w:tcW w:w="802" w:type="pct"/>
            <w:tcBorders>
              <w:top w:val="single" w:sz="4" w:space="0" w:color="auto"/>
              <w:left w:val="nil"/>
              <w:bottom w:val="single" w:sz="4" w:space="0" w:color="auto"/>
              <w:right w:val="nil"/>
            </w:tcBorders>
            <w:vAlign w:val="center"/>
            <w:hideMark/>
          </w:tcPr>
          <w:p w14:paraId="3556E002"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Species</w:t>
            </w:r>
          </w:p>
        </w:tc>
        <w:tc>
          <w:tcPr>
            <w:tcW w:w="236" w:type="pct"/>
            <w:tcBorders>
              <w:top w:val="single" w:sz="4" w:space="0" w:color="auto"/>
              <w:left w:val="nil"/>
              <w:bottom w:val="single" w:sz="4" w:space="0" w:color="auto"/>
              <w:right w:val="nil"/>
            </w:tcBorders>
            <w:vAlign w:val="center"/>
            <w:hideMark/>
          </w:tcPr>
          <w:p w14:paraId="60DC8152"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Code</w:t>
            </w:r>
          </w:p>
        </w:tc>
        <w:tc>
          <w:tcPr>
            <w:tcW w:w="330" w:type="pct"/>
            <w:tcBorders>
              <w:top w:val="single" w:sz="4" w:space="0" w:color="auto"/>
              <w:left w:val="nil"/>
              <w:bottom w:val="single" w:sz="4" w:space="0" w:color="auto"/>
              <w:right w:val="nil"/>
            </w:tcBorders>
            <w:vAlign w:val="center"/>
            <w:hideMark/>
          </w:tcPr>
          <w:p w14:paraId="065A036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Global</w:t>
            </w:r>
          </w:p>
          <w:p w14:paraId="46414D6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IUCN Status</w:t>
            </w:r>
          </w:p>
        </w:tc>
        <w:tc>
          <w:tcPr>
            <w:tcW w:w="330" w:type="pct"/>
            <w:tcBorders>
              <w:top w:val="single" w:sz="4" w:space="0" w:color="auto"/>
              <w:left w:val="nil"/>
              <w:bottom w:val="single" w:sz="4" w:space="0" w:color="auto"/>
              <w:right w:val="nil"/>
            </w:tcBorders>
            <w:vAlign w:val="center"/>
            <w:hideMark/>
          </w:tcPr>
          <w:p w14:paraId="5242363D"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Tracking data</w:t>
            </w:r>
          </w:p>
        </w:tc>
        <w:tc>
          <w:tcPr>
            <w:tcW w:w="425" w:type="pct"/>
            <w:tcBorders>
              <w:top w:val="single" w:sz="4" w:space="0" w:color="auto"/>
              <w:left w:val="nil"/>
              <w:bottom w:val="single" w:sz="4" w:space="0" w:color="auto"/>
              <w:right w:val="nil"/>
            </w:tcBorders>
            <w:vAlign w:val="center"/>
            <w:hideMark/>
          </w:tcPr>
          <w:p w14:paraId="51279E3F"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Pop. Global</w:t>
            </w:r>
          </w:p>
        </w:tc>
        <w:tc>
          <w:tcPr>
            <w:tcW w:w="424" w:type="pct"/>
            <w:tcBorders>
              <w:top w:val="single" w:sz="4" w:space="0" w:color="auto"/>
              <w:left w:val="nil"/>
              <w:bottom w:val="single" w:sz="4" w:space="0" w:color="auto"/>
              <w:right w:val="nil"/>
            </w:tcBorders>
            <w:vAlign w:val="center"/>
            <w:hideMark/>
          </w:tcPr>
          <w:p w14:paraId="77EEB9CA"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Pop. SG</w:t>
            </w:r>
          </w:p>
        </w:tc>
        <w:tc>
          <w:tcPr>
            <w:tcW w:w="425" w:type="pct"/>
            <w:tcBorders>
              <w:top w:val="single" w:sz="4" w:space="0" w:color="auto"/>
              <w:left w:val="nil"/>
              <w:bottom w:val="single" w:sz="4" w:space="0" w:color="auto"/>
              <w:right w:val="nil"/>
            </w:tcBorders>
            <w:vAlign w:val="center"/>
            <w:hideMark/>
          </w:tcPr>
          <w:p w14:paraId="1C5A7199"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Pop. SSI</w:t>
            </w:r>
          </w:p>
        </w:tc>
        <w:tc>
          <w:tcPr>
            <w:tcW w:w="377" w:type="pct"/>
            <w:tcBorders>
              <w:top w:val="single" w:sz="4" w:space="0" w:color="auto"/>
              <w:left w:val="nil"/>
              <w:bottom w:val="single" w:sz="4" w:space="0" w:color="auto"/>
              <w:right w:val="nil"/>
            </w:tcBorders>
            <w:vAlign w:val="center"/>
            <w:hideMark/>
          </w:tcPr>
          <w:p w14:paraId="54C4ADC2"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Number of breeding locations</w:t>
            </w:r>
          </w:p>
        </w:tc>
        <w:tc>
          <w:tcPr>
            <w:tcW w:w="661" w:type="pct"/>
            <w:tcBorders>
              <w:top w:val="single" w:sz="4" w:space="0" w:color="auto"/>
              <w:left w:val="nil"/>
              <w:bottom w:val="single" w:sz="4" w:space="0" w:color="auto"/>
              <w:right w:val="nil"/>
            </w:tcBorders>
            <w:vAlign w:val="center"/>
            <w:hideMark/>
          </w:tcPr>
          <w:p w14:paraId="184AC7A4"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Breeding location census year</w:t>
            </w:r>
          </w:p>
        </w:tc>
        <w:tc>
          <w:tcPr>
            <w:tcW w:w="424" w:type="pct"/>
            <w:tcBorders>
              <w:top w:val="single" w:sz="4" w:space="0" w:color="auto"/>
              <w:left w:val="nil"/>
              <w:bottom w:val="single" w:sz="4" w:space="0" w:color="auto"/>
              <w:right w:val="nil"/>
            </w:tcBorders>
            <w:vAlign w:val="center"/>
            <w:hideMark/>
          </w:tcPr>
          <w:p w14:paraId="07D9A218"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SG + SSI Pop. Trend</w:t>
            </w:r>
          </w:p>
        </w:tc>
      </w:tr>
      <w:tr w:rsidR="00C32426" w14:paraId="6A8230C4" w14:textId="77777777" w:rsidTr="00C2393A">
        <w:trPr>
          <w:trHeight w:val="400"/>
        </w:trPr>
        <w:tc>
          <w:tcPr>
            <w:tcW w:w="566" w:type="pct"/>
            <w:shd w:val="clear" w:color="auto" w:fill="auto"/>
            <w:hideMark/>
          </w:tcPr>
          <w:p w14:paraId="0DCB1479"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Procellariiformes</w:t>
            </w:r>
          </w:p>
        </w:tc>
        <w:tc>
          <w:tcPr>
            <w:tcW w:w="802" w:type="pct"/>
            <w:shd w:val="clear" w:color="auto" w:fill="auto"/>
            <w:hideMark/>
          </w:tcPr>
          <w:p w14:paraId="42DD1144"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Black-browed Albatross</w:t>
            </w:r>
            <w:r>
              <w:rPr>
                <w:rFonts w:eastAsia="Times New Roman"/>
                <w:color w:val="000000"/>
                <w:sz w:val="18"/>
                <w:szCs w:val="18"/>
                <w:lang w:val="en-GB" w:eastAsia="ja-JP"/>
              </w:rPr>
              <w:br/>
            </w:r>
            <w:r>
              <w:rPr>
                <w:rFonts w:eastAsia="Times New Roman"/>
                <w:i/>
                <w:iCs/>
                <w:color w:val="000000"/>
                <w:sz w:val="18"/>
                <w:szCs w:val="18"/>
                <w:lang w:val="en-GB" w:eastAsia="ja-JP"/>
              </w:rPr>
              <w:t>Thalassarche melanophris</w:t>
            </w:r>
          </w:p>
        </w:tc>
        <w:tc>
          <w:tcPr>
            <w:tcW w:w="236" w:type="pct"/>
            <w:shd w:val="clear" w:color="auto" w:fill="auto"/>
            <w:hideMark/>
          </w:tcPr>
          <w:p w14:paraId="35EC3718"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BBA</w:t>
            </w:r>
          </w:p>
        </w:tc>
        <w:tc>
          <w:tcPr>
            <w:tcW w:w="330" w:type="pct"/>
            <w:shd w:val="clear" w:color="auto" w:fill="auto"/>
            <w:hideMark/>
          </w:tcPr>
          <w:p w14:paraId="420A61F2"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LC</w:t>
            </w:r>
          </w:p>
        </w:tc>
        <w:tc>
          <w:tcPr>
            <w:tcW w:w="330" w:type="pct"/>
            <w:shd w:val="clear" w:color="auto" w:fill="auto"/>
            <w:hideMark/>
          </w:tcPr>
          <w:p w14:paraId="235C4CAB"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Y</w:t>
            </w:r>
          </w:p>
        </w:tc>
        <w:tc>
          <w:tcPr>
            <w:tcW w:w="425" w:type="pct"/>
            <w:shd w:val="clear" w:color="auto" w:fill="auto"/>
            <w:hideMark/>
          </w:tcPr>
          <w:p w14:paraId="26F6081A"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587953 </w:t>
            </w:r>
            <w:r>
              <w:rPr>
                <w:rFonts w:eastAsia="Times New Roman"/>
                <w:color w:val="000000"/>
                <w:sz w:val="18"/>
                <w:szCs w:val="18"/>
                <w:vertAlign w:val="superscript"/>
                <w:lang w:eastAsia="en-GB"/>
              </w:rPr>
              <w:t>A</w:t>
            </w:r>
          </w:p>
        </w:tc>
        <w:tc>
          <w:tcPr>
            <w:tcW w:w="424" w:type="pct"/>
            <w:shd w:val="clear" w:color="auto" w:fill="auto"/>
            <w:hideMark/>
          </w:tcPr>
          <w:p w14:paraId="47A187F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fr-FR" w:eastAsia="en-GB"/>
              </w:rPr>
              <w:t xml:space="preserve">60563 </w:t>
            </w:r>
            <w:r>
              <w:rPr>
                <w:rFonts w:eastAsia="Times New Roman"/>
                <w:color w:val="000000"/>
                <w:sz w:val="18"/>
                <w:szCs w:val="18"/>
                <w:vertAlign w:val="superscript"/>
                <w:lang w:val="fr-FR" w:eastAsia="en-GB"/>
              </w:rPr>
              <w:t>O</w:t>
            </w:r>
          </w:p>
        </w:tc>
        <w:tc>
          <w:tcPr>
            <w:tcW w:w="425" w:type="pct"/>
            <w:shd w:val="clear" w:color="auto" w:fill="auto"/>
            <w:hideMark/>
          </w:tcPr>
          <w:p w14:paraId="1AE9E341"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Not recorded</w:t>
            </w:r>
          </w:p>
        </w:tc>
        <w:tc>
          <w:tcPr>
            <w:tcW w:w="377" w:type="pct"/>
            <w:shd w:val="clear" w:color="auto" w:fill="auto"/>
            <w:hideMark/>
          </w:tcPr>
          <w:p w14:paraId="19BFE3E5"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fr-FR" w:eastAsia="en-GB"/>
              </w:rPr>
              <w:t xml:space="preserve">21* </w:t>
            </w:r>
            <w:r>
              <w:rPr>
                <w:rFonts w:eastAsia="Times New Roman"/>
                <w:color w:val="000000"/>
                <w:sz w:val="18"/>
                <w:szCs w:val="18"/>
                <w:vertAlign w:val="superscript"/>
                <w:lang w:val="fr-FR" w:eastAsia="en-GB"/>
              </w:rPr>
              <w:t>AA</w:t>
            </w:r>
          </w:p>
        </w:tc>
        <w:tc>
          <w:tcPr>
            <w:tcW w:w="661" w:type="pct"/>
            <w:shd w:val="clear" w:color="auto" w:fill="auto"/>
            <w:hideMark/>
          </w:tcPr>
          <w:p w14:paraId="71969344"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2014/15</w:t>
            </w:r>
          </w:p>
        </w:tc>
        <w:tc>
          <w:tcPr>
            <w:tcW w:w="424" w:type="pct"/>
            <w:shd w:val="clear" w:color="auto" w:fill="auto"/>
            <w:hideMark/>
          </w:tcPr>
          <w:p w14:paraId="389C980E" w14:textId="77777777" w:rsidR="00C32426" w:rsidRDefault="00C32426" w:rsidP="00C2393A">
            <w:pPr>
              <w:spacing w:after="0" w:line="276" w:lineRule="auto"/>
              <w:jc w:val="left"/>
              <w:rPr>
                <w:rFonts w:eastAsia="Times New Roman"/>
                <w:color w:val="000000"/>
                <w:sz w:val="24"/>
                <w:szCs w:val="24"/>
                <w:lang w:val="en-GB" w:eastAsia="ja-JP"/>
              </w:rPr>
            </w:pPr>
            <w:r>
              <w:rPr>
                <w:rFonts w:eastAsia="Times New Roman"/>
                <w:color w:val="000000"/>
                <w:sz w:val="24"/>
                <w:szCs w:val="24"/>
                <w:lang w:val="en-GB" w:eastAsia="ja-JP"/>
              </w:rPr>
              <w:t>↓</w:t>
            </w:r>
          </w:p>
        </w:tc>
      </w:tr>
      <w:tr w:rsidR="00C32426" w14:paraId="6EFF115C" w14:textId="77777777" w:rsidTr="00C2393A">
        <w:trPr>
          <w:trHeight w:val="400"/>
        </w:trPr>
        <w:tc>
          <w:tcPr>
            <w:tcW w:w="566" w:type="pct"/>
            <w:shd w:val="clear" w:color="auto" w:fill="auto"/>
            <w:hideMark/>
          </w:tcPr>
          <w:p w14:paraId="1F95CDAF" w14:textId="77777777" w:rsidR="00C32426" w:rsidRDefault="00C32426" w:rsidP="00C2393A">
            <w:pPr>
              <w:rPr>
                <w:rFonts w:eastAsia="Times New Roman"/>
                <w:color w:val="000000"/>
                <w:sz w:val="24"/>
                <w:szCs w:val="24"/>
                <w:lang w:val="en-GB" w:eastAsia="ja-JP"/>
              </w:rPr>
            </w:pPr>
          </w:p>
        </w:tc>
        <w:tc>
          <w:tcPr>
            <w:tcW w:w="802" w:type="pct"/>
            <w:shd w:val="clear" w:color="auto" w:fill="auto"/>
            <w:hideMark/>
          </w:tcPr>
          <w:p w14:paraId="51007D6D"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Grey-headed Albatross</w:t>
            </w:r>
            <w:r>
              <w:rPr>
                <w:rFonts w:eastAsia="Times New Roman"/>
                <w:color w:val="000000"/>
                <w:sz w:val="18"/>
                <w:szCs w:val="18"/>
                <w:lang w:val="en-GB" w:eastAsia="ja-JP"/>
              </w:rPr>
              <w:br/>
            </w:r>
            <w:r>
              <w:rPr>
                <w:rFonts w:eastAsia="Times New Roman"/>
                <w:i/>
                <w:iCs/>
                <w:color w:val="000000"/>
                <w:sz w:val="18"/>
                <w:szCs w:val="18"/>
                <w:lang w:val="en-GB" w:eastAsia="ja-JP"/>
              </w:rPr>
              <w:t>Thalassarche chrysostoma</w:t>
            </w:r>
          </w:p>
        </w:tc>
        <w:tc>
          <w:tcPr>
            <w:tcW w:w="236" w:type="pct"/>
            <w:shd w:val="clear" w:color="auto" w:fill="auto"/>
            <w:hideMark/>
          </w:tcPr>
          <w:p w14:paraId="1AD8AA0C"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GHA</w:t>
            </w:r>
          </w:p>
        </w:tc>
        <w:tc>
          <w:tcPr>
            <w:tcW w:w="330" w:type="pct"/>
            <w:shd w:val="clear" w:color="auto" w:fill="auto"/>
            <w:hideMark/>
          </w:tcPr>
          <w:p w14:paraId="050053F9"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EN (A4)</w:t>
            </w:r>
          </w:p>
        </w:tc>
        <w:tc>
          <w:tcPr>
            <w:tcW w:w="330" w:type="pct"/>
            <w:shd w:val="clear" w:color="auto" w:fill="auto"/>
            <w:hideMark/>
          </w:tcPr>
          <w:p w14:paraId="78A2211D"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Y</w:t>
            </w:r>
          </w:p>
        </w:tc>
        <w:tc>
          <w:tcPr>
            <w:tcW w:w="425" w:type="pct"/>
            <w:shd w:val="clear" w:color="auto" w:fill="auto"/>
            <w:hideMark/>
          </w:tcPr>
          <w:p w14:paraId="7EDD556F"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75327 </w:t>
            </w:r>
            <w:r>
              <w:rPr>
                <w:rFonts w:eastAsia="Times New Roman"/>
                <w:color w:val="000000"/>
                <w:sz w:val="18"/>
                <w:szCs w:val="18"/>
                <w:vertAlign w:val="superscript"/>
                <w:lang w:eastAsia="en-GB"/>
              </w:rPr>
              <w:t>B</w:t>
            </w:r>
          </w:p>
        </w:tc>
        <w:tc>
          <w:tcPr>
            <w:tcW w:w="424" w:type="pct"/>
            <w:shd w:val="clear" w:color="auto" w:fill="auto"/>
            <w:hideMark/>
          </w:tcPr>
          <w:p w14:paraId="0C2385ED"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fr-FR" w:eastAsia="en-GB"/>
              </w:rPr>
              <w:t xml:space="preserve">27253 </w:t>
            </w:r>
            <w:r>
              <w:rPr>
                <w:rFonts w:eastAsia="Times New Roman"/>
                <w:color w:val="000000"/>
                <w:sz w:val="18"/>
                <w:szCs w:val="18"/>
                <w:vertAlign w:val="superscript"/>
                <w:lang w:val="fr-FR" w:eastAsia="en-GB"/>
              </w:rPr>
              <w:t>O</w:t>
            </w:r>
          </w:p>
        </w:tc>
        <w:tc>
          <w:tcPr>
            <w:tcW w:w="425" w:type="pct"/>
            <w:shd w:val="clear" w:color="auto" w:fill="auto"/>
            <w:hideMark/>
          </w:tcPr>
          <w:p w14:paraId="49D59FA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Not recorded</w:t>
            </w:r>
          </w:p>
        </w:tc>
        <w:tc>
          <w:tcPr>
            <w:tcW w:w="377" w:type="pct"/>
            <w:shd w:val="clear" w:color="auto" w:fill="auto"/>
            <w:hideMark/>
          </w:tcPr>
          <w:p w14:paraId="235A993E"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fr-FR" w:eastAsia="en-GB"/>
              </w:rPr>
              <w:t xml:space="preserve">9* </w:t>
            </w:r>
            <w:r>
              <w:rPr>
                <w:rFonts w:eastAsia="Times New Roman"/>
                <w:color w:val="000000"/>
                <w:sz w:val="18"/>
                <w:szCs w:val="18"/>
                <w:vertAlign w:val="superscript"/>
                <w:lang w:val="fr-FR" w:eastAsia="en-GB"/>
              </w:rPr>
              <w:t>AB</w:t>
            </w:r>
          </w:p>
        </w:tc>
        <w:tc>
          <w:tcPr>
            <w:tcW w:w="661" w:type="pct"/>
            <w:shd w:val="clear" w:color="auto" w:fill="auto"/>
            <w:hideMark/>
          </w:tcPr>
          <w:p w14:paraId="65B5B59D"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2014/15</w:t>
            </w:r>
          </w:p>
        </w:tc>
        <w:tc>
          <w:tcPr>
            <w:tcW w:w="424" w:type="pct"/>
            <w:shd w:val="clear" w:color="auto" w:fill="auto"/>
            <w:hideMark/>
          </w:tcPr>
          <w:p w14:paraId="07053CED" w14:textId="77777777" w:rsidR="00C32426" w:rsidRDefault="00C32426" w:rsidP="00C2393A">
            <w:pPr>
              <w:spacing w:after="0" w:line="276" w:lineRule="auto"/>
              <w:jc w:val="left"/>
              <w:rPr>
                <w:rFonts w:eastAsia="Times New Roman"/>
                <w:color w:val="000000"/>
                <w:sz w:val="24"/>
                <w:szCs w:val="24"/>
                <w:lang w:val="en-GB" w:eastAsia="ja-JP"/>
              </w:rPr>
            </w:pPr>
            <w:r>
              <w:rPr>
                <w:rFonts w:eastAsia="Times New Roman"/>
                <w:color w:val="000000"/>
                <w:sz w:val="24"/>
                <w:szCs w:val="24"/>
                <w:lang w:val="en-GB" w:eastAsia="ja-JP"/>
              </w:rPr>
              <w:t>↓</w:t>
            </w:r>
          </w:p>
        </w:tc>
      </w:tr>
      <w:tr w:rsidR="00C32426" w14:paraId="029FE247" w14:textId="77777777" w:rsidTr="00C2393A">
        <w:trPr>
          <w:trHeight w:val="400"/>
        </w:trPr>
        <w:tc>
          <w:tcPr>
            <w:tcW w:w="566" w:type="pct"/>
            <w:shd w:val="clear" w:color="auto" w:fill="auto"/>
            <w:hideMark/>
          </w:tcPr>
          <w:p w14:paraId="4A49D847" w14:textId="77777777" w:rsidR="00C32426" w:rsidRDefault="00C32426" w:rsidP="00C2393A">
            <w:pPr>
              <w:rPr>
                <w:rFonts w:eastAsia="Times New Roman"/>
                <w:color w:val="000000"/>
                <w:sz w:val="24"/>
                <w:szCs w:val="24"/>
                <w:lang w:val="en-GB" w:eastAsia="ja-JP"/>
              </w:rPr>
            </w:pPr>
          </w:p>
        </w:tc>
        <w:tc>
          <w:tcPr>
            <w:tcW w:w="802" w:type="pct"/>
            <w:shd w:val="clear" w:color="auto" w:fill="auto"/>
            <w:hideMark/>
          </w:tcPr>
          <w:p w14:paraId="0DFAFE54"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Light-mantled Albatross</w:t>
            </w:r>
            <w:r>
              <w:rPr>
                <w:rFonts w:eastAsia="Times New Roman"/>
                <w:color w:val="000000"/>
                <w:sz w:val="18"/>
                <w:szCs w:val="18"/>
                <w:lang w:val="en-GB" w:eastAsia="ja-JP"/>
              </w:rPr>
              <w:br/>
            </w:r>
            <w:r>
              <w:rPr>
                <w:rFonts w:eastAsia="Times New Roman"/>
                <w:i/>
                <w:iCs/>
                <w:color w:val="000000"/>
                <w:sz w:val="18"/>
                <w:szCs w:val="18"/>
                <w:lang w:val="en-GB" w:eastAsia="ja-JP"/>
              </w:rPr>
              <w:t>Phoebetria palpebrata</w:t>
            </w:r>
          </w:p>
        </w:tc>
        <w:tc>
          <w:tcPr>
            <w:tcW w:w="236" w:type="pct"/>
            <w:shd w:val="clear" w:color="auto" w:fill="auto"/>
            <w:hideMark/>
          </w:tcPr>
          <w:p w14:paraId="70FB8A85"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LMA</w:t>
            </w:r>
          </w:p>
        </w:tc>
        <w:tc>
          <w:tcPr>
            <w:tcW w:w="330" w:type="pct"/>
            <w:shd w:val="clear" w:color="auto" w:fill="auto"/>
            <w:hideMark/>
          </w:tcPr>
          <w:p w14:paraId="7CFDFE62"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NT (A4)</w:t>
            </w:r>
          </w:p>
        </w:tc>
        <w:tc>
          <w:tcPr>
            <w:tcW w:w="330" w:type="pct"/>
            <w:shd w:val="clear" w:color="auto" w:fill="auto"/>
            <w:hideMark/>
          </w:tcPr>
          <w:p w14:paraId="3714EF5C"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Y</w:t>
            </w:r>
          </w:p>
        </w:tc>
        <w:tc>
          <w:tcPr>
            <w:tcW w:w="425" w:type="pct"/>
            <w:shd w:val="clear" w:color="auto" w:fill="auto"/>
            <w:hideMark/>
          </w:tcPr>
          <w:p w14:paraId="392F7CB5"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20486 </w:t>
            </w:r>
            <w:r>
              <w:rPr>
                <w:rFonts w:eastAsia="Times New Roman"/>
                <w:color w:val="000000"/>
                <w:sz w:val="18"/>
                <w:szCs w:val="18"/>
                <w:vertAlign w:val="superscript"/>
                <w:lang w:eastAsia="en-GB"/>
              </w:rPr>
              <w:t>C</w:t>
            </w:r>
          </w:p>
        </w:tc>
        <w:tc>
          <w:tcPr>
            <w:tcW w:w="424" w:type="pct"/>
            <w:shd w:val="clear" w:color="auto" w:fill="auto"/>
            <w:hideMark/>
          </w:tcPr>
          <w:p w14:paraId="6DCFEEE3"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5000 </w:t>
            </w:r>
            <w:r>
              <w:rPr>
                <w:rFonts w:eastAsia="Times New Roman"/>
                <w:color w:val="000000"/>
                <w:sz w:val="18"/>
                <w:szCs w:val="18"/>
                <w:vertAlign w:val="superscript"/>
                <w:lang w:eastAsia="en-GB"/>
              </w:rPr>
              <w:t>C</w:t>
            </w:r>
          </w:p>
        </w:tc>
        <w:tc>
          <w:tcPr>
            <w:tcW w:w="425" w:type="pct"/>
            <w:shd w:val="clear" w:color="auto" w:fill="auto"/>
            <w:hideMark/>
          </w:tcPr>
          <w:p w14:paraId="5D0C7113"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Not recorded</w:t>
            </w:r>
          </w:p>
        </w:tc>
        <w:tc>
          <w:tcPr>
            <w:tcW w:w="377" w:type="pct"/>
            <w:shd w:val="clear" w:color="auto" w:fill="auto"/>
            <w:hideMark/>
          </w:tcPr>
          <w:p w14:paraId="415AD46C"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1</w:t>
            </w:r>
            <w:r>
              <w:rPr>
                <w:rFonts w:eastAsia="Times New Roman"/>
                <w:color w:val="000000"/>
                <w:sz w:val="18"/>
                <w:szCs w:val="18"/>
                <w:vertAlign w:val="superscript"/>
                <w:lang w:eastAsia="en-GB"/>
              </w:rPr>
              <w:t>†</w:t>
            </w:r>
            <w:r>
              <w:rPr>
                <w:rFonts w:eastAsia="Times New Roman"/>
                <w:color w:val="000000"/>
                <w:sz w:val="18"/>
                <w:szCs w:val="18"/>
                <w:lang w:eastAsia="en-GB"/>
              </w:rPr>
              <w:t xml:space="preserve"> </w:t>
            </w:r>
            <w:r>
              <w:rPr>
                <w:rFonts w:eastAsia="Times New Roman"/>
                <w:color w:val="000000"/>
                <w:sz w:val="18"/>
                <w:szCs w:val="18"/>
                <w:vertAlign w:val="superscript"/>
                <w:lang w:eastAsia="en-GB"/>
              </w:rPr>
              <w:t>AC</w:t>
            </w:r>
          </w:p>
        </w:tc>
        <w:tc>
          <w:tcPr>
            <w:tcW w:w="661" w:type="pct"/>
            <w:shd w:val="clear" w:color="auto" w:fill="auto"/>
            <w:hideMark/>
          </w:tcPr>
          <w:p w14:paraId="54940A0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NA, 2017/18</w:t>
            </w:r>
          </w:p>
        </w:tc>
        <w:tc>
          <w:tcPr>
            <w:tcW w:w="424" w:type="pct"/>
            <w:shd w:val="clear" w:color="auto" w:fill="auto"/>
            <w:hideMark/>
          </w:tcPr>
          <w:p w14:paraId="4E5088E0" w14:textId="77777777" w:rsidR="00C32426" w:rsidRDefault="00C32426" w:rsidP="00C2393A">
            <w:pPr>
              <w:spacing w:after="0" w:line="276" w:lineRule="auto"/>
              <w:jc w:val="left"/>
              <w:rPr>
                <w:rFonts w:eastAsia="Times New Roman"/>
                <w:color w:val="000000"/>
                <w:sz w:val="24"/>
                <w:szCs w:val="24"/>
                <w:lang w:val="en-GB" w:eastAsia="ja-JP"/>
              </w:rPr>
            </w:pPr>
            <w:r>
              <w:rPr>
                <w:rFonts w:eastAsia="Times New Roman"/>
                <w:color w:val="000000"/>
                <w:sz w:val="18"/>
                <w:szCs w:val="18"/>
                <w:lang w:val="en-GB" w:eastAsia="ja-JP"/>
              </w:rPr>
              <w:t>?</w:t>
            </w:r>
          </w:p>
        </w:tc>
      </w:tr>
      <w:tr w:rsidR="00C32426" w14:paraId="7152C605" w14:textId="77777777" w:rsidTr="00C2393A">
        <w:trPr>
          <w:trHeight w:val="400"/>
        </w:trPr>
        <w:tc>
          <w:tcPr>
            <w:tcW w:w="566" w:type="pct"/>
            <w:shd w:val="clear" w:color="auto" w:fill="auto"/>
            <w:hideMark/>
          </w:tcPr>
          <w:p w14:paraId="4AB87CA8" w14:textId="77777777" w:rsidR="00C32426" w:rsidRDefault="00C32426" w:rsidP="00C2393A">
            <w:pPr>
              <w:rPr>
                <w:rFonts w:eastAsia="Times New Roman"/>
                <w:color w:val="000000"/>
                <w:sz w:val="24"/>
                <w:szCs w:val="24"/>
                <w:lang w:val="en-GB" w:eastAsia="ja-JP"/>
              </w:rPr>
            </w:pPr>
          </w:p>
        </w:tc>
        <w:tc>
          <w:tcPr>
            <w:tcW w:w="802" w:type="pct"/>
            <w:shd w:val="clear" w:color="auto" w:fill="auto"/>
            <w:hideMark/>
          </w:tcPr>
          <w:p w14:paraId="22932216"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Wandering Albatross</w:t>
            </w:r>
            <w:r>
              <w:rPr>
                <w:rFonts w:eastAsia="Times New Roman"/>
                <w:color w:val="000000"/>
                <w:sz w:val="18"/>
                <w:szCs w:val="18"/>
                <w:lang w:val="en-GB" w:eastAsia="ja-JP"/>
              </w:rPr>
              <w:br/>
            </w:r>
            <w:r>
              <w:rPr>
                <w:rFonts w:eastAsia="Times New Roman"/>
                <w:i/>
                <w:iCs/>
                <w:color w:val="000000"/>
                <w:sz w:val="18"/>
                <w:szCs w:val="18"/>
                <w:lang w:val="en-GB" w:eastAsia="ja-JP"/>
              </w:rPr>
              <w:t>Diomedea exulans</w:t>
            </w:r>
          </w:p>
        </w:tc>
        <w:tc>
          <w:tcPr>
            <w:tcW w:w="236" w:type="pct"/>
            <w:shd w:val="clear" w:color="auto" w:fill="auto"/>
            <w:hideMark/>
          </w:tcPr>
          <w:p w14:paraId="018F637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WAA</w:t>
            </w:r>
          </w:p>
        </w:tc>
        <w:tc>
          <w:tcPr>
            <w:tcW w:w="330" w:type="pct"/>
            <w:shd w:val="clear" w:color="auto" w:fill="auto"/>
            <w:hideMark/>
          </w:tcPr>
          <w:p w14:paraId="74E6711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VU (A4)</w:t>
            </w:r>
          </w:p>
        </w:tc>
        <w:tc>
          <w:tcPr>
            <w:tcW w:w="330" w:type="pct"/>
            <w:shd w:val="clear" w:color="auto" w:fill="auto"/>
            <w:hideMark/>
          </w:tcPr>
          <w:p w14:paraId="478C678D"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Y</w:t>
            </w:r>
          </w:p>
        </w:tc>
        <w:tc>
          <w:tcPr>
            <w:tcW w:w="425" w:type="pct"/>
            <w:shd w:val="clear" w:color="auto" w:fill="auto"/>
            <w:hideMark/>
          </w:tcPr>
          <w:p w14:paraId="706D7173"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7908 </w:t>
            </w:r>
            <w:r>
              <w:rPr>
                <w:rFonts w:eastAsia="Times New Roman"/>
                <w:color w:val="000000"/>
                <w:sz w:val="18"/>
                <w:szCs w:val="18"/>
                <w:vertAlign w:val="superscript"/>
                <w:lang w:eastAsia="en-GB"/>
              </w:rPr>
              <w:t>D</w:t>
            </w:r>
          </w:p>
        </w:tc>
        <w:tc>
          <w:tcPr>
            <w:tcW w:w="424" w:type="pct"/>
            <w:shd w:val="clear" w:color="auto" w:fill="auto"/>
            <w:hideMark/>
          </w:tcPr>
          <w:p w14:paraId="31A631D4"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fr-FR" w:eastAsia="en-GB"/>
              </w:rPr>
              <w:t xml:space="preserve">1278 </w:t>
            </w:r>
            <w:r>
              <w:rPr>
                <w:rFonts w:eastAsia="Times New Roman"/>
                <w:color w:val="000000"/>
                <w:sz w:val="18"/>
                <w:szCs w:val="18"/>
                <w:vertAlign w:val="superscript"/>
                <w:lang w:val="fr-FR" w:eastAsia="en-GB"/>
              </w:rPr>
              <w:t>O</w:t>
            </w:r>
          </w:p>
        </w:tc>
        <w:tc>
          <w:tcPr>
            <w:tcW w:w="425" w:type="pct"/>
            <w:shd w:val="clear" w:color="auto" w:fill="auto"/>
            <w:hideMark/>
          </w:tcPr>
          <w:p w14:paraId="4FD25EF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Not recorded</w:t>
            </w:r>
          </w:p>
        </w:tc>
        <w:tc>
          <w:tcPr>
            <w:tcW w:w="377" w:type="pct"/>
            <w:shd w:val="clear" w:color="auto" w:fill="auto"/>
            <w:hideMark/>
          </w:tcPr>
          <w:p w14:paraId="54921879"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fr-FR" w:eastAsia="en-GB"/>
              </w:rPr>
              <w:t xml:space="preserve">23* </w:t>
            </w:r>
            <w:r>
              <w:rPr>
                <w:rFonts w:eastAsia="Times New Roman"/>
                <w:color w:val="000000"/>
                <w:sz w:val="18"/>
                <w:szCs w:val="18"/>
                <w:vertAlign w:val="superscript"/>
                <w:lang w:val="fr-FR" w:eastAsia="en-GB"/>
              </w:rPr>
              <w:t>AD</w:t>
            </w:r>
          </w:p>
        </w:tc>
        <w:tc>
          <w:tcPr>
            <w:tcW w:w="661" w:type="pct"/>
            <w:shd w:val="clear" w:color="auto" w:fill="auto"/>
            <w:hideMark/>
          </w:tcPr>
          <w:p w14:paraId="03C1C5A2"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2014/15</w:t>
            </w:r>
          </w:p>
        </w:tc>
        <w:tc>
          <w:tcPr>
            <w:tcW w:w="424" w:type="pct"/>
            <w:shd w:val="clear" w:color="auto" w:fill="auto"/>
            <w:hideMark/>
          </w:tcPr>
          <w:p w14:paraId="3BC78C01" w14:textId="77777777" w:rsidR="00C32426" w:rsidRDefault="00C32426" w:rsidP="00C2393A">
            <w:pPr>
              <w:spacing w:after="0" w:line="276" w:lineRule="auto"/>
              <w:jc w:val="left"/>
              <w:rPr>
                <w:rFonts w:eastAsia="Times New Roman"/>
                <w:color w:val="000000"/>
                <w:sz w:val="24"/>
                <w:szCs w:val="24"/>
                <w:lang w:val="en-GB" w:eastAsia="ja-JP"/>
              </w:rPr>
            </w:pPr>
            <w:r>
              <w:rPr>
                <w:rFonts w:eastAsia="Times New Roman"/>
                <w:color w:val="000000"/>
                <w:sz w:val="24"/>
                <w:szCs w:val="24"/>
                <w:lang w:val="en-GB" w:eastAsia="ja-JP"/>
              </w:rPr>
              <w:t>↓</w:t>
            </w:r>
          </w:p>
        </w:tc>
      </w:tr>
      <w:tr w:rsidR="00C32426" w14:paraId="153F49C8" w14:textId="77777777" w:rsidTr="00C2393A">
        <w:trPr>
          <w:trHeight w:val="400"/>
        </w:trPr>
        <w:tc>
          <w:tcPr>
            <w:tcW w:w="566" w:type="pct"/>
            <w:shd w:val="clear" w:color="auto" w:fill="auto"/>
            <w:hideMark/>
          </w:tcPr>
          <w:p w14:paraId="0F83AED9" w14:textId="77777777" w:rsidR="00C32426" w:rsidRDefault="00C32426" w:rsidP="00C2393A">
            <w:pPr>
              <w:rPr>
                <w:rFonts w:eastAsia="Times New Roman"/>
                <w:color w:val="000000"/>
                <w:sz w:val="24"/>
                <w:szCs w:val="24"/>
                <w:lang w:val="en-GB" w:eastAsia="ja-JP"/>
              </w:rPr>
            </w:pPr>
          </w:p>
        </w:tc>
        <w:tc>
          <w:tcPr>
            <w:tcW w:w="802" w:type="pct"/>
            <w:shd w:val="clear" w:color="auto" w:fill="auto"/>
            <w:hideMark/>
          </w:tcPr>
          <w:p w14:paraId="49D7663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Northern Giant Petrel</w:t>
            </w:r>
            <w:r>
              <w:rPr>
                <w:rFonts w:eastAsia="Times New Roman"/>
                <w:color w:val="000000"/>
                <w:sz w:val="18"/>
                <w:szCs w:val="18"/>
                <w:lang w:val="en-GB" w:eastAsia="ja-JP"/>
              </w:rPr>
              <w:br/>
            </w:r>
            <w:r>
              <w:rPr>
                <w:rFonts w:eastAsia="Times New Roman"/>
                <w:i/>
                <w:iCs/>
                <w:color w:val="000000"/>
                <w:sz w:val="18"/>
                <w:szCs w:val="18"/>
                <w:lang w:val="en-GB" w:eastAsia="ja-JP"/>
              </w:rPr>
              <w:t>Macronectes halli</w:t>
            </w:r>
          </w:p>
        </w:tc>
        <w:tc>
          <w:tcPr>
            <w:tcW w:w="236" w:type="pct"/>
            <w:shd w:val="clear" w:color="auto" w:fill="auto"/>
            <w:hideMark/>
          </w:tcPr>
          <w:p w14:paraId="67792C56"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NGP</w:t>
            </w:r>
          </w:p>
        </w:tc>
        <w:tc>
          <w:tcPr>
            <w:tcW w:w="330" w:type="pct"/>
            <w:shd w:val="clear" w:color="auto" w:fill="auto"/>
            <w:hideMark/>
          </w:tcPr>
          <w:p w14:paraId="2EA6CFB6"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LC</w:t>
            </w:r>
          </w:p>
        </w:tc>
        <w:tc>
          <w:tcPr>
            <w:tcW w:w="330" w:type="pct"/>
            <w:shd w:val="clear" w:color="auto" w:fill="auto"/>
            <w:hideMark/>
          </w:tcPr>
          <w:p w14:paraId="507B453E"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Y</w:t>
            </w:r>
          </w:p>
        </w:tc>
        <w:tc>
          <w:tcPr>
            <w:tcW w:w="425" w:type="pct"/>
            <w:shd w:val="clear" w:color="auto" w:fill="auto"/>
            <w:hideMark/>
          </w:tcPr>
          <w:p w14:paraId="241C4A58"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24690 </w:t>
            </w:r>
            <w:r>
              <w:rPr>
                <w:rFonts w:eastAsia="Times New Roman"/>
                <w:color w:val="000000"/>
                <w:sz w:val="18"/>
                <w:szCs w:val="18"/>
                <w:vertAlign w:val="superscript"/>
                <w:lang w:eastAsia="en-GB"/>
              </w:rPr>
              <w:t>E</w:t>
            </w:r>
          </w:p>
        </w:tc>
        <w:tc>
          <w:tcPr>
            <w:tcW w:w="424" w:type="pct"/>
            <w:shd w:val="clear" w:color="auto" w:fill="auto"/>
            <w:hideMark/>
          </w:tcPr>
          <w:p w14:paraId="6C5CDE3E"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17200 </w:t>
            </w:r>
            <w:r>
              <w:rPr>
                <w:rFonts w:eastAsia="Times New Roman"/>
                <w:color w:val="000000"/>
                <w:sz w:val="18"/>
                <w:szCs w:val="18"/>
                <w:vertAlign w:val="superscript"/>
                <w:lang w:eastAsia="en-GB"/>
              </w:rPr>
              <w:t>P</w:t>
            </w:r>
          </w:p>
        </w:tc>
        <w:tc>
          <w:tcPr>
            <w:tcW w:w="425" w:type="pct"/>
            <w:shd w:val="clear" w:color="auto" w:fill="auto"/>
            <w:hideMark/>
          </w:tcPr>
          <w:p w14:paraId="41C6ED4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Not recorded</w:t>
            </w:r>
          </w:p>
        </w:tc>
        <w:tc>
          <w:tcPr>
            <w:tcW w:w="377" w:type="pct"/>
            <w:shd w:val="clear" w:color="auto" w:fill="auto"/>
            <w:hideMark/>
          </w:tcPr>
          <w:p w14:paraId="0789A745"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24</w:t>
            </w:r>
            <w:r>
              <w:rPr>
                <w:rFonts w:eastAsia="Times New Roman"/>
                <w:color w:val="000000"/>
                <w:sz w:val="18"/>
                <w:szCs w:val="18"/>
                <w:vertAlign w:val="superscript"/>
                <w:lang w:eastAsia="en-GB"/>
              </w:rPr>
              <w:t>‡</w:t>
            </w:r>
            <w:r>
              <w:rPr>
                <w:rFonts w:eastAsia="Times New Roman"/>
                <w:color w:val="000000"/>
                <w:sz w:val="18"/>
                <w:szCs w:val="18"/>
                <w:lang w:eastAsia="en-GB"/>
              </w:rPr>
              <w:t xml:space="preserve"> </w:t>
            </w:r>
            <w:r>
              <w:rPr>
                <w:rFonts w:eastAsia="Times New Roman"/>
                <w:color w:val="000000"/>
                <w:sz w:val="18"/>
                <w:szCs w:val="18"/>
                <w:vertAlign w:val="superscript"/>
                <w:lang w:eastAsia="en-GB"/>
              </w:rPr>
              <w:t>AE</w:t>
            </w:r>
          </w:p>
        </w:tc>
        <w:tc>
          <w:tcPr>
            <w:tcW w:w="661" w:type="pct"/>
            <w:shd w:val="clear" w:color="auto" w:fill="auto"/>
            <w:hideMark/>
          </w:tcPr>
          <w:p w14:paraId="46E2B9D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NA, 2017/18</w:t>
            </w:r>
          </w:p>
        </w:tc>
        <w:tc>
          <w:tcPr>
            <w:tcW w:w="424" w:type="pct"/>
            <w:shd w:val="clear" w:color="auto" w:fill="auto"/>
            <w:hideMark/>
          </w:tcPr>
          <w:p w14:paraId="02FF3FCD" w14:textId="77777777" w:rsidR="00C32426" w:rsidRDefault="00C32426" w:rsidP="00C2393A">
            <w:pPr>
              <w:spacing w:after="0" w:line="276" w:lineRule="auto"/>
              <w:jc w:val="left"/>
              <w:rPr>
                <w:rFonts w:eastAsia="Times New Roman"/>
                <w:color w:val="000000"/>
                <w:sz w:val="24"/>
                <w:szCs w:val="24"/>
                <w:lang w:val="en-GB" w:eastAsia="ja-JP"/>
              </w:rPr>
            </w:pPr>
            <w:r>
              <w:rPr>
                <w:rFonts w:eastAsia="Times New Roman"/>
                <w:color w:val="000000"/>
                <w:sz w:val="24"/>
                <w:szCs w:val="24"/>
                <w:lang w:val="en-GB" w:eastAsia="ja-JP"/>
              </w:rPr>
              <w:t>↑</w:t>
            </w:r>
            <w:r>
              <w:rPr>
                <w:rFonts w:eastAsia="Times New Roman"/>
                <w:color w:val="000000"/>
                <w:sz w:val="24"/>
                <w:szCs w:val="24"/>
                <w:vertAlign w:val="superscript"/>
                <w:lang w:val="en-GB" w:eastAsia="ja-JP"/>
              </w:rPr>
              <w:t>◊</w:t>
            </w:r>
          </w:p>
        </w:tc>
      </w:tr>
      <w:tr w:rsidR="00C32426" w14:paraId="7286DB64" w14:textId="77777777" w:rsidTr="00C2393A">
        <w:trPr>
          <w:trHeight w:val="400"/>
        </w:trPr>
        <w:tc>
          <w:tcPr>
            <w:tcW w:w="566" w:type="pct"/>
            <w:shd w:val="clear" w:color="auto" w:fill="auto"/>
            <w:hideMark/>
          </w:tcPr>
          <w:p w14:paraId="37FE3AE0" w14:textId="77777777" w:rsidR="00C32426" w:rsidRDefault="00C32426" w:rsidP="00C2393A">
            <w:pPr>
              <w:rPr>
                <w:rFonts w:eastAsia="Times New Roman"/>
                <w:color w:val="000000"/>
                <w:sz w:val="24"/>
                <w:szCs w:val="24"/>
                <w:lang w:val="en-GB" w:eastAsia="ja-JP"/>
              </w:rPr>
            </w:pPr>
          </w:p>
        </w:tc>
        <w:tc>
          <w:tcPr>
            <w:tcW w:w="802" w:type="pct"/>
            <w:shd w:val="clear" w:color="auto" w:fill="auto"/>
            <w:hideMark/>
          </w:tcPr>
          <w:p w14:paraId="2F257D3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Southern Giant Petrel</w:t>
            </w:r>
            <w:r>
              <w:rPr>
                <w:rFonts w:eastAsia="Times New Roman"/>
                <w:color w:val="000000"/>
                <w:sz w:val="18"/>
                <w:szCs w:val="18"/>
                <w:lang w:val="en-GB" w:eastAsia="ja-JP"/>
              </w:rPr>
              <w:br/>
            </w:r>
            <w:r>
              <w:rPr>
                <w:rFonts w:eastAsia="Times New Roman"/>
                <w:i/>
                <w:iCs/>
                <w:color w:val="000000"/>
                <w:sz w:val="18"/>
                <w:szCs w:val="18"/>
                <w:lang w:val="en-GB" w:eastAsia="ja-JP"/>
              </w:rPr>
              <w:t>Macronectes giganteus</w:t>
            </w:r>
            <w:r>
              <w:rPr>
                <w:rFonts w:eastAsia="Times New Roman"/>
                <w:color w:val="000000"/>
                <w:sz w:val="18"/>
                <w:szCs w:val="18"/>
                <w:lang w:val="en-GB" w:eastAsia="ja-JP"/>
              </w:rPr>
              <w:t xml:space="preserve"> </w:t>
            </w:r>
          </w:p>
        </w:tc>
        <w:tc>
          <w:tcPr>
            <w:tcW w:w="236" w:type="pct"/>
            <w:shd w:val="clear" w:color="auto" w:fill="auto"/>
            <w:hideMark/>
          </w:tcPr>
          <w:p w14:paraId="4C4178A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SGP</w:t>
            </w:r>
          </w:p>
        </w:tc>
        <w:tc>
          <w:tcPr>
            <w:tcW w:w="330" w:type="pct"/>
            <w:shd w:val="clear" w:color="auto" w:fill="auto"/>
            <w:hideMark/>
          </w:tcPr>
          <w:p w14:paraId="06BE781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LC</w:t>
            </w:r>
          </w:p>
        </w:tc>
        <w:tc>
          <w:tcPr>
            <w:tcW w:w="330" w:type="pct"/>
            <w:shd w:val="clear" w:color="auto" w:fill="auto"/>
            <w:hideMark/>
          </w:tcPr>
          <w:p w14:paraId="5410A5AC"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Y</w:t>
            </w:r>
          </w:p>
        </w:tc>
        <w:tc>
          <w:tcPr>
            <w:tcW w:w="425" w:type="pct"/>
            <w:shd w:val="clear" w:color="auto" w:fill="auto"/>
            <w:hideMark/>
          </w:tcPr>
          <w:p w14:paraId="1DB0A99A"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53702 </w:t>
            </w:r>
            <w:r>
              <w:rPr>
                <w:rFonts w:eastAsia="Times New Roman"/>
                <w:color w:val="000000"/>
                <w:sz w:val="18"/>
                <w:szCs w:val="18"/>
                <w:vertAlign w:val="superscript"/>
                <w:lang w:eastAsia="en-GB"/>
              </w:rPr>
              <w:t>F</w:t>
            </w:r>
          </w:p>
        </w:tc>
        <w:tc>
          <w:tcPr>
            <w:tcW w:w="424" w:type="pct"/>
            <w:shd w:val="clear" w:color="auto" w:fill="auto"/>
            <w:hideMark/>
          </w:tcPr>
          <w:p w14:paraId="1D6744ED"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8700 </w:t>
            </w:r>
            <w:r>
              <w:rPr>
                <w:rFonts w:eastAsia="Times New Roman"/>
                <w:color w:val="000000"/>
                <w:sz w:val="18"/>
                <w:szCs w:val="18"/>
                <w:vertAlign w:val="superscript"/>
                <w:lang w:eastAsia="en-GB"/>
              </w:rPr>
              <w:t>P</w:t>
            </w:r>
          </w:p>
        </w:tc>
        <w:tc>
          <w:tcPr>
            <w:tcW w:w="425" w:type="pct"/>
            <w:shd w:val="clear" w:color="auto" w:fill="auto"/>
            <w:hideMark/>
          </w:tcPr>
          <w:p w14:paraId="1DCBF29E"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1882 </w:t>
            </w:r>
            <w:r>
              <w:rPr>
                <w:rFonts w:eastAsia="Times New Roman"/>
                <w:color w:val="000000"/>
                <w:sz w:val="18"/>
                <w:szCs w:val="18"/>
                <w:vertAlign w:val="superscript"/>
                <w:lang w:eastAsia="en-GB"/>
              </w:rPr>
              <w:t>X</w:t>
            </w:r>
          </w:p>
        </w:tc>
        <w:tc>
          <w:tcPr>
            <w:tcW w:w="377" w:type="pct"/>
            <w:shd w:val="clear" w:color="auto" w:fill="auto"/>
            <w:hideMark/>
          </w:tcPr>
          <w:p w14:paraId="34276BEB"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26</w:t>
            </w:r>
            <w:r>
              <w:rPr>
                <w:rFonts w:eastAsia="Times New Roman"/>
                <w:color w:val="000000"/>
                <w:sz w:val="18"/>
                <w:szCs w:val="18"/>
                <w:vertAlign w:val="superscript"/>
                <w:lang w:eastAsia="en-GB"/>
              </w:rPr>
              <w:t>‡</w:t>
            </w:r>
            <w:r>
              <w:rPr>
                <w:rFonts w:eastAsia="Times New Roman"/>
                <w:color w:val="000000"/>
                <w:sz w:val="18"/>
                <w:szCs w:val="18"/>
                <w:lang w:eastAsia="en-GB"/>
              </w:rPr>
              <w:t xml:space="preserve"> </w:t>
            </w:r>
            <w:r>
              <w:rPr>
                <w:rFonts w:eastAsia="Times New Roman"/>
                <w:color w:val="000000"/>
                <w:sz w:val="18"/>
                <w:szCs w:val="18"/>
                <w:vertAlign w:val="superscript"/>
                <w:lang w:eastAsia="en-GB"/>
              </w:rPr>
              <w:t>AF</w:t>
            </w:r>
          </w:p>
        </w:tc>
        <w:tc>
          <w:tcPr>
            <w:tcW w:w="661" w:type="pct"/>
            <w:shd w:val="clear" w:color="auto" w:fill="auto"/>
            <w:hideMark/>
          </w:tcPr>
          <w:p w14:paraId="6763EC03"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NA, 2010/11, 2017/18</w:t>
            </w:r>
          </w:p>
        </w:tc>
        <w:tc>
          <w:tcPr>
            <w:tcW w:w="424" w:type="pct"/>
            <w:shd w:val="clear" w:color="auto" w:fill="auto"/>
            <w:hideMark/>
          </w:tcPr>
          <w:p w14:paraId="7F622087" w14:textId="77777777" w:rsidR="00C32426" w:rsidRDefault="00C32426" w:rsidP="00C2393A">
            <w:pPr>
              <w:spacing w:after="0" w:line="276" w:lineRule="auto"/>
              <w:jc w:val="left"/>
              <w:rPr>
                <w:rFonts w:eastAsia="Times New Roman"/>
                <w:color w:val="000000"/>
                <w:sz w:val="24"/>
                <w:szCs w:val="24"/>
                <w:lang w:val="en-GB" w:eastAsia="ja-JP"/>
              </w:rPr>
            </w:pPr>
            <w:r>
              <w:rPr>
                <w:rFonts w:eastAsia="Times New Roman"/>
                <w:color w:val="000000"/>
                <w:sz w:val="24"/>
                <w:szCs w:val="24"/>
                <w:lang w:val="en-GB" w:eastAsia="ja-JP"/>
              </w:rPr>
              <w:t>↑</w:t>
            </w:r>
            <w:r>
              <w:rPr>
                <w:rFonts w:eastAsia="Times New Roman"/>
                <w:color w:val="000000"/>
                <w:sz w:val="24"/>
                <w:szCs w:val="24"/>
                <w:vertAlign w:val="superscript"/>
                <w:lang w:val="en-GB" w:eastAsia="ja-JP"/>
              </w:rPr>
              <w:t>◊</w:t>
            </w:r>
          </w:p>
        </w:tc>
      </w:tr>
      <w:tr w:rsidR="00C32426" w14:paraId="752A85F6" w14:textId="77777777" w:rsidTr="00C2393A">
        <w:trPr>
          <w:trHeight w:val="400"/>
        </w:trPr>
        <w:tc>
          <w:tcPr>
            <w:tcW w:w="566" w:type="pct"/>
            <w:shd w:val="clear" w:color="auto" w:fill="auto"/>
            <w:hideMark/>
          </w:tcPr>
          <w:p w14:paraId="3A9B9160" w14:textId="77777777" w:rsidR="00C32426" w:rsidRDefault="00C32426" w:rsidP="00C2393A">
            <w:pPr>
              <w:rPr>
                <w:rFonts w:eastAsia="Times New Roman"/>
                <w:color w:val="000000"/>
                <w:sz w:val="24"/>
                <w:szCs w:val="24"/>
                <w:lang w:val="en-GB" w:eastAsia="ja-JP"/>
              </w:rPr>
            </w:pPr>
          </w:p>
        </w:tc>
        <w:tc>
          <w:tcPr>
            <w:tcW w:w="802" w:type="pct"/>
            <w:shd w:val="clear" w:color="auto" w:fill="auto"/>
            <w:hideMark/>
          </w:tcPr>
          <w:p w14:paraId="7D24E81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White-chinned Petrel</w:t>
            </w:r>
            <w:r>
              <w:rPr>
                <w:rFonts w:eastAsia="Times New Roman"/>
                <w:color w:val="000000"/>
                <w:sz w:val="18"/>
                <w:szCs w:val="18"/>
                <w:lang w:val="en-GB" w:eastAsia="ja-JP"/>
              </w:rPr>
              <w:br/>
            </w:r>
            <w:r>
              <w:rPr>
                <w:rFonts w:eastAsia="Times New Roman"/>
                <w:i/>
                <w:iCs/>
                <w:color w:val="000000"/>
                <w:sz w:val="18"/>
                <w:szCs w:val="18"/>
                <w:lang w:val="en-GB" w:eastAsia="ja-JP"/>
              </w:rPr>
              <w:t>Procellaria aequinoctialis</w:t>
            </w:r>
          </w:p>
        </w:tc>
        <w:tc>
          <w:tcPr>
            <w:tcW w:w="236" w:type="pct"/>
            <w:shd w:val="clear" w:color="auto" w:fill="auto"/>
            <w:hideMark/>
          </w:tcPr>
          <w:p w14:paraId="0BE7A60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WCP</w:t>
            </w:r>
          </w:p>
        </w:tc>
        <w:tc>
          <w:tcPr>
            <w:tcW w:w="330" w:type="pct"/>
            <w:shd w:val="clear" w:color="auto" w:fill="auto"/>
            <w:hideMark/>
          </w:tcPr>
          <w:p w14:paraId="50D80EF6"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VU (A4)</w:t>
            </w:r>
          </w:p>
        </w:tc>
        <w:tc>
          <w:tcPr>
            <w:tcW w:w="330" w:type="pct"/>
            <w:shd w:val="clear" w:color="auto" w:fill="auto"/>
            <w:hideMark/>
          </w:tcPr>
          <w:p w14:paraId="0BC2DFB8"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Y</w:t>
            </w:r>
          </w:p>
        </w:tc>
        <w:tc>
          <w:tcPr>
            <w:tcW w:w="425" w:type="pct"/>
            <w:shd w:val="clear" w:color="auto" w:fill="auto"/>
            <w:hideMark/>
          </w:tcPr>
          <w:p w14:paraId="4E0D3BFB"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1030205 </w:t>
            </w:r>
            <w:r>
              <w:rPr>
                <w:rFonts w:eastAsia="Times New Roman"/>
                <w:color w:val="000000"/>
                <w:sz w:val="18"/>
                <w:szCs w:val="18"/>
                <w:vertAlign w:val="superscript"/>
                <w:lang w:eastAsia="en-GB"/>
              </w:rPr>
              <w:t>G</w:t>
            </w:r>
          </w:p>
        </w:tc>
        <w:tc>
          <w:tcPr>
            <w:tcW w:w="424" w:type="pct"/>
            <w:shd w:val="clear" w:color="auto" w:fill="auto"/>
            <w:hideMark/>
          </w:tcPr>
          <w:p w14:paraId="6CC2F77A"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fr-FR" w:eastAsia="en-GB"/>
              </w:rPr>
              <w:t xml:space="preserve">773150 </w:t>
            </w:r>
            <w:r>
              <w:rPr>
                <w:rFonts w:eastAsia="Times New Roman"/>
                <w:color w:val="000000"/>
                <w:sz w:val="18"/>
                <w:szCs w:val="18"/>
                <w:vertAlign w:val="superscript"/>
                <w:lang w:val="fr-FR" w:eastAsia="en-GB"/>
              </w:rPr>
              <w:t>Q</w:t>
            </w:r>
          </w:p>
        </w:tc>
        <w:tc>
          <w:tcPr>
            <w:tcW w:w="425" w:type="pct"/>
            <w:shd w:val="clear" w:color="auto" w:fill="auto"/>
            <w:hideMark/>
          </w:tcPr>
          <w:p w14:paraId="0E9D07B9"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Not recorded</w:t>
            </w:r>
          </w:p>
        </w:tc>
        <w:tc>
          <w:tcPr>
            <w:tcW w:w="377" w:type="pct"/>
            <w:shd w:val="clear" w:color="auto" w:fill="auto"/>
            <w:hideMark/>
          </w:tcPr>
          <w:p w14:paraId="393DF62F"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9</w:t>
            </w:r>
            <w:r>
              <w:rPr>
                <w:rFonts w:eastAsia="Times New Roman"/>
                <w:color w:val="000000"/>
                <w:sz w:val="18"/>
                <w:szCs w:val="18"/>
                <w:vertAlign w:val="superscript"/>
                <w:lang w:eastAsia="en-GB"/>
              </w:rPr>
              <w:t>‡</w:t>
            </w:r>
            <w:r>
              <w:rPr>
                <w:rFonts w:eastAsia="Times New Roman"/>
                <w:color w:val="000000"/>
                <w:sz w:val="18"/>
                <w:szCs w:val="18"/>
                <w:lang w:eastAsia="en-GB"/>
              </w:rPr>
              <w:t xml:space="preserve"> </w:t>
            </w:r>
            <w:r>
              <w:rPr>
                <w:rFonts w:eastAsia="Times New Roman"/>
                <w:color w:val="000000"/>
                <w:sz w:val="18"/>
                <w:szCs w:val="18"/>
                <w:vertAlign w:val="superscript"/>
                <w:lang w:eastAsia="en-GB"/>
              </w:rPr>
              <w:t>AG</w:t>
            </w:r>
          </w:p>
        </w:tc>
        <w:tc>
          <w:tcPr>
            <w:tcW w:w="661" w:type="pct"/>
            <w:shd w:val="clear" w:color="auto" w:fill="auto"/>
            <w:hideMark/>
          </w:tcPr>
          <w:p w14:paraId="191A48D6"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2005-2007</w:t>
            </w:r>
          </w:p>
        </w:tc>
        <w:tc>
          <w:tcPr>
            <w:tcW w:w="424" w:type="pct"/>
            <w:shd w:val="clear" w:color="auto" w:fill="auto"/>
            <w:hideMark/>
          </w:tcPr>
          <w:p w14:paraId="2068F277" w14:textId="77777777" w:rsidR="00C32426" w:rsidRDefault="00C32426" w:rsidP="00C2393A">
            <w:pPr>
              <w:spacing w:after="0" w:line="276" w:lineRule="auto"/>
              <w:jc w:val="left"/>
              <w:rPr>
                <w:rFonts w:eastAsia="Times New Roman"/>
                <w:color w:val="000000"/>
                <w:sz w:val="24"/>
                <w:szCs w:val="24"/>
                <w:lang w:val="en-GB" w:eastAsia="ja-JP"/>
              </w:rPr>
            </w:pPr>
            <w:r>
              <w:rPr>
                <w:rFonts w:eastAsia="Times New Roman"/>
                <w:color w:val="000000"/>
                <w:sz w:val="24"/>
                <w:szCs w:val="24"/>
                <w:lang w:val="en-GB" w:eastAsia="ja-JP"/>
              </w:rPr>
              <w:t>↓</w:t>
            </w:r>
          </w:p>
        </w:tc>
      </w:tr>
      <w:tr w:rsidR="00C32426" w14:paraId="1D49BD5E" w14:textId="77777777" w:rsidTr="00C2393A">
        <w:trPr>
          <w:trHeight w:val="400"/>
        </w:trPr>
        <w:tc>
          <w:tcPr>
            <w:tcW w:w="566" w:type="pct"/>
            <w:shd w:val="clear" w:color="auto" w:fill="auto"/>
            <w:hideMark/>
          </w:tcPr>
          <w:p w14:paraId="7B621A3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Sphenisciformes</w:t>
            </w:r>
          </w:p>
        </w:tc>
        <w:tc>
          <w:tcPr>
            <w:tcW w:w="802" w:type="pct"/>
            <w:shd w:val="clear" w:color="auto" w:fill="auto"/>
            <w:hideMark/>
          </w:tcPr>
          <w:p w14:paraId="7D938BF6"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Adélie Penguin</w:t>
            </w:r>
            <w:r>
              <w:rPr>
                <w:rFonts w:eastAsia="Times New Roman"/>
                <w:color w:val="000000"/>
                <w:sz w:val="18"/>
                <w:szCs w:val="18"/>
                <w:lang w:val="en-GB" w:eastAsia="ja-JP"/>
              </w:rPr>
              <w:br/>
            </w:r>
            <w:r>
              <w:rPr>
                <w:rFonts w:eastAsia="Times New Roman"/>
                <w:i/>
                <w:iCs/>
                <w:color w:val="000000"/>
                <w:sz w:val="18"/>
                <w:szCs w:val="18"/>
                <w:lang w:val="en-GB" w:eastAsia="ja-JP"/>
              </w:rPr>
              <w:t>Pygoscelis adeliae</w:t>
            </w:r>
          </w:p>
        </w:tc>
        <w:tc>
          <w:tcPr>
            <w:tcW w:w="236" w:type="pct"/>
            <w:shd w:val="clear" w:color="auto" w:fill="auto"/>
            <w:hideMark/>
          </w:tcPr>
          <w:p w14:paraId="206D4532"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ADP</w:t>
            </w:r>
          </w:p>
        </w:tc>
        <w:tc>
          <w:tcPr>
            <w:tcW w:w="330" w:type="pct"/>
            <w:shd w:val="clear" w:color="auto" w:fill="auto"/>
            <w:hideMark/>
          </w:tcPr>
          <w:p w14:paraId="1B044723"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LC</w:t>
            </w:r>
          </w:p>
        </w:tc>
        <w:tc>
          <w:tcPr>
            <w:tcW w:w="330" w:type="pct"/>
            <w:shd w:val="clear" w:color="auto" w:fill="auto"/>
            <w:hideMark/>
          </w:tcPr>
          <w:p w14:paraId="0E29D77E"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N</w:t>
            </w:r>
          </w:p>
        </w:tc>
        <w:tc>
          <w:tcPr>
            <w:tcW w:w="425" w:type="pct"/>
            <w:shd w:val="clear" w:color="auto" w:fill="auto"/>
            <w:hideMark/>
          </w:tcPr>
          <w:p w14:paraId="763CC514"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3790000 </w:t>
            </w:r>
            <w:r>
              <w:rPr>
                <w:rFonts w:eastAsia="Times New Roman"/>
                <w:color w:val="000000"/>
                <w:sz w:val="18"/>
                <w:szCs w:val="18"/>
                <w:vertAlign w:val="superscript"/>
                <w:lang w:eastAsia="en-GB"/>
              </w:rPr>
              <w:t>H</w:t>
            </w:r>
          </w:p>
        </w:tc>
        <w:tc>
          <w:tcPr>
            <w:tcW w:w="424" w:type="pct"/>
            <w:shd w:val="clear" w:color="auto" w:fill="auto"/>
            <w:hideMark/>
          </w:tcPr>
          <w:p w14:paraId="146174F9"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Not recorded</w:t>
            </w:r>
          </w:p>
        </w:tc>
        <w:tc>
          <w:tcPr>
            <w:tcW w:w="425" w:type="pct"/>
            <w:shd w:val="clear" w:color="auto" w:fill="auto"/>
            <w:hideMark/>
          </w:tcPr>
          <w:p w14:paraId="79D12CBA"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125000 </w:t>
            </w:r>
            <w:r>
              <w:rPr>
                <w:rFonts w:eastAsia="Times New Roman"/>
                <w:color w:val="000000"/>
                <w:sz w:val="18"/>
                <w:szCs w:val="18"/>
                <w:vertAlign w:val="superscript"/>
                <w:lang w:eastAsia="en-GB"/>
              </w:rPr>
              <w:t>X</w:t>
            </w:r>
          </w:p>
        </w:tc>
        <w:tc>
          <w:tcPr>
            <w:tcW w:w="377" w:type="pct"/>
            <w:shd w:val="clear" w:color="auto" w:fill="auto"/>
            <w:hideMark/>
          </w:tcPr>
          <w:p w14:paraId="68ADC538"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8* </w:t>
            </w:r>
            <w:r>
              <w:rPr>
                <w:rFonts w:eastAsia="Times New Roman"/>
                <w:color w:val="000000"/>
                <w:sz w:val="18"/>
                <w:szCs w:val="18"/>
                <w:vertAlign w:val="superscript"/>
                <w:lang w:eastAsia="en-GB"/>
              </w:rPr>
              <w:t>AH</w:t>
            </w:r>
          </w:p>
        </w:tc>
        <w:tc>
          <w:tcPr>
            <w:tcW w:w="661" w:type="pct"/>
            <w:shd w:val="clear" w:color="auto" w:fill="auto"/>
            <w:hideMark/>
          </w:tcPr>
          <w:p w14:paraId="6D73D3AD"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2010/11</w:t>
            </w:r>
          </w:p>
        </w:tc>
        <w:tc>
          <w:tcPr>
            <w:tcW w:w="424" w:type="pct"/>
            <w:shd w:val="clear" w:color="auto" w:fill="auto"/>
            <w:hideMark/>
          </w:tcPr>
          <w:p w14:paraId="0F8C87FD"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w:t>
            </w:r>
          </w:p>
        </w:tc>
      </w:tr>
      <w:tr w:rsidR="00C32426" w14:paraId="35BC9592" w14:textId="77777777" w:rsidTr="00C2393A">
        <w:trPr>
          <w:trHeight w:val="400"/>
        </w:trPr>
        <w:tc>
          <w:tcPr>
            <w:tcW w:w="566" w:type="pct"/>
            <w:shd w:val="clear" w:color="auto" w:fill="auto"/>
            <w:hideMark/>
          </w:tcPr>
          <w:p w14:paraId="30F28B6D" w14:textId="77777777" w:rsidR="00C32426" w:rsidRDefault="00C32426" w:rsidP="00C2393A">
            <w:pPr>
              <w:rPr>
                <w:rFonts w:eastAsia="Times New Roman"/>
                <w:color w:val="000000"/>
                <w:sz w:val="18"/>
                <w:szCs w:val="18"/>
                <w:lang w:val="en-GB" w:eastAsia="ja-JP"/>
              </w:rPr>
            </w:pPr>
          </w:p>
        </w:tc>
        <w:tc>
          <w:tcPr>
            <w:tcW w:w="802" w:type="pct"/>
            <w:shd w:val="clear" w:color="auto" w:fill="auto"/>
            <w:hideMark/>
          </w:tcPr>
          <w:p w14:paraId="63DBAAFD"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Chinstrap Penguin</w:t>
            </w:r>
            <w:r>
              <w:rPr>
                <w:rFonts w:eastAsia="Times New Roman"/>
                <w:color w:val="000000"/>
                <w:sz w:val="18"/>
                <w:szCs w:val="18"/>
                <w:lang w:val="en-GB" w:eastAsia="ja-JP"/>
              </w:rPr>
              <w:br/>
            </w:r>
            <w:r>
              <w:rPr>
                <w:rFonts w:eastAsia="Times New Roman"/>
                <w:i/>
                <w:iCs/>
                <w:color w:val="000000"/>
                <w:sz w:val="18"/>
                <w:szCs w:val="18"/>
                <w:lang w:val="en-GB" w:eastAsia="ja-JP"/>
              </w:rPr>
              <w:t>Pygoscelis antarcticus</w:t>
            </w:r>
          </w:p>
        </w:tc>
        <w:tc>
          <w:tcPr>
            <w:tcW w:w="236" w:type="pct"/>
            <w:shd w:val="clear" w:color="auto" w:fill="auto"/>
            <w:hideMark/>
          </w:tcPr>
          <w:p w14:paraId="7D3B964E"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CHP</w:t>
            </w:r>
          </w:p>
        </w:tc>
        <w:tc>
          <w:tcPr>
            <w:tcW w:w="330" w:type="pct"/>
            <w:shd w:val="clear" w:color="auto" w:fill="auto"/>
            <w:hideMark/>
          </w:tcPr>
          <w:p w14:paraId="72022BD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LC</w:t>
            </w:r>
          </w:p>
        </w:tc>
        <w:tc>
          <w:tcPr>
            <w:tcW w:w="330" w:type="pct"/>
            <w:shd w:val="clear" w:color="auto" w:fill="auto"/>
            <w:hideMark/>
          </w:tcPr>
          <w:p w14:paraId="5858BA89"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N</w:t>
            </w:r>
          </w:p>
        </w:tc>
        <w:tc>
          <w:tcPr>
            <w:tcW w:w="425" w:type="pct"/>
            <w:shd w:val="clear" w:color="auto" w:fill="auto"/>
            <w:hideMark/>
          </w:tcPr>
          <w:p w14:paraId="5EF8F51B"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2965800 </w:t>
            </w:r>
            <w:r>
              <w:rPr>
                <w:rFonts w:eastAsia="Times New Roman"/>
                <w:color w:val="000000"/>
                <w:sz w:val="18"/>
                <w:szCs w:val="18"/>
                <w:vertAlign w:val="superscript"/>
                <w:lang w:eastAsia="en-GB"/>
              </w:rPr>
              <w:t>I</w:t>
            </w:r>
          </w:p>
        </w:tc>
        <w:tc>
          <w:tcPr>
            <w:tcW w:w="424" w:type="pct"/>
            <w:shd w:val="clear" w:color="auto" w:fill="auto"/>
            <w:hideMark/>
          </w:tcPr>
          <w:p w14:paraId="0FDFF6C3"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14770 </w:t>
            </w:r>
            <w:r>
              <w:rPr>
                <w:rFonts w:eastAsia="Times New Roman"/>
                <w:color w:val="000000"/>
                <w:sz w:val="18"/>
                <w:szCs w:val="18"/>
                <w:vertAlign w:val="superscript"/>
                <w:lang w:eastAsia="en-GB"/>
              </w:rPr>
              <w:t>R</w:t>
            </w:r>
          </w:p>
        </w:tc>
        <w:tc>
          <w:tcPr>
            <w:tcW w:w="425" w:type="pct"/>
            <w:shd w:val="clear" w:color="auto" w:fill="auto"/>
            <w:hideMark/>
          </w:tcPr>
          <w:p w14:paraId="1E0A442D"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1290631 </w:t>
            </w:r>
            <w:r>
              <w:rPr>
                <w:rFonts w:eastAsia="Times New Roman"/>
                <w:color w:val="000000"/>
                <w:sz w:val="18"/>
                <w:szCs w:val="18"/>
                <w:vertAlign w:val="superscript"/>
                <w:lang w:eastAsia="en-GB"/>
              </w:rPr>
              <w:t>X</w:t>
            </w:r>
          </w:p>
        </w:tc>
        <w:tc>
          <w:tcPr>
            <w:tcW w:w="377" w:type="pct"/>
            <w:shd w:val="clear" w:color="auto" w:fill="auto"/>
            <w:hideMark/>
          </w:tcPr>
          <w:p w14:paraId="0AE621B5"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27* </w:t>
            </w:r>
            <w:r>
              <w:rPr>
                <w:rFonts w:eastAsia="Times New Roman"/>
                <w:color w:val="000000"/>
                <w:sz w:val="18"/>
                <w:szCs w:val="18"/>
                <w:vertAlign w:val="superscript"/>
                <w:lang w:eastAsia="en-GB"/>
              </w:rPr>
              <w:t>AI</w:t>
            </w:r>
          </w:p>
        </w:tc>
        <w:tc>
          <w:tcPr>
            <w:tcW w:w="661" w:type="pct"/>
            <w:shd w:val="clear" w:color="auto" w:fill="auto"/>
            <w:hideMark/>
          </w:tcPr>
          <w:p w14:paraId="39A7C87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1986/87, 2011/11</w:t>
            </w:r>
          </w:p>
        </w:tc>
        <w:tc>
          <w:tcPr>
            <w:tcW w:w="424" w:type="pct"/>
            <w:shd w:val="clear" w:color="auto" w:fill="auto"/>
            <w:hideMark/>
          </w:tcPr>
          <w:p w14:paraId="74C1468D"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w:t>
            </w:r>
          </w:p>
        </w:tc>
      </w:tr>
      <w:tr w:rsidR="00C32426" w14:paraId="60BCFACC" w14:textId="77777777" w:rsidTr="00C2393A">
        <w:trPr>
          <w:trHeight w:val="400"/>
        </w:trPr>
        <w:tc>
          <w:tcPr>
            <w:tcW w:w="566" w:type="pct"/>
            <w:shd w:val="clear" w:color="auto" w:fill="auto"/>
            <w:hideMark/>
          </w:tcPr>
          <w:p w14:paraId="1EC2CFBE" w14:textId="77777777" w:rsidR="00C32426" w:rsidRDefault="00C32426" w:rsidP="00C2393A">
            <w:pPr>
              <w:rPr>
                <w:rFonts w:eastAsia="Times New Roman"/>
                <w:color w:val="000000"/>
                <w:sz w:val="18"/>
                <w:szCs w:val="18"/>
                <w:lang w:val="en-GB" w:eastAsia="ja-JP"/>
              </w:rPr>
            </w:pPr>
          </w:p>
        </w:tc>
        <w:tc>
          <w:tcPr>
            <w:tcW w:w="802" w:type="pct"/>
            <w:shd w:val="clear" w:color="auto" w:fill="auto"/>
            <w:hideMark/>
          </w:tcPr>
          <w:p w14:paraId="32A86D5D"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Gentoo Penguin</w:t>
            </w:r>
            <w:r>
              <w:rPr>
                <w:rFonts w:eastAsia="Times New Roman"/>
                <w:color w:val="000000"/>
                <w:sz w:val="18"/>
                <w:szCs w:val="18"/>
                <w:lang w:val="en-GB" w:eastAsia="ja-JP"/>
              </w:rPr>
              <w:br/>
            </w:r>
            <w:r>
              <w:rPr>
                <w:rFonts w:eastAsia="Times New Roman"/>
                <w:i/>
                <w:iCs/>
                <w:color w:val="000000"/>
                <w:sz w:val="18"/>
                <w:szCs w:val="18"/>
                <w:lang w:val="en-GB" w:eastAsia="ja-JP"/>
              </w:rPr>
              <w:t>Pygoscelis papua</w:t>
            </w:r>
          </w:p>
        </w:tc>
        <w:tc>
          <w:tcPr>
            <w:tcW w:w="236" w:type="pct"/>
            <w:shd w:val="clear" w:color="auto" w:fill="auto"/>
            <w:hideMark/>
          </w:tcPr>
          <w:p w14:paraId="02784B4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GEP</w:t>
            </w:r>
          </w:p>
        </w:tc>
        <w:tc>
          <w:tcPr>
            <w:tcW w:w="330" w:type="pct"/>
            <w:shd w:val="clear" w:color="auto" w:fill="auto"/>
            <w:hideMark/>
          </w:tcPr>
          <w:p w14:paraId="5BEB8E25"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LC</w:t>
            </w:r>
          </w:p>
        </w:tc>
        <w:tc>
          <w:tcPr>
            <w:tcW w:w="330" w:type="pct"/>
            <w:shd w:val="clear" w:color="auto" w:fill="auto"/>
            <w:hideMark/>
          </w:tcPr>
          <w:p w14:paraId="76B90E9C"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Y</w:t>
            </w:r>
          </w:p>
        </w:tc>
        <w:tc>
          <w:tcPr>
            <w:tcW w:w="425" w:type="pct"/>
            <w:shd w:val="clear" w:color="auto" w:fill="auto"/>
            <w:hideMark/>
          </w:tcPr>
          <w:p w14:paraId="3472807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387000 </w:t>
            </w:r>
            <w:r>
              <w:rPr>
                <w:rFonts w:eastAsia="Times New Roman"/>
                <w:color w:val="000000"/>
                <w:sz w:val="18"/>
                <w:szCs w:val="18"/>
                <w:vertAlign w:val="superscript"/>
                <w:lang w:eastAsia="en-GB"/>
              </w:rPr>
              <w:t>J</w:t>
            </w:r>
          </w:p>
        </w:tc>
        <w:tc>
          <w:tcPr>
            <w:tcW w:w="424" w:type="pct"/>
            <w:shd w:val="clear" w:color="auto" w:fill="auto"/>
            <w:hideMark/>
          </w:tcPr>
          <w:p w14:paraId="27B73092"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115403 </w:t>
            </w:r>
            <w:r>
              <w:rPr>
                <w:rFonts w:eastAsia="Times New Roman"/>
                <w:color w:val="000000"/>
                <w:sz w:val="18"/>
                <w:szCs w:val="18"/>
                <w:vertAlign w:val="superscript"/>
                <w:lang w:eastAsia="en-GB"/>
              </w:rPr>
              <w:t>S</w:t>
            </w:r>
          </w:p>
        </w:tc>
        <w:tc>
          <w:tcPr>
            <w:tcW w:w="425" w:type="pct"/>
            <w:shd w:val="clear" w:color="auto" w:fill="auto"/>
            <w:hideMark/>
          </w:tcPr>
          <w:p w14:paraId="39CF14A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1902 </w:t>
            </w:r>
            <w:r>
              <w:rPr>
                <w:rFonts w:eastAsia="Times New Roman"/>
                <w:color w:val="000000"/>
                <w:sz w:val="18"/>
                <w:szCs w:val="18"/>
                <w:vertAlign w:val="superscript"/>
                <w:lang w:eastAsia="en-GB"/>
              </w:rPr>
              <w:t>X</w:t>
            </w:r>
          </w:p>
        </w:tc>
        <w:tc>
          <w:tcPr>
            <w:tcW w:w="377" w:type="pct"/>
            <w:shd w:val="clear" w:color="auto" w:fill="auto"/>
            <w:hideMark/>
          </w:tcPr>
          <w:p w14:paraId="585711D2"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227* </w:t>
            </w:r>
            <w:r>
              <w:rPr>
                <w:rFonts w:eastAsia="Times New Roman"/>
                <w:color w:val="000000"/>
                <w:sz w:val="18"/>
                <w:szCs w:val="18"/>
                <w:vertAlign w:val="superscript"/>
                <w:lang w:eastAsia="en-GB"/>
              </w:rPr>
              <w:t>AJ</w:t>
            </w:r>
          </w:p>
        </w:tc>
        <w:tc>
          <w:tcPr>
            <w:tcW w:w="661" w:type="pct"/>
            <w:shd w:val="clear" w:color="auto" w:fill="auto"/>
            <w:hideMark/>
          </w:tcPr>
          <w:p w14:paraId="1F537B02"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1988, 1990, 2010/11</w:t>
            </w:r>
          </w:p>
        </w:tc>
        <w:tc>
          <w:tcPr>
            <w:tcW w:w="424" w:type="pct"/>
            <w:shd w:val="clear" w:color="auto" w:fill="auto"/>
            <w:hideMark/>
          </w:tcPr>
          <w:p w14:paraId="60A2CDC5" w14:textId="77777777" w:rsidR="00C32426" w:rsidRDefault="00C32426" w:rsidP="00C2393A">
            <w:pPr>
              <w:spacing w:after="0" w:line="276" w:lineRule="auto"/>
              <w:jc w:val="left"/>
              <w:rPr>
                <w:rFonts w:eastAsia="Times New Roman"/>
                <w:color w:val="000000"/>
                <w:sz w:val="24"/>
                <w:szCs w:val="24"/>
                <w:lang w:val="en-GB" w:eastAsia="ja-JP"/>
              </w:rPr>
            </w:pPr>
            <w:r>
              <w:rPr>
                <w:rFonts w:eastAsia="Times New Roman"/>
                <w:color w:val="000000"/>
                <w:sz w:val="18"/>
                <w:szCs w:val="18"/>
                <w:lang w:val="en-GB" w:eastAsia="ja-JP"/>
              </w:rPr>
              <w:t>?</w:t>
            </w:r>
          </w:p>
        </w:tc>
      </w:tr>
      <w:tr w:rsidR="00C32426" w14:paraId="2A120D8C" w14:textId="77777777" w:rsidTr="00C2393A">
        <w:trPr>
          <w:trHeight w:val="400"/>
        </w:trPr>
        <w:tc>
          <w:tcPr>
            <w:tcW w:w="566" w:type="pct"/>
            <w:shd w:val="clear" w:color="auto" w:fill="auto"/>
            <w:hideMark/>
          </w:tcPr>
          <w:p w14:paraId="4CEE4418" w14:textId="77777777" w:rsidR="00C32426" w:rsidRDefault="00C32426" w:rsidP="00C2393A">
            <w:pPr>
              <w:rPr>
                <w:rFonts w:eastAsia="Times New Roman"/>
                <w:color w:val="000000"/>
                <w:sz w:val="24"/>
                <w:szCs w:val="24"/>
                <w:lang w:val="en-GB" w:eastAsia="ja-JP"/>
              </w:rPr>
            </w:pPr>
          </w:p>
        </w:tc>
        <w:tc>
          <w:tcPr>
            <w:tcW w:w="802" w:type="pct"/>
            <w:shd w:val="clear" w:color="auto" w:fill="auto"/>
            <w:hideMark/>
          </w:tcPr>
          <w:p w14:paraId="6BB71A58"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King Penguin</w:t>
            </w:r>
            <w:r>
              <w:rPr>
                <w:rFonts w:eastAsia="Times New Roman"/>
                <w:color w:val="000000"/>
                <w:sz w:val="18"/>
                <w:szCs w:val="18"/>
                <w:lang w:val="en-GB" w:eastAsia="ja-JP"/>
              </w:rPr>
              <w:br/>
            </w:r>
            <w:r>
              <w:rPr>
                <w:rFonts w:eastAsia="Times New Roman"/>
                <w:i/>
                <w:iCs/>
                <w:color w:val="000000"/>
                <w:sz w:val="18"/>
                <w:szCs w:val="18"/>
                <w:lang w:val="en-GB" w:eastAsia="ja-JP"/>
              </w:rPr>
              <w:t>Aptenodytes patagonicus</w:t>
            </w:r>
          </w:p>
        </w:tc>
        <w:tc>
          <w:tcPr>
            <w:tcW w:w="236" w:type="pct"/>
            <w:shd w:val="clear" w:color="auto" w:fill="auto"/>
            <w:hideMark/>
          </w:tcPr>
          <w:p w14:paraId="6A7A82B3"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KIP</w:t>
            </w:r>
          </w:p>
        </w:tc>
        <w:tc>
          <w:tcPr>
            <w:tcW w:w="330" w:type="pct"/>
            <w:shd w:val="clear" w:color="auto" w:fill="auto"/>
            <w:hideMark/>
          </w:tcPr>
          <w:p w14:paraId="78F4FA0B"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LC</w:t>
            </w:r>
          </w:p>
        </w:tc>
        <w:tc>
          <w:tcPr>
            <w:tcW w:w="330" w:type="pct"/>
            <w:shd w:val="clear" w:color="auto" w:fill="auto"/>
            <w:hideMark/>
          </w:tcPr>
          <w:p w14:paraId="69298336"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Y</w:t>
            </w:r>
          </w:p>
        </w:tc>
        <w:tc>
          <w:tcPr>
            <w:tcW w:w="425" w:type="pct"/>
            <w:shd w:val="clear" w:color="auto" w:fill="auto"/>
            <w:hideMark/>
          </w:tcPr>
          <w:p w14:paraId="789B9B56"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1600000 </w:t>
            </w:r>
            <w:r>
              <w:rPr>
                <w:rFonts w:eastAsia="Times New Roman"/>
                <w:color w:val="000000"/>
                <w:sz w:val="18"/>
                <w:szCs w:val="18"/>
                <w:vertAlign w:val="superscript"/>
                <w:lang w:eastAsia="en-GB"/>
              </w:rPr>
              <w:t>K</w:t>
            </w:r>
          </w:p>
        </w:tc>
        <w:tc>
          <w:tcPr>
            <w:tcW w:w="424" w:type="pct"/>
            <w:shd w:val="clear" w:color="auto" w:fill="auto"/>
            <w:hideMark/>
          </w:tcPr>
          <w:p w14:paraId="04A3219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450000 </w:t>
            </w:r>
            <w:r>
              <w:rPr>
                <w:rFonts w:eastAsia="Times New Roman"/>
                <w:color w:val="000000"/>
                <w:sz w:val="18"/>
                <w:szCs w:val="18"/>
                <w:vertAlign w:val="superscript"/>
                <w:lang w:eastAsia="en-GB"/>
              </w:rPr>
              <w:t>T</w:t>
            </w:r>
          </w:p>
        </w:tc>
        <w:tc>
          <w:tcPr>
            <w:tcW w:w="425" w:type="pct"/>
            <w:shd w:val="clear" w:color="auto" w:fill="auto"/>
            <w:hideMark/>
          </w:tcPr>
          <w:p w14:paraId="014C4E5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2 </w:t>
            </w:r>
            <w:r>
              <w:rPr>
                <w:rFonts w:eastAsia="Times New Roman"/>
                <w:color w:val="000000"/>
                <w:sz w:val="18"/>
                <w:szCs w:val="18"/>
                <w:vertAlign w:val="superscript"/>
                <w:lang w:eastAsia="en-GB"/>
              </w:rPr>
              <w:t>X</w:t>
            </w:r>
          </w:p>
        </w:tc>
        <w:tc>
          <w:tcPr>
            <w:tcW w:w="377" w:type="pct"/>
            <w:shd w:val="clear" w:color="auto" w:fill="auto"/>
            <w:hideMark/>
          </w:tcPr>
          <w:p w14:paraId="676600B9"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42* </w:t>
            </w:r>
            <w:r>
              <w:rPr>
                <w:rFonts w:eastAsia="Times New Roman"/>
                <w:color w:val="000000"/>
                <w:sz w:val="18"/>
                <w:szCs w:val="18"/>
                <w:vertAlign w:val="superscript"/>
                <w:lang w:eastAsia="en-GB"/>
              </w:rPr>
              <w:t>AK</w:t>
            </w:r>
          </w:p>
        </w:tc>
        <w:tc>
          <w:tcPr>
            <w:tcW w:w="661" w:type="pct"/>
            <w:shd w:val="clear" w:color="auto" w:fill="auto"/>
            <w:hideMark/>
          </w:tcPr>
          <w:p w14:paraId="4F369DFC"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1985, 2002, 2014-2017</w:t>
            </w:r>
          </w:p>
        </w:tc>
        <w:tc>
          <w:tcPr>
            <w:tcW w:w="424" w:type="pct"/>
            <w:shd w:val="clear" w:color="auto" w:fill="auto"/>
            <w:hideMark/>
          </w:tcPr>
          <w:p w14:paraId="7D57BD9C" w14:textId="77777777" w:rsidR="00C32426" w:rsidRDefault="00C32426" w:rsidP="00C2393A">
            <w:pPr>
              <w:spacing w:after="0" w:line="276" w:lineRule="auto"/>
              <w:jc w:val="left"/>
              <w:rPr>
                <w:rFonts w:eastAsia="Times New Roman"/>
                <w:color w:val="000000"/>
                <w:sz w:val="24"/>
                <w:szCs w:val="24"/>
                <w:lang w:val="en-GB" w:eastAsia="ja-JP"/>
              </w:rPr>
            </w:pPr>
            <w:r>
              <w:rPr>
                <w:rFonts w:eastAsia="Times New Roman"/>
                <w:color w:val="000000"/>
                <w:sz w:val="24"/>
                <w:szCs w:val="24"/>
                <w:lang w:val="en-GB" w:eastAsia="ja-JP"/>
              </w:rPr>
              <w:t>↑</w:t>
            </w:r>
          </w:p>
        </w:tc>
      </w:tr>
      <w:tr w:rsidR="00C32426" w14:paraId="659E038C" w14:textId="77777777" w:rsidTr="00C2393A">
        <w:trPr>
          <w:trHeight w:val="400"/>
        </w:trPr>
        <w:tc>
          <w:tcPr>
            <w:tcW w:w="566" w:type="pct"/>
            <w:shd w:val="clear" w:color="auto" w:fill="auto"/>
            <w:hideMark/>
          </w:tcPr>
          <w:p w14:paraId="119E81B7" w14:textId="77777777" w:rsidR="00C32426" w:rsidRDefault="00C32426" w:rsidP="00C2393A">
            <w:pPr>
              <w:rPr>
                <w:rFonts w:eastAsia="Times New Roman"/>
                <w:color w:val="000000"/>
                <w:sz w:val="24"/>
                <w:szCs w:val="24"/>
                <w:lang w:val="en-GB" w:eastAsia="ja-JP"/>
              </w:rPr>
            </w:pPr>
          </w:p>
        </w:tc>
        <w:tc>
          <w:tcPr>
            <w:tcW w:w="802" w:type="pct"/>
            <w:shd w:val="clear" w:color="auto" w:fill="auto"/>
            <w:hideMark/>
          </w:tcPr>
          <w:p w14:paraId="08E2F265"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Macaroni Penguin</w:t>
            </w:r>
            <w:r>
              <w:rPr>
                <w:rFonts w:eastAsia="Times New Roman"/>
                <w:color w:val="000000"/>
                <w:sz w:val="18"/>
                <w:szCs w:val="18"/>
                <w:lang w:val="en-GB" w:eastAsia="ja-JP"/>
              </w:rPr>
              <w:br/>
            </w:r>
            <w:r>
              <w:rPr>
                <w:rFonts w:eastAsia="Times New Roman"/>
                <w:i/>
                <w:iCs/>
                <w:color w:val="000000"/>
                <w:sz w:val="18"/>
                <w:szCs w:val="18"/>
                <w:lang w:val="en-GB" w:eastAsia="ja-JP"/>
              </w:rPr>
              <w:t>Eudyptes chrysolophus</w:t>
            </w:r>
          </w:p>
        </w:tc>
        <w:tc>
          <w:tcPr>
            <w:tcW w:w="236" w:type="pct"/>
            <w:shd w:val="clear" w:color="auto" w:fill="auto"/>
            <w:hideMark/>
          </w:tcPr>
          <w:p w14:paraId="0579C6EA"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MAP</w:t>
            </w:r>
          </w:p>
        </w:tc>
        <w:tc>
          <w:tcPr>
            <w:tcW w:w="330" w:type="pct"/>
            <w:shd w:val="clear" w:color="auto" w:fill="auto"/>
            <w:hideMark/>
          </w:tcPr>
          <w:p w14:paraId="2BD0B7A8"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VU (A2, A3, A4)</w:t>
            </w:r>
          </w:p>
        </w:tc>
        <w:tc>
          <w:tcPr>
            <w:tcW w:w="330" w:type="pct"/>
            <w:shd w:val="clear" w:color="auto" w:fill="auto"/>
            <w:hideMark/>
          </w:tcPr>
          <w:p w14:paraId="012267CD"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Y</w:t>
            </w:r>
          </w:p>
        </w:tc>
        <w:tc>
          <w:tcPr>
            <w:tcW w:w="425" w:type="pct"/>
            <w:shd w:val="clear" w:color="auto" w:fill="auto"/>
            <w:hideMark/>
          </w:tcPr>
          <w:p w14:paraId="1FF4C6B1"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6300000 </w:t>
            </w:r>
            <w:r>
              <w:rPr>
                <w:rFonts w:eastAsia="Times New Roman"/>
                <w:color w:val="000000"/>
                <w:sz w:val="18"/>
                <w:szCs w:val="18"/>
                <w:vertAlign w:val="superscript"/>
                <w:lang w:eastAsia="en-GB"/>
              </w:rPr>
              <w:t>L</w:t>
            </w:r>
          </w:p>
        </w:tc>
        <w:tc>
          <w:tcPr>
            <w:tcW w:w="424" w:type="pct"/>
            <w:shd w:val="clear" w:color="auto" w:fill="auto"/>
            <w:hideMark/>
          </w:tcPr>
          <w:p w14:paraId="0C773604"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1028617 </w:t>
            </w:r>
            <w:r>
              <w:rPr>
                <w:rFonts w:eastAsia="Times New Roman"/>
                <w:color w:val="000000"/>
                <w:sz w:val="18"/>
                <w:szCs w:val="18"/>
                <w:vertAlign w:val="superscript"/>
                <w:lang w:eastAsia="en-GB"/>
              </w:rPr>
              <w:t>U</w:t>
            </w:r>
          </w:p>
        </w:tc>
        <w:tc>
          <w:tcPr>
            <w:tcW w:w="425" w:type="pct"/>
            <w:shd w:val="clear" w:color="auto" w:fill="auto"/>
            <w:hideMark/>
          </w:tcPr>
          <w:p w14:paraId="546001E5"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97000 </w:t>
            </w:r>
            <w:r>
              <w:rPr>
                <w:rFonts w:eastAsia="Times New Roman"/>
                <w:color w:val="000000"/>
                <w:sz w:val="18"/>
                <w:szCs w:val="18"/>
                <w:vertAlign w:val="superscript"/>
                <w:lang w:eastAsia="en-GB"/>
              </w:rPr>
              <w:t>X</w:t>
            </w:r>
          </w:p>
        </w:tc>
        <w:tc>
          <w:tcPr>
            <w:tcW w:w="377" w:type="pct"/>
            <w:shd w:val="clear" w:color="auto" w:fill="auto"/>
            <w:hideMark/>
          </w:tcPr>
          <w:p w14:paraId="0235868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fr-FR" w:eastAsia="en-GB"/>
              </w:rPr>
              <w:t xml:space="preserve">96* </w:t>
            </w:r>
            <w:r>
              <w:rPr>
                <w:rFonts w:eastAsia="Times New Roman"/>
                <w:color w:val="000000"/>
                <w:sz w:val="18"/>
                <w:szCs w:val="18"/>
                <w:vertAlign w:val="superscript"/>
                <w:lang w:val="fr-FR" w:eastAsia="en-GB"/>
              </w:rPr>
              <w:t>AL</w:t>
            </w:r>
          </w:p>
        </w:tc>
        <w:tc>
          <w:tcPr>
            <w:tcW w:w="661" w:type="pct"/>
            <w:shd w:val="clear" w:color="auto" w:fill="auto"/>
            <w:hideMark/>
          </w:tcPr>
          <w:p w14:paraId="5A757F44"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2002, 2010/11</w:t>
            </w:r>
          </w:p>
        </w:tc>
        <w:tc>
          <w:tcPr>
            <w:tcW w:w="424" w:type="pct"/>
            <w:shd w:val="clear" w:color="auto" w:fill="auto"/>
            <w:hideMark/>
          </w:tcPr>
          <w:p w14:paraId="68A03855" w14:textId="77777777" w:rsidR="00C32426" w:rsidRDefault="00C32426" w:rsidP="00C2393A">
            <w:pPr>
              <w:spacing w:after="0" w:line="276" w:lineRule="auto"/>
              <w:jc w:val="left"/>
              <w:rPr>
                <w:rFonts w:eastAsia="Times New Roman"/>
                <w:color w:val="000000"/>
                <w:sz w:val="24"/>
                <w:szCs w:val="24"/>
                <w:lang w:val="en-GB" w:eastAsia="ja-JP"/>
              </w:rPr>
            </w:pPr>
            <w:r>
              <w:rPr>
                <w:rFonts w:eastAsia="Times New Roman"/>
                <w:color w:val="000000"/>
                <w:sz w:val="24"/>
                <w:szCs w:val="24"/>
                <w:lang w:val="en-GB" w:eastAsia="ja-JP"/>
              </w:rPr>
              <w:t>↓</w:t>
            </w:r>
          </w:p>
        </w:tc>
      </w:tr>
      <w:tr w:rsidR="00C32426" w14:paraId="035318B5" w14:textId="77777777" w:rsidTr="00C2393A">
        <w:trPr>
          <w:trHeight w:val="400"/>
        </w:trPr>
        <w:tc>
          <w:tcPr>
            <w:tcW w:w="566" w:type="pct"/>
            <w:shd w:val="clear" w:color="auto" w:fill="auto"/>
            <w:hideMark/>
          </w:tcPr>
          <w:p w14:paraId="79FAF68F"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Pinnipedia</w:t>
            </w:r>
          </w:p>
        </w:tc>
        <w:tc>
          <w:tcPr>
            <w:tcW w:w="802" w:type="pct"/>
            <w:shd w:val="clear" w:color="auto" w:fill="auto"/>
            <w:hideMark/>
          </w:tcPr>
          <w:p w14:paraId="2BD1D0F3"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Antarctic Fur Seal</w:t>
            </w:r>
            <w:r>
              <w:rPr>
                <w:rFonts w:eastAsia="Times New Roman"/>
                <w:color w:val="000000"/>
                <w:sz w:val="18"/>
                <w:szCs w:val="18"/>
                <w:lang w:val="en-GB" w:eastAsia="ja-JP"/>
              </w:rPr>
              <w:br/>
            </w:r>
            <w:r>
              <w:rPr>
                <w:rFonts w:eastAsia="Times New Roman"/>
                <w:i/>
                <w:iCs/>
                <w:color w:val="000000"/>
                <w:sz w:val="18"/>
                <w:szCs w:val="18"/>
                <w:lang w:val="en-GB" w:eastAsia="ja-JP"/>
              </w:rPr>
              <w:t>Arctocephalus gazella</w:t>
            </w:r>
          </w:p>
        </w:tc>
        <w:tc>
          <w:tcPr>
            <w:tcW w:w="236" w:type="pct"/>
            <w:shd w:val="clear" w:color="auto" w:fill="auto"/>
            <w:hideMark/>
          </w:tcPr>
          <w:p w14:paraId="2B49BDA4"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AFS</w:t>
            </w:r>
          </w:p>
        </w:tc>
        <w:tc>
          <w:tcPr>
            <w:tcW w:w="330" w:type="pct"/>
            <w:shd w:val="clear" w:color="auto" w:fill="auto"/>
            <w:hideMark/>
          </w:tcPr>
          <w:p w14:paraId="46FCFB5E"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LC</w:t>
            </w:r>
          </w:p>
        </w:tc>
        <w:tc>
          <w:tcPr>
            <w:tcW w:w="330" w:type="pct"/>
            <w:shd w:val="clear" w:color="auto" w:fill="auto"/>
            <w:hideMark/>
          </w:tcPr>
          <w:p w14:paraId="7244273A"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Y</w:t>
            </w:r>
          </w:p>
        </w:tc>
        <w:tc>
          <w:tcPr>
            <w:tcW w:w="425" w:type="pct"/>
            <w:shd w:val="clear" w:color="auto" w:fill="auto"/>
            <w:hideMark/>
          </w:tcPr>
          <w:p w14:paraId="3BA1D35B"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401009 </w:t>
            </w:r>
            <w:r>
              <w:rPr>
                <w:rFonts w:eastAsia="Times New Roman"/>
                <w:color w:val="000000"/>
                <w:sz w:val="18"/>
                <w:szCs w:val="18"/>
                <w:vertAlign w:val="superscript"/>
                <w:lang w:eastAsia="en-GB"/>
              </w:rPr>
              <w:t>M</w:t>
            </w:r>
          </w:p>
        </w:tc>
        <w:tc>
          <w:tcPr>
            <w:tcW w:w="424" w:type="pct"/>
            <w:shd w:val="clear" w:color="auto" w:fill="auto"/>
            <w:hideMark/>
          </w:tcPr>
          <w:p w14:paraId="4A362A7E"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379207 </w:t>
            </w:r>
            <w:r>
              <w:rPr>
                <w:rFonts w:eastAsia="Times New Roman"/>
                <w:color w:val="000000"/>
                <w:sz w:val="18"/>
                <w:szCs w:val="18"/>
                <w:vertAlign w:val="superscript"/>
                <w:lang w:eastAsia="en-GB"/>
              </w:rPr>
              <w:t>V</w:t>
            </w:r>
          </w:p>
        </w:tc>
        <w:tc>
          <w:tcPr>
            <w:tcW w:w="425" w:type="pct"/>
            <w:shd w:val="clear" w:color="auto" w:fill="auto"/>
            <w:hideMark/>
          </w:tcPr>
          <w:p w14:paraId="1B08F4D9"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1752 </w:t>
            </w:r>
            <w:r>
              <w:rPr>
                <w:rFonts w:eastAsia="Times New Roman"/>
                <w:color w:val="000000"/>
                <w:sz w:val="18"/>
                <w:szCs w:val="18"/>
                <w:vertAlign w:val="superscript"/>
                <w:lang w:eastAsia="en-GB"/>
              </w:rPr>
              <w:t>X</w:t>
            </w:r>
          </w:p>
        </w:tc>
        <w:tc>
          <w:tcPr>
            <w:tcW w:w="377" w:type="pct"/>
            <w:shd w:val="clear" w:color="auto" w:fill="auto"/>
            <w:hideMark/>
          </w:tcPr>
          <w:p w14:paraId="41A5F0D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30</w:t>
            </w:r>
            <w:r>
              <w:rPr>
                <w:rFonts w:eastAsia="Times New Roman"/>
                <w:color w:val="000000"/>
                <w:sz w:val="18"/>
                <w:szCs w:val="18"/>
                <w:vertAlign w:val="superscript"/>
                <w:lang w:eastAsia="en-GB"/>
              </w:rPr>
              <w:t>║</w:t>
            </w:r>
            <w:r>
              <w:rPr>
                <w:rFonts w:eastAsia="Times New Roman"/>
                <w:color w:val="000000"/>
                <w:sz w:val="18"/>
                <w:szCs w:val="18"/>
                <w:lang w:eastAsia="en-GB"/>
              </w:rPr>
              <w:t xml:space="preserve"> </w:t>
            </w:r>
            <w:r>
              <w:rPr>
                <w:rFonts w:eastAsia="Times New Roman"/>
                <w:color w:val="000000"/>
                <w:sz w:val="18"/>
                <w:szCs w:val="18"/>
                <w:vertAlign w:val="superscript"/>
                <w:lang w:eastAsia="en-GB"/>
              </w:rPr>
              <w:t>AM</w:t>
            </w:r>
          </w:p>
        </w:tc>
        <w:tc>
          <w:tcPr>
            <w:tcW w:w="661" w:type="pct"/>
            <w:shd w:val="clear" w:color="auto" w:fill="auto"/>
            <w:hideMark/>
          </w:tcPr>
          <w:p w14:paraId="161530F0"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1990, 1997, 2018</w:t>
            </w:r>
          </w:p>
        </w:tc>
        <w:tc>
          <w:tcPr>
            <w:tcW w:w="424" w:type="pct"/>
            <w:shd w:val="clear" w:color="auto" w:fill="auto"/>
            <w:hideMark/>
          </w:tcPr>
          <w:p w14:paraId="46032FF1" w14:textId="77777777" w:rsidR="00C32426" w:rsidRDefault="00C32426" w:rsidP="00C2393A">
            <w:pPr>
              <w:spacing w:after="0" w:line="276" w:lineRule="auto"/>
              <w:jc w:val="left"/>
              <w:rPr>
                <w:rFonts w:eastAsia="Times New Roman"/>
                <w:color w:val="000000"/>
                <w:sz w:val="24"/>
                <w:szCs w:val="24"/>
                <w:lang w:val="en-GB" w:eastAsia="ja-JP"/>
              </w:rPr>
            </w:pPr>
            <w:r>
              <w:rPr>
                <w:rFonts w:eastAsia="Times New Roman"/>
                <w:color w:val="000000"/>
                <w:sz w:val="24"/>
                <w:szCs w:val="24"/>
                <w:lang w:val="en-GB" w:eastAsia="ja-JP"/>
              </w:rPr>
              <w:t>↓</w:t>
            </w:r>
          </w:p>
        </w:tc>
      </w:tr>
      <w:tr w:rsidR="00C32426" w14:paraId="4F06885C" w14:textId="77777777" w:rsidTr="00C2393A">
        <w:trPr>
          <w:trHeight w:val="400"/>
        </w:trPr>
        <w:tc>
          <w:tcPr>
            <w:tcW w:w="566" w:type="pct"/>
            <w:tcBorders>
              <w:top w:val="nil"/>
              <w:left w:val="nil"/>
              <w:bottom w:val="single" w:sz="4" w:space="0" w:color="auto"/>
              <w:right w:val="nil"/>
            </w:tcBorders>
            <w:shd w:val="clear" w:color="auto" w:fill="auto"/>
            <w:hideMark/>
          </w:tcPr>
          <w:p w14:paraId="25E7774D"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 </w:t>
            </w:r>
          </w:p>
        </w:tc>
        <w:tc>
          <w:tcPr>
            <w:tcW w:w="802" w:type="pct"/>
            <w:tcBorders>
              <w:top w:val="nil"/>
              <w:left w:val="nil"/>
              <w:bottom w:val="single" w:sz="4" w:space="0" w:color="auto"/>
              <w:right w:val="nil"/>
            </w:tcBorders>
            <w:shd w:val="clear" w:color="auto" w:fill="auto"/>
            <w:hideMark/>
          </w:tcPr>
          <w:p w14:paraId="3BD88A82"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Southern Elephant Seal</w:t>
            </w:r>
            <w:r>
              <w:rPr>
                <w:rFonts w:eastAsia="Times New Roman"/>
                <w:color w:val="000000"/>
                <w:sz w:val="18"/>
                <w:szCs w:val="18"/>
                <w:lang w:val="en-GB" w:eastAsia="ja-JP"/>
              </w:rPr>
              <w:br/>
            </w:r>
            <w:r>
              <w:rPr>
                <w:rFonts w:eastAsia="Times New Roman"/>
                <w:i/>
                <w:iCs/>
                <w:color w:val="000000"/>
                <w:sz w:val="18"/>
                <w:szCs w:val="18"/>
                <w:lang w:val="en-GB" w:eastAsia="ja-JP"/>
              </w:rPr>
              <w:t>Mirounga leonina</w:t>
            </w:r>
          </w:p>
        </w:tc>
        <w:tc>
          <w:tcPr>
            <w:tcW w:w="236" w:type="pct"/>
            <w:tcBorders>
              <w:top w:val="nil"/>
              <w:left w:val="nil"/>
              <w:bottom w:val="single" w:sz="4" w:space="0" w:color="auto"/>
              <w:right w:val="nil"/>
            </w:tcBorders>
            <w:shd w:val="clear" w:color="auto" w:fill="auto"/>
            <w:hideMark/>
          </w:tcPr>
          <w:p w14:paraId="7D467D48"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SES</w:t>
            </w:r>
          </w:p>
        </w:tc>
        <w:tc>
          <w:tcPr>
            <w:tcW w:w="330" w:type="pct"/>
            <w:tcBorders>
              <w:top w:val="nil"/>
              <w:left w:val="nil"/>
              <w:bottom w:val="single" w:sz="4" w:space="0" w:color="auto"/>
              <w:right w:val="nil"/>
            </w:tcBorders>
            <w:shd w:val="clear" w:color="auto" w:fill="auto"/>
            <w:hideMark/>
          </w:tcPr>
          <w:p w14:paraId="14412E1E"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en-GB" w:eastAsia="ja-JP"/>
              </w:rPr>
              <w:t>LC</w:t>
            </w:r>
          </w:p>
        </w:tc>
        <w:tc>
          <w:tcPr>
            <w:tcW w:w="330" w:type="pct"/>
            <w:tcBorders>
              <w:top w:val="nil"/>
              <w:left w:val="nil"/>
              <w:bottom w:val="single" w:sz="4" w:space="0" w:color="auto"/>
              <w:right w:val="nil"/>
            </w:tcBorders>
            <w:shd w:val="clear" w:color="auto" w:fill="auto"/>
            <w:hideMark/>
          </w:tcPr>
          <w:p w14:paraId="2392EB39" w14:textId="77777777" w:rsidR="00C32426" w:rsidRDefault="00C32426" w:rsidP="00C2393A">
            <w:pPr>
              <w:spacing w:after="0" w:line="276" w:lineRule="auto"/>
              <w:jc w:val="left"/>
              <w:rPr>
                <w:rFonts w:eastAsia="Times New Roman"/>
                <w:color w:val="000000"/>
                <w:sz w:val="18"/>
                <w:szCs w:val="18"/>
                <w:lang w:eastAsia="en-GB"/>
              </w:rPr>
            </w:pPr>
            <w:r>
              <w:rPr>
                <w:rFonts w:eastAsia="Times New Roman"/>
                <w:color w:val="000000"/>
                <w:sz w:val="18"/>
                <w:szCs w:val="18"/>
                <w:lang w:eastAsia="en-GB"/>
              </w:rPr>
              <w:t>Y</w:t>
            </w:r>
          </w:p>
        </w:tc>
        <w:tc>
          <w:tcPr>
            <w:tcW w:w="425" w:type="pct"/>
            <w:tcBorders>
              <w:top w:val="nil"/>
              <w:left w:val="nil"/>
              <w:bottom w:val="single" w:sz="4" w:space="0" w:color="auto"/>
              <w:right w:val="nil"/>
            </w:tcBorders>
            <w:shd w:val="clear" w:color="auto" w:fill="auto"/>
            <w:hideMark/>
          </w:tcPr>
          <w:p w14:paraId="5656B7A2"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210081 </w:t>
            </w:r>
            <w:r>
              <w:rPr>
                <w:rFonts w:eastAsia="Times New Roman"/>
                <w:color w:val="000000"/>
                <w:sz w:val="18"/>
                <w:szCs w:val="18"/>
                <w:vertAlign w:val="superscript"/>
                <w:lang w:eastAsia="en-GB"/>
              </w:rPr>
              <w:t>N</w:t>
            </w:r>
          </w:p>
        </w:tc>
        <w:tc>
          <w:tcPr>
            <w:tcW w:w="424" w:type="pct"/>
            <w:tcBorders>
              <w:top w:val="nil"/>
              <w:left w:val="nil"/>
              <w:bottom w:val="single" w:sz="4" w:space="0" w:color="auto"/>
              <w:right w:val="nil"/>
            </w:tcBorders>
            <w:shd w:val="clear" w:color="auto" w:fill="auto"/>
            <w:hideMark/>
          </w:tcPr>
          <w:p w14:paraId="57CF9818"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113444 </w:t>
            </w:r>
            <w:r>
              <w:rPr>
                <w:rFonts w:eastAsia="Times New Roman"/>
                <w:color w:val="000000"/>
                <w:sz w:val="18"/>
                <w:szCs w:val="18"/>
                <w:vertAlign w:val="superscript"/>
                <w:lang w:eastAsia="en-GB"/>
              </w:rPr>
              <w:t>W</w:t>
            </w:r>
          </w:p>
        </w:tc>
        <w:tc>
          <w:tcPr>
            <w:tcW w:w="425" w:type="pct"/>
            <w:tcBorders>
              <w:top w:val="nil"/>
              <w:left w:val="nil"/>
              <w:bottom w:val="single" w:sz="4" w:space="0" w:color="auto"/>
              <w:right w:val="nil"/>
            </w:tcBorders>
            <w:shd w:val="clear" w:color="auto" w:fill="auto"/>
            <w:hideMark/>
          </w:tcPr>
          <w:p w14:paraId="520AAD2E"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 xml:space="preserve">100+ </w:t>
            </w:r>
            <w:r>
              <w:rPr>
                <w:rFonts w:eastAsia="Times New Roman"/>
                <w:color w:val="000000"/>
                <w:sz w:val="18"/>
                <w:szCs w:val="18"/>
                <w:vertAlign w:val="superscript"/>
                <w:lang w:eastAsia="en-GB"/>
              </w:rPr>
              <w:t>Y</w:t>
            </w:r>
          </w:p>
        </w:tc>
        <w:tc>
          <w:tcPr>
            <w:tcW w:w="377" w:type="pct"/>
            <w:tcBorders>
              <w:top w:val="nil"/>
              <w:left w:val="nil"/>
              <w:bottom w:val="single" w:sz="4" w:space="0" w:color="auto"/>
              <w:right w:val="nil"/>
            </w:tcBorders>
            <w:shd w:val="clear" w:color="auto" w:fill="auto"/>
            <w:hideMark/>
          </w:tcPr>
          <w:p w14:paraId="7EA29D17"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val="fr-FR" w:eastAsia="en-GB"/>
              </w:rPr>
              <w:t>269</w:t>
            </w:r>
            <w:r>
              <w:rPr>
                <w:rFonts w:eastAsia="Times New Roman"/>
                <w:color w:val="000000"/>
                <w:sz w:val="18"/>
                <w:szCs w:val="18"/>
                <w:vertAlign w:val="superscript"/>
                <w:lang w:val="fr-FR" w:eastAsia="en-GB"/>
              </w:rPr>
              <w:t>╬</w:t>
            </w:r>
            <w:r>
              <w:rPr>
                <w:rFonts w:eastAsia="Times New Roman"/>
                <w:color w:val="000000"/>
                <w:sz w:val="18"/>
                <w:szCs w:val="18"/>
                <w:lang w:val="fr-FR" w:eastAsia="en-GB"/>
              </w:rPr>
              <w:t xml:space="preserve"> </w:t>
            </w:r>
            <w:r>
              <w:rPr>
                <w:rFonts w:eastAsia="Times New Roman"/>
                <w:color w:val="000000"/>
                <w:sz w:val="18"/>
                <w:szCs w:val="18"/>
                <w:vertAlign w:val="superscript"/>
                <w:lang w:val="fr-FR" w:eastAsia="en-GB"/>
              </w:rPr>
              <w:t>AN</w:t>
            </w:r>
          </w:p>
        </w:tc>
        <w:tc>
          <w:tcPr>
            <w:tcW w:w="661" w:type="pct"/>
            <w:tcBorders>
              <w:top w:val="nil"/>
              <w:left w:val="nil"/>
              <w:bottom w:val="single" w:sz="4" w:space="0" w:color="auto"/>
              <w:right w:val="nil"/>
            </w:tcBorders>
            <w:shd w:val="clear" w:color="auto" w:fill="auto"/>
            <w:hideMark/>
          </w:tcPr>
          <w:p w14:paraId="3F718453" w14:textId="77777777" w:rsidR="00C32426" w:rsidRDefault="00C32426" w:rsidP="00C2393A">
            <w:pPr>
              <w:spacing w:after="0" w:line="276" w:lineRule="auto"/>
              <w:jc w:val="left"/>
              <w:rPr>
                <w:rFonts w:eastAsia="Times New Roman"/>
                <w:color w:val="000000"/>
                <w:sz w:val="18"/>
                <w:szCs w:val="18"/>
                <w:lang w:val="en-GB" w:eastAsia="ja-JP"/>
              </w:rPr>
            </w:pPr>
            <w:r>
              <w:rPr>
                <w:rFonts w:eastAsia="Times New Roman"/>
                <w:color w:val="000000"/>
                <w:sz w:val="18"/>
                <w:szCs w:val="18"/>
                <w:lang w:eastAsia="en-GB"/>
              </w:rPr>
              <w:t>1995, 2007</w:t>
            </w:r>
          </w:p>
        </w:tc>
        <w:tc>
          <w:tcPr>
            <w:tcW w:w="424" w:type="pct"/>
            <w:tcBorders>
              <w:top w:val="nil"/>
              <w:left w:val="nil"/>
              <w:bottom w:val="single" w:sz="4" w:space="0" w:color="auto"/>
              <w:right w:val="nil"/>
            </w:tcBorders>
            <w:shd w:val="clear" w:color="auto" w:fill="auto"/>
            <w:hideMark/>
          </w:tcPr>
          <w:p w14:paraId="00EE3F7E" w14:textId="77777777" w:rsidR="00C32426" w:rsidRDefault="00C32426" w:rsidP="00C2393A">
            <w:pPr>
              <w:spacing w:after="0" w:line="276" w:lineRule="auto"/>
              <w:jc w:val="left"/>
              <w:rPr>
                <w:rFonts w:eastAsia="Times New Roman"/>
                <w:color w:val="000000"/>
                <w:sz w:val="24"/>
                <w:szCs w:val="24"/>
                <w:lang w:val="en-GB" w:eastAsia="ja-JP"/>
              </w:rPr>
            </w:pPr>
            <w:r>
              <w:rPr>
                <w:rFonts w:eastAsia="Times New Roman"/>
                <w:color w:val="000000"/>
                <w:sz w:val="18"/>
                <w:szCs w:val="18"/>
                <w:lang w:val="en-GB" w:eastAsia="ja-JP"/>
              </w:rPr>
              <w:t>?</w:t>
            </w:r>
          </w:p>
        </w:tc>
      </w:tr>
    </w:tbl>
    <w:p w14:paraId="48AA051E" w14:textId="3356558F" w:rsidR="00C32426" w:rsidRDefault="00C32426" w:rsidP="00407357">
      <w:r w:rsidRPr="00565BB1">
        <w:lastRenderedPageBreak/>
        <w:t>Table</w:t>
      </w:r>
      <w:r>
        <w:t xml:space="preserve"> 2</w:t>
      </w:r>
      <w:r w:rsidRPr="00565BB1">
        <w:t xml:space="preserve">: </w:t>
      </w:r>
      <w:r>
        <w:t>T</w:t>
      </w:r>
      <w:r w:rsidRPr="00565BB1">
        <w:t>racking data considered for the identification of K</w:t>
      </w:r>
      <w:r>
        <w:t>ey Biodiversity Areas within</w:t>
      </w:r>
      <w:r w:rsidRPr="00565BB1">
        <w:t xml:space="preserve"> the </w:t>
      </w:r>
      <w:r>
        <w:t>South Georgia and the South Sandwich Islands</w:t>
      </w:r>
      <w:r w:rsidRPr="00565BB1">
        <w:t xml:space="preserve"> </w:t>
      </w:r>
      <w:r>
        <w:t>MPA</w:t>
      </w:r>
      <w:r w:rsidRPr="00565BB1">
        <w:t xml:space="preserve">. </w:t>
      </w:r>
      <w:r>
        <w:t>For a more detailed breakdown</w:t>
      </w:r>
      <w:r w:rsidRPr="00565BB1">
        <w:t xml:space="preserve"> of tracking data</w:t>
      </w:r>
      <w:r>
        <w:t>,</w:t>
      </w:r>
      <w:r w:rsidRPr="00565BB1">
        <w:t xml:space="preserve"> </w:t>
      </w:r>
      <w:r>
        <w:t xml:space="preserve">see: </w:t>
      </w:r>
      <w:r w:rsidRPr="00565BB1">
        <w:t>Appendix I (Sheet: ‘Tracking_data_sources’)</w:t>
      </w:r>
      <w:r>
        <w:t xml:space="preserve"> and </w:t>
      </w:r>
      <w:r w:rsidR="00637C94">
        <w:t>Appendix 2</w:t>
      </w:r>
      <w:r>
        <w:t xml:space="preserve"> (Figure S2)</w:t>
      </w:r>
      <w:r w:rsidRPr="00565BB1">
        <w:t>.</w:t>
      </w:r>
      <w:r>
        <w:t xml:space="preserve"> </w:t>
      </w:r>
      <w:r w:rsidR="00A163EB">
        <w:t xml:space="preserve">* indicates those species for which global KBA sites were not delineated because either tracking data </w:t>
      </w:r>
      <w:r w:rsidR="00407357">
        <w:t>were</w:t>
      </w:r>
      <w:r w:rsidR="00A163EB">
        <w:t xml:space="preserve"> not sufficiently representative, or</w:t>
      </w:r>
      <w:r w:rsidR="00407357">
        <w:t xml:space="preserve"> assessed</w:t>
      </w:r>
      <w:r w:rsidR="00A163EB">
        <w:t xml:space="preserve"> sites did not meet KBA criteria.</w:t>
      </w:r>
    </w:p>
    <w:tbl>
      <w:tblPr>
        <w:tblW w:w="5000" w:type="pct"/>
        <w:tblLayout w:type="fixed"/>
        <w:tblLook w:val="04A0" w:firstRow="1" w:lastRow="0" w:firstColumn="1" w:lastColumn="0" w:noHBand="0" w:noVBand="1"/>
      </w:tblPr>
      <w:tblGrid>
        <w:gridCol w:w="2267"/>
        <w:gridCol w:w="3263"/>
        <w:gridCol w:w="1273"/>
        <w:gridCol w:w="1516"/>
        <w:gridCol w:w="3305"/>
        <w:gridCol w:w="2334"/>
      </w:tblGrid>
      <w:tr w:rsidR="00C32426" w:rsidRPr="00FC5CA9" w14:paraId="2A3E3AD7" w14:textId="77777777" w:rsidTr="00903A92">
        <w:trPr>
          <w:trHeight w:val="300"/>
        </w:trPr>
        <w:tc>
          <w:tcPr>
            <w:tcW w:w="812" w:type="pct"/>
            <w:tcBorders>
              <w:top w:val="single" w:sz="8" w:space="0" w:color="auto"/>
              <w:left w:val="nil"/>
              <w:bottom w:val="single" w:sz="8" w:space="0" w:color="auto"/>
              <w:right w:val="nil"/>
            </w:tcBorders>
            <w:shd w:val="clear" w:color="auto" w:fill="auto"/>
            <w:noWrap/>
            <w:vAlign w:val="center"/>
            <w:hideMark/>
          </w:tcPr>
          <w:p w14:paraId="3D933115"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Species</w:t>
            </w:r>
          </w:p>
        </w:tc>
        <w:tc>
          <w:tcPr>
            <w:tcW w:w="1169" w:type="pct"/>
            <w:tcBorders>
              <w:top w:val="single" w:sz="8" w:space="0" w:color="auto"/>
              <w:left w:val="nil"/>
              <w:bottom w:val="single" w:sz="8" w:space="0" w:color="auto"/>
              <w:right w:val="nil"/>
            </w:tcBorders>
            <w:shd w:val="clear" w:color="auto" w:fill="auto"/>
            <w:noWrap/>
            <w:vAlign w:val="center"/>
            <w:hideMark/>
          </w:tcPr>
          <w:p w14:paraId="52CEBCA8"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Breeding site</w:t>
            </w:r>
          </w:p>
        </w:tc>
        <w:tc>
          <w:tcPr>
            <w:tcW w:w="456" w:type="pct"/>
            <w:tcBorders>
              <w:top w:val="single" w:sz="8" w:space="0" w:color="auto"/>
              <w:left w:val="nil"/>
              <w:bottom w:val="single" w:sz="8" w:space="0" w:color="auto"/>
              <w:right w:val="nil"/>
            </w:tcBorders>
            <w:shd w:val="clear" w:color="auto" w:fill="auto"/>
            <w:noWrap/>
            <w:vAlign w:val="center"/>
            <w:hideMark/>
          </w:tcPr>
          <w:p w14:paraId="6028648D"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Device</w:t>
            </w:r>
          </w:p>
        </w:tc>
        <w:tc>
          <w:tcPr>
            <w:tcW w:w="543" w:type="pct"/>
            <w:tcBorders>
              <w:top w:val="single" w:sz="8" w:space="0" w:color="auto"/>
              <w:left w:val="nil"/>
              <w:bottom w:val="single" w:sz="8" w:space="0" w:color="auto"/>
              <w:right w:val="nil"/>
            </w:tcBorders>
            <w:shd w:val="clear" w:color="auto" w:fill="auto"/>
            <w:noWrap/>
            <w:vAlign w:val="center"/>
            <w:hideMark/>
          </w:tcPr>
          <w:p w14:paraId="08A6682B"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Age</w:t>
            </w:r>
          </w:p>
        </w:tc>
        <w:tc>
          <w:tcPr>
            <w:tcW w:w="1184" w:type="pct"/>
            <w:tcBorders>
              <w:top w:val="single" w:sz="8" w:space="0" w:color="auto"/>
              <w:left w:val="nil"/>
              <w:bottom w:val="single" w:sz="8" w:space="0" w:color="auto"/>
              <w:right w:val="nil"/>
            </w:tcBorders>
            <w:shd w:val="clear" w:color="auto" w:fill="auto"/>
            <w:noWrap/>
            <w:vAlign w:val="center"/>
            <w:hideMark/>
          </w:tcPr>
          <w:p w14:paraId="72F6DF28"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Breeding stage</w:t>
            </w:r>
          </w:p>
        </w:tc>
        <w:tc>
          <w:tcPr>
            <w:tcW w:w="836" w:type="pct"/>
            <w:tcBorders>
              <w:top w:val="single" w:sz="8" w:space="0" w:color="auto"/>
              <w:left w:val="nil"/>
              <w:bottom w:val="single" w:sz="8" w:space="0" w:color="auto"/>
              <w:right w:val="nil"/>
            </w:tcBorders>
            <w:shd w:val="clear" w:color="auto" w:fill="auto"/>
            <w:noWrap/>
            <w:vAlign w:val="center"/>
            <w:hideMark/>
          </w:tcPr>
          <w:p w14:paraId="03DC01D0"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Tracks (n)</w:t>
            </w:r>
          </w:p>
        </w:tc>
      </w:tr>
      <w:tr w:rsidR="00C32426" w:rsidRPr="00FC5CA9" w14:paraId="73976187" w14:textId="77777777" w:rsidTr="00903A92">
        <w:trPr>
          <w:trHeight w:val="290"/>
        </w:trPr>
        <w:tc>
          <w:tcPr>
            <w:tcW w:w="812" w:type="pct"/>
            <w:tcBorders>
              <w:top w:val="nil"/>
              <w:left w:val="nil"/>
              <w:bottom w:val="nil"/>
              <w:right w:val="nil"/>
            </w:tcBorders>
            <w:shd w:val="clear" w:color="auto" w:fill="auto"/>
            <w:noWrap/>
            <w:hideMark/>
          </w:tcPr>
          <w:p w14:paraId="30641F60" w14:textId="3E8A46E9" w:rsidR="00C32426" w:rsidRPr="00FC5CA9" w:rsidRDefault="00C32426" w:rsidP="00C2393A">
            <w:pPr>
              <w:spacing w:after="0"/>
              <w:jc w:val="left"/>
              <w:rPr>
                <w:rFonts w:eastAsia="Times New Roman"/>
                <w:color w:val="000000"/>
                <w:sz w:val="18"/>
                <w:szCs w:val="18"/>
                <w:lang w:val="en-GB" w:eastAsia="ja-JP"/>
              </w:rPr>
            </w:pPr>
            <w:r>
              <w:rPr>
                <w:rFonts w:eastAsia="Times New Roman"/>
                <w:color w:val="000000"/>
                <w:sz w:val="18"/>
                <w:szCs w:val="18"/>
                <w:lang w:val="en-GB" w:eastAsia="ja-JP"/>
              </w:rPr>
              <w:t>Black-browed Albatross</w:t>
            </w:r>
            <w:r w:rsidR="00903A92">
              <w:rPr>
                <w:rFonts w:eastAsia="Times New Roman"/>
                <w:color w:val="000000"/>
                <w:sz w:val="18"/>
                <w:szCs w:val="18"/>
                <w:lang w:val="en-GB" w:eastAsia="ja-JP"/>
              </w:rPr>
              <w:t>*</w:t>
            </w:r>
          </w:p>
        </w:tc>
        <w:tc>
          <w:tcPr>
            <w:tcW w:w="1169" w:type="pct"/>
            <w:tcBorders>
              <w:top w:val="nil"/>
              <w:left w:val="nil"/>
              <w:bottom w:val="nil"/>
              <w:right w:val="nil"/>
            </w:tcBorders>
            <w:shd w:val="clear" w:color="auto" w:fill="auto"/>
            <w:noWrap/>
            <w:hideMark/>
          </w:tcPr>
          <w:p w14:paraId="0C14747A"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Bird Island</w:t>
            </w:r>
          </w:p>
        </w:tc>
        <w:tc>
          <w:tcPr>
            <w:tcW w:w="456" w:type="pct"/>
            <w:tcBorders>
              <w:top w:val="nil"/>
              <w:left w:val="nil"/>
              <w:bottom w:val="nil"/>
              <w:right w:val="nil"/>
            </w:tcBorders>
            <w:shd w:val="clear" w:color="auto" w:fill="auto"/>
            <w:noWrap/>
            <w:hideMark/>
          </w:tcPr>
          <w:p w14:paraId="07C5348E"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GPS, PTT</w:t>
            </w:r>
          </w:p>
        </w:tc>
        <w:tc>
          <w:tcPr>
            <w:tcW w:w="543" w:type="pct"/>
            <w:tcBorders>
              <w:top w:val="nil"/>
              <w:left w:val="nil"/>
              <w:bottom w:val="nil"/>
              <w:right w:val="nil"/>
            </w:tcBorders>
            <w:shd w:val="clear" w:color="auto" w:fill="auto"/>
            <w:noWrap/>
            <w:hideMark/>
          </w:tcPr>
          <w:p w14:paraId="337DE2F6"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Adult, Juvenile</w:t>
            </w:r>
          </w:p>
        </w:tc>
        <w:tc>
          <w:tcPr>
            <w:tcW w:w="1184" w:type="pct"/>
            <w:tcBorders>
              <w:top w:val="nil"/>
              <w:left w:val="nil"/>
              <w:bottom w:val="nil"/>
              <w:right w:val="nil"/>
            </w:tcBorders>
            <w:shd w:val="clear" w:color="auto" w:fill="auto"/>
            <w:noWrap/>
            <w:hideMark/>
          </w:tcPr>
          <w:p w14:paraId="7F78B3C1"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incubation, brood-guard, post-guard, non-breeding</w:t>
            </w:r>
          </w:p>
        </w:tc>
        <w:tc>
          <w:tcPr>
            <w:tcW w:w="836" w:type="pct"/>
            <w:tcBorders>
              <w:top w:val="nil"/>
              <w:left w:val="nil"/>
              <w:bottom w:val="nil"/>
              <w:right w:val="nil"/>
            </w:tcBorders>
            <w:shd w:val="clear" w:color="auto" w:fill="auto"/>
            <w:noWrap/>
            <w:hideMark/>
          </w:tcPr>
          <w:p w14:paraId="549502C0"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508</w:t>
            </w:r>
          </w:p>
        </w:tc>
      </w:tr>
      <w:tr w:rsidR="00C32426" w:rsidRPr="00FC5CA9" w14:paraId="18FDB9A5" w14:textId="77777777" w:rsidTr="00903A92">
        <w:trPr>
          <w:trHeight w:val="290"/>
        </w:trPr>
        <w:tc>
          <w:tcPr>
            <w:tcW w:w="812" w:type="pct"/>
            <w:tcBorders>
              <w:top w:val="nil"/>
              <w:left w:val="nil"/>
              <w:bottom w:val="nil"/>
              <w:right w:val="nil"/>
            </w:tcBorders>
            <w:shd w:val="clear" w:color="auto" w:fill="auto"/>
            <w:noWrap/>
            <w:hideMark/>
          </w:tcPr>
          <w:p w14:paraId="118579D2" w14:textId="77777777" w:rsidR="00C32426" w:rsidRPr="00FC5CA9" w:rsidRDefault="00C32426" w:rsidP="00C2393A">
            <w:pPr>
              <w:spacing w:after="0"/>
              <w:jc w:val="left"/>
              <w:rPr>
                <w:rFonts w:eastAsia="Times New Roman"/>
                <w:color w:val="000000"/>
                <w:sz w:val="18"/>
                <w:szCs w:val="18"/>
                <w:lang w:val="en-GB" w:eastAsia="ja-JP"/>
              </w:rPr>
            </w:pPr>
            <w:r>
              <w:rPr>
                <w:rFonts w:eastAsia="Times New Roman"/>
                <w:color w:val="000000"/>
                <w:sz w:val="18"/>
                <w:szCs w:val="18"/>
                <w:lang w:val="en-GB" w:eastAsia="ja-JP"/>
              </w:rPr>
              <w:t>Grey-headed Albatross</w:t>
            </w:r>
          </w:p>
        </w:tc>
        <w:tc>
          <w:tcPr>
            <w:tcW w:w="1169" w:type="pct"/>
            <w:tcBorders>
              <w:top w:val="nil"/>
              <w:left w:val="nil"/>
              <w:bottom w:val="nil"/>
              <w:right w:val="nil"/>
            </w:tcBorders>
            <w:shd w:val="clear" w:color="auto" w:fill="auto"/>
            <w:noWrap/>
            <w:hideMark/>
          </w:tcPr>
          <w:p w14:paraId="489F37D8"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Bird Island</w:t>
            </w:r>
          </w:p>
        </w:tc>
        <w:tc>
          <w:tcPr>
            <w:tcW w:w="456" w:type="pct"/>
            <w:tcBorders>
              <w:top w:val="nil"/>
              <w:left w:val="nil"/>
              <w:bottom w:val="nil"/>
              <w:right w:val="nil"/>
            </w:tcBorders>
            <w:shd w:val="clear" w:color="auto" w:fill="auto"/>
            <w:noWrap/>
            <w:hideMark/>
          </w:tcPr>
          <w:p w14:paraId="1F2E290C"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GPS, PTT</w:t>
            </w:r>
          </w:p>
        </w:tc>
        <w:tc>
          <w:tcPr>
            <w:tcW w:w="543" w:type="pct"/>
            <w:tcBorders>
              <w:top w:val="nil"/>
              <w:left w:val="nil"/>
              <w:bottom w:val="nil"/>
              <w:right w:val="nil"/>
            </w:tcBorders>
            <w:shd w:val="clear" w:color="auto" w:fill="auto"/>
            <w:noWrap/>
            <w:hideMark/>
          </w:tcPr>
          <w:p w14:paraId="48E96117"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Adult, Juvenile</w:t>
            </w:r>
          </w:p>
        </w:tc>
        <w:tc>
          <w:tcPr>
            <w:tcW w:w="1184" w:type="pct"/>
            <w:tcBorders>
              <w:top w:val="nil"/>
              <w:left w:val="nil"/>
              <w:bottom w:val="nil"/>
              <w:right w:val="nil"/>
            </w:tcBorders>
            <w:shd w:val="clear" w:color="auto" w:fill="auto"/>
            <w:noWrap/>
            <w:hideMark/>
          </w:tcPr>
          <w:p w14:paraId="3C3E7DE2"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incubation, brood-guard, post-guard, migration, non-breeding</w:t>
            </w:r>
          </w:p>
        </w:tc>
        <w:tc>
          <w:tcPr>
            <w:tcW w:w="836" w:type="pct"/>
            <w:tcBorders>
              <w:top w:val="nil"/>
              <w:left w:val="nil"/>
              <w:bottom w:val="nil"/>
              <w:right w:val="nil"/>
            </w:tcBorders>
            <w:shd w:val="clear" w:color="auto" w:fill="auto"/>
            <w:noWrap/>
            <w:hideMark/>
          </w:tcPr>
          <w:p w14:paraId="4470085D"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374</w:t>
            </w:r>
          </w:p>
        </w:tc>
      </w:tr>
      <w:tr w:rsidR="00C32426" w:rsidRPr="00FC5CA9" w14:paraId="0369B696" w14:textId="77777777" w:rsidTr="00903A92">
        <w:trPr>
          <w:trHeight w:val="290"/>
        </w:trPr>
        <w:tc>
          <w:tcPr>
            <w:tcW w:w="812" w:type="pct"/>
            <w:tcBorders>
              <w:top w:val="nil"/>
              <w:left w:val="nil"/>
              <w:bottom w:val="nil"/>
              <w:right w:val="nil"/>
            </w:tcBorders>
            <w:shd w:val="clear" w:color="auto" w:fill="auto"/>
            <w:noWrap/>
            <w:hideMark/>
          </w:tcPr>
          <w:p w14:paraId="58C7AAF5" w14:textId="41478BD3" w:rsidR="00C32426" w:rsidRPr="00FC5CA9" w:rsidRDefault="00C32426" w:rsidP="00C2393A">
            <w:pPr>
              <w:spacing w:after="0"/>
              <w:jc w:val="left"/>
              <w:rPr>
                <w:rFonts w:eastAsia="Times New Roman"/>
                <w:color w:val="000000"/>
                <w:sz w:val="18"/>
                <w:szCs w:val="18"/>
                <w:lang w:val="en-GB" w:eastAsia="ja-JP"/>
              </w:rPr>
            </w:pPr>
            <w:r>
              <w:rPr>
                <w:rFonts w:eastAsia="Times New Roman"/>
                <w:color w:val="000000"/>
                <w:sz w:val="18"/>
                <w:szCs w:val="18"/>
                <w:lang w:val="en-GB" w:eastAsia="ja-JP"/>
              </w:rPr>
              <w:t>Light-mantled Albatross</w:t>
            </w:r>
            <w:r w:rsidR="00903A92">
              <w:rPr>
                <w:rFonts w:eastAsia="Times New Roman"/>
                <w:color w:val="000000"/>
                <w:sz w:val="18"/>
                <w:szCs w:val="18"/>
                <w:lang w:val="en-GB" w:eastAsia="ja-JP"/>
              </w:rPr>
              <w:t>*</w:t>
            </w:r>
          </w:p>
        </w:tc>
        <w:tc>
          <w:tcPr>
            <w:tcW w:w="1169" w:type="pct"/>
            <w:tcBorders>
              <w:top w:val="nil"/>
              <w:left w:val="nil"/>
              <w:bottom w:val="nil"/>
              <w:right w:val="nil"/>
            </w:tcBorders>
            <w:shd w:val="clear" w:color="auto" w:fill="auto"/>
            <w:noWrap/>
            <w:hideMark/>
          </w:tcPr>
          <w:p w14:paraId="7EF665CC"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Bird Island</w:t>
            </w:r>
          </w:p>
        </w:tc>
        <w:tc>
          <w:tcPr>
            <w:tcW w:w="456" w:type="pct"/>
            <w:tcBorders>
              <w:top w:val="nil"/>
              <w:left w:val="nil"/>
              <w:bottom w:val="nil"/>
              <w:right w:val="nil"/>
            </w:tcBorders>
            <w:shd w:val="clear" w:color="auto" w:fill="auto"/>
            <w:noWrap/>
            <w:hideMark/>
          </w:tcPr>
          <w:p w14:paraId="4DAC396C"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GPS, PTT</w:t>
            </w:r>
          </w:p>
        </w:tc>
        <w:tc>
          <w:tcPr>
            <w:tcW w:w="543" w:type="pct"/>
            <w:tcBorders>
              <w:top w:val="nil"/>
              <w:left w:val="nil"/>
              <w:bottom w:val="nil"/>
              <w:right w:val="nil"/>
            </w:tcBorders>
            <w:shd w:val="clear" w:color="auto" w:fill="auto"/>
            <w:noWrap/>
            <w:hideMark/>
          </w:tcPr>
          <w:p w14:paraId="6323B6E1"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Adult</w:t>
            </w:r>
          </w:p>
        </w:tc>
        <w:tc>
          <w:tcPr>
            <w:tcW w:w="1184" w:type="pct"/>
            <w:tcBorders>
              <w:top w:val="nil"/>
              <w:left w:val="nil"/>
              <w:bottom w:val="nil"/>
              <w:right w:val="nil"/>
            </w:tcBorders>
            <w:shd w:val="clear" w:color="auto" w:fill="auto"/>
            <w:noWrap/>
            <w:hideMark/>
          </w:tcPr>
          <w:p w14:paraId="6C2BBCFD"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incubation, brood-guard, post-guard</w:t>
            </w:r>
          </w:p>
        </w:tc>
        <w:tc>
          <w:tcPr>
            <w:tcW w:w="836" w:type="pct"/>
            <w:tcBorders>
              <w:top w:val="nil"/>
              <w:left w:val="nil"/>
              <w:bottom w:val="nil"/>
              <w:right w:val="nil"/>
            </w:tcBorders>
            <w:shd w:val="clear" w:color="auto" w:fill="auto"/>
            <w:noWrap/>
            <w:hideMark/>
          </w:tcPr>
          <w:p w14:paraId="64FE1B49"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62</w:t>
            </w:r>
          </w:p>
        </w:tc>
      </w:tr>
      <w:tr w:rsidR="00C32426" w:rsidRPr="00FC5CA9" w14:paraId="7BCE9609" w14:textId="77777777" w:rsidTr="00903A92">
        <w:trPr>
          <w:trHeight w:val="290"/>
        </w:trPr>
        <w:tc>
          <w:tcPr>
            <w:tcW w:w="812" w:type="pct"/>
            <w:tcBorders>
              <w:top w:val="nil"/>
              <w:left w:val="nil"/>
              <w:bottom w:val="nil"/>
              <w:right w:val="nil"/>
            </w:tcBorders>
            <w:shd w:val="clear" w:color="auto" w:fill="auto"/>
            <w:noWrap/>
            <w:hideMark/>
          </w:tcPr>
          <w:p w14:paraId="098E3DA9" w14:textId="77777777" w:rsidR="00C32426" w:rsidRPr="00FC5CA9" w:rsidRDefault="00C32426" w:rsidP="00C2393A">
            <w:pPr>
              <w:spacing w:after="0"/>
              <w:jc w:val="left"/>
              <w:rPr>
                <w:rFonts w:eastAsia="Times New Roman"/>
                <w:color w:val="000000"/>
                <w:sz w:val="18"/>
                <w:szCs w:val="18"/>
                <w:lang w:val="en-GB" w:eastAsia="ja-JP"/>
              </w:rPr>
            </w:pPr>
            <w:r>
              <w:rPr>
                <w:rFonts w:eastAsia="Times New Roman"/>
                <w:color w:val="000000"/>
                <w:sz w:val="18"/>
                <w:szCs w:val="18"/>
                <w:lang w:val="en-GB" w:eastAsia="ja-JP"/>
              </w:rPr>
              <w:t>Wandering Albatross</w:t>
            </w:r>
          </w:p>
        </w:tc>
        <w:tc>
          <w:tcPr>
            <w:tcW w:w="1169" w:type="pct"/>
            <w:tcBorders>
              <w:top w:val="nil"/>
              <w:left w:val="nil"/>
              <w:bottom w:val="nil"/>
              <w:right w:val="nil"/>
            </w:tcBorders>
            <w:shd w:val="clear" w:color="auto" w:fill="auto"/>
            <w:noWrap/>
            <w:hideMark/>
          </w:tcPr>
          <w:p w14:paraId="30E03378"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Bird Island</w:t>
            </w:r>
          </w:p>
        </w:tc>
        <w:tc>
          <w:tcPr>
            <w:tcW w:w="456" w:type="pct"/>
            <w:tcBorders>
              <w:top w:val="nil"/>
              <w:left w:val="nil"/>
              <w:bottom w:val="nil"/>
              <w:right w:val="nil"/>
            </w:tcBorders>
            <w:shd w:val="clear" w:color="auto" w:fill="auto"/>
            <w:noWrap/>
            <w:hideMark/>
          </w:tcPr>
          <w:p w14:paraId="2423497A"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GPS, PTT</w:t>
            </w:r>
          </w:p>
        </w:tc>
        <w:tc>
          <w:tcPr>
            <w:tcW w:w="543" w:type="pct"/>
            <w:tcBorders>
              <w:top w:val="nil"/>
              <w:left w:val="nil"/>
              <w:bottom w:val="nil"/>
              <w:right w:val="nil"/>
            </w:tcBorders>
            <w:shd w:val="clear" w:color="auto" w:fill="auto"/>
            <w:noWrap/>
            <w:hideMark/>
          </w:tcPr>
          <w:p w14:paraId="78C6A0B6"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Adult, Juvenile</w:t>
            </w:r>
          </w:p>
        </w:tc>
        <w:tc>
          <w:tcPr>
            <w:tcW w:w="1184" w:type="pct"/>
            <w:tcBorders>
              <w:top w:val="nil"/>
              <w:left w:val="nil"/>
              <w:bottom w:val="nil"/>
              <w:right w:val="nil"/>
            </w:tcBorders>
            <w:shd w:val="clear" w:color="auto" w:fill="auto"/>
            <w:noWrap/>
            <w:hideMark/>
          </w:tcPr>
          <w:p w14:paraId="77106CAF"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incubation, brood-guard, post-guard, migration, non-breeding</w:t>
            </w:r>
          </w:p>
        </w:tc>
        <w:tc>
          <w:tcPr>
            <w:tcW w:w="836" w:type="pct"/>
            <w:tcBorders>
              <w:top w:val="nil"/>
              <w:left w:val="nil"/>
              <w:bottom w:val="nil"/>
              <w:right w:val="nil"/>
            </w:tcBorders>
            <w:shd w:val="clear" w:color="auto" w:fill="auto"/>
            <w:noWrap/>
            <w:hideMark/>
          </w:tcPr>
          <w:p w14:paraId="4C267E78"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428</w:t>
            </w:r>
          </w:p>
        </w:tc>
      </w:tr>
      <w:tr w:rsidR="00C32426" w:rsidRPr="00FC5CA9" w14:paraId="36BE11DD" w14:textId="77777777" w:rsidTr="00903A92">
        <w:trPr>
          <w:trHeight w:val="290"/>
        </w:trPr>
        <w:tc>
          <w:tcPr>
            <w:tcW w:w="812" w:type="pct"/>
            <w:tcBorders>
              <w:top w:val="nil"/>
              <w:left w:val="nil"/>
              <w:bottom w:val="nil"/>
              <w:right w:val="nil"/>
            </w:tcBorders>
            <w:shd w:val="clear" w:color="auto" w:fill="auto"/>
            <w:noWrap/>
            <w:hideMark/>
          </w:tcPr>
          <w:p w14:paraId="3F5ECC4F" w14:textId="77777777" w:rsidR="00C32426" w:rsidRPr="00FC5CA9" w:rsidRDefault="00C32426" w:rsidP="00C2393A">
            <w:pPr>
              <w:spacing w:after="0"/>
              <w:jc w:val="left"/>
              <w:rPr>
                <w:rFonts w:eastAsia="Times New Roman"/>
                <w:color w:val="000000"/>
                <w:sz w:val="18"/>
                <w:szCs w:val="18"/>
                <w:lang w:val="en-GB" w:eastAsia="ja-JP"/>
              </w:rPr>
            </w:pPr>
            <w:r>
              <w:rPr>
                <w:rFonts w:eastAsia="Times New Roman"/>
                <w:color w:val="000000"/>
                <w:sz w:val="18"/>
                <w:szCs w:val="18"/>
                <w:lang w:val="en-GB" w:eastAsia="ja-JP"/>
              </w:rPr>
              <w:t>Northern Giant Petrel</w:t>
            </w:r>
          </w:p>
        </w:tc>
        <w:tc>
          <w:tcPr>
            <w:tcW w:w="1169" w:type="pct"/>
            <w:tcBorders>
              <w:top w:val="nil"/>
              <w:left w:val="nil"/>
              <w:bottom w:val="nil"/>
              <w:right w:val="nil"/>
            </w:tcBorders>
            <w:shd w:val="clear" w:color="auto" w:fill="auto"/>
            <w:noWrap/>
            <w:hideMark/>
          </w:tcPr>
          <w:p w14:paraId="32D0C20D"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Bird Island</w:t>
            </w:r>
          </w:p>
        </w:tc>
        <w:tc>
          <w:tcPr>
            <w:tcW w:w="456" w:type="pct"/>
            <w:tcBorders>
              <w:top w:val="nil"/>
              <w:left w:val="nil"/>
              <w:bottom w:val="nil"/>
              <w:right w:val="nil"/>
            </w:tcBorders>
            <w:shd w:val="clear" w:color="auto" w:fill="auto"/>
            <w:noWrap/>
            <w:hideMark/>
          </w:tcPr>
          <w:p w14:paraId="0DB12DEA"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PTT</w:t>
            </w:r>
          </w:p>
        </w:tc>
        <w:tc>
          <w:tcPr>
            <w:tcW w:w="543" w:type="pct"/>
            <w:tcBorders>
              <w:top w:val="nil"/>
              <w:left w:val="nil"/>
              <w:bottom w:val="nil"/>
              <w:right w:val="nil"/>
            </w:tcBorders>
            <w:shd w:val="clear" w:color="auto" w:fill="auto"/>
            <w:noWrap/>
            <w:hideMark/>
          </w:tcPr>
          <w:p w14:paraId="613B1E88"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Adult</w:t>
            </w:r>
          </w:p>
        </w:tc>
        <w:tc>
          <w:tcPr>
            <w:tcW w:w="1184" w:type="pct"/>
            <w:tcBorders>
              <w:top w:val="nil"/>
              <w:left w:val="nil"/>
              <w:bottom w:val="nil"/>
              <w:right w:val="nil"/>
            </w:tcBorders>
            <w:shd w:val="clear" w:color="auto" w:fill="auto"/>
            <w:noWrap/>
            <w:hideMark/>
          </w:tcPr>
          <w:p w14:paraId="340F2DE9"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incubation, brood-guard, post-guard</w:t>
            </w:r>
          </w:p>
        </w:tc>
        <w:tc>
          <w:tcPr>
            <w:tcW w:w="836" w:type="pct"/>
            <w:tcBorders>
              <w:top w:val="nil"/>
              <w:left w:val="nil"/>
              <w:bottom w:val="nil"/>
              <w:right w:val="nil"/>
            </w:tcBorders>
            <w:shd w:val="clear" w:color="auto" w:fill="auto"/>
            <w:noWrap/>
            <w:hideMark/>
          </w:tcPr>
          <w:p w14:paraId="456109B4"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100</w:t>
            </w:r>
          </w:p>
        </w:tc>
      </w:tr>
      <w:tr w:rsidR="00C32426" w:rsidRPr="00FC5CA9" w14:paraId="254DF4C9" w14:textId="77777777" w:rsidTr="00903A92">
        <w:trPr>
          <w:trHeight w:val="290"/>
        </w:trPr>
        <w:tc>
          <w:tcPr>
            <w:tcW w:w="812" w:type="pct"/>
            <w:tcBorders>
              <w:top w:val="nil"/>
              <w:left w:val="nil"/>
              <w:bottom w:val="nil"/>
              <w:right w:val="nil"/>
            </w:tcBorders>
            <w:shd w:val="clear" w:color="auto" w:fill="auto"/>
            <w:noWrap/>
            <w:hideMark/>
          </w:tcPr>
          <w:p w14:paraId="34C00C19" w14:textId="44810C35" w:rsidR="00C32426" w:rsidRPr="00FC5CA9" w:rsidRDefault="00C32426" w:rsidP="00C2393A">
            <w:pPr>
              <w:spacing w:after="0"/>
              <w:jc w:val="left"/>
              <w:rPr>
                <w:rFonts w:eastAsia="Times New Roman"/>
                <w:color w:val="000000"/>
                <w:sz w:val="18"/>
                <w:szCs w:val="18"/>
                <w:lang w:val="en-GB" w:eastAsia="ja-JP"/>
              </w:rPr>
            </w:pPr>
            <w:r>
              <w:rPr>
                <w:rFonts w:eastAsia="Times New Roman"/>
                <w:color w:val="000000"/>
                <w:sz w:val="18"/>
                <w:szCs w:val="18"/>
                <w:lang w:val="en-GB" w:eastAsia="ja-JP"/>
              </w:rPr>
              <w:t>Southern Giant Petrel</w:t>
            </w:r>
            <w:r w:rsidR="00903A92">
              <w:rPr>
                <w:rFonts w:eastAsia="Times New Roman"/>
                <w:color w:val="000000"/>
                <w:sz w:val="18"/>
                <w:szCs w:val="18"/>
                <w:lang w:val="en-GB" w:eastAsia="ja-JP"/>
              </w:rPr>
              <w:t>*</w:t>
            </w:r>
          </w:p>
        </w:tc>
        <w:tc>
          <w:tcPr>
            <w:tcW w:w="1169" w:type="pct"/>
            <w:tcBorders>
              <w:top w:val="nil"/>
              <w:left w:val="nil"/>
              <w:bottom w:val="nil"/>
              <w:right w:val="nil"/>
            </w:tcBorders>
            <w:shd w:val="clear" w:color="auto" w:fill="auto"/>
            <w:noWrap/>
            <w:hideMark/>
          </w:tcPr>
          <w:p w14:paraId="469CF97E"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Bird Island</w:t>
            </w:r>
          </w:p>
        </w:tc>
        <w:tc>
          <w:tcPr>
            <w:tcW w:w="456" w:type="pct"/>
            <w:tcBorders>
              <w:top w:val="nil"/>
              <w:left w:val="nil"/>
              <w:bottom w:val="nil"/>
              <w:right w:val="nil"/>
            </w:tcBorders>
            <w:shd w:val="clear" w:color="auto" w:fill="auto"/>
            <w:noWrap/>
            <w:hideMark/>
          </w:tcPr>
          <w:p w14:paraId="0F1C2B85"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GPS, PTT</w:t>
            </w:r>
          </w:p>
        </w:tc>
        <w:tc>
          <w:tcPr>
            <w:tcW w:w="543" w:type="pct"/>
            <w:tcBorders>
              <w:top w:val="nil"/>
              <w:left w:val="nil"/>
              <w:bottom w:val="nil"/>
              <w:right w:val="nil"/>
            </w:tcBorders>
            <w:shd w:val="clear" w:color="auto" w:fill="auto"/>
            <w:noWrap/>
            <w:hideMark/>
          </w:tcPr>
          <w:p w14:paraId="46BE5180"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Adult</w:t>
            </w:r>
          </w:p>
        </w:tc>
        <w:tc>
          <w:tcPr>
            <w:tcW w:w="1184" w:type="pct"/>
            <w:tcBorders>
              <w:top w:val="nil"/>
              <w:left w:val="nil"/>
              <w:bottom w:val="nil"/>
              <w:right w:val="nil"/>
            </w:tcBorders>
            <w:shd w:val="clear" w:color="auto" w:fill="auto"/>
            <w:noWrap/>
            <w:hideMark/>
          </w:tcPr>
          <w:p w14:paraId="0E498095"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incubation, brood-guard, post-guard</w:t>
            </w:r>
          </w:p>
        </w:tc>
        <w:tc>
          <w:tcPr>
            <w:tcW w:w="836" w:type="pct"/>
            <w:tcBorders>
              <w:top w:val="nil"/>
              <w:left w:val="nil"/>
              <w:bottom w:val="nil"/>
              <w:right w:val="nil"/>
            </w:tcBorders>
            <w:shd w:val="clear" w:color="auto" w:fill="auto"/>
            <w:noWrap/>
            <w:hideMark/>
          </w:tcPr>
          <w:p w14:paraId="34D688E1"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99</w:t>
            </w:r>
          </w:p>
        </w:tc>
      </w:tr>
      <w:tr w:rsidR="00C32426" w:rsidRPr="00FC5CA9" w14:paraId="336F1778" w14:textId="77777777" w:rsidTr="00903A92">
        <w:trPr>
          <w:trHeight w:val="290"/>
        </w:trPr>
        <w:tc>
          <w:tcPr>
            <w:tcW w:w="812" w:type="pct"/>
            <w:tcBorders>
              <w:top w:val="nil"/>
              <w:left w:val="nil"/>
              <w:bottom w:val="nil"/>
              <w:right w:val="nil"/>
            </w:tcBorders>
            <w:shd w:val="clear" w:color="auto" w:fill="auto"/>
            <w:noWrap/>
            <w:hideMark/>
          </w:tcPr>
          <w:p w14:paraId="3AB47CB7" w14:textId="77777777" w:rsidR="00C32426" w:rsidRPr="00FC5CA9" w:rsidRDefault="00C32426" w:rsidP="00C2393A">
            <w:pPr>
              <w:spacing w:after="0"/>
              <w:jc w:val="left"/>
              <w:rPr>
                <w:rFonts w:eastAsia="Times New Roman"/>
                <w:color w:val="000000"/>
                <w:sz w:val="18"/>
                <w:szCs w:val="18"/>
                <w:lang w:val="en-GB" w:eastAsia="ja-JP"/>
              </w:rPr>
            </w:pPr>
            <w:r>
              <w:rPr>
                <w:rFonts w:eastAsia="Times New Roman"/>
                <w:color w:val="000000"/>
                <w:sz w:val="18"/>
                <w:szCs w:val="18"/>
                <w:lang w:val="en-GB" w:eastAsia="ja-JP"/>
              </w:rPr>
              <w:t>White-chinned Petrel</w:t>
            </w:r>
          </w:p>
        </w:tc>
        <w:tc>
          <w:tcPr>
            <w:tcW w:w="1169" w:type="pct"/>
            <w:tcBorders>
              <w:top w:val="nil"/>
              <w:left w:val="nil"/>
              <w:bottom w:val="nil"/>
              <w:right w:val="nil"/>
            </w:tcBorders>
            <w:shd w:val="clear" w:color="auto" w:fill="auto"/>
            <w:noWrap/>
            <w:hideMark/>
          </w:tcPr>
          <w:p w14:paraId="39214D13"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Bird Island</w:t>
            </w:r>
          </w:p>
        </w:tc>
        <w:tc>
          <w:tcPr>
            <w:tcW w:w="456" w:type="pct"/>
            <w:tcBorders>
              <w:top w:val="nil"/>
              <w:left w:val="nil"/>
              <w:bottom w:val="nil"/>
              <w:right w:val="nil"/>
            </w:tcBorders>
            <w:shd w:val="clear" w:color="auto" w:fill="auto"/>
            <w:noWrap/>
            <w:hideMark/>
          </w:tcPr>
          <w:p w14:paraId="4D96AE83"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GPS, PTT</w:t>
            </w:r>
          </w:p>
        </w:tc>
        <w:tc>
          <w:tcPr>
            <w:tcW w:w="543" w:type="pct"/>
            <w:tcBorders>
              <w:top w:val="nil"/>
              <w:left w:val="nil"/>
              <w:bottom w:val="nil"/>
              <w:right w:val="nil"/>
            </w:tcBorders>
            <w:shd w:val="clear" w:color="auto" w:fill="auto"/>
            <w:noWrap/>
            <w:hideMark/>
          </w:tcPr>
          <w:p w14:paraId="28B1C4E9"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Adult, Juvenile</w:t>
            </w:r>
          </w:p>
        </w:tc>
        <w:tc>
          <w:tcPr>
            <w:tcW w:w="1184" w:type="pct"/>
            <w:tcBorders>
              <w:top w:val="nil"/>
              <w:left w:val="nil"/>
              <w:bottom w:val="nil"/>
              <w:right w:val="nil"/>
            </w:tcBorders>
            <w:shd w:val="clear" w:color="auto" w:fill="auto"/>
            <w:noWrap/>
            <w:hideMark/>
          </w:tcPr>
          <w:p w14:paraId="46DBF902"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incubation, breeding, non-breeding</w:t>
            </w:r>
          </w:p>
        </w:tc>
        <w:tc>
          <w:tcPr>
            <w:tcW w:w="836" w:type="pct"/>
            <w:tcBorders>
              <w:top w:val="nil"/>
              <w:left w:val="nil"/>
              <w:bottom w:val="nil"/>
              <w:right w:val="nil"/>
            </w:tcBorders>
            <w:shd w:val="clear" w:color="auto" w:fill="auto"/>
            <w:noWrap/>
            <w:hideMark/>
          </w:tcPr>
          <w:p w14:paraId="7FEC9DCF"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51</w:t>
            </w:r>
          </w:p>
        </w:tc>
      </w:tr>
      <w:tr w:rsidR="00C32426" w:rsidRPr="00FC5CA9" w14:paraId="0466E08E" w14:textId="77777777" w:rsidTr="00903A92">
        <w:trPr>
          <w:trHeight w:val="290"/>
        </w:trPr>
        <w:tc>
          <w:tcPr>
            <w:tcW w:w="812" w:type="pct"/>
            <w:tcBorders>
              <w:top w:val="nil"/>
              <w:left w:val="nil"/>
              <w:bottom w:val="nil"/>
              <w:right w:val="nil"/>
            </w:tcBorders>
            <w:shd w:val="clear" w:color="auto" w:fill="auto"/>
            <w:noWrap/>
            <w:hideMark/>
          </w:tcPr>
          <w:p w14:paraId="47E42771" w14:textId="77777777" w:rsidR="00C32426" w:rsidRPr="00FC5CA9" w:rsidRDefault="00C32426" w:rsidP="00C2393A">
            <w:pPr>
              <w:spacing w:after="0"/>
              <w:jc w:val="left"/>
              <w:rPr>
                <w:rFonts w:eastAsia="Times New Roman"/>
                <w:color w:val="000000"/>
                <w:sz w:val="18"/>
                <w:szCs w:val="18"/>
                <w:lang w:val="en-GB" w:eastAsia="ja-JP"/>
              </w:rPr>
            </w:pPr>
            <w:r>
              <w:rPr>
                <w:rFonts w:eastAsia="Times New Roman"/>
                <w:color w:val="000000"/>
                <w:sz w:val="18"/>
                <w:szCs w:val="18"/>
                <w:lang w:eastAsia="ja-JP"/>
              </w:rPr>
              <w:t>Gentoo Penguin</w:t>
            </w:r>
          </w:p>
        </w:tc>
        <w:tc>
          <w:tcPr>
            <w:tcW w:w="1169" w:type="pct"/>
            <w:tcBorders>
              <w:top w:val="nil"/>
              <w:left w:val="nil"/>
              <w:bottom w:val="nil"/>
              <w:right w:val="nil"/>
            </w:tcBorders>
            <w:shd w:val="clear" w:color="auto" w:fill="auto"/>
            <w:noWrap/>
            <w:hideMark/>
          </w:tcPr>
          <w:p w14:paraId="16C9F385"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Maiviken, Lower Natural Arch, Upper Natural Arch, Square Pond, Landing Beach</w:t>
            </w:r>
          </w:p>
        </w:tc>
        <w:tc>
          <w:tcPr>
            <w:tcW w:w="456" w:type="pct"/>
            <w:tcBorders>
              <w:top w:val="nil"/>
              <w:left w:val="nil"/>
              <w:bottom w:val="nil"/>
              <w:right w:val="nil"/>
            </w:tcBorders>
            <w:shd w:val="clear" w:color="auto" w:fill="auto"/>
            <w:noWrap/>
            <w:hideMark/>
          </w:tcPr>
          <w:p w14:paraId="5C8FE425"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GPS, PTT</w:t>
            </w:r>
          </w:p>
        </w:tc>
        <w:tc>
          <w:tcPr>
            <w:tcW w:w="543" w:type="pct"/>
            <w:tcBorders>
              <w:top w:val="nil"/>
              <w:left w:val="nil"/>
              <w:bottom w:val="nil"/>
              <w:right w:val="nil"/>
            </w:tcBorders>
            <w:shd w:val="clear" w:color="auto" w:fill="auto"/>
            <w:noWrap/>
            <w:hideMark/>
          </w:tcPr>
          <w:p w14:paraId="17304D70"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Adult</w:t>
            </w:r>
          </w:p>
        </w:tc>
        <w:tc>
          <w:tcPr>
            <w:tcW w:w="1184" w:type="pct"/>
            <w:tcBorders>
              <w:top w:val="nil"/>
              <w:left w:val="nil"/>
              <w:bottom w:val="nil"/>
              <w:right w:val="nil"/>
            </w:tcBorders>
            <w:shd w:val="clear" w:color="auto" w:fill="auto"/>
            <w:noWrap/>
            <w:hideMark/>
          </w:tcPr>
          <w:p w14:paraId="33178E0A"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incubation, brood-guard, chick-rearing, crèche, non-breeding, unknown</w:t>
            </w:r>
          </w:p>
        </w:tc>
        <w:tc>
          <w:tcPr>
            <w:tcW w:w="836" w:type="pct"/>
            <w:tcBorders>
              <w:top w:val="nil"/>
              <w:left w:val="nil"/>
              <w:bottom w:val="nil"/>
              <w:right w:val="nil"/>
            </w:tcBorders>
            <w:shd w:val="clear" w:color="auto" w:fill="auto"/>
            <w:noWrap/>
            <w:hideMark/>
          </w:tcPr>
          <w:p w14:paraId="29B0F2FF"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47</w:t>
            </w:r>
          </w:p>
        </w:tc>
      </w:tr>
      <w:tr w:rsidR="00C32426" w:rsidRPr="00FC5CA9" w14:paraId="581F7F63" w14:textId="77777777" w:rsidTr="00903A92">
        <w:trPr>
          <w:trHeight w:val="290"/>
        </w:trPr>
        <w:tc>
          <w:tcPr>
            <w:tcW w:w="812" w:type="pct"/>
            <w:tcBorders>
              <w:top w:val="nil"/>
              <w:left w:val="nil"/>
              <w:bottom w:val="nil"/>
              <w:right w:val="nil"/>
            </w:tcBorders>
            <w:shd w:val="clear" w:color="auto" w:fill="auto"/>
            <w:noWrap/>
            <w:hideMark/>
          </w:tcPr>
          <w:p w14:paraId="79C158BC" w14:textId="77777777" w:rsidR="00C32426" w:rsidRPr="00FC5CA9" w:rsidRDefault="00C32426" w:rsidP="00C2393A">
            <w:pPr>
              <w:spacing w:after="0"/>
              <w:jc w:val="left"/>
              <w:rPr>
                <w:rFonts w:eastAsia="Times New Roman"/>
                <w:color w:val="000000"/>
                <w:sz w:val="18"/>
                <w:szCs w:val="18"/>
                <w:lang w:val="en-GB" w:eastAsia="ja-JP"/>
              </w:rPr>
            </w:pPr>
            <w:r>
              <w:rPr>
                <w:rFonts w:eastAsia="Times New Roman"/>
                <w:color w:val="000000"/>
                <w:sz w:val="18"/>
                <w:szCs w:val="18"/>
                <w:lang w:eastAsia="ja-JP"/>
              </w:rPr>
              <w:t>King Penguin</w:t>
            </w:r>
          </w:p>
        </w:tc>
        <w:tc>
          <w:tcPr>
            <w:tcW w:w="1169" w:type="pct"/>
            <w:tcBorders>
              <w:top w:val="nil"/>
              <w:left w:val="nil"/>
              <w:bottom w:val="nil"/>
              <w:right w:val="nil"/>
            </w:tcBorders>
            <w:shd w:val="clear" w:color="auto" w:fill="auto"/>
            <w:noWrap/>
            <w:hideMark/>
          </w:tcPr>
          <w:p w14:paraId="09762A7F"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Hound Bay, Salisbury Plain, St. Andrews Bay</w:t>
            </w:r>
          </w:p>
        </w:tc>
        <w:tc>
          <w:tcPr>
            <w:tcW w:w="456" w:type="pct"/>
            <w:tcBorders>
              <w:top w:val="nil"/>
              <w:left w:val="nil"/>
              <w:bottom w:val="nil"/>
              <w:right w:val="nil"/>
            </w:tcBorders>
            <w:shd w:val="clear" w:color="auto" w:fill="auto"/>
            <w:noWrap/>
            <w:hideMark/>
          </w:tcPr>
          <w:p w14:paraId="154909E7"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GPS, PTT</w:t>
            </w:r>
          </w:p>
        </w:tc>
        <w:tc>
          <w:tcPr>
            <w:tcW w:w="543" w:type="pct"/>
            <w:tcBorders>
              <w:top w:val="nil"/>
              <w:left w:val="nil"/>
              <w:bottom w:val="nil"/>
              <w:right w:val="nil"/>
            </w:tcBorders>
            <w:shd w:val="clear" w:color="auto" w:fill="auto"/>
            <w:noWrap/>
            <w:hideMark/>
          </w:tcPr>
          <w:p w14:paraId="2E0DAC80"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Adult, Juvenile</w:t>
            </w:r>
          </w:p>
        </w:tc>
        <w:tc>
          <w:tcPr>
            <w:tcW w:w="1184" w:type="pct"/>
            <w:tcBorders>
              <w:top w:val="nil"/>
              <w:left w:val="nil"/>
              <w:bottom w:val="nil"/>
              <w:right w:val="nil"/>
            </w:tcBorders>
            <w:shd w:val="clear" w:color="auto" w:fill="auto"/>
            <w:noWrap/>
            <w:hideMark/>
          </w:tcPr>
          <w:p w14:paraId="5D9F6C36"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incubation, brood-guard, non-breeding, unknown</w:t>
            </w:r>
          </w:p>
        </w:tc>
        <w:tc>
          <w:tcPr>
            <w:tcW w:w="836" w:type="pct"/>
            <w:tcBorders>
              <w:top w:val="nil"/>
              <w:left w:val="nil"/>
              <w:bottom w:val="nil"/>
              <w:right w:val="nil"/>
            </w:tcBorders>
            <w:shd w:val="clear" w:color="auto" w:fill="auto"/>
            <w:noWrap/>
            <w:hideMark/>
          </w:tcPr>
          <w:p w14:paraId="480738EC"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80</w:t>
            </w:r>
          </w:p>
        </w:tc>
      </w:tr>
      <w:tr w:rsidR="00C32426" w:rsidRPr="00FC5CA9" w14:paraId="511B6A26" w14:textId="77777777" w:rsidTr="00903A92">
        <w:trPr>
          <w:trHeight w:val="290"/>
        </w:trPr>
        <w:tc>
          <w:tcPr>
            <w:tcW w:w="812" w:type="pct"/>
            <w:tcBorders>
              <w:top w:val="nil"/>
              <w:left w:val="nil"/>
              <w:bottom w:val="nil"/>
              <w:right w:val="nil"/>
            </w:tcBorders>
            <w:shd w:val="clear" w:color="auto" w:fill="auto"/>
            <w:noWrap/>
            <w:hideMark/>
          </w:tcPr>
          <w:p w14:paraId="4B66E802" w14:textId="77777777" w:rsidR="00C32426" w:rsidRPr="00FC5CA9" w:rsidRDefault="00C32426" w:rsidP="00C2393A">
            <w:pPr>
              <w:spacing w:after="0"/>
              <w:jc w:val="left"/>
              <w:rPr>
                <w:rFonts w:eastAsia="Times New Roman"/>
                <w:color w:val="000000"/>
                <w:sz w:val="18"/>
                <w:szCs w:val="18"/>
                <w:lang w:val="en-GB" w:eastAsia="ja-JP"/>
              </w:rPr>
            </w:pPr>
            <w:r>
              <w:rPr>
                <w:rFonts w:eastAsia="Times New Roman"/>
                <w:color w:val="000000"/>
                <w:sz w:val="18"/>
                <w:szCs w:val="18"/>
                <w:lang w:eastAsia="ja-JP"/>
              </w:rPr>
              <w:t>Macaroni Penguin</w:t>
            </w:r>
          </w:p>
        </w:tc>
        <w:tc>
          <w:tcPr>
            <w:tcW w:w="1169" w:type="pct"/>
            <w:tcBorders>
              <w:top w:val="nil"/>
              <w:left w:val="nil"/>
              <w:bottom w:val="nil"/>
              <w:right w:val="nil"/>
            </w:tcBorders>
            <w:shd w:val="clear" w:color="auto" w:fill="auto"/>
            <w:noWrap/>
            <w:hideMark/>
          </w:tcPr>
          <w:p w14:paraId="45DF75E9"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Fairy Point, Goldcrest Point, Mac Cwm, Rookery Bay North, Rookery Bay South, Willis Island South</w:t>
            </w:r>
          </w:p>
        </w:tc>
        <w:tc>
          <w:tcPr>
            <w:tcW w:w="456" w:type="pct"/>
            <w:tcBorders>
              <w:top w:val="nil"/>
              <w:left w:val="nil"/>
              <w:bottom w:val="nil"/>
              <w:right w:val="nil"/>
            </w:tcBorders>
            <w:shd w:val="clear" w:color="auto" w:fill="auto"/>
            <w:noWrap/>
            <w:hideMark/>
          </w:tcPr>
          <w:p w14:paraId="28BB35AD"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GPS, PTT</w:t>
            </w:r>
          </w:p>
        </w:tc>
        <w:tc>
          <w:tcPr>
            <w:tcW w:w="543" w:type="pct"/>
            <w:tcBorders>
              <w:top w:val="nil"/>
              <w:left w:val="nil"/>
              <w:bottom w:val="nil"/>
              <w:right w:val="nil"/>
            </w:tcBorders>
            <w:shd w:val="clear" w:color="auto" w:fill="auto"/>
            <w:noWrap/>
            <w:hideMark/>
          </w:tcPr>
          <w:p w14:paraId="3106F302"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Adult</w:t>
            </w:r>
          </w:p>
        </w:tc>
        <w:tc>
          <w:tcPr>
            <w:tcW w:w="1184" w:type="pct"/>
            <w:tcBorders>
              <w:top w:val="nil"/>
              <w:left w:val="nil"/>
              <w:bottom w:val="nil"/>
              <w:right w:val="nil"/>
            </w:tcBorders>
            <w:shd w:val="clear" w:color="auto" w:fill="auto"/>
            <w:noWrap/>
            <w:hideMark/>
          </w:tcPr>
          <w:p w14:paraId="72A5604D"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incubation, brood-guard, chick-rearing, crèche, non-breeding, pre-moult, fail (breeding season)</w:t>
            </w:r>
          </w:p>
        </w:tc>
        <w:tc>
          <w:tcPr>
            <w:tcW w:w="836" w:type="pct"/>
            <w:tcBorders>
              <w:top w:val="nil"/>
              <w:left w:val="nil"/>
              <w:bottom w:val="nil"/>
              <w:right w:val="nil"/>
            </w:tcBorders>
            <w:shd w:val="clear" w:color="auto" w:fill="auto"/>
            <w:noWrap/>
            <w:hideMark/>
          </w:tcPr>
          <w:p w14:paraId="4D6C5C3D"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398</w:t>
            </w:r>
          </w:p>
        </w:tc>
      </w:tr>
      <w:tr w:rsidR="00C32426" w:rsidRPr="00FC5CA9" w14:paraId="0D053941" w14:textId="77777777" w:rsidTr="00903A92">
        <w:trPr>
          <w:trHeight w:val="290"/>
        </w:trPr>
        <w:tc>
          <w:tcPr>
            <w:tcW w:w="812" w:type="pct"/>
            <w:tcBorders>
              <w:top w:val="nil"/>
              <w:left w:val="nil"/>
              <w:bottom w:val="nil"/>
              <w:right w:val="nil"/>
            </w:tcBorders>
            <w:shd w:val="clear" w:color="auto" w:fill="auto"/>
            <w:noWrap/>
            <w:hideMark/>
          </w:tcPr>
          <w:p w14:paraId="23C4136A" w14:textId="77777777" w:rsidR="00C32426" w:rsidRPr="00FC5CA9" w:rsidRDefault="00C32426" w:rsidP="00C2393A">
            <w:pPr>
              <w:spacing w:after="0"/>
              <w:jc w:val="left"/>
              <w:rPr>
                <w:rFonts w:eastAsia="Times New Roman"/>
                <w:color w:val="000000"/>
                <w:sz w:val="18"/>
                <w:szCs w:val="18"/>
                <w:lang w:val="en-GB" w:eastAsia="ja-JP"/>
              </w:rPr>
            </w:pPr>
            <w:r>
              <w:rPr>
                <w:rFonts w:eastAsia="Times New Roman"/>
                <w:color w:val="000000"/>
                <w:sz w:val="18"/>
                <w:szCs w:val="18"/>
                <w:lang w:eastAsia="ja-JP"/>
              </w:rPr>
              <w:t>Antarctic Fur Seal</w:t>
            </w:r>
          </w:p>
        </w:tc>
        <w:tc>
          <w:tcPr>
            <w:tcW w:w="1169" w:type="pct"/>
            <w:tcBorders>
              <w:top w:val="nil"/>
              <w:left w:val="nil"/>
              <w:bottom w:val="nil"/>
              <w:right w:val="nil"/>
            </w:tcBorders>
            <w:shd w:val="clear" w:color="auto" w:fill="auto"/>
            <w:noWrap/>
            <w:hideMark/>
          </w:tcPr>
          <w:p w14:paraId="34299AA8"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Bird Island, Husvik (Stromness Bay)</w:t>
            </w:r>
          </w:p>
        </w:tc>
        <w:tc>
          <w:tcPr>
            <w:tcW w:w="456" w:type="pct"/>
            <w:tcBorders>
              <w:top w:val="nil"/>
              <w:left w:val="nil"/>
              <w:bottom w:val="nil"/>
              <w:right w:val="nil"/>
            </w:tcBorders>
            <w:shd w:val="clear" w:color="auto" w:fill="auto"/>
            <w:noWrap/>
            <w:hideMark/>
          </w:tcPr>
          <w:p w14:paraId="3B1EEE02"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PTT</w:t>
            </w:r>
          </w:p>
        </w:tc>
        <w:tc>
          <w:tcPr>
            <w:tcW w:w="543" w:type="pct"/>
            <w:tcBorders>
              <w:top w:val="nil"/>
              <w:left w:val="nil"/>
              <w:bottom w:val="nil"/>
              <w:right w:val="nil"/>
            </w:tcBorders>
            <w:shd w:val="clear" w:color="auto" w:fill="auto"/>
            <w:noWrap/>
            <w:hideMark/>
          </w:tcPr>
          <w:p w14:paraId="2C9D8770"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Adult</w:t>
            </w:r>
          </w:p>
        </w:tc>
        <w:tc>
          <w:tcPr>
            <w:tcW w:w="1184" w:type="pct"/>
            <w:tcBorders>
              <w:top w:val="nil"/>
              <w:left w:val="nil"/>
              <w:bottom w:val="nil"/>
              <w:right w:val="nil"/>
            </w:tcBorders>
            <w:shd w:val="clear" w:color="auto" w:fill="auto"/>
            <w:noWrap/>
            <w:hideMark/>
          </w:tcPr>
          <w:p w14:paraId="32619CD2"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breeding, post-breeding</w:t>
            </w:r>
          </w:p>
        </w:tc>
        <w:tc>
          <w:tcPr>
            <w:tcW w:w="836" w:type="pct"/>
            <w:tcBorders>
              <w:top w:val="nil"/>
              <w:left w:val="nil"/>
              <w:bottom w:val="nil"/>
              <w:right w:val="nil"/>
            </w:tcBorders>
            <w:shd w:val="clear" w:color="auto" w:fill="auto"/>
            <w:noWrap/>
            <w:hideMark/>
          </w:tcPr>
          <w:p w14:paraId="65C9E28D"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153</w:t>
            </w:r>
          </w:p>
        </w:tc>
      </w:tr>
      <w:tr w:rsidR="00C32426" w:rsidRPr="00FC5CA9" w14:paraId="3370F973" w14:textId="77777777" w:rsidTr="00903A92">
        <w:trPr>
          <w:trHeight w:val="290"/>
        </w:trPr>
        <w:tc>
          <w:tcPr>
            <w:tcW w:w="812" w:type="pct"/>
            <w:tcBorders>
              <w:top w:val="nil"/>
              <w:left w:val="nil"/>
              <w:bottom w:val="single" w:sz="4" w:space="0" w:color="auto"/>
              <w:right w:val="nil"/>
            </w:tcBorders>
            <w:shd w:val="clear" w:color="auto" w:fill="auto"/>
            <w:noWrap/>
            <w:hideMark/>
          </w:tcPr>
          <w:p w14:paraId="1C723A06" w14:textId="655F7DF6" w:rsidR="00C32426" w:rsidRPr="00FC5CA9" w:rsidRDefault="00C32426" w:rsidP="00C2393A">
            <w:pPr>
              <w:spacing w:after="0"/>
              <w:jc w:val="left"/>
              <w:rPr>
                <w:rFonts w:eastAsia="Times New Roman"/>
                <w:color w:val="000000"/>
                <w:sz w:val="18"/>
                <w:szCs w:val="18"/>
                <w:lang w:val="en-GB" w:eastAsia="ja-JP"/>
              </w:rPr>
            </w:pPr>
            <w:r>
              <w:rPr>
                <w:rFonts w:eastAsia="Times New Roman"/>
                <w:color w:val="000000"/>
                <w:sz w:val="18"/>
                <w:szCs w:val="18"/>
                <w:lang w:eastAsia="ja-JP"/>
              </w:rPr>
              <w:t>Southern Elephant Seal</w:t>
            </w:r>
            <w:r w:rsidR="00903A92">
              <w:rPr>
                <w:rFonts w:eastAsia="Times New Roman"/>
                <w:color w:val="000000"/>
                <w:sz w:val="18"/>
                <w:szCs w:val="18"/>
                <w:lang w:eastAsia="ja-JP"/>
              </w:rPr>
              <w:t>*</w:t>
            </w:r>
          </w:p>
        </w:tc>
        <w:tc>
          <w:tcPr>
            <w:tcW w:w="1169" w:type="pct"/>
            <w:tcBorders>
              <w:top w:val="nil"/>
              <w:left w:val="nil"/>
              <w:bottom w:val="single" w:sz="4" w:space="0" w:color="auto"/>
              <w:right w:val="nil"/>
            </w:tcBorders>
            <w:shd w:val="clear" w:color="auto" w:fill="auto"/>
            <w:noWrap/>
            <w:hideMark/>
          </w:tcPr>
          <w:p w14:paraId="6528AFA0"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Stromness Bay, Hound Bay</w:t>
            </w:r>
          </w:p>
        </w:tc>
        <w:tc>
          <w:tcPr>
            <w:tcW w:w="456" w:type="pct"/>
            <w:tcBorders>
              <w:top w:val="nil"/>
              <w:left w:val="nil"/>
              <w:bottom w:val="single" w:sz="4" w:space="0" w:color="auto"/>
              <w:right w:val="nil"/>
            </w:tcBorders>
            <w:shd w:val="clear" w:color="auto" w:fill="auto"/>
            <w:noWrap/>
            <w:hideMark/>
          </w:tcPr>
          <w:p w14:paraId="64E676D9"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PTT</w:t>
            </w:r>
          </w:p>
        </w:tc>
        <w:tc>
          <w:tcPr>
            <w:tcW w:w="543" w:type="pct"/>
            <w:tcBorders>
              <w:top w:val="nil"/>
              <w:left w:val="nil"/>
              <w:bottom w:val="single" w:sz="4" w:space="0" w:color="auto"/>
              <w:right w:val="nil"/>
            </w:tcBorders>
            <w:shd w:val="clear" w:color="auto" w:fill="auto"/>
            <w:noWrap/>
            <w:hideMark/>
          </w:tcPr>
          <w:p w14:paraId="786A47FB"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Adult, Sub-adult</w:t>
            </w:r>
          </w:p>
        </w:tc>
        <w:tc>
          <w:tcPr>
            <w:tcW w:w="1184" w:type="pct"/>
            <w:tcBorders>
              <w:top w:val="nil"/>
              <w:left w:val="nil"/>
              <w:bottom w:val="single" w:sz="4" w:space="0" w:color="auto"/>
              <w:right w:val="nil"/>
            </w:tcBorders>
            <w:shd w:val="clear" w:color="auto" w:fill="auto"/>
            <w:noWrap/>
            <w:hideMark/>
          </w:tcPr>
          <w:p w14:paraId="205870A1"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non-breeding, post-moult</w:t>
            </w:r>
          </w:p>
        </w:tc>
        <w:tc>
          <w:tcPr>
            <w:tcW w:w="836" w:type="pct"/>
            <w:tcBorders>
              <w:top w:val="nil"/>
              <w:left w:val="nil"/>
              <w:bottom w:val="single" w:sz="4" w:space="0" w:color="auto"/>
              <w:right w:val="nil"/>
            </w:tcBorders>
            <w:shd w:val="clear" w:color="auto" w:fill="auto"/>
            <w:noWrap/>
            <w:hideMark/>
          </w:tcPr>
          <w:p w14:paraId="7BE5A17C" w14:textId="77777777" w:rsidR="00C32426" w:rsidRPr="00FC5CA9" w:rsidRDefault="00C32426" w:rsidP="00C2393A">
            <w:pPr>
              <w:spacing w:after="0"/>
              <w:jc w:val="left"/>
              <w:rPr>
                <w:rFonts w:eastAsia="Times New Roman"/>
                <w:color w:val="000000"/>
                <w:sz w:val="18"/>
                <w:szCs w:val="18"/>
                <w:lang w:val="en-GB" w:eastAsia="ja-JP"/>
              </w:rPr>
            </w:pPr>
            <w:r w:rsidRPr="00FC5CA9">
              <w:rPr>
                <w:rFonts w:eastAsia="Times New Roman"/>
                <w:color w:val="000000"/>
                <w:sz w:val="18"/>
                <w:szCs w:val="18"/>
                <w:lang w:eastAsia="ja-JP"/>
              </w:rPr>
              <w:t>51</w:t>
            </w:r>
          </w:p>
        </w:tc>
      </w:tr>
    </w:tbl>
    <w:p w14:paraId="101E7DBB" w14:textId="77777777" w:rsidR="00C32426" w:rsidRPr="003055F2" w:rsidRDefault="00C32426" w:rsidP="00C32426">
      <w:pPr>
        <w:rPr>
          <w:lang w:val="en-GB"/>
        </w:rPr>
        <w:sectPr w:rsidR="00C32426" w:rsidRPr="003055F2" w:rsidSect="00F67A04">
          <w:pgSz w:w="16838" w:h="11906" w:orient="landscape"/>
          <w:pgMar w:top="1440" w:right="1440" w:bottom="1440" w:left="1440" w:header="708" w:footer="708" w:gutter="0"/>
          <w:lnNumType w:countBy="1" w:restart="continuous"/>
          <w:cols w:space="708"/>
          <w:docGrid w:linePitch="360"/>
        </w:sectPr>
      </w:pPr>
    </w:p>
    <w:p w14:paraId="0AB2C0A5" w14:textId="77777777" w:rsidR="00846E66" w:rsidRDefault="00846E66" w:rsidP="00846E66">
      <w:r w:rsidRPr="003848F5">
        <w:lastRenderedPageBreak/>
        <w:t>Table 3: Overview of key fisheries within the South Georgia and the South Sandwich Islands</w:t>
      </w:r>
      <w:r>
        <w:t xml:space="preserve"> MPA (management regime as of December 2018), and species with potential for interaction. </w:t>
      </w:r>
    </w:p>
    <w:tbl>
      <w:tblPr>
        <w:tblW w:w="0" w:type="auto"/>
        <w:tblLayout w:type="fixed"/>
        <w:tblLook w:val="04A0" w:firstRow="1" w:lastRow="0" w:firstColumn="1" w:lastColumn="0" w:noHBand="0" w:noVBand="1"/>
      </w:tblPr>
      <w:tblGrid>
        <w:gridCol w:w="1701"/>
        <w:gridCol w:w="2268"/>
        <w:gridCol w:w="2410"/>
        <w:gridCol w:w="2647"/>
      </w:tblGrid>
      <w:tr w:rsidR="00846E66" w14:paraId="270E589D" w14:textId="77777777" w:rsidTr="00C2393A">
        <w:trPr>
          <w:trHeight w:val="300"/>
        </w:trPr>
        <w:tc>
          <w:tcPr>
            <w:tcW w:w="1701" w:type="dxa"/>
            <w:tcBorders>
              <w:top w:val="single" w:sz="4" w:space="0" w:color="auto"/>
              <w:left w:val="nil"/>
              <w:bottom w:val="single" w:sz="4" w:space="0" w:color="auto"/>
              <w:right w:val="nil"/>
            </w:tcBorders>
            <w:noWrap/>
            <w:hideMark/>
          </w:tcPr>
          <w:p w14:paraId="06953F67"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 </w:t>
            </w:r>
          </w:p>
        </w:tc>
        <w:tc>
          <w:tcPr>
            <w:tcW w:w="2268" w:type="dxa"/>
            <w:tcBorders>
              <w:top w:val="single" w:sz="4" w:space="0" w:color="auto"/>
              <w:left w:val="nil"/>
              <w:bottom w:val="single" w:sz="4" w:space="0" w:color="auto"/>
              <w:right w:val="nil"/>
            </w:tcBorders>
            <w:noWrap/>
            <w:hideMark/>
          </w:tcPr>
          <w:p w14:paraId="26AE1482" w14:textId="77777777" w:rsidR="00846E66" w:rsidRDefault="00846E66" w:rsidP="00C2393A">
            <w:pPr>
              <w:spacing w:after="0" w:line="240" w:lineRule="auto"/>
              <w:jc w:val="left"/>
              <w:rPr>
                <w:b/>
                <w:color w:val="000000"/>
                <w:sz w:val="16"/>
                <w:lang w:val="en-GB"/>
              </w:rPr>
            </w:pPr>
            <w:r>
              <w:rPr>
                <w:b/>
                <w:color w:val="000000"/>
                <w:sz w:val="16"/>
                <w:lang w:val="en-GB"/>
              </w:rPr>
              <w:t>Krill fishery</w:t>
            </w:r>
          </w:p>
        </w:tc>
        <w:tc>
          <w:tcPr>
            <w:tcW w:w="2410" w:type="dxa"/>
            <w:tcBorders>
              <w:top w:val="single" w:sz="4" w:space="0" w:color="auto"/>
              <w:left w:val="nil"/>
              <w:bottom w:val="single" w:sz="4" w:space="0" w:color="auto"/>
              <w:right w:val="nil"/>
            </w:tcBorders>
            <w:noWrap/>
            <w:hideMark/>
          </w:tcPr>
          <w:p w14:paraId="7F557AA4" w14:textId="77777777" w:rsidR="00846E66" w:rsidRDefault="00846E66" w:rsidP="00C2393A">
            <w:pPr>
              <w:spacing w:after="0" w:line="240" w:lineRule="auto"/>
              <w:jc w:val="left"/>
              <w:rPr>
                <w:b/>
                <w:color w:val="000000"/>
                <w:sz w:val="16"/>
                <w:lang w:val="en-GB"/>
              </w:rPr>
            </w:pPr>
            <w:r>
              <w:rPr>
                <w:b/>
                <w:color w:val="000000"/>
                <w:sz w:val="16"/>
                <w:lang w:val="en-GB"/>
              </w:rPr>
              <w:t>Demersal longline fishery</w:t>
            </w:r>
          </w:p>
        </w:tc>
        <w:tc>
          <w:tcPr>
            <w:tcW w:w="2647" w:type="dxa"/>
            <w:tcBorders>
              <w:top w:val="single" w:sz="4" w:space="0" w:color="auto"/>
              <w:left w:val="nil"/>
              <w:bottom w:val="single" w:sz="4" w:space="0" w:color="auto"/>
              <w:right w:val="nil"/>
            </w:tcBorders>
            <w:noWrap/>
            <w:hideMark/>
          </w:tcPr>
          <w:p w14:paraId="0D4EE75B" w14:textId="77777777" w:rsidR="00846E66" w:rsidRDefault="00846E66" w:rsidP="00C2393A">
            <w:pPr>
              <w:spacing w:after="0" w:line="240" w:lineRule="auto"/>
              <w:jc w:val="left"/>
              <w:rPr>
                <w:b/>
                <w:color w:val="000000"/>
                <w:sz w:val="16"/>
                <w:lang w:val="en-GB"/>
              </w:rPr>
            </w:pPr>
            <w:r>
              <w:rPr>
                <w:b/>
                <w:color w:val="000000"/>
                <w:sz w:val="16"/>
                <w:lang w:val="en-GB"/>
              </w:rPr>
              <w:t>Pelagic trawl fishery</w:t>
            </w:r>
          </w:p>
        </w:tc>
      </w:tr>
      <w:tr w:rsidR="00846E66" w14:paraId="5B1C25E9" w14:textId="77777777" w:rsidTr="00C2393A">
        <w:trPr>
          <w:trHeight w:val="600"/>
        </w:trPr>
        <w:tc>
          <w:tcPr>
            <w:tcW w:w="1701" w:type="dxa"/>
            <w:noWrap/>
            <w:hideMark/>
          </w:tcPr>
          <w:p w14:paraId="6C6A4E9B" w14:textId="77777777" w:rsidR="00846E66" w:rsidRDefault="00846E66" w:rsidP="00C2393A">
            <w:pPr>
              <w:spacing w:after="0" w:line="240" w:lineRule="auto"/>
              <w:jc w:val="left"/>
              <w:rPr>
                <w:b/>
                <w:color w:val="000000"/>
                <w:sz w:val="16"/>
                <w:lang w:val="en-GB"/>
              </w:rPr>
            </w:pPr>
            <w:r>
              <w:rPr>
                <w:b/>
                <w:color w:val="000000"/>
                <w:sz w:val="16"/>
                <w:lang w:val="en-GB"/>
              </w:rPr>
              <w:t>Target species</w:t>
            </w:r>
          </w:p>
        </w:tc>
        <w:tc>
          <w:tcPr>
            <w:tcW w:w="2268" w:type="dxa"/>
            <w:noWrap/>
            <w:hideMark/>
          </w:tcPr>
          <w:p w14:paraId="45568CC4"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 xml:space="preserve">Antarctic krill </w:t>
            </w:r>
          </w:p>
        </w:tc>
        <w:tc>
          <w:tcPr>
            <w:tcW w:w="2410" w:type="dxa"/>
          </w:tcPr>
          <w:p w14:paraId="246309CE"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Patagonian toothfish </w:t>
            </w:r>
            <w:r>
              <w:rPr>
                <w:rFonts w:eastAsia="Times New Roman"/>
                <w:color w:val="000000"/>
                <w:sz w:val="16"/>
                <w:szCs w:val="16"/>
                <w:lang w:eastAsia="en-GB"/>
              </w:rPr>
              <w:br/>
              <w:t>Antarctic toothfish</w:t>
            </w:r>
          </w:p>
        </w:tc>
        <w:tc>
          <w:tcPr>
            <w:tcW w:w="2647" w:type="dxa"/>
            <w:noWrap/>
            <w:hideMark/>
          </w:tcPr>
          <w:p w14:paraId="067BEC12"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Mackerel Icefish</w:t>
            </w:r>
          </w:p>
        </w:tc>
      </w:tr>
      <w:tr w:rsidR="00846E66" w14:paraId="36DFF9EB" w14:textId="77777777" w:rsidTr="00C2393A">
        <w:trPr>
          <w:trHeight w:val="600"/>
        </w:trPr>
        <w:tc>
          <w:tcPr>
            <w:tcW w:w="1701" w:type="dxa"/>
            <w:noWrap/>
            <w:hideMark/>
          </w:tcPr>
          <w:p w14:paraId="61E73E66" w14:textId="77777777" w:rsidR="00846E66" w:rsidRDefault="00846E66" w:rsidP="00C2393A">
            <w:pPr>
              <w:spacing w:after="0" w:line="240" w:lineRule="auto"/>
              <w:jc w:val="left"/>
              <w:rPr>
                <w:b/>
                <w:color w:val="000000"/>
                <w:sz w:val="16"/>
                <w:lang w:val="en-GB"/>
              </w:rPr>
            </w:pPr>
            <w:r>
              <w:rPr>
                <w:b/>
                <w:color w:val="000000"/>
                <w:sz w:val="16"/>
                <w:lang w:val="en-GB"/>
              </w:rPr>
              <w:t>Open season</w:t>
            </w:r>
          </w:p>
        </w:tc>
        <w:tc>
          <w:tcPr>
            <w:tcW w:w="2268" w:type="dxa"/>
            <w:noWrap/>
            <w:hideMark/>
          </w:tcPr>
          <w:p w14:paraId="7F51B853" w14:textId="252996F5" w:rsidR="00846E66" w:rsidRPr="00B11D6F" w:rsidRDefault="00846E66" w:rsidP="00C2393A">
            <w:pPr>
              <w:spacing w:after="0" w:line="240" w:lineRule="auto"/>
              <w:jc w:val="left"/>
              <w:rPr>
                <w:rFonts w:eastAsia="Times New Roman"/>
                <w:color w:val="000000"/>
                <w:sz w:val="16"/>
                <w:szCs w:val="16"/>
                <w:vertAlign w:val="superscript"/>
                <w:lang w:val="en-GB" w:eastAsia="en-GB"/>
              </w:rPr>
            </w:pPr>
            <w:r>
              <w:rPr>
                <w:rFonts w:eastAsia="Times New Roman"/>
                <w:color w:val="000000"/>
                <w:sz w:val="16"/>
                <w:szCs w:val="16"/>
                <w:lang w:val="en-GB" w:eastAsia="en-GB"/>
              </w:rPr>
              <w:t>1 May - 30 September</w:t>
            </w:r>
            <w:r w:rsidR="00B11D6F">
              <w:rPr>
                <w:rFonts w:eastAsia="Times New Roman"/>
                <w:color w:val="000000"/>
                <w:sz w:val="16"/>
                <w:szCs w:val="16"/>
                <w:vertAlign w:val="superscript"/>
                <w:lang w:val="en-GB" w:eastAsia="en-GB"/>
              </w:rPr>
              <w:t>A</w:t>
            </w:r>
          </w:p>
        </w:tc>
        <w:tc>
          <w:tcPr>
            <w:tcW w:w="2410" w:type="dxa"/>
            <w:hideMark/>
          </w:tcPr>
          <w:p w14:paraId="7D195038" w14:textId="4124702F" w:rsidR="00846E66" w:rsidRPr="00B11D6F" w:rsidRDefault="00846E66" w:rsidP="00C2393A">
            <w:pPr>
              <w:spacing w:after="0" w:line="240" w:lineRule="auto"/>
              <w:jc w:val="left"/>
              <w:rPr>
                <w:rFonts w:eastAsia="Times New Roman"/>
                <w:color w:val="000000"/>
                <w:sz w:val="16"/>
                <w:szCs w:val="16"/>
                <w:vertAlign w:val="superscript"/>
                <w:lang w:val="en-GB" w:eastAsia="en-GB"/>
              </w:rPr>
            </w:pPr>
            <w:r>
              <w:rPr>
                <w:rFonts w:eastAsia="Times New Roman"/>
                <w:color w:val="000000"/>
                <w:sz w:val="16"/>
                <w:szCs w:val="16"/>
                <w:lang w:val="en-GB" w:eastAsia="en-GB"/>
              </w:rPr>
              <w:t>16 April - 31 August (SG)</w:t>
            </w:r>
            <w:r>
              <w:rPr>
                <w:rFonts w:eastAsia="Times New Roman"/>
                <w:color w:val="000000"/>
                <w:sz w:val="16"/>
                <w:szCs w:val="16"/>
                <w:lang w:val="en-GB" w:eastAsia="en-GB"/>
              </w:rPr>
              <w:br/>
              <w:t>1 February - 30 November (SSI)</w:t>
            </w:r>
            <w:r w:rsidR="00B11D6F">
              <w:rPr>
                <w:rFonts w:eastAsia="Times New Roman"/>
                <w:color w:val="000000"/>
                <w:sz w:val="16"/>
                <w:szCs w:val="16"/>
                <w:vertAlign w:val="superscript"/>
                <w:lang w:val="en-GB" w:eastAsia="en-GB"/>
              </w:rPr>
              <w:t>A</w:t>
            </w:r>
          </w:p>
        </w:tc>
        <w:tc>
          <w:tcPr>
            <w:tcW w:w="2647" w:type="dxa"/>
            <w:hideMark/>
          </w:tcPr>
          <w:p w14:paraId="4F276F27"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Year round</w:t>
            </w:r>
            <w:r>
              <w:rPr>
                <w:rFonts w:eastAsia="Times New Roman"/>
                <w:color w:val="000000"/>
                <w:sz w:val="16"/>
                <w:szCs w:val="16"/>
                <w:lang w:val="en-GB" w:eastAsia="en-GB"/>
              </w:rPr>
              <w:br/>
              <w:t>(stock dependent)</w:t>
            </w:r>
          </w:p>
        </w:tc>
      </w:tr>
      <w:tr w:rsidR="00846E66" w14:paraId="3CAB61B4" w14:textId="77777777" w:rsidTr="00C2393A">
        <w:trPr>
          <w:trHeight w:val="900"/>
        </w:trPr>
        <w:tc>
          <w:tcPr>
            <w:tcW w:w="1701" w:type="dxa"/>
            <w:noWrap/>
            <w:hideMark/>
          </w:tcPr>
          <w:p w14:paraId="4983828A" w14:textId="77777777" w:rsidR="00846E66" w:rsidRDefault="00846E66" w:rsidP="00C2393A">
            <w:pPr>
              <w:spacing w:after="0" w:line="240" w:lineRule="auto"/>
              <w:jc w:val="left"/>
              <w:rPr>
                <w:b/>
                <w:color w:val="000000"/>
                <w:sz w:val="16"/>
                <w:lang w:val="en-GB"/>
              </w:rPr>
            </w:pPr>
            <w:r>
              <w:rPr>
                <w:b/>
                <w:color w:val="000000"/>
                <w:sz w:val="16"/>
                <w:lang w:val="en-GB"/>
              </w:rPr>
              <w:t>Gear</w:t>
            </w:r>
          </w:p>
        </w:tc>
        <w:tc>
          <w:tcPr>
            <w:tcW w:w="2268" w:type="dxa"/>
            <w:hideMark/>
          </w:tcPr>
          <w:p w14:paraId="5533BDA0"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Pelagic trawls typically in upper 200m</w:t>
            </w:r>
          </w:p>
        </w:tc>
        <w:tc>
          <w:tcPr>
            <w:tcW w:w="2410" w:type="dxa"/>
            <w:hideMark/>
          </w:tcPr>
          <w:p w14:paraId="3CFE86A1"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 xml:space="preserve">Baited demersal longlines. </w:t>
            </w:r>
            <w:r>
              <w:rPr>
                <w:rFonts w:eastAsia="Times New Roman"/>
                <w:color w:val="000000"/>
                <w:sz w:val="16"/>
                <w:szCs w:val="16"/>
                <w:lang w:val="en-GB" w:eastAsia="en-GB"/>
              </w:rPr>
              <w:br/>
              <w:t>Only Spanish or autoline system permitted</w:t>
            </w:r>
          </w:p>
        </w:tc>
        <w:tc>
          <w:tcPr>
            <w:tcW w:w="2647" w:type="dxa"/>
            <w:hideMark/>
          </w:tcPr>
          <w:p w14:paraId="0B7FB0B9"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Pelagic trawls typically over continental shelf.</w:t>
            </w:r>
            <w:r>
              <w:rPr>
                <w:rFonts w:eastAsia="Times New Roman"/>
                <w:color w:val="000000"/>
                <w:sz w:val="16"/>
                <w:szCs w:val="16"/>
                <w:lang w:val="en-GB" w:eastAsia="en-GB"/>
              </w:rPr>
              <w:br/>
              <w:t>Minimum mesh size, 90mm.</w:t>
            </w:r>
          </w:p>
        </w:tc>
      </w:tr>
      <w:tr w:rsidR="00846E66" w14:paraId="25368FB0" w14:textId="77777777" w:rsidTr="00C2393A">
        <w:trPr>
          <w:trHeight w:val="900"/>
        </w:trPr>
        <w:tc>
          <w:tcPr>
            <w:tcW w:w="1701" w:type="dxa"/>
            <w:noWrap/>
            <w:hideMark/>
          </w:tcPr>
          <w:p w14:paraId="15D00E96" w14:textId="77777777" w:rsidR="00846E66" w:rsidRDefault="00846E66" w:rsidP="00C2393A">
            <w:pPr>
              <w:spacing w:after="0" w:line="240" w:lineRule="auto"/>
              <w:jc w:val="left"/>
              <w:rPr>
                <w:b/>
                <w:color w:val="000000"/>
                <w:sz w:val="16"/>
                <w:lang w:val="en-GB"/>
              </w:rPr>
            </w:pPr>
            <w:r>
              <w:rPr>
                <w:b/>
                <w:color w:val="000000"/>
                <w:sz w:val="16"/>
                <w:lang w:val="en-GB"/>
              </w:rPr>
              <w:t>Restrictions</w:t>
            </w:r>
          </w:p>
        </w:tc>
        <w:tc>
          <w:tcPr>
            <w:tcW w:w="2268" w:type="dxa"/>
            <w:hideMark/>
          </w:tcPr>
          <w:p w14:paraId="69CC3BF3"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No take zone (30km SG, 50km SSI)</w:t>
            </w:r>
            <w:r>
              <w:rPr>
                <w:rFonts w:eastAsia="Times New Roman"/>
                <w:color w:val="000000"/>
                <w:sz w:val="16"/>
                <w:szCs w:val="16"/>
                <w:lang w:val="en-GB" w:eastAsia="en-GB"/>
              </w:rPr>
              <w:br/>
              <w:t>Ban on all bottom trawling</w:t>
            </w:r>
          </w:p>
        </w:tc>
        <w:tc>
          <w:tcPr>
            <w:tcW w:w="2410" w:type="dxa"/>
          </w:tcPr>
          <w:p w14:paraId="5B24C09A"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No take zone (30km SG, regulated by depth around SSI)</w:t>
            </w:r>
            <w:r>
              <w:rPr>
                <w:rFonts w:eastAsia="Times New Roman"/>
                <w:color w:val="000000"/>
                <w:sz w:val="16"/>
                <w:szCs w:val="16"/>
                <w:lang w:val="en-GB" w:eastAsia="en-GB"/>
              </w:rPr>
              <w:br/>
              <w:t>Fishing only at depths: 700-2250m*</w:t>
            </w:r>
            <w:r>
              <w:rPr>
                <w:rFonts w:eastAsia="Times New Roman"/>
                <w:color w:val="000000"/>
                <w:sz w:val="16"/>
                <w:szCs w:val="16"/>
                <w:lang w:val="en-GB" w:eastAsia="en-GB"/>
              </w:rPr>
              <w:br/>
              <w:t>*Excl. benthic closed areas</w:t>
            </w:r>
          </w:p>
          <w:p w14:paraId="2BFDC04B" w14:textId="77777777" w:rsidR="00846E66" w:rsidRDefault="00846E66" w:rsidP="00C2393A">
            <w:pPr>
              <w:spacing w:after="0" w:line="240" w:lineRule="auto"/>
              <w:jc w:val="left"/>
              <w:rPr>
                <w:rFonts w:eastAsia="Times New Roman"/>
                <w:color w:val="000000"/>
                <w:sz w:val="16"/>
                <w:szCs w:val="16"/>
                <w:lang w:val="en-GB" w:eastAsia="en-GB"/>
              </w:rPr>
            </w:pPr>
          </w:p>
        </w:tc>
        <w:tc>
          <w:tcPr>
            <w:tcW w:w="2647" w:type="dxa"/>
            <w:hideMark/>
          </w:tcPr>
          <w:p w14:paraId="40C6C9C0"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No take zone (30km SG, 50km SSI)</w:t>
            </w:r>
            <w:r>
              <w:rPr>
                <w:rFonts w:eastAsia="Times New Roman"/>
                <w:color w:val="000000"/>
                <w:sz w:val="16"/>
                <w:szCs w:val="16"/>
                <w:lang w:val="en-GB" w:eastAsia="en-GB"/>
              </w:rPr>
              <w:br/>
              <w:t>Ban on all bottom trawling</w:t>
            </w:r>
          </w:p>
        </w:tc>
      </w:tr>
      <w:tr w:rsidR="00846E66" w14:paraId="40032DC6" w14:textId="77777777" w:rsidTr="00C2393A">
        <w:trPr>
          <w:trHeight w:val="1800"/>
        </w:trPr>
        <w:tc>
          <w:tcPr>
            <w:tcW w:w="1701" w:type="dxa"/>
            <w:noWrap/>
            <w:hideMark/>
          </w:tcPr>
          <w:p w14:paraId="39330A9C" w14:textId="77777777" w:rsidR="00846E66" w:rsidRDefault="00846E66" w:rsidP="00C2393A">
            <w:pPr>
              <w:spacing w:after="0" w:line="240" w:lineRule="auto"/>
              <w:jc w:val="left"/>
              <w:rPr>
                <w:b/>
                <w:color w:val="000000"/>
                <w:sz w:val="16"/>
                <w:lang w:val="en-GB"/>
              </w:rPr>
            </w:pPr>
            <w:r>
              <w:rPr>
                <w:b/>
                <w:color w:val="000000"/>
                <w:sz w:val="16"/>
                <w:lang w:val="en-GB"/>
              </w:rPr>
              <w:t>Bycatch mitigation</w:t>
            </w:r>
          </w:p>
        </w:tc>
        <w:tc>
          <w:tcPr>
            <w:tcW w:w="2268" w:type="dxa"/>
            <w:noWrap/>
            <w:hideMark/>
          </w:tcPr>
          <w:p w14:paraId="762ADAEF"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Escape panels (seals)</w:t>
            </w:r>
          </w:p>
        </w:tc>
        <w:tc>
          <w:tcPr>
            <w:tcW w:w="2410" w:type="dxa"/>
            <w:hideMark/>
          </w:tcPr>
          <w:p w14:paraId="651E01FA"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Night setting only</w:t>
            </w:r>
            <w:r>
              <w:rPr>
                <w:rFonts w:eastAsia="Times New Roman"/>
                <w:color w:val="000000"/>
                <w:sz w:val="16"/>
                <w:szCs w:val="16"/>
                <w:lang w:val="en-GB" w:eastAsia="en-GB"/>
              </w:rPr>
              <w:br/>
              <w:t>Line weighting</w:t>
            </w:r>
            <w:r>
              <w:rPr>
                <w:rFonts w:eastAsia="Times New Roman"/>
                <w:color w:val="000000"/>
                <w:sz w:val="16"/>
                <w:szCs w:val="16"/>
                <w:lang w:val="en-GB" w:eastAsia="en-GB"/>
              </w:rPr>
              <w:br/>
              <w:t>Streamer/Tori lines</w:t>
            </w:r>
            <w:r>
              <w:rPr>
                <w:rFonts w:eastAsia="Times New Roman"/>
                <w:color w:val="000000"/>
                <w:sz w:val="16"/>
                <w:szCs w:val="16"/>
                <w:lang w:val="en-GB" w:eastAsia="en-GB"/>
              </w:rPr>
              <w:br/>
              <w:t>Prohibition of offal discharge during setting</w:t>
            </w:r>
            <w:r>
              <w:rPr>
                <w:rFonts w:eastAsia="Times New Roman"/>
                <w:color w:val="000000"/>
                <w:sz w:val="16"/>
                <w:szCs w:val="16"/>
                <w:lang w:val="en-GB" w:eastAsia="en-GB"/>
              </w:rPr>
              <w:br/>
              <w:t>Vessel-specific marked hooks</w:t>
            </w:r>
          </w:p>
        </w:tc>
        <w:tc>
          <w:tcPr>
            <w:tcW w:w="2647" w:type="dxa"/>
            <w:hideMark/>
          </w:tcPr>
          <w:p w14:paraId="4B3EB71A" w14:textId="33122592"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During shooting operations:</w:t>
            </w:r>
            <w:r>
              <w:rPr>
                <w:rFonts w:eastAsia="Times New Roman"/>
                <w:color w:val="000000"/>
                <w:sz w:val="16"/>
                <w:szCs w:val="16"/>
                <w:lang w:val="en-GB" w:eastAsia="en-GB"/>
              </w:rPr>
              <w:br/>
              <w:t>- net cleaning</w:t>
            </w:r>
            <w:r>
              <w:rPr>
                <w:rFonts w:eastAsia="Times New Roman"/>
                <w:color w:val="000000"/>
                <w:sz w:val="16"/>
                <w:szCs w:val="16"/>
                <w:lang w:val="en-GB" w:eastAsia="en-GB"/>
              </w:rPr>
              <w:br/>
              <w:t>- weighted cod ends</w:t>
            </w:r>
            <w:r>
              <w:rPr>
                <w:rFonts w:eastAsia="Times New Roman"/>
                <w:color w:val="000000"/>
                <w:sz w:val="16"/>
                <w:szCs w:val="16"/>
                <w:lang w:val="en-GB" w:eastAsia="en-GB"/>
              </w:rPr>
              <w:br/>
              <w:t xml:space="preserve">- net binding </w:t>
            </w:r>
            <w:r>
              <w:rPr>
                <w:rFonts w:eastAsia="Times New Roman"/>
                <w:color w:val="000000"/>
                <w:sz w:val="16"/>
                <w:szCs w:val="16"/>
                <w:lang w:val="en-GB" w:eastAsia="en-GB"/>
              </w:rPr>
              <w:br/>
              <w:t>20 bird bycatch limit (Vessel ban for season after this)</w:t>
            </w:r>
          </w:p>
        </w:tc>
      </w:tr>
      <w:tr w:rsidR="00846E66" w14:paraId="6B11C128" w14:textId="77777777" w:rsidTr="00C2393A">
        <w:trPr>
          <w:trHeight w:val="300"/>
        </w:trPr>
        <w:tc>
          <w:tcPr>
            <w:tcW w:w="1701" w:type="dxa"/>
            <w:noWrap/>
            <w:hideMark/>
          </w:tcPr>
          <w:p w14:paraId="54FFC9CA" w14:textId="77777777" w:rsidR="00846E66" w:rsidRDefault="00846E66" w:rsidP="00C2393A">
            <w:pPr>
              <w:spacing w:after="0" w:line="240" w:lineRule="auto"/>
              <w:jc w:val="left"/>
              <w:rPr>
                <w:b/>
                <w:color w:val="000000"/>
                <w:sz w:val="16"/>
                <w:lang w:val="en-GB"/>
              </w:rPr>
            </w:pPr>
            <w:r>
              <w:rPr>
                <w:b/>
                <w:color w:val="000000"/>
                <w:sz w:val="16"/>
                <w:lang w:val="en-GB"/>
              </w:rPr>
              <w:t>Fishery observer coverage</w:t>
            </w:r>
          </w:p>
        </w:tc>
        <w:tc>
          <w:tcPr>
            <w:tcW w:w="2268" w:type="dxa"/>
            <w:noWrap/>
            <w:hideMark/>
          </w:tcPr>
          <w:p w14:paraId="73ED2172"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100% (since 2017)</w:t>
            </w:r>
          </w:p>
        </w:tc>
        <w:tc>
          <w:tcPr>
            <w:tcW w:w="2410" w:type="dxa"/>
            <w:noWrap/>
            <w:hideMark/>
          </w:tcPr>
          <w:p w14:paraId="6B291529"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100%</w:t>
            </w:r>
          </w:p>
        </w:tc>
        <w:tc>
          <w:tcPr>
            <w:tcW w:w="2647" w:type="dxa"/>
            <w:noWrap/>
            <w:hideMark/>
          </w:tcPr>
          <w:p w14:paraId="221DC4C0"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100%</w:t>
            </w:r>
          </w:p>
        </w:tc>
      </w:tr>
      <w:tr w:rsidR="00846E66" w14:paraId="299D70D1" w14:textId="77777777" w:rsidTr="00C2393A">
        <w:trPr>
          <w:trHeight w:val="1200"/>
        </w:trPr>
        <w:tc>
          <w:tcPr>
            <w:tcW w:w="1701" w:type="dxa"/>
            <w:noWrap/>
            <w:hideMark/>
          </w:tcPr>
          <w:p w14:paraId="232BF958" w14:textId="41494798" w:rsidR="00846E66" w:rsidRDefault="000E372E" w:rsidP="00C2393A">
            <w:pPr>
              <w:spacing w:after="0" w:line="240" w:lineRule="auto"/>
              <w:jc w:val="left"/>
              <w:rPr>
                <w:b/>
                <w:color w:val="000000"/>
                <w:sz w:val="16"/>
                <w:lang w:val="en-GB"/>
              </w:rPr>
            </w:pPr>
            <w:r>
              <w:rPr>
                <w:b/>
                <w:color w:val="000000"/>
                <w:sz w:val="16"/>
                <w:lang w:val="en-GB"/>
              </w:rPr>
              <w:t>Threat</w:t>
            </w:r>
          </w:p>
        </w:tc>
        <w:tc>
          <w:tcPr>
            <w:tcW w:w="2268" w:type="dxa"/>
            <w:hideMark/>
          </w:tcPr>
          <w:p w14:paraId="1119A276"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Light induced seabird mortality</w:t>
            </w:r>
            <w:r>
              <w:rPr>
                <w:rFonts w:eastAsia="Times New Roman"/>
                <w:color w:val="000000"/>
                <w:sz w:val="16"/>
                <w:szCs w:val="16"/>
                <w:lang w:val="en-GB" w:eastAsia="en-GB"/>
              </w:rPr>
              <w:br/>
              <w:t>Warp strikes</w:t>
            </w:r>
          </w:p>
          <w:p w14:paraId="69096854" w14:textId="37EE33CF" w:rsidR="00E323D2" w:rsidRDefault="00D1680C"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Direct competition with krill fishery during predator breeding period</w:t>
            </w:r>
          </w:p>
        </w:tc>
        <w:tc>
          <w:tcPr>
            <w:tcW w:w="2410" w:type="dxa"/>
            <w:hideMark/>
          </w:tcPr>
          <w:p w14:paraId="0C3BDE04" w14:textId="2F00AF8D" w:rsidR="00EC1A00" w:rsidRDefault="00EC1A00"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I</w:t>
            </w:r>
            <w:r w:rsidR="00E323D2">
              <w:rPr>
                <w:rFonts w:eastAsia="Times New Roman"/>
                <w:color w:val="000000"/>
                <w:sz w:val="16"/>
                <w:szCs w:val="16"/>
                <w:lang w:val="en-GB" w:eastAsia="en-GB"/>
              </w:rPr>
              <w:t>ncidental mortality in longline fisheries</w:t>
            </w:r>
          </w:p>
          <w:p w14:paraId="28F443AC" w14:textId="1784EEEA" w:rsidR="00846E66" w:rsidRDefault="00846E66" w:rsidP="00C2393A">
            <w:pPr>
              <w:spacing w:after="0" w:line="240" w:lineRule="auto"/>
              <w:jc w:val="left"/>
              <w:rPr>
                <w:rFonts w:eastAsia="Times New Roman"/>
                <w:color w:val="000000"/>
                <w:sz w:val="16"/>
                <w:szCs w:val="16"/>
                <w:lang w:val="en-GB" w:eastAsia="en-GB"/>
              </w:rPr>
            </w:pPr>
          </w:p>
        </w:tc>
        <w:tc>
          <w:tcPr>
            <w:tcW w:w="2647" w:type="dxa"/>
            <w:hideMark/>
          </w:tcPr>
          <w:p w14:paraId="3DD4D934"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Bird entanglement in larger mesh sizes</w:t>
            </w:r>
            <w:r>
              <w:rPr>
                <w:rFonts w:eastAsia="Times New Roman"/>
                <w:color w:val="000000"/>
                <w:sz w:val="16"/>
                <w:szCs w:val="16"/>
                <w:lang w:val="en-GB" w:eastAsia="en-GB"/>
              </w:rPr>
              <w:br/>
              <w:t>Warp strikes</w:t>
            </w:r>
          </w:p>
        </w:tc>
      </w:tr>
      <w:tr w:rsidR="00846E66" w14:paraId="1A1EC122" w14:textId="77777777" w:rsidTr="00C2393A">
        <w:trPr>
          <w:trHeight w:val="300"/>
        </w:trPr>
        <w:tc>
          <w:tcPr>
            <w:tcW w:w="1701" w:type="dxa"/>
            <w:noWrap/>
            <w:hideMark/>
          </w:tcPr>
          <w:p w14:paraId="17FDBBFF" w14:textId="77777777" w:rsidR="00846E66" w:rsidRDefault="00846E66" w:rsidP="00C2393A">
            <w:pPr>
              <w:spacing w:after="0" w:line="240" w:lineRule="auto"/>
              <w:jc w:val="left"/>
              <w:rPr>
                <w:b/>
                <w:color w:val="000000"/>
                <w:sz w:val="16"/>
                <w:lang w:val="en-GB"/>
              </w:rPr>
            </w:pPr>
            <w:r>
              <w:rPr>
                <w:b/>
                <w:color w:val="000000"/>
                <w:sz w:val="16"/>
                <w:lang w:val="en-GB"/>
              </w:rPr>
              <w:t>Incidental mortality</w:t>
            </w:r>
          </w:p>
        </w:tc>
        <w:tc>
          <w:tcPr>
            <w:tcW w:w="2268" w:type="dxa"/>
            <w:noWrap/>
            <w:hideMark/>
          </w:tcPr>
          <w:p w14:paraId="7C21F6B5"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Low</w:t>
            </w:r>
          </w:p>
        </w:tc>
        <w:tc>
          <w:tcPr>
            <w:tcW w:w="2410" w:type="dxa"/>
            <w:noWrap/>
            <w:hideMark/>
          </w:tcPr>
          <w:p w14:paraId="3E026C20"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Low</w:t>
            </w:r>
          </w:p>
        </w:tc>
        <w:tc>
          <w:tcPr>
            <w:tcW w:w="2647" w:type="dxa"/>
            <w:noWrap/>
            <w:hideMark/>
          </w:tcPr>
          <w:p w14:paraId="7DFAD087"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Negligible</w:t>
            </w:r>
          </w:p>
        </w:tc>
      </w:tr>
      <w:tr w:rsidR="00846E66" w14:paraId="1F0519F6" w14:textId="77777777" w:rsidTr="00873248">
        <w:trPr>
          <w:trHeight w:val="1252"/>
        </w:trPr>
        <w:tc>
          <w:tcPr>
            <w:tcW w:w="1701" w:type="dxa"/>
            <w:tcBorders>
              <w:top w:val="nil"/>
              <w:left w:val="nil"/>
              <w:bottom w:val="single" w:sz="4" w:space="0" w:color="auto"/>
              <w:right w:val="nil"/>
            </w:tcBorders>
            <w:noWrap/>
            <w:hideMark/>
          </w:tcPr>
          <w:p w14:paraId="28E3F305" w14:textId="77777777" w:rsidR="00846E66" w:rsidRDefault="00846E66" w:rsidP="00C2393A">
            <w:pPr>
              <w:spacing w:after="0" w:line="240" w:lineRule="auto"/>
              <w:jc w:val="left"/>
              <w:rPr>
                <w:b/>
                <w:color w:val="000000"/>
                <w:sz w:val="16"/>
                <w:vertAlign w:val="superscript"/>
                <w:lang w:val="en-GB"/>
              </w:rPr>
            </w:pPr>
            <w:r>
              <w:rPr>
                <w:b/>
                <w:color w:val="000000"/>
                <w:sz w:val="16"/>
                <w:lang w:val="en-GB"/>
              </w:rPr>
              <w:t>Species considered in this study with potential for interaction</w:t>
            </w:r>
          </w:p>
        </w:tc>
        <w:tc>
          <w:tcPr>
            <w:tcW w:w="2268" w:type="dxa"/>
            <w:tcBorders>
              <w:top w:val="nil"/>
              <w:left w:val="nil"/>
              <w:bottom w:val="single" w:sz="4" w:space="0" w:color="auto"/>
              <w:right w:val="nil"/>
            </w:tcBorders>
            <w:hideMark/>
          </w:tcPr>
          <w:p w14:paraId="4BEECD19" w14:textId="77777777" w:rsidR="00846E66" w:rsidRDefault="00846E66" w:rsidP="00C2393A">
            <w:pPr>
              <w:spacing w:after="0" w:line="240" w:lineRule="auto"/>
              <w:jc w:val="left"/>
              <w:rPr>
                <w:rFonts w:eastAsia="Times New Roman"/>
                <w:color w:val="000000"/>
                <w:sz w:val="16"/>
                <w:szCs w:val="16"/>
                <w:lang w:val="en-GB" w:eastAsia="en-GB"/>
              </w:rPr>
            </w:pPr>
            <w:r>
              <w:rPr>
                <w:rFonts w:eastAsia="Symbol"/>
                <w:color w:val="000000"/>
                <w:sz w:val="16"/>
                <w:szCs w:val="16"/>
                <w:lang w:val="en-GB" w:eastAsia="en-GB"/>
              </w:rPr>
              <w:t>Antarctic fur seals</w:t>
            </w:r>
            <w:r>
              <w:rPr>
                <w:rFonts w:eastAsia="Symbol"/>
                <w:color w:val="000000"/>
                <w:sz w:val="16"/>
                <w:szCs w:val="16"/>
                <w:lang w:val="en-GB" w:eastAsia="en-GB"/>
              </w:rPr>
              <w:br/>
              <w:t>Black-browed Albatrosses</w:t>
            </w:r>
            <w:r>
              <w:rPr>
                <w:rFonts w:eastAsia="Symbol"/>
                <w:color w:val="000000"/>
                <w:sz w:val="16"/>
                <w:szCs w:val="16"/>
                <w:lang w:val="en-GB" w:eastAsia="en-GB"/>
              </w:rPr>
              <w:br/>
              <w:t>White-chinned Petrels</w:t>
            </w:r>
            <w:r>
              <w:rPr>
                <w:rFonts w:eastAsia="Symbol"/>
                <w:color w:val="000000"/>
                <w:sz w:val="16"/>
                <w:szCs w:val="16"/>
                <w:lang w:val="en-GB" w:eastAsia="en-GB"/>
              </w:rPr>
              <w:br/>
              <w:t>Chinstrap Penguins</w:t>
            </w:r>
            <w:r>
              <w:rPr>
                <w:rFonts w:eastAsia="Symbol"/>
                <w:color w:val="000000"/>
                <w:sz w:val="16"/>
                <w:szCs w:val="16"/>
                <w:lang w:val="en-GB" w:eastAsia="en-GB"/>
              </w:rPr>
              <w:br/>
              <w:t>Gentoo Penguins</w:t>
            </w:r>
            <w:r>
              <w:rPr>
                <w:rFonts w:eastAsia="Symbol"/>
                <w:color w:val="000000"/>
                <w:sz w:val="16"/>
                <w:szCs w:val="16"/>
                <w:lang w:val="en-GB" w:eastAsia="en-GB"/>
              </w:rPr>
              <w:br/>
              <w:t>Macaroni Penguins</w:t>
            </w:r>
          </w:p>
        </w:tc>
        <w:tc>
          <w:tcPr>
            <w:tcW w:w="2410" w:type="dxa"/>
            <w:tcBorders>
              <w:top w:val="nil"/>
              <w:left w:val="nil"/>
              <w:bottom w:val="single" w:sz="4" w:space="0" w:color="auto"/>
              <w:right w:val="nil"/>
            </w:tcBorders>
            <w:hideMark/>
          </w:tcPr>
          <w:p w14:paraId="233F2076"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Black-browed Albatrosses</w:t>
            </w:r>
            <w:r>
              <w:rPr>
                <w:rFonts w:eastAsia="Times New Roman"/>
                <w:color w:val="000000"/>
                <w:sz w:val="16"/>
                <w:szCs w:val="16"/>
                <w:lang w:val="en-GB" w:eastAsia="en-GB"/>
              </w:rPr>
              <w:br/>
              <w:t>Grey-headed Albatrosses</w:t>
            </w:r>
            <w:r>
              <w:rPr>
                <w:rFonts w:eastAsia="Times New Roman"/>
                <w:color w:val="000000"/>
                <w:sz w:val="16"/>
                <w:szCs w:val="16"/>
                <w:lang w:val="en-GB" w:eastAsia="en-GB"/>
              </w:rPr>
              <w:br/>
              <w:t>Wandering Albatrosses</w:t>
            </w:r>
            <w:r>
              <w:rPr>
                <w:rFonts w:eastAsia="Times New Roman"/>
                <w:color w:val="000000"/>
                <w:sz w:val="16"/>
                <w:szCs w:val="16"/>
                <w:lang w:val="en-GB" w:eastAsia="en-GB"/>
              </w:rPr>
              <w:br/>
              <w:t>Northern Giant Petrels</w:t>
            </w:r>
            <w:r>
              <w:rPr>
                <w:rFonts w:eastAsia="Times New Roman"/>
                <w:color w:val="000000"/>
                <w:sz w:val="16"/>
                <w:szCs w:val="16"/>
                <w:lang w:val="en-GB" w:eastAsia="en-GB"/>
              </w:rPr>
              <w:br/>
              <w:t>Southern Giant Petrels</w:t>
            </w:r>
            <w:r>
              <w:rPr>
                <w:rFonts w:eastAsia="Times New Roman"/>
                <w:color w:val="000000"/>
                <w:sz w:val="16"/>
                <w:szCs w:val="16"/>
                <w:lang w:val="en-GB" w:eastAsia="en-GB"/>
              </w:rPr>
              <w:br/>
              <w:t>White-chinned Petrels</w:t>
            </w:r>
          </w:p>
        </w:tc>
        <w:tc>
          <w:tcPr>
            <w:tcW w:w="2647" w:type="dxa"/>
            <w:tcBorders>
              <w:top w:val="nil"/>
              <w:left w:val="nil"/>
              <w:bottom w:val="single" w:sz="4" w:space="0" w:color="auto"/>
              <w:right w:val="nil"/>
            </w:tcBorders>
            <w:hideMark/>
          </w:tcPr>
          <w:p w14:paraId="47CD0351" w14:textId="77777777" w:rsidR="00846E66" w:rsidRDefault="00846E66" w:rsidP="00C2393A">
            <w:pPr>
              <w:spacing w:after="0" w:line="240" w:lineRule="auto"/>
              <w:jc w:val="left"/>
              <w:rPr>
                <w:rFonts w:eastAsia="Times New Roman"/>
                <w:color w:val="000000"/>
                <w:sz w:val="16"/>
                <w:szCs w:val="16"/>
                <w:lang w:val="en-GB" w:eastAsia="en-GB"/>
              </w:rPr>
            </w:pPr>
            <w:r>
              <w:rPr>
                <w:rFonts w:eastAsia="Times New Roman"/>
                <w:color w:val="000000"/>
                <w:sz w:val="16"/>
                <w:szCs w:val="16"/>
                <w:lang w:val="en-GB" w:eastAsia="en-GB"/>
              </w:rPr>
              <w:t>Black-browed Albatrosses</w:t>
            </w:r>
            <w:r>
              <w:rPr>
                <w:rFonts w:eastAsia="Times New Roman"/>
                <w:color w:val="000000"/>
                <w:sz w:val="16"/>
                <w:szCs w:val="16"/>
                <w:lang w:val="en-GB" w:eastAsia="en-GB"/>
              </w:rPr>
              <w:br/>
              <w:t>White-chinned Petrels</w:t>
            </w:r>
          </w:p>
        </w:tc>
      </w:tr>
      <w:tr w:rsidR="00B11D6F" w14:paraId="15F29147" w14:textId="77777777" w:rsidTr="00873248">
        <w:trPr>
          <w:trHeight w:val="433"/>
        </w:trPr>
        <w:tc>
          <w:tcPr>
            <w:tcW w:w="9026" w:type="dxa"/>
            <w:gridSpan w:val="4"/>
            <w:tcBorders>
              <w:top w:val="single" w:sz="4" w:space="0" w:color="auto"/>
              <w:left w:val="nil"/>
              <w:bottom w:val="single" w:sz="4" w:space="0" w:color="auto"/>
              <w:right w:val="nil"/>
            </w:tcBorders>
            <w:noWrap/>
          </w:tcPr>
          <w:p w14:paraId="009602B5" w14:textId="545A569D" w:rsidR="00B11D6F" w:rsidRPr="00B11D6F" w:rsidRDefault="00B11D6F" w:rsidP="00B11D6F">
            <w:pPr>
              <w:spacing w:after="0" w:line="240" w:lineRule="auto"/>
              <w:jc w:val="left"/>
              <w:rPr>
                <w:bCs/>
                <w:color w:val="000000"/>
                <w:sz w:val="16"/>
                <w:lang w:val="en-GB"/>
              </w:rPr>
            </w:pPr>
            <w:r w:rsidRPr="00B11D6F">
              <w:rPr>
                <w:bCs/>
                <w:color w:val="000000"/>
                <w:sz w:val="16"/>
                <w:lang w:val="en-GB"/>
              </w:rPr>
              <w:t>A</w:t>
            </w:r>
            <w:r>
              <w:rPr>
                <w:bCs/>
                <w:color w:val="000000"/>
                <w:sz w:val="16"/>
                <w:lang w:val="en-GB"/>
              </w:rPr>
              <w:t>: During season closures, both krill and demersal longline fisheries</w:t>
            </w:r>
            <w:r w:rsidR="00873248">
              <w:rPr>
                <w:bCs/>
                <w:color w:val="000000"/>
                <w:sz w:val="16"/>
                <w:lang w:val="en-GB"/>
              </w:rPr>
              <w:t xml:space="preserve"> are not permitted to operate throughout the entire MPA (i.e. fisheries are not permitted to operate throughout the entire Exclusive Economic Zone)</w:t>
            </w:r>
          </w:p>
        </w:tc>
      </w:tr>
    </w:tbl>
    <w:p w14:paraId="21C1BC8C" w14:textId="77777777" w:rsidR="00846E66" w:rsidRDefault="00846E66" w:rsidP="00846E66"/>
    <w:p w14:paraId="010B3EF8" w14:textId="77777777" w:rsidR="00846E66" w:rsidRDefault="00846E66" w:rsidP="00C32426">
      <w:pPr>
        <w:sectPr w:rsidR="00846E66" w:rsidSect="00F67A04">
          <w:pgSz w:w="11906" w:h="16838"/>
          <w:pgMar w:top="1440" w:right="1440" w:bottom="1440" w:left="1440" w:header="708" w:footer="708" w:gutter="0"/>
          <w:lnNumType w:countBy="1" w:restart="continuous"/>
          <w:cols w:space="708"/>
          <w:docGrid w:linePitch="360"/>
        </w:sectPr>
      </w:pPr>
    </w:p>
    <w:p w14:paraId="6864A8C9" w14:textId="65E38A65" w:rsidR="00846E66" w:rsidRDefault="00846E66" w:rsidP="00214714">
      <w:pPr>
        <w:spacing w:line="240" w:lineRule="auto"/>
      </w:pPr>
      <w:r>
        <w:lastRenderedPageBreak/>
        <w:t xml:space="preserve">Table 4: </w:t>
      </w:r>
      <w:r w:rsidR="000D41FA">
        <w:t xml:space="preserve">Nineteen data-groups which met the global Key Biodiversity Area (KBA) criteria following initial assessment of 69 data-groups (See </w:t>
      </w:r>
      <w:r w:rsidR="00D664C2">
        <w:t>Appendix 2 for spatial layers).</w:t>
      </w:r>
      <w:r w:rsidR="00A62F50">
        <w:t xml:space="preserve"> KBA criteria A1 (globally threatened species) and D1a (congregations of &gt;1% of global population).</w:t>
      </w:r>
      <w:r>
        <w:t xml:space="preserve"> Method indicates approach used to identify KBA sites for marine predators at sea. T: tracking data, F: Foraging radius (radius in km), S: Species distribution model. Key fisheries: krill fishery (K), demersal longline fishery (L), and pelagic trawl fishery (P). </w:t>
      </w:r>
    </w:p>
    <w:tbl>
      <w:tblPr>
        <w:tblW w:w="5000" w:type="pct"/>
        <w:tblLayout w:type="fixed"/>
        <w:tblLook w:val="04A0" w:firstRow="1" w:lastRow="0" w:firstColumn="1" w:lastColumn="0" w:noHBand="0" w:noVBand="1"/>
      </w:tblPr>
      <w:tblGrid>
        <w:gridCol w:w="991"/>
        <w:gridCol w:w="1267"/>
        <w:gridCol w:w="1429"/>
        <w:gridCol w:w="1133"/>
        <w:gridCol w:w="709"/>
        <w:gridCol w:w="1276"/>
        <w:gridCol w:w="994"/>
        <w:gridCol w:w="991"/>
        <w:gridCol w:w="1703"/>
        <w:gridCol w:w="1558"/>
        <w:gridCol w:w="1907"/>
      </w:tblGrid>
      <w:tr w:rsidR="00846E66" w14:paraId="45A8BE85" w14:textId="77777777" w:rsidTr="00C2393A">
        <w:trPr>
          <w:trHeight w:val="315"/>
        </w:trPr>
        <w:tc>
          <w:tcPr>
            <w:tcW w:w="355" w:type="pct"/>
            <w:tcBorders>
              <w:top w:val="single" w:sz="4" w:space="0" w:color="auto"/>
              <w:left w:val="nil"/>
              <w:bottom w:val="single" w:sz="4" w:space="0" w:color="auto"/>
              <w:right w:val="nil"/>
            </w:tcBorders>
            <w:noWrap/>
            <w:hideMark/>
          </w:tcPr>
          <w:p w14:paraId="78AC092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Species </w:t>
            </w:r>
          </w:p>
        </w:tc>
        <w:tc>
          <w:tcPr>
            <w:tcW w:w="454" w:type="pct"/>
            <w:tcBorders>
              <w:top w:val="single" w:sz="8" w:space="0" w:color="auto"/>
              <w:left w:val="nil"/>
              <w:bottom w:val="single" w:sz="8" w:space="0" w:color="auto"/>
              <w:right w:val="nil"/>
            </w:tcBorders>
            <w:hideMark/>
          </w:tcPr>
          <w:p w14:paraId="7AE8DB3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Global pop.</w:t>
            </w:r>
          </w:p>
          <w:p w14:paraId="522F8F8C" w14:textId="784FAF6B" w:rsidR="00846E66" w:rsidRPr="00214714" w:rsidRDefault="00846E66" w:rsidP="00C2393A">
            <w:pPr>
              <w:spacing w:after="0" w:line="240" w:lineRule="auto"/>
              <w:jc w:val="left"/>
              <w:rPr>
                <w:rFonts w:eastAsia="Times New Roman"/>
                <w:color w:val="000000"/>
                <w:sz w:val="16"/>
                <w:szCs w:val="16"/>
                <w:vertAlign w:val="superscript"/>
                <w:lang w:eastAsia="en-GB"/>
              </w:rPr>
            </w:pPr>
            <w:r>
              <w:rPr>
                <w:rFonts w:eastAsia="Times New Roman"/>
                <w:color w:val="000000"/>
                <w:sz w:val="16"/>
                <w:szCs w:val="16"/>
                <w:lang w:eastAsia="en-GB"/>
              </w:rPr>
              <w:t>(min : max)</w:t>
            </w:r>
            <w:r w:rsidR="00214714">
              <w:rPr>
                <w:rFonts w:eastAsia="Times New Roman"/>
                <w:color w:val="000000"/>
                <w:sz w:val="16"/>
                <w:szCs w:val="16"/>
                <w:vertAlign w:val="superscript"/>
                <w:lang w:eastAsia="en-GB"/>
              </w:rPr>
              <w:t>A</w:t>
            </w:r>
          </w:p>
        </w:tc>
        <w:tc>
          <w:tcPr>
            <w:tcW w:w="512" w:type="pct"/>
            <w:tcBorders>
              <w:top w:val="single" w:sz="8" w:space="0" w:color="auto"/>
              <w:left w:val="nil"/>
              <w:bottom w:val="single" w:sz="8" w:space="0" w:color="auto"/>
              <w:right w:val="nil"/>
            </w:tcBorders>
            <w:noWrap/>
            <w:hideMark/>
          </w:tcPr>
          <w:p w14:paraId="05A2C65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Colony</w:t>
            </w:r>
          </w:p>
        </w:tc>
        <w:tc>
          <w:tcPr>
            <w:tcW w:w="406" w:type="pct"/>
            <w:tcBorders>
              <w:top w:val="single" w:sz="8" w:space="0" w:color="auto"/>
              <w:left w:val="nil"/>
              <w:bottom w:val="single" w:sz="8" w:space="0" w:color="auto"/>
              <w:right w:val="nil"/>
            </w:tcBorders>
            <w:noWrap/>
            <w:hideMark/>
          </w:tcPr>
          <w:p w14:paraId="50A0320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Breeding stage</w:t>
            </w:r>
          </w:p>
        </w:tc>
        <w:tc>
          <w:tcPr>
            <w:tcW w:w="254" w:type="pct"/>
            <w:tcBorders>
              <w:top w:val="single" w:sz="8" w:space="0" w:color="auto"/>
              <w:left w:val="nil"/>
              <w:bottom w:val="single" w:sz="8" w:space="0" w:color="auto"/>
              <w:right w:val="nil"/>
            </w:tcBorders>
            <w:noWrap/>
            <w:hideMark/>
          </w:tcPr>
          <w:p w14:paraId="2CAC0D63"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Sex</w:t>
            </w:r>
          </w:p>
        </w:tc>
        <w:tc>
          <w:tcPr>
            <w:tcW w:w="457" w:type="pct"/>
            <w:tcBorders>
              <w:top w:val="single" w:sz="8" w:space="0" w:color="auto"/>
              <w:left w:val="nil"/>
              <w:bottom w:val="single" w:sz="8" w:space="0" w:color="auto"/>
              <w:right w:val="nil"/>
            </w:tcBorders>
          </w:tcPr>
          <w:p w14:paraId="5F8A567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Method for KBA identification</w:t>
            </w:r>
          </w:p>
        </w:tc>
        <w:tc>
          <w:tcPr>
            <w:tcW w:w="356" w:type="pct"/>
            <w:tcBorders>
              <w:top w:val="single" w:sz="8" w:space="0" w:color="auto"/>
              <w:left w:val="nil"/>
              <w:bottom w:val="single" w:sz="8" w:space="0" w:color="auto"/>
              <w:right w:val="nil"/>
            </w:tcBorders>
            <w:noWrap/>
            <w:hideMark/>
          </w:tcPr>
          <w:p w14:paraId="59233831"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KBA criteria met</w:t>
            </w:r>
          </w:p>
        </w:tc>
        <w:tc>
          <w:tcPr>
            <w:tcW w:w="355" w:type="pct"/>
            <w:tcBorders>
              <w:top w:val="single" w:sz="8" w:space="0" w:color="auto"/>
              <w:left w:val="nil"/>
              <w:bottom w:val="single" w:sz="8" w:space="0" w:color="auto"/>
              <w:right w:val="nil"/>
            </w:tcBorders>
            <w:hideMark/>
          </w:tcPr>
          <w:p w14:paraId="372F9568"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%of KBA in MPA</w:t>
            </w:r>
          </w:p>
        </w:tc>
        <w:tc>
          <w:tcPr>
            <w:tcW w:w="610" w:type="pct"/>
            <w:tcBorders>
              <w:top w:val="single" w:sz="8" w:space="0" w:color="auto"/>
              <w:left w:val="nil"/>
              <w:bottom w:val="single" w:sz="8" w:space="0" w:color="auto"/>
              <w:right w:val="nil"/>
            </w:tcBorders>
          </w:tcPr>
          <w:p w14:paraId="378375F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Fisheries of concern for negative interactions</w:t>
            </w:r>
          </w:p>
        </w:tc>
        <w:tc>
          <w:tcPr>
            <w:tcW w:w="558" w:type="pct"/>
            <w:tcBorders>
              <w:top w:val="single" w:sz="8" w:space="0" w:color="auto"/>
              <w:left w:val="nil"/>
              <w:bottom w:val="single" w:sz="8" w:space="0" w:color="auto"/>
              <w:right w:val="nil"/>
            </w:tcBorders>
            <w:hideMark/>
          </w:tcPr>
          <w:p w14:paraId="4950A379"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Fisheries where temporal overlap is possible with KBA within MPA</w:t>
            </w:r>
          </w:p>
        </w:tc>
        <w:tc>
          <w:tcPr>
            <w:tcW w:w="683" w:type="pct"/>
            <w:tcBorders>
              <w:top w:val="single" w:sz="8" w:space="0" w:color="auto"/>
              <w:left w:val="nil"/>
              <w:bottom w:val="single" w:sz="8" w:space="0" w:color="auto"/>
              <w:right w:val="nil"/>
            </w:tcBorders>
          </w:tcPr>
          <w:p w14:paraId="359C3BA3" w14:textId="3E4DD74A" w:rsidR="00846E66" w:rsidRDefault="00846E66" w:rsidP="00214714">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 of KBA overlapping with fisheries area within MPA. </w:t>
            </w:r>
            <w:r w:rsidR="00214714">
              <w:rPr>
                <w:rFonts w:eastAsia="Times New Roman"/>
                <w:color w:val="000000"/>
                <w:sz w:val="16"/>
                <w:szCs w:val="16"/>
                <w:vertAlign w:val="superscript"/>
                <w:lang w:eastAsia="en-GB"/>
              </w:rPr>
              <w:t>B</w:t>
            </w:r>
          </w:p>
        </w:tc>
      </w:tr>
      <w:tr w:rsidR="00846E66" w14:paraId="7F4A82D8" w14:textId="77777777" w:rsidTr="00C2393A">
        <w:trPr>
          <w:trHeight w:val="300"/>
        </w:trPr>
        <w:tc>
          <w:tcPr>
            <w:tcW w:w="355" w:type="pct"/>
            <w:shd w:val="clear" w:color="auto" w:fill="D9D9D9"/>
            <w:noWrap/>
            <w:hideMark/>
          </w:tcPr>
          <w:p w14:paraId="75A1DA24"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Grey-headed Albatross</w:t>
            </w:r>
          </w:p>
        </w:tc>
        <w:tc>
          <w:tcPr>
            <w:tcW w:w="454" w:type="pct"/>
            <w:shd w:val="clear" w:color="auto" w:fill="D9D9D9"/>
            <w:hideMark/>
          </w:tcPr>
          <w:p w14:paraId="5D3A918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0.495 : 1.156</w:t>
            </w:r>
          </w:p>
        </w:tc>
        <w:tc>
          <w:tcPr>
            <w:tcW w:w="512" w:type="pct"/>
            <w:shd w:val="clear" w:color="auto" w:fill="D9D9D9"/>
            <w:noWrap/>
            <w:hideMark/>
          </w:tcPr>
          <w:p w14:paraId="2AED20F0"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Bird Island</w:t>
            </w:r>
          </w:p>
        </w:tc>
        <w:tc>
          <w:tcPr>
            <w:tcW w:w="406" w:type="pct"/>
            <w:shd w:val="clear" w:color="auto" w:fill="D9D9D9"/>
            <w:noWrap/>
            <w:hideMark/>
          </w:tcPr>
          <w:p w14:paraId="66156290"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Brood-guard</w:t>
            </w:r>
          </w:p>
        </w:tc>
        <w:tc>
          <w:tcPr>
            <w:tcW w:w="254" w:type="pct"/>
            <w:shd w:val="clear" w:color="auto" w:fill="D9D9D9"/>
            <w:noWrap/>
            <w:hideMark/>
          </w:tcPr>
          <w:p w14:paraId="5D73242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shd w:val="clear" w:color="auto" w:fill="D9D9D9"/>
          </w:tcPr>
          <w:p w14:paraId="253FA179"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T</w:t>
            </w:r>
          </w:p>
        </w:tc>
        <w:tc>
          <w:tcPr>
            <w:tcW w:w="356" w:type="pct"/>
            <w:shd w:val="clear" w:color="auto" w:fill="D9D9D9"/>
            <w:noWrap/>
            <w:hideMark/>
          </w:tcPr>
          <w:p w14:paraId="1522719B" w14:textId="52E2E647" w:rsidR="00846E66" w:rsidRDefault="00A62F50"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A1a, </w:t>
            </w:r>
            <w:r w:rsidR="00846E66">
              <w:rPr>
                <w:rFonts w:eastAsia="Times New Roman"/>
                <w:color w:val="000000"/>
                <w:sz w:val="16"/>
                <w:szCs w:val="16"/>
                <w:lang w:eastAsia="en-GB"/>
              </w:rPr>
              <w:t>A1c, D1a</w:t>
            </w:r>
          </w:p>
        </w:tc>
        <w:tc>
          <w:tcPr>
            <w:tcW w:w="355" w:type="pct"/>
            <w:shd w:val="clear" w:color="auto" w:fill="D9D9D9"/>
            <w:hideMark/>
          </w:tcPr>
          <w:p w14:paraId="656D083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85.3</w:t>
            </w:r>
          </w:p>
        </w:tc>
        <w:tc>
          <w:tcPr>
            <w:tcW w:w="610" w:type="pct"/>
            <w:shd w:val="clear" w:color="auto" w:fill="D9D9D9"/>
          </w:tcPr>
          <w:p w14:paraId="22E04B8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L</w:t>
            </w:r>
          </w:p>
        </w:tc>
        <w:tc>
          <w:tcPr>
            <w:tcW w:w="558" w:type="pct"/>
            <w:shd w:val="clear" w:color="auto" w:fill="D9D9D9"/>
            <w:hideMark/>
          </w:tcPr>
          <w:p w14:paraId="11BEE41F"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shd w:val="clear" w:color="auto" w:fill="D9D9D9"/>
          </w:tcPr>
          <w:p w14:paraId="63423DD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846E66" w14:paraId="7ACBCD5C" w14:textId="77777777" w:rsidTr="00C2393A">
        <w:trPr>
          <w:trHeight w:val="300"/>
        </w:trPr>
        <w:tc>
          <w:tcPr>
            <w:tcW w:w="355" w:type="pct"/>
            <w:shd w:val="clear" w:color="auto" w:fill="D9D9D9"/>
            <w:noWrap/>
            <w:hideMark/>
          </w:tcPr>
          <w:p w14:paraId="688A8556"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w:t>
            </w:r>
          </w:p>
        </w:tc>
        <w:tc>
          <w:tcPr>
            <w:tcW w:w="454" w:type="pct"/>
            <w:shd w:val="clear" w:color="auto" w:fill="D9D9D9"/>
            <w:hideMark/>
          </w:tcPr>
          <w:p w14:paraId="252A3199"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0.816 : 1.982</w:t>
            </w:r>
          </w:p>
        </w:tc>
        <w:tc>
          <w:tcPr>
            <w:tcW w:w="512" w:type="pct"/>
            <w:shd w:val="clear" w:color="auto" w:fill="D9D9D9"/>
            <w:noWrap/>
            <w:hideMark/>
          </w:tcPr>
          <w:p w14:paraId="5EBD9000"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Bird Island</w:t>
            </w:r>
          </w:p>
        </w:tc>
        <w:tc>
          <w:tcPr>
            <w:tcW w:w="406" w:type="pct"/>
            <w:shd w:val="clear" w:color="auto" w:fill="D9D9D9"/>
            <w:noWrap/>
            <w:hideMark/>
          </w:tcPr>
          <w:p w14:paraId="294A2C8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Post-guard</w:t>
            </w:r>
          </w:p>
        </w:tc>
        <w:tc>
          <w:tcPr>
            <w:tcW w:w="254" w:type="pct"/>
            <w:shd w:val="clear" w:color="auto" w:fill="D9D9D9"/>
            <w:noWrap/>
            <w:hideMark/>
          </w:tcPr>
          <w:p w14:paraId="1D9B6A20"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shd w:val="clear" w:color="auto" w:fill="D9D9D9"/>
          </w:tcPr>
          <w:p w14:paraId="6E4305BE"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T</w:t>
            </w:r>
          </w:p>
        </w:tc>
        <w:tc>
          <w:tcPr>
            <w:tcW w:w="356" w:type="pct"/>
            <w:shd w:val="clear" w:color="auto" w:fill="D9D9D9"/>
            <w:noWrap/>
            <w:hideMark/>
          </w:tcPr>
          <w:p w14:paraId="1C404C1A" w14:textId="2A9D0D7B" w:rsidR="00846E66" w:rsidRDefault="00A62F50"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A1a, </w:t>
            </w:r>
            <w:r w:rsidR="00846E66">
              <w:rPr>
                <w:rFonts w:eastAsia="Times New Roman"/>
                <w:color w:val="000000"/>
                <w:sz w:val="16"/>
                <w:szCs w:val="16"/>
                <w:lang w:eastAsia="en-GB"/>
              </w:rPr>
              <w:t>A1c, D1a</w:t>
            </w:r>
          </w:p>
        </w:tc>
        <w:tc>
          <w:tcPr>
            <w:tcW w:w="355" w:type="pct"/>
            <w:shd w:val="clear" w:color="auto" w:fill="D9D9D9"/>
            <w:hideMark/>
          </w:tcPr>
          <w:p w14:paraId="69B4418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52.4</w:t>
            </w:r>
          </w:p>
        </w:tc>
        <w:tc>
          <w:tcPr>
            <w:tcW w:w="610" w:type="pct"/>
            <w:shd w:val="clear" w:color="auto" w:fill="D9D9D9"/>
          </w:tcPr>
          <w:p w14:paraId="4341FDAE"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L</w:t>
            </w:r>
          </w:p>
        </w:tc>
        <w:tc>
          <w:tcPr>
            <w:tcW w:w="558" w:type="pct"/>
            <w:shd w:val="clear" w:color="auto" w:fill="D9D9D9"/>
            <w:hideMark/>
          </w:tcPr>
          <w:p w14:paraId="55ADD3CD"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shd w:val="clear" w:color="auto" w:fill="D9D9D9"/>
          </w:tcPr>
          <w:p w14:paraId="08A3464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846E66" w14:paraId="5FEEB132" w14:textId="77777777" w:rsidTr="00C2393A">
        <w:trPr>
          <w:trHeight w:val="300"/>
        </w:trPr>
        <w:tc>
          <w:tcPr>
            <w:tcW w:w="355" w:type="pct"/>
            <w:noWrap/>
            <w:hideMark/>
          </w:tcPr>
          <w:p w14:paraId="77922BC5"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Wandering Albatross </w:t>
            </w:r>
          </w:p>
        </w:tc>
        <w:tc>
          <w:tcPr>
            <w:tcW w:w="454" w:type="pct"/>
            <w:hideMark/>
          </w:tcPr>
          <w:p w14:paraId="3DA60D64"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1.113 : 4.603</w:t>
            </w:r>
          </w:p>
        </w:tc>
        <w:tc>
          <w:tcPr>
            <w:tcW w:w="512" w:type="pct"/>
            <w:noWrap/>
            <w:hideMark/>
          </w:tcPr>
          <w:p w14:paraId="265C93A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Bird Island</w:t>
            </w:r>
          </w:p>
        </w:tc>
        <w:tc>
          <w:tcPr>
            <w:tcW w:w="406" w:type="pct"/>
            <w:noWrap/>
            <w:hideMark/>
          </w:tcPr>
          <w:p w14:paraId="4899AE88"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Incubation</w:t>
            </w:r>
          </w:p>
        </w:tc>
        <w:tc>
          <w:tcPr>
            <w:tcW w:w="254" w:type="pct"/>
            <w:noWrap/>
            <w:hideMark/>
          </w:tcPr>
          <w:p w14:paraId="4AC98613"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tcPr>
          <w:p w14:paraId="30296B9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T</w:t>
            </w:r>
          </w:p>
        </w:tc>
        <w:tc>
          <w:tcPr>
            <w:tcW w:w="356" w:type="pct"/>
            <w:noWrap/>
            <w:hideMark/>
          </w:tcPr>
          <w:p w14:paraId="4011F7F1" w14:textId="60BAF14C" w:rsidR="00846E66" w:rsidRDefault="00A62F50"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A1b, </w:t>
            </w:r>
            <w:r w:rsidR="00846E66">
              <w:rPr>
                <w:rFonts w:eastAsia="Times New Roman"/>
                <w:color w:val="000000"/>
                <w:sz w:val="16"/>
                <w:szCs w:val="16"/>
                <w:lang w:eastAsia="en-GB"/>
              </w:rPr>
              <w:t>A1d, D1a</w:t>
            </w:r>
          </w:p>
        </w:tc>
        <w:tc>
          <w:tcPr>
            <w:tcW w:w="355" w:type="pct"/>
            <w:hideMark/>
          </w:tcPr>
          <w:p w14:paraId="0C61C234"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34.4</w:t>
            </w:r>
          </w:p>
        </w:tc>
        <w:tc>
          <w:tcPr>
            <w:tcW w:w="610" w:type="pct"/>
          </w:tcPr>
          <w:p w14:paraId="1D63FCB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L</w:t>
            </w:r>
          </w:p>
        </w:tc>
        <w:tc>
          <w:tcPr>
            <w:tcW w:w="558" w:type="pct"/>
            <w:hideMark/>
          </w:tcPr>
          <w:p w14:paraId="1FE2B85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tcPr>
          <w:p w14:paraId="57C5F256"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846E66" w14:paraId="6725A5E7" w14:textId="77777777" w:rsidTr="00C2393A">
        <w:trPr>
          <w:trHeight w:val="300"/>
        </w:trPr>
        <w:tc>
          <w:tcPr>
            <w:tcW w:w="355" w:type="pct"/>
            <w:noWrap/>
          </w:tcPr>
          <w:p w14:paraId="6310B0D7" w14:textId="77777777" w:rsidR="00846E66" w:rsidRDefault="00846E66" w:rsidP="00C2393A">
            <w:pPr>
              <w:spacing w:after="0" w:line="240" w:lineRule="auto"/>
              <w:jc w:val="left"/>
              <w:rPr>
                <w:rFonts w:eastAsia="Times New Roman"/>
                <w:color w:val="000000"/>
                <w:sz w:val="16"/>
                <w:szCs w:val="16"/>
                <w:lang w:eastAsia="en-GB"/>
              </w:rPr>
            </w:pPr>
          </w:p>
        </w:tc>
        <w:tc>
          <w:tcPr>
            <w:tcW w:w="454" w:type="pct"/>
            <w:hideMark/>
          </w:tcPr>
          <w:p w14:paraId="125D149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1.378 : 5.4</w:t>
            </w:r>
          </w:p>
        </w:tc>
        <w:tc>
          <w:tcPr>
            <w:tcW w:w="512" w:type="pct"/>
            <w:noWrap/>
            <w:hideMark/>
          </w:tcPr>
          <w:p w14:paraId="17EC3263"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Bird Island</w:t>
            </w:r>
          </w:p>
        </w:tc>
        <w:tc>
          <w:tcPr>
            <w:tcW w:w="406" w:type="pct"/>
            <w:noWrap/>
            <w:hideMark/>
          </w:tcPr>
          <w:p w14:paraId="5B55BCA8"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Brood-guard</w:t>
            </w:r>
          </w:p>
        </w:tc>
        <w:tc>
          <w:tcPr>
            <w:tcW w:w="254" w:type="pct"/>
            <w:noWrap/>
            <w:hideMark/>
          </w:tcPr>
          <w:p w14:paraId="033357D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tcPr>
          <w:p w14:paraId="63BCBE25"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T</w:t>
            </w:r>
          </w:p>
        </w:tc>
        <w:tc>
          <w:tcPr>
            <w:tcW w:w="356" w:type="pct"/>
            <w:noWrap/>
            <w:hideMark/>
          </w:tcPr>
          <w:p w14:paraId="5AD78DC0" w14:textId="5DF289D7" w:rsidR="00846E66" w:rsidRDefault="00A62F50"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A1b, </w:t>
            </w:r>
            <w:r w:rsidR="00846E66">
              <w:rPr>
                <w:rFonts w:eastAsia="Times New Roman"/>
                <w:color w:val="000000"/>
                <w:sz w:val="16"/>
                <w:szCs w:val="16"/>
                <w:lang w:eastAsia="en-GB"/>
              </w:rPr>
              <w:t>A1d, D1a</w:t>
            </w:r>
          </w:p>
        </w:tc>
        <w:tc>
          <w:tcPr>
            <w:tcW w:w="355" w:type="pct"/>
          </w:tcPr>
          <w:p w14:paraId="1A65D658"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82.0</w:t>
            </w:r>
          </w:p>
        </w:tc>
        <w:tc>
          <w:tcPr>
            <w:tcW w:w="610" w:type="pct"/>
          </w:tcPr>
          <w:p w14:paraId="4FDCAE68"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L</w:t>
            </w:r>
          </w:p>
        </w:tc>
        <w:tc>
          <w:tcPr>
            <w:tcW w:w="558" w:type="pct"/>
            <w:hideMark/>
          </w:tcPr>
          <w:p w14:paraId="601BADB6"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L</w:t>
            </w:r>
          </w:p>
        </w:tc>
        <w:tc>
          <w:tcPr>
            <w:tcW w:w="683" w:type="pct"/>
          </w:tcPr>
          <w:p w14:paraId="20E40878"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23.5 (23.5)</w:t>
            </w:r>
          </w:p>
        </w:tc>
      </w:tr>
      <w:tr w:rsidR="00846E66" w14:paraId="2A9E7402" w14:textId="77777777" w:rsidTr="00C2393A">
        <w:trPr>
          <w:trHeight w:val="300"/>
        </w:trPr>
        <w:tc>
          <w:tcPr>
            <w:tcW w:w="355" w:type="pct"/>
            <w:noWrap/>
            <w:hideMark/>
          </w:tcPr>
          <w:p w14:paraId="2A5A859B" w14:textId="77777777" w:rsidR="00846E66" w:rsidRDefault="00846E66" w:rsidP="00C2393A">
            <w:pPr>
              <w:spacing w:after="0" w:line="256" w:lineRule="auto"/>
              <w:jc w:val="left"/>
              <w:rPr>
                <w:rFonts w:asciiTheme="minorHAnsi" w:hAnsiTheme="minorHAnsi" w:cstheme="minorBidi"/>
                <w:sz w:val="20"/>
                <w:szCs w:val="20"/>
                <w:lang w:val="en-GB" w:eastAsia="ja-JP"/>
              </w:rPr>
            </w:pPr>
          </w:p>
        </w:tc>
        <w:tc>
          <w:tcPr>
            <w:tcW w:w="454" w:type="pct"/>
            <w:hideMark/>
          </w:tcPr>
          <w:p w14:paraId="6DC45A5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6.07</w:t>
            </w:r>
          </w:p>
        </w:tc>
        <w:tc>
          <w:tcPr>
            <w:tcW w:w="512" w:type="pct"/>
            <w:noWrap/>
            <w:hideMark/>
          </w:tcPr>
          <w:p w14:paraId="20CB471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Bird Island</w:t>
            </w:r>
          </w:p>
        </w:tc>
        <w:tc>
          <w:tcPr>
            <w:tcW w:w="406" w:type="pct"/>
            <w:noWrap/>
            <w:hideMark/>
          </w:tcPr>
          <w:p w14:paraId="3173759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Post-guard</w:t>
            </w:r>
          </w:p>
        </w:tc>
        <w:tc>
          <w:tcPr>
            <w:tcW w:w="254" w:type="pct"/>
            <w:noWrap/>
            <w:hideMark/>
          </w:tcPr>
          <w:p w14:paraId="357387E3"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tcPr>
          <w:p w14:paraId="2C30DB5E"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T</w:t>
            </w:r>
          </w:p>
        </w:tc>
        <w:tc>
          <w:tcPr>
            <w:tcW w:w="356" w:type="pct"/>
            <w:noWrap/>
            <w:hideMark/>
          </w:tcPr>
          <w:p w14:paraId="695C7F0F" w14:textId="24A18322" w:rsidR="00846E66" w:rsidRDefault="00A62F50"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A1b, </w:t>
            </w:r>
            <w:r w:rsidR="00846E66">
              <w:rPr>
                <w:rFonts w:eastAsia="Times New Roman"/>
                <w:color w:val="000000"/>
                <w:sz w:val="16"/>
                <w:szCs w:val="16"/>
                <w:lang w:eastAsia="en-GB"/>
              </w:rPr>
              <w:t>A1d, D1a</w:t>
            </w:r>
          </w:p>
        </w:tc>
        <w:tc>
          <w:tcPr>
            <w:tcW w:w="355" w:type="pct"/>
          </w:tcPr>
          <w:p w14:paraId="1C836175"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98.1</w:t>
            </w:r>
          </w:p>
        </w:tc>
        <w:tc>
          <w:tcPr>
            <w:tcW w:w="610" w:type="pct"/>
          </w:tcPr>
          <w:p w14:paraId="773E7468"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L</w:t>
            </w:r>
          </w:p>
        </w:tc>
        <w:tc>
          <w:tcPr>
            <w:tcW w:w="558" w:type="pct"/>
            <w:hideMark/>
          </w:tcPr>
          <w:p w14:paraId="3204AEBF"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L</w:t>
            </w:r>
          </w:p>
        </w:tc>
        <w:tc>
          <w:tcPr>
            <w:tcW w:w="683" w:type="pct"/>
          </w:tcPr>
          <w:p w14:paraId="78B09DB0"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27.8 (27.8)</w:t>
            </w:r>
          </w:p>
        </w:tc>
      </w:tr>
      <w:tr w:rsidR="00846E66" w14:paraId="1B56BF54" w14:textId="77777777" w:rsidTr="00C2393A">
        <w:trPr>
          <w:trHeight w:val="300"/>
        </w:trPr>
        <w:tc>
          <w:tcPr>
            <w:tcW w:w="355" w:type="pct"/>
            <w:shd w:val="clear" w:color="auto" w:fill="D9D9D9"/>
            <w:noWrap/>
            <w:hideMark/>
          </w:tcPr>
          <w:p w14:paraId="1BD52900"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Northern Giant Petrel</w:t>
            </w:r>
          </w:p>
        </w:tc>
        <w:tc>
          <w:tcPr>
            <w:tcW w:w="454" w:type="pct"/>
            <w:shd w:val="clear" w:color="auto" w:fill="D9D9D9"/>
            <w:hideMark/>
          </w:tcPr>
          <w:p w14:paraId="5B92A849"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1.187 : 5.047</w:t>
            </w:r>
          </w:p>
        </w:tc>
        <w:tc>
          <w:tcPr>
            <w:tcW w:w="512" w:type="pct"/>
            <w:shd w:val="clear" w:color="auto" w:fill="D9D9D9"/>
            <w:noWrap/>
            <w:hideMark/>
          </w:tcPr>
          <w:p w14:paraId="244ED6B5"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Bird Island</w:t>
            </w:r>
          </w:p>
        </w:tc>
        <w:tc>
          <w:tcPr>
            <w:tcW w:w="406" w:type="pct"/>
            <w:shd w:val="clear" w:color="auto" w:fill="D9D9D9"/>
            <w:noWrap/>
            <w:hideMark/>
          </w:tcPr>
          <w:p w14:paraId="7F8F9D9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Brood-guard</w:t>
            </w:r>
          </w:p>
        </w:tc>
        <w:tc>
          <w:tcPr>
            <w:tcW w:w="254" w:type="pct"/>
            <w:shd w:val="clear" w:color="auto" w:fill="D9D9D9"/>
            <w:hideMark/>
          </w:tcPr>
          <w:p w14:paraId="439DA0C4"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F</w:t>
            </w:r>
          </w:p>
        </w:tc>
        <w:tc>
          <w:tcPr>
            <w:tcW w:w="457" w:type="pct"/>
            <w:shd w:val="clear" w:color="auto" w:fill="D9D9D9"/>
          </w:tcPr>
          <w:p w14:paraId="112D633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T</w:t>
            </w:r>
          </w:p>
        </w:tc>
        <w:tc>
          <w:tcPr>
            <w:tcW w:w="356" w:type="pct"/>
            <w:shd w:val="clear" w:color="auto" w:fill="D9D9D9"/>
            <w:noWrap/>
            <w:hideMark/>
          </w:tcPr>
          <w:p w14:paraId="1544BB15"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D1a</w:t>
            </w:r>
          </w:p>
        </w:tc>
        <w:tc>
          <w:tcPr>
            <w:tcW w:w="355" w:type="pct"/>
            <w:shd w:val="clear" w:color="auto" w:fill="D9D9D9"/>
          </w:tcPr>
          <w:p w14:paraId="08C9D6A5"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100</w:t>
            </w:r>
          </w:p>
        </w:tc>
        <w:tc>
          <w:tcPr>
            <w:tcW w:w="610" w:type="pct"/>
            <w:shd w:val="clear" w:color="auto" w:fill="D9D9D9"/>
          </w:tcPr>
          <w:p w14:paraId="423C2C64"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L</w:t>
            </w:r>
          </w:p>
        </w:tc>
        <w:tc>
          <w:tcPr>
            <w:tcW w:w="558" w:type="pct"/>
            <w:shd w:val="clear" w:color="auto" w:fill="D9D9D9"/>
            <w:hideMark/>
          </w:tcPr>
          <w:p w14:paraId="197FD7DD"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shd w:val="clear" w:color="auto" w:fill="D9D9D9"/>
          </w:tcPr>
          <w:p w14:paraId="5889037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846E66" w14:paraId="2223C2BA" w14:textId="77777777" w:rsidTr="00C2393A">
        <w:trPr>
          <w:trHeight w:val="300"/>
        </w:trPr>
        <w:tc>
          <w:tcPr>
            <w:tcW w:w="355" w:type="pct"/>
            <w:shd w:val="clear" w:color="auto" w:fill="D9D9D9"/>
            <w:noWrap/>
            <w:hideMark/>
          </w:tcPr>
          <w:p w14:paraId="69F6BDD9"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w:t>
            </w:r>
          </w:p>
        </w:tc>
        <w:tc>
          <w:tcPr>
            <w:tcW w:w="454" w:type="pct"/>
            <w:shd w:val="clear" w:color="auto" w:fill="D9D9D9"/>
            <w:hideMark/>
          </w:tcPr>
          <w:p w14:paraId="39DE20D9"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5.253</w:t>
            </w:r>
          </w:p>
        </w:tc>
        <w:tc>
          <w:tcPr>
            <w:tcW w:w="512" w:type="pct"/>
            <w:shd w:val="clear" w:color="auto" w:fill="D9D9D9"/>
            <w:noWrap/>
            <w:hideMark/>
          </w:tcPr>
          <w:p w14:paraId="199EF7B5"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Bird Island</w:t>
            </w:r>
          </w:p>
        </w:tc>
        <w:tc>
          <w:tcPr>
            <w:tcW w:w="406" w:type="pct"/>
            <w:shd w:val="clear" w:color="auto" w:fill="D9D9D9"/>
            <w:noWrap/>
            <w:hideMark/>
          </w:tcPr>
          <w:p w14:paraId="02918A30"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Brood-guard</w:t>
            </w:r>
          </w:p>
        </w:tc>
        <w:tc>
          <w:tcPr>
            <w:tcW w:w="254" w:type="pct"/>
            <w:shd w:val="clear" w:color="auto" w:fill="D9D9D9"/>
            <w:hideMark/>
          </w:tcPr>
          <w:p w14:paraId="246F061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w:t>
            </w:r>
          </w:p>
        </w:tc>
        <w:tc>
          <w:tcPr>
            <w:tcW w:w="457" w:type="pct"/>
            <w:shd w:val="clear" w:color="auto" w:fill="D9D9D9"/>
          </w:tcPr>
          <w:p w14:paraId="5249721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T</w:t>
            </w:r>
          </w:p>
        </w:tc>
        <w:tc>
          <w:tcPr>
            <w:tcW w:w="356" w:type="pct"/>
            <w:shd w:val="clear" w:color="auto" w:fill="D9D9D9"/>
            <w:noWrap/>
            <w:hideMark/>
          </w:tcPr>
          <w:p w14:paraId="66AB46CE"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D1a</w:t>
            </w:r>
          </w:p>
        </w:tc>
        <w:tc>
          <w:tcPr>
            <w:tcW w:w="355" w:type="pct"/>
            <w:shd w:val="clear" w:color="auto" w:fill="D9D9D9"/>
          </w:tcPr>
          <w:p w14:paraId="53C8343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100</w:t>
            </w:r>
          </w:p>
        </w:tc>
        <w:tc>
          <w:tcPr>
            <w:tcW w:w="610" w:type="pct"/>
            <w:shd w:val="clear" w:color="auto" w:fill="D9D9D9"/>
          </w:tcPr>
          <w:p w14:paraId="4288D51D"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L</w:t>
            </w:r>
          </w:p>
        </w:tc>
        <w:tc>
          <w:tcPr>
            <w:tcW w:w="558" w:type="pct"/>
            <w:shd w:val="clear" w:color="auto" w:fill="D9D9D9"/>
            <w:hideMark/>
          </w:tcPr>
          <w:p w14:paraId="166481E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shd w:val="clear" w:color="auto" w:fill="D9D9D9"/>
          </w:tcPr>
          <w:p w14:paraId="28D8D9AE"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846E66" w14:paraId="16DF30C9" w14:textId="77777777" w:rsidTr="00C2393A">
        <w:trPr>
          <w:trHeight w:val="300"/>
        </w:trPr>
        <w:tc>
          <w:tcPr>
            <w:tcW w:w="355" w:type="pct"/>
            <w:shd w:val="clear" w:color="auto" w:fill="D9D9D9"/>
            <w:noWrap/>
            <w:hideMark/>
          </w:tcPr>
          <w:p w14:paraId="50F21D3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w:t>
            </w:r>
          </w:p>
        </w:tc>
        <w:tc>
          <w:tcPr>
            <w:tcW w:w="454" w:type="pct"/>
            <w:shd w:val="clear" w:color="auto" w:fill="D9D9D9"/>
            <w:hideMark/>
          </w:tcPr>
          <w:p w14:paraId="73583B18"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5.642</w:t>
            </w:r>
          </w:p>
        </w:tc>
        <w:tc>
          <w:tcPr>
            <w:tcW w:w="512" w:type="pct"/>
            <w:shd w:val="clear" w:color="auto" w:fill="D9D9D9"/>
            <w:noWrap/>
            <w:hideMark/>
          </w:tcPr>
          <w:p w14:paraId="1ADFFFAE"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Bird Island</w:t>
            </w:r>
          </w:p>
        </w:tc>
        <w:tc>
          <w:tcPr>
            <w:tcW w:w="406" w:type="pct"/>
            <w:shd w:val="clear" w:color="auto" w:fill="D9D9D9"/>
            <w:noWrap/>
            <w:hideMark/>
          </w:tcPr>
          <w:p w14:paraId="1E6088B6"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Post-guard</w:t>
            </w:r>
          </w:p>
        </w:tc>
        <w:tc>
          <w:tcPr>
            <w:tcW w:w="254" w:type="pct"/>
            <w:shd w:val="clear" w:color="auto" w:fill="D9D9D9"/>
            <w:hideMark/>
          </w:tcPr>
          <w:p w14:paraId="78696111"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w:t>
            </w:r>
          </w:p>
        </w:tc>
        <w:tc>
          <w:tcPr>
            <w:tcW w:w="457" w:type="pct"/>
            <w:shd w:val="clear" w:color="auto" w:fill="D9D9D9"/>
          </w:tcPr>
          <w:p w14:paraId="7DBDB6C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T</w:t>
            </w:r>
          </w:p>
        </w:tc>
        <w:tc>
          <w:tcPr>
            <w:tcW w:w="356" w:type="pct"/>
            <w:shd w:val="clear" w:color="auto" w:fill="D9D9D9"/>
            <w:noWrap/>
            <w:hideMark/>
          </w:tcPr>
          <w:p w14:paraId="721A800E"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D1a</w:t>
            </w:r>
          </w:p>
        </w:tc>
        <w:tc>
          <w:tcPr>
            <w:tcW w:w="355" w:type="pct"/>
            <w:shd w:val="clear" w:color="auto" w:fill="D9D9D9"/>
          </w:tcPr>
          <w:p w14:paraId="7DAF921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100</w:t>
            </w:r>
          </w:p>
        </w:tc>
        <w:tc>
          <w:tcPr>
            <w:tcW w:w="610" w:type="pct"/>
            <w:shd w:val="clear" w:color="auto" w:fill="D9D9D9"/>
          </w:tcPr>
          <w:p w14:paraId="53848A0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L</w:t>
            </w:r>
          </w:p>
        </w:tc>
        <w:tc>
          <w:tcPr>
            <w:tcW w:w="558" w:type="pct"/>
            <w:shd w:val="clear" w:color="auto" w:fill="D9D9D9"/>
            <w:hideMark/>
          </w:tcPr>
          <w:p w14:paraId="1EB0B46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shd w:val="clear" w:color="auto" w:fill="D9D9D9"/>
          </w:tcPr>
          <w:p w14:paraId="7C064056"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846E66" w14:paraId="04448845" w14:textId="77777777" w:rsidTr="00C2393A">
        <w:trPr>
          <w:trHeight w:val="300"/>
        </w:trPr>
        <w:tc>
          <w:tcPr>
            <w:tcW w:w="355" w:type="pct"/>
            <w:noWrap/>
            <w:hideMark/>
          </w:tcPr>
          <w:p w14:paraId="0B5F4725"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White-chinned Petrel</w:t>
            </w:r>
          </w:p>
        </w:tc>
        <w:tc>
          <w:tcPr>
            <w:tcW w:w="454" w:type="pct"/>
            <w:hideMark/>
          </w:tcPr>
          <w:p w14:paraId="61390BC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0.159 : 0.358</w:t>
            </w:r>
          </w:p>
        </w:tc>
        <w:tc>
          <w:tcPr>
            <w:tcW w:w="512" w:type="pct"/>
            <w:noWrap/>
            <w:hideMark/>
          </w:tcPr>
          <w:p w14:paraId="64862ACF"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Bird Island</w:t>
            </w:r>
          </w:p>
        </w:tc>
        <w:tc>
          <w:tcPr>
            <w:tcW w:w="406" w:type="pct"/>
            <w:noWrap/>
            <w:hideMark/>
          </w:tcPr>
          <w:p w14:paraId="0A252CA8"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Brood-guard</w:t>
            </w:r>
          </w:p>
        </w:tc>
        <w:tc>
          <w:tcPr>
            <w:tcW w:w="254" w:type="pct"/>
            <w:noWrap/>
            <w:hideMark/>
          </w:tcPr>
          <w:p w14:paraId="4F2EDA4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tcPr>
          <w:p w14:paraId="5377FCC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T</w:t>
            </w:r>
          </w:p>
        </w:tc>
        <w:tc>
          <w:tcPr>
            <w:tcW w:w="356" w:type="pct"/>
            <w:noWrap/>
            <w:hideMark/>
          </w:tcPr>
          <w:p w14:paraId="3D29403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A1d</w:t>
            </w:r>
          </w:p>
        </w:tc>
        <w:tc>
          <w:tcPr>
            <w:tcW w:w="355" w:type="pct"/>
          </w:tcPr>
          <w:p w14:paraId="7291B40E"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100</w:t>
            </w:r>
          </w:p>
        </w:tc>
        <w:tc>
          <w:tcPr>
            <w:tcW w:w="610" w:type="pct"/>
          </w:tcPr>
          <w:p w14:paraId="5AB565C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K, L, P</w:t>
            </w:r>
          </w:p>
        </w:tc>
        <w:tc>
          <w:tcPr>
            <w:tcW w:w="558" w:type="pct"/>
            <w:hideMark/>
          </w:tcPr>
          <w:p w14:paraId="7C0DBA3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P</w:t>
            </w:r>
          </w:p>
        </w:tc>
        <w:tc>
          <w:tcPr>
            <w:tcW w:w="683" w:type="pct"/>
          </w:tcPr>
          <w:p w14:paraId="35AE8C2E"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88.9 (88.9)</w:t>
            </w:r>
          </w:p>
        </w:tc>
      </w:tr>
      <w:tr w:rsidR="00846E66" w14:paraId="68BFAD44" w14:textId="77777777" w:rsidTr="00C2393A">
        <w:trPr>
          <w:trHeight w:val="300"/>
        </w:trPr>
        <w:tc>
          <w:tcPr>
            <w:tcW w:w="355" w:type="pct"/>
            <w:shd w:val="clear" w:color="auto" w:fill="D9D9D9"/>
            <w:noWrap/>
            <w:hideMark/>
          </w:tcPr>
          <w:p w14:paraId="542C8473"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Chinstrap Penguin </w:t>
            </w:r>
          </w:p>
        </w:tc>
        <w:tc>
          <w:tcPr>
            <w:tcW w:w="454" w:type="pct"/>
            <w:shd w:val="clear" w:color="auto" w:fill="D9D9D9"/>
            <w:hideMark/>
          </w:tcPr>
          <w:p w14:paraId="4AE21142" w14:textId="77777777" w:rsidR="00846E66" w:rsidRDefault="00846E66" w:rsidP="00C2393A">
            <w:pPr>
              <w:spacing w:after="0" w:line="240" w:lineRule="auto"/>
              <w:jc w:val="left"/>
              <w:rPr>
                <w:color w:val="000000"/>
                <w:sz w:val="16"/>
                <w:szCs w:val="16"/>
                <w:lang w:val="fr-FR"/>
              </w:rPr>
            </w:pPr>
            <w:r>
              <w:rPr>
                <w:color w:val="000000"/>
                <w:sz w:val="16"/>
                <w:szCs w:val="16"/>
                <w:lang w:val="fr-FR"/>
              </w:rPr>
              <w:t>1.58 : 41.67</w:t>
            </w:r>
          </w:p>
        </w:tc>
        <w:tc>
          <w:tcPr>
            <w:tcW w:w="512" w:type="pct"/>
            <w:shd w:val="clear" w:color="auto" w:fill="D9D9D9"/>
            <w:noWrap/>
            <w:hideMark/>
          </w:tcPr>
          <w:p w14:paraId="5DBCF6E1"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South Sandwich Islands</w:t>
            </w:r>
          </w:p>
        </w:tc>
        <w:tc>
          <w:tcPr>
            <w:tcW w:w="406" w:type="pct"/>
            <w:shd w:val="clear" w:color="auto" w:fill="D9D9D9"/>
            <w:noWrap/>
            <w:hideMark/>
          </w:tcPr>
          <w:p w14:paraId="3557F0C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Breeding</w:t>
            </w:r>
          </w:p>
        </w:tc>
        <w:tc>
          <w:tcPr>
            <w:tcW w:w="254" w:type="pct"/>
            <w:shd w:val="clear" w:color="auto" w:fill="D9D9D9"/>
            <w:noWrap/>
            <w:hideMark/>
          </w:tcPr>
          <w:p w14:paraId="09BCD05F"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shd w:val="clear" w:color="auto" w:fill="D9D9D9"/>
          </w:tcPr>
          <w:p w14:paraId="2B928A54"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F(60)</w:t>
            </w:r>
          </w:p>
        </w:tc>
        <w:tc>
          <w:tcPr>
            <w:tcW w:w="356" w:type="pct"/>
            <w:shd w:val="clear" w:color="auto" w:fill="D9D9D9"/>
            <w:noWrap/>
            <w:hideMark/>
          </w:tcPr>
          <w:p w14:paraId="2FD18CBD"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D1a</w:t>
            </w:r>
          </w:p>
        </w:tc>
        <w:tc>
          <w:tcPr>
            <w:tcW w:w="355" w:type="pct"/>
            <w:shd w:val="clear" w:color="auto" w:fill="D9D9D9"/>
          </w:tcPr>
          <w:p w14:paraId="1510E86F"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100</w:t>
            </w:r>
          </w:p>
        </w:tc>
        <w:tc>
          <w:tcPr>
            <w:tcW w:w="610" w:type="pct"/>
            <w:shd w:val="clear" w:color="auto" w:fill="D9D9D9"/>
          </w:tcPr>
          <w:p w14:paraId="44B19F86"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K</w:t>
            </w:r>
          </w:p>
        </w:tc>
        <w:tc>
          <w:tcPr>
            <w:tcW w:w="558" w:type="pct"/>
            <w:shd w:val="clear" w:color="auto" w:fill="D9D9D9"/>
            <w:hideMark/>
          </w:tcPr>
          <w:p w14:paraId="6D41B02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shd w:val="clear" w:color="auto" w:fill="D9D9D9"/>
          </w:tcPr>
          <w:p w14:paraId="0C104F5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846E66" w14:paraId="42C3C719" w14:textId="77777777" w:rsidTr="00C2393A">
        <w:trPr>
          <w:trHeight w:val="300"/>
        </w:trPr>
        <w:tc>
          <w:tcPr>
            <w:tcW w:w="355" w:type="pct"/>
            <w:noWrap/>
            <w:hideMark/>
          </w:tcPr>
          <w:p w14:paraId="1C66F78D"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Gentoo Penguin </w:t>
            </w:r>
          </w:p>
        </w:tc>
        <w:tc>
          <w:tcPr>
            <w:tcW w:w="454" w:type="pct"/>
            <w:hideMark/>
          </w:tcPr>
          <w:p w14:paraId="35339AA4"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29.43</w:t>
            </w:r>
          </w:p>
        </w:tc>
        <w:tc>
          <w:tcPr>
            <w:tcW w:w="512" w:type="pct"/>
            <w:noWrap/>
            <w:hideMark/>
          </w:tcPr>
          <w:p w14:paraId="17C044D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South Georgia</w:t>
            </w:r>
          </w:p>
        </w:tc>
        <w:tc>
          <w:tcPr>
            <w:tcW w:w="406" w:type="pct"/>
            <w:noWrap/>
            <w:hideMark/>
          </w:tcPr>
          <w:p w14:paraId="461CEB74"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Breeding</w:t>
            </w:r>
          </w:p>
        </w:tc>
        <w:tc>
          <w:tcPr>
            <w:tcW w:w="254" w:type="pct"/>
            <w:noWrap/>
            <w:hideMark/>
          </w:tcPr>
          <w:p w14:paraId="5E819FB3"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tcPr>
          <w:p w14:paraId="2DD878B6"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F(17)</w:t>
            </w:r>
          </w:p>
        </w:tc>
        <w:tc>
          <w:tcPr>
            <w:tcW w:w="356" w:type="pct"/>
            <w:noWrap/>
            <w:hideMark/>
          </w:tcPr>
          <w:p w14:paraId="649B9A0F"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D1a</w:t>
            </w:r>
          </w:p>
        </w:tc>
        <w:tc>
          <w:tcPr>
            <w:tcW w:w="355" w:type="pct"/>
          </w:tcPr>
          <w:p w14:paraId="4072174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100</w:t>
            </w:r>
          </w:p>
        </w:tc>
        <w:tc>
          <w:tcPr>
            <w:tcW w:w="610" w:type="pct"/>
          </w:tcPr>
          <w:p w14:paraId="73F3D2D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K</w:t>
            </w:r>
          </w:p>
        </w:tc>
        <w:tc>
          <w:tcPr>
            <w:tcW w:w="558" w:type="pct"/>
            <w:hideMark/>
          </w:tcPr>
          <w:p w14:paraId="6BED3A7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tcPr>
          <w:p w14:paraId="06E96491"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846E66" w14:paraId="375D3506" w14:textId="77777777" w:rsidTr="00C2393A">
        <w:trPr>
          <w:trHeight w:val="300"/>
        </w:trPr>
        <w:tc>
          <w:tcPr>
            <w:tcW w:w="355" w:type="pct"/>
            <w:noWrap/>
            <w:hideMark/>
          </w:tcPr>
          <w:p w14:paraId="6BB9DB4D" w14:textId="77777777" w:rsidR="00846E66" w:rsidRDefault="00846E66" w:rsidP="00C2393A">
            <w:pPr>
              <w:spacing w:after="0" w:line="256" w:lineRule="auto"/>
              <w:jc w:val="left"/>
              <w:rPr>
                <w:rFonts w:asciiTheme="minorHAnsi" w:hAnsiTheme="minorHAnsi" w:cstheme="minorBidi"/>
                <w:sz w:val="20"/>
                <w:szCs w:val="20"/>
                <w:lang w:val="en-GB" w:eastAsia="ja-JP"/>
              </w:rPr>
            </w:pPr>
          </w:p>
        </w:tc>
        <w:tc>
          <w:tcPr>
            <w:tcW w:w="454" w:type="pct"/>
            <w:hideMark/>
          </w:tcPr>
          <w:p w14:paraId="541F154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29.43</w:t>
            </w:r>
          </w:p>
        </w:tc>
        <w:tc>
          <w:tcPr>
            <w:tcW w:w="512" w:type="pct"/>
            <w:noWrap/>
            <w:hideMark/>
          </w:tcPr>
          <w:p w14:paraId="47802BD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South Georgia</w:t>
            </w:r>
          </w:p>
        </w:tc>
        <w:tc>
          <w:tcPr>
            <w:tcW w:w="406" w:type="pct"/>
            <w:noWrap/>
            <w:hideMark/>
          </w:tcPr>
          <w:p w14:paraId="1B1DE7C4"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Winter</w:t>
            </w:r>
          </w:p>
        </w:tc>
        <w:tc>
          <w:tcPr>
            <w:tcW w:w="254" w:type="pct"/>
            <w:noWrap/>
            <w:hideMark/>
          </w:tcPr>
          <w:p w14:paraId="655100D3"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tcPr>
          <w:p w14:paraId="6F998873"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F(17)</w:t>
            </w:r>
          </w:p>
        </w:tc>
        <w:tc>
          <w:tcPr>
            <w:tcW w:w="356" w:type="pct"/>
            <w:noWrap/>
            <w:hideMark/>
          </w:tcPr>
          <w:p w14:paraId="70148FE5"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D1a</w:t>
            </w:r>
          </w:p>
        </w:tc>
        <w:tc>
          <w:tcPr>
            <w:tcW w:w="355" w:type="pct"/>
          </w:tcPr>
          <w:p w14:paraId="5FE1489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100</w:t>
            </w:r>
          </w:p>
        </w:tc>
        <w:tc>
          <w:tcPr>
            <w:tcW w:w="610" w:type="pct"/>
          </w:tcPr>
          <w:p w14:paraId="60AAA13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K</w:t>
            </w:r>
          </w:p>
        </w:tc>
        <w:tc>
          <w:tcPr>
            <w:tcW w:w="558" w:type="pct"/>
            <w:hideMark/>
          </w:tcPr>
          <w:p w14:paraId="0CF6DAED"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K</w:t>
            </w:r>
          </w:p>
        </w:tc>
        <w:tc>
          <w:tcPr>
            <w:tcW w:w="683" w:type="pct"/>
          </w:tcPr>
          <w:p w14:paraId="75396ED1"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0 (0)</w:t>
            </w:r>
          </w:p>
        </w:tc>
      </w:tr>
      <w:tr w:rsidR="00846E66" w14:paraId="6308D9A9" w14:textId="77777777" w:rsidTr="00C2393A">
        <w:trPr>
          <w:trHeight w:val="300"/>
        </w:trPr>
        <w:tc>
          <w:tcPr>
            <w:tcW w:w="355" w:type="pct"/>
            <w:shd w:val="clear" w:color="auto" w:fill="D9D9D9"/>
            <w:noWrap/>
            <w:hideMark/>
          </w:tcPr>
          <w:p w14:paraId="0DC7ECA4"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King Penguin </w:t>
            </w:r>
          </w:p>
        </w:tc>
        <w:tc>
          <w:tcPr>
            <w:tcW w:w="454" w:type="pct"/>
            <w:shd w:val="clear" w:color="auto" w:fill="D9D9D9"/>
            <w:hideMark/>
          </w:tcPr>
          <w:p w14:paraId="49CE11A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1.05</w:t>
            </w:r>
          </w:p>
        </w:tc>
        <w:tc>
          <w:tcPr>
            <w:tcW w:w="512" w:type="pct"/>
            <w:shd w:val="clear" w:color="auto" w:fill="D9D9D9"/>
            <w:noWrap/>
            <w:hideMark/>
          </w:tcPr>
          <w:p w14:paraId="0188888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Hound Bay</w:t>
            </w:r>
          </w:p>
        </w:tc>
        <w:tc>
          <w:tcPr>
            <w:tcW w:w="406" w:type="pct"/>
            <w:shd w:val="clear" w:color="auto" w:fill="D9D9D9"/>
            <w:noWrap/>
            <w:hideMark/>
          </w:tcPr>
          <w:p w14:paraId="6DEAF18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Brood-guard</w:t>
            </w:r>
          </w:p>
        </w:tc>
        <w:tc>
          <w:tcPr>
            <w:tcW w:w="254" w:type="pct"/>
            <w:shd w:val="clear" w:color="auto" w:fill="D9D9D9"/>
            <w:noWrap/>
            <w:hideMark/>
          </w:tcPr>
          <w:p w14:paraId="69415269"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shd w:val="clear" w:color="auto" w:fill="D9D9D9"/>
          </w:tcPr>
          <w:p w14:paraId="0A0387B3"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T</w:t>
            </w:r>
          </w:p>
        </w:tc>
        <w:tc>
          <w:tcPr>
            <w:tcW w:w="356" w:type="pct"/>
            <w:shd w:val="clear" w:color="auto" w:fill="D9D9D9"/>
            <w:noWrap/>
            <w:hideMark/>
          </w:tcPr>
          <w:p w14:paraId="447993AD"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D1a</w:t>
            </w:r>
          </w:p>
        </w:tc>
        <w:tc>
          <w:tcPr>
            <w:tcW w:w="355" w:type="pct"/>
            <w:shd w:val="clear" w:color="auto" w:fill="D9D9D9"/>
          </w:tcPr>
          <w:p w14:paraId="07232FC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100</w:t>
            </w:r>
          </w:p>
        </w:tc>
        <w:tc>
          <w:tcPr>
            <w:tcW w:w="610" w:type="pct"/>
            <w:shd w:val="clear" w:color="auto" w:fill="D9D9D9"/>
          </w:tcPr>
          <w:p w14:paraId="6BED06F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558" w:type="pct"/>
            <w:shd w:val="clear" w:color="auto" w:fill="D9D9D9"/>
            <w:hideMark/>
          </w:tcPr>
          <w:p w14:paraId="7F31F0FF"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shd w:val="clear" w:color="auto" w:fill="D9D9D9"/>
          </w:tcPr>
          <w:p w14:paraId="39F765C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846E66" w14:paraId="0311B07C" w14:textId="77777777" w:rsidTr="00C2393A">
        <w:trPr>
          <w:trHeight w:val="300"/>
        </w:trPr>
        <w:tc>
          <w:tcPr>
            <w:tcW w:w="355" w:type="pct"/>
            <w:shd w:val="clear" w:color="auto" w:fill="D9D9D9"/>
            <w:noWrap/>
            <w:hideMark/>
          </w:tcPr>
          <w:p w14:paraId="65931C15"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w:t>
            </w:r>
          </w:p>
        </w:tc>
        <w:tc>
          <w:tcPr>
            <w:tcW w:w="454" w:type="pct"/>
            <w:shd w:val="clear" w:color="auto" w:fill="D9D9D9"/>
            <w:hideMark/>
          </w:tcPr>
          <w:p w14:paraId="57A93CD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1.395</w:t>
            </w:r>
          </w:p>
        </w:tc>
        <w:tc>
          <w:tcPr>
            <w:tcW w:w="512" w:type="pct"/>
            <w:shd w:val="clear" w:color="auto" w:fill="D9D9D9"/>
            <w:noWrap/>
            <w:hideMark/>
          </w:tcPr>
          <w:p w14:paraId="12904E44"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Salisbury Plain</w:t>
            </w:r>
          </w:p>
        </w:tc>
        <w:tc>
          <w:tcPr>
            <w:tcW w:w="406" w:type="pct"/>
            <w:shd w:val="clear" w:color="auto" w:fill="D9D9D9"/>
            <w:noWrap/>
            <w:hideMark/>
          </w:tcPr>
          <w:p w14:paraId="45173CB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Unknown chick status</w:t>
            </w:r>
          </w:p>
        </w:tc>
        <w:tc>
          <w:tcPr>
            <w:tcW w:w="254" w:type="pct"/>
            <w:shd w:val="clear" w:color="auto" w:fill="D9D9D9"/>
            <w:noWrap/>
            <w:hideMark/>
          </w:tcPr>
          <w:p w14:paraId="278183FD"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shd w:val="clear" w:color="auto" w:fill="D9D9D9"/>
          </w:tcPr>
          <w:p w14:paraId="2EB14146"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T</w:t>
            </w:r>
          </w:p>
        </w:tc>
        <w:tc>
          <w:tcPr>
            <w:tcW w:w="356" w:type="pct"/>
            <w:shd w:val="clear" w:color="auto" w:fill="D9D9D9"/>
            <w:noWrap/>
            <w:hideMark/>
          </w:tcPr>
          <w:p w14:paraId="6121F564"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D1a</w:t>
            </w:r>
          </w:p>
        </w:tc>
        <w:tc>
          <w:tcPr>
            <w:tcW w:w="355" w:type="pct"/>
            <w:shd w:val="clear" w:color="auto" w:fill="D9D9D9"/>
          </w:tcPr>
          <w:p w14:paraId="6ECFEAC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100</w:t>
            </w:r>
          </w:p>
        </w:tc>
        <w:tc>
          <w:tcPr>
            <w:tcW w:w="610" w:type="pct"/>
            <w:shd w:val="clear" w:color="auto" w:fill="D9D9D9"/>
          </w:tcPr>
          <w:p w14:paraId="396F7C69"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558" w:type="pct"/>
            <w:shd w:val="clear" w:color="auto" w:fill="D9D9D9"/>
            <w:hideMark/>
          </w:tcPr>
          <w:p w14:paraId="05049BFE"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shd w:val="clear" w:color="auto" w:fill="D9D9D9"/>
          </w:tcPr>
          <w:p w14:paraId="1CE11C91"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846E66" w14:paraId="68A81E2E" w14:textId="77777777" w:rsidTr="00C2393A">
        <w:trPr>
          <w:trHeight w:val="300"/>
        </w:trPr>
        <w:tc>
          <w:tcPr>
            <w:tcW w:w="355" w:type="pct"/>
            <w:noWrap/>
            <w:hideMark/>
          </w:tcPr>
          <w:p w14:paraId="58AC354D"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Macaroni Penguin </w:t>
            </w:r>
          </w:p>
        </w:tc>
        <w:tc>
          <w:tcPr>
            <w:tcW w:w="454" w:type="pct"/>
            <w:hideMark/>
          </w:tcPr>
          <w:p w14:paraId="6185A3E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0.41</w:t>
            </w:r>
          </w:p>
        </w:tc>
        <w:tc>
          <w:tcPr>
            <w:tcW w:w="512" w:type="pct"/>
            <w:noWrap/>
            <w:hideMark/>
          </w:tcPr>
          <w:p w14:paraId="5EEE29C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Fairy Point &amp; Goldcrest Point</w:t>
            </w:r>
          </w:p>
        </w:tc>
        <w:tc>
          <w:tcPr>
            <w:tcW w:w="406" w:type="pct"/>
            <w:noWrap/>
            <w:hideMark/>
          </w:tcPr>
          <w:p w14:paraId="71C605C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Incubation</w:t>
            </w:r>
          </w:p>
        </w:tc>
        <w:tc>
          <w:tcPr>
            <w:tcW w:w="254" w:type="pct"/>
            <w:noWrap/>
            <w:hideMark/>
          </w:tcPr>
          <w:p w14:paraId="54D92DA9"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tcPr>
          <w:p w14:paraId="2AB9A269"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T</w:t>
            </w:r>
          </w:p>
        </w:tc>
        <w:tc>
          <w:tcPr>
            <w:tcW w:w="356" w:type="pct"/>
            <w:noWrap/>
            <w:hideMark/>
          </w:tcPr>
          <w:p w14:paraId="2E984CD8"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A1d</w:t>
            </w:r>
          </w:p>
        </w:tc>
        <w:tc>
          <w:tcPr>
            <w:tcW w:w="355" w:type="pct"/>
          </w:tcPr>
          <w:p w14:paraId="23C8C4E0"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83.0</w:t>
            </w:r>
          </w:p>
        </w:tc>
        <w:tc>
          <w:tcPr>
            <w:tcW w:w="610" w:type="pct"/>
          </w:tcPr>
          <w:p w14:paraId="68358703"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K</w:t>
            </w:r>
          </w:p>
        </w:tc>
        <w:tc>
          <w:tcPr>
            <w:tcW w:w="558" w:type="pct"/>
            <w:hideMark/>
          </w:tcPr>
          <w:p w14:paraId="68895C6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tcPr>
          <w:p w14:paraId="78AB8F5F"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846E66" w14:paraId="4B0B6955" w14:textId="77777777" w:rsidTr="00C2393A">
        <w:trPr>
          <w:trHeight w:val="300"/>
        </w:trPr>
        <w:tc>
          <w:tcPr>
            <w:tcW w:w="355" w:type="pct"/>
            <w:noWrap/>
            <w:hideMark/>
          </w:tcPr>
          <w:p w14:paraId="149AAF7E" w14:textId="77777777" w:rsidR="00846E66" w:rsidRDefault="00846E66" w:rsidP="00C2393A">
            <w:pPr>
              <w:spacing w:after="0" w:line="256" w:lineRule="auto"/>
              <w:jc w:val="left"/>
              <w:rPr>
                <w:rFonts w:asciiTheme="minorHAnsi" w:hAnsiTheme="minorHAnsi" w:cstheme="minorBidi"/>
                <w:sz w:val="20"/>
                <w:szCs w:val="20"/>
                <w:lang w:val="en-GB" w:eastAsia="ja-JP"/>
              </w:rPr>
            </w:pPr>
          </w:p>
        </w:tc>
        <w:tc>
          <w:tcPr>
            <w:tcW w:w="454" w:type="pct"/>
            <w:hideMark/>
          </w:tcPr>
          <w:p w14:paraId="0D4B3404"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16.34</w:t>
            </w:r>
          </w:p>
        </w:tc>
        <w:tc>
          <w:tcPr>
            <w:tcW w:w="512" w:type="pct"/>
            <w:noWrap/>
            <w:hideMark/>
          </w:tcPr>
          <w:p w14:paraId="19173C9F"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South Georgia</w:t>
            </w:r>
          </w:p>
        </w:tc>
        <w:tc>
          <w:tcPr>
            <w:tcW w:w="406" w:type="pct"/>
            <w:noWrap/>
            <w:hideMark/>
          </w:tcPr>
          <w:p w14:paraId="2B7D57F6"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Brood-guard</w:t>
            </w:r>
          </w:p>
        </w:tc>
        <w:tc>
          <w:tcPr>
            <w:tcW w:w="254" w:type="pct"/>
            <w:noWrap/>
            <w:hideMark/>
          </w:tcPr>
          <w:p w14:paraId="02A434B0"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tcPr>
          <w:p w14:paraId="7085FFE1"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S, T</w:t>
            </w:r>
          </w:p>
        </w:tc>
        <w:tc>
          <w:tcPr>
            <w:tcW w:w="356" w:type="pct"/>
            <w:noWrap/>
            <w:hideMark/>
          </w:tcPr>
          <w:p w14:paraId="5FB64091" w14:textId="4B62362E" w:rsidR="00846E66" w:rsidRDefault="00A62F50"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A1b, </w:t>
            </w:r>
            <w:r w:rsidR="00846E66">
              <w:rPr>
                <w:rFonts w:eastAsia="Times New Roman"/>
                <w:color w:val="000000"/>
                <w:sz w:val="16"/>
                <w:szCs w:val="16"/>
                <w:lang w:eastAsia="en-GB"/>
              </w:rPr>
              <w:t>A1d, D1a</w:t>
            </w:r>
          </w:p>
        </w:tc>
        <w:tc>
          <w:tcPr>
            <w:tcW w:w="355" w:type="pct"/>
          </w:tcPr>
          <w:p w14:paraId="6DD7E5BF"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100</w:t>
            </w:r>
          </w:p>
        </w:tc>
        <w:tc>
          <w:tcPr>
            <w:tcW w:w="610" w:type="pct"/>
          </w:tcPr>
          <w:p w14:paraId="0E95BFE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K</w:t>
            </w:r>
          </w:p>
        </w:tc>
        <w:tc>
          <w:tcPr>
            <w:tcW w:w="558" w:type="pct"/>
            <w:hideMark/>
          </w:tcPr>
          <w:p w14:paraId="21EEFF5E"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tcPr>
          <w:p w14:paraId="68C790D0"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846E66" w14:paraId="07F5FE5C" w14:textId="77777777" w:rsidTr="00C2393A">
        <w:trPr>
          <w:trHeight w:val="300"/>
        </w:trPr>
        <w:tc>
          <w:tcPr>
            <w:tcW w:w="355" w:type="pct"/>
            <w:noWrap/>
            <w:hideMark/>
          </w:tcPr>
          <w:p w14:paraId="0FD4BFB1" w14:textId="77777777" w:rsidR="00846E66" w:rsidRDefault="00846E66" w:rsidP="00C2393A">
            <w:pPr>
              <w:spacing w:after="0" w:line="256" w:lineRule="auto"/>
              <w:jc w:val="left"/>
              <w:rPr>
                <w:rFonts w:asciiTheme="minorHAnsi" w:hAnsiTheme="minorHAnsi" w:cstheme="minorBidi"/>
                <w:sz w:val="20"/>
                <w:szCs w:val="20"/>
                <w:lang w:val="en-GB" w:eastAsia="ja-JP"/>
              </w:rPr>
            </w:pPr>
          </w:p>
        </w:tc>
        <w:tc>
          <w:tcPr>
            <w:tcW w:w="454" w:type="pct"/>
            <w:hideMark/>
          </w:tcPr>
          <w:p w14:paraId="6FCAACA9"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16.34</w:t>
            </w:r>
          </w:p>
        </w:tc>
        <w:tc>
          <w:tcPr>
            <w:tcW w:w="512" w:type="pct"/>
            <w:noWrap/>
            <w:hideMark/>
          </w:tcPr>
          <w:p w14:paraId="4D4EB48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South Georgia</w:t>
            </w:r>
          </w:p>
        </w:tc>
        <w:tc>
          <w:tcPr>
            <w:tcW w:w="406" w:type="pct"/>
            <w:noWrap/>
            <w:hideMark/>
          </w:tcPr>
          <w:p w14:paraId="5F71411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Crèche</w:t>
            </w:r>
          </w:p>
        </w:tc>
        <w:tc>
          <w:tcPr>
            <w:tcW w:w="254" w:type="pct"/>
            <w:noWrap/>
            <w:hideMark/>
          </w:tcPr>
          <w:p w14:paraId="16DAEE38"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tcPr>
          <w:p w14:paraId="67F18C2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S, T</w:t>
            </w:r>
          </w:p>
        </w:tc>
        <w:tc>
          <w:tcPr>
            <w:tcW w:w="356" w:type="pct"/>
            <w:noWrap/>
            <w:hideMark/>
          </w:tcPr>
          <w:p w14:paraId="389B45CF" w14:textId="52B285A3" w:rsidR="00846E66" w:rsidRDefault="00A62F50"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A1b, </w:t>
            </w:r>
            <w:r w:rsidR="00846E66">
              <w:rPr>
                <w:rFonts w:eastAsia="Times New Roman"/>
                <w:color w:val="000000"/>
                <w:sz w:val="16"/>
                <w:szCs w:val="16"/>
                <w:lang w:eastAsia="en-GB"/>
              </w:rPr>
              <w:t>A1d, D1a</w:t>
            </w:r>
          </w:p>
        </w:tc>
        <w:tc>
          <w:tcPr>
            <w:tcW w:w="355" w:type="pct"/>
          </w:tcPr>
          <w:p w14:paraId="37D1D72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100</w:t>
            </w:r>
          </w:p>
        </w:tc>
        <w:tc>
          <w:tcPr>
            <w:tcW w:w="610" w:type="pct"/>
          </w:tcPr>
          <w:p w14:paraId="08382C3F"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K</w:t>
            </w:r>
          </w:p>
        </w:tc>
        <w:tc>
          <w:tcPr>
            <w:tcW w:w="558" w:type="pct"/>
            <w:hideMark/>
          </w:tcPr>
          <w:p w14:paraId="6E061306"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tcPr>
          <w:p w14:paraId="7A14B879"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846E66" w14:paraId="4F7100FE" w14:textId="77777777" w:rsidTr="00C2393A">
        <w:trPr>
          <w:trHeight w:val="300"/>
        </w:trPr>
        <w:tc>
          <w:tcPr>
            <w:tcW w:w="355" w:type="pct"/>
            <w:noWrap/>
            <w:hideMark/>
          </w:tcPr>
          <w:p w14:paraId="032BC167" w14:textId="77777777" w:rsidR="00846E66" w:rsidRDefault="00846E66" w:rsidP="00C2393A">
            <w:pPr>
              <w:spacing w:after="0" w:line="256" w:lineRule="auto"/>
              <w:jc w:val="left"/>
              <w:rPr>
                <w:rFonts w:asciiTheme="minorHAnsi" w:hAnsiTheme="minorHAnsi" w:cstheme="minorBidi"/>
                <w:sz w:val="20"/>
                <w:szCs w:val="20"/>
                <w:lang w:val="en-GB" w:eastAsia="ja-JP"/>
              </w:rPr>
            </w:pPr>
          </w:p>
        </w:tc>
        <w:tc>
          <w:tcPr>
            <w:tcW w:w="454" w:type="pct"/>
            <w:hideMark/>
          </w:tcPr>
          <w:p w14:paraId="40A745D0"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0.094 – 0.281</w:t>
            </w:r>
          </w:p>
        </w:tc>
        <w:tc>
          <w:tcPr>
            <w:tcW w:w="512" w:type="pct"/>
            <w:noWrap/>
            <w:hideMark/>
          </w:tcPr>
          <w:p w14:paraId="6C2E1BA5"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Fairy Point &amp; Goldcrest Point</w:t>
            </w:r>
          </w:p>
        </w:tc>
        <w:tc>
          <w:tcPr>
            <w:tcW w:w="406" w:type="pct"/>
            <w:noWrap/>
            <w:hideMark/>
          </w:tcPr>
          <w:p w14:paraId="3FE78D0A"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Post-moult</w:t>
            </w:r>
          </w:p>
        </w:tc>
        <w:tc>
          <w:tcPr>
            <w:tcW w:w="254" w:type="pct"/>
            <w:noWrap/>
            <w:hideMark/>
          </w:tcPr>
          <w:p w14:paraId="311A9B7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M/F</w:t>
            </w:r>
          </w:p>
        </w:tc>
        <w:tc>
          <w:tcPr>
            <w:tcW w:w="457" w:type="pct"/>
          </w:tcPr>
          <w:p w14:paraId="64CAEE1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T</w:t>
            </w:r>
          </w:p>
        </w:tc>
        <w:tc>
          <w:tcPr>
            <w:tcW w:w="356" w:type="pct"/>
            <w:noWrap/>
            <w:hideMark/>
          </w:tcPr>
          <w:p w14:paraId="581D85C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A1d</w:t>
            </w:r>
          </w:p>
        </w:tc>
        <w:tc>
          <w:tcPr>
            <w:tcW w:w="355" w:type="pct"/>
          </w:tcPr>
          <w:p w14:paraId="7FA1384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100</w:t>
            </w:r>
          </w:p>
        </w:tc>
        <w:tc>
          <w:tcPr>
            <w:tcW w:w="610" w:type="pct"/>
          </w:tcPr>
          <w:p w14:paraId="66F986C3"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K</w:t>
            </w:r>
          </w:p>
        </w:tc>
        <w:tc>
          <w:tcPr>
            <w:tcW w:w="558" w:type="pct"/>
            <w:hideMark/>
          </w:tcPr>
          <w:p w14:paraId="0DB3C7E0"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K</w:t>
            </w:r>
          </w:p>
        </w:tc>
        <w:tc>
          <w:tcPr>
            <w:tcW w:w="683" w:type="pct"/>
          </w:tcPr>
          <w:p w14:paraId="45079878"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88.8 (91.3)</w:t>
            </w:r>
          </w:p>
        </w:tc>
      </w:tr>
      <w:tr w:rsidR="00846E66" w14:paraId="54E97CA7" w14:textId="77777777" w:rsidTr="00214714">
        <w:trPr>
          <w:trHeight w:val="300"/>
        </w:trPr>
        <w:tc>
          <w:tcPr>
            <w:tcW w:w="355" w:type="pct"/>
            <w:tcBorders>
              <w:top w:val="nil"/>
              <w:left w:val="nil"/>
              <w:bottom w:val="single" w:sz="4" w:space="0" w:color="auto"/>
              <w:right w:val="nil"/>
            </w:tcBorders>
            <w:shd w:val="clear" w:color="auto" w:fill="D9D9D9"/>
            <w:noWrap/>
            <w:hideMark/>
          </w:tcPr>
          <w:p w14:paraId="3D400277" w14:textId="77777777" w:rsidR="00846E66" w:rsidRDefault="00846E66" w:rsidP="00C2393A">
            <w:pPr>
              <w:spacing w:after="0" w:line="240" w:lineRule="auto"/>
              <w:jc w:val="left"/>
              <w:rPr>
                <w:rFonts w:eastAsia="Times New Roman"/>
                <w:sz w:val="16"/>
                <w:szCs w:val="16"/>
                <w:lang w:eastAsia="en-GB"/>
              </w:rPr>
            </w:pPr>
            <w:r>
              <w:rPr>
                <w:rFonts w:eastAsia="Times New Roman"/>
                <w:color w:val="000000"/>
                <w:sz w:val="16"/>
                <w:szCs w:val="16"/>
                <w:lang w:eastAsia="en-GB"/>
              </w:rPr>
              <w:lastRenderedPageBreak/>
              <w:t xml:space="preserve">Antarctic Fur Seal </w:t>
            </w:r>
          </w:p>
        </w:tc>
        <w:tc>
          <w:tcPr>
            <w:tcW w:w="454" w:type="pct"/>
            <w:tcBorders>
              <w:top w:val="nil"/>
              <w:left w:val="nil"/>
              <w:bottom w:val="single" w:sz="4" w:space="0" w:color="auto"/>
              <w:right w:val="nil"/>
            </w:tcBorders>
            <w:shd w:val="clear" w:color="auto" w:fill="D9D9D9"/>
            <w:hideMark/>
          </w:tcPr>
          <w:p w14:paraId="5BAB622D"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61.59</w:t>
            </w:r>
          </w:p>
        </w:tc>
        <w:tc>
          <w:tcPr>
            <w:tcW w:w="512" w:type="pct"/>
            <w:tcBorders>
              <w:top w:val="nil"/>
              <w:left w:val="nil"/>
              <w:bottom w:val="single" w:sz="4" w:space="0" w:color="auto"/>
              <w:right w:val="nil"/>
            </w:tcBorders>
            <w:shd w:val="clear" w:color="auto" w:fill="D9D9D9"/>
            <w:noWrap/>
            <w:hideMark/>
          </w:tcPr>
          <w:p w14:paraId="58E2351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South Georgia</w:t>
            </w:r>
          </w:p>
        </w:tc>
        <w:tc>
          <w:tcPr>
            <w:tcW w:w="406" w:type="pct"/>
            <w:tcBorders>
              <w:top w:val="nil"/>
              <w:left w:val="nil"/>
              <w:bottom w:val="single" w:sz="4" w:space="0" w:color="auto"/>
              <w:right w:val="nil"/>
            </w:tcBorders>
            <w:shd w:val="clear" w:color="auto" w:fill="D9D9D9"/>
            <w:noWrap/>
            <w:hideMark/>
          </w:tcPr>
          <w:p w14:paraId="791C4810"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Breeding</w:t>
            </w:r>
          </w:p>
        </w:tc>
        <w:tc>
          <w:tcPr>
            <w:tcW w:w="254" w:type="pct"/>
            <w:tcBorders>
              <w:top w:val="nil"/>
              <w:left w:val="nil"/>
              <w:bottom w:val="single" w:sz="4" w:space="0" w:color="auto"/>
              <w:right w:val="nil"/>
            </w:tcBorders>
            <w:shd w:val="clear" w:color="auto" w:fill="D9D9D9"/>
            <w:noWrap/>
            <w:hideMark/>
          </w:tcPr>
          <w:p w14:paraId="4D05864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F</w:t>
            </w:r>
          </w:p>
        </w:tc>
        <w:tc>
          <w:tcPr>
            <w:tcW w:w="457" w:type="pct"/>
            <w:tcBorders>
              <w:top w:val="nil"/>
              <w:left w:val="nil"/>
              <w:bottom w:val="single" w:sz="4" w:space="0" w:color="auto"/>
              <w:right w:val="nil"/>
            </w:tcBorders>
            <w:shd w:val="clear" w:color="auto" w:fill="D9D9D9"/>
          </w:tcPr>
          <w:p w14:paraId="67FDEE72"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F(150), S</w:t>
            </w:r>
          </w:p>
        </w:tc>
        <w:tc>
          <w:tcPr>
            <w:tcW w:w="356" w:type="pct"/>
            <w:tcBorders>
              <w:top w:val="nil"/>
              <w:left w:val="nil"/>
              <w:bottom w:val="single" w:sz="4" w:space="0" w:color="auto"/>
              <w:right w:val="nil"/>
            </w:tcBorders>
            <w:shd w:val="clear" w:color="auto" w:fill="D9D9D9"/>
            <w:noWrap/>
            <w:hideMark/>
          </w:tcPr>
          <w:p w14:paraId="13B16747"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D1a</w:t>
            </w:r>
          </w:p>
        </w:tc>
        <w:tc>
          <w:tcPr>
            <w:tcW w:w="355" w:type="pct"/>
            <w:tcBorders>
              <w:top w:val="nil"/>
              <w:left w:val="nil"/>
              <w:bottom w:val="single" w:sz="4" w:space="0" w:color="auto"/>
              <w:right w:val="nil"/>
            </w:tcBorders>
            <w:shd w:val="clear" w:color="auto" w:fill="D9D9D9"/>
          </w:tcPr>
          <w:p w14:paraId="17D3DCCC"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100</w:t>
            </w:r>
          </w:p>
        </w:tc>
        <w:tc>
          <w:tcPr>
            <w:tcW w:w="610" w:type="pct"/>
            <w:tcBorders>
              <w:top w:val="nil"/>
              <w:left w:val="nil"/>
              <w:bottom w:val="single" w:sz="4" w:space="0" w:color="auto"/>
              <w:right w:val="nil"/>
            </w:tcBorders>
            <w:shd w:val="clear" w:color="auto" w:fill="D9D9D9"/>
          </w:tcPr>
          <w:p w14:paraId="35CA34F5"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K</w:t>
            </w:r>
          </w:p>
        </w:tc>
        <w:tc>
          <w:tcPr>
            <w:tcW w:w="558" w:type="pct"/>
            <w:tcBorders>
              <w:top w:val="nil"/>
              <w:left w:val="nil"/>
              <w:bottom w:val="single" w:sz="4" w:space="0" w:color="auto"/>
              <w:right w:val="nil"/>
            </w:tcBorders>
            <w:shd w:val="clear" w:color="auto" w:fill="D9D9D9"/>
            <w:hideMark/>
          </w:tcPr>
          <w:p w14:paraId="295E7359"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w:t>
            </w:r>
          </w:p>
        </w:tc>
        <w:tc>
          <w:tcPr>
            <w:tcW w:w="683" w:type="pct"/>
            <w:tcBorders>
              <w:top w:val="nil"/>
              <w:left w:val="nil"/>
              <w:bottom w:val="single" w:sz="4" w:space="0" w:color="auto"/>
              <w:right w:val="nil"/>
            </w:tcBorders>
            <w:shd w:val="clear" w:color="auto" w:fill="D9D9D9"/>
          </w:tcPr>
          <w:p w14:paraId="277BD6BB" w14:textId="77777777" w:rsidR="00846E66" w:rsidRDefault="00846E66" w:rsidP="00C2393A">
            <w:pPr>
              <w:spacing w:after="0" w:line="240" w:lineRule="auto"/>
              <w:jc w:val="left"/>
              <w:rPr>
                <w:rFonts w:eastAsia="Times New Roman"/>
                <w:color w:val="000000"/>
                <w:sz w:val="16"/>
                <w:szCs w:val="16"/>
                <w:lang w:eastAsia="en-GB"/>
              </w:rPr>
            </w:pPr>
            <w:r>
              <w:rPr>
                <w:rFonts w:eastAsia="Times New Roman"/>
                <w:color w:val="000000"/>
                <w:sz w:val="16"/>
                <w:szCs w:val="16"/>
                <w:lang w:eastAsia="en-GB"/>
              </w:rPr>
              <w:t>n/a</w:t>
            </w:r>
          </w:p>
        </w:tc>
      </w:tr>
      <w:tr w:rsidR="00214714" w14:paraId="0F7FDBCF" w14:textId="77777777" w:rsidTr="00214714">
        <w:trPr>
          <w:trHeight w:val="300"/>
        </w:trPr>
        <w:tc>
          <w:tcPr>
            <w:tcW w:w="5000" w:type="pct"/>
            <w:gridSpan w:val="11"/>
            <w:tcBorders>
              <w:top w:val="single" w:sz="4" w:space="0" w:color="auto"/>
              <w:left w:val="nil"/>
              <w:bottom w:val="single" w:sz="4" w:space="0" w:color="auto"/>
              <w:right w:val="nil"/>
            </w:tcBorders>
            <w:shd w:val="clear" w:color="auto" w:fill="D9D9D9"/>
            <w:noWrap/>
          </w:tcPr>
          <w:p w14:paraId="6D002FDF" w14:textId="77777777" w:rsidR="00214714" w:rsidRDefault="00214714" w:rsidP="00214714">
            <w:pPr>
              <w:spacing w:after="0" w:line="240" w:lineRule="auto"/>
              <w:jc w:val="left"/>
              <w:rPr>
                <w:rFonts w:eastAsia="Times New Roman"/>
                <w:color w:val="000000"/>
                <w:sz w:val="16"/>
                <w:szCs w:val="16"/>
                <w:lang w:eastAsia="en-GB"/>
              </w:rPr>
            </w:pPr>
            <w:r>
              <w:rPr>
                <w:rFonts w:eastAsia="Times New Roman"/>
                <w:color w:val="000000"/>
                <w:sz w:val="16"/>
                <w:szCs w:val="16"/>
                <w:lang w:eastAsia="en-GB"/>
              </w:rPr>
              <w:t>A: Where min and max values are given, this indicates that multiple core-area polygons were identified for a given data-group (as per the example in figure 2)</w:t>
            </w:r>
          </w:p>
          <w:p w14:paraId="541046FB" w14:textId="4312B4F4" w:rsidR="00214714" w:rsidRDefault="00214714" w:rsidP="00214714">
            <w:pPr>
              <w:spacing w:after="0" w:line="240" w:lineRule="auto"/>
              <w:jc w:val="left"/>
              <w:rPr>
                <w:rFonts w:eastAsia="Times New Roman"/>
                <w:color w:val="000000"/>
                <w:sz w:val="16"/>
                <w:szCs w:val="16"/>
                <w:lang w:eastAsia="en-GB"/>
              </w:rPr>
            </w:pPr>
            <w:r>
              <w:rPr>
                <w:rFonts w:eastAsia="Times New Roman"/>
                <w:color w:val="000000"/>
                <w:sz w:val="16"/>
                <w:szCs w:val="16"/>
                <w:lang w:eastAsia="en-GB"/>
              </w:rPr>
              <w:t xml:space="preserve">B: </w:t>
            </w:r>
            <w:r w:rsidRPr="00214714">
              <w:rPr>
                <w:sz w:val="16"/>
                <w:szCs w:val="16"/>
              </w:rPr>
              <w:t>Value in () indicates % of KBA overlapping with area within MPA under previous management regime up until December 2018. n/a: not applicable</w:t>
            </w:r>
          </w:p>
        </w:tc>
      </w:tr>
    </w:tbl>
    <w:p w14:paraId="4BA76525" w14:textId="77777777" w:rsidR="00846E66" w:rsidRDefault="00846E66" w:rsidP="00C32426">
      <w:pPr>
        <w:sectPr w:rsidR="00846E66" w:rsidSect="00846E66">
          <w:pgSz w:w="16838" w:h="11906" w:orient="landscape"/>
          <w:pgMar w:top="1440" w:right="1440" w:bottom="1440" w:left="1440" w:header="708" w:footer="708" w:gutter="0"/>
          <w:lnNumType w:countBy="1" w:restart="continuous"/>
          <w:cols w:space="708"/>
          <w:docGrid w:linePitch="360"/>
        </w:sectPr>
      </w:pPr>
    </w:p>
    <w:p w14:paraId="19FF16D2" w14:textId="22B43C78" w:rsidR="00C82C44" w:rsidRDefault="00D273A0" w:rsidP="00846E66">
      <w:r>
        <w:rPr>
          <w:noProof/>
          <w:lang w:val="en-GB" w:eastAsia="ja-JP"/>
        </w:rPr>
        <w:lastRenderedPageBreak/>
        <w:drawing>
          <wp:inline distT="0" distB="0" distL="0" distR="0" wp14:anchorId="77809717" wp14:editId="0DCC3CB3">
            <wp:extent cx="5731252" cy="402317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 - Study Site SGSSI_v5.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31510" cy="4023354"/>
                    </a:xfrm>
                    <a:prstGeom prst="rect">
                      <a:avLst/>
                    </a:prstGeom>
                    <a:ln>
                      <a:noFill/>
                    </a:ln>
                    <a:extLst>
                      <a:ext uri="{53640926-AAD7-44D8-BBD7-CCE9431645EC}">
                        <a14:shadowObscured xmlns:a14="http://schemas.microsoft.com/office/drawing/2010/main"/>
                      </a:ext>
                    </a:extLst>
                  </pic:spPr>
                </pic:pic>
              </a:graphicData>
            </a:graphic>
          </wp:inline>
        </w:drawing>
      </w:r>
    </w:p>
    <w:p w14:paraId="31B6F4AB" w14:textId="6DFAD7B5" w:rsidR="00C32426" w:rsidRDefault="00846E66" w:rsidP="0055034A">
      <w:pPr>
        <w:spacing w:line="276" w:lineRule="auto"/>
      </w:pPr>
      <w:r>
        <w:rPr>
          <w:lang w:val="en-GB"/>
        </w:rPr>
        <w:t>Figure 1</w:t>
      </w:r>
      <w:r w:rsidRPr="00B93338">
        <w:rPr>
          <w:lang w:val="en-GB"/>
        </w:rPr>
        <w:t>:</w:t>
      </w:r>
      <w:r>
        <w:rPr>
          <w:lang w:val="en-GB"/>
        </w:rPr>
        <w:t xml:space="preserve"> </w:t>
      </w:r>
      <w:r>
        <w:t>South Georgia (SG) and the South Sandwich Islands (SSI)</w:t>
      </w:r>
      <w:r w:rsidRPr="00B93338">
        <w:t xml:space="preserve"> MPA</w:t>
      </w:r>
      <w:r>
        <w:t xml:space="preserve"> and associated</w:t>
      </w:r>
      <w:r w:rsidRPr="00B93338">
        <w:t xml:space="preserve"> </w:t>
      </w:r>
      <w:r>
        <w:t xml:space="preserve">fisheries </w:t>
      </w:r>
      <w:r w:rsidRPr="00B93338">
        <w:t xml:space="preserve">management </w:t>
      </w:r>
      <w:r>
        <w:t xml:space="preserve">zones (as of December 2018). </w:t>
      </w:r>
    </w:p>
    <w:p w14:paraId="6374C950" w14:textId="22064C4D" w:rsidR="00846E66" w:rsidRDefault="003C33FE" w:rsidP="00846E66">
      <w:r w:rsidRPr="003C33FE">
        <w:rPr>
          <w:noProof/>
          <w:lang w:val="en-GB" w:eastAsia="ja-JP"/>
        </w:rPr>
        <w:lastRenderedPageBreak/>
        <w:drawing>
          <wp:inline distT="0" distB="0" distL="0" distR="0" wp14:anchorId="3DBED5DC" wp14:editId="4A8B9388">
            <wp:extent cx="5731510" cy="6539881"/>
            <wp:effectExtent l="0" t="0" r="2540" b="0"/>
            <wp:docPr id="9" name="Picture 9" descr="C:\Users\jonathan.handley\OneDrive - BirdLife International\JonoHandley_BirdLife\Pew_SGSSI\Manuscript\Updated figures\Methods\GHA_BI_PG_Overvie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handley\OneDrive - BirdLife International\JonoHandley_BirdLife\Pew_SGSSI\Manuscript\Updated figures\Methods\GHA_BI_PG_Overview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6539881"/>
                    </a:xfrm>
                    <a:prstGeom prst="rect">
                      <a:avLst/>
                    </a:prstGeom>
                    <a:noFill/>
                    <a:ln>
                      <a:noFill/>
                    </a:ln>
                  </pic:spPr>
                </pic:pic>
              </a:graphicData>
            </a:graphic>
          </wp:inline>
        </w:drawing>
      </w:r>
    </w:p>
    <w:p w14:paraId="125BF11C" w14:textId="52D749CF" w:rsidR="00846E66" w:rsidRPr="000430EE" w:rsidRDefault="00846E66" w:rsidP="008150DF">
      <w:pPr>
        <w:spacing w:after="0" w:line="276" w:lineRule="auto"/>
        <w:rPr>
          <w:lang w:val="en-GB" w:eastAsia="ja-JP"/>
        </w:rPr>
      </w:pPr>
      <w:r w:rsidRPr="000430EE">
        <w:t>Figure 2: Overview of approach using tracking data to identify Key Biodiversity Areas at-sea</w:t>
      </w:r>
      <w:r w:rsidR="00797125">
        <w:t xml:space="preserve"> </w:t>
      </w:r>
      <w:r w:rsidR="00797125" w:rsidRPr="000430EE">
        <w:t xml:space="preserve">(method adopted from the protocol to identify marine Important Bird and Biodiversity Areas </w:t>
      </w:r>
      <w:r w:rsidR="00797125" w:rsidRPr="000430EE">
        <w:fldChar w:fldCharType="begin" w:fldLock="1"/>
      </w:r>
      <w:r w:rsidR="00195AA8">
        <w:instrText>ADDIN CSL_CITATION { "citationItems" : [ { "id" : "ITEM-1", "itemData" : { "DOI" : "10.1111/ddi.12411", "ISBN" : "13669516", "ISSN" : "14724642", "abstract" : "ABSTRACT Aim Enhanced management of areas important for marine biodiversity are now obligations under a range of international treaties. Tracking data provide unparalleled information on the distribution of marine taxa, but there are no agreed guidelines that ensure these data are used consistently to identify biodi- versity hotspots and inform marine management decisions. Here, we develop methods to standardize the analysis of tracking data to identify sites of conser- vation importance at global and regional scales. Location We applied these methods to the largest available compilation of sea- bird tracking data, covering 60 species, collected from 55 deployment locations ranging from the poles to the tropics. Methods Key developments include a test for pseudo-replication to assess the independence of two groups of tracking data, an objective approach to define spe- cies-specific smoothing parameters (h values) for kernel density estimation based on area-restricted search behaviour, and an analysis to determine whether sites identified fromtracked individuals are also representative for the wider population. Results This analysis delineated priority sites for marine conservation for 52 of the 60 species assessed. We compiled 252 data groupings and defined 1052 polygons, between them meeting Important Bird and Biodiversity Area criteria over 1500 times. Other results showed 13% of data groups were inadequate for site definition and 10% showed some level of pseudo-replication. Between 25 and 50 trips were needed within a data group for data to be considered at least partially representative of the respective population. Main conclusions Our approach provides a consistent framework for using animal tracking data to delineate areas of global conservation importance, allowing greater integration into marine spatial planning and policy. The approaches we describe are exemplified for pelagic seabirds, but are applicable to a range of taxonomic groups. Covering 4.3% of the oceans, the sites identi- fied would benefit from enhanced protection to better safeguard the threatened species populations they contain.", "author" : [ { "dropping-particle" : "", "family" : "Lascelles", "given" : "B. G.", "non-dropping-particle" : "", "parse-names" : false, "suffix" : "" }, { "dropping-particle" : "", "family" : "Taylor", "given" : "P. R.", "non-dropping-particle" : "", "parse-names" : false, "suffix" : "" }, { "dropping-particle" : "", "family" : "Miller", "given" : "M. G.R.", "non-dropping-particle" : "", "parse-names" : false, "suffix" : "" }, { "dropping-particle" : "", "family" : "Dias", "given" : "M. P.", "non-dropping-particle" : "", "parse-names" : false, "suffix" : "" }, { "dropping-particle" : "", "family" : "Oppel", "given" : "S.", "non-dropping-particle" : "", "parse-names" : false, "suffix" : "" }, { "dropping-particle" : "", "family" : "Torres", "given" : "L.", "non-dropping-particle" : "", "parse-names" : false, "suffix" : "" }, { "dropping-particle" : "", "family" : "Hedd", "given" : "A.", "non-dropping-particle" : "", "parse-names" : false, "suffix" : "" }, { "dropping-particle" : "", "family" : "Corre", "given" : "M.", "non-dropping-particle" : "Le", "parse-names" : false, "suffix" : "" }, { "dropping-particle" : "", "family" : "Phillips", "given" : "R. A.", "non-dropping-particle" : "", "parse-names" : false, "suffix" : "" }, { "dropping-particle" : "", "family" : "Shaffer", "given" : "S. A.", "non-dropping-particle" : "", "parse-names" : false, "suffix" : "" }, { "dropping-particle" : "", "family" : "Weimerskirch", "given" : "H.", "non-dropping-particle" : "", "parse-names" : false, "suffix" : "" }, { "dropping-particle" : "", "family" : "Small", "given" : "C.", "non-dropping-particle" : "", "parse-names" : false, "suffix" : "" } ], "container-title" : "Diversity and Distributions", "id" : "ITEM-1", "issue" : "4", "issued" : { "date-parts" : [ [ "2016" ] ] }, "page" : "422-431", "title" : "Applying global criteria to tracking data to define important areas for marine conservation", "type" : "article-journal", "volume" : "22" }, "uris" : [ "http://www.mendeley.com/documents/?uuid=d7b8767e-771a-4b74-963b-59a04395d909", "http://www.mendeley.com/documents/?uuid=45b8f51d-c461-451a-9e47-7e49ac37dcba" ] } ], "mendeley" : { "formattedCitation" : "(Lascelles et al., 2016)", "plainTextFormattedCitation" : "(Lascelles et al., 2016)", "previouslyFormattedCitation" : "(Lascelles et al., 2016)" }, "properties" : {  }, "schema" : "https://github.com/citation-style-language/schema/raw/master/csl-citation.json" }</w:instrText>
      </w:r>
      <w:r w:rsidR="00797125" w:rsidRPr="000430EE">
        <w:fldChar w:fldCharType="separate"/>
      </w:r>
      <w:r w:rsidR="00126000" w:rsidRPr="00126000">
        <w:rPr>
          <w:noProof/>
        </w:rPr>
        <w:t>(Lascelles et al., 2016)</w:t>
      </w:r>
      <w:r w:rsidR="00797125" w:rsidRPr="000430EE">
        <w:fldChar w:fldCharType="end"/>
      </w:r>
      <w:r w:rsidR="00797125" w:rsidRPr="000430EE">
        <w:t xml:space="preserve">) shown for the example of </w:t>
      </w:r>
      <w:r w:rsidR="00421C07">
        <w:t xml:space="preserve">the data-group, </w:t>
      </w:r>
      <w:r w:rsidR="00797125" w:rsidRPr="000430EE">
        <w:t>adult Grey-headed Albatrosses during post-guard from Bird Island</w:t>
      </w:r>
      <w:r w:rsidR="00797125">
        <w:t>, South Georgia</w:t>
      </w:r>
      <w:r w:rsidR="00797125" w:rsidRPr="000430EE">
        <w:t xml:space="preserve"> (n</w:t>
      </w:r>
      <w:r w:rsidR="00797125" w:rsidRPr="000430EE">
        <w:rPr>
          <w:vertAlign w:val="subscript"/>
        </w:rPr>
        <w:t>individuals</w:t>
      </w:r>
      <w:r w:rsidR="00797125" w:rsidRPr="000430EE">
        <w:t>=37, n</w:t>
      </w:r>
      <w:r w:rsidR="00797125" w:rsidRPr="000430EE">
        <w:rPr>
          <w:vertAlign w:val="subscript"/>
        </w:rPr>
        <w:t>tracks</w:t>
      </w:r>
      <w:r w:rsidR="00797125" w:rsidRPr="000430EE">
        <w:t>=193): (i) interpolated tracks, (ii)  core foraging areas of each individual bird</w:t>
      </w:r>
      <w:r w:rsidR="00266CB9">
        <w:t>, (iii) assessment for</w:t>
      </w:r>
      <w:r w:rsidR="00797125" w:rsidRPr="000430EE">
        <w:t xml:space="preserve"> representativeness</w:t>
      </w:r>
      <w:r w:rsidR="00266CB9">
        <w:t xml:space="preserve"> of tracking for sampled population, where data is </w:t>
      </w:r>
      <w:r w:rsidR="00797125" w:rsidRPr="000430EE">
        <w:t xml:space="preserve">simulated across sample sizes from 1 </w:t>
      </w:r>
      <w:r w:rsidR="00266CB9">
        <w:t xml:space="preserve">to </w:t>
      </w:r>
      <w:r w:rsidR="00266CB9" w:rsidRPr="000430EE">
        <w:t>n</w:t>
      </w:r>
      <w:r w:rsidR="00266CB9" w:rsidRPr="000430EE">
        <w:rPr>
          <w:vertAlign w:val="subscript"/>
        </w:rPr>
        <w:t>individuals</w:t>
      </w:r>
      <w:r w:rsidR="00266CB9">
        <w:rPr>
          <w:vertAlign w:val="subscript"/>
        </w:rPr>
        <w:t xml:space="preserve"> </w:t>
      </w:r>
      <w:r w:rsidR="00266CB9">
        <w:t>– 1</w:t>
      </w:r>
      <w:r w:rsidR="00797125" w:rsidRPr="000430EE">
        <w:t>, (iv) polygons where core foraging areas of at least 10% of tracked individuals overlap</w:t>
      </w:r>
      <w:r w:rsidR="008150DF">
        <w:t xml:space="preserve"> (selected according to representativeness value)</w:t>
      </w:r>
      <w:r w:rsidR="00797125" w:rsidRPr="000430EE">
        <w:t xml:space="preserve">, (v) </w:t>
      </w:r>
      <w:r w:rsidR="00514CA3">
        <w:t>[</w:t>
      </w:r>
      <w:r w:rsidR="008150DF">
        <w:t>green</w:t>
      </w:r>
      <w:r w:rsidR="00514CA3">
        <w:t>]</w:t>
      </w:r>
      <w:r w:rsidR="00421C07">
        <w:t xml:space="preserve"> core-area</w:t>
      </w:r>
      <w:r w:rsidR="00514CA3">
        <w:t xml:space="preserve"> </w:t>
      </w:r>
      <w:r w:rsidR="00797125" w:rsidRPr="000430EE">
        <w:t>polygons</w:t>
      </w:r>
      <w:r w:rsidR="00421C07">
        <w:t xml:space="preserve"> with abundance estimates</w:t>
      </w:r>
      <w:r w:rsidR="00797125" w:rsidRPr="000430EE">
        <w:t xml:space="preserve"> that meet KBA criteria, (v</w:t>
      </w:r>
      <w:r w:rsidR="00797125">
        <w:t>i</w:t>
      </w:r>
      <w:r w:rsidR="00797125" w:rsidRPr="000430EE">
        <w:t xml:space="preserve">) refined </w:t>
      </w:r>
      <w:r w:rsidR="00514CA3">
        <w:t>[</w:t>
      </w:r>
      <w:r w:rsidR="008150DF">
        <w:t>blue</w:t>
      </w:r>
      <w:r w:rsidR="00514CA3">
        <w:t xml:space="preserve">] </w:t>
      </w:r>
      <w:r w:rsidR="00797125" w:rsidRPr="000430EE">
        <w:t>polygons with minimised boundary-to-area ratio suitable for management</w:t>
      </w:r>
      <w:r w:rsidR="00797125">
        <w:t>.</w:t>
      </w:r>
      <w:r w:rsidR="008150DF">
        <w:t xml:space="preserve"> Black boundary indicates South Georgia MPA.</w:t>
      </w:r>
    </w:p>
    <w:p w14:paraId="58564ABC" w14:textId="1042B2C5" w:rsidR="00846E66" w:rsidRDefault="00846E66" w:rsidP="00C32426"/>
    <w:p w14:paraId="74493B0A" w14:textId="3F53BEE5" w:rsidR="00F6089B" w:rsidRDefault="008C10AE" w:rsidP="00846E66">
      <w:pPr>
        <w:spacing w:line="276" w:lineRule="auto"/>
      </w:pPr>
      <w:r w:rsidRPr="008C10AE">
        <w:rPr>
          <w:noProof/>
          <w:lang w:val="en-GB" w:eastAsia="ja-JP"/>
        </w:rPr>
        <w:drawing>
          <wp:inline distT="0" distB="0" distL="0" distR="0" wp14:anchorId="09E95E3D" wp14:editId="542EF75E">
            <wp:extent cx="5731073" cy="4039007"/>
            <wp:effectExtent l="0" t="0" r="3175" b="0"/>
            <wp:docPr id="7" name="Picture 7" descr="C:\Users\jonathan.handley\OneDrive - BirdLife International\JonoHandley_BirdLife\Pew_SGSSI\Manuscript\Updated figures\DDI - Revisions\Fig3 - SGSSI_IbaKba_Fisheries_AndGlobal_forM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handley\OneDrive - BirdLife International\JonoHandley_BirdLife\Pew_SGSSI\Manuscript\Updated figures\DDI - Revisions\Fig3 - SGSSI_IbaKba_Fisheries_AndGlobal_forMS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5524"/>
                    <a:stretch/>
                  </pic:blipFill>
                  <pic:spPr bwMode="auto">
                    <a:xfrm>
                      <a:off x="0" y="0"/>
                      <a:ext cx="5731510" cy="4039315"/>
                    </a:xfrm>
                    <a:prstGeom prst="rect">
                      <a:avLst/>
                    </a:prstGeom>
                    <a:noFill/>
                    <a:ln>
                      <a:noFill/>
                    </a:ln>
                    <a:extLst>
                      <a:ext uri="{53640926-AAD7-44D8-BBD7-CCE9431645EC}">
                        <a14:shadowObscured xmlns:a14="http://schemas.microsoft.com/office/drawing/2010/main"/>
                      </a:ext>
                    </a:extLst>
                  </pic:spPr>
                </pic:pic>
              </a:graphicData>
            </a:graphic>
          </wp:inline>
        </w:drawing>
      </w:r>
    </w:p>
    <w:p w14:paraId="464DA19F" w14:textId="79F5BA60" w:rsidR="00846E66" w:rsidRPr="000D1CC0" w:rsidRDefault="00F6089B" w:rsidP="006F14D0">
      <w:pPr>
        <w:spacing w:line="276" w:lineRule="auto"/>
        <w:rPr>
          <w:rFonts w:asciiTheme="minorBidi" w:hAnsiTheme="minorBidi" w:cstheme="minorBidi"/>
          <w:color w:val="292929"/>
          <w:shd w:val="clear" w:color="auto" w:fill="FFFFFF"/>
        </w:rPr>
      </w:pPr>
      <w:r w:rsidRPr="00F6089B">
        <w:t xml:space="preserve"> </w:t>
      </w:r>
      <w:r w:rsidR="00846E66">
        <w:t xml:space="preserve">Figure 3: Twelve global KBA sites (white borders) identified for marine predators during the </w:t>
      </w:r>
      <w:r w:rsidR="00846E66" w:rsidRPr="0033780A">
        <w:rPr>
          <w:rFonts w:asciiTheme="minorBidi" w:hAnsiTheme="minorBidi" w:cstheme="minorBidi"/>
        </w:rPr>
        <w:t xml:space="preserve">assessment of the South Georgia and South Sandwich Islands MPA and its role in conserving </w:t>
      </w:r>
      <w:r w:rsidR="00846E66" w:rsidRPr="0058764B">
        <w:rPr>
          <w:rFonts w:asciiTheme="minorBidi" w:hAnsiTheme="minorBidi" w:cstheme="minorBidi"/>
        </w:rPr>
        <w:t xml:space="preserve">biodiversity. </w:t>
      </w:r>
      <w:r w:rsidR="0033780A" w:rsidRPr="0058764B">
        <w:rPr>
          <w:rFonts w:asciiTheme="minorBidi" w:hAnsiTheme="minorBidi" w:cstheme="minorBidi"/>
          <w:shd w:val="clear" w:color="auto" w:fill="FFFFFF"/>
        </w:rPr>
        <w:t>*A dispute exists between the Governments of Argentina and the United Kingdom of Great Britain and Northern Ireland concerning sovereignty over the Falkland Islands (Islas Malvinas), South Georgia and the South Sandwich Islands (Islas Georgias del Sur y Islas Sandwich del Sur) and the surrounding maritime areas.</w:t>
      </w:r>
      <w:r w:rsidR="006F14D0">
        <w:rPr>
          <w:rFonts w:asciiTheme="minorBidi" w:hAnsiTheme="minorBidi" w:cstheme="minorBidi"/>
          <w:shd w:val="clear" w:color="auto" w:fill="FFFFFF"/>
        </w:rPr>
        <w:t xml:space="preserve"> At the time of publication sites 10 and 11 are being amalgamated with new sites being identified throughout Argentinian waters.</w:t>
      </w:r>
      <w:bookmarkStart w:id="0" w:name="_GoBack"/>
      <w:bookmarkEnd w:id="0"/>
    </w:p>
    <w:p w14:paraId="47A31D0A" w14:textId="01CE9CE6" w:rsidR="00846E66" w:rsidRDefault="00A00213" w:rsidP="00846E66">
      <w:pPr>
        <w:spacing w:line="276" w:lineRule="auto"/>
      </w:pPr>
      <w:r w:rsidRPr="00A002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446239" w:rsidRPr="0044623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GB" w:eastAsia="ja-JP"/>
        </w:rPr>
        <w:drawing>
          <wp:inline distT="0" distB="0" distL="0" distR="0" wp14:anchorId="53809A6D" wp14:editId="54B35D1B">
            <wp:extent cx="5731510" cy="7031881"/>
            <wp:effectExtent l="0" t="0" r="2540" b="0"/>
            <wp:docPr id="3" name="Picture 3" descr="C:\Users\jonathan.handley\OneDrive - BirdLife International\JonoHandley_BirdLife\Pew_SGSSI\Manuscript\Updated figures\DDI - Revisions\Fig 4 - KBAs per data-grou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handley\OneDrive - BirdLife International\JonoHandley_BirdLife\Pew_SGSSI\Manuscript\Updated figures\DDI - Revisions\Fig 4 - KBAs per data-group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031881"/>
                    </a:xfrm>
                    <a:prstGeom prst="rect">
                      <a:avLst/>
                    </a:prstGeom>
                    <a:noFill/>
                    <a:ln>
                      <a:noFill/>
                    </a:ln>
                  </pic:spPr>
                </pic:pic>
              </a:graphicData>
            </a:graphic>
          </wp:inline>
        </w:drawing>
      </w:r>
    </w:p>
    <w:p w14:paraId="3CD47EDC" w14:textId="106A13E9" w:rsidR="00846E66" w:rsidRPr="00CA6EDF" w:rsidRDefault="00846E66" w:rsidP="00846E66">
      <w:pPr>
        <w:spacing w:line="276" w:lineRule="auto"/>
      </w:pPr>
      <w:r>
        <w:t xml:space="preserve">Figure 4: Key Biodiversity Areas (KBAs) for five of the 69 data-groups (unique life-history stages for a species) assessed, representing four species, which have the potential for interaction with a relevant fishery within the South Georgia and South Sandwich Islands MPA. For the remaining </w:t>
      </w:r>
      <w:r w:rsidR="006D29D7">
        <w:t>data-groups,</w:t>
      </w:r>
      <w:r>
        <w:t xml:space="preserve"> tracking data used to delineate sites were either un-representative (see Methods) or temporal overlap with a relevant fishery was not possible. (see Results). Possible interaction with kril</w:t>
      </w:r>
      <w:r w:rsidR="006D29D7">
        <w:t>l (a,b), demersal longline (c,d</w:t>
      </w:r>
      <w:r>
        <w:t>), and pelagic trawl (e) fisheries. * indicates map layers specific to demersal longline fisheries only (c,d).</w:t>
      </w:r>
    </w:p>
    <w:sectPr w:rsidR="00846E66" w:rsidRPr="00CA6EDF" w:rsidSect="00F67A04">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683B61" w16cid:durableId="218FB683"/>
  <w16cid:commentId w16cid:paraId="40865713" w16cid:durableId="218FB684"/>
  <w16cid:commentId w16cid:paraId="5CB75F1D" w16cid:durableId="218FC931"/>
  <w16cid:commentId w16cid:paraId="07AB25C7" w16cid:durableId="218FB685"/>
  <w16cid:commentId w16cid:paraId="05651B3B" w16cid:durableId="218FB686"/>
  <w16cid:commentId w16cid:paraId="22109CCE" w16cid:durableId="218FB687"/>
  <w16cid:commentId w16cid:paraId="6BC85F65" w16cid:durableId="218FB688"/>
  <w16cid:commentId w16cid:paraId="5FD00FDE" w16cid:durableId="218FB689"/>
  <w16cid:commentId w16cid:paraId="1D4380E0" w16cid:durableId="218FB68A"/>
  <w16cid:commentId w16cid:paraId="1C3119A0" w16cid:durableId="218FB68B"/>
  <w16cid:commentId w16cid:paraId="0B89B0A1" w16cid:durableId="218FCAC2"/>
  <w16cid:commentId w16cid:paraId="042E2E11" w16cid:durableId="218FB68C"/>
  <w16cid:commentId w16cid:paraId="27FDC953" w16cid:durableId="218FB68D"/>
  <w16cid:commentId w16cid:paraId="5BD9B6A0" w16cid:durableId="218FB68E"/>
  <w16cid:commentId w16cid:paraId="732736FC" w16cid:durableId="218FB68F"/>
  <w16cid:commentId w16cid:paraId="5A5A7639" w16cid:durableId="218FB690"/>
  <w16cid:commentId w16cid:paraId="2EA02373" w16cid:durableId="218FB691"/>
  <w16cid:commentId w16cid:paraId="2BAFB4A6" w16cid:durableId="218FB692"/>
  <w16cid:commentId w16cid:paraId="43F17BCC" w16cid:durableId="218FB693"/>
  <w16cid:commentId w16cid:paraId="45733060" w16cid:durableId="218FB694"/>
  <w16cid:commentId w16cid:paraId="404263B5" w16cid:durableId="2190C09A"/>
  <w16cid:commentId w16cid:paraId="009C45D8" w16cid:durableId="218FB695"/>
  <w16cid:commentId w16cid:paraId="32F32AD2" w16cid:durableId="218FB696"/>
  <w16cid:commentId w16cid:paraId="3775F6F2" w16cid:durableId="218FB697"/>
  <w16cid:commentId w16cid:paraId="31392101" w16cid:durableId="218FB698"/>
  <w16cid:commentId w16cid:paraId="267A9611" w16cid:durableId="218FCE84"/>
  <w16cid:commentId w16cid:paraId="67CC6E02" w16cid:durableId="218FB699"/>
  <w16cid:commentId w16cid:paraId="0E0F3E6E" w16cid:durableId="218FB69A"/>
  <w16cid:commentId w16cid:paraId="6F8CA5F6" w16cid:durableId="218FB69B"/>
  <w16cid:commentId w16cid:paraId="08D1C6A9" w16cid:durableId="218FB69C"/>
  <w16cid:commentId w16cid:paraId="503A90AA" w16cid:durableId="218FB69D"/>
  <w16cid:commentId w16cid:paraId="7FB19369" w16cid:durableId="218FB69E"/>
  <w16cid:commentId w16cid:paraId="499CBFC4" w16cid:durableId="2190B749"/>
  <w16cid:commentId w16cid:paraId="5AAAD596" w16cid:durableId="218FB69F"/>
  <w16cid:commentId w16cid:paraId="5527FD85" w16cid:durableId="218FD271"/>
  <w16cid:commentId w16cid:paraId="35660333" w16cid:durableId="218FD375"/>
  <w16cid:commentId w16cid:paraId="656C3B91" w16cid:durableId="218FB6A0"/>
  <w16cid:commentId w16cid:paraId="65C7B025" w16cid:durableId="218FB6A1"/>
  <w16cid:commentId w16cid:paraId="012C78BF" w16cid:durableId="218FB6A2"/>
  <w16cid:commentId w16cid:paraId="7FCF6B6A" w16cid:durableId="218FD50F"/>
  <w16cid:commentId w16cid:paraId="30D81CB8" w16cid:durableId="2190C84C"/>
  <w16cid:commentId w16cid:paraId="5201B420" w16cid:durableId="218FB6A3"/>
  <w16cid:commentId w16cid:paraId="4E542CE3" w16cid:durableId="218FB6A4"/>
  <w16cid:commentId w16cid:paraId="00936F39" w16cid:durableId="218FB6A5"/>
  <w16cid:commentId w16cid:paraId="18DA157F" w16cid:durableId="218FB6A6"/>
  <w16cid:commentId w16cid:paraId="417A7C01" w16cid:durableId="218FB6A7"/>
  <w16cid:commentId w16cid:paraId="6207B763" w16cid:durableId="218FB6A8"/>
  <w16cid:commentId w16cid:paraId="45484BD4" w16cid:durableId="218FB6A9"/>
  <w16cid:commentId w16cid:paraId="7D9C286A" w16cid:durableId="218FB6AA"/>
  <w16cid:commentId w16cid:paraId="318F6621" w16cid:durableId="218FB6AB"/>
  <w16cid:commentId w16cid:paraId="1FB5B259" w16cid:durableId="218FB6AC"/>
  <w16cid:commentId w16cid:paraId="1368D650" w16cid:durableId="218FB6AD"/>
  <w16cid:commentId w16cid:paraId="14C2A386" w16cid:durableId="218FB6AE"/>
  <w16cid:commentId w16cid:paraId="114F6A00" w16cid:durableId="218FB6AF"/>
  <w16cid:commentId w16cid:paraId="254BC3B4" w16cid:durableId="218FB6B0"/>
  <w16cid:commentId w16cid:paraId="7B93E24D" w16cid:durableId="218FB6B1"/>
  <w16cid:commentId w16cid:paraId="2B8ED2FC" w16cid:durableId="218FB6B2"/>
  <w16cid:commentId w16cid:paraId="784381ED" w16cid:durableId="218FB6B3"/>
  <w16cid:commentId w16cid:paraId="736CEFDA" w16cid:durableId="218FB6B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E77F1" w14:textId="77777777" w:rsidR="00421C07" w:rsidRDefault="00421C07" w:rsidP="004812C3">
      <w:pPr>
        <w:spacing w:after="0" w:line="240" w:lineRule="auto"/>
      </w:pPr>
      <w:r>
        <w:separator/>
      </w:r>
    </w:p>
  </w:endnote>
  <w:endnote w:type="continuationSeparator" w:id="0">
    <w:p w14:paraId="55DCCD5B" w14:textId="77777777" w:rsidR="00421C07" w:rsidRDefault="00421C07" w:rsidP="0048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799113"/>
      <w:docPartObj>
        <w:docPartGallery w:val="Page Numbers (Bottom of Page)"/>
        <w:docPartUnique/>
      </w:docPartObj>
    </w:sdtPr>
    <w:sdtEndPr>
      <w:rPr>
        <w:noProof/>
      </w:rPr>
    </w:sdtEndPr>
    <w:sdtContent>
      <w:p w14:paraId="43008539" w14:textId="7B74A06C" w:rsidR="00421C07" w:rsidRDefault="00421C07">
        <w:pPr>
          <w:pStyle w:val="Footer"/>
          <w:jc w:val="center"/>
        </w:pPr>
        <w:r>
          <w:fldChar w:fldCharType="begin"/>
        </w:r>
        <w:r>
          <w:instrText xml:space="preserve"> PAGE   \* MERGEFORMAT </w:instrText>
        </w:r>
        <w:r>
          <w:fldChar w:fldCharType="separate"/>
        </w:r>
        <w:r w:rsidR="006F14D0">
          <w:rPr>
            <w:noProof/>
          </w:rPr>
          <w:t>28</w:t>
        </w:r>
        <w:r>
          <w:rPr>
            <w:noProof/>
          </w:rPr>
          <w:fldChar w:fldCharType="end"/>
        </w:r>
      </w:p>
    </w:sdtContent>
  </w:sdt>
  <w:p w14:paraId="03CE6130" w14:textId="77777777" w:rsidR="00421C07" w:rsidRDefault="00421C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146195" w14:textId="77777777" w:rsidR="00421C07" w:rsidRDefault="00421C07" w:rsidP="004812C3">
      <w:pPr>
        <w:spacing w:after="0" w:line="240" w:lineRule="auto"/>
      </w:pPr>
      <w:r>
        <w:separator/>
      </w:r>
    </w:p>
  </w:footnote>
  <w:footnote w:type="continuationSeparator" w:id="0">
    <w:p w14:paraId="66EBB8CB" w14:textId="77777777" w:rsidR="00421C07" w:rsidRDefault="00421C07" w:rsidP="004812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removePersonalInformation/>
  <w:removeDateAndTime/>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750"/>
    <w:rsid w:val="0003047A"/>
    <w:rsid w:val="000309A4"/>
    <w:rsid w:val="00033DC2"/>
    <w:rsid w:val="000355D9"/>
    <w:rsid w:val="00042595"/>
    <w:rsid w:val="000430EE"/>
    <w:rsid w:val="00044DBC"/>
    <w:rsid w:val="000622AA"/>
    <w:rsid w:val="00072F48"/>
    <w:rsid w:val="000903A3"/>
    <w:rsid w:val="00097C58"/>
    <w:rsid w:val="000A6C3A"/>
    <w:rsid w:val="000B4319"/>
    <w:rsid w:val="000D1CC0"/>
    <w:rsid w:val="000D41FA"/>
    <w:rsid w:val="000D7AF6"/>
    <w:rsid w:val="000D7E11"/>
    <w:rsid w:val="000E372E"/>
    <w:rsid w:val="000F3FB9"/>
    <w:rsid w:val="000F7811"/>
    <w:rsid w:val="00110978"/>
    <w:rsid w:val="00114CC4"/>
    <w:rsid w:val="00126000"/>
    <w:rsid w:val="00134904"/>
    <w:rsid w:val="0014221E"/>
    <w:rsid w:val="00143B4C"/>
    <w:rsid w:val="0014721E"/>
    <w:rsid w:val="00167FAB"/>
    <w:rsid w:val="00173A40"/>
    <w:rsid w:val="00184400"/>
    <w:rsid w:val="00187DA0"/>
    <w:rsid w:val="00191249"/>
    <w:rsid w:val="00191821"/>
    <w:rsid w:val="001950EF"/>
    <w:rsid w:val="00195AA8"/>
    <w:rsid w:val="001972E9"/>
    <w:rsid w:val="001A4761"/>
    <w:rsid w:val="001A4A28"/>
    <w:rsid w:val="001A4CD6"/>
    <w:rsid w:val="001A6D6A"/>
    <w:rsid w:val="001A755E"/>
    <w:rsid w:val="001B3F54"/>
    <w:rsid w:val="001B45E1"/>
    <w:rsid w:val="001C0A2A"/>
    <w:rsid w:val="001C1E60"/>
    <w:rsid w:val="001D0673"/>
    <w:rsid w:val="001D2FC1"/>
    <w:rsid w:val="001D4BB7"/>
    <w:rsid w:val="001E40C2"/>
    <w:rsid w:val="001E5F79"/>
    <w:rsid w:val="001F0848"/>
    <w:rsid w:val="001F256C"/>
    <w:rsid w:val="00205427"/>
    <w:rsid w:val="00212785"/>
    <w:rsid w:val="00214714"/>
    <w:rsid w:val="00215D47"/>
    <w:rsid w:val="002160A3"/>
    <w:rsid w:val="00220338"/>
    <w:rsid w:val="00225A9D"/>
    <w:rsid w:val="00233FE5"/>
    <w:rsid w:val="002355B4"/>
    <w:rsid w:val="002524D4"/>
    <w:rsid w:val="00257A27"/>
    <w:rsid w:val="00260362"/>
    <w:rsid w:val="00260EA0"/>
    <w:rsid w:val="00266B57"/>
    <w:rsid w:val="00266CB9"/>
    <w:rsid w:val="002771C9"/>
    <w:rsid w:val="00281833"/>
    <w:rsid w:val="002841F9"/>
    <w:rsid w:val="00287ABF"/>
    <w:rsid w:val="00290725"/>
    <w:rsid w:val="002916E8"/>
    <w:rsid w:val="002924C5"/>
    <w:rsid w:val="002939C6"/>
    <w:rsid w:val="002A0879"/>
    <w:rsid w:val="002B067D"/>
    <w:rsid w:val="002B1676"/>
    <w:rsid w:val="002C0C6E"/>
    <w:rsid w:val="002C3407"/>
    <w:rsid w:val="002D0350"/>
    <w:rsid w:val="002D1A42"/>
    <w:rsid w:val="002D7F8C"/>
    <w:rsid w:val="002F032A"/>
    <w:rsid w:val="002F38D7"/>
    <w:rsid w:val="002F7087"/>
    <w:rsid w:val="003055F2"/>
    <w:rsid w:val="00305DFE"/>
    <w:rsid w:val="0030759D"/>
    <w:rsid w:val="0031416B"/>
    <w:rsid w:val="00315339"/>
    <w:rsid w:val="00316683"/>
    <w:rsid w:val="00324761"/>
    <w:rsid w:val="00324E97"/>
    <w:rsid w:val="003258F2"/>
    <w:rsid w:val="00330287"/>
    <w:rsid w:val="00333F7A"/>
    <w:rsid w:val="00335826"/>
    <w:rsid w:val="00336BEC"/>
    <w:rsid w:val="0033780A"/>
    <w:rsid w:val="00342B52"/>
    <w:rsid w:val="003548BB"/>
    <w:rsid w:val="00357B0F"/>
    <w:rsid w:val="003613B3"/>
    <w:rsid w:val="003672D7"/>
    <w:rsid w:val="00374BF6"/>
    <w:rsid w:val="00375431"/>
    <w:rsid w:val="003765D7"/>
    <w:rsid w:val="0038132C"/>
    <w:rsid w:val="00383BD5"/>
    <w:rsid w:val="003848F5"/>
    <w:rsid w:val="00391A04"/>
    <w:rsid w:val="00396E67"/>
    <w:rsid w:val="003A1481"/>
    <w:rsid w:val="003C15D0"/>
    <w:rsid w:val="003C33FE"/>
    <w:rsid w:val="003D1E7E"/>
    <w:rsid w:val="003E16AB"/>
    <w:rsid w:val="003E6A66"/>
    <w:rsid w:val="004005EC"/>
    <w:rsid w:val="00400DA2"/>
    <w:rsid w:val="0040283E"/>
    <w:rsid w:val="00407357"/>
    <w:rsid w:val="004075A3"/>
    <w:rsid w:val="00421C07"/>
    <w:rsid w:val="00425201"/>
    <w:rsid w:val="00430CB9"/>
    <w:rsid w:val="004313BD"/>
    <w:rsid w:val="00446239"/>
    <w:rsid w:val="004470F9"/>
    <w:rsid w:val="00450BD7"/>
    <w:rsid w:val="00453654"/>
    <w:rsid w:val="0045622A"/>
    <w:rsid w:val="00460021"/>
    <w:rsid w:val="00461C52"/>
    <w:rsid w:val="00463152"/>
    <w:rsid w:val="00465925"/>
    <w:rsid w:val="00471E6C"/>
    <w:rsid w:val="00474BA7"/>
    <w:rsid w:val="004812C3"/>
    <w:rsid w:val="00484883"/>
    <w:rsid w:val="004A2154"/>
    <w:rsid w:val="004B05D2"/>
    <w:rsid w:val="004B6008"/>
    <w:rsid w:val="004C3238"/>
    <w:rsid w:val="004C5188"/>
    <w:rsid w:val="004C760F"/>
    <w:rsid w:val="004D53FD"/>
    <w:rsid w:val="004D6E35"/>
    <w:rsid w:val="004D7EC3"/>
    <w:rsid w:val="00503946"/>
    <w:rsid w:val="00503F06"/>
    <w:rsid w:val="00507430"/>
    <w:rsid w:val="005112CA"/>
    <w:rsid w:val="00514CA3"/>
    <w:rsid w:val="00516570"/>
    <w:rsid w:val="00520DCA"/>
    <w:rsid w:val="00521E7F"/>
    <w:rsid w:val="00521FBA"/>
    <w:rsid w:val="00525016"/>
    <w:rsid w:val="005277F9"/>
    <w:rsid w:val="00534C16"/>
    <w:rsid w:val="00537612"/>
    <w:rsid w:val="005453CF"/>
    <w:rsid w:val="0055034A"/>
    <w:rsid w:val="00553968"/>
    <w:rsid w:val="00555D2B"/>
    <w:rsid w:val="00557092"/>
    <w:rsid w:val="005670A1"/>
    <w:rsid w:val="00574F1E"/>
    <w:rsid w:val="00580CEB"/>
    <w:rsid w:val="0058764B"/>
    <w:rsid w:val="005B28DB"/>
    <w:rsid w:val="005B29DD"/>
    <w:rsid w:val="005B46CF"/>
    <w:rsid w:val="005B51DA"/>
    <w:rsid w:val="005B5AC2"/>
    <w:rsid w:val="005C6C6D"/>
    <w:rsid w:val="005F562B"/>
    <w:rsid w:val="0060614C"/>
    <w:rsid w:val="006064B3"/>
    <w:rsid w:val="00615CAF"/>
    <w:rsid w:val="006175D8"/>
    <w:rsid w:val="006208AF"/>
    <w:rsid w:val="006217F3"/>
    <w:rsid w:val="0062459E"/>
    <w:rsid w:val="00626E43"/>
    <w:rsid w:val="006276A4"/>
    <w:rsid w:val="0063126B"/>
    <w:rsid w:val="00631C98"/>
    <w:rsid w:val="00637614"/>
    <w:rsid w:val="00637C94"/>
    <w:rsid w:val="00637EB7"/>
    <w:rsid w:val="006463E9"/>
    <w:rsid w:val="006551A2"/>
    <w:rsid w:val="006561CA"/>
    <w:rsid w:val="006607C4"/>
    <w:rsid w:val="00661F68"/>
    <w:rsid w:val="00663337"/>
    <w:rsid w:val="006765DB"/>
    <w:rsid w:val="006766EC"/>
    <w:rsid w:val="0068602B"/>
    <w:rsid w:val="00687551"/>
    <w:rsid w:val="00687753"/>
    <w:rsid w:val="006A39EC"/>
    <w:rsid w:val="006B0A82"/>
    <w:rsid w:val="006B5FAC"/>
    <w:rsid w:val="006B7FC5"/>
    <w:rsid w:val="006C15C4"/>
    <w:rsid w:val="006C3ADC"/>
    <w:rsid w:val="006C58E8"/>
    <w:rsid w:val="006C5C66"/>
    <w:rsid w:val="006D08DC"/>
    <w:rsid w:val="006D29D7"/>
    <w:rsid w:val="006D4A74"/>
    <w:rsid w:val="006D5B35"/>
    <w:rsid w:val="006D697F"/>
    <w:rsid w:val="006E747A"/>
    <w:rsid w:val="006E79C4"/>
    <w:rsid w:val="006F14D0"/>
    <w:rsid w:val="006F3662"/>
    <w:rsid w:val="006F72EE"/>
    <w:rsid w:val="006F7BDA"/>
    <w:rsid w:val="00701828"/>
    <w:rsid w:val="00717C22"/>
    <w:rsid w:val="00721824"/>
    <w:rsid w:val="00731976"/>
    <w:rsid w:val="007340E2"/>
    <w:rsid w:val="00735217"/>
    <w:rsid w:val="00746AE8"/>
    <w:rsid w:val="0076448C"/>
    <w:rsid w:val="00777F15"/>
    <w:rsid w:val="0078580D"/>
    <w:rsid w:val="007877E8"/>
    <w:rsid w:val="00793357"/>
    <w:rsid w:val="00793CF5"/>
    <w:rsid w:val="00797125"/>
    <w:rsid w:val="007A5F2B"/>
    <w:rsid w:val="007A741D"/>
    <w:rsid w:val="007C24E6"/>
    <w:rsid w:val="007C6E7F"/>
    <w:rsid w:val="007D2301"/>
    <w:rsid w:val="007D42E0"/>
    <w:rsid w:val="0080328C"/>
    <w:rsid w:val="00804D7B"/>
    <w:rsid w:val="008142D4"/>
    <w:rsid w:val="008150DF"/>
    <w:rsid w:val="0081791B"/>
    <w:rsid w:val="00821490"/>
    <w:rsid w:val="00830283"/>
    <w:rsid w:val="00832CF2"/>
    <w:rsid w:val="00843706"/>
    <w:rsid w:val="00846E66"/>
    <w:rsid w:val="008540CB"/>
    <w:rsid w:val="00855B6C"/>
    <w:rsid w:val="008571AE"/>
    <w:rsid w:val="0086345B"/>
    <w:rsid w:val="00866240"/>
    <w:rsid w:val="00867CD4"/>
    <w:rsid w:val="00871B20"/>
    <w:rsid w:val="00873008"/>
    <w:rsid w:val="00873248"/>
    <w:rsid w:val="0088011F"/>
    <w:rsid w:val="00882248"/>
    <w:rsid w:val="00883399"/>
    <w:rsid w:val="0089074F"/>
    <w:rsid w:val="0089287C"/>
    <w:rsid w:val="00895795"/>
    <w:rsid w:val="008A11B2"/>
    <w:rsid w:val="008B34D9"/>
    <w:rsid w:val="008B4C61"/>
    <w:rsid w:val="008B4CA9"/>
    <w:rsid w:val="008B6A01"/>
    <w:rsid w:val="008B6CF6"/>
    <w:rsid w:val="008C10AE"/>
    <w:rsid w:val="008C4B4A"/>
    <w:rsid w:val="008D0C12"/>
    <w:rsid w:val="008D52A0"/>
    <w:rsid w:val="008E14D3"/>
    <w:rsid w:val="008E39F7"/>
    <w:rsid w:val="008F082A"/>
    <w:rsid w:val="008F13CD"/>
    <w:rsid w:val="008F1A26"/>
    <w:rsid w:val="00901D4D"/>
    <w:rsid w:val="009033C9"/>
    <w:rsid w:val="00903A92"/>
    <w:rsid w:val="00903DEF"/>
    <w:rsid w:val="0091198E"/>
    <w:rsid w:val="00924CDA"/>
    <w:rsid w:val="00932DB8"/>
    <w:rsid w:val="00933A1F"/>
    <w:rsid w:val="009419DD"/>
    <w:rsid w:val="00945AE7"/>
    <w:rsid w:val="0095222F"/>
    <w:rsid w:val="00962C25"/>
    <w:rsid w:val="009660F7"/>
    <w:rsid w:val="00970E58"/>
    <w:rsid w:val="009724D0"/>
    <w:rsid w:val="00972872"/>
    <w:rsid w:val="00980982"/>
    <w:rsid w:val="0098500D"/>
    <w:rsid w:val="00992576"/>
    <w:rsid w:val="009A105D"/>
    <w:rsid w:val="009A7BFF"/>
    <w:rsid w:val="009B36A5"/>
    <w:rsid w:val="009B711E"/>
    <w:rsid w:val="009B7813"/>
    <w:rsid w:val="009C36D9"/>
    <w:rsid w:val="009D4F11"/>
    <w:rsid w:val="009E43E8"/>
    <w:rsid w:val="009E528A"/>
    <w:rsid w:val="009E7772"/>
    <w:rsid w:val="009F0B22"/>
    <w:rsid w:val="00A00213"/>
    <w:rsid w:val="00A0170C"/>
    <w:rsid w:val="00A02471"/>
    <w:rsid w:val="00A05CD8"/>
    <w:rsid w:val="00A06B19"/>
    <w:rsid w:val="00A163EB"/>
    <w:rsid w:val="00A35248"/>
    <w:rsid w:val="00A44EFF"/>
    <w:rsid w:val="00A53BC1"/>
    <w:rsid w:val="00A5510D"/>
    <w:rsid w:val="00A62EA6"/>
    <w:rsid w:val="00A62F50"/>
    <w:rsid w:val="00A72D9E"/>
    <w:rsid w:val="00A732A2"/>
    <w:rsid w:val="00A74045"/>
    <w:rsid w:val="00A77B59"/>
    <w:rsid w:val="00A81F1E"/>
    <w:rsid w:val="00A82FEC"/>
    <w:rsid w:val="00A86F00"/>
    <w:rsid w:val="00A87468"/>
    <w:rsid w:val="00A87700"/>
    <w:rsid w:val="00A877F5"/>
    <w:rsid w:val="00A97DBB"/>
    <w:rsid w:val="00AA6947"/>
    <w:rsid w:val="00AB28B8"/>
    <w:rsid w:val="00AC34CB"/>
    <w:rsid w:val="00AC7ADE"/>
    <w:rsid w:val="00AD024A"/>
    <w:rsid w:val="00AE4D42"/>
    <w:rsid w:val="00AE6B48"/>
    <w:rsid w:val="00B01937"/>
    <w:rsid w:val="00B01F13"/>
    <w:rsid w:val="00B04568"/>
    <w:rsid w:val="00B11D6F"/>
    <w:rsid w:val="00B13483"/>
    <w:rsid w:val="00B1426D"/>
    <w:rsid w:val="00B1554B"/>
    <w:rsid w:val="00B207A3"/>
    <w:rsid w:val="00B20C4C"/>
    <w:rsid w:val="00B26AC2"/>
    <w:rsid w:val="00B30C56"/>
    <w:rsid w:val="00B32B47"/>
    <w:rsid w:val="00B33DC8"/>
    <w:rsid w:val="00B34ED4"/>
    <w:rsid w:val="00B35A79"/>
    <w:rsid w:val="00B40F71"/>
    <w:rsid w:val="00B5466E"/>
    <w:rsid w:val="00B64DFF"/>
    <w:rsid w:val="00B70750"/>
    <w:rsid w:val="00B92111"/>
    <w:rsid w:val="00B93445"/>
    <w:rsid w:val="00B94F8C"/>
    <w:rsid w:val="00B95E60"/>
    <w:rsid w:val="00BC3770"/>
    <w:rsid w:val="00BD0E52"/>
    <w:rsid w:val="00BD74FB"/>
    <w:rsid w:val="00BE7A30"/>
    <w:rsid w:val="00BF1053"/>
    <w:rsid w:val="00BF7744"/>
    <w:rsid w:val="00C0513F"/>
    <w:rsid w:val="00C12593"/>
    <w:rsid w:val="00C14FF5"/>
    <w:rsid w:val="00C2393A"/>
    <w:rsid w:val="00C25CCC"/>
    <w:rsid w:val="00C260C5"/>
    <w:rsid w:val="00C32426"/>
    <w:rsid w:val="00C32A49"/>
    <w:rsid w:val="00C43D7D"/>
    <w:rsid w:val="00C57563"/>
    <w:rsid w:val="00C60760"/>
    <w:rsid w:val="00C6384D"/>
    <w:rsid w:val="00C70A52"/>
    <w:rsid w:val="00C7666B"/>
    <w:rsid w:val="00C77F7E"/>
    <w:rsid w:val="00C82C44"/>
    <w:rsid w:val="00C95988"/>
    <w:rsid w:val="00C96561"/>
    <w:rsid w:val="00CA441C"/>
    <w:rsid w:val="00CA6EDF"/>
    <w:rsid w:val="00CE3929"/>
    <w:rsid w:val="00CF0EFB"/>
    <w:rsid w:val="00CF413E"/>
    <w:rsid w:val="00CF68EE"/>
    <w:rsid w:val="00D10863"/>
    <w:rsid w:val="00D1680C"/>
    <w:rsid w:val="00D273A0"/>
    <w:rsid w:val="00D439AB"/>
    <w:rsid w:val="00D47088"/>
    <w:rsid w:val="00D52EF7"/>
    <w:rsid w:val="00D609A9"/>
    <w:rsid w:val="00D60B74"/>
    <w:rsid w:val="00D626DD"/>
    <w:rsid w:val="00D664C2"/>
    <w:rsid w:val="00D73C77"/>
    <w:rsid w:val="00D81874"/>
    <w:rsid w:val="00D91FCA"/>
    <w:rsid w:val="00D96775"/>
    <w:rsid w:val="00DA490F"/>
    <w:rsid w:val="00DB1333"/>
    <w:rsid w:val="00DB20D1"/>
    <w:rsid w:val="00DB399E"/>
    <w:rsid w:val="00DC5B93"/>
    <w:rsid w:val="00DC68F2"/>
    <w:rsid w:val="00DD0640"/>
    <w:rsid w:val="00DD2AB8"/>
    <w:rsid w:val="00DE0A7B"/>
    <w:rsid w:val="00DE1961"/>
    <w:rsid w:val="00DE2FFE"/>
    <w:rsid w:val="00DE4AE8"/>
    <w:rsid w:val="00DF250E"/>
    <w:rsid w:val="00E0214C"/>
    <w:rsid w:val="00E13450"/>
    <w:rsid w:val="00E14358"/>
    <w:rsid w:val="00E234E5"/>
    <w:rsid w:val="00E3194E"/>
    <w:rsid w:val="00E323D2"/>
    <w:rsid w:val="00E40BE5"/>
    <w:rsid w:val="00E4410E"/>
    <w:rsid w:val="00E44120"/>
    <w:rsid w:val="00E545FA"/>
    <w:rsid w:val="00E61EB8"/>
    <w:rsid w:val="00E66024"/>
    <w:rsid w:val="00E810B4"/>
    <w:rsid w:val="00E83F39"/>
    <w:rsid w:val="00E93A31"/>
    <w:rsid w:val="00EA3479"/>
    <w:rsid w:val="00EA4AB2"/>
    <w:rsid w:val="00EC136A"/>
    <w:rsid w:val="00EC1A00"/>
    <w:rsid w:val="00ED7618"/>
    <w:rsid w:val="00EE1006"/>
    <w:rsid w:val="00EE665B"/>
    <w:rsid w:val="00EF0FED"/>
    <w:rsid w:val="00F0427C"/>
    <w:rsid w:val="00F04CAD"/>
    <w:rsid w:val="00F11A36"/>
    <w:rsid w:val="00F12434"/>
    <w:rsid w:val="00F161C4"/>
    <w:rsid w:val="00F234BE"/>
    <w:rsid w:val="00F307A2"/>
    <w:rsid w:val="00F3244C"/>
    <w:rsid w:val="00F43640"/>
    <w:rsid w:val="00F57FD7"/>
    <w:rsid w:val="00F60619"/>
    <w:rsid w:val="00F6089B"/>
    <w:rsid w:val="00F626FF"/>
    <w:rsid w:val="00F65478"/>
    <w:rsid w:val="00F67A04"/>
    <w:rsid w:val="00F73E4A"/>
    <w:rsid w:val="00F810D3"/>
    <w:rsid w:val="00F81BF8"/>
    <w:rsid w:val="00F824C1"/>
    <w:rsid w:val="00F9761D"/>
    <w:rsid w:val="00FA6DF5"/>
    <w:rsid w:val="00FA6EB2"/>
    <w:rsid w:val="00FA785E"/>
    <w:rsid w:val="00FB2563"/>
    <w:rsid w:val="00FC42D4"/>
    <w:rsid w:val="00FD205C"/>
    <w:rsid w:val="00FD7D7E"/>
    <w:rsid w:val="00FE2446"/>
    <w:rsid w:val="00FE737C"/>
    <w:rsid w:val="00FF0947"/>
    <w:rsid w:val="00FF65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0D598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750"/>
    <w:pPr>
      <w:spacing w:line="360" w:lineRule="auto"/>
      <w:jc w:val="both"/>
    </w:pPr>
    <w:rPr>
      <w:rFonts w:ascii="Arial" w:eastAsiaTheme="minorHAnsi" w:hAnsi="Arial" w:cs="Arial"/>
      <w:lang w:val="en-ZA" w:eastAsia="en-US"/>
    </w:rPr>
  </w:style>
  <w:style w:type="paragraph" w:styleId="Heading1">
    <w:name w:val="heading 1"/>
    <w:basedOn w:val="Title"/>
    <w:next w:val="Normal"/>
    <w:link w:val="Heading1Char"/>
    <w:uiPriority w:val="9"/>
    <w:qFormat/>
    <w:rsid w:val="00B70750"/>
    <w:pPr>
      <w:spacing w:after="160" w:line="360" w:lineRule="auto"/>
      <w:contextualSpacing w:val="0"/>
      <w:outlineLvl w:val="0"/>
    </w:pPr>
    <w:rPr>
      <w:rFonts w:ascii="Arial" w:eastAsia="Times New Roman" w:hAnsi="Arial" w:cs="Arial"/>
      <w:b/>
      <w:spacing w:val="0"/>
      <w:kern w:val="0"/>
      <w:sz w:val="28"/>
      <w:szCs w:val="28"/>
    </w:rPr>
  </w:style>
  <w:style w:type="paragraph" w:styleId="Heading2">
    <w:name w:val="heading 2"/>
    <w:basedOn w:val="Normal"/>
    <w:next w:val="Normal"/>
    <w:link w:val="Heading2Char"/>
    <w:uiPriority w:val="9"/>
    <w:unhideWhenUsed/>
    <w:qFormat/>
    <w:rsid w:val="00324E97"/>
    <w:pPr>
      <w:keepNext/>
      <w:keepLines/>
      <w:spacing w:before="40" w:after="0"/>
      <w:outlineLvl w:val="1"/>
    </w:pPr>
    <w:rPr>
      <w:rFonts w:asciiTheme="minorBidi" w:hAnsiTheme="minorBidi" w:cstheme="minorBidi"/>
      <w:b/>
      <w:bCs/>
    </w:rPr>
  </w:style>
  <w:style w:type="paragraph" w:styleId="Heading3">
    <w:name w:val="heading 3"/>
    <w:basedOn w:val="Normal"/>
    <w:next w:val="Normal"/>
    <w:link w:val="Heading3Char"/>
    <w:uiPriority w:val="9"/>
    <w:unhideWhenUsed/>
    <w:qFormat/>
    <w:rsid w:val="00C60760"/>
    <w:pPr>
      <w:keepNext/>
      <w:keepLines/>
      <w:spacing w:before="40" w:after="0"/>
      <w:ind w:firstLine="7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70750"/>
    <w:rPr>
      <w:color w:val="0000FF"/>
      <w:u w:val="single"/>
    </w:rPr>
  </w:style>
  <w:style w:type="paragraph" w:styleId="CommentText">
    <w:name w:val="annotation text"/>
    <w:basedOn w:val="Normal"/>
    <w:link w:val="CommentTextChar"/>
    <w:uiPriority w:val="99"/>
    <w:unhideWhenUsed/>
    <w:rsid w:val="00B70750"/>
    <w:pPr>
      <w:spacing w:line="240" w:lineRule="auto"/>
    </w:pPr>
    <w:rPr>
      <w:sz w:val="20"/>
      <w:szCs w:val="20"/>
    </w:rPr>
  </w:style>
  <w:style w:type="character" w:customStyle="1" w:styleId="CommentTextChar">
    <w:name w:val="Comment Text Char"/>
    <w:basedOn w:val="DefaultParagraphFont"/>
    <w:link w:val="CommentText"/>
    <w:uiPriority w:val="99"/>
    <w:rsid w:val="00B70750"/>
    <w:rPr>
      <w:rFonts w:ascii="Arial" w:eastAsiaTheme="minorHAnsi" w:hAnsi="Arial" w:cs="Arial"/>
      <w:sz w:val="20"/>
      <w:szCs w:val="20"/>
      <w:lang w:val="en-ZA" w:eastAsia="en-US"/>
    </w:rPr>
  </w:style>
  <w:style w:type="character" w:styleId="CommentReference">
    <w:name w:val="annotation reference"/>
    <w:basedOn w:val="DefaultParagraphFont"/>
    <w:uiPriority w:val="99"/>
    <w:semiHidden/>
    <w:unhideWhenUsed/>
    <w:rsid w:val="00B70750"/>
    <w:rPr>
      <w:sz w:val="16"/>
      <w:szCs w:val="16"/>
    </w:rPr>
  </w:style>
  <w:style w:type="paragraph" w:styleId="BalloonText">
    <w:name w:val="Balloon Text"/>
    <w:basedOn w:val="Normal"/>
    <w:link w:val="BalloonTextChar"/>
    <w:uiPriority w:val="99"/>
    <w:semiHidden/>
    <w:unhideWhenUsed/>
    <w:rsid w:val="00B70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750"/>
    <w:rPr>
      <w:rFonts w:ascii="Segoe UI" w:eastAsiaTheme="minorHAnsi" w:hAnsi="Segoe UI" w:cs="Segoe UI"/>
      <w:sz w:val="18"/>
      <w:szCs w:val="18"/>
      <w:lang w:val="en-ZA" w:eastAsia="en-US"/>
    </w:rPr>
  </w:style>
  <w:style w:type="character" w:customStyle="1" w:styleId="Heading1Char">
    <w:name w:val="Heading 1 Char"/>
    <w:basedOn w:val="DefaultParagraphFont"/>
    <w:link w:val="Heading1"/>
    <w:uiPriority w:val="9"/>
    <w:rsid w:val="00B70750"/>
    <w:rPr>
      <w:rFonts w:ascii="Arial" w:eastAsia="Times New Roman" w:hAnsi="Arial" w:cs="Arial"/>
      <w:b/>
      <w:sz w:val="28"/>
      <w:szCs w:val="28"/>
      <w:lang w:val="en-ZA" w:eastAsia="en-US"/>
    </w:rPr>
  </w:style>
  <w:style w:type="paragraph" w:styleId="Title">
    <w:name w:val="Title"/>
    <w:basedOn w:val="Normal"/>
    <w:next w:val="Normal"/>
    <w:link w:val="TitleChar"/>
    <w:uiPriority w:val="10"/>
    <w:qFormat/>
    <w:rsid w:val="00B707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0750"/>
    <w:rPr>
      <w:rFonts w:asciiTheme="majorHAnsi" w:eastAsiaTheme="majorEastAsia" w:hAnsiTheme="majorHAnsi" w:cstheme="majorBidi"/>
      <w:spacing w:val="-10"/>
      <w:kern w:val="28"/>
      <w:sz w:val="56"/>
      <w:szCs w:val="56"/>
      <w:lang w:val="en-ZA" w:eastAsia="en-US"/>
    </w:rPr>
  </w:style>
  <w:style w:type="paragraph" w:styleId="FootnoteText">
    <w:name w:val="footnote text"/>
    <w:basedOn w:val="Normal"/>
    <w:link w:val="FootnoteTextChar"/>
    <w:uiPriority w:val="99"/>
    <w:semiHidden/>
    <w:unhideWhenUsed/>
    <w:rsid w:val="004812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C3"/>
    <w:rPr>
      <w:rFonts w:ascii="Arial" w:eastAsiaTheme="minorHAnsi" w:hAnsi="Arial" w:cs="Arial"/>
      <w:sz w:val="20"/>
      <w:szCs w:val="20"/>
      <w:lang w:val="en-ZA" w:eastAsia="en-US"/>
    </w:rPr>
  </w:style>
  <w:style w:type="character" w:styleId="FootnoteReference">
    <w:name w:val="footnote reference"/>
    <w:basedOn w:val="DefaultParagraphFont"/>
    <w:uiPriority w:val="99"/>
    <w:semiHidden/>
    <w:unhideWhenUsed/>
    <w:rsid w:val="004812C3"/>
    <w:rPr>
      <w:vertAlign w:val="superscript"/>
    </w:rPr>
  </w:style>
  <w:style w:type="paragraph" w:styleId="Bibliography">
    <w:name w:val="Bibliography"/>
    <w:basedOn w:val="Normal"/>
    <w:next w:val="Normal"/>
    <w:uiPriority w:val="37"/>
    <w:semiHidden/>
    <w:unhideWhenUsed/>
    <w:rsid w:val="004812C3"/>
  </w:style>
  <w:style w:type="character" w:customStyle="1" w:styleId="Heading2Char">
    <w:name w:val="Heading 2 Char"/>
    <w:basedOn w:val="DefaultParagraphFont"/>
    <w:link w:val="Heading2"/>
    <w:uiPriority w:val="9"/>
    <w:rsid w:val="00324E97"/>
    <w:rPr>
      <w:rFonts w:asciiTheme="minorBidi" w:eastAsiaTheme="minorHAnsi" w:hAnsiTheme="minorBidi"/>
      <w:b/>
      <w:bCs/>
      <w:lang w:val="en-ZA" w:eastAsia="en-US"/>
    </w:rPr>
  </w:style>
  <w:style w:type="character" w:customStyle="1" w:styleId="Heading3Char">
    <w:name w:val="Heading 3 Char"/>
    <w:basedOn w:val="DefaultParagraphFont"/>
    <w:link w:val="Heading3"/>
    <w:uiPriority w:val="9"/>
    <w:rsid w:val="00C60760"/>
    <w:rPr>
      <w:rFonts w:ascii="Arial" w:eastAsiaTheme="minorHAnsi" w:hAnsi="Arial" w:cs="Arial"/>
      <w:lang w:val="en-ZA" w:eastAsia="en-US"/>
    </w:rPr>
  </w:style>
  <w:style w:type="paragraph" w:styleId="CommentSubject">
    <w:name w:val="annotation subject"/>
    <w:basedOn w:val="CommentText"/>
    <w:next w:val="CommentText"/>
    <w:link w:val="CommentSubjectChar"/>
    <w:uiPriority w:val="99"/>
    <w:semiHidden/>
    <w:unhideWhenUsed/>
    <w:rsid w:val="005112CA"/>
    <w:rPr>
      <w:b/>
      <w:bCs/>
    </w:rPr>
  </w:style>
  <w:style w:type="character" w:customStyle="1" w:styleId="CommentSubjectChar">
    <w:name w:val="Comment Subject Char"/>
    <w:basedOn w:val="CommentTextChar"/>
    <w:link w:val="CommentSubject"/>
    <w:uiPriority w:val="99"/>
    <w:semiHidden/>
    <w:rsid w:val="005112CA"/>
    <w:rPr>
      <w:rFonts w:ascii="Arial" w:eastAsiaTheme="minorHAnsi" w:hAnsi="Arial" w:cs="Arial"/>
      <w:b/>
      <w:bCs/>
      <w:sz w:val="20"/>
      <w:szCs w:val="20"/>
      <w:lang w:val="en-ZA" w:eastAsia="en-US"/>
    </w:rPr>
  </w:style>
  <w:style w:type="paragraph" w:styleId="ListParagraph">
    <w:name w:val="List Paragraph"/>
    <w:basedOn w:val="Normal"/>
    <w:uiPriority w:val="34"/>
    <w:qFormat/>
    <w:rsid w:val="00FE737C"/>
    <w:pPr>
      <w:ind w:left="720"/>
      <w:contextualSpacing/>
    </w:pPr>
  </w:style>
  <w:style w:type="paragraph" w:styleId="Header">
    <w:name w:val="header"/>
    <w:basedOn w:val="Normal"/>
    <w:link w:val="HeaderChar"/>
    <w:uiPriority w:val="99"/>
    <w:unhideWhenUsed/>
    <w:rsid w:val="00DB13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333"/>
    <w:rPr>
      <w:rFonts w:ascii="Arial" w:eastAsiaTheme="minorHAnsi" w:hAnsi="Arial" w:cs="Arial"/>
      <w:lang w:val="en-ZA" w:eastAsia="en-US"/>
    </w:rPr>
  </w:style>
  <w:style w:type="paragraph" w:styleId="Footer">
    <w:name w:val="footer"/>
    <w:basedOn w:val="Normal"/>
    <w:link w:val="FooterChar"/>
    <w:uiPriority w:val="99"/>
    <w:unhideWhenUsed/>
    <w:rsid w:val="00DB13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333"/>
    <w:rPr>
      <w:rFonts w:ascii="Arial" w:eastAsiaTheme="minorHAnsi" w:hAnsi="Arial" w:cs="Arial"/>
      <w:lang w:val="en-ZA" w:eastAsia="en-US"/>
    </w:rPr>
  </w:style>
  <w:style w:type="character" w:styleId="LineNumber">
    <w:name w:val="line number"/>
    <w:basedOn w:val="DefaultParagraphFont"/>
    <w:uiPriority w:val="99"/>
    <w:semiHidden/>
    <w:unhideWhenUsed/>
    <w:rsid w:val="00F67A04"/>
  </w:style>
  <w:style w:type="paragraph" w:styleId="NormalWeb">
    <w:name w:val="Normal (Web)"/>
    <w:basedOn w:val="Normal"/>
    <w:uiPriority w:val="99"/>
    <w:semiHidden/>
    <w:unhideWhenUsed/>
    <w:rsid w:val="00903DEF"/>
    <w:pPr>
      <w:spacing w:before="100" w:beforeAutospacing="1" w:after="100" w:afterAutospacing="1" w:line="240" w:lineRule="auto"/>
      <w:jc w:val="left"/>
    </w:pPr>
    <w:rPr>
      <w:rFonts w:ascii="Times New Roman" w:eastAsia="Times New Roman" w:hAnsi="Times New Roman" w:cs="Times New Roman"/>
      <w:sz w:val="24"/>
      <w:szCs w:val="24"/>
      <w:lang w:val="en-GB" w:eastAsia="ja-JP"/>
    </w:rPr>
  </w:style>
  <w:style w:type="character" w:styleId="FollowedHyperlink">
    <w:name w:val="FollowedHyperlink"/>
    <w:basedOn w:val="DefaultParagraphFont"/>
    <w:uiPriority w:val="99"/>
    <w:semiHidden/>
    <w:unhideWhenUsed/>
    <w:rsid w:val="00E545FA"/>
    <w:rPr>
      <w:color w:val="954F72" w:themeColor="followedHyperlink"/>
      <w:u w:val="single"/>
    </w:rPr>
  </w:style>
  <w:style w:type="paragraph" w:styleId="PlainText">
    <w:name w:val="Plain Text"/>
    <w:basedOn w:val="Normal"/>
    <w:link w:val="PlainTextChar"/>
    <w:uiPriority w:val="99"/>
    <w:unhideWhenUsed/>
    <w:rsid w:val="00F3244C"/>
    <w:pPr>
      <w:spacing w:after="0" w:line="240" w:lineRule="auto"/>
      <w:jc w:val="left"/>
    </w:pPr>
    <w:rPr>
      <w:rFonts w:ascii="Calibri" w:eastAsiaTheme="minorEastAsia" w:hAnsi="Calibri" w:cstheme="minorBidi"/>
      <w:szCs w:val="21"/>
      <w:lang w:val="en-GB" w:eastAsia="ja-JP"/>
    </w:rPr>
  </w:style>
  <w:style w:type="character" w:customStyle="1" w:styleId="PlainTextChar">
    <w:name w:val="Plain Text Char"/>
    <w:basedOn w:val="DefaultParagraphFont"/>
    <w:link w:val="PlainText"/>
    <w:uiPriority w:val="99"/>
    <w:rsid w:val="00F3244C"/>
    <w:rPr>
      <w:rFonts w:ascii="Calibri" w:hAnsi="Calibri"/>
      <w:szCs w:val="21"/>
    </w:rPr>
  </w:style>
  <w:style w:type="paragraph" w:styleId="Revision">
    <w:name w:val="Revision"/>
    <w:hidden/>
    <w:uiPriority w:val="99"/>
    <w:semiHidden/>
    <w:rsid w:val="00932DB8"/>
    <w:pPr>
      <w:spacing w:after="0" w:line="240" w:lineRule="auto"/>
    </w:pPr>
    <w:rPr>
      <w:rFonts w:ascii="Arial" w:eastAsiaTheme="minorHAnsi" w:hAnsi="Arial" w:cs="Arial"/>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62282">
      <w:bodyDiv w:val="1"/>
      <w:marLeft w:val="0"/>
      <w:marRight w:val="0"/>
      <w:marTop w:val="0"/>
      <w:marBottom w:val="0"/>
      <w:divBdr>
        <w:top w:val="none" w:sz="0" w:space="0" w:color="auto"/>
        <w:left w:val="none" w:sz="0" w:space="0" w:color="auto"/>
        <w:bottom w:val="none" w:sz="0" w:space="0" w:color="auto"/>
        <w:right w:val="none" w:sz="0" w:space="0" w:color="auto"/>
      </w:divBdr>
    </w:div>
    <w:div w:id="68237714">
      <w:bodyDiv w:val="1"/>
      <w:marLeft w:val="0"/>
      <w:marRight w:val="0"/>
      <w:marTop w:val="0"/>
      <w:marBottom w:val="0"/>
      <w:divBdr>
        <w:top w:val="none" w:sz="0" w:space="0" w:color="auto"/>
        <w:left w:val="none" w:sz="0" w:space="0" w:color="auto"/>
        <w:bottom w:val="none" w:sz="0" w:space="0" w:color="auto"/>
        <w:right w:val="none" w:sz="0" w:space="0" w:color="auto"/>
      </w:divBdr>
    </w:div>
    <w:div w:id="72892995">
      <w:bodyDiv w:val="1"/>
      <w:marLeft w:val="0"/>
      <w:marRight w:val="0"/>
      <w:marTop w:val="0"/>
      <w:marBottom w:val="0"/>
      <w:divBdr>
        <w:top w:val="none" w:sz="0" w:space="0" w:color="auto"/>
        <w:left w:val="none" w:sz="0" w:space="0" w:color="auto"/>
        <w:bottom w:val="none" w:sz="0" w:space="0" w:color="auto"/>
        <w:right w:val="none" w:sz="0" w:space="0" w:color="auto"/>
      </w:divBdr>
    </w:div>
    <w:div w:id="83037832">
      <w:bodyDiv w:val="1"/>
      <w:marLeft w:val="0"/>
      <w:marRight w:val="0"/>
      <w:marTop w:val="0"/>
      <w:marBottom w:val="0"/>
      <w:divBdr>
        <w:top w:val="none" w:sz="0" w:space="0" w:color="auto"/>
        <w:left w:val="none" w:sz="0" w:space="0" w:color="auto"/>
        <w:bottom w:val="none" w:sz="0" w:space="0" w:color="auto"/>
        <w:right w:val="none" w:sz="0" w:space="0" w:color="auto"/>
      </w:divBdr>
    </w:div>
    <w:div w:id="86577974">
      <w:bodyDiv w:val="1"/>
      <w:marLeft w:val="0"/>
      <w:marRight w:val="0"/>
      <w:marTop w:val="0"/>
      <w:marBottom w:val="0"/>
      <w:divBdr>
        <w:top w:val="none" w:sz="0" w:space="0" w:color="auto"/>
        <w:left w:val="none" w:sz="0" w:space="0" w:color="auto"/>
        <w:bottom w:val="none" w:sz="0" w:space="0" w:color="auto"/>
        <w:right w:val="none" w:sz="0" w:space="0" w:color="auto"/>
      </w:divBdr>
    </w:div>
    <w:div w:id="106169420">
      <w:bodyDiv w:val="1"/>
      <w:marLeft w:val="0"/>
      <w:marRight w:val="0"/>
      <w:marTop w:val="0"/>
      <w:marBottom w:val="0"/>
      <w:divBdr>
        <w:top w:val="none" w:sz="0" w:space="0" w:color="auto"/>
        <w:left w:val="none" w:sz="0" w:space="0" w:color="auto"/>
        <w:bottom w:val="none" w:sz="0" w:space="0" w:color="auto"/>
        <w:right w:val="none" w:sz="0" w:space="0" w:color="auto"/>
      </w:divBdr>
    </w:div>
    <w:div w:id="114326085">
      <w:bodyDiv w:val="1"/>
      <w:marLeft w:val="0"/>
      <w:marRight w:val="0"/>
      <w:marTop w:val="0"/>
      <w:marBottom w:val="0"/>
      <w:divBdr>
        <w:top w:val="none" w:sz="0" w:space="0" w:color="auto"/>
        <w:left w:val="none" w:sz="0" w:space="0" w:color="auto"/>
        <w:bottom w:val="none" w:sz="0" w:space="0" w:color="auto"/>
        <w:right w:val="none" w:sz="0" w:space="0" w:color="auto"/>
      </w:divBdr>
    </w:div>
    <w:div w:id="166752007">
      <w:bodyDiv w:val="1"/>
      <w:marLeft w:val="0"/>
      <w:marRight w:val="0"/>
      <w:marTop w:val="0"/>
      <w:marBottom w:val="0"/>
      <w:divBdr>
        <w:top w:val="none" w:sz="0" w:space="0" w:color="auto"/>
        <w:left w:val="none" w:sz="0" w:space="0" w:color="auto"/>
        <w:bottom w:val="none" w:sz="0" w:space="0" w:color="auto"/>
        <w:right w:val="none" w:sz="0" w:space="0" w:color="auto"/>
      </w:divBdr>
    </w:div>
    <w:div w:id="171184968">
      <w:bodyDiv w:val="1"/>
      <w:marLeft w:val="0"/>
      <w:marRight w:val="0"/>
      <w:marTop w:val="0"/>
      <w:marBottom w:val="0"/>
      <w:divBdr>
        <w:top w:val="none" w:sz="0" w:space="0" w:color="auto"/>
        <w:left w:val="none" w:sz="0" w:space="0" w:color="auto"/>
        <w:bottom w:val="none" w:sz="0" w:space="0" w:color="auto"/>
        <w:right w:val="none" w:sz="0" w:space="0" w:color="auto"/>
      </w:divBdr>
      <w:divsChild>
        <w:div w:id="1423723736">
          <w:marLeft w:val="0"/>
          <w:marRight w:val="0"/>
          <w:marTop w:val="0"/>
          <w:marBottom w:val="0"/>
          <w:divBdr>
            <w:top w:val="none" w:sz="0" w:space="0" w:color="auto"/>
            <w:left w:val="none" w:sz="0" w:space="0" w:color="auto"/>
            <w:bottom w:val="none" w:sz="0" w:space="0" w:color="auto"/>
            <w:right w:val="none" w:sz="0" w:space="0" w:color="auto"/>
          </w:divBdr>
          <w:divsChild>
            <w:div w:id="17244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7683">
      <w:bodyDiv w:val="1"/>
      <w:marLeft w:val="0"/>
      <w:marRight w:val="0"/>
      <w:marTop w:val="0"/>
      <w:marBottom w:val="0"/>
      <w:divBdr>
        <w:top w:val="none" w:sz="0" w:space="0" w:color="auto"/>
        <w:left w:val="none" w:sz="0" w:space="0" w:color="auto"/>
        <w:bottom w:val="none" w:sz="0" w:space="0" w:color="auto"/>
        <w:right w:val="none" w:sz="0" w:space="0" w:color="auto"/>
      </w:divBdr>
    </w:div>
    <w:div w:id="211505427">
      <w:bodyDiv w:val="1"/>
      <w:marLeft w:val="0"/>
      <w:marRight w:val="0"/>
      <w:marTop w:val="0"/>
      <w:marBottom w:val="0"/>
      <w:divBdr>
        <w:top w:val="none" w:sz="0" w:space="0" w:color="auto"/>
        <w:left w:val="none" w:sz="0" w:space="0" w:color="auto"/>
        <w:bottom w:val="none" w:sz="0" w:space="0" w:color="auto"/>
        <w:right w:val="none" w:sz="0" w:space="0" w:color="auto"/>
      </w:divBdr>
    </w:div>
    <w:div w:id="251092188">
      <w:bodyDiv w:val="1"/>
      <w:marLeft w:val="0"/>
      <w:marRight w:val="0"/>
      <w:marTop w:val="0"/>
      <w:marBottom w:val="0"/>
      <w:divBdr>
        <w:top w:val="none" w:sz="0" w:space="0" w:color="auto"/>
        <w:left w:val="none" w:sz="0" w:space="0" w:color="auto"/>
        <w:bottom w:val="none" w:sz="0" w:space="0" w:color="auto"/>
        <w:right w:val="none" w:sz="0" w:space="0" w:color="auto"/>
      </w:divBdr>
    </w:div>
    <w:div w:id="251624388">
      <w:bodyDiv w:val="1"/>
      <w:marLeft w:val="0"/>
      <w:marRight w:val="0"/>
      <w:marTop w:val="0"/>
      <w:marBottom w:val="0"/>
      <w:divBdr>
        <w:top w:val="none" w:sz="0" w:space="0" w:color="auto"/>
        <w:left w:val="none" w:sz="0" w:space="0" w:color="auto"/>
        <w:bottom w:val="none" w:sz="0" w:space="0" w:color="auto"/>
        <w:right w:val="none" w:sz="0" w:space="0" w:color="auto"/>
      </w:divBdr>
    </w:div>
    <w:div w:id="253367576">
      <w:bodyDiv w:val="1"/>
      <w:marLeft w:val="0"/>
      <w:marRight w:val="0"/>
      <w:marTop w:val="0"/>
      <w:marBottom w:val="0"/>
      <w:divBdr>
        <w:top w:val="none" w:sz="0" w:space="0" w:color="auto"/>
        <w:left w:val="none" w:sz="0" w:space="0" w:color="auto"/>
        <w:bottom w:val="none" w:sz="0" w:space="0" w:color="auto"/>
        <w:right w:val="none" w:sz="0" w:space="0" w:color="auto"/>
      </w:divBdr>
      <w:divsChild>
        <w:div w:id="1054307697">
          <w:marLeft w:val="0"/>
          <w:marRight w:val="0"/>
          <w:marTop w:val="0"/>
          <w:marBottom w:val="0"/>
          <w:divBdr>
            <w:top w:val="none" w:sz="0" w:space="0" w:color="auto"/>
            <w:left w:val="none" w:sz="0" w:space="0" w:color="auto"/>
            <w:bottom w:val="none" w:sz="0" w:space="0" w:color="auto"/>
            <w:right w:val="none" w:sz="0" w:space="0" w:color="auto"/>
          </w:divBdr>
          <w:divsChild>
            <w:div w:id="1078214592">
              <w:marLeft w:val="0"/>
              <w:marRight w:val="0"/>
              <w:marTop w:val="0"/>
              <w:marBottom w:val="0"/>
              <w:divBdr>
                <w:top w:val="none" w:sz="0" w:space="0" w:color="auto"/>
                <w:left w:val="none" w:sz="0" w:space="0" w:color="auto"/>
                <w:bottom w:val="none" w:sz="0" w:space="0" w:color="auto"/>
                <w:right w:val="none" w:sz="0" w:space="0" w:color="auto"/>
              </w:divBdr>
            </w:div>
            <w:div w:id="11531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0765">
      <w:bodyDiv w:val="1"/>
      <w:marLeft w:val="0"/>
      <w:marRight w:val="0"/>
      <w:marTop w:val="0"/>
      <w:marBottom w:val="0"/>
      <w:divBdr>
        <w:top w:val="none" w:sz="0" w:space="0" w:color="auto"/>
        <w:left w:val="none" w:sz="0" w:space="0" w:color="auto"/>
        <w:bottom w:val="none" w:sz="0" w:space="0" w:color="auto"/>
        <w:right w:val="none" w:sz="0" w:space="0" w:color="auto"/>
      </w:divBdr>
    </w:div>
    <w:div w:id="362824312">
      <w:bodyDiv w:val="1"/>
      <w:marLeft w:val="0"/>
      <w:marRight w:val="0"/>
      <w:marTop w:val="0"/>
      <w:marBottom w:val="0"/>
      <w:divBdr>
        <w:top w:val="none" w:sz="0" w:space="0" w:color="auto"/>
        <w:left w:val="none" w:sz="0" w:space="0" w:color="auto"/>
        <w:bottom w:val="none" w:sz="0" w:space="0" w:color="auto"/>
        <w:right w:val="none" w:sz="0" w:space="0" w:color="auto"/>
      </w:divBdr>
    </w:div>
    <w:div w:id="376977995">
      <w:bodyDiv w:val="1"/>
      <w:marLeft w:val="0"/>
      <w:marRight w:val="0"/>
      <w:marTop w:val="0"/>
      <w:marBottom w:val="0"/>
      <w:divBdr>
        <w:top w:val="none" w:sz="0" w:space="0" w:color="auto"/>
        <w:left w:val="none" w:sz="0" w:space="0" w:color="auto"/>
        <w:bottom w:val="none" w:sz="0" w:space="0" w:color="auto"/>
        <w:right w:val="none" w:sz="0" w:space="0" w:color="auto"/>
      </w:divBdr>
    </w:div>
    <w:div w:id="408507311">
      <w:bodyDiv w:val="1"/>
      <w:marLeft w:val="0"/>
      <w:marRight w:val="0"/>
      <w:marTop w:val="0"/>
      <w:marBottom w:val="0"/>
      <w:divBdr>
        <w:top w:val="none" w:sz="0" w:space="0" w:color="auto"/>
        <w:left w:val="none" w:sz="0" w:space="0" w:color="auto"/>
        <w:bottom w:val="none" w:sz="0" w:space="0" w:color="auto"/>
        <w:right w:val="none" w:sz="0" w:space="0" w:color="auto"/>
      </w:divBdr>
    </w:div>
    <w:div w:id="450784871">
      <w:bodyDiv w:val="1"/>
      <w:marLeft w:val="0"/>
      <w:marRight w:val="0"/>
      <w:marTop w:val="0"/>
      <w:marBottom w:val="0"/>
      <w:divBdr>
        <w:top w:val="none" w:sz="0" w:space="0" w:color="auto"/>
        <w:left w:val="none" w:sz="0" w:space="0" w:color="auto"/>
        <w:bottom w:val="none" w:sz="0" w:space="0" w:color="auto"/>
        <w:right w:val="none" w:sz="0" w:space="0" w:color="auto"/>
      </w:divBdr>
    </w:div>
    <w:div w:id="461924969">
      <w:bodyDiv w:val="1"/>
      <w:marLeft w:val="0"/>
      <w:marRight w:val="0"/>
      <w:marTop w:val="0"/>
      <w:marBottom w:val="0"/>
      <w:divBdr>
        <w:top w:val="none" w:sz="0" w:space="0" w:color="auto"/>
        <w:left w:val="none" w:sz="0" w:space="0" w:color="auto"/>
        <w:bottom w:val="none" w:sz="0" w:space="0" w:color="auto"/>
        <w:right w:val="none" w:sz="0" w:space="0" w:color="auto"/>
      </w:divBdr>
    </w:div>
    <w:div w:id="468910145">
      <w:bodyDiv w:val="1"/>
      <w:marLeft w:val="0"/>
      <w:marRight w:val="0"/>
      <w:marTop w:val="0"/>
      <w:marBottom w:val="0"/>
      <w:divBdr>
        <w:top w:val="none" w:sz="0" w:space="0" w:color="auto"/>
        <w:left w:val="none" w:sz="0" w:space="0" w:color="auto"/>
        <w:bottom w:val="none" w:sz="0" w:space="0" w:color="auto"/>
        <w:right w:val="none" w:sz="0" w:space="0" w:color="auto"/>
      </w:divBdr>
    </w:div>
    <w:div w:id="501822011">
      <w:bodyDiv w:val="1"/>
      <w:marLeft w:val="0"/>
      <w:marRight w:val="0"/>
      <w:marTop w:val="0"/>
      <w:marBottom w:val="0"/>
      <w:divBdr>
        <w:top w:val="none" w:sz="0" w:space="0" w:color="auto"/>
        <w:left w:val="none" w:sz="0" w:space="0" w:color="auto"/>
        <w:bottom w:val="none" w:sz="0" w:space="0" w:color="auto"/>
        <w:right w:val="none" w:sz="0" w:space="0" w:color="auto"/>
      </w:divBdr>
    </w:div>
    <w:div w:id="534541835">
      <w:bodyDiv w:val="1"/>
      <w:marLeft w:val="0"/>
      <w:marRight w:val="0"/>
      <w:marTop w:val="0"/>
      <w:marBottom w:val="0"/>
      <w:divBdr>
        <w:top w:val="none" w:sz="0" w:space="0" w:color="auto"/>
        <w:left w:val="none" w:sz="0" w:space="0" w:color="auto"/>
        <w:bottom w:val="none" w:sz="0" w:space="0" w:color="auto"/>
        <w:right w:val="none" w:sz="0" w:space="0" w:color="auto"/>
      </w:divBdr>
    </w:div>
    <w:div w:id="571627507">
      <w:bodyDiv w:val="1"/>
      <w:marLeft w:val="0"/>
      <w:marRight w:val="0"/>
      <w:marTop w:val="0"/>
      <w:marBottom w:val="0"/>
      <w:divBdr>
        <w:top w:val="none" w:sz="0" w:space="0" w:color="auto"/>
        <w:left w:val="none" w:sz="0" w:space="0" w:color="auto"/>
        <w:bottom w:val="none" w:sz="0" w:space="0" w:color="auto"/>
        <w:right w:val="none" w:sz="0" w:space="0" w:color="auto"/>
      </w:divBdr>
      <w:divsChild>
        <w:div w:id="148178885">
          <w:marLeft w:val="0"/>
          <w:marRight w:val="0"/>
          <w:marTop w:val="0"/>
          <w:marBottom w:val="0"/>
          <w:divBdr>
            <w:top w:val="none" w:sz="0" w:space="0" w:color="auto"/>
            <w:left w:val="none" w:sz="0" w:space="0" w:color="auto"/>
            <w:bottom w:val="none" w:sz="0" w:space="0" w:color="auto"/>
            <w:right w:val="none" w:sz="0" w:space="0" w:color="auto"/>
          </w:divBdr>
          <w:divsChild>
            <w:div w:id="11231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0381">
      <w:bodyDiv w:val="1"/>
      <w:marLeft w:val="0"/>
      <w:marRight w:val="0"/>
      <w:marTop w:val="0"/>
      <w:marBottom w:val="0"/>
      <w:divBdr>
        <w:top w:val="none" w:sz="0" w:space="0" w:color="auto"/>
        <w:left w:val="none" w:sz="0" w:space="0" w:color="auto"/>
        <w:bottom w:val="none" w:sz="0" w:space="0" w:color="auto"/>
        <w:right w:val="none" w:sz="0" w:space="0" w:color="auto"/>
      </w:divBdr>
    </w:div>
    <w:div w:id="606430119">
      <w:bodyDiv w:val="1"/>
      <w:marLeft w:val="0"/>
      <w:marRight w:val="0"/>
      <w:marTop w:val="0"/>
      <w:marBottom w:val="0"/>
      <w:divBdr>
        <w:top w:val="none" w:sz="0" w:space="0" w:color="auto"/>
        <w:left w:val="none" w:sz="0" w:space="0" w:color="auto"/>
        <w:bottom w:val="none" w:sz="0" w:space="0" w:color="auto"/>
        <w:right w:val="none" w:sz="0" w:space="0" w:color="auto"/>
      </w:divBdr>
      <w:divsChild>
        <w:div w:id="1843085247">
          <w:marLeft w:val="0"/>
          <w:marRight w:val="0"/>
          <w:marTop w:val="0"/>
          <w:marBottom w:val="0"/>
          <w:divBdr>
            <w:top w:val="none" w:sz="0" w:space="0" w:color="auto"/>
            <w:left w:val="none" w:sz="0" w:space="0" w:color="auto"/>
            <w:bottom w:val="none" w:sz="0" w:space="0" w:color="auto"/>
            <w:right w:val="none" w:sz="0" w:space="0" w:color="auto"/>
          </w:divBdr>
          <w:divsChild>
            <w:div w:id="7485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01318">
      <w:bodyDiv w:val="1"/>
      <w:marLeft w:val="0"/>
      <w:marRight w:val="0"/>
      <w:marTop w:val="0"/>
      <w:marBottom w:val="0"/>
      <w:divBdr>
        <w:top w:val="none" w:sz="0" w:space="0" w:color="auto"/>
        <w:left w:val="none" w:sz="0" w:space="0" w:color="auto"/>
        <w:bottom w:val="none" w:sz="0" w:space="0" w:color="auto"/>
        <w:right w:val="none" w:sz="0" w:space="0" w:color="auto"/>
      </w:divBdr>
      <w:divsChild>
        <w:div w:id="1321689045">
          <w:marLeft w:val="0"/>
          <w:marRight w:val="0"/>
          <w:marTop w:val="0"/>
          <w:marBottom w:val="0"/>
          <w:divBdr>
            <w:top w:val="none" w:sz="0" w:space="0" w:color="auto"/>
            <w:left w:val="none" w:sz="0" w:space="0" w:color="auto"/>
            <w:bottom w:val="none" w:sz="0" w:space="0" w:color="auto"/>
            <w:right w:val="none" w:sz="0" w:space="0" w:color="auto"/>
          </w:divBdr>
          <w:divsChild>
            <w:div w:id="11354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80767">
      <w:bodyDiv w:val="1"/>
      <w:marLeft w:val="0"/>
      <w:marRight w:val="0"/>
      <w:marTop w:val="0"/>
      <w:marBottom w:val="0"/>
      <w:divBdr>
        <w:top w:val="none" w:sz="0" w:space="0" w:color="auto"/>
        <w:left w:val="none" w:sz="0" w:space="0" w:color="auto"/>
        <w:bottom w:val="none" w:sz="0" w:space="0" w:color="auto"/>
        <w:right w:val="none" w:sz="0" w:space="0" w:color="auto"/>
      </w:divBdr>
    </w:div>
    <w:div w:id="651905771">
      <w:bodyDiv w:val="1"/>
      <w:marLeft w:val="0"/>
      <w:marRight w:val="0"/>
      <w:marTop w:val="0"/>
      <w:marBottom w:val="0"/>
      <w:divBdr>
        <w:top w:val="none" w:sz="0" w:space="0" w:color="auto"/>
        <w:left w:val="none" w:sz="0" w:space="0" w:color="auto"/>
        <w:bottom w:val="none" w:sz="0" w:space="0" w:color="auto"/>
        <w:right w:val="none" w:sz="0" w:space="0" w:color="auto"/>
      </w:divBdr>
    </w:div>
    <w:div w:id="680206671">
      <w:bodyDiv w:val="1"/>
      <w:marLeft w:val="0"/>
      <w:marRight w:val="0"/>
      <w:marTop w:val="0"/>
      <w:marBottom w:val="0"/>
      <w:divBdr>
        <w:top w:val="none" w:sz="0" w:space="0" w:color="auto"/>
        <w:left w:val="none" w:sz="0" w:space="0" w:color="auto"/>
        <w:bottom w:val="none" w:sz="0" w:space="0" w:color="auto"/>
        <w:right w:val="none" w:sz="0" w:space="0" w:color="auto"/>
      </w:divBdr>
    </w:div>
    <w:div w:id="703556121">
      <w:bodyDiv w:val="1"/>
      <w:marLeft w:val="0"/>
      <w:marRight w:val="0"/>
      <w:marTop w:val="0"/>
      <w:marBottom w:val="0"/>
      <w:divBdr>
        <w:top w:val="none" w:sz="0" w:space="0" w:color="auto"/>
        <w:left w:val="none" w:sz="0" w:space="0" w:color="auto"/>
        <w:bottom w:val="none" w:sz="0" w:space="0" w:color="auto"/>
        <w:right w:val="none" w:sz="0" w:space="0" w:color="auto"/>
      </w:divBdr>
    </w:div>
    <w:div w:id="747918886">
      <w:bodyDiv w:val="1"/>
      <w:marLeft w:val="0"/>
      <w:marRight w:val="0"/>
      <w:marTop w:val="0"/>
      <w:marBottom w:val="0"/>
      <w:divBdr>
        <w:top w:val="none" w:sz="0" w:space="0" w:color="auto"/>
        <w:left w:val="none" w:sz="0" w:space="0" w:color="auto"/>
        <w:bottom w:val="none" w:sz="0" w:space="0" w:color="auto"/>
        <w:right w:val="none" w:sz="0" w:space="0" w:color="auto"/>
      </w:divBdr>
    </w:div>
    <w:div w:id="768162581">
      <w:bodyDiv w:val="1"/>
      <w:marLeft w:val="0"/>
      <w:marRight w:val="0"/>
      <w:marTop w:val="0"/>
      <w:marBottom w:val="0"/>
      <w:divBdr>
        <w:top w:val="none" w:sz="0" w:space="0" w:color="auto"/>
        <w:left w:val="none" w:sz="0" w:space="0" w:color="auto"/>
        <w:bottom w:val="none" w:sz="0" w:space="0" w:color="auto"/>
        <w:right w:val="none" w:sz="0" w:space="0" w:color="auto"/>
      </w:divBdr>
    </w:div>
    <w:div w:id="773286624">
      <w:bodyDiv w:val="1"/>
      <w:marLeft w:val="0"/>
      <w:marRight w:val="0"/>
      <w:marTop w:val="0"/>
      <w:marBottom w:val="0"/>
      <w:divBdr>
        <w:top w:val="none" w:sz="0" w:space="0" w:color="auto"/>
        <w:left w:val="none" w:sz="0" w:space="0" w:color="auto"/>
        <w:bottom w:val="none" w:sz="0" w:space="0" w:color="auto"/>
        <w:right w:val="none" w:sz="0" w:space="0" w:color="auto"/>
      </w:divBdr>
    </w:div>
    <w:div w:id="800343856">
      <w:bodyDiv w:val="1"/>
      <w:marLeft w:val="0"/>
      <w:marRight w:val="0"/>
      <w:marTop w:val="0"/>
      <w:marBottom w:val="0"/>
      <w:divBdr>
        <w:top w:val="none" w:sz="0" w:space="0" w:color="auto"/>
        <w:left w:val="none" w:sz="0" w:space="0" w:color="auto"/>
        <w:bottom w:val="none" w:sz="0" w:space="0" w:color="auto"/>
        <w:right w:val="none" w:sz="0" w:space="0" w:color="auto"/>
      </w:divBdr>
    </w:div>
    <w:div w:id="832528955">
      <w:bodyDiv w:val="1"/>
      <w:marLeft w:val="0"/>
      <w:marRight w:val="0"/>
      <w:marTop w:val="0"/>
      <w:marBottom w:val="0"/>
      <w:divBdr>
        <w:top w:val="none" w:sz="0" w:space="0" w:color="auto"/>
        <w:left w:val="none" w:sz="0" w:space="0" w:color="auto"/>
        <w:bottom w:val="none" w:sz="0" w:space="0" w:color="auto"/>
        <w:right w:val="none" w:sz="0" w:space="0" w:color="auto"/>
      </w:divBdr>
    </w:div>
    <w:div w:id="837573165">
      <w:bodyDiv w:val="1"/>
      <w:marLeft w:val="0"/>
      <w:marRight w:val="0"/>
      <w:marTop w:val="0"/>
      <w:marBottom w:val="0"/>
      <w:divBdr>
        <w:top w:val="none" w:sz="0" w:space="0" w:color="auto"/>
        <w:left w:val="none" w:sz="0" w:space="0" w:color="auto"/>
        <w:bottom w:val="none" w:sz="0" w:space="0" w:color="auto"/>
        <w:right w:val="none" w:sz="0" w:space="0" w:color="auto"/>
      </w:divBdr>
      <w:divsChild>
        <w:div w:id="600993277">
          <w:marLeft w:val="0"/>
          <w:marRight w:val="0"/>
          <w:marTop w:val="0"/>
          <w:marBottom w:val="0"/>
          <w:divBdr>
            <w:top w:val="none" w:sz="0" w:space="0" w:color="auto"/>
            <w:left w:val="none" w:sz="0" w:space="0" w:color="auto"/>
            <w:bottom w:val="none" w:sz="0" w:space="0" w:color="auto"/>
            <w:right w:val="none" w:sz="0" w:space="0" w:color="auto"/>
          </w:divBdr>
          <w:divsChild>
            <w:div w:id="11203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82022">
      <w:bodyDiv w:val="1"/>
      <w:marLeft w:val="0"/>
      <w:marRight w:val="0"/>
      <w:marTop w:val="0"/>
      <w:marBottom w:val="0"/>
      <w:divBdr>
        <w:top w:val="none" w:sz="0" w:space="0" w:color="auto"/>
        <w:left w:val="none" w:sz="0" w:space="0" w:color="auto"/>
        <w:bottom w:val="none" w:sz="0" w:space="0" w:color="auto"/>
        <w:right w:val="none" w:sz="0" w:space="0" w:color="auto"/>
      </w:divBdr>
    </w:div>
    <w:div w:id="878936003">
      <w:bodyDiv w:val="1"/>
      <w:marLeft w:val="0"/>
      <w:marRight w:val="0"/>
      <w:marTop w:val="0"/>
      <w:marBottom w:val="0"/>
      <w:divBdr>
        <w:top w:val="none" w:sz="0" w:space="0" w:color="auto"/>
        <w:left w:val="none" w:sz="0" w:space="0" w:color="auto"/>
        <w:bottom w:val="none" w:sz="0" w:space="0" w:color="auto"/>
        <w:right w:val="none" w:sz="0" w:space="0" w:color="auto"/>
      </w:divBdr>
    </w:div>
    <w:div w:id="880942021">
      <w:bodyDiv w:val="1"/>
      <w:marLeft w:val="0"/>
      <w:marRight w:val="0"/>
      <w:marTop w:val="0"/>
      <w:marBottom w:val="0"/>
      <w:divBdr>
        <w:top w:val="none" w:sz="0" w:space="0" w:color="auto"/>
        <w:left w:val="none" w:sz="0" w:space="0" w:color="auto"/>
        <w:bottom w:val="none" w:sz="0" w:space="0" w:color="auto"/>
        <w:right w:val="none" w:sz="0" w:space="0" w:color="auto"/>
      </w:divBdr>
    </w:div>
    <w:div w:id="881332743">
      <w:bodyDiv w:val="1"/>
      <w:marLeft w:val="0"/>
      <w:marRight w:val="0"/>
      <w:marTop w:val="0"/>
      <w:marBottom w:val="0"/>
      <w:divBdr>
        <w:top w:val="none" w:sz="0" w:space="0" w:color="auto"/>
        <w:left w:val="none" w:sz="0" w:space="0" w:color="auto"/>
        <w:bottom w:val="none" w:sz="0" w:space="0" w:color="auto"/>
        <w:right w:val="none" w:sz="0" w:space="0" w:color="auto"/>
      </w:divBdr>
      <w:divsChild>
        <w:div w:id="863052123">
          <w:marLeft w:val="0"/>
          <w:marRight w:val="0"/>
          <w:marTop w:val="0"/>
          <w:marBottom w:val="0"/>
          <w:divBdr>
            <w:top w:val="none" w:sz="0" w:space="0" w:color="auto"/>
            <w:left w:val="none" w:sz="0" w:space="0" w:color="auto"/>
            <w:bottom w:val="none" w:sz="0" w:space="0" w:color="auto"/>
            <w:right w:val="none" w:sz="0" w:space="0" w:color="auto"/>
          </w:divBdr>
          <w:divsChild>
            <w:div w:id="283269678">
              <w:marLeft w:val="0"/>
              <w:marRight w:val="0"/>
              <w:marTop w:val="0"/>
              <w:marBottom w:val="0"/>
              <w:divBdr>
                <w:top w:val="none" w:sz="0" w:space="0" w:color="auto"/>
                <w:left w:val="none" w:sz="0" w:space="0" w:color="auto"/>
                <w:bottom w:val="none" w:sz="0" w:space="0" w:color="auto"/>
                <w:right w:val="none" w:sz="0" w:space="0" w:color="auto"/>
              </w:divBdr>
            </w:div>
            <w:div w:id="8648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4466">
      <w:bodyDiv w:val="1"/>
      <w:marLeft w:val="0"/>
      <w:marRight w:val="0"/>
      <w:marTop w:val="0"/>
      <w:marBottom w:val="0"/>
      <w:divBdr>
        <w:top w:val="none" w:sz="0" w:space="0" w:color="auto"/>
        <w:left w:val="none" w:sz="0" w:space="0" w:color="auto"/>
        <w:bottom w:val="none" w:sz="0" w:space="0" w:color="auto"/>
        <w:right w:val="none" w:sz="0" w:space="0" w:color="auto"/>
      </w:divBdr>
    </w:div>
    <w:div w:id="927888435">
      <w:bodyDiv w:val="1"/>
      <w:marLeft w:val="0"/>
      <w:marRight w:val="0"/>
      <w:marTop w:val="0"/>
      <w:marBottom w:val="0"/>
      <w:divBdr>
        <w:top w:val="none" w:sz="0" w:space="0" w:color="auto"/>
        <w:left w:val="none" w:sz="0" w:space="0" w:color="auto"/>
        <w:bottom w:val="none" w:sz="0" w:space="0" w:color="auto"/>
        <w:right w:val="none" w:sz="0" w:space="0" w:color="auto"/>
      </w:divBdr>
    </w:div>
    <w:div w:id="961957619">
      <w:bodyDiv w:val="1"/>
      <w:marLeft w:val="0"/>
      <w:marRight w:val="0"/>
      <w:marTop w:val="0"/>
      <w:marBottom w:val="0"/>
      <w:divBdr>
        <w:top w:val="none" w:sz="0" w:space="0" w:color="auto"/>
        <w:left w:val="none" w:sz="0" w:space="0" w:color="auto"/>
        <w:bottom w:val="none" w:sz="0" w:space="0" w:color="auto"/>
        <w:right w:val="none" w:sz="0" w:space="0" w:color="auto"/>
      </w:divBdr>
    </w:div>
    <w:div w:id="974915592">
      <w:bodyDiv w:val="1"/>
      <w:marLeft w:val="0"/>
      <w:marRight w:val="0"/>
      <w:marTop w:val="0"/>
      <w:marBottom w:val="0"/>
      <w:divBdr>
        <w:top w:val="none" w:sz="0" w:space="0" w:color="auto"/>
        <w:left w:val="none" w:sz="0" w:space="0" w:color="auto"/>
        <w:bottom w:val="none" w:sz="0" w:space="0" w:color="auto"/>
        <w:right w:val="none" w:sz="0" w:space="0" w:color="auto"/>
      </w:divBdr>
    </w:div>
    <w:div w:id="994383071">
      <w:bodyDiv w:val="1"/>
      <w:marLeft w:val="0"/>
      <w:marRight w:val="0"/>
      <w:marTop w:val="0"/>
      <w:marBottom w:val="0"/>
      <w:divBdr>
        <w:top w:val="none" w:sz="0" w:space="0" w:color="auto"/>
        <w:left w:val="none" w:sz="0" w:space="0" w:color="auto"/>
        <w:bottom w:val="none" w:sz="0" w:space="0" w:color="auto"/>
        <w:right w:val="none" w:sz="0" w:space="0" w:color="auto"/>
      </w:divBdr>
    </w:div>
    <w:div w:id="1034577451">
      <w:bodyDiv w:val="1"/>
      <w:marLeft w:val="0"/>
      <w:marRight w:val="0"/>
      <w:marTop w:val="0"/>
      <w:marBottom w:val="0"/>
      <w:divBdr>
        <w:top w:val="none" w:sz="0" w:space="0" w:color="auto"/>
        <w:left w:val="none" w:sz="0" w:space="0" w:color="auto"/>
        <w:bottom w:val="none" w:sz="0" w:space="0" w:color="auto"/>
        <w:right w:val="none" w:sz="0" w:space="0" w:color="auto"/>
      </w:divBdr>
    </w:div>
    <w:div w:id="1037589287">
      <w:bodyDiv w:val="1"/>
      <w:marLeft w:val="0"/>
      <w:marRight w:val="0"/>
      <w:marTop w:val="0"/>
      <w:marBottom w:val="0"/>
      <w:divBdr>
        <w:top w:val="none" w:sz="0" w:space="0" w:color="auto"/>
        <w:left w:val="none" w:sz="0" w:space="0" w:color="auto"/>
        <w:bottom w:val="none" w:sz="0" w:space="0" w:color="auto"/>
        <w:right w:val="none" w:sz="0" w:space="0" w:color="auto"/>
      </w:divBdr>
      <w:divsChild>
        <w:div w:id="1974361410">
          <w:marLeft w:val="0"/>
          <w:marRight w:val="0"/>
          <w:marTop w:val="0"/>
          <w:marBottom w:val="0"/>
          <w:divBdr>
            <w:top w:val="none" w:sz="0" w:space="0" w:color="auto"/>
            <w:left w:val="none" w:sz="0" w:space="0" w:color="auto"/>
            <w:bottom w:val="none" w:sz="0" w:space="0" w:color="auto"/>
            <w:right w:val="none" w:sz="0" w:space="0" w:color="auto"/>
          </w:divBdr>
          <w:divsChild>
            <w:div w:id="7160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25922">
      <w:bodyDiv w:val="1"/>
      <w:marLeft w:val="0"/>
      <w:marRight w:val="0"/>
      <w:marTop w:val="0"/>
      <w:marBottom w:val="0"/>
      <w:divBdr>
        <w:top w:val="none" w:sz="0" w:space="0" w:color="auto"/>
        <w:left w:val="none" w:sz="0" w:space="0" w:color="auto"/>
        <w:bottom w:val="none" w:sz="0" w:space="0" w:color="auto"/>
        <w:right w:val="none" w:sz="0" w:space="0" w:color="auto"/>
      </w:divBdr>
    </w:div>
    <w:div w:id="1078284114">
      <w:bodyDiv w:val="1"/>
      <w:marLeft w:val="0"/>
      <w:marRight w:val="0"/>
      <w:marTop w:val="0"/>
      <w:marBottom w:val="0"/>
      <w:divBdr>
        <w:top w:val="none" w:sz="0" w:space="0" w:color="auto"/>
        <w:left w:val="none" w:sz="0" w:space="0" w:color="auto"/>
        <w:bottom w:val="none" w:sz="0" w:space="0" w:color="auto"/>
        <w:right w:val="none" w:sz="0" w:space="0" w:color="auto"/>
      </w:divBdr>
    </w:div>
    <w:div w:id="1096906707">
      <w:bodyDiv w:val="1"/>
      <w:marLeft w:val="0"/>
      <w:marRight w:val="0"/>
      <w:marTop w:val="0"/>
      <w:marBottom w:val="0"/>
      <w:divBdr>
        <w:top w:val="none" w:sz="0" w:space="0" w:color="auto"/>
        <w:left w:val="none" w:sz="0" w:space="0" w:color="auto"/>
        <w:bottom w:val="none" w:sz="0" w:space="0" w:color="auto"/>
        <w:right w:val="none" w:sz="0" w:space="0" w:color="auto"/>
      </w:divBdr>
    </w:div>
    <w:div w:id="1128360229">
      <w:bodyDiv w:val="1"/>
      <w:marLeft w:val="0"/>
      <w:marRight w:val="0"/>
      <w:marTop w:val="0"/>
      <w:marBottom w:val="0"/>
      <w:divBdr>
        <w:top w:val="none" w:sz="0" w:space="0" w:color="auto"/>
        <w:left w:val="none" w:sz="0" w:space="0" w:color="auto"/>
        <w:bottom w:val="none" w:sz="0" w:space="0" w:color="auto"/>
        <w:right w:val="none" w:sz="0" w:space="0" w:color="auto"/>
      </w:divBdr>
    </w:div>
    <w:div w:id="1143083847">
      <w:bodyDiv w:val="1"/>
      <w:marLeft w:val="0"/>
      <w:marRight w:val="0"/>
      <w:marTop w:val="0"/>
      <w:marBottom w:val="0"/>
      <w:divBdr>
        <w:top w:val="none" w:sz="0" w:space="0" w:color="auto"/>
        <w:left w:val="none" w:sz="0" w:space="0" w:color="auto"/>
        <w:bottom w:val="none" w:sz="0" w:space="0" w:color="auto"/>
        <w:right w:val="none" w:sz="0" w:space="0" w:color="auto"/>
      </w:divBdr>
    </w:div>
    <w:div w:id="1143426568">
      <w:bodyDiv w:val="1"/>
      <w:marLeft w:val="0"/>
      <w:marRight w:val="0"/>
      <w:marTop w:val="0"/>
      <w:marBottom w:val="0"/>
      <w:divBdr>
        <w:top w:val="none" w:sz="0" w:space="0" w:color="auto"/>
        <w:left w:val="none" w:sz="0" w:space="0" w:color="auto"/>
        <w:bottom w:val="none" w:sz="0" w:space="0" w:color="auto"/>
        <w:right w:val="none" w:sz="0" w:space="0" w:color="auto"/>
      </w:divBdr>
    </w:div>
    <w:div w:id="1213344899">
      <w:bodyDiv w:val="1"/>
      <w:marLeft w:val="0"/>
      <w:marRight w:val="0"/>
      <w:marTop w:val="0"/>
      <w:marBottom w:val="0"/>
      <w:divBdr>
        <w:top w:val="none" w:sz="0" w:space="0" w:color="auto"/>
        <w:left w:val="none" w:sz="0" w:space="0" w:color="auto"/>
        <w:bottom w:val="none" w:sz="0" w:space="0" w:color="auto"/>
        <w:right w:val="none" w:sz="0" w:space="0" w:color="auto"/>
      </w:divBdr>
    </w:div>
    <w:div w:id="1274939595">
      <w:bodyDiv w:val="1"/>
      <w:marLeft w:val="0"/>
      <w:marRight w:val="0"/>
      <w:marTop w:val="0"/>
      <w:marBottom w:val="0"/>
      <w:divBdr>
        <w:top w:val="none" w:sz="0" w:space="0" w:color="auto"/>
        <w:left w:val="none" w:sz="0" w:space="0" w:color="auto"/>
        <w:bottom w:val="none" w:sz="0" w:space="0" w:color="auto"/>
        <w:right w:val="none" w:sz="0" w:space="0" w:color="auto"/>
      </w:divBdr>
    </w:div>
    <w:div w:id="1313370346">
      <w:bodyDiv w:val="1"/>
      <w:marLeft w:val="0"/>
      <w:marRight w:val="0"/>
      <w:marTop w:val="0"/>
      <w:marBottom w:val="0"/>
      <w:divBdr>
        <w:top w:val="none" w:sz="0" w:space="0" w:color="auto"/>
        <w:left w:val="none" w:sz="0" w:space="0" w:color="auto"/>
        <w:bottom w:val="none" w:sz="0" w:space="0" w:color="auto"/>
        <w:right w:val="none" w:sz="0" w:space="0" w:color="auto"/>
      </w:divBdr>
    </w:div>
    <w:div w:id="1377774282">
      <w:bodyDiv w:val="1"/>
      <w:marLeft w:val="0"/>
      <w:marRight w:val="0"/>
      <w:marTop w:val="0"/>
      <w:marBottom w:val="0"/>
      <w:divBdr>
        <w:top w:val="none" w:sz="0" w:space="0" w:color="auto"/>
        <w:left w:val="none" w:sz="0" w:space="0" w:color="auto"/>
        <w:bottom w:val="none" w:sz="0" w:space="0" w:color="auto"/>
        <w:right w:val="none" w:sz="0" w:space="0" w:color="auto"/>
      </w:divBdr>
      <w:divsChild>
        <w:div w:id="1893610018">
          <w:marLeft w:val="0"/>
          <w:marRight w:val="0"/>
          <w:marTop w:val="0"/>
          <w:marBottom w:val="0"/>
          <w:divBdr>
            <w:top w:val="none" w:sz="0" w:space="0" w:color="auto"/>
            <w:left w:val="none" w:sz="0" w:space="0" w:color="auto"/>
            <w:bottom w:val="none" w:sz="0" w:space="0" w:color="auto"/>
            <w:right w:val="none" w:sz="0" w:space="0" w:color="auto"/>
          </w:divBdr>
          <w:divsChild>
            <w:div w:id="3331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60974">
      <w:bodyDiv w:val="1"/>
      <w:marLeft w:val="0"/>
      <w:marRight w:val="0"/>
      <w:marTop w:val="0"/>
      <w:marBottom w:val="0"/>
      <w:divBdr>
        <w:top w:val="none" w:sz="0" w:space="0" w:color="auto"/>
        <w:left w:val="none" w:sz="0" w:space="0" w:color="auto"/>
        <w:bottom w:val="none" w:sz="0" w:space="0" w:color="auto"/>
        <w:right w:val="none" w:sz="0" w:space="0" w:color="auto"/>
      </w:divBdr>
    </w:div>
    <w:div w:id="1414935510">
      <w:bodyDiv w:val="1"/>
      <w:marLeft w:val="0"/>
      <w:marRight w:val="0"/>
      <w:marTop w:val="0"/>
      <w:marBottom w:val="0"/>
      <w:divBdr>
        <w:top w:val="none" w:sz="0" w:space="0" w:color="auto"/>
        <w:left w:val="none" w:sz="0" w:space="0" w:color="auto"/>
        <w:bottom w:val="none" w:sz="0" w:space="0" w:color="auto"/>
        <w:right w:val="none" w:sz="0" w:space="0" w:color="auto"/>
      </w:divBdr>
    </w:div>
    <w:div w:id="1415391576">
      <w:bodyDiv w:val="1"/>
      <w:marLeft w:val="0"/>
      <w:marRight w:val="0"/>
      <w:marTop w:val="0"/>
      <w:marBottom w:val="0"/>
      <w:divBdr>
        <w:top w:val="none" w:sz="0" w:space="0" w:color="auto"/>
        <w:left w:val="none" w:sz="0" w:space="0" w:color="auto"/>
        <w:bottom w:val="none" w:sz="0" w:space="0" w:color="auto"/>
        <w:right w:val="none" w:sz="0" w:space="0" w:color="auto"/>
      </w:divBdr>
    </w:div>
    <w:div w:id="1551263681">
      <w:bodyDiv w:val="1"/>
      <w:marLeft w:val="0"/>
      <w:marRight w:val="0"/>
      <w:marTop w:val="0"/>
      <w:marBottom w:val="0"/>
      <w:divBdr>
        <w:top w:val="none" w:sz="0" w:space="0" w:color="auto"/>
        <w:left w:val="none" w:sz="0" w:space="0" w:color="auto"/>
        <w:bottom w:val="none" w:sz="0" w:space="0" w:color="auto"/>
        <w:right w:val="none" w:sz="0" w:space="0" w:color="auto"/>
      </w:divBdr>
    </w:div>
    <w:div w:id="1630160197">
      <w:bodyDiv w:val="1"/>
      <w:marLeft w:val="0"/>
      <w:marRight w:val="0"/>
      <w:marTop w:val="0"/>
      <w:marBottom w:val="0"/>
      <w:divBdr>
        <w:top w:val="none" w:sz="0" w:space="0" w:color="auto"/>
        <w:left w:val="none" w:sz="0" w:space="0" w:color="auto"/>
        <w:bottom w:val="none" w:sz="0" w:space="0" w:color="auto"/>
        <w:right w:val="none" w:sz="0" w:space="0" w:color="auto"/>
      </w:divBdr>
    </w:div>
    <w:div w:id="1650135295">
      <w:bodyDiv w:val="1"/>
      <w:marLeft w:val="0"/>
      <w:marRight w:val="0"/>
      <w:marTop w:val="0"/>
      <w:marBottom w:val="0"/>
      <w:divBdr>
        <w:top w:val="none" w:sz="0" w:space="0" w:color="auto"/>
        <w:left w:val="none" w:sz="0" w:space="0" w:color="auto"/>
        <w:bottom w:val="none" w:sz="0" w:space="0" w:color="auto"/>
        <w:right w:val="none" w:sz="0" w:space="0" w:color="auto"/>
      </w:divBdr>
    </w:div>
    <w:div w:id="1671903963">
      <w:bodyDiv w:val="1"/>
      <w:marLeft w:val="0"/>
      <w:marRight w:val="0"/>
      <w:marTop w:val="0"/>
      <w:marBottom w:val="0"/>
      <w:divBdr>
        <w:top w:val="none" w:sz="0" w:space="0" w:color="auto"/>
        <w:left w:val="none" w:sz="0" w:space="0" w:color="auto"/>
        <w:bottom w:val="none" w:sz="0" w:space="0" w:color="auto"/>
        <w:right w:val="none" w:sz="0" w:space="0" w:color="auto"/>
      </w:divBdr>
    </w:div>
    <w:div w:id="1677076275">
      <w:bodyDiv w:val="1"/>
      <w:marLeft w:val="0"/>
      <w:marRight w:val="0"/>
      <w:marTop w:val="0"/>
      <w:marBottom w:val="0"/>
      <w:divBdr>
        <w:top w:val="none" w:sz="0" w:space="0" w:color="auto"/>
        <w:left w:val="none" w:sz="0" w:space="0" w:color="auto"/>
        <w:bottom w:val="none" w:sz="0" w:space="0" w:color="auto"/>
        <w:right w:val="none" w:sz="0" w:space="0" w:color="auto"/>
      </w:divBdr>
    </w:div>
    <w:div w:id="1792672975">
      <w:bodyDiv w:val="1"/>
      <w:marLeft w:val="0"/>
      <w:marRight w:val="0"/>
      <w:marTop w:val="0"/>
      <w:marBottom w:val="0"/>
      <w:divBdr>
        <w:top w:val="none" w:sz="0" w:space="0" w:color="auto"/>
        <w:left w:val="none" w:sz="0" w:space="0" w:color="auto"/>
        <w:bottom w:val="none" w:sz="0" w:space="0" w:color="auto"/>
        <w:right w:val="none" w:sz="0" w:space="0" w:color="auto"/>
      </w:divBdr>
      <w:divsChild>
        <w:div w:id="1296567623">
          <w:marLeft w:val="0"/>
          <w:marRight w:val="0"/>
          <w:marTop w:val="0"/>
          <w:marBottom w:val="0"/>
          <w:divBdr>
            <w:top w:val="none" w:sz="0" w:space="0" w:color="auto"/>
            <w:left w:val="none" w:sz="0" w:space="0" w:color="auto"/>
            <w:bottom w:val="none" w:sz="0" w:space="0" w:color="auto"/>
            <w:right w:val="none" w:sz="0" w:space="0" w:color="auto"/>
          </w:divBdr>
          <w:divsChild>
            <w:div w:id="8176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73020">
      <w:bodyDiv w:val="1"/>
      <w:marLeft w:val="0"/>
      <w:marRight w:val="0"/>
      <w:marTop w:val="0"/>
      <w:marBottom w:val="0"/>
      <w:divBdr>
        <w:top w:val="none" w:sz="0" w:space="0" w:color="auto"/>
        <w:left w:val="none" w:sz="0" w:space="0" w:color="auto"/>
        <w:bottom w:val="none" w:sz="0" w:space="0" w:color="auto"/>
        <w:right w:val="none" w:sz="0" w:space="0" w:color="auto"/>
      </w:divBdr>
    </w:div>
    <w:div w:id="1836139698">
      <w:bodyDiv w:val="1"/>
      <w:marLeft w:val="0"/>
      <w:marRight w:val="0"/>
      <w:marTop w:val="0"/>
      <w:marBottom w:val="0"/>
      <w:divBdr>
        <w:top w:val="none" w:sz="0" w:space="0" w:color="auto"/>
        <w:left w:val="none" w:sz="0" w:space="0" w:color="auto"/>
        <w:bottom w:val="none" w:sz="0" w:space="0" w:color="auto"/>
        <w:right w:val="none" w:sz="0" w:space="0" w:color="auto"/>
      </w:divBdr>
    </w:div>
    <w:div w:id="1849102000">
      <w:bodyDiv w:val="1"/>
      <w:marLeft w:val="0"/>
      <w:marRight w:val="0"/>
      <w:marTop w:val="0"/>
      <w:marBottom w:val="0"/>
      <w:divBdr>
        <w:top w:val="none" w:sz="0" w:space="0" w:color="auto"/>
        <w:left w:val="none" w:sz="0" w:space="0" w:color="auto"/>
        <w:bottom w:val="none" w:sz="0" w:space="0" w:color="auto"/>
        <w:right w:val="none" w:sz="0" w:space="0" w:color="auto"/>
      </w:divBdr>
    </w:div>
    <w:div w:id="1869948427">
      <w:bodyDiv w:val="1"/>
      <w:marLeft w:val="0"/>
      <w:marRight w:val="0"/>
      <w:marTop w:val="0"/>
      <w:marBottom w:val="0"/>
      <w:divBdr>
        <w:top w:val="none" w:sz="0" w:space="0" w:color="auto"/>
        <w:left w:val="none" w:sz="0" w:space="0" w:color="auto"/>
        <w:bottom w:val="none" w:sz="0" w:space="0" w:color="auto"/>
        <w:right w:val="none" w:sz="0" w:space="0" w:color="auto"/>
      </w:divBdr>
    </w:div>
    <w:div w:id="1888292391">
      <w:bodyDiv w:val="1"/>
      <w:marLeft w:val="0"/>
      <w:marRight w:val="0"/>
      <w:marTop w:val="0"/>
      <w:marBottom w:val="0"/>
      <w:divBdr>
        <w:top w:val="none" w:sz="0" w:space="0" w:color="auto"/>
        <w:left w:val="none" w:sz="0" w:space="0" w:color="auto"/>
        <w:bottom w:val="none" w:sz="0" w:space="0" w:color="auto"/>
        <w:right w:val="none" w:sz="0" w:space="0" w:color="auto"/>
      </w:divBdr>
    </w:div>
    <w:div w:id="1957102644">
      <w:bodyDiv w:val="1"/>
      <w:marLeft w:val="0"/>
      <w:marRight w:val="0"/>
      <w:marTop w:val="0"/>
      <w:marBottom w:val="0"/>
      <w:divBdr>
        <w:top w:val="none" w:sz="0" w:space="0" w:color="auto"/>
        <w:left w:val="none" w:sz="0" w:space="0" w:color="auto"/>
        <w:bottom w:val="none" w:sz="0" w:space="0" w:color="auto"/>
        <w:right w:val="none" w:sz="0" w:space="0" w:color="auto"/>
      </w:divBdr>
    </w:div>
    <w:div w:id="2011565871">
      <w:bodyDiv w:val="1"/>
      <w:marLeft w:val="0"/>
      <w:marRight w:val="0"/>
      <w:marTop w:val="0"/>
      <w:marBottom w:val="0"/>
      <w:divBdr>
        <w:top w:val="none" w:sz="0" w:space="0" w:color="auto"/>
        <w:left w:val="none" w:sz="0" w:space="0" w:color="auto"/>
        <w:bottom w:val="none" w:sz="0" w:space="0" w:color="auto"/>
        <w:right w:val="none" w:sz="0" w:space="0" w:color="auto"/>
      </w:divBdr>
    </w:div>
    <w:div w:id="2021004271">
      <w:bodyDiv w:val="1"/>
      <w:marLeft w:val="0"/>
      <w:marRight w:val="0"/>
      <w:marTop w:val="0"/>
      <w:marBottom w:val="0"/>
      <w:divBdr>
        <w:top w:val="none" w:sz="0" w:space="0" w:color="auto"/>
        <w:left w:val="none" w:sz="0" w:space="0" w:color="auto"/>
        <w:bottom w:val="none" w:sz="0" w:space="0" w:color="auto"/>
        <w:right w:val="none" w:sz="0" w:space="0" w:color="auto"/>
      </w:divBdr>
    </w:div>
    <w:div w:id="2031564241">
      <w:bodyDiv w:val="1"/>
      <w:marLeft w:val="0"/>
      <w:marRight w:val="0"/>
      <w:marTop w:val="0"/>
      <w:marBottom w:val="0"/>
      <w:divBdr>
        <w:top w:val="none" w:sz="0" w:space="0" w:color="auto"/>
        <w:left w:val="none" w:sz="0" w:space="0" w:color="auto"/>
        <w:bottom w:val="none" w:sz="0" w:space="0" w:color="auto"/>
        <w:right w:val="none" w:sz="0" w:space="0" w:color="auto"/>
      </w:divBdr>
    </w:div>
    <w:div w:id="2039044305">
      <w:bodyDiv w:val="1"/>
      <w:marLeft w:val="0"/>
      <w:marRight w:val="0"/>
      <w:marTop w:val="0"/>
      <w:marBottom w:val="0"/>
      <w:divBdr>
        <w:top w:val="none" w:sz="0" w:space="0" w:color="auto"/>
        <w:left w:val="none" w:sz="0" w:space="0" w:color="auto"/>
        <w:bottom w:val="none" w:sz="0" w:space="0" w:color="auto"/>
        <w:right w:val="none" w:sz="0" w:space="0" w:color="auto"/>
      </w:divBdr>
    </w:div>
    <w:div w:id="2079817695">
      <w:bodyDiv w:val="1"/>
      <w:marLeft w:val="0"/>
      <w:marRight w:val="0"/>
      <w:marTop w:val="0"/>
      <w:marBottom w:val="0"/>
      <w:divBdr>
        <w:top w:val="none" w:sz="0" w:space="0" w:color="auto"/>
        <w:left w:val="none" w:sz="0" w:space="0" w:color="auto"/>
        <w:bottom w:val="none" w:sz="0" w:space="0" w:color="auto"/>
        <w:right w:val="none" w:sz="0" w:space="0" w:color="auto"/>
      </w:divBdr>
    </w:div>
    <w:div w:id="2115978375">
      <w:bodyDiv w:val="1"/>
      <w:marLeft w:val="0"/>
      <w:marRight w:val="0"/>
      <w:marTop w:val="0"/>
      <w:marBottom w:val="0"/>
      <w:divBdr>
        <w:top w:val="none" w:sz="0" w:space="0" w:color="auto"/>
        <w:left w:val="none" w:sz="0" w:space="0" w:color="auto"/>
        <w:bottom w:val="none" w:sz="0" w:space="0" w:color="auto"/>
        <w:right w:val="none" w:sz="0" w:space="0" w:color="auto"/>
      </w:divBdr>
      <w:divsChild>
        <w:div w:id="1131359862">
          <w:marLeft w:val="0"/>
          <w:marRight w:val="0"/>
          <w:marTop w:val="0"/>
          <w:marBottom w:val="0"/>
          <w:divBdr>
            <w:top w:val="none" w:sz="0" w:space="0" w:color="auto"/>
            <w:left w:val="none" w:sz="0" w:space="0" w:color="auto"/>
            <w:bottom w:val="none" w:sz="0" w:space="0" w:color="auto"/>
            <w:right w:val="none" w:sz="0" w:space="0" w:color="auto"/>
          </w:divBdr>
          <w:divsChild>
            <w:div w:id="208202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ggis.gov.gs/"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seabirdtracking.org"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keybiodiversityareas.org/home" TargetMode="External"/><Relationship Id="rId14" Type="http://schemas.openxmlformats.org/officeDocument/2006/relationships/image" Target="media/image4.pn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572E-D4DD-430D-91A7-B0D0E5175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62352</Words>
  <Characters>355407</Characters>
  <Application>Microsoft Office Word</Application>
  <DocSecurity>0</DocSecurity>
  <Lines>2961</Lines>
  <Paragraphs>833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2020-01-03T11:25:00Z</dcterms:created>
  <dcterms:modified xsi:type="dcterms:W3CDTF">2020-01-03T12:12:00Z</dcterms:modified>
</cp:coreProperties>
</file>