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8302" w14:textId="475200AF" w:rsidR="00CB0D18" w:rsidRPr="00CB0D18" w:rsidRDefault="00CB0D18" w:rsidP="00CB0D18">
      <w:pPr>
        <w:spacing w:after="0" w:line="240" w:lineRule="auto"/>
        <w:rPr>
          <w:b/>
          <w:sz w:val="24"/>
        </w:rPr>
      </w:pPr>
      <w:bookmarkStart w:id="0" w:name="_GoBack"/>
      <w:bookmarkEnd w:id="0"/>
      <w:r w:rsidRPr="00CB0D18">
        <w:rPr>
          <w:b/>
          <w:sz w:val="24"/>
        </w:rPr>
        <w:t xml:space="preserve">Total word count: </w:t>
      </w:r>
      <w:r w:rsidR="005B278C">
        <w:rPr>
          <w:b/>
          <w:sz w:val="24"/>
        </w:rPr>
        <w:t>9</w:t>
      </w:r>
      <w:r w:rsidR="004D7C40">
        <w:rPr>
          <w:b/>
          <w:sz w:val="24"/>
        </w:rPr>
        <w:t>180</w:t>
      </w:r>
    </w:p>
    <w:p w14:paraId="3020AFC8" w14:textId="77777777" w:rsidR="00CB0D18" w:rsidRDefault="00CB0D18" w:rsidP="00CB0D18">
      <w:pPr>
        <w:spacing w:after="240" w:line="240" w:lineRule="auto"/>
        <w:rPr>
          <w:b/>
          <w:sz w:val="28"/>
        </w:rPr>
      </w:pPr>
    </w:p>
    <w:p w14:paraId="356EFE30" w14:textId="2FF11CDB" w:rsidR="00A07AE1" w:rsidRPr="004C79FC" w:rsidRDefault="00560133" w:rsidP="008F550A">
      <w:pPr>
        <w:spacing w:after="240" w:line="240" w:lineRule="auto"/>
        <w:rPr>
          <w:b/>
          <w:sz w:val="28"/>
        </w:rPr>
      </w:pPr>
      <w:r w:rsidRPr="00560133">
        <w:rPr>
          <w:b/>
          <w:sz w:val="28"/>
        </w:rPr>
        <w:t xml:space="preserve">Acorn: Developing </w:t>
      </w:r>
      <w:r>
        <w:rPr>
          <w:b/>
          <w:sz w:val="28"/>
        </w:rPr>
        <w:t>F</w:t>
      </w:r>
      <w:r w:rsidRPr="00560133">
        <w:rPr>
          <w:b/>
          <w:sz w:val="28"/>
        </w:rPr>
        <w:t xml:space="preserve">ull-chain </w:t>
      </w:r>
      <w:r>
        <w:rPr>
          <w:b/>
          <w:sz w:val="28"/>
        </w:rPr>
        <w:t>I</w:t>
      </w:r>
      <w:r w:rsidRPr="00560133">
        <w:rPr>
          <w:b/>
          <w:sz w:val="28"/>
        </w:rPr>
        <w:t xml:space="preserve">ndustrial </w:t>
      </w:r>
      <w:r w:rsidR="004F1698">
        <w:rPr>
          <w:b/>
          <w:sz w:val="28"/>
        </w:rPr>
        <w:t>Carbon Capture and Storage</w:t>
      </w:r>
      <w:r w:rsidR="004F1698" w:rsidRPr="00560133">
        <w:rPr>
          <w:b/>
          <w:sz w:val="28"/>
        </w:rPr>
        <w:t xml:space="preserve"> </w:t>
      </w:r>
      <w:r w:rsidRPr="00560133">
        <w:rPr>
          <w:b/>
          <w:sz w:val="28"/>
        </w:rPr>
        <w:t xml:space="preserve">in a </w:t>
      </w:r>
      <w:r>
        <w:rPr>
          <w:b/>
          <w:sz w:val="28"/>
        </w:rPr>
        <w:t>R</w:t>
      </w:r>
      <w:r w:rsidRPr="00560133">
        <w:rPr>
          <w:b/>
          <w:sz w:val="28"/>
        </w:rPr>
        <w:t>esource</w:t>
      </w:r>
      <w:r w:rsidR="0030144E">
        <w:rPr>
          <w:b/>
          <w:sz w:val="28"/>
        </w:rPr>
        <w:t>-</w:t>
      </w:r>
      <w:r w:rsidRPr="00560133">
        <w:rPr>
          <w:b/>
          <w:sz w:val="28"/>
        </w:rPr>
        <w:t xml:space="preserve"> and </w:t>
      </w:r>
      <w:r>
        <w:rPr>
          <w:b/>
          <w:sz w:val="28"/>
        </w:rPr>
        <w:t>I</w:t>
      </w:r>
      <w:r w:rsidRPr="00560133">
        <w:rPr>
          <w:b/>
          <w:sz w:val="28"/>
        </w:rPr>
        <w:t>nfrastructure</w:t>
      </w:r>
      <w:r w:rsidR="0030144E">
        <w:rPr>
          <w:b/>
          <w:sz w:val="28"/>
        </w:rPr>
        <w:t>-</w:t>
      </w:r>
      <w:r>
        <w:rPr>
          <w:b/>
          <w:sz w:val="28"/>
        </w:rPr>
        <w:t>R</w:t>
      </w:r>
      <w:r w:rsidRPr="00560133">
        <w:rPr>
          <w:b/>
          <w:sz w:val="28"/>
        </w:rPr>
        <w:t xml:space="preserve">ich </w:t>
      </w:r>
      <w:r>
        <w:rPr>
          <w:b/>
          <w:sz w:val="28"/>
        </w:rPr>
        <w:t>Hydrocarbon P</w:t>
      </w:r>
      <w:r w:rsidRPr="00560133">
        <w:rPr>
          <w:b/>
          <w:sz w:val="28"/>
        </w:rPr>
        <w:t>rovince</w:t>
      </w:r>
    </w:p>
    <w:p w14:paraId="7E1A3FF7" w14:textId="1351ECBC" w:rsidR="00A07AE1" w:rsidRPr="004C79FC" w:rsidRDefault="00A07AE1" w:rsidP="008F550A">
      <w:pPr>
        <w:spacing w:after="240" w:line="240" w:lineRule="auto"/>
        <w:rPr>
          <w:b/>
        </w:rPr>
      </w:pPr>
      <w:r w:rsidRPr="004C79FC">
        <w:rPr>
          <w:b/>
        </w:rPr>
        <w:t>Juan Alcalde</w:t>
      </w:r>
      <w:r w:rsidRPr="004C79FC">
        <w:rPr>
          <w:b/>
          <w:vertAlign w:val="superscript"/>
        </w:rPr>
        <w:t>1,2</w:t>
      </w:r>
      <w:r w:rsidRPr="004C79FC">
        <w:rPr>
          <w:b/>
        </w:rPr>
        <w:t>, Niklas Heinemann</w:t>
      </w:r>
      <w:r w:rsidRPr="004C79FC">
        <w:rPr>
          <w:b/>
          <w:vertAlign w:val="superscript"/>
        </w:rPr>
        <w:t>3</w:t>
      </w:r>
      <w:r w:rsidR="00FA23FC">
        <w:rPr>
          <w:b/>
        </w:rPr>
        <w:t>,</w:t>
      </w:r>
      <w:r w:rsidRPr="004C79FC">
        <w:rPr>
          <w:b/>
        </w:rPr>
        <w:t xml:space="preserve"> Leslie Mabon</w:t>
      </w:r>
      <w:r w:rsidR="00FA23FC">
        <w:rPr>
          <w:b/>
          <w:vertAlign w:val="superscript"/>
        </w:rPr>
        <w:t>4</w:t>
      </w:r>
      <w:r w:rsidRPr="004C79FC">
        <w:rPr>
          <w:b/>
        </w:rPr>
        <w:t xml:space="preserve">, </w:t>
      </w:r>
      <w:r w:rsidR="00FA23FC" w:rsidRPr="004C79FC">
        <w:rPr>
          <w:b/>
        </w:rPr>
        <w:t xml:space="preserve">Richard H. </w:t>
      </w:r>
      <w:r w:rsidR="00FA23FC" w:rsidRPr="00FA23FC">
        <w:rPr>
          <w:b/>
        </w:rPr>
        <w:t>Worden</w:t>
      </w:r>
      <w:r w:rsidR="00FA23FC" w:rsidRPr="00FA23FC">
        <w:rPr>
          <w:b/>
          <w:vertAlign w:val="superscript"/>
        </w:rPr>
        <w:t>5</w:t>
      </w:r>
      <w:r w:rsidR="00FA23FC">
        <w:rPr>
          <w:b/>
        </w:rPr>
        <w:t xml:space="preserve">, </w:t>
      </w:r>
      <w:r w:rsidR="00FA23FC" w:rsidRPr="004C79FC">
        <w:rPr>
          <w:b/>
        </w:rPr>
        <w:t>Heleen de Coninck</w:t>
      </w:r>
      <w:r w:rsidR="00FA23FC">
        <w:rPr>
          <w:b/>
          <w:vertAlign w:val="superscript"/>
        </w:rPr>
        <w:t>6</w:t>
      </w:r>
      <w:r w:rsidR="00FA23FC">
        <w:rPr>
          <w:b/>
        </w:rPr>
        <w:t xml:space="preserve">, </w:t>
      </w:r>
      <w:r w:rsidRPr="00FA23FC">
        <w:rPr>
          <w:b/>
        </w:rPr>
        <w:t>Hazel</w:t>
      </w:r>
      <w:r w:rsidRPr="004C79FC">
        <w:rPr>
          <w:b/>
        </w:rPr>
        <w:t xml:space="preserve"> Robertson</w:t>
      </w:r>
      <w:r w:rsidR="00FA23FC">
        <w:rPr>
          <w:b/>
          <w:vertAlign w:val="superscript"/>
        </w:rPr>
        <w:t>7</w:t>
      </w:r>
      <w:r w:rsidRPr="004C79FC">
        <w:rPr>
          <w:b/>
        </w:rPr>
        <w:t xml:space="preserve">, </w:t>
      </w:r>
      <w:r w:rsidR="00FA23FC" w:rsidRPr="004C79FC">
        <w:rPr>
          <w:b/>
        </w:rPr>
        <w:t xml:space="preserve">Marko </w:t>
      </w:r>
      <w:r w:rsidR="00FA23FC" w:rsidRPr="00FA23FC">
        <w:rPr>
          <w:b/>
        </w:rPr>
        <w:t>Maver</w:t>
      </w:r>
      <w:r w:rsidR="00FA23FC" w:rsidRPr="00FA23FC">
        <w:rPr>
          <w:b/>
          <w:vertAlign w:val="superscript"/>
        </w:rPr>
        <w:t>8</w:t>
      </w:r>
      <w:r w:rsidR="00FA23FC">
        <w:rPr>
          <w:b/>
        </w:rPr>
        <w:t xml:space="preserve">, </w:t>
      </w:r>
      <w:r w:rsidRPr="00FA23FC">
        <w:rPr>
          <w:b/>
        </w:rPr>
        <w:t>Saeed</w:t>
      </w:r>
      <w:r w:rsidRPr="004C79FC">
        <w:rPr>
          <w:b/>
        </w:rPr>
        <w:t xml:space="preserve"> Ghanbari</w:t>
      </w:r>
      <w:r w:rsidR="00FA23FC">
        <w:rPr>
          <w:b/>
          <w:vertAlign w:val="superscript"/>
        </w:rPr>
        <w:t>9</w:t>
      </w:r>
      <w:r w:rsidRPr="004C79FC">
        <w:rPr>
          <w:b/>
        </w:rPr>
        <w:t>, Floris Swennenhuis</w:t>
      </w:r>
      <w:r w:rsidR="00FA23FC">
        <w:rPr>
          <w:b/>
          <w:vertAlign w:val="superscript"/>
        </w:rPr>
        <w:t>6</w:t>
      </w:r>
      <w:r w:rsidRPr="004C79FC">
        <w:rPr>
          <w:b/>
        </w:rPr>
        <w:t>, Indira Mann</w:t>
      </w:r>
      <w:r w:rsidR="00FA23FC">
        <w:rPr>
          <w:b/>
          <w:vertAlign w:val="superscript"/>
        </w:rPr>
        <w:t>10</w:t>
      </w:r>
      <w:r w:rsidRPr="004C79FC">
        <w:rPr>
          <w:b/>
        </w:rPr>
        <w:t>, Tiana Walker</w:t>
      </w:r>
      <w:r w:rsidR="00FA23FC">
        <w:rPr>
          <w:b/>
          <w:vertAlign w:val="superscript"/>
        </w:rPr>
        <w:t>7</w:t>
      </w:r>
      <w:r w:rsidRPr="004C79FC">
        <w:rPr>
          <w:b/>
        </w:rPr>
        <w:t>, Sam Gomersal</w:t>
      </w:r>
      <w:r w:rsidR="00FA23FC">
        <w:rPr>
          <w:b/>
          <w:vertAlign w:val="superscript"/>
        </w:rPr>
        <w:t>7</w:t>
      </w:r>
      <w:r w:rsidRPr="004C79FC">
        <w:rPr>
          <w:b/>
        </w:rPr>
        <w:t xml:space="preserve">, </w:t>
      </w:r>
      <w:r w:rsidR="00FA23FC" w:rsidRPr="004C79FC">
        <w:rPr>
          <w:b/>
        </w:rPr>
        <w:t xml:space="preserve">Clare E. </w:t>
      </w:r>
      <w:r w:rsidR="00FA23FC" w:rsidRPr="00FA23FC">
        <w:rPr>
          <w:b/>
        </w:rPr>
        <w:t>Bond</w:t>
      </w:r>
      <w:r w:rsidR="00FA23FC" w:rsidRPr="00FA23FC">
        <w:rPr>
          <w:b/>
          <w:vertAlign w:val="superscript"/>
        </w:rPr>
        <w:t>1</w:t>
      </w:r>
      <w:r w:rsidR="00FA23FC">
        <w:rPr>
          <w:b/>
        </w:rPr>
        <w:t xml:space="preserve">, </w:t>
      </w:r>
      <w:r w:rsidRPr="00FA23FC">
        <w:rPr>
          <w:b/>
        </w:rPr>
        <w:t>Michael</w:t>
      </w:r>
      <w:r w:rsidRPr="004C79FC">
        <w:rPr>
          <w:b/>
        </w:rPr>
        <w:t xml:space="preserve"> J. Allen</w:t>
      </w:r>
      <w:r w:rsidR="00FA23FC">
        <w:rPr>
          <w:b/>
          <w:vertAlign w:val="superscript"/>
        </w:rPr>
        <w:t>5</w:t>
      </w:r>
      <w:r w:rsidR="00FA23FC">
        <w:rPr>
          <w:b/>
        </w:rPr>
        <w:t>,</w:t>
      </w:r>
      <w:r w:rsidRPr="004C79FC">
        <w:rPr>
          <w:b/>
        </w:rPr>
        <w:t xml:space="preserve"> R. Stuart Haszeldine</w:t>
      </w:r>
      <w:r w:rsidRPr="004C79FC">
        <w:rPr>
          <w:b/>
          <w:vertAlign w:val="superscript"/>
        </w:rPr>
        <w:t>3</w:t>
      </w:r>
      <w:r w:rsidRPr="004C79FC">
        <w:rPr>
          <w:b/>
        </w:rPr>
        <w:t>, Alan James</w:t>
      </w:r>
      <w:r w:rsidR="00FA23FC">
        <w:rPr>
          <w:b/>
          <w:vertAlign w:val="superscript"/>
        </w:rPr>
        <w:t>7</w:t>
      </w:r>
      <w:r w:rsidRPr="004C79FC">
        <w:rPr>
          <w:b/>
        </w:rPr>
        <w:t>, Eric J. Mackay</w:t>
      </w:r>
      <w:r w:rsidR="00FA23FC">
        <w:rPr>
          <w:b/>
          <w:vertAlign w:val="superscript"/>
        </w:rPr>
        <w:t>9</w:t>
      </w:r>
      <w:r w:rsidRPr="004C79FC">
        <w:rPr>
          <w:b/>
        </w:rPr>
        <w:t xml:space="preserve">, </w:t>
      </w:r>
      <w:r w:rsidR="009C78A0">
        <w:rPr>
          <w:b/>
        </w:rPr>
        <w:t>Peter A. Brownsort</w:t>
      </w:r>
      <w:r w:rsidR="00FA23FC">
        <w:rPr>
          <w:b/>
          <w:vertAlign w:val="superscript"/>
        </w:rPr>
        <w:t>10</w:t>
      </w:r>
      <w:r w:rsidR="009C78A0">
        <w:rPr>
          <w:b/>
        </w:rPr>
        <w:t xml:space="preserve">, </w:t>
      </w:r>
      <w:r w:rsidRPr="004C79FC">
        <w:rPr>
          <w:b/>
        </w:rPr>
        <w:t>Daniel R. Faulkner</w:t>
      </w:r>
      <w:r w:rsidR="00FA23FC">
        <w:rPr>
          <w:b/>
          <w:vertAlign w:val="superscript"/>
        </w:rPr>
        <w:t>5</w:t>
      </w:r>
      <w:r w:rsidRPr="004C79FC">
        <w:rPr>
          <w:b/>
        </w:rPr>
        <w:t>, Steve Murphy</w:t>
      </w:r>
      <w:r w:rsidR="00FA23FC">
        <w:rPr>
          <w:b/>
          <w:vertAlign w:val="superscript"/>
        </w:rPr>
        <w:t>7</w:t>
      </w:r>
    </w:p>
    <w:p w14:paraId="5014E057" w14:textId="77777777" w:rsidR="00A07AE1" w:rsidRPr="004C79FC" w:rsidRDefault="00A07AE1" w:rsidP="008F550A">
      <w:pPr>
        <w:spacing w:after="240" w:line="240" w:lineRule="auto"/>
        <w:rPr>
          <w:rFonts w:cs="Arial"/>
        </w:rPr>
      </w:pPr>
      <w:r w:rsidRPr="004C79FC">
        <w:rPr>
          <w:rFonts w:cs="Arial"/>
          <w:vertAlign w:val="superscript"/>
        </w:rPr>
        <w:t>1</w:t>
      </w:r>
      <w:r w:rsidRPr="004C79FC">
        <w:rPr>
          <w:rFonts w:cs="Arial"/>
        </w:rPr>
        <w:t>Department of Geology and Petroleum Geology, University of Aberdeen, Aberdeen AB24 3FX, UK</w:t>
      </w:r>
    </w:p>
    <w:p w14:paraId="4BEF3BF4" w14:textId="77777777" w:rsidR="00A07AE1" w:rsidRPr="004C79FC" w:rsidRDefault="00A07AE1" w:rsidP="008F550A">
      <w:pPr>
        <w:spacing w:after="240" w:line="240" w:lineRule="auto"/>
        <w:rPr>
          <w:b/>
        </w:rPr>
      </w:pPr>
      <w:r w:rsidRPr="004C79FC">
        <w:rPr>
          <w:rFonts w:cs="Arial"/>
          <w:vertAlign w:val="superscript"/>
        </w:rPr>
        <w:t>2</w:t>
      </w:r>
      <w:r w:rsidRPr="004C79FC">
        <w:rPr>
          <w:rFonts w:cs="Arial"/>
        </w:rPr>
        <w:t>Institute of Earth Sciences Jaume Almera ICTJA-CSIC, C/ Lluís Solé I Sabarís s/n, 08028, Barcelona, Spain</w:t>
      </w:r>
    </w:p>
    <w:p w14:paraId="33DBCB05" w14:textId="77777777" w:rsidR="00A07AE1" w:rsidRPr="004C79FC" w:rsidRDefault="00A07AE1" w:rsidP="008F550A">
      <w:pPr>
        <w:spacing w:after="240" w:line="240" w:lineRule="auto"/>
        <w:rPr>
          <w:rFonts w:cs="Arial"/>
        </w:rPr>
      </w:pPr>
      <w:r w:rsidRPr="004C79FC">
        <w:rPr>
          <w:rFonts w:cs="Arial"/>
          <w:vertAlign w:val="superscript"/>
        </w:rPr>
        <w:t>3</w:t>
      </w:r>
      <w:r w:rsidRPr="004C79FC">
        <w:rPr>
          <w:rFonts w:cs="Arial"/>
        </w:rPr>
        <w:t>School of Geosciences,</w:t>
      </w:r>
      <w:r w:rsidRPr="004C79FC">
        <w:rPr>
          <w:rFonts w:cs="Arial"/>
          <w:vertAlign w:val="superscript"/>
        </w:rPr>
        <w:t xml:space="preserve"> </w:t>
      </w:r>
      <w:r w:rsidRPr="004C79FC">
        <w:rPr>
          <w:rFonts w:cs="Arial"/>
        </w:rPr>
        <w:t>University of Edinburgh, Grant Institute, West Main Road, Edinburgh, EH9 3JW, UK</w:t>
      </w:r>
    </w:p>
    <w:p w14:paraId="12084E52" w14:textId="51E18636" w:rsidR="00172A55" w:rsidRPr="004C79FC" w:rsidRDefault="00A07AE1" w:rsidP="008F550A">
      <w:pPr>
        <w:spacing w:after="240" w:line="240" w:lineRule="auto"/>
        <w:rPr>
          <w:rFonts w:cs="Arial"/>
        </w:rPr>
      </w:pPr>
      <w:r w:rsidRPr="004C79FC">
        <w:rPr>
          <w:rFonts w:cs="Arial"/>
          <w:vertAlign w:val="superscript"/>
        </w:rPr>
        <w:t>4</w:t>
      </w:r>
      <w:r w:rsidR="00FA23FC" w:rsidRPr="004C79FC">
        <w:rPr>
          <w:rFonts w:cs="Arial"/>
        </w:rPr>
        <w:t xml:space="preserve">School of Applied Social Studies, Robert Gordon University, Garthdee Road, Aberdeen AB10 7QG, UK </w:t>
      </w:r>
    </w:p>
    <w:p w14:paraId="63B1488C" w14:textId="4C361572" w:rsidR="00A07AE1" w:rsidRPr="004C79FC" w:rsidRDefault="00A07AE1" w:rsidP="008F550A">
      <w:pPr>
        <w:spacing w:after="240" w:line="240" w:lineRule="auto"/>
        <w:rPr>
          <w:rFonts w:cs="Arial"/>
        </w:rPr>
      </w:pPr>
      <w:r w:rsidRPr="004C79FC">
        <w:rPr>
          <w:rFonts w:cs="Arial"/>
          <w:vertAlign w:val="superscript"/>
        </w:rPr>
        <w:t>5</w:t>
      </w:r>
      <w:r w:rsidR="00FA23FC" w:rsidRPr="004C79FC">
        <w:rPr>
          <w:rFonts w:cs="Arial"/>
        </w:rPr>
        <w:t>Department of Earth, Ocean and Ecological Sciences, University of Liverpool, 4 Brownlow Street, Liverpool L69 3GP, UK</w:t>
      </w:r>
    </w:p>
    <w:p w14:paraId="695C770D" w14:textId="3AFEBFB5" w:rsidR="00FA23FC" w:rsidRDefault="00A07AE1" w:rsidP="008F550A">
      <w:pPr>
        <w:spacing w:after="240" w:line="240" w:lineRule="auto"/>
        <w:rPr>
          <w:rFonts w:cs="Arial"/>
          <w:vertAlign w:val="superscript"/>
        </w:rPr>
      </w:pPr>
      <w:r w:rsidRPr="004C79FC">
        <w:rPr>
          <w:rFonts w:cs="Arial"/>
          <w:vertAlign w:val="superscript"/>
        </w:rPr>
        <w:t>6</w:t>
      </w:r>
      <w:r w:rsidR="00FA23FC" w:rsidRPr="004C79FC">
        <w:rPr>
          <w:rFonts w:cs="Arial"/>
        </w:rPr>
        <w:t>Department of Environmental Science, Institute for Water and Wetland Research, Faculty of Science, Radboud University, Heyendaalseweg 135, 6525 AJ Nijmegen, The Netherlands</w:t>
      </w:r>
    </w:p>
    <w:p w14:paraId="23391BDF" w14:textId="35E337EF" w:rsidR="00A07AE1" w:rsidRPr="004C79FC" w:rsidRDefault="00FA23FC" w:rsidP="008F550A">
      <w:pPr>
        <w:spacing w:after="240" w:line="240" w:lineRule="auto"/>
        <w:rPr>
          <w:rFonts w:cs="Arial"/>
        </w:rPr>
      </w:pPr>
      <w:r w:rsidRPr="004C79FC">
        <w:rPr>
          <w:rFonts w:cs="Arial"/>
          <w:vertAlign w:val="superscript"/>
        </w:rPr>
        <w:t>7</w:t>
      </w:r>
      <w:r w:rsidR="00A07AE1" w:rsidRPr="004C79FC">
        <w:rPr>
          <w:rFonts w:cs="Arial"/>
        </w:rPr>
        <w:t>Pale Blue Dot Energy, Bratherns Eco-Business Park, Banchory, AB 31 4BW, UK6</w:t>
      </w:r>
    </w:p>
    <w:p w14:paraId="2B45747C" w14:textId="77777777" w:rsidR="00FA23FC" w:rsidRDefault="00FA23FC" w:rsidP="008F550A">
      <w:pPr>
        <w:spacing w:after="240" w:line="240" w:lineRule="auto"/>
        <w:rPr>
          <w:rFonts w:cs="Arial"/>
          <w:vertAlign w:val="superscript"/>
        </w:rPr>
      </w:pPr>
      <w:r w:rsidRPr="004C79FC">
        <w:rPr>
          <w:rFonts w:cs="Arial"/>
          <w:vertAlign w:val="superscript"/>
        </w:rPr>
        <w:t>8</w:t>
      </w:r>
      <w:r w:rsidRPr="004C79FC">
        <w:rPr>
          <w:rFonts w:cs="Arial"/>
        </w:rPr>
        <w:t>Bellona Europa, Rue d'Egmont 15, 1000 Brussels, Belgium</w:t>
      </w:r>
      <w:r w:rsidRPr="004C79FC">
        <w:rPr>
          <w:rFonts w:cs="Arial"/>
          <w:vertAlign w:val="superscript"/>
        </w:rPr>
        <w:t xml:space="preserve"> </w:t>
      </w:r>
    </w:p>
    <w:p w14:paraId="43681A28" w14:textId="07986662" w:rsidR="00FA23FC" w:rsidRPr="004C79FC" w:rsidRDefault="00FA23FC" w:rsidP="00FA23FC">
      <w:pPr>
        <w:spacing w:after="240" w:line="240" w:lineRule="auto"/>
        <w:rPr>
          <w:rFonts w:cs="Arial"/>
        </w:rPr>
      </w:pPr>
      <w:r w:rsidRPr="004C79FC">
        <w:rPr>
          <w:rFonts w:cs="Arial"/>
          <w:vertAlign w:val="superscript"/>
        </w:rPr>
        <w:t>9</w:t>
      </w:r>
      <w:r w:rsidRPr="004C79FC">
        <w:rPr>
          <w:rFonts w:cs="Arial"/>
        </w:rPr>
        <w:t>Institute of Petroleum Engineering, Heriot-Watt University, Riccarton, Edinburgh EH14 4AS, UK</w:t>
      </w:r>
    </w:p>
    <w:p w14:paraId="13415773" w14:textId="3A679539" w:rsidR="00A07AE1" w:rsidRPr="004C79FC" w:rsidRDefault="00FA23FC" w:rsidP="008F550A">
      <w:pPr>
        <w:spacing w:after="240" w:line="240" w:lineRule="auto"/>
        <w:rPr>
          <w:rFonts w:cs="Arial"/>
        </w:rPr>
      </w:pPr>
      <w:r w:rsidRPr="004C79FC">
        <w:rPr>
          <w:rFonts w:cs="Arial"/>
          <w:vertAlign w:val="superscript"/>
        </w:rPr>
        <w:t>10</w:t>
      </w:r>
      <w:r w:rsidR="00A07AE1" w:rsidRPr="004C79FC">
        <w:rPr>
          <w:rFonts w:cs="Arial"/>
        </w:rPr>
        <w:t>Scottish Carbon Capture &amp; Storage, School of GeoSciences, University of Edinburgh, Edinburgh Centre for Carbon Innovation, High School Yards, Infirmary Street, Edinburgh EH1 1LZ, UK</w:t>
      </w:r>
    </w:p>
    <w:p w14:paraId="0A53DAED" w14:textId="77777777" w:rsidR="0030144E" w:rsidRDefault="0030144E" w:rsidP="008F550A">
      <w:pPr>
        <w:spacing w:after="240" w:line="240" w:lineRule="auto"/>
        <w:rPr>
          <w:b/>
        </w:rPr>
      </w:pPr>
    </w:p>
    <w:p w14:paraId="49F030A9" w14:textId="58D7BEB0" w:rsidR="00620AEA" w:rsidRDefault="00620AEA" w:rsidP="008F550A">
      <w:pPr>
        <w:spacing w:after="240" w:line="240" w:lineRule="auto"/>
        <w:rPr>
          <w:b/>
        </w:rPr>
      </w:pPr>
      <w:r w:rsidRPr="00620AEA">
        <w:rPr>
          <w:b/>
        </w:rPr>
        <w:t>Keywords</w:t>
      </w:r>
    </w:p>
    <w:p w14:paraId="245BDEA2" w14:textId="77777777" w:rsidR="00963C39" w:rsidRDefault="00DA7F94" w:rsidP="008F550A">
      <w:pPr>
        <w:spacing w:after="240" w:line="240" w:lineRule="auto"/>
      </w:pPr>
      <w:r w:rsidRPr="00DA7F94">
        <w:t xml:space="preserve">Carbon Capture and Storage; infrastructure re-use; </w:t>
      </w:r>
      <w:r>
        <w:t>stakeholder</w:t>
      </w:r>
      <w:r w:rsidRPr="00DA7F94">
        <w:t xml:space="preserve"> engagement; just transition; full-chain CCS; cost-reduction</w:t>
      </w:r>
    </w:p>
    <w:p w14:paraId="15271156" w14:textId="2E699A94" w:rsidR="005B0E6E" w:rsidRDefault="005B0E6E" w:rsidP="008F550A">
      <w:pPr>
        <w:spacing w:after="240" w:line="240" w:lineRule="auto"/>
        <w:rPr>
          <w:b/>
        </w:rPr>
      </w:pPr>
      <w:r>
        <w:rPr>
          <w:b/>
        </w:rPr>
        <w:t>Research highlights</w:t>
      </w:r>
    </w:p>
    <w:p w14:paraId="3B9CA117" w14:textId="5733A9B1" w:rsidR="005B0E6E" w:rsidRDefault="008F78C9" w:rsidP="00963C39">
      <w:pPr>
        <w:pStyle w:val="ListParagraph"/>
        <w:numPr>
          <w:ilvl w:val="0"/>
          <w:numId w:val="42"/>
        </w:numPr>
        <w:spacing w:after="240" w:line="240" w:lineRule="auto"/>
      </w:pPr>
      <w:r>
        <w:t xml:space="preserve">Cost reduction and stakeholder support are essential for </w:t>
      </w:r>
      <w:r w:rsidR="00394172">
        <w:t>CCS industry development</w:t>
      </w:r>
    </w:p>
    <w:p w14:paraId="4D248A25" w14:textId="63242058" w:rsidR="00820CC6" w:rsidRPr="00820CC6" w:rsidRDefault="00820CC6" w:rsidP="00963C39">
      <w:pPr>
        <w:pStyle w:val="ListParagraph"/>
        <w:numPr>
          <w:ilvl w:val="0"/>
          <w:numId w:val="42"/>
        </w:numPr>
        <w:spacing w:after="240" w:line="240" w:lineRule="auto"/>
      </w:pPr>
      <w:r>
        <w:t xml:space="preserve">Acorn is aimed to </w:t>
      </w:r>
      <w:r>
        <w:rPr>
          <w:rFonts w:cstheme="minorHAnsi"/>
        </w:rPr>
        <w:t>develop</w:t>
      </w:r>
      <w:r w:rsidRPr="004C79FC">
        <w:rPr>
          <w:rFonts w:cstheme="minorHAnsi"/>
        </w:rPr>
        <w:t xml:space="preserve"> a full-chain CCS system at minimum cost by the 2020s</w:t>
      </w:r>
    </w:p>
    <w:p w14:paraId="7FF5317C" w14:textId="77777777" w:rsidR="002A600D" w:rsidRDefault="00820CC6" w:rsidP="00963C39">
      <w:pPr>
        <w:pStyle w:val="ListParagraph"/>
        <w:numPr>
          <w:ilvl w:val="0"/>
          <w:numId w:val="42"/>
        </w:numPr>
      </w:pPr>
      <w:r>
        <w:t>Infrastructure re-use and staged investment and development en</w:t>
      </w:r>
      <w:r w:rsidR="00394172">
        <w:t>able cost reduction</w:t>
      </w:r>
    </w:p>
    <w:p w14:paraId="31D99D83" w14:textId="77777777" w:rsidR="002A600D" w:rsidRDefault="00394172" w:rsidP="00963C39">
      <w:pPr>
        <w:pStyle w:val="ListParagraph"/>
        <w:numPr>
          <w:ilvl w:val="0"/>
          <w:numId w:val="42"/>
        </w:numPr>
      </w:pPr>
      <w:r>
        <w:t>Stakeholder and local community e</w:t>
      </w:r>
      <w:r w:rsidR="00820CC6">
        <w:t xml:space="preserve">ngagement is </w:t>
      </w:r>
      <w:r>
        <w:t>key</w:t>
      </w:r>
      <w:r w:rsidR="00820CC6">
        <w:t xml:space="preserve"> to promote a just tran</w:t>
      </w:r>
      <w:r>
        <w:t>sition</w:t>
      </w:r>
    </w:p>
    <w:p w14:paraId="4231262C" w14:textId="4E6B9769" w:rsidR="002A600D" w:rsidRDefault="00991F53" w:rsidP="00963C39">
      <w:pPr>
        <w:pStyle w:val="ListParagraph"/>
        <w:numPr>
          <w:ilvl w:val="0"/>
          <w:numId w:val="42"/>
        </w:numPr>
        <w:spacing w:after="240" w:line="240" w:lineRule="auto"/>
      </w:pPr>
      <w:r>
        <w:t>Th</w:t>
      </w:r>
      <w:r w:rsidR="002A600D">
        <w:t>e Acorn</w:t>
      </w:r>
      <w:r>
        <w:t xml:space="preserve"> </w:t>
      </w:r>
      <w:r w:rsidR="00394172">
        <w:t>experience</w:t>
      </w:r>
      <w:r>
        <w:t xml:space="preserve"> can</w:t>
      </w:r>
      <w:r w:rsidR="00394172">
        <w:t xml:space="preserve"> be implemented</w:t>
      </w:r>
      <w:r>
        <w:t xml:space="preserve"> in </w:t>
      </w:r>
      <w:r w:rsidR="00F65F9C">
        <w:t>regions with similar CCS needs</w:t>
      </w:r>
    </w:p>
    <w:p w14:paraId="17B3D4EF" w14:textId="77777777" w:rsidR="00394172" w:rsidRPr="005B0E6E" w:rsidRDefault="00394172" w:rsidP="00963C39">
      <w:pPr>
        <w:pStyle w:val="ListParagraph"/>
      </w:pPr>
    </w:p>
    <w:p w14:paraId="2D8813CD" w14:textId="6B3E23CC" w:rsidR="00A07AE1" w:rsidRPr="00394172" w:rsidRDefault="00A07AE1" w:rsidP="00394172">
      <w:pPr>
        <w:spacing w:after="240" w:line="240" w:lineRule="auto"/>
        <w:rPr>
          <w:b/>
        </w:rPr>
      </w:pPr>
      <w:r w:rsidRPr="00394172">
        <w:rPr>
          <w:b/>
        </w:rPr>
        <w:t>Abstract</w:t>
      </w:r>
    </w:p>
    <w:p w14:paraId="586C65FB" w14:textId="0722C904" w:rsidR="004F3EF3" w:rsidRPr="004C79FC" w:rsidRDefault="00315D67" w:rsidP="008F550A">
      <w:pPr>
        <w:spacing w:after="240" w:line="240" w:lineRule="auto"/>
      </w:pPr>
      <w:r>
        <w:t xml:space="preserve">Research to date has identified </w:t>
      </w:r>
      <w:r w:rsidR="004F4F55">
        <w:t>c</w:t>
      </w:r>
      <w:r w:rsidR="004F4F55" w:rsidRPr="004C79FC">
        <w:t>ost reduction</w:t>
      </w:r>
      <w:r w:rsidR="004F4F55">
        <w:t xml:space="preserve"> and lack of support from stakeholders as </w:t>
      </w:r>
      <w:r>
        <w:t>two key barriers to</w:t>
      </w:r>
      <w:r w:rsidR="00A07AE1" w:rsidRPr="004C79FC">
        <w:t xml:space="preserve"> the development of </w:t>
      </w:r>
      <w:r>
        <w:t xml:space="preserve">a carbon dioxide capture and storage (CCS) </w:t>
      </w:r>
      <w:r w:rsidR="00A07AE1" w:rsidRPr="004C79FC">
        <w:t xml:space="preserve">industry </w:t>
      </w:r>
      <w:r w:rsidR="00C8027D" w:rsidRPr="004C79FC">
        <w:t xml:space="preserve">that is </w:t>
      </w:r>
      <w:r w:rsidR="00A07AE1" w:rsidRPr="004C79FC">
        <w:t xml:space="preserve">capable of </w:t>
      </w:r>
      <w:r w:rsidR="0030144E" w:rsidRPr="004C79FC">
        <w:t xml:space="preserve">effectively </w:t>
      </w:r>
      <w:r w:rsidR="00E84E33" w:rsidRPr="004C79FC">
        <w:t xml:space="preserve">mitigating </w:t>
      </w:r>
      <w:r w:rsidR="00A07AE1" w:rsidRPr="004C79FC">
        <w:t xml:space="preserve">climate change. </w:t>
      </w:r>
      <w:r>
        <w:t>This paper responds to these challenges through systematic evaluation of the research and development process for</w:t>
      </w:r>
      <w:r w:rsidR="00A07AE1" w:rsidRPr="004C79FC">
        <w:t xml:space="preserve"> the Acorn </w:t>
      </w:r>
      <w:r w:rsidR="00A31EE1" w:rsidRPr="004C79FC">
        <w:t xml:space="preserve">CCS </w:t>
      </w:r>
      <w:r w:rsidR="00A07AE1" w:rsidRPr="004C79FC">
        <w:t>project</w:t>
      </w:r>
      <w:r w:rsidR="004F4F55">
        <w:t xml:space="preserve">, </w:t>
      </w:r>
      <w:r w:rsidR="005B0E6E">
        <w:t xml:space="preserve">a project </w:t>
      </w:r>
      <w:r w:rsidR="00C8027D" w:rsidRPr="004C79FC">
        <w:t xml:space="preserve">designed </w:t>
      </w:r>
      <w:r w:rsidR="00A07AE1" w:rsidRPr="004C79FC">
        <w:t>to develop a scalable</w:t>
      </w:r>
      <w:r w:rsidR="00C8027D" w:rsidRPr="004C79FC">
        <w:t>,</w:t>
      </w:r>
      <w:r w:rsidR="00A07AE1" w:rsidRPr="004C79FC">
        <w:t xml:space="preserve"> full-chain CCS project on the north</w:t>
      </w:r>
      <w:r>
        <w:t>-</w:t>
      </w:r>
      <w:r w:rsidR="00A07AE1" w:rsidRPr="004C79FC">
        <w:t xml:space="preserve">east coast of the UK. </w:t>
      </w:r>
      <w:r>
        <w:t>Through assessment of Acorn’s publicly-available outputs, we identify strategies which may help to enhance the viability of early-stage CCS projects</w:t>
      </w:r>
      <w:r w:rsidR="00A07AE1" w:rsidRPr="004C79FC">
        <w:t xml:space="preserve">. </w:t>
      </w:r>
      <w:r w:rsidR="009917DD">
        <w:t>I</w:t>
      </w:r>
      <w:r w:rsidR="00A31EE1" w:rsidRPr="004C79FC">
        <w:t xml:space="preserve">nitial capital costs can be minimised by </w:t>
      </w:r>
      <w:r w:rsidR="009D617F" w:rsidRPr="004C79FC">
        <w:t>i</w:t>
      </w:r>
      <w:r w:rsidR="00D55C05" w:rsidRPr="004C79FC">
        <w:t xml:space="preserve">nfrastructure </w:t>
      </w:r>
      <w:r w:rsidR="009A30EC" w:rsidRPr="004C79FC">
        <w:t>re-use</w:t>
      </w:r>
      <w:r w:rsidR="00D55C05" w:rsidRPr="004C79FC">
        <w:t xml:space="preserve">, </w:t>
      </w:r>
      <w:r w:rsidR="003C2234" w:rsidRPr="004C79FC">
        <w:lastRenderedPageBreak/>
        <w:t>particularly</w:t>
      </w:r>
      <w:r w:rsidR="00D55C05" w:rsidRPr="004C79FC">
        <w:t xml:space="preserve"> pipelines</w:t>
      </w:r>
      <w:r w:rsidR="003C2234" w:rsidRPr="004C79FC">
        <w:t xml:space="preserve">, </w:t>
      </w:r>
      <w:r w:rsidR="009F7F64" w:rsidRPr="004C79FC">
        <w:t xml:space="preserve">and by </w:t>
      </w:r>
      <w:r w:rsidR="004F4F55">
        <w:t>re-</w:t>
      </w:r>
      <w:r w:rsidR="009F7F64" w:rsidRPr="004C79FC">
        <w:t>use of data describing the subsurface acquired during oil and gas exploration activity</w:t>
      </w:r>
      <w:r w:rsidR="0030144E">
        <w:t>.</w:t>
      </w:r>
      <w:r w:rsidR="009F7F64" w:rsidRPr="004C79FC">
        <w:t xml:space="preserve"> </w:t>
      </w:r>
      <w:r w:rsidR="009D617F" w:rsidRPr="004C79FC">
        <w:rPr>
          <w:rFonts w:cstheme="minorHAnsi"/>
        </w:rPr>
        <w:t xml:space="preserve">Also, </w:t>
      </w:r>
      <w:r w:rsidR="009F7F64" w:rsidRPr="004C79FC">
        <w:rPr>
          <w:rFonts w:cstheme="minorHAnsi"/>
        </w:rPr>
        <w:t xml:space="preserve">development of </w:t>
      </w:r>
      <w:r w:rsidR="009D617F" w:rsidRPr="004C79FC">
        <w:rPr>
          <w:rFonts w:cstheme="minorHAnsi"/>
        </w:rPr>
        <w:t>t</w:t>
      </w:r>
      <w:r w:rsidR="003C2234" w:rsidRPr="004C79FC">
        <w:rPr>
          <w:rFonts w:cstheme="minorHAnsi"/>
        </w:rPr>
        <w:t xml:space="preserve">he project in separate </w:t>
      </w:r>
      <w:r w:rsidR="009F7F64" w:rsidRPr="004C79FC">
        <w:rPr>
          <w:rFonts w:cstheme="minorHAnsi"/>
        </w:rPr>
        <w:t xml:space="preserve">stages </w:t>
      </w:r>
      <w:r w:rsidR="003C2234" w:rsidRPr="004C79FC">
        <w:rPr>
          <w:rFonts w:cstheme="minorHAnsi"/>
        </w:rPr>
        <w:t xml:space="preserve">of </w:t>
      </w:r>
      <w:r w:rsidR="003C2234" w:rsidRPr="004C79FC">
        <w:t>activity</w:t>
      </w:r>
      <w:r w:rsidR="009D617F" w:rsidRPr="004C79FC">
        <w:t xml:space="preserve"> (e.g. different phases of </w:t>
      </w:r>
      <w:r w:rsidR="0030144E" w:rsidRPr="004C79FC">
        <w:t xml:space="preserve">infrastructure </w:t>
      </w:r>
      <w:r w:rsidR="009A30EC" w:rsidRPr="004C79FC">
        <w:t>re-use</w:t>
      </w:r>
      <w:r w:rsidR="009D617F" w:rsidRPr="004C79FC">
        <w:t xml:space="preserve"> and investment into new infrastructure)</w:t>
      </w:r>
      <w:r w:rsidR="003C2234" w:rsidRPr="004C79FC">
        <w:t xml:space="preserve"> </w:t>
      </w:r>
      <w:r w:rsidR="00A31EE1" w:rsidRPr="004C79FC">
        <w:t>enabl</w:t>
      </w:r>
      <w:r w:rsidR="009F7F64" w:rsidRPr="004C79FC">
        <w:t>es</w:t>
      </w:r>
      <w:r w:rsidR="00A31EE1" w:rsidRPr="004C79FC">
        <w:t xml:space="preserve"> cost</w:t>
      </w:r>
      <w:r w:rsidR="009D617F" w:rsidRPr="004C79FC">
        <w:rPr>
          <w:rFonts w:cstheme="minorHAnsi"/>
        </w:rPr>
        <w:t xml:space="preserve"> reduction </w:t>
      </w:r>
      <w:r w:rsidR="008A294E">
        <w:rPr>
          <w:rFonts w:cstheme="minorHAnsi"/>
        </w:rPr>
        <w:t>for future</w:t>
      </w:r>
      <w:r w:rsidR="009F7F64" w:rsidRPr="004C79FC">
        <w:rPr>
          <w:rFonts w:cstheme="minorHAnsi"/>
        </w:rPr>
        <w:t xml:space="preserve"> </w:t>
      </w:r>
      <w:r w:rsidR="009D617F" w:rsidRPr="004C79FC">
        <w:rPr>
          <w:rFonts w:cstheme="minorHAnsi"/>
        </w:rPr>
        <w:t>build</w:t>
      </w:r>
      <w:r w:rsidR="00C8027D" w:rsidRPr="004C79FC">
        <w:rPr>
          <w:rFonts w:cstheme="minorHAnsi"/>
        </w:rPr>
        <w:t>-</w:t>
      </w:r>
      <w:r w:rsidR="009D617F" w:rsidRPr="004C79FC">
        <w:rPr>
          <w:rFonts w:cstheme="minorHAnsi"/>
        </w:rPr>
        <w:t xml:space="preserve">out phases. </w:t>
      </w:r>
      <w:r>
        <w:t>Additionally, engagement of regional-level policy makers may help to build stakeholder support by situating CCS within regional decarbonisation narratives.</w:t>
      </w:r>
      <w:r w:rsidR="009D617F" w:rsidRPr="004C79FC">
        <w:t xml:space="preserve"> </w:t>
      </w:r>
      <w:r>
        <w:rPr>
          <w:rFonts w:cstheme="minorHAnsi"/>
        </w:rPr>
        <w:t>We argue that these insights may</w:t>
      </w:r>
      <w:r w:rsidR="009D617F" w:rsidRPr="004C79FC">
        <w:rPr>
          <w:rFonts w:cstheme="minorHAnsi"/>
        </w:rPr>
        <w:t xml:space="preserve"> be translated</w:t>
      </w:r>
      <w:r w:rsidR="004F3EF3" w:rsidRPr="004C79FC">
        <w:rPr>
          <w:rFonts w:cstheme="minorHAnsi"/>
        </w:rPr>
        <w:t xml:space="preserve"> to general objectives for any CCS project </w:t>
      </w:r>
      <w:r>
        <w:rPr>
          <w:rFonts w:cstheme="minorHAnsi"/>
        </w:rPr>
        <w:t>sharing</w:t>
      </w:r>
      <w:r w:rsidR="004F3EF3" w:rsidRPr="004C79FC">
        <w:rPr>
          <w:rFonts w:cstheme="minorHAnsi"/>
        </w:rPr>
        <w:t xml:space="preserve"> </w:t>
      </w:r>
      <w:r w:rsidR="008A294E">
        <w:rPr>
          <w:rFonts w:cstheme="minorHAnsi"/>
        </w:rPr>
        <w:t xml:space="preserve">similar </w:t>
      </w:r>
      <w:r w:rsidR="004F3EF3" w:rsidRPr="004C79FC">
        <w:rPr>
          <w:rFonts w:cstheme="minorHAnsi"/>
        </w:rPr>
        <w:t xml:space="preserve">characteristics </w:t>
      </w:r>
      <w:r w:rsidR="00C8027D" w:rsidRPr="004C79FC">
        <w:rPr>
          <w:rFonts w:cstheme="minorHAnsi"/>
        </w:rPr>
        <w:t>such as</w:t>
      </w:r>
      <w:r w:rsidR="004F3EF3" w:rsidRPr="004C79FC">
        <w:rPr>
          <w:rFonts w:cstheme="minorHAnsi"/>
        </w:rPr>
        <w:t xml:space="preserve"> legacy infrastructure, industrial clusters and an involved stakeholder</w:t>
      </w:r>
      <w:r w:rsidR="0030144E">
        <w:rPr>
          <w:rFonts w:cstheme="minorHAnsi"/>
        </w:rPr>
        <w:t>-</w:t>
      </w:r>
      <w:r w:rsidR="004F3EF3" w:rsidRPr="004C79FC">
        <w:rPr>
          <w:rFonts w:cstheme="minorHAnsi"/>
        </w:rPr>
        <w:t xml:space="preserve">base that is engaged </w:t>
      </w:r>
      <w:r w:rsidR="00C17C2C" w:rsidRPr="004C79FC">
        <w:rPr>
          <w:rFonts w:cstheme="minorHAnsi"/>
        </w:rPr>
        <w:t xml:space="preserve">with </w:t>
      </w:r>
      <w:r w:rsidR="004F3EF3" w:rsidRPr="004C79FC">
        <w:rPr>
          <w:rFonts w:cstheme="minorHAnsi"/>
        </w:rPr>
        <w:t>the fossil fuel</w:t>
      </w:r>
      <w:r w:rsidR="00C17C2C" w:rsidRPr="004C79FC">
        <w:rPr>
          <w:rFonts w:cstheme="minorHAnsi"/>
        </w:rPr>
        <w:t xml:space="preserve"> industry</w:t>
      </w:r>
      <w:r w:rsidR="004F3EF3" w:rsidRPr="004C79FC">
        <w:rPr>
          <w:rFonts w:cstheme="minorHAnsi"/>
        </w:rPr>
        <w:t>.</w:t>
      </w:r>
      <w:r w:rsidR="00A31EE1" w:rsidRPr="004C79FC">
        <w:t xml:space="preserve"> </w:t>
      </w:r>
    </w:p>
    <w:p w14:paraId="5191251A" w14:textId="77777777" w:rsidR="00A07AE1" w:rsidRPr="004C79FC" w:rsidRDefault="00A07AE1" w:rsidP="008F550A">
      <w:pPr>
        <w:pStyle w:val="ListParagraph"/>
        <w:numPr>
          <w:ilvl w:val="0"/>
          <w:numId w:val="32"/>
        </w:numPr>
        <w:spacing w:after="240" w:line="240" w:lineRule="auto"/>
        <w:ind w:left="714" w:hanging="357"/>
        <w:rPr>
          <w:rFonts w:cstheme="minorHAnsi"/>
          <w:b/>
        </w:rPr>
      </w:pPr>
      <w:r w:rsidRPr="004C79FC">
        <w:rPr>
          <w:rFonts w:cstheme="minorHAnsi"/>
          <w:b/>
        </w:rPr>
        <w:t>Introduction</w:t>
      </w:r>
    </w:p>
    <w:p w14:paraId="6C255FB9" w14:textId="5F8C521C" w:rsidR="00582C1B" w:rsidRDefault="00A07AE1" w:rsidP="00582C1B">
      <w:pPr>
        <w:spacing w:after="240" w:line="240" w:lineRule="auto"/>
      </w:pPr>
      <w:r w:rsidRPr="004C79FC">
        <w:t xml:space="preserve">The 2015 Paris Agreement </w:t>
      </w:r>
      <w:r w:rsidR="00C8027D" w:rsidRPr="004C79FC">
        <w:t xml:space="preserve">urged </w:t>
      </w:r>
      <w:r w:rsidRPr="004C79FC">
        <w:t>the world to reduce anthropogenic CO</w:t>
      </w:r>
      <w:r w:rsidRPr="004C79FC">
        <w:rPr>
          <w:vertAlign w:val="subscript"/>
        </w:rPr>
        <w:t>2</w:t>
      </w:r>
      <w:r w:rsidRPr="004C79FC">
        <w:t xml:space="preserve"> emissions to hold the global mean temperature rise </w:t>
      </w:r>
      <w:r w:rsidR="00C17C2C" w:rsidRPr="004C79FC">
        <w:t>less than</w:t>
      </w:r>
      <w:r w:rsidRPr="004C79FC">
        <w:t xml:space="preserve"> 2°C above pre-industrial levels, and </w:t>
      </w:r>
      <w:r w:rsidR="00C17C2C" w:rsidRPr="004C79FC">
        <w:t xml:space="preserve">to </w:t>
      </w:r>
      <w:r w:rsidRPr="004C79FC">
        <w:t>purs</w:t>
      </w:r>
      <w:r w:rsidR="00C17C2C" w:rsidRPr="004C79FC">
        <w:t>ue</w:t>
      </w:r>
      <w:r w:rsidRPr="004C79FC">
        <w:t xml:space="preserve"> efforts to limit the temperature increase to 1.5°C (United Nations, 2015; IPCC, 2018). </w:t>
      </w:r>
      <w:r w:rsidR="00A8023F">
        <w:t xml:space="preserve">There is a growing body of research arguing that this goal </w:t>
      </w:r>
      <w:r w:rsidR="00C73A34">
        <w:t>can</w:t>
      </w:r>
      <w:r w:rsidR="00A8023F">
        <w:t>not be achieved without</w:t>
      </w:r>
      <w:r w:rsidRPr="004C79FC">
        <w:t xml:space="preserve"> the capture of CO</w:t>
      </w:r>
      <w:r w:rsidRPr="004C79FC">
        <w:rPr>
          <w:vertAlign w:val="subscript"/>
        </w:rPr>
        <w:t>2</w:t>
      </w:r>
      <w:r w:rsidRPr="004C79FC">
        <w:t xml:space="preserve"> </w:t>
      </w:r>
      <w:r w:rsidR="003F0F0F">
        <w:t xml:space="preserve">from fossil fuel-fired power stations and industrial sources </w:t>
      </w:r>
      <w:r w:rsidRPr="004C79FC">
        <w:t xml:space="preserve">and its </w:t>
      </w:r>
      <w:r w:rsidR="0083143E">
        <w:t xml:space="preserve">subsequent </w:t>
      </w:r>
      <w:r w:rsidRPr="004C79FC">
        <w:t>storage in the subsurface (CCS) (Haszeldine et al., 2018; Alcalde et al., 2018a).</w:t>
      </w:r>
      <w:r w:rsidR="007276FC">
        <w:t xml:space="preserve"> </w:t>
      </w:r>
      <w:r w:rsidR="00582C1B">
        <w:t xml:space="preserve">CCS may have an important role in balancing power generation with climate imperatives, and it </w:t>
      </w:r>
      <w:r w:rsidR="00775557">
        <w:t xml:space="preserve">arguably </w:t>
      </w:r>
      <w:r w:rsidR="00582C1B">
        <w:t>represents the only pathway to balance decarbonisation for industrial applications with continued production, such as steel manufacturing, cement works and petrochemicals (Wennersten et al., 2015</w:t>
      </w:r>
      <w:r w:rsidR="002766AF">
        <w:t>; IPCC, 2018</w:t>
      </w:r>
      <w:r w:rsidR="00582C1B">
        <w:t>).</w:t>
      </w:r>
      <w:r w:rsidR="00582C1B" w:rsidRPr="00582C1B">
        <w:t xml:space="preserve"> </w:t>
      </w:r>
      <w:r w:rsidR="00582C1B">
        <w:t>Moreover, other technologies which may be required to achieve more drastic forms of mitigation – such as geological storage of hydrogen and direct air capture – rely on components of the CCS ‘chain’ to realise (</w:t>
      </w:r>
      <w:r w:rsidR="002766AF">
        <w:t>Sanz-Perez et al., 2016; Heinemann et al., 2018</w:t>
      </w:r>
      <w:r w:rsidR="00BE7A42">
        <w:t>a</w:t>
      </w:r>
      <w:r w:rsidR="00AB1BAB">
        <w:t>; Mandova et al., 2019</w:t>
      </w:r>
      <w:r w:rsidR="00582C1B">
        <w:t>).</w:t>
      </w:r>
    </w:p>
    <w:p w14:paraId="48116888" w14:textId="77777777" w:rsidR="00A94A54" w:rsidRDefault="00B257BE" w:rsidP="00C908A7">
      <w:pPr>
        <w:spacing w:after="240" w:line="240" w:lineRule="auto"/>
      </w:pPr>
      <w:r>
        <w:t xml:space="preserve">Given the urgency with which climate mitigation action is required </w:t>
      </w:r>
      <w:r w:rsidR="00DC0D6F">
        <w:t xml:space="preserve">and the risk of ‘overshooting’ the targets set under international agreements, </w:t>
      </w:r>
      <w:r w:rsidR="00FC5C46">
        <w:t xml:space="preserve">there is hence an argument </w:t>
      </w:r>
      <w:r w:rsidR="00590536">
        <w:t>that</w:t>
      </w:r>
      <w:r w:rsidR="00FC5C46">
        <w:t xml:space="preserve"> continued CCS research and development </w:t>
      </w:r>
      <w:r w:rsidR="00590536">
        <w:t>is necessary</w:t>
      </w:r>
      <w:r w:rsidR="005F178F">
        <w:t xml:space="preserve"> in addition to </w:t>
      </w:r>
      <w:r w:rsidR="008903B5">
        <w:t>rapid deployment of renewable energy technologies</w:t>
      </w:r>
      <w:r w:rsidR="00685E2E">
        <w:t xml:space="preserve"> (Mabon and Shackley, 2015).</w:t>
      </w:r>
      <w:r w:rsidR="00A5165D">
        <w:t xml:space="preserve"> </w:t>
      </w:r>
      <w:r w:rsidR="00A07AE1" w:rsidRPr="004C79FC">
        <w:t xml:space="preserve">Nevertheless, </w:t>
      </w:r>
      <w:r w:rsidR="00713A19">
        <w:t>there are only a small number of projects in operation globally with the</w:t>
      </w:r>
      <w:r w:rsidR="00A07AE1" w:rsidRPr="004C79FC">
        <w:t xml:space="preserve"> sole purpose of storing CO</w:t>
      </w:r>
      <w:r w:rsidR="00A07AE1" w:rsidRPr="004C79FC">
        <w:rPr>
          <w:vertAlign w:val="subscript"/>
        </w:rPr>
        <w:t>2</w:t>
      </w:r>
      <w:r w:rsidR="00A07AE1" w:rsidRPr="004C79FC">
        <w:t xml:space="preserve"> in the subsurface</w:t>
      </w:r>
      <w:r w:rsidR="00A94A54">
        <w:t xml:space="preserve"> </w:t>
      </w:r>
      <w:r w:rsidR="00ED407A" w:rsidRPr="004C79FC">
        <w:t xml:space="preserve">(Bui et al., 2018; </w:t>
      </w:r>
      <w:r w:rsidR="00A07AE1" w:rsidRPr="004C79FC">
        <w:t xml:space="preserve">Global CCS Institute </w:t>
      </w:r>
      <w:r w:rsidR="00ED407A" w:rsidRPr="004C79FC">
        <w:t xml:space="preserve">- </w:t>
      </w:r>
      <w:hyperlink r:id="rId11" w:history="1">
        <w:r w:rsidR="00713A19" w:rsidRPr="007C5E46">
          <w:rPr>
            <w:rStyle w:val="Hyperlink"/>
          </w:rPr>
          <w:t>www.globalccsinstitute.com</w:t>
        </w:r>
      </w:hyperlink>
      <w:r w:rsidR="00A07AE1" w:rsidRPr="004C79FC">
        <w:t>)</w:t>
      </w:r>
      <w:r w:rsidR="00713A19">
        <w:t xml:space="preserve">, with others using </w:t>
      </w:r>
      <w:r w:rsidR="00A07AE1" w:rsidRPr="004C79FC">
        <w:t>injection of captured CO</w:t>
      </w:r>
      <w:r w:rsidR="00A07AE1" w:rsidRPr="004C79FC">
        <w:rPr>
          <w:vertAlign w:val="subscript"/>
        </w:rPr>
        <w:t>2</w:t>
      </w:r>
      <w:r w:rsidR="00A07AE1" w:rsidRPr="004C79FC">
        <w:t xml:space="preserve"> as an agent for Enhanced Oil Recovery (CO</w:t>
      </w:r>
      <w:r w:rsidR="00A07AE1" w:rsidRPr="004C79FC">
        <w:rPr>
          <w:vertAlign w:val="subscript"/>
        </w:rPr>
        <w:t>2</w:t>
      </w:r>
      <w:r w:rsidR="00A07AE1" w:rsidRPr="004C79FC">
        <w:t>-EOR)</w:t>
      </w:r>
      <w:r w:rsidR="005900F0">
        <w:t xml:space="preserve"> </w:t>
      </w:r>
      <w:r w:rsidR="00A07AE1" w:rsidRPr="004C79FC">
        <w:t>(</w:t>
      </w:r>
      <w:r w:rsidR="00ED407A" w:rsidRPr="004C79FC">
        <w:t>Worden and Smith, 2004;</w:t>
      </w:r>
      <w:r w:rsidR="00A07AE1" w:rsidRPr="004C79FC">
        <w:t xml:space="preserve"> Damiani et al., 2012)</w:t>
      </w:r>
      <w:r w:rsidR="004B6651" w:rsidRPr="004C79FC">
        <w:t>.</w:t>
      </w:r>
      <w:r w:rsidR="00CB0D41">
        <w:t xml:space="preserve"> </w:t>
      </w:r>
    </w:p>
    <w:p w14:paraId="7ADE225B" w14:textId="6337391D" w:rsidR="00804C54" w:rsidRDefault="00CB0D41" w:rsidP="00C908A7">
      <w:pPr>
        <w:spacing w:after="240" w:line="240" w:lineRule="auto"/>
        <w:rPr>
          <w:rFonts w:cstheme="minorHAnsi"/>
        </w:rPr>
      </w:pPr>
      <w:r>
        <w:t xml:space="preserve">Research to date has identified two key barriers to wider CCS deployment. First is the </w:t>
      </w:r>
      <w:r w:rsidR="007D6BFD">
        <w:t>total cost of CCS projects, both capital and operational</w:t>
      </w:r>
      <w:r w:rsidR="007D6BFD" w:rsidRPr="004C79FC">
        <w:t>.</w:t>
      </w:r>
      <w:r w:rsidR="007D6BFD">
        <w:t xml:space="preserve"> </w:t>
      </w:r>
      <w:r w:rsidR="007D6BFD" w:rsidRPr="004C79FC">
        <w:t>Investments into dedicated CO</w:t>
      </w:r>
      <w:r w:rsidR="007D6BFD" w:rsidRPr="004C79FC">
        <w:rPr>
          <w:vertAlign w:val="subscript"/>
        </w:rPr>
        <w:t>2</w:t>
      </w:r>
      <w:r w:rsidR="007D6BFD" w:rsidRPr="004C79FC">
        <w:t xml:space="preserve"> storage project</w:t>
      </w:r>
      <w:r w:rsidR="007D6BFD">
        <w:t xml:space="preserve">s are economically challenging </w:t>
      </w:r>
      <w:r w:rsidR="007D6BFD" w:rsidRPr="004C79FC">
        <w:t>(</w:t>
      </w:r>
      <w:r w:rsidR="00765140">
        <w:t>Wennersten</w:t>
      </w:r>
      <w:r w:rsidR="00765140" w:rsidRPr="004C79FC">
        <w:t xml:space="preserve"> </w:t>
      </w:r>
      <w:r w:rsidR="007D6BFD" w:rsidRPr="004C79FC">
        <w:t>et al., 2015; Bui et al., 2018; IPCC, 2018)</w:t>
      </w:r>
      <w:r w:rsidR="007D6BFD">
        <w:t xml:space="preserve">, especially if </w:t>
      </w:r>
      <w:r w:rsidR="0070255D" w:rsidRPr="004C79FC">
        <w:t xml:space="preserve">upfront and operational costs </w:t>
      </w:r>
      <w:r w:rsidR="0070255D">
        <w:t>cannot be</w:t>
      </w:r>
      <w:r w:rsidR="0070255D" w:rsidRPr="004C79FC">
        <w:t xml:space="preserve"> mitigated with revenues from enhanced hydrocarbon production</w:t>
      </w:r>
      <w:r w:rsidR="0070255D">
        <w:t xml:space="preserve"> in the way they are for </w:t>
      </w:r>
      <w:r w:rsidR="0070255D" w:rsidRPr="004C79FC">
        <w:t>CO</w:t>
      </w:r>
      <w:r w:rsidR="0070255D" w:rsidRPr="004C79FC">
        <w:rPr>
          <w:vertAlign w:val="subscript"/>
        </w:rPr>
        <w:t>2</w:t>
      </w:r>
      <w:r w:rsidR="0070255D" w:rsidRPr="004C79FC">
        <w:t>-EOR</w:t>
      </w:r>
      <w:r w:rsidR="0070255D">
        <w:t xml:space="preserve"> projects</w:t>
      </w:r>
      <w:r w:rsidR="0070255D" w:rsidRPr="004C79FC">
        <w:t xml:space="preserve"> (Alvarado and Manrique, 2010)</w:t>
      </w:r>
      <w:r w:rsidR="007D6BFD" w:rsidRPr="004C79FC">
        <w:t>.</w:t>
      </w:r>
      <w:r w:rsidR="00804C54">
        <w:t xml:space="preserve"> Second is the </w:t>
      </w:r>
      <w:r w:rsidR="00C908A7" w:rsidRPr="004C79FC">
        <w:rPr>
          <w:rFonts w:cstheme="minorHAnsi"/>
        </w:rPr>
        <w:t>lack of support from (or at least</w:t>
      </w:r>
      <w:r w:rsidR="00C908A7">
        <w:rPr>
          <w:rFonts w:cstheme="minorHAnsi"/>
        </w:rPr>
        <w:t xml:space="preserve"> the</w:t>
      </w:r>
      <w:r w:rsidR="00C908A7" w:rsidRPr="004C79FC">
        <w:rPr>
          <w:rFonts w:cstheme="minorHAnsi"/>
        </w:rPr>
        <w:t xml:space="preserve"> tolerance of) stakeholders (e.g. de Coninck et al., 2009; Stigson et al., 2012;</w:t>
      </w:r>
      <w:r w:rsidR="00BB3E33">
        <w:rPr>
          <w:rFonts w:cstheme="minorHAnsi"/>
        </w:rPr>
        <w:t xml:space="preserve"> Chaudhry et al., 2013</w:t>
      </w:r>
      <w:r w:rsidR="00C908A7" w:rsidRPr="004C79FC">
        <w:rPr>
          <w:rFonts w:cstheme="minorHAnsi"/>
        </w:rPr>
        <w:t>)</w:t>
      </w:r>
      <w:r w:rsidR="00804C54">
        <w:rPr>
          <w:rFonts w:cstheme="minorHAnsi"/>
        </w:rPr>
        <w:t>. Especially significant here is the lack of support from political and societal opinion-shapers such as environmental NGOs, who may view CCS as being associated with</w:t>
      </w:r>
      <w:r w:rsidR="000B15CD">
        <w:rPr>
          <w:rFonts w:cstheme="minorHAnsi"/>
        </w:rPr>
        <w:t xml:space="preserve"> (and perpetuating)</w:t>
      </w:r>
      <w:r w:rsidR="00804C54">
        <w:rPr>
          <w:rFonts w:cstheme="minorHAnsi"/>
        </w:rPr>
        <w:t xml:space="preserve"> the negative social and environmental effects of the fossil fuel industry </w:t>
      </w:r>
      <w:r w:rsidR="009B42D2">
        <w:rPr>
          <w:rFonts w:cstheme="minorHAnsi"/>
        </w:rPr>
        <w:t xml:space="preserve">(Mabon and Littlecott, 2016). </w:t>
      </w:r>
    </w:p>
    <w:p w14:paraId="76123220" w14:textId="3DB6BD9A" w:rsidR="00D22EDD" w:rsidRDefault="00AF0BA2" w:rsidP="008F550A">
      <w:pPr>
        <w:spacing w:after="240" w:line="240" w:lineRule="auto"/>
        <w:rPr>
          <w:rFonts w:cstheme="minorHAnsi"/>
        </w:rPr>
      </w:pPr>
      <w:r>
        <w:rPr>
          <w:rFonts w:cstheme="minorHAnsi"/>
        </w:rPr>
        <w:t>The purpose of this paper is therefore to clarify pathways to wider CCS deployment</w:t>
      </w:r>
      <w:r w:rsidR="00FF6BAE">
        <w:rPr>
          <w:rFonts w:cstheme="minorHAnsi"/>
        </w:rPr>
        <w:t xml:space="preserve">, by offering insights into how the dual challenges of cost and </w:t>
      </w:r>
      <w:r w:rsidR="00503FE4">
        <w:rPr>
          <w:rFonts w:cstheme="minorHAnsi"/>
        </w:rPr>
        <w:t>stakeholder support may be managed</w:t>
      </w:r>
      <w:r>
        <w:rPr>
          <w:rFonts w:cstheme="minorHAnsi"/>
        </w:rPr>
        <w:t xml:space="preserve">. This is achieved through </w:t>
      </w:r>
      <w:r w:rsidR="004844CF">
        <w:rPr>
          <w:rFonts w:cstheme="minorHAnsi"/>
        </w:rPr>
        <w:t xml:space="preserve">evaluation of the development process for a new, real-world CCS project – the </w:t>
      </w:r>
      <w:r w:rsidR="00CC3710">
        <w:rPr>
          <w:rFonts w:cstheme="minorHAnsi"/>
        </w:rPr>
        <w:t>Acorn</w:t>
      </w:r>
      <w:r w:rsidR="004844CF">
        <w:rPr>
          <w:rFonts w:cstheme="minorHAnsi"/>
        </w:rPr>
        <w:t xml:space="preserve"> project in north-east Scotland. </w:t>
      </w:r>
      <w:r w:rsidR="00C5545C">
        <w:rPr>
          <w:rFonts w:cstheme="minorHAnsi"/>
        </w:rPr>
        <w:t xml:space="preserve">We identify and assess four broad </w:t>
      </w:r>
      <w:r w:rsidR="00E32D53">
        <w:rPr>
          <w:rFonts w:cstheme="minorHAnsi"/>
        </w:rPr>
        <w:t>areas that</w:t>
      </w:r>
      <w:r w:rsidR="00C5545C">
        <w:rPr>
          <w:rFonts w:cstheme="minorHAnsi"/>
        </w:rPr>
        <w:t xml:space="preserve"> have helped </w:t>
      </w:r>
      <w:r w:rsidR="00801CF4">
        <w:rPr>
          <w:rFonts w:cstheme="minorHAnsi"/>
        </w:rPr>
        <w:t>Acorn</w:t>
      </w:r>
      <w:r w:rsidR="00C5545C">
        <w:rPr>
          <w:rFonts w:cstheme="minorHAnsi"/>
        </w:rPr>
        <w:t xml:space="preserve"> to progress</w:t>
      </w:r>
      <w:r w:rsidR="00F81372">
        <w:rPr>
          <w:rFonts w:cstheme="minorHAnsi"/>
        </w:rPr>
        <w:t xml:space="preserve"> towards deployment despite a challenging global context:</w:t>
      </w:r>
      <w:r w:rsidR="004844CF">
        <w:rPr>
          <w:rFonts w:cstheme="minorHAnsi"/>
        </w:rPr>
        <w:t xml:space="preserve"> infrastructure re-use; storage development plan design; low-carbon build-out; and the framing of CCS within a just transition.</w:t>
      </w:r>
      <w:r w:rsidR="000B579A">
        <w:rPr>
          <w:rFonts w:cstheme="minorHAnsi"/>
        </w:rPr>
        <w:t xml:space="preserve"> </w:t>
      </w:r>
      <w:r w:rsidR="004D41B6">
        <w:rPr>
          <w:rFonts w:cstheme="minorHAnsi"/>
        </w:rPr>
        <w:t xml:space="preserve">We conclude that based on the </w:t>
      </w:r>
      <w:r w:rsidR="00801CF4">
        <w:rPr>
          <w:rFonts w:cstheme="minorHAnsi"/>
        </w:rPr>
        <w:t>Acorn</w:t>
      </w:r>
      <w:r w:rsidR="004D41B6">
        <w:rPr>
          <w:rFonts w:cstheme="minorHAnsi"/>
        </w:rPr>
        <w:t xml:space="preserve"> experience, (a) an emphasis on utilisation of existing infrastructure; (b) the production of a development plan across the whole CCS chain; and (c) the leadership of national and regional government in creating a compelling financial and societal case for CCS may aid CCS expansion global</w:t>
      </w:r>
      <w:r w:rsidR="00801CF4">
        <w:rPr>
          <w:rFonts w:cstheme="minorHAnsi"/>
        </w:rPr>
        <w:t>l</w:t>
      </w:r>
      <w:r w:rsidR="004D41B6">
        <w:rPr>
          <w:rFonts w:cstheme="minorHAnsi"/>
        </w:rPr>
        <w:t>y.</w:t>
      </w:r>
    </w:p>
    <w:p w14:paraId="60528BC1" w14:textId="5EE30CED" w:rsidR="00A5165D" w:rsidRPr="00E719CE" w:rsidRDefault="00201637" w:rsidP="00E32D53">
      <w:pPr>
        <w:pStyle w:val="ListParagraph"/>
        <w:numPr>
          <w:ilvl w:val="0"/>
          <w:numId w:val="32"/>
        </w:numPr>
        <w:spacing w:after="240" w:line="240" w:lineRule="auto"/>
        <w:rPr>
          <w:rFonts w:cstheme="minorHAnsi"/>
        </w:rPr>
      </w:pPr>
      <w:r w:rsidRPr="00D22EDD">
        <w:rPr>
          <w:b/>
        </w:rPr>
        <w:t>Case study region and project</w:t>
      </w:r>
    </w:p>
    <w:p w14:paraId="5191B358" w14:textId="4139EA59" w:rsidR="00934EAB" w:rsidRDefault="00A07AE1" w:rsidP="008F550A">
      <w:pPr>
        <w:spacing w:after="240" w:line="240" w:lineRule="auto"/>
      </w:pPr>
      <w:r w:rsidRPr="004C79FC">
        <w:t xml:space="preserve">The North Sea region </w:t>
      </w:r>
      <w:r w:rsidR="00225A93">
        <w:t>may be considered a valuable learning site</w:t>
      </w:r>
      <w:r w:rsidRPr="004C79FC">
        <w:t xml:space="preserve"> for the development of a CCS industry</w:t>
      </w:r>
      <w:r w:rsidR="00F1224D">
        <w:t>. It has</w:t>
      </w:r>
      <w:r w:rsidRPr="004C79FC">
        <w:t xml:space="preserve"> (1) </w:t>
      </w:r>
      <w:r w:rsidR="004B6651" w:rsidRPr="004C79FC">
        <w:t xml:space="preserve">coastal </w:t>
      </w:r>
      <w:r w:rsidR="00025F0D" w:rsidRPr="004C79FC">
        <w:t xml:space="preserve">industrial sites </w:t>
      </w:r>
      <w:r w:rsidR="00266873">
        <w:t xml:space="preserve">that </w:t>
      </w:r>
      <w:r w:rsidR="004B6651" w:rsidRPr="004C79FC">
        <w:t>generat</w:t>
      </w:r>
      <w:r w:rsidR="00266873">
        <w:t>e</w:t>
      </w:r>
      <w:r w:rsidR="004B6651" w:rsidRPr="004C79FC">
        <w:t xml:space="preserve"> </w:t>
      </w:r>
      <w:r w:rsidRPr="004C79FC">
        <w:t xml:space="preserve">significant </w:t>
      </w:r>
      <w:r w:rsidR="009521B9" w:rsidRPr="004C79FC">
        <w:t>localised</w:t>
      </w:r>
      <w:r w:rsidR="00A9091E" w:rsidRPr="004C79FC">
        <w:t xml:space="preserve"> </w:t>
      </w:r>
      <w:r w:rsidRPr="004C79FC">
        <w:t>CO</w:t>
      </w:r>
      <w:r w:rsidRPr="004C79FC">
        <w:rPr>
          <w:vertAlign w:val="subscript"/>
        </w:rPr>
        <w:t>2</w:t>
      </w:r>
      <w:r w:rsidRPr="004C79FC">
        <w:t xml:space="preserve"> emissions, with </w:t>
      </w:r>
      <w:r w:rsidR="00266873">
        <w:t>large-scale</w:t>
      </w:r>
      <w:r w:rsidR="009521B9" w:rsidRPr="004C79FC">
        <w:t xml:space="preserve"> </w:t>
      </w:r>
      <w:r w:rsidRPr="004C79FC">
        <w:t>CO</w:t>
      </w:r>
      <w:r w:rsidRPr="004C79FC">
        <w:rPr>
          <w:vertAlign w:val="subscript"/>
        </w:rPr>
        <w:t>2</w:t>
      </w:r>
      <w:r w:rsidRPr="004C79FC">
        <w:t xml:space="preserve"> capture potential</w:t>
      </w:r>
      <w:r w:rsidR="00025F0D" w:rsidRPr="004C79FC">
        <w:t>,</w:t>
      </w:r>
      <w:r w:rsidRPr="004C79FC">
        <w:t xml:space="preserve"> (2) existing infrastructure, including gas pipelines</w:t>
      </w:r>
      <w:r w:rsidR="00266873">
        <w:t>,</w:t>
      </w:r>
      <w:r w:rsidRPr="004C79FC">
        <w:t xml:space="preserve"> that can be </w:t>
      </w:r>
      <w:r w:rsidR="009A30EC" w:rsidRPr="004C79FC">
        <w:t>re-use</w:t>
      </w:r>
      <w:r w:rsidRPr="004C79FC">
        <w:t>d for CO</w:t>
      </w:r>
      <w:r w:rsidRPr="004C79FC">
        <w:rPr>
          <w:vertAlign w:val="subscript"/>
        </w:rPr>
        <w:t>2</w:t>
      </w:r>
      <w:r w:rsidRPr="004C79FC">
        <w:t xml:space="preserve"> transport, </w:t>
      </w:r>
      <w:r w:rsidR="00025F0D" w:rsidRPr="004C79FC">
        <w:t xml:space="preserve">thus </w:t>
      </w:r>
      <w:r w:rsidRPr="004C79FC">
        <w:t>reducing the initial capital cost of</w:t>
      </w:r>
      <w:r w:rsidR="009521B9" w:rsidRPr="004C79FC">
        <w:t>,</w:t>
      </w:r>
      <w:r w:rsidR="000A640A" w:rsidRPr="004C79FC">
        <w:t xml:space="preserve"> and timescales to</w:t>
      </w:r>
      <w:r w:rsidR="009521B9" w:rsidRPr="004C79FC">
        <w:t>,</w:t>
      </w:r>
      <w:r w:rsidRPr="004C79FC">
        <w:t xml:space="preserve"> development</w:t>
      </w:r>
      <w:r w:rsidR="00025F0D" w:rsidRPr="004C79FC">
        <w:t>,</w:t>
      </w:r>
      <w:r w:rsidRPr="004C79FC">
        <w:t xml:space="preserve"> and (3) </w:t>
      </w:r>
      <w:r w:rsidR="00025F0D" w:rsidRPr="004C79FC">
        <w:t xml:space="preserve">an </w:t>
      </w:r>
      <w:r w:rsidRPr="004C79FC">
        <w:t xml:space="preserve">abundance of </w:t>
      </w:r>
      <w:r w:rsidR="00266873">
        <w:t>geologically-</w:t>
      </w:r>
      <w:r w:rsidR="00C85F06" w:rsidRPr="004C79FC">
        <w:t xml:space="preserve">characterised </w:t>
      </w:r>
      <w:r w:rsidRPr="004C79FC">
        <w:t>potential storage sites</w:t>
      </w:r>
      <w:r w:rsidR="009521B9" w:rsidRPr="004C79FC">
        <w:t>.</w:t>
      </w:r>
      <w:r w:rsidR="001A2B56">
        <w:t xml:space="preserve"> </w:t>
      </w:r>
      <w:r w:rsidR="00266873">
        <w:t>O</w:t>
      </w:r>
      <w:r w:rsidR="009521B9" w:rsidRPr="004C79FC">
        <w:t>il and gas reservoirs</w:t>
      </w:r>
      <w:r w:rsidR="00266873">
        <w:t xml:space="preserve"> in the </w:t>
      </w:r>
      <w:r w:rsidR="001A2B56">
        <w:t>UK continental shelf</w:t>
      </w:r>
      <w:r w:rsidR="001A2B56" w:rsidRPr="004C79FC">
        <w:t xml:space="preserve"> </w:t>
      </w:r>
      <w:r w:rsidRPr="004C79FC">
        <w:t>ha</w:t>
      </w:r>
      <w:r w:rsidR="009521B9" w:rsidRPr="004C79FC">
        <w:t>ve</w:t>
      </w:r>
      <w:r w:rsidRPr="004C79FC">
        <w:t xml:space="preserve"> a proven capability to retain buoyant fluids over geological timescales</w:t>
      </w:r>
      <w:r w:rsidR="000A640A" w:rsidRPr="004C79FC">
        <w:t xml:space="preserve">, </w:t>
      </w:r>
      <w:r w:rsidR="009521B9" w:rsidRPr="004C79FC">
        <w:t>and</w:t>
      </w:r>
      <w:r w:rsidR="000A640A" w:rsidRPr="004C79FC">
        <w:t xml:space="preserve"> extensive subsurface data</w:t>
      </w:r>
      <w:r w:rsidR="009521B9" w:rsidRPr="004C79FC">
        <w:t xml:space="preserve"> have been acquired in the last </w:t>
      </w:r>
      <w:r w:rsidR="00266873">
        <w:t>five decades</w:t>
      </w:r>
      <w:r w:rsidR="00C40B54">
        <w:t xml:space="preserve"> that can be used to further inform CCS projects</w:t>
      </w:r>
      <w:r w:rsidRPr="004C79FC">
        <w:t xml:space="preserve">. The </w:t>
      </w:r>
      <w:r w:rsidR="00266873">
        <w:t xml:space="preserve">broader </w:t>
      </w:r>
      <w:r w:rsidRPr="004C79FC">
        <w:t xml:space="preserve">North Sea region </w:t>
      </w:r>
      <w:r w:rsidR="009521B9" w:rsidRPr="004C79FC">
        <w:t xml:space="preserve">also </w:t>
      </w:r>
      <w:r w:rsidRPr="004C79FC">
        <w:t xml:space="preserve">has over twenty years of CCS-related history, </w:t>
      </w:r>
      <w:r w:rsidR="009521B9" w:rsidRPr="004C79FC">
        <w:t xml:space="preserve">although </w:t>
      </w:r>
      <w:r w:rsidRPr="004C79FC">
        <w:t>only one CCS project is currently in operation: Sleipner</w:t>
      </w:r>
      <w:r w:rsidR="00266873">
        <w:t>,</w:t>
      </w:r>
      <w:r w:rsidRPr="004C79FC">
        <w:t xml:space="preserve"> in the Norwegian North Sea</w:t>
      </w:r>
      <w:r w:rsidR="009521B9" w:rsidRPr="004C79FC">
        <w:t>,</w:t>
      </w:r>
      <w:r w:rsidRPr="004C79FC">
        <w:t xml:space="preserve"> which started injection in 1996 in response to a Norwegian carbon tax (Eiken et al., 2011). Nevertheless, the North Sea </w:t>
      </w:r>
      <w:r w:rsidR="00266873">
        <w:t>B</w:t>
      </w:r>
      <w:r w:rsidRPr="004C79FC">
        <w:t xml:space="preserve">asin </w:t>
      </w:r>
      <w:r w:rsidR="007B7FF1">
        <w:t xml:space="preserve">hence </w:t>
      </w:r>
      <w:r w:rsidRPr="004C79FC">
        <w:t xml:space="preserve">represents a logical focus for CCS developments (e.g. Stewart et al., 2014; Bentham et al., 2014), and </w:t>
      </w:r>
      <w:r w:rsidR="00F92272">
        <w:t>multiple</w:t>
      </w:r>
      <w:r w:rsidRPr="004C79FC">
        <w:t xml:space="preserve"> areas of the </w:t>
      </w:r>
      <w:r w:rsidR="00266873">
        <w:t xml:space="preserve">UK </w:t>
      </w:r>
      <w:r w:rsidRPr="004C79FC">
        <w:t xml:space="preserve">North Sea </w:t>
      </w:r>
      <w:r w:rsidRPr="004C79FC">
        <w:lastRenderedPageBreak/>
        <w:t xml:space="preserve">have been appraised for </w:t>
      </w:r>
      <w:r w:rsidR="000A640A" w:rsidRPr="004C79FC">
        <w:t>CO</w:t>
      </w:r>
      <w:r w:rsidR="000A640A" w:rsidRPr="004C79FC">
        <w:rPr>
          <w:vertAlign w:val="subscript"/>
        </w:rPr>
        <w:t>2</w:t>
      </w:r>
      <w:r w:rsidR="000A640A" w:rsidRPr="004C79FC">
        <w:t xml:space="preserve"> storage</w:t>
      </w:r>
      <w:r w:rsidRPr="004C79FC">
        <w:t xml:space="preserve"> </w:t>
      </w:r>
      <w:r w:rsidR="00266873">
        <w:t>over the past decade</w:t>
      </w:r>
      <w:r w:rsidRPr="004C79FC">
        <w:t xml:space="preserve"> (e.g. Heinemann et al., 2012; Spence et al., 2014; Akhurst et al., 2015)</w:t>
      </w:r>
      <w:r w:rsidR="00934EAB">
        <w:t>.</w:t>
      </w:r>
    </w:p>
    <w:p w14:paraId="5FCEF7E5" w14:textId="041D42A7" w:rsidR="00A07AE1" w:rsidRPr="004C79FC" w:rsidRDefault="00A07AE1" w:rsidP="008F550A">
      <w:pPr>
        <w:spacing w:after="240" w:line="240" w:lineRule="auto"/>
        <w:rPr>
          <w:rFonts w:cstheme="minorHAnsi"/>
        </w:rPr>
      </w:pPr>
      <w:r w:rsidRPr="004C79FC">
        <w:rPr>
          <w:rFonts w:cstheme="minorHAnsi"/>
        </w:rPr>
        <w:t xml:space="preserve">The aim of the Acorn project </w:t>
      </w:r>
      <w:r w:rsidR="00BC4773">
        <w:rPr>
          <w:rFonts w:cstheme="minorHAnsi"/>
        </w:rPr>
        <w:t>is</w:t>
      </w:r>
      <w:r w:rsidR="00BC4773" w:rsidRPr="004C79FC">
        <w:rPr>
          <w:rFonts w:cstheme="minorHAnsi"/>
        </w:rPr>
        <w:t xml:space="preserve"> </w:t>
      </w:r>
      <w:r w:rsidRPr="004C79FC">
        <w:rPr>
          <w:rFonts w:cstheme="minorHAnsi"/>
        </w:rPr>
        <w:t>to design and implement a full-chain CCS system at minimum capital cost of capture, transport and storage by the early 2020s in the Central North Sea</w:t>
      </w:r>
      <w:r w:rsidR="009A30EC" w:rsidRPr="004C79FC">
        <w:rPr>
          <w:rFonts w:cstheme="minorHAnsi"/>
        </w:rPr>
        <w:t xml:space="preserve"> Basin</w:t>
      </w:r>
      <w:r w:rsidRPr="004C79FC">
        <w:rPr>
          <w:rFonts w:cstheme="minorHAnsi"/>
        </w:rPr>
        <w:t xml:space="preserve"> (Figure 1). The initial stage of the Acorn project, with CO</w:t>
      </w:r>
      <w:r w:rsidRPr="004C79FC">
        <w:rPr>
          <w:rFonts w:cstheme="minorHAnsi"/>
          <w:vertAlign w:val="subscript"/>
        </w:rPr>
        <w:t>2</w:t>
      </w:r>
      <w:r w:rsidRPr="004C79FC">
        <w:rPr>
          <w:rFonts w:cstheme="minorHAnsi"/>
        </w:rPr>
        <w:t xml:space="preserve"> capture and storage from the St Fergus Gas Terminal, north of Aberdeen (UK), </w:t>
      </w:r>
      <w:r w:rsidR="00EB7E62">
        <w:rPr>
          <w:rFonts w:cstheme="minorHAnsi"/>
        </w:rPr>
        <w:t>has been designed around</w:t>
      </w:r>
      <w:r w:rsidR="00EB7E62" w:rsidRPr="004C79FC">
        <w:rPr>
          <w:rFonts w:cstheme="minorHAnsi"/>
        </w:rPr>
        <w:t xml:space="preserve"> </w:t>
      </w:r>
      <w:r w:rsidRPr="004C79FC">
        <w:rPr>
          <w:rFonts w:cstheme="minorHAnsi"/>
        </w:rPr>
        <w:t>a small</w:t>
      </w:r>
      <w:r w:rsidR="009A30EC" w:rsidRPr="004C79FC">
        <w:rPr>
          <w:rFonts w:cstheme="minorHAnsi"/>
        </w:rPr>
        <w:t>,</w:t>
      </w:r>
      <w:r w:rsidRPr="004C79FC">
        <w:rPr>
          <w:rFonts w:cstheme="minorHAnsi"/>
        </w:rPr>
        <w:t xml:space="preserve"> industrial</w:t>
      </w:r>
      <w:r w:rsidR="00EB7E62">
        <w:rPr>
          <w:rFonts w:cstheme="minorHAnsi"/>
        </w:rPr>
        <w:t>-</w:t>
      </w:r>
      <w:r w:rsidRPr="004C79FC">
        <w:rPr>
          <w:rFonts w:cstheme="minorHAnsi"/>
        </w:rPr>
        <w:t xml:space="preserve">scale site, but </w:t>
      </w:r>
      <w:r w:rsidR="00EB7E62">
        <w:rPr>
          <w:rFonts w:cstheme="minorHAnsi"/>
        </w:rPr>
        <w:t>the project</w:t>
      </w:r>
      <w:r w:rsidR="00EB7E62" w:rsidRPr="004C79FC">
        <w:rPr>
          <w:rFonts w:cstheme="minorHAnsi"/>
        </w:rPr>
        <w:t xml:space="preserve"> </w:t>
      </w:r>
      <w:r w:rsidRPr="004C79FC">
        <w:rPr>
          <w:rFonts w:cstheme="minorHAnsi"/>
        </w:rPr>
        <w:t>has been designed to have the potential to be expanded and become an import hub for incremental development of a large-scale regional CCS network.</w:t>
      </w:r>
      <w:r w:rsidR="00911E72">
        <w:rPr>
          <w:rFonts w:cstheme="minorHAnsi"/>
        </w:rPr>
        <w:t xml:space="preserve"> </w:t>
      </w:r>
      <w:r w:rsidRPr="004C79FC">
        <w:rPr>
          <w:rFonts w:cstheme="minorHAnsi"/>
        </w:rPr>
        <w:t xml:space="preserve">The project is centred on St Fergus, which </w:t>
      </w:r>
      <w:r w:rsidR="00503A63" w:rsidRPr="004C79FC">
        <w:rPr>
          <w:rFonts w:cstheme="minorHAnsi"/>
        </w:rPr>
        <w:t xml:space="preserve">could be developed </w:t>
      </w:r>
      <w:r w:rsidR="00BA4363">
        <w:rPr>
          <w:rFonts w:cstheme="minorHAnsi"/>
        </w:rPr>
        <w:t>in</w:t>
      </w:r>
      <w:r w:rsidR="00503A63" w:rsidRPr="004C79FC">
        <w:rPr>
          <w:rFonts w:cstheme="minorHAnsi"/>
        </w:rPr>
        <w:t>to a larger CCS hub in subsequent investment stages</w:t>
      </w:r>
      <w:r w:rsidR="00BA4363">
        <w:rPr>
          <w:rFonts w:cstheme="minorHAnsi"/>
        </w:rPr>
        <w:t>. St Fergus</w:t>
      </w:r>
      <w:r w:rsidR="00503A63" w:rsidRPr="004C79FC">
        <w:rPr>
          <w:rFonts w:cstheme="minorHAnsi"/>
        </w:rPr>
        <w:t xml:space="preserve"> </w:t>
      </w:r>
      <w:r w:rsidRPr="004C79FC">
        <w:rPr>
          <w:rFonts w:cstheme="minorHAnsi"/>
        </w:rPr>
        <w:t>is connected to a series of</w:t>
      </w:r>
      <w:r w:rsidR="00BA4363">
        <w:rPr>
          <w:rFonts w:cstheme="minorHAnsi"/>
        </w:rPr>
        <w:t xml:space="preserve"> offshore hydrocarbon fields via three</w:t>
      </w:r>
      <w:r w:rsidRPr="004C79FC">
        <w:rPr>
          <w:rFonts w:cstheme="minorHAnsi"/>
        </w:rPr>
        <w:t xml:space="preserve"> pipelines</w:t>
      </w:r>
      <w:r w:rsidR="00BA4363">
        <w:rPr>
          <w:rFonts w:cstheme="minorHAnsi"/>
        </w:rPr>
        <w:t>,</w:t>
      </w:r>
      <w:r w:rsidRPr="004C79FC">
        <w:rPr>
          <w:rFonts w:cstheme="minorHAnsi"/>
        </w:rPr>
        <w:t xml:space="preserve"> and is also connected to Peterhead Harbour through which CO</w:t>
      </w:r>
      <w:r w:rsidRPr="004C79FC">
        <w:rPr>
          <w:rFonts w:cstheme="minorHAnsi"/>
          <w:vertAlign w:val="subscript"/>
        </w:rPr>
        <w:t>2</w:t>
      </w:r>
      <w:r w:rsidRPr="004C79FC">
        <w:rPr>
          <w:rFonts w:cstheme="minorHAnsi"/>
        </w:rPr>
        <w:t xml:space="preserve"> </w:t>
      </w:r>
      <w:r w:rsidR="00ED19AE">
        <w:rPr>
          <w:rFonts w:cstheme="minorHAnsi"/>
        </w:rPr>
        <w:t>could also</w:t>
      </w:r>
      <w:r w:rsidRPr="004C79FC">
        <w:rPr>
          <w:rFonts w:cstheme="minorHAnsi"/>
        </w:rPr>
        <w:t xml:space="preserve"> be imported via tankers. Additionally, St Fergus is connected to the Grangemouth </w:t>
      </w:r>
      <w:r w:rsidR="0050636D">
        <w:rPr>
          <w:rFonts w:cstheme="minorHAnsi"/>
        </w:rPr>
        <w:t>i</w:t>
      </w:r>
      <w:r w:rsidR="0050636D" w:rsidRPr="004C79FC">
        <w:rPr>
          <w:rFonts w:cstheme="minorHAnsi"/>
        </w:rPr>
        <w:t xml:space="preserve">ndustrial </w:t>
      </w:r>
      <w:r w:rsidR="0050636D">
        <w:rPr>
          <w:rFonts w:cstheme="minorHAnsi"/>
        </w:rPr>
        <w:t>c</w:t>
      </w:r>
      <w:r w:rsidR="0050636D" w:rsidRPr="004C79FC">
        <w:rPr>
          <w:rFonts w:cstheme="minorHAnsi"/>
        </w:rPr>
        <w:t xml:space="preserve">omplex </w:t>
      </w:r>
      <w:r w:rsidRPr="004C79FC">
        <w:rPr>
          <w:rFonts w:cstheme="minorHAnsi"/>
        </w:rPr>
        <w:t xml:space="preserve">in </w:t>
      </w:r>
      <w:r w:rsidR="00ED19AE">
        <w:rPr>
          <w:rFonts w:cstheme="minorHAnsi"/>
        </w:rPr>
        <w:t>c</w:t>
      </w:r>
      <w:r w:rsidR="006C4CE1" w:rsidRPr="004C79FC">
        <w:rPr>
          <w:rFonts w:cstheme="minorHAnsi"/>
        </w:rPr>
        <w:t xml:space="preserve">entral </w:t>
      </w:r>
      <w:r w:rsidRPr="004C79FC">
        <w:rPr>
          <w:rFonts w:cstheme="minorHAnsi"/>
        </w:rPr>
        <w:t xml:space="preserve">Scotland, </w:t>
      </w:r>
      <w:r w:rsidR="00ED19AE">
        <w:rPr>
          <w:rFonts w:cstheme="minorHAnsi"/>
        </w:rPr>
        <w:t>a large point source of industrial CO</w:t>
      </w:r>
      <w:r w:rsidR="00ED19AE" w:rsidRPr="00ED19AE">
        <w:rPr>
          <w:rFonts w:cstheme="minorHAnsi"/>
          <w:vertAlign w:val="subscript"/>
        </w:rPr>
        <w:t>2</w:t>
      </w:r>
      <w:r w:rsidRPr="004C79FC">
        <w:rPr>
          <w:rFonts w:cstheme="minorHAnsi"/>
        </w:rPr>
        <w:t xml:space="preserve">, via a redundant UK National Grid gas pipeline, </w:t>
      </w:r>
      <w:r w:rsidR="00EB7E62">
        <w:rPr>
          <w:rFonts w:cstheme="minorHAnsi"/>
        </w:rPr>
        <w:t xml:space="preserve">thus </w:t>
      </w:r>
      <w:r w:rsidRPr="004C79FC">
        <w:rPr>
          <w:rFonts w:cstheme="minorHAnsi"/>
        </w:rPr>
        <w:t>offering a potential additional source of CO</w:t>
      </w:r>
      <w:r w:rsidRPr="004C79FC">
        <w:rPr>
          <w:rFonts w:cstheme="minorHAnsi"/>
          <w:vertAlign w:val="subscript"/>
        </w:rPr>
        <w:t>2</w:t>
      </w:r>
      <w:r w:rsidRPr="004C79FC">
        <w:rPr>
          <w:rFonts w:cstheme="minorHAnsi"/>
        </w:rPr>
        <w:t xml:space="preserve"> for future stages</w:t>
      </w:r>
      <w:r w:rsidR="001644D6">
        <w:rPr>
          <w:rFonts w:cstheme="minorHAnsi"/>
        </w:rPr>
        <w:t xml:space="preserve"> </w:t>
      </w:r>
      <w:r w:rsidR="001644D6" w:rsidRPr="004C79FC">
        <w:rPr>
          <w:rFonts w:cstheme="minorHAnsi"/>
        </w:rPr>
        <w:t>(Brownsort et al., 2016)</w:t>
      </w:r>
      <w:r w:rsidRPr="004C79FC">
        <w:rPr>
          <w:rFonts w:cstheme="minorHAnsi"/>
        </w:rPr>
        <w:t>.</w:t>
      </w:r>
      <w:r w:rsidR="005374A8">
        <w:rPr>
          <w:rFonts w:cstheme="minorHAnsi"/>
        </w:rPr>
        <w:t xml:space="preserve"> </w:t>
      </w:r>
      <w:r w:rsidRPr="004C79FC">
        <w:rPr>
          <w:rFonts w:cstheme="minorHAnsi"/>
        </w:rPr>
        <w:t xml:space="preserve">Two </w:t>
      </w:r>
      <w:r w:rsidR="00D7716F" w:rsidRPr="004C79FC">
        <w:rPr>
          <w:rFonts w:cstheme="minorHAnsi"/>
        </w:rPr>
        <w:t xml:space="preserve">geological </w:t>
      </w:r>
      <w:r w:rsidRPr="004C79FC">
        <w:rPr>
          <w:rFonts w:cstheme="minorHAnsi"/>
        </w:rPr>
        <w:t>storage sites</w:t>
      </w:r>
      <w:r w:rsidR="007838FA">
        <w:rPr>
          <w:rFonts w:cstheme="minorHAnsi"/>
        </w:rPr>
        <w:t>,</w:t>
      </w:r>
      <w:r w:rsidR="00142E00" w:rsidRPr="004C79FC">
        <w:rPr>
          <w:rFonts w:cstheme="minorHAnsi"/>
        </w:rPr>
        <w:t xml:space="preserve"> </w:t>
      </w:r>
      <w:r w:rsidR="007838FA">
        <w:rPr>
          <w:rFonts w:cstheme="minorHAnsi"/>
        </w:rPr>
        <w:t>a primary and a reserve site</w:t>
      </w:r>
      <w:r w:rsidR="00EB7E62">
        <w:rPr>
          <w:rFonts w:cstheme="minorHAnsi"/>
        </w:rPr>
        <w:t>,</w:t>
      </w:r>
      <w:r w:rsidR="007838FA" w:rsidRPr="004C79FC">
        <w:rPr>
          <w:rFonts w:cstheme="minorHAnsi"/>
        </w:rPr>
        <w:t xml:space="preserve"> </w:t>
      </w:r>
      <w:r w:rsidR="00142E00" w:rsidRPr="004C79FC">
        <w:rPr>
          <w:rFonts w:cstheme="minorHAnsi"/>
        </w:rPr>
        <w:t>have been investigated</w:t>
      </w:r>
      <w:r w:rsidR="00BF2014" w:rsidRPr="004C79FC">
        <w:rPr>
          <w:rFonts w:cstheme="minorHAnsi"/>
        </w:rPr>
        <w:t xml:space="preserve"> </w:t>
      </w:r>
      <w:r w:rsidR="00176AED" w:rsidRPr="004C79FC">
        <w:rPr>
          <w:rFonts w:cstheme="minorHAnsi"/>
        </w:rPr>
        <w:t>in detail</w:t>
      </w:r>
      <w:r w:rsidR="007838FA" w:rsidRPr="007838FA">
        <w:rPr>
          <w:rFonts w:cstheme="minorHAnsi"/>
        </w:rPr>
        <w:t xml:space="preserve"> </w:t>
      </w:r>
      <w:r w:rsidR="007838FA">
        <w:rPr>
          <w:rFonts w:cstheme="minorHAnsi"/>
        </w:rPr>
        <w:t>to establish a full chain scenario. Both geological storage sites are lo</w:t>
      </w:r>
      <w:r w:rsidRPr="004C79FC">
        <w:rPr>
          <w:rFonts w:cstheme="minorHAnsi"/>
        </w:rPr>
        <w:t>cated in the vicinity of three</w:t>
      </w:r>
      <w:r w:rsidR="00CA2E6F" w:rsidRPr="004C79FC">
        <w:rPr>
          <w:rFonts w:cstheme="minorHAnsi"/>
        </w:rPr>
        <w:t xml:space="preserve"> gas pipelines that connect current </w:t>
      </w:r>
      <w:r w:rsidR="00142E00" w:rsidRPr="004C79FC">
        <w:rPr>
          <w:rFonts w:cstheme="minorHAnsi"/>
        </w:rPr>
        <w:t>natural gas producing reservoirs to the mainland at St Fergus. These two</w:t>
      </w:r>
      <w:r w:rsidR="00EB7E62">
        <w:rPr>
          <w:rFonts w:cstheme="minorHAnsi"/>
        </w:rPr>
        <w:t xml:space="preserve"> geological</w:t>
      </w:r>
      <w:r w:rsidR="00142E00" w:rsidRPr="004C79FC">
        <w:rPr>
          <w:rFonts w:cstheme="minorHAnsi"/>
        </w:rPr>
        <w:t xml:space="preserve"> sites are</w:t>
      </w:r>
      <w:r w:rsidRPr="004C79FC">
        <w:rPr>
          <w:rFonts w:cstheme="minorHAnsi"/>
        </w:rPr>
        <w:t xml:space="preserve"> well characterised </w:t>
      </w:r>
      <w:r w:rsidR="00176AED" w:rsidRPr="004C79FC">
        <w:rPr>
          <w:rFonts w:cstheme="minorHAnsi"/>
        </w:rPr>
        <w:t xml:space="preserve">due to </w:t>
      </w:r>
      <w:r w:rsidRPr="004C79FC">
        <w:rPr>
          <w:rFonts w:cstheme="minorHAnsi"/>
        </w:rPr>
        <w:t>decades of hydrocarbon exploration and production</w:t>
      </w:r>
      <w:r w:rsidR="00176AED" w:rsidRPr="004C79FC">
        <w:rPr>
          <w:rFonts w:cstheme="minorHAnsi"/>
        </w:rPr>
        <w:t>,</w:t>
      </w:r>
      <w:r w:rsidR="00142E00" w:rsidRPr="004C79FC">
        <w:rPr>
          <w:rFonts w:cstheme="minorHAnsi"/>
        </w:rPr>
        <w:t xml:space="preserve"> </w:t>
      </w:r>
      <w:r w:rsidRPr="004C79FC">
        <w:rPr>
          <w:rFonts w:cstheme="minorHAnsi"/>
        </w:rPr>
        <w:t xml:space="preserve">and </w:t>
      </w:r>
      <w:r w:rsidR="00176AED" w:rsidRPr="004C79FC">
        <w:rPr>
          <w:rFonts w:cstheme="minorHAnsi"/>
        </w:rPr>
        <w:t>offer</w:t>
      </w:r>
      <w:r w:rsidRPr="004C79FC">
        <w:rPr>
          <w:rFonts w:cstheme="minorHAnsi"/>
        </w:rPr>
        <w:t xml:space="preserve"> storage capacities large enough (</w:t>
      </w:r>
      <w:r w:rsidR="007838FA">
        <w:rPr>
          <w:rFonts w:cstheme="minorHAnsi"/>
        </w:rPr>
        <w:t>&gt;</w:t>
      </w:r>
      <w:r w:rsidR="00EB7E62">
        <w:rPr>
          <w:rFonts w:cstheme="minorHAnsi"/>
        </w:rPr>
        <w:t xml:space="preserve"> </w:t>
      </w:r>
      <w:r w:rsidRPr="004C79FC">
        <w:rPr>
          <w:rFonts w:cstheme="minorHAnsi"/>
        </w:rPr>
        <w:t>50</w:t>
      </w:r>
      <w:r w:rsidR="00E40E70" w:rsidRPr="004C79FC">
        <w:rPr>
          <w:rFonts w:cstheme="minorHAnsi"/>
        </w:rPr>
        <w:t xml:space="preserve"> </w:t>
      </w:r>
      <w:r w:rsidRPr="004C79FC">
        <w:rPr>
          <w:rFonts w:cstheme="minorHAnsi"/>
        </w:rPr>
        <w:t>Mt CO</w:t>
      </w:r>
      <w:r w:rsidRPr="004C79FC">
        <w:rPr>
          <w:rFonts w:cstheme="minorHAnsi"/>
          <w:vertAlign w:val="subscript"/>
        </w:rPr>
        <w:t>2</w:t>
      </w:r>
      <w:r w:rsidRPr="004C79FC">
        <w:rPr>
          <w:rFonts w:cstheme="minorHAnsi"/>
        </w:rPr>
        <w:t xml:space="preserve">) to provide </w:t>
      </w:r>
      <w:r w:rsidR="0050636D">
        <w:rPr>
          <w:rFonts w:cstheme="minorHAnsi"/>
        </w:rPr>
        <w:t xml:space="preserve">for </w:t>
      </w:r>
      <w:r w:rsidRPr="004C79FC">
        <w:rPr>
          <w:rFonts w:cstheme="minorHAnsi"/>
        </w:rPr>
        <w:t>the planned</w:t>
      </w:r>
      <w:r w:rsidR="008D574D">
        <w:rPr>
          <w:rFonts w:cstheme="minorHAnsi"/>
        </w:rPr>
        <w:t xml:space="preserve"> initial operations </w:t>
      </w:r>
      <w:r w:rsidRPr="004C79FC">
        <w:rPr>
          <w:rFonts w:cstheme="minorHAnsi"/>
        </w:rPr>
        <w:t xml:space="preserve">and </w:t>
      </w:r>
      <w:r w:rsidR="00EB7E62">
        <w:rPr>
          <w:rFonts w:cstheme="minorHAnsi"/>
        </w:rPr>
        <w:t xml:space="preserve">to provide for </w:t>
      </w:r>
      <w:r w:rsidR="0050636D">
        <w:rPr>
          <w:rFonts w:cstheme="minorHAnsi"/>
        </w:rPr>
        <w:t>further</w:t>
      </w:r>
      <w:r w:rsidRPr="004C79FC">
        <w:rPr>
          <w:rFonts w:cstheme="minorHAnsi"/>
        </w:rPr>
        <w:t xml:space="preserve"> build-out options proposed by Acorn. </w:t>
      </w:r>
    </w:p>
    <w:p w14:paraId="2208FE16" w14:textId="77777777" w:rsidR="00A07AE1" w:rsidRPr="004C79FC" w:rsidRDefault="00A07AE1" w:rsidP="008F550A">
      <w:pPr>
        <w:keepNext/>
        <w:spacing w:after="240" w:line="240" w:lineRule="auto"/>
      </w:pPr>
      <w:r w:rsidRPr="009C78A0">
        <w:rPr>
          <w:noProof/>
          <w:lang w:val="es-ES" w:eastAsia="es-ES"/>
        </w:rPr>
        <w:drawing>
          <wp:inline distT="0" distB="0" distL="0" distR="0" wp14:anchorId="23946CB5" wp14:editId="2346ADEF">
            <wp:extent cx="4422592" cy="4021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gov maps_Basemap_white.jpg"/>
                    <pic:cNvPicPr/>
                  </pic:nvPicPr>
                  <pic:blipFill>
                    <a:blip r:embed="rId12">
                      <a:extLst>
                        <a:ext uri="{28A0092B-C50C-407E-A947-70E740481C1C}">
                          <a14:useLocalDpi xmlns:a14="http://schemas.microsoft.com/office/drawing/2010/main" val="0"/>
                        </a:ext>
                      </a:extLst>
                    </a:blip>
                    <a:stretch>
                      <a:fillRect/>
                    </a:stretch>
                  </pic:blipFill>
                  <pic:spPr>
                    <a:xfrm>
                      <a:off x="0" y="0"/>
                      <a:ext cx="4422592" cy="4021817"/>
                    </a:xfrm>
                    <a:prstGeom prst="rect">
                      <a:avLst/>
                    </a:prstGeom>
                  </pic:spPr>
                </pic:pic>
              </a:graphicData>
            </a:graphic>
          </wp:inline>
        </w:drawing>
      </w:r>
    </w:p>
    <w:p w14:paraId="4E084910" w14:textId="405A5AA9" w:rsidR="00A07AE1" w:rsidRPr="004C79FC" w:rsidRDefault="00A07AE1" w:rsidP="008F550A">
      <w:pPr>
        <w:pStyle w:val="Caption"/>
        <w:spacing w:after="240"/>
      </w:pPr>
      <w:r w:rsidRPr="004C79FC">
        <w:t xml:space="preserve">Figure </w:t>
      </w:r>
      <w:r w:rsidR="00E6280B" w:rsidRPr="008D574D">
        <w:rPr>
          <w:noProof/>
        </w:rPr>
        <w:fldChar w:fldCharType="begin"/>
      </w:r>
      <w:r w:rsidRPr="008D574D">
        <w:instrText xml:space="preserve"> SEQ Figure \* ARABIC </w:instrText>
      </w:r>
      <w:r w:rsidR="00E6280B" w:rsidRPr="008D574D">
        <w:rPr>
          <w:noProof/>
        </w:rPr>
        <w:fldChar w:fldCharType="separate"/>
      </w:r>
      <w:r w:rsidR="000770A4">
        <w:rPr>
          <w:noProof/>
        </w:rPr>
        <w:t>1</w:t>
      </w:r>
      <w:r w:rsidR="00E6280B" w:rsidRPr="008D574D">
        <w:rPr>
          <w:noProof/>
        </w:rPr>
        <w:fldChar w:fldCharType="end"/>
      </w:r>
      <w:r w:rsidRPr="004C79FC">
        <w:t>: The Acorn project setting in the North Sea offshore Scotland. The two potential CO</w:t>
      </w:r>
      <w:r w:rsidRPr="004C79FC">
        <w:rPr>
          <w:vertAlign w:val="subscript"/>
        </w:rPr>
        <w:t>2</w:t>
      </w:r>
      <w:r w:rsidRPr="004C79FC">
        <w:t xml:space="preserve"> storage sites are shown in </w:t>
      </w:r>
      <w:r w:rsidR="00D53F4D">
        <w:t>pink</w:t>
      </w:r>
      <w:r w:rsidR="00B62E83" w:rsidRPr="004C79FC">
        <w:t xml:space="preserve"> </w:t>
      </w:r>
      <w:r w:rsidRPr="004C79FC">
        <w:t>(Acorn CO</w:t>
      </w:r>
      <w:r w:rsidRPr="004C79FC">
        <w:rPr>
          <w:vertAlign w:val="subscript"/>
        </w:rPr>
        <w:t>2</w:t>
      </w:r>
      <w:r w:rsidRPr="004C79FC">
        <w:t xml:space="preserve"> </w:t>
      </w:r>
      <w:r w:rsidR="008D574D">
        <w:t>s</w:t>
      </w:r>
      <w:r w:rsidRPr="004C79FC">
        <w:t xml:space="preserve">torage </w:t>
      </w:r>
      <w:r w:rsidR="008D574D">
        <w:t>s</w:t>
      </w:r>
      <w:r w:rsidRPr="004C79FC">
        <w:t xml:space="preserve">ite) and in </w:t>
      </w:r>
      <w:r w:rsidR="008D574D">
        <w:t>light</w:t>
      </w:r>
      <w:r w:rsidR="00BF2014" w:rsidRPr="004C79FC">
        <w:t xml:space="preserve"> blue</w:t>
      </w:r>
      <w:r w:rsidRPr="004C79FC">
        <w:t xml:space="preserve"> (East Mey </w:t>
      </w:r>
      <w:r w:rsidR="00A86B85">
        <w:t xml:space="preserve">storage </w:t>
      </w:r>
      <w:r w:rsidR="008D574D">
        <w:t>s</w:t>
      </w:r>
      <w:r w:rsidRPr="004C79FC">
        <w:t>ite). The main re-usable infrastructure is also shown, including the three pipelines which could be re-used for CO</w:t>
      </w:r>
      <w:r w:rsidRPr="004C79FC">
        <w:rPr>
          <w:vertAlign w:val="subscript"/>
        </w:rPr>
        <w:t>2</w:t>
      </w:r>
      <w:r w:rsidRPr="004C79FC">
        <w:t xml:space="preserve"> transport (Miller Gas System Pipeline</w:t>
      </w:r>
      <w:r w:rsidR="008D574D">
        <w:t xml:space="preserve"> in green</w:t>
      </w:r>
      <w:r w:rsidRPr="004C79FC">
        <w:t>; Atlantic Pipeline</w:t>
      </w:r>
      <w:r w:rsidR="008D574D">
        <w:t xml:space="preserve"> in </w:t>
      </w:r>
      <w:r w:rsidR="00D53F4D">
        <w:t>blue</w:t>
      </w:r>
      <w:r w:rsidRPr="004C79FC">
        <w:t xml:space="preserve"> and Goldeneye Pipeline</w:t>
      </w:r>
      <w:r w:rsidR="008D574D">
        <w:t xml:space="preserve"> in orange</w:t>
      </w:r>
      <w:r w:rsidRPr="004C79FC">
        <w:t>), the St Fergus gas terminal and Peterhead Harbour</w:t>
      </w:r>
      <w:r w:rsidR="00BF2014" w:rsidRPr="004C79FC">
        <w:t>.</w:t>
      </w:r>
    </w:p>
    <w:p w14:paraId="0F588AD9" w14:textId="6119AD6B" w:rsidR="004F3EF3" w:rsidRPr="004C79FC" w:rsidRDefault="005374A8" w:rsidP="008F550A">
      <w:pPr>
        <w:spacing w:after="240" w:line="240" w:lineRule="auto"/>
        <w:rPr>
          <w:rFonts w:cstheme="minorHAnsi"/>
        </w:rPr>
      </w:pPr>
      <w:r>
        <w:rPr>
          <w:rFonts w:cstheme="minorHAnsi"/>
        </w:rPr>
        <w:t xml:space="preserve">The development stages of Acorn have sought to surmount the challenges raised in Section 1 through a focus on building knowledge and capacity in a </w:t>
      </w:r>
      <w:r w:rsidR="00686516">
        <w:rPr>
          <w:rFonts w:cstheme="minorHAnsi"/>
        </w:rPr>
        <w:t>number of areas. These include (</w:t>
      </w:r>
      <w:r w:rsidR="00FD2F27" w:rsidRPr="004C79FC">
        <w:rPr>
          <w:rFonts w:cstheme="minorHAnsi"/>
        </w:rPr>
        <w:t>a) produc</w:t>
      </w:r>
      <w:r w:rsidR="00E40E70" w:rsidRPr="004C79FC">
        <w:rPr>
          <w:rFonts w:cstheme="minorHAnsi"/>
        </w:rPr>
        <w:t>ing</w:t>
      </w:r>
      <w:r w:rsidR="00FD2F27" w:rsidRPr="004C79FC">
        <w:rPr>
          <w:rFonts w:cstheme="minorHAnsi"/>
        </w:rPr>
        <w:t xml:space="preserve"> a costed technical development plan for a full-chain CCS hub </w:t>
      </w:r>
      <w:r w:rsidR="00686516">
        <w:rPr>
          <w:rFonts w:cstheme="minorHAnsi"/>
        </w:rPr>
        <w:t xml:space="preserve">based on emissions from the St Fergus Gas Terminal and </w:t>
      </w:r>
      <w:r w:rsidR="00CC6E53">
        <w:rPr>
          <w:rFonts w:cstheme="minorHAnsi"/>
        </w:rPr>
        <w:t xml:space="preserve">storage in </w:t>
      </w:r>
      <w:r w:rsidR="00686516">
        <w:rPr>
          <w:rFonts w:cstheme="minorHAnsi"/>
        </w:rPr>
        <w:t xml:space="preserve">North Sea </w:t>
      </w:r>
      <w:r w:rsidR="00CC6E53">
        <w:rPr>
          <w:rFonts w:cstheme="minorHAnsi"/>
        </w:rPr>
        <w:t>reservoirs</w:t>
      </w:r>
      <w:r w:rsidR="00FD2F27" w:rsidRPr="004C79FC">
        <w:rPr>
          <w:rFonts w:cstheme="minorHAnsi"/>
        </w:rPr>
        <w:t>; (b) identify</w:t>
      </w:r>
      <w:r w:rsidR="00E40E70" w:rsidRPr="004C79FC">
        <w:rPr>
          <w:rFonts w:cstheme="minorHAnsi"/>
        </w:rPr>
        <w:t>ing</w:t>
      </w:r>
      <w:r w:rsidR="00FD2F27" w:rsidRPr="004C79FC">
        <w:rPr>
          <w:rFonts w:cstheme="minorHAnsi"/>
        </w:rPr>
        <w:t xml:space="preserve"> technical options to increase efficiency of the selected storage site </w:t>
      </w:r>
      <w:r w:rsidR="00853680">
        <w:rPr>
          <w:rFonts w:cstheme="minorHAnsi"/>
        </w:rPr>
        <w:t>through</w:t>
      </w:r>
      <w:r w:rsidR="00FD2F27" w:rsidRPr="004C79FC">
        <w:rPr>
          <w:rFonts w:cstheme="minorHAnsi"/>
        </w:rPr>
        <w:t xml:space="preserve"> geomechanical experiment</w:t>
      </w:r>
      <w:r w:rsidR="00853680">
        <w:rPr>
          <w:rFonts w:cstheme="minorHAnsi"/>
        </w:rPr>
        <w:t>ation</w:t>
      </w:r>
      <w:r w:rsidR="00FD2F27" w:rsidRPr="004C79FC">
        <w:rPr>
          <w:rFonts w:cstheme="minorHAnsi"/>
        </w:rPr>
        <w:t xml:space="preserve"> and dynamic CO</w:t>
      </w:r>
      <w:r w:rsidR="00FD2F27" w:rsidRPr="004C79FC">
        <w:rPr>
          <w:rFonts w:cstheme="minorHAnsi"/>
          <w:vertAlign w:val="subscript"/>
        </w:rPr>
        <w:t>2</w:t>
      </w:r>
      <w:r w:rsidR="00FD2F27" w:rsidRPr="004C79FC">
        <w:rPr>
          <w:rFonts w:cstheme="minorHAnsi"/>
        </w:rPr>
        <w:t xml:space="preserve"> flow modelling;</w:t>
      </w:r>
      <w:r w:rsidR="00D21FEE" w:rsidRPr="004C79FC">
        <w:rPr>
          <w:rFonts w:cstheme="minorHAnsi"/>
        </w:rPr>
        <w:t xml:space="preserve"> (c) investigating </w:t>
      </w:r>
      <w:r w:rsidR="00062509" w:rsidRPr="004C79FC">
        <w:rPr>
          <w:rFonts w:cstheme="minorHAnsi"/>
        </w:rPr>
        <w:t>available</w:t>
      </w:r>
      <w:r w:rsidR="00D21FEE" w:rsidRPr="004C79FC">
        <w:rPr>
          <w:rFonts w:cstheme="minorHAnsi"/>
        </w:rPr>
        <w:t xml:space="preserve"> </w:t>
      </w:r>
      <w:r w:rsidR="000179FB" w:rsidRPr="004C79FC">
        <w:rPr>
          <w:rFonts w:cstheme="minorHAnsi"/>
        </w:rPr>
        <w:t xml:space="preserve">infrastructure </w:t>
      </w:r>
      <w:r w:rsidR="00D21FEE" w:rsidRPr="004C79FC">
        <w:rPr>
          <w:rFonts w:cstheme="minorHAnsi"/>
        </w:rPr>
        <w:t xml:space="preserve">re-use options </w:t>
      </w:r>
      <w:r w:rsidR="00062509" w:rsidRPr="004C79FC">
        <w:rPr>
          <w:rFonts w:cstheme="minorHAnsi"/>
        </w:rPr>
        <w:t xml:space="preserve">to reduce capital expense; </w:t>
      </w:r>
      <w:r w:rsidR="00FD2F27" w:rsidRPr="004C79FC">
        <w:rPr>
          <w:rFonts w:cstheme="minorHAnsi"/>
        </w:rPr>
        <w:t>(</w:t>
      </w:r>
      <w:r w:rsidR="00062509" w:rsidRPr="004C79FC">
        <w:rPr>
          <w:rFonts w:cstheme="minorHAnsi"/>
        </w:rPr>
        <w:t>d</w:t>
      </w:r>
      <w:r w:rsidR="00FD2F27" w:rsidRPr="004C79FC">
        <w:rPr>
          <w:rFonts w:cstheme="minorHAnsi"/>
        </w:rPr>
        <w:t>) explor</w:t>
      </w:r>
      <w:r w:rsidR="00E40E70" w:rsidRPr="004C79FC">
        <w:rPr>
          <w:rFonts w:cstheme="minorHAnsi"/>
        </w:rPr>
        <w:t>ing</w:t>
      </w:r>
      <w:r w:rsidR="00FD2F27" w:rsidRPr="004C79FC">
        <w:rPr>
          <w:rFonts w:cstheme="minorHAnsi"/>
        </w:rPr>
        <w:t xml:space="preserve"> build-out options, including interconnections to the nearby Peterhead Port</w:t>
      </w:r>
      <w:r w:rsidR="00E40E70" w:rsidRPr="004C79FC">
        <w:rPr>
          <w:rFonts w:cstheme="minorHAnsi"/>
        </w:rPr>
        <w:t xml:space="preserve"> and</w:t>
      </w:r>
      <w:r w:rsidR="00FD2F27" w:rsidRPr="004C79FC">
        <w:rPr>
          <w:rFonts w:cstheme="minorHAnsi"/>
        </w:rPr>
        <w:t xml:space="preserve"> </w:t>
      </w:r>
      <w:r w:rsidR="00703878" w:rsidRPr="004C79FC">
        <w:rPr>
          <w:rFonts w:cstheme="minorHAnsi"/>
        </w:rPr>
        <w:t xml:space="preserve">to </w:t>
      </w:r>
      <w:r w:rsidR="00FD2F27" w:rsidRPr="004C79FC">
        <w:rPr>
          <w:rFonts w:cstheme="minorHAnsi"/>
        </w:rPr>
        <w:t>other large sources of CO</w:t>
      </w:r>
      <w:r w:rsidR="00FD2F27" w:rsidRPr="004C79FC">
        <w:rPr>
          <w:rFonts w:cstheme="minorHAnsi"/>
          <w:vertAlign w:val="subscript"/>
        </w:rPr>
        <w:t>2</w:t>
      </w:r>
      <w:r w:rsidR="00FD2F27" w:rsidRPr="004C79FC">
        <w:rPr>
          <w:rFonts w:cstheme="minorHAnsi"/>
        </w:rPr>
        <w:t xml:space="preserve"> emissions in the UK; (</w:t>
      </w:r>
      <w:r w:rsidR="00062509" w:rsidRPr="004C79FC">
        <w:rPr>
          <w:rFonts w:cstheme="minorHAnsi"/>
        </w:rPr>
        <w:t>e</w:t>
      </w:r>
      <w:r w:rsidR="00FD2F27" w:rsidRPr="004C79FC">
        <w:rPr>
          <w:rFonts w:cstheme="minorHAnsi"/>
        </w:rPr>
        <w:t>) identify</w:t>
      </w:r>
      <w:r w:rsidR="00E40E70" w:rsidRPr="004C79FC">
        <w:rPr>
          <w:rFonts w:cstheme="minorHAnsi"/>
        </w:rPr>
        <w:t>ing</w:t>
      </w:r>
      <w:r w:rsidR="00FD2F27" w:rsidRPr="004C79FC">
        <w:rPr>
          <w:rFonts w:cstheme="minorHAnsi"/>
        </w:rPr>
        <w:t xml:space="preserve"> other potential locations for CCS hubs around the North Sea regions </w:t>
      </w:r>
      <w:r w:rsidR="00897D0F">
        <w:rPr>
          <w:rFonts w:cstheme="minorHAnsi"/>
        </w:rPr>
        <w:t xml:space="preserve">for future collaboration and/or knowledge-sharing; </w:t>
      </w:r>
      <w:r w:rsidR="004C79FC" w:rsidRPr="004C79FC">
        <w:rPr>
          <w:rFonts w:cstheme="minorHAnsi"/>
        </w:rPr>
        <w:t xml:space="preserve">and </w:t>
      </w:r>
      <w:r w:rsidR="00FD2F27" w:rsidRPr="004C79FC">
        <w:rPr>
          <w:rFonts w:cstheme="minorHAnsi"/>
        </w:rPr>
        <w:t>(</w:t>
      </w:r>
      <w:r w:rsidR="00062509" w:rsidRPr="004C79FC">
        <w:rPr>
          <w:rFonts w:cstheme="minorHAnsi"/>
        </w:rPr>
        <w:t>f</w:t>
      </w:r>
      <w:r w:rsidR="00FD2F27" w:rsidRPr="004C79FC">
        <w:rPr>
          <w:rFonts w:cstheme="minorHAnsi"/>
        </w:rPr>
        <w:t>) investigat</w:t>
      </w:r>
      <w:r w:rsidR="00E40E70" w:rsidRPr="004C79FC">
        <w:rPr>
          <w:rFonts w:cstheme="minorHAnsi"/>
        </w:rPr>
        <w:t>ing</w:t>
      </w:r>
      <w:r w:rsidR="00FD2F27" w:rsidRPr="004C79FC">
        <w:rPr>
          <w:rFonts w:cstheme="minorHAnsi"/>
        </w:rPr>
        <w:t xml:space="preserve"> </w:t>
      </w:r>
      <w:r w:rsidR="00854082">
        <w:rPr>
          <w:rFonts w:cstheme="minorHAnsi"/>
        </w:rPr>
        <w:t xml:space="preserve">framing and messaging to position </w:t>
      </w:r>
      <w:r w:rsidR="00854082">
        <w:rPr>
          <w:rFonts w:cstheme="minorHAnsi"/>
        </w:rPr>
        <w:lastRenderedPageBreak/>
        <w:t>CCS within rising awareness of the need for just transitions for workforces in carbon-intensive regions</w:t>
      </w:r>
      <w:r w:rsidR="00FD2F27" w:rsidRPr="004C79FC">
        <w:rPr>
          <w:rFonts w:cstheme="minorHAnsi"/>
        </w:rPr>
        <w:t>.</w:t>
      </w:r>
      <w:r w:rsidR="00D837ED">
        <w:rPr>
          <w:rFonts w:cstheme="minorHAnsi"/>
        </w:rPr>
        <w:t xml:space="preserve"> </w:t>
      </w:r>
      <w:r w:rsidR="00235F59" w:rsidRPr="004C79FC">
        <w:rPr>
          <w:rFonts w:cstheme="minorHAnsi"/>
        </w:rPr>
        <w:t>An outline of these objectives and their interrelations is shown in Figure 2.</w:t>
      </w:r>
    </w:p>
    <w:p w14:paraId="1230AF62" w14:textId="5C8645A4" w:rsidR="00B053E2" w:rsidRPr="004C79FC" w:rsidRDefault="00F02EF4" w:rsidP="008F550A">
      <w:pPr>
        <w:keepNext/>
        <w:spacing w:after="240" w:line="240" w:lineRule="auto"/>
      </w:pPr>
      <w:r>
        <w:rPr>
          <w:noProof/>
          <w:lang w:val="es-ES" w:eastAsia="es-ES"/>
        </w:rPr>
        <w:drawing>
          <wp:inline distT="0" distB="0" distL="0" distR="0" wp14:anchorId="7986A8AD" wp14:editId="5444AA5C">
            <wp:extent cx="6645910" cy="29343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2934335"/>
                    </a:xfrm>
                    <a:prstGeom prst="rect">
                      <a:avLst/>
                    </a:prstGeom>
                  </pic:spPr>
                </pic:pic>
              </a:graphicData>
            </a:graphic>
          </wp:inline>
        </w:drawing>
      </w:r>
    </w:p>
    <w:p w14:paraId="70C4F09B" w14:textId="072C7931" w:rsidR="00B053E2" w:rsidRPr="004C79FC" w:rsidRDefault="00B053E2" w:rsidP="008F550A">
      <w:pPr>
        <w:pStyle w:val="Caption"/>
        <w:spacing w:after="240"/>
        <w:rPr>
          <w:rFonts w:cstheme="minorHAnsi"/>
        </w:rPr>
      </w:pPr>
      <w:r w:rsidRPr="004C79FC">
        <w:t xml:space="preserve">Figure </w:t>
      </w:r>
      <w:r w:rsidR="00E6280B" w:rsidRPr="00D53F4D">
        <w:fldChar w:fldCharType="begin"/>
      </w:r>
      <w:r w:rsidRPr="00D53F4D">
        <w:instrText xml:space="preserve"> SEQ Figure \* ARABIC </w:instrText>
      </w:r>
      <w:r w:rsidR="00E6280B" w:rsidRPr="00D53F4D">
        <w:fldChar w:fldCharType="separate"/>
      </w:r>
      <w:r w:rsidR="000770A4">
        <w:rPr>
          <w:noProof/>
        </w:rPr>
        <w:t>2</w:t>
      </w:r>
      <w:r w:rsidR="00E6280B" w:rsidRPr="00D53F4D">
        <w:fldChar w:fldCharType="end"/>
      </w:r>
      <w:r w:rsidRPr="004C79FC">
        <w:t xml:space="preserve">: </w:t>
      </w:r>
      <w:r w:rsidR="00F02EF4">
        <w:t>Key elements</w:t>
      </w:r>
      <w:r w:rsidR="009D15FF" w:rsidRPr="004C79FC">
        <w:t xml:space="preserve"> employed to address</w:t>
      </w:r>
      <w:r w:rsidR="00B51088" w:rsidRPr="004C79FC">
        <w:t xml:space="preserve"> the objectives of</w:t>
      </w:r>
      <w:r w:rsidR="009D15FF" w:rsidRPr="004C79FC">
        <w:t xml:space="preserve"> cost reduction and</w:t>
      </w:r>
      <w:r w:rsidR="00076700">
        <w:t xml:space="preserve"> (political, societal and stakeholder)</w:t>
      </w:r>
      <w:r w:rsidR="009D15FF" w:rsidRPr="004C79FC">
        <w:t xml:space="preserve"> </w:t>
      </w:r>
      <w:r w:rsidR="0078068B" w:rsidRPr="004C79FC">
        <w:t>project support</w:t>
      </w:r>
      <w:r w:rsidR="009D15FF" w:rsidRPr="004C79FC">
        <w:t>,</w:t>
      </w:r>
      <w:r w:rsidR="00FA1BB4" w:rsidRPr="004C79FC">
        <w:t xml:space="preserve"> </w:t>
      </w:r>
      <w:r w:rsidR="009D15FF" w:rsidRPr="004C79FC">
        <w:t>deemed</w:t>
      </w:r>
      <w:r w:rsidR="00FA1BB4" w:rsidRPr="004C79FC">
        <w:t xml:space="preserve"> </w:t>
      </w:r>
      <w:r w:rsidRPr="004C79FC">
        <w:t>critical for the development of a successful CCS project.</w:t>
      </w:r>
    </w:p>
    <w:p w14:paraId="2E3233BB" w14:textId="58AD259A" w:rsidR="00CA7556" w:rsidRDefault="00CA7556">
      <w:pPr>
        <w:pStyle w:val="ListParagraph"/>
        <w:numPr>
          <w:ilvl w:val="0"/>
          <w:numId w:val="32"/>
        </w:numPr>
        <w:spacing w:after="240" w:line="240" w:lineRule="auto"/>
        <w:rPr>
          <w:rFonts w:cstheme="minorHAnsi"/>
          <w:b/>
        </w:rPr>
      </w:pPr>
      <w:r>
        <w:rPr>
          <w:rFonts w:cstheme="minorHAnsi"/>
          <w:b/>
        </w:rPr>
        <w:t>Method</w:t>
      </w:r>
    </w:p>
    <w:p w14:paraId="2D4CA9DD" w14:textId="0A82F577" w:rsidR="00266F0C" w:rsidRDefault="00CA7556" w:rsidP="00E32D53">
      <w:pPr>
        <w:spacing w:after="240" w:line="240" w:lineRule="auto"/>
        <w:rPr>
          <w:rFonts w:cstheme="minorHAnsi"/>
        </w:rPr>
      </w:pPr>
      <w:r>
        <w:rPr>
          <w:rFonts w:cstheme="minorHAnsi"/>
        </w:rPr>
        <w:t>This paper is based on synthesis of publicly-available outputs from the first phase of the Acorn project</w:t>
      </w:r>
      <w:r w:rsidR="0046329C">
        <w:rPr>
          <w:rFonts w:cstheme="minorHAnsi"/>
        </w:rPr>
        <w:t xml:space="preserve"> – specifically, the </w:t>
      </w:r>
      <w:r w:rsidR="004B1664">
        <w:rPr>
          <w:rFonts w:cstheme="minorHAnsi"/>
        </w:rPr>
        <w:t xml:space="preserve">phase moving the project from proof-of-concept through to design studies, funded through the European Union’s ERA-NET </w:t>
      </w:r>
      <w:r w:rsidR="00AA1868" w:rsidRPr="000F27C7">
        <w:t>Accelerating CCS Technologies (ACT) programme</w:t>
      </w:r>
      <w:r w:rsidR="00266F0C">
        <w:rPr>
          <w:rFonts w:cstheme="minorHAnsi"/>
        </w:rPr>
        <w:t xml:space="preserve">. As a case study for the management of CCS research, development and deployment, the </w:t>
      </w:r>
      <w:r w:rsidR="00AA1868">
        <w:rPr>
          <w:rFonts w:cstheme="minorHAnsi"/>
        </w:rPr>
        <w:t xml:space="preserve">ACT </w:t>
      </w:r>
      <w:r w:rsidR="00266F0C">
        <w:rPr>
          <w:rFonts w:cstheme="minorHAnsi"/>
        </w:rPr>
        <w:t xml:space="preserve">Acorn project is valuable and significant for two reasons. Firstly, </w:t>
      </w:r>
      <w:r w:rsidR="00C0242F">
        <w:rPr>
          <w:rFonts w:cstheme="minorHAnsi"/>
        </w:rPr>
        <w:t xml:space="preserve">as </w:t>
      </w:r>
      <w:r w:rsidR="001B62C2">
        <w:rPr>
          <w:rFonts w:cstheme="minorHAnsi"/>
        </w:rPr>
        <w:t xml:space="preserve">this phase of </w:t>
      </w:r>
      <w:r w:rsidR="00AA1868">
        <w:rPr>
          <w:rFonts w:cstheme="minorHAnsi"/>
        </w:rPr>
        <w:t xml:space="preserve">this project </w:t>
      </w:r>
      <w:r w:rsidR="00AE3806">
        <w:rPr>
          <w:rFonts w:cstheme="minorHAnsi"/>
        </w:rPr>
        <w:t>is s</w:t>
      </w:r>
      <w:r w:rsidR="00266F0C">
        <w:rPr>
          <w:rFonts w:cstheme="minorHAnsi"/>
        </w:rPr>
        <w:t>upported through public funds</w:t>
      </w:r>
      <w:r w:rsidR="00C0242F">
        <w:rPr>
          <w:rFonts w:cstheme="minorHAnsi"/>
        </w:rPr>
        <w:t xml:space="preserve">, the </w:t>
      </w:r>
      <w:r w:rsidR="00266F0C">
        <w:rPr>
          <w:rFonts w:cstheme="minorHAnsi"/>
        </w:rPr>
        <w:t>majority of underpinning research is publicly available</w:t>
      </w:r>
      <w:r w:rsidR="00C0242F">
        <w:rPr>
          <w:rFonts w:cstheme="minorHAnsi"/>
        </w:rPr>
        <w:t xml:space="preserve"> and hence ope</w:t>
      </w:r>
      <w:r w:rsidR="00734C16">
        <w:rPr>
          <w:rFonts w:cstheme="minorHAnsi"/>
        </w:rPr>
        <w:t>n to external scrutiny</w:t>
      </w:r>
      <w:r w:rsidR="00BF12A6">
        <w:rPr>
          <w:rFonts w:cstheme="minorHAnsi"/>
        </w:rPr>
        <w:t xml:space="preserve"> (see </w:t>
      </w:r>
      <w:hyperlink r:id="rId14" w:history="1">
        <w:r w:rsidR="00BF12A6" w:rsidRPr="007C5E46">
          <w:rPr>
            <w:rStyle w:val="Hyperlink"/>
            <w:rFonts w:cstheme="minorHAnsi"/>
          </w:rPr>
          <w:t>https://actacorn.eu/</w:t>
        </w:r>
      </w:hyperlink>
      <w:r w:rsidR="00BF12A6">
        <w:rPr>
          <w:rFonts w:cstheme="minorHAnsi"/>
        </w:rPr>
        <w:t>)</w:t>
      </w:r>
      <w:r w:rsidR="00734C16">
        <w:rPr>
          <w:rFonts w:cstheme="minorHAnsi"/>
        </w:rPr>
        <w:t xml:space="preserve">. Secondly, </w:t>
      </w:r>
      <w:r w:rsidR="008B2D69">
        <w:rPr>
          <w:rFonts w:cstheme="minorHAnsi"/>
        </w:rPr>
        <w:t xml:space="preserve">unlike other large research-driven CCS initiatives where outputs are publicly available </w:t>
      </w:r>
      <w:r w:rsidR="008B2D69" w:rsidRPr="00B272D9">
        <w:rPr>
          <w:rFonts w:cstheme="minorHAnsi"/>
        </w:rPr>
        <w:t xml:space="preserve">(e.g. ECO2, </w:t>
      </w:r>
      <w:hyperlink r:id="rId15" w:history="1">
        <w:r w:rsidR="00B272D9" w:rsidRPr="00B272D9">
          <w:rPr>
            <w:rStyle w:val="Hyperlink"/>
            <w:rFonts w:cstheme="minorHAnsi"/>
          </w:rPr>
          <w:t>www.eco2-project.eu</w:t>
        </w:r>
      </w:hyperlink>
      <w:r w:rsidR="00B272D9" w:rsidRPr="00B272D9">
        <w:rPr>
          <w:rFonts w:cstheme="minorHAnsi"/>
        </w:rPr>
        <w:t xml:space="preserve">; </w:t>
      </w:r>
      <w:r w:rsidR="008B2D69" w:rsidRPr="00B272D9">
        <w:rPr>
          <w:rFonts w:cstheme="minorHAnsi"/>
        </w:rPr>
        <w:t>SiteChar</w:t>
      </w:r>
      <w:r w:rsidR="00B272D9" w:rsidRPr="00B272D9">
        <w:rPr>
          <w:rFonts w:cstheme="minorHAnsi"/>
        </w:rPr>
        <w:t>,</w:t>
      </w:r>
      <w:r w:rsidR="00E1050C">
        <w:rPr>
          <w:rFonts w:cstheme="minorHAnsi"/>
        </w:rPr>
        <w:t xml:space="preserve"> Neele et al., 2013 - </w:t>
      </w:r>
      <w:hyperlink r:id="rId16" w:history="1">
        <w:r w:rsidR="00B272D9" w:rsidRPr="00B272D9">
          <w:rPr>
            <w:rStyle w:val="Hyperlink"/>
            <w:rFonts w:cstheme="minorHAnsi"/>
          </w:rPr>
          <w:t>www.sitechar-co2.eu</w:t>
        </w:r>
      </w:hyperlink>
      <w:r w:rsidR="008B2D69" w:rsidRPr="00B272D9">
        <w:rPr>
          <w:rFonts w:cstheme="minorHAnsi"/>
        </w:rPr>
        <w:t>)</w:t>
      </w:r>
      <w:r w:rsidR="00866D74" w:rsidRPr="00B272D9">
        <w:rPr>
          <w:rFonts w:cstheme="minorHAnsi"/>
        </w:rPr>
        <w:t>, the underpinning studies within Acorn are done</w:t>
      </w:r>
      <w:r w:rsidR="00866D74">
        <w:rPr>
          <w:rFonts w:cstheme="minorHAnsi"/>
        </w:rPr>
        <w:t xml:space="preserve"> with the explicit intention of moving CCS towards commercial deployment. </w:t>
      </w:r>
      <w:r w:rsidR="00AA1868">
        <w:rPr>
          <w:rFonts w:cstheme="minorHAnsi"/>
        </w:rPr>
        <w:t xml:space="preserve">ACT </w:t>
      </w:r>
      <w:r w:rsidR="00BF12A6">
        <w:rPr>
          <w:rFonts w:cstheme="minorHAnsi"/>
        </w:rPr>
        <w:t xml:space="preserve">Acorn hence represents a valuable opportunity to understand what can be learned from the research and development stages of a </w:t>
      </w:r>
      <w:r w:rsidR="005F4FD1">
        <w:rPr>
          <w:rFonts w:cstheme="minorHAnsi"/>
        </w:rPr>
        <w:t>commercially focused</w:t>
      </w:r>
      <w:r w:rsidR="00BF12A6">
        <w:rPr>
          <w:rFonts w:cstheme="minorHAnsi"/>
        </w:rPr>
        <w:t xml:space="preserve"> CCS project</w:t>
      </w:r>
      <w:r w:rsidR="00277014">
        <w:rPr>
          <w:rFonts w:cstheme="minorHAnsi"/>
        </w:rPr>
        <w:t>.</w:t>
      </w:r>
    </w:p>
    <w:p w14:paraId="7807DCB3" w14:textId="345A90BC" w:rsidR="00277014" w:rsidRDefault="009B5C8C" w:rsidP="00E32D53">
      <w:pPr>
        <w:spacing w:after="240" w:line="240" w:lineRule="auto"/>
        <w:rPr>
          <w:rFonts w:cstheme="minorHAnsi"/>
        </w:rPr>
      </w:pPr>
      <w:r>
        <w:rPr>
          <w:rFonts w:cstheme="minorHAnsi"/>
        </w:rPr>
        <w:t xml:space="preserve">To assess the extent to which insights from the </w:t>
      </w:r>
      <w:r w:rsidR="00AA1868">
        <w:rPr>
          <w:rFonts w:cstheme="minorHAnsi"/>
        </w:rPr>
        <w:t xml:space="preserve">ACT </w:t>
      </w:r>
      <w:r>
        <w:rPr>
          <w:rFonts w:cstheme="minorHAnsi"/>
        </w:rPr>
        <w:t xml:space="preserve">Acorn outputs may progress the state-of-the-art or carry applicability beyond the </w:t>
      </w:r>
      <w:r w:rsidR="00DA6512">
        <w:rPr>
          <w:rFonts w:cstheme="minorHAnsi"/>
        </w:rPr>
        <w:t xml:space="preserve">context of one specific project, </w:t>
      </w:r>
      <w:r w:rsidR="00CC1DDB">
        <w:rPr>
          <w:rFonts w:cstheme="minorHAnsi"/>
        </w:rPr>
        <w:t xml:space="preserve">evaluation of the </w:t>
      </w:r>
      <w:r w:rsidR="00AA1868">
        <w:rPr>
          <w:rFonts w:cstheme="minorHAnsi"/>
        </w:rPr>
        <w:t xml:space="preserve">ACT </w:t>
      </w:r>
      <w:r w:rsidR="00CC1DDB">
        <w:rPr>
          <w:rFonts w:cstheme="minorHAnsi"/>
        </w:rPr>
        <w:t>Acorn findings was supplemented with a review of current scholarly and industrial literature on CCS</w:t>
      </w:r>
      <w:r w:rsidR="0098258C">
        <w:rPr>
          <w:rFonts w:cstheme="minorHAnsi"/>
        </w:rPr>
        <w:t xml:space="preserve">. The aim of </w:t>
      </w:r>
      <w:r w:rsidR="00786B4C">
        <w:rPr>
          <w:rFonts w:cstheme="minorHAnsi"/>
        </w:rPr>
        <w:t>this review</w:t>
      </w:r>
      <w:r w:rsidR="0098258C">
        <w:rPr>
          <w:rFonts w:cstheme="minorHAnsi"/>
        </w:rPr>
        <w:t xml:space="preserve"> was to understand where practices carried out within </w:t>
      </w:r>
      <w:r w:rsidR="00AA1868">
        <w:rPr>
          <w:rFonts w:cstheme="minorHAnsi"/>
        </w:rPr>
        <w:t xml:space="preserve">ACT </w:t>
      </w:r>
      <w:r w:rsidR="0098258C">
        <w:rPr>
          <w:rFonts w:cstheme="minorHAnsi"/>
        </w:rPr>
        <w:t>Acorn may differ to t</w:t>
      </w:r>
      <w:r w:rsidR="00FA1643">
        <w:rPr>
          <w:rFonts w:cstheme="minorHAnsi"/>
        </w:rPr>
        <w:t xml:space="preserve">hose utilised elsewhere, and also to identify where actions undertaken within the research and development phase of Acorn </w:t>
      </w:r>
      <w:r w:rsidR="00BF7240">
        <w:rPr>
          <w:rFonts w:cstheme="minorHAnsi"/>
        </w:rPr>
        <w:t>could be improved in future deployment.</w:t>
      </w:r>
    </w:p>
    <w:p w14:paraId="1F39DD9E" w14:textId="329354D8" w:rsidR="00711876" w:rsidRDefault="00711876" w:rsidP="00E32D53">
      <w:pPr>
        <w:spacing w:after="240" w:line="240" w:lineRule="auto"/>
        <w:rPr>
          <w:rFonts w:cstheme="minorHAnsi"/>
        </w:rPr>
      </w:pPr>
      <w:r>
        <w:rPr>
          <w:rFonts w:cstheme="minorHAnsi"/>
        </w:rPr>
        <w:t xml:space="preserve">Through this synthesis and evaluation work, four broad themes of learning were identified within </w:t>
      </w:r>
      <w:r w:rsidR="00AA1868">
        <w:rPr>
          <w:rFonts w:cstheme="minorHAnsi"/>
        </w:rPr>
        <w:t xml:space="preserve">ACT </w:t>
      </w:r>
      <w:r>
        <w:rPr>
          <w:rFonts w:cstheme="minorHAnsi"/>
        </w:rPr>
        <w:t>Acorn</w:t>
      </w:r>
      <w:r w:rsidR="00786B4C">
        <w:rPr>
          <w:rFonts w:cstheme="minorHAnsi"/>
        </w:rPr>
        <w:t>: i</w:t>
      </w:r>
      <w:r>
        <w:rPr>
          <w:rFonts w:cstheme="minorHAnsi"/>
        </w:rPr>
        <w:t>nfrastructure re-use; storage development plan design; low-carbon build-out; and the framing of CCS within a just transition.</w:t>
      </w:r>
      <w:r w:rsidR="00E92855">
        <w:rPr>
          <w:rFonts w:cstheme="minorHAnsi"/>
        </w:rPr>
        <w:t xml:space="preserve"> Each of these is now evaluated in turn</w:t>
      </w:r>
      <w:r w:rsidR="001120BF">
        <w:rPr>
          <w:rFonts w:cstheme="minorHAnsi"/>
        </w:rPr>
        <w:t>.</w:t>
      </w:r>
    </w:p>
    <w:p w14:paraId="2E86AE7C" w14:textId="77777777" w:rsidR="00D22EDD" w:rsidRDefault="00D22EDD" w:rsidP="00CC6E53">
      <w:pPr>
        <w:pStyle w:val="ListParagraph"/>
        <w:spacing w:after="240" w:line="240" w:lineRule="auto"/>
        <w:rPr>
          <w:rFonts w:cstheme="minorHAnsi"/>
          <w:b/>
        </w:rPr>
      </w:pPr>
    </w:p>
    <w:p w14:paraId="54FE54A2" w14:textId="545DD379" w:rsidR="00A51F4B" w:rsidRPr="00D53F4D" w:rsidRDefault="004454C3" w:rsidP="008F550A">
      <w:pPr>
        <w:pStyle w:val="ListParagraph"/>
        <w:numPr>
          <w:ilvl w:val="0"/>
          <w:numId w:val="32"/>
        </w:numPr>
        <w:spacing w:after="240" w:line="240" w:lineRule="auto"/>
        <w:rPr>
          <w:rFonts w:cstheme="minorHAnsi"/>
          <w:b/>
        </w:rPr>
      </w:pPr>
      <w:r w:rsidRPr="00D53F4D">
        <w:rPr>
          <w:rFonts w:cstheme="minorHAnsi"/>
          <w:b/>
        </w:rPr>
        <w:t xml:space="preserve">Infrastructure </w:t>
      </w:r>
      <w:r w:rsidR="009A30EC" w:rsidRPr="00D53F4D">
        <w:rPr>
          <w:rFonts w:cstheme="minorHAnsi"/>
          <w:b/>
        </w:rPr>
        <w:t>re-use</w:t>
      </w:r>
    </w:p>
    <w:p w14:paraId="3C01AB0F" w14:textId="6463E998" w:rsidR="009626CD" w:rsidRPr="004C79FC" w:rsidRDefault="00603FAC" w:rsidP="008F550A">
      <w:pPr>
        <w:spacing w:after="240" w:line="240" w:lineRule="auto"/>
        <w:rPr>
          <w:rFonts w:cstheme="minorHAnsi"/>
        </w:rPr>
      </w:pPr>
      <w:bookmarkStart w:id="1" w:name="_Hlk528758478"/>
      <w:r>
        <w:rPr>
          <w:rFonts w:cstheme="minorHAnsi"/>
        </w:rPr>
        <w:t xml:space="preserve">The first area of learning from </w:t>
      </w:r>
      <w:r w:rsidR="00AA1868">
        <w:rPr>
          <w:rFonts w:cstheme="minorHAnsi"/>
        </w:rPr>
        <w:t xml:space="preserve">ACT </w:t>
      </w:r>
      <w:r>
        <w:rPr>
          <w:rFonts w:cstheme="minorHAnsi"/>
        </w:rPr>
        <w:t xml:space="preserve">Acorn which may have wider CCS applicability is that of infrastructure re-use. </w:t>
      </w:r>
      <w:r w:rsidR="009626CD" w:rsidRPr="004C79FC">
        <w:rPr>
          <w:rFonts w:cstheme="minorHAnsi"/>
        </w:rPr>
        <w:t xml:space="preserve">As oil and gas fields come to the end of their </w:t>
      </w:r>
      <w:r w:rsidR="00FA1BB4" w:rsidRPr="004C79FC">
        <w:rPr>
          <w:rFonts w:cstheme="minorHAnsi"/>
        </w:rPr>
        <w:t xml:space="preserve">economic </w:t>
      </w:r>
      <w:r w:rsidR="009626CD" w:rsidRPr="004C79FC">
        <w:rPr>
          <w:rFonts w:cstheme="minorHAnsi"/>
        </w:rPr>
        <w:t>li</w:t>
      </w:r>
      <w:r w:rsidR="00215ACB" w:rsidRPr="004C79FC">
        <w:rPr>
          <w:rFonts w:cstheme="minorHAnsi"/>
        </w:rPr>
        <w:t>fetim</w:t>
      </w:r>
      <w:r w:rsidR="009626CD" w:rsidRPr="004C79FC">
        <w:rPr>
          <w:rFonts w:cstheme="minorHAnsi"/>
        </w:rPr>
        <w:t xml:space="preserve">es and infrastructure is no longer required for its original use, they are </w:t>
      </w:r>
      <w:r w:rsidR="00CD7125">
        <w:rPr>
          <w:rFonts w:cstheme="minorHAnsi"/>
        </w:rPr>
        <w:t>planned</w:t>
      </w:r>
      <w:r w:rsidR="00CD7125" w:rsidRPr="004C79FC">
        <w:rPr>
          <w:rFonts w:cstheme="minorHAnsi"/>
        </w:rPr>
        <w:t xml:space="preserve"> </w:t>
      </w:r>
      <w:r w:rsidR="009626CD" w:rsidRPr="004C79FC">
        <w:rPr>
          <w:rFonts w:cstheme="minorHAnsi"/>
        </w:rPr>
        <w:t>for decommissioning</w:t>
      </w:r>
      <w:r w:rsidR="00FA1BB4" w:rsidRPr="004C79FC">
        <w:rPr>
          <w:rFonts w:cstheme="minorHAnsi"/>
        </w:rPr>
        <w:t xml:space="preserve"> and removal</w:t>
      </w:r>
      <w:r w:rsidR="009626CD" w:rsidRPr="004C79FC">
        <w:rPr>
          <w:rFonts w:cstheme="minorHAnsi"/>
        </w:rPr>
        <w:t xml:space="preserve">. </w:t>
      </w:r>
      <w:r w:rsidR="00CD7125">
        <w:rPr>
          <w:rFonts w:cstheme="minorHAnsi"/>
        </w:rPr>
        <w:t>H</w:t>
      </w:r>
      <w:r w:rsidR="00CD7125" w:rsidRPr="004C79FC">
        <w:rPr>
          <w:rFonts w:cstheme="minorHAnsi"/>
        </w:rPr>
        <w:t>owever</w:t>
      </w:r>
      <w:r w:rsidR="00CD7125">
        <w:rPr>
          <w:rFonts w:cstheme="minorHAnsi"/>
        </w:rPr>
        <w:t>,</w:t>
      </w:r>
      <w:r w:rsidR="00CD7125" w:rsidRPr="004C79FC">
        <w:rPr>
          <w:rFonts w:cstheme="minorHAnsi"/>
        </w:rPr>
        <w:t xml:space="preserve"> </w:t>
      </w:r>
      <w:r w:rsidR="00CD7125">
        <w:rPr>
          <w:rFonts w:cstheme="minorHAnsi"/>
        </w:rPr>
        <w:t>d</w:t>
      </w:r>
      <w:r w:rsidR="00CD7125" w:rsidRPr="004C79FC">
        <w:rPr>
          <w:rFonts w:cstheme="minorHAnsi"/>
        </w:rPr>
        <w:t>ecommissioning</w:t>
      </w:r>
      <w:r w:rsidR="00215ACB" w:rsidRPr="004C79FC">
        <w:rPr>
          <w:rFonts w:cstheme="minorHAnsi"/>
        </w:rPr>
        <w:t xml:space="preserve"> is expensive and de</w:t>
      </w:r>
      <w:r w:rsidR="007D37E9" w:rsidRPr="004C79FC">
        <w:rPr>
          <w:rFonts w:cstheme="minorHAnsi"/>
        </w:rPr>
        <w:t xml:space="preserve">veloping </w:t>
      </w:r>
      <w:r w:rsidR="00844D84" w:rsidRPr="004C79FC">
        <w:rPr>
          <w:rFonts w:cstheme="minorHAnsi"/>
        </w:rPr>
        <w:t xml:space="preserve">new </w:t>
      </w:r>
      <w:r w:rsidR="007D37E9" w:rsidRPr="004C79FC">
        <w:rPr>
          <w:rFonts w:cstheme="minorHAnsi"/>
        </w:rPr>
        <w:t>infrastructure for CO</w:t>
      </w:r>
      <w:r w:rsidR="007D37E9" w:rsidRPr="004C79FC">
        <w:rPr>
          <w:rFonts w:cstheme="minorHAnsi"/>
          <w:vertAlign w:val="subscript"/>
        </w:rPr>
        <w:t>2</w:t>
      </w:r>
      <w:r w:rsidR="007D37E9" w:rsidRPr="004C79FC">
        <w:rPr>
          <w:rFonts w:cstheme="minorHAnsi"/>
        </w:rPr>
        <w:t xml:space="preserve"> storage projects</w:t>
      </w:r>
      <w:r w:rsidR="00215ACB" w:rsidRPr="004C79FC">
        <w:rPr>
          <w:rFonts w:cstheme="minorHAnsi"/>
        </w:rPr>
        <w:t xml:space="preserve"> </w:t>
      </w:r>
      <w:r w:rsidR="007D37E9" w:rsidRPr="004C79FC">
        <w:rPr>
          <w:rFonts w:cstheme="minorHAnsi"/>
        </w:rPr>
        <w:t xml:space="preserve">is </w:t>
      </w:r>
      <w:r w:rsidR="00215ACB" w:rsidRPr="004C79FC">
        <w:rPr>
          <w:rFonts w:cstheme="minorHAnsi"/>
        </w:rPr>
        <w:t xml:space="preserve">also </w:t>
      </w:r>
      <w:r w:rsidR="007D37E9" w:rsidRPr="004C79FC">
        <w:rPr>
          <w:rFonts w:cstheme="minorHAnsi"/>
        </w:rPr>
        <w:t>capital</w:t>
      </w:r>
      <w:r w:rsidR="00CD7125">
        <w:rPr>
          <w:rFonts w:cstheme="minorHAnsi"/>
        </w:rPr>
        <w:t>-</w:t>
      </w:r>
      <w:r w:rsidR="007D37E9" w:rsidRPr="004C79FC">
        <w:rPr>
          <w:rFonts w:cstheme="minorHAnsi"/>
        </w:rPr>
        <w:t xml:space="preserve">intensive. </w:t>
      </w:r>
      <w:r w:rsidR="00E34283" w:rsidRPr="004C79FC">
        <w:rPr>
          <w:rFonts w:cstheme="minorHAnsi"/>
        </w:rPr>
        <w:t xml:space="preserve">The idea </w:t>
      </w:r>
      <w:r w:rsidR="00CD7125">
        <w:rPr>
          <w:rFonts w:cstheme="minorHAnsi"/>
        </w:rPr>
        <w:t>proposed</w:t>
      </w:r>
      <w:r w:rsidR="00CD7125" w:rsidRPr="004C79FC">
        <w:rPr>
          <w:rFonts w:cstheme="minorHAnsi"/>
        </w:rPr>
        <w:t xml:space="preserve"> </w:t>
      </w:r>
      <w:r w:rsidR="00E34283" w:rsidRPr="004C79FC">
        <w:rPr>
          <w:rFonts w:cstheme="minorHAnsi"/>
        </w:rPr>
        <w:t>by Acorn is that</w:t>
      </w:r>
      <w:r w:rsidR="004C79FC">
        <w:rPr>
          <w:rFonts w:cstheme="minorHAnsi"/>
        </w:rPr>
        <w:t xml:space="preserve"> </w:t>
      </w:r>
      <w:r w:rsidR="00896BBC" w:rsidRPr="004C79FC">
        <w:rPr>
          <w:rFonts w:cstheme="minorHAnsi"/>
        </w:rPr>
        <w:t xml:space="preserve">existing infrastructure </w:t>
      </w:r>
      <w:r w:rsidR="00E34283" w:rsidRPr="004C79FC">
        <w:rPr>
          <w:rFonts w:cstheme="minorHAnsi"/>
        </w:rPr>
        <w:t>sh</w:t>
      </w:r>
      <w:r w:rsidR="00896BBC" w:rsidRPr="004C79FC">
        <w:rPr>
          <w:rFonts w:cstheme="minorHAnsi"/>
        </w:rPr>
        <w:t>ould be re-purposed for transport and storage of CO</w:t>
      </w:r>
      <w:r w:rsidR="00896BBC" w:rsidRPr="004C79FC">
        <w:rPr>
          <w:rFonts w:cstheme="minorHAnsi"/>
          <w:vertAlign w:val="subscript"/>
        </w:rPr>
        <w:t>2</w:t>
      </w:r>
      <w:r w:rsidR="00E34283" w:rsidRPr="004C79FC">
        <w:rPr>
          <w:rFonts w:cstheme="minorHAnsi"/>
        </w:rPr>
        <w:t>.</w:t>
      </w:r>
      <w:r w:rsidR="00896BBC" w:rsidRPr="004C79FC">
        <w:rPr>
          <w:rFonts w:cstheme="minorHAnsi"/>
        </w:rPr>
        <w:t xml:space="preserve"> </w:t>
      </w:r>
      <w:r w:rsidR="009626CD" w:rsidRPr="004C79FC">
        <w:rPr>
          <w:rFonts w:cstheme="minorHAnsi"/>
        </w:rPr>
        <w:t xml:space="preserve">The </w:t>
      </w:r>
      <w:r w:rsidR="00D34032" w:rsidRPr="004C79FC">
        <w:rPr>
          <w:rFonts w:cstheme="minorHAnsi"/>
        </w:rPr>
        <w:t xml:space="preserve">selective </w:t>
      </w:r>
      <w:r w:rsidR="009A30EC" w:rsidRPr="004C79FC">
        <w:rPr>
          <w:rFonts w:cstheme="minorHAnsi"/>
        </w:rPr>
        <w:t>re-use</w:t>
      </w:r>
      <w:r w:rsidR="009626CD" w:rsidRPr="004C79FC">
        <w:rPr>
          <w:rFonts w:cstheme="minorHAnsi"/>
        </w:rPr>
        <w:t xml:space="preserve"> of legacy assets</w:t>
      </w:r>
      <w:r w:rsidR="00CD7125">
        <w:rPr>
          <w:rFonts w:cstheme="minorHAnsi"/>
        </w:rPr>
        <w:t>,</w:t>
      </w:r>
      <w:r w:rsidR="009626CD" w:rsidRPr="004C79FC">
        <w:rPr>
          <w:rFonts w:cstheme="minorHAnsi"/>
        </w:rPr>
        <w:t xml:space="preserve"> such as topsides</w:t>
      </w:r>
      <w:r w:rsidR="00FA1BB4" w:rsidRPr="004C79FC">
        <w:rPr>
          <w:rFonts w:cstheme="minorHAnsi"/>
        </w:rPr>
        <w:t xml:space="preserve"> (</w:t>
      </w:r>
      <w:r w:rsidR="00CD7125">
        <w:rPr>
          <w:rFonts w:cstheme="minorHAnsi"/>
        </w:rPr>
        <w:t xml:space="preserve">oil and gas </w:t>
      </w:r>
      <w:r w:rsidR="00FA1BB4" w:rsidRPr="004C79FC">
        <w:rPr>
          <w:rFonts w:cstheme="minorHAnsi"/>
        </w:rPr>
        <w:t>production platforms)</w:t>
      </w:r>
      <w:r w:rsidR="009626CD" w:rsidRPr="004C79FC">
        <w:rPr>
          <w:rFonts w:cstheme="minorHAnsi"/>
        </w:rPr>
        <w:t>, wells and pipelines</w:t>
      </w:r>
      <w:r w:rsidR="00CD7125">
        <w:rPr>
          <w:rFonts w:cstheme="minorHAnsi"/>
        </w:rPr>
        <w:t>,</w:t>
      </w:r>
      <w:r w:rsidR="009626CD" w:rsidRPr="004C79FC">
        <w:rPr>
          <w:rFonts w:cstheme="minorHAnsi"/>
        </w:rPr>
        <w:t xml:space="preserve"> can offer significant cost savings and </w:t>
      </w:r>
      <w:r w:rsidR="00CD7125">
        <w:rPr>
          <w:rFonts w:cstheme="minorHAnsi"/>
        </w:rPr>
        <w:t>this represents an</w:t>
      </w:r>
      <w:r w:rsidR="00CD7125" w:rsidRPr="004C79FC">
        <w:rPr>
          <w:rFonts w:cstheme="minorHAnsi"/>
        </w:rPr>
        <w:t xml:space="preserve"> </w:t>
      </w:r>
      <w:r w:rsidR="009626CD" w:rsidRPr="004C79FC">
        <w:rPr>
          <w:rFonts w:cstheme="minorHAnsi"/>
        </w:rPr>
        <w:t>efficient approach to fac</w:t>
      </w:r>
      <w:r w:rsidR="00896BBC" w:rsidRPr="004C79FC">
        <w:rPr>
          <w:rFonts w:cstheme="minorHAnsi"/>
        </w:rPr>
        <w:t>ilitat</w:t>
      </w:r>
      <w:r w:rsidR="00FA1BB4" w:rsidRPr="004C79FC">
        <w:rPr>
          <w:rFonts w:cstheme="minorHAnsi"/>
        </w:rPr>
        <w:t>e</w:t>
      </w:r>
      <w:r w:rsidR="00896BBC" w:rsidRPr="004C79FC">
        <w:rPr>
          <w:rFonts w:cstheme="minorHAnsi"/>
        </w:rPr>
        <w:t xml:space="preserve"> wider CCS deployment (</w:t>
      </w:r>
      <w:r w:rsidR="00030B31">
        <w:rPr>
          <w:rFonts w:cstheme="minorHAnsi"/>
        </w:rPr>
        <w:t xml:space="preserve">ZEP, 2011; </w:t>
      </w:r>
      <w:r w:rsidR="00896BBC" w:rsidRPr="004C79FC">
        <w:rPr>
          <w:rFonts w:cstheme="minorHAnsi"/>
        </w:rPr>
        <w:t>Gross, 2015; CCC, 2018)</w:t>
      </w:r>
      <w:r w:rsidR="009626CD" w:rsidRPr="004C79FC">
        <w:rPr>
          <w:rFonts w:cstheme="minorHAnsi"/>
        </w:rPr>
        <w:t>. Research</w:t>
      </w:r>
      <w:r w:rsidR="00896BBC" w:rsidRPr="004C79FC">
        <w:rPr>
          <w:rFonts w:cstheme="minorHAnsi"/>
        </w:rPr>
        <w:t xml:space="preserve"> </w:t>
      </w:r>
      <w:r w:rsidR="00E34283" w:rsidRPr="004C79FC">
        <w:rPr>
          <w:rFonts w:cstheme="minorHAnsi"/>
        </w:rPr>
        <w:t xml:space="preserve">by </w:t>
      </w:r>
      <w:r w:rsidR="00896BBC" w:rsidRPr="004C79FC">
        <w:rPr>
          <w:rFonts w:cstheme="minorHAnsi"/>
        </w:rPr>
        <w:t xml:space="preserve">the </w:t>
      </w:r>
      <w:r w:rsidR="00AA1868">
        <w:rPr>
          <w:rFonts w:cstheme="minorHAnsi"/>
        </w:rPr>
        <w:t>ACT Acorn</w:t>
      </w:r>
      <w:r w:rsidR="00896BBC" w:rsidRPr="004C79FC">
        <w:rPr>
          <w:rFonts w:cstheme="minorHAnsi"/>
        </w:rPr>
        <w:t xml:space="preserve"> project </w:t>
      </w:r>
      <w:r w:rsidR="004C79FC">
        <w:rPr>
          <w:rFonts w:cstheme="minorHAnsi"/>
        </w:rPr>
        <w:t xml:space="preserve">team </w:t>
      </w:r>
      <w:r w:rsidR="009626CD" w:rsidRPr="004C79FC">
        <w:rPr>
          <w:rFonts w:cstheme="minorHAnsi"/>
        </w:rPr>
        <w:t>show</w:t>
      </w:r>
      <w:r w:rsidR="00B24ED7" w:rsidRPr="004C79FC">
        <w:rPr>
          <w:rFonts w:cstheme="minorHAnsi"/>
        </w:rPr>
        <w:t>ed</w:t>
      </w:r>
      <w:r w:rsidR="009626CD" w:rsidRPr="004C79FC">
        <w:rPr>
          <w:rFonts w:cstheme="minorHAnsi"/>
        </w:rPr>
        <w:t xml:space="preserve"> that </w:t>
      </w:r>
      <w:r w:rsidR="00215ACB" w:rsidRPr="004C79FC">
        <w:rPr>
          <w:rFonts w:cstheme="minorHAnsi"/>
        </w:rPr>
        <w:t xml:space="preserve">the </w:t>
      </w:r>
      <w:r w:rsidR="009626CD" w:rsidRPr="004C79FC">
        <w:rPr>
          <w:rFonts w:cstheme="minorHAnsi"/>
        </w:rPr>
        <w:t xml:space="preserve">retention and </w:t>
      </w:r>
      <w:r w:rsidR="009A30EC" w:rsidRPr="004C79FC">
        <w:rPr>
          <w:rFonts w:cstheme="minorHAnsi"/>
        </w:rPr>
        <w:t>re-use</w:t>
      </w:r>
      <w:r w:rsidR="009626CD" w:rsidRPr="004C79FC">
        <w:rPr>
          <w:rFonts w:cstheme="minorHAnsi"/>
        </w:rPr>
        <w:t xml:space="preserve"> of </w:t>
      </w:r>
      <w:r w:rsidR="00215ACB" w:rsidRPr="004C79FC">
        <w:rPr>
          <w:rFonts w:cstheme="minorHAnsi"/>
        </w:rPr>
        <w:t>pipelines, and</w:t>
      </w:r>
      <w:r w:rsidR="00FA1BB4" w:rsidRPr="004C79FC">
        <w:rPr>
          <w:rFonts w:cstheme="minorHAnsi"/>
        </w:rPr>
        <w:t>,</w:t>
      </w:r>
      <w:r w:rsidR="00215ACB" w:rsidRPr="004C79FC">
        <w:rPr>
          <w:rFonts w:cstheme="minorHAnsi"/>
        </w:rPr>
        <w:t xml:space="preserve"> to a lesser </w:t>
      </w:r>
      <w:r w:rsidR="00FA1BB4" w:rsidRPr="004C79FC">
        <w:rPr>
          <w:rFonts w:cstheme="minorHAnsi"/>
        </w:rPr>
        <w:t xml:space="preserve">extent, </w:t>
      </w:r>
      <w:r w:rsidR="00215ACB" w:rsidRPr="004C79FC">
        <w:rPr>
          <w:rFonts w:cstheme="minorHAnsi"/>
        </w:rPr>
        <w:t xml:space="preserve">other </w:t>
      </w:r>
      <w:r w:rsidR="009626CD" w:rsidRPr="004C79FC">
        <w:rPr>
          <w:rFonts w:cstheme="minorHAnsi"/>
        </w:rPr>
        <w:t xml:space="preserve">existing </w:t>
      </w:r>
      <w:r w:rsidR="009626CD" w:rsidRPr="004C79FC">
        <w:rPr>
          <w:rFonts w:cstheme="minorHAnsi"/>
        </w:rPr>
        <w:lastRenderedPageBreak/>
        <w:t xml:space="preserve">infrastructure </w:t>
      </w:r>
      <w:r w:rsidR="00215ACB" w:rsidRPr="004C79FC">
        <w:rPr>
          <w:rFonts w:cstheme="minorHAnsi"/>
        </w:rPr>
        <w:t xml:space="preserve">such as platforms and wells, </w:t>
      </w:r>
      <w:r w:rsidR="009626CD" w:rsidRPr="004C79FC">
        <w:rPr>
          <w:rFonts w:cstheme="minorHAnsi"/>
        </w:rPr>
        <w:t>could significantly decrease the cost of CCS projects</w:t>
      </w:r>
      <w:r w:rsidR="004C79FC">
        <w:rPr>
          <w:rFonts w:cstheme="minorHAnsi"/>
        </w:rPr>
        <w:t>,</w:t>
      </w:r>
      <w:r w:rsidR="00215ACB" w:rsidRPr="004C79FC">
        <w:rPr>
          <w:rFonts w:cstheme="minorHAnsi"/>
        </w:rPr>
        <w:t xml:space="preserve"> </w:t>
      </w:r>
      <w:r w:rsidR="004C79FC" w:rsidRPr="00081089">
        <w:rPr>
          <w:rFonts w:cstheme="minorHAnsi"/>
        </w:rPr>
        <w:t xml:space="preserve">particularly </w:t>
      </w:r>
      <w:r w:rsidR="00215ACB" w:rsidRPr="004C79FC">
        <w:rPr>
          <w:rFonts w:cstheme="minorHAnsi"/>
        </w:rPr>
        <w:t xml:space="preserve">if </w:t>
      </w:r>
      <w:r w:rsidR="00FB2B04" w:rsidRPr="004C79FC">
        <w:rPr>
          <w:rFonts w:cstheme="minorHAnsi"/>
        </w:rPr>
        <w:t>th</w:t>
      </w:r>
      <w:r w:rsidR="00FB2B04">
        <w:rPr>
          <w:rFonts w:cstheme="minorHAnsi"/>
        </w:rPr>
        <w:t xml:space="preserve">at </w:t>
      </w:r>
      <w:r w:rsidR="004C79FC">
        <w:rPr>
          <w:rFonts w:cstheme="minorHAnsi"/>
        </w:rPr>
        <w:t>infrastructure is otherwise</w:t>
      </w:r>
      <w:r w:rsidR="00215ACB" w:rsidRPr="004C79FC">
        <w:rPr>
          <w:rFonts w:cstheme="minorHAnsi"/>
        </w:rPr>
        <w:t xml:space="preserve"> ready for decommissioning</w:t>
      </w:r>
      <w:r w:rsidR="00786B4C">
        <w:rPr>
          <w:rFonts w:cstheme="minorHAnsi"/>
        </w:rPr>
        <w:t xml:space="preserve"> (</w:t>
      </w:r>
      <w:r w:rsidR="00D77545">
        <w:rPr>
          <w:rFonts w:cstheme="minorHAnsi"/>
        </w:rPr>
        <w:t xml:space="preserve">ACT </w:t>
      </w:r>
      <w:r w:rsidR="00786B4C">
        <w:rPr>
          <w:rFonts w:cstheme="minorHAnsi"/>
        </w:rPr>
        <w:t>Acorn Project, 2018a)</w:t>
      </w:r>
      <w:r w:rsidR="009626CD" w:rsidRPr="004C79FC">
        <w:rPr>
          <w:rFonts w:cstheme="minorHAnsi"/>
        </w:rPr>
        <w:t xml:space="preserve">. </w:t>
      </w:r>
      <w:r w:rsidR="00D34032" w:rsidRPr="004C79FC">
        <w:rPr>
          <w:rFonts w:cstheme="minorHAnsi"/>
        </w:rPr>
        <w:t xml:space="preserve">Premature decommissioning of </w:t>
      </w:r>
      <w:r w:rsidR="009626CD" w:rsidRPr="004C79FC">
        <w:rPr>
          <w:rFonts w:cstheme="minorHAnsi"/>
        </w:rPr>
        <w:t xml:space="preserve">pipeline infrastructure could increase the cost of CCS for Europe and </w:t>
      </w:r>
      <w:r w:rsidR="00D34032" w:rsidRPr="004C79FC">
        <w:rPr>
          <w:rFonts w:cstheme="minorHAnsi"/>
        </w:rPr>
        <w:t>kill</w:t>
      </w:r>
      <w:r w:rsidR="00E84E33" w:rsidRPr="004C79FC">
        <w:rPr>
          <w:rFonts w:cstheme="minorHAnsi"/>
        </w:rPr>
        <w:t>-off</w:t>
      </w:r>
      <w:r w:rsidR="00D34032" w:rsidRPr="004C79FC">
        <w:rPr>
          <w:rFonts w:cstheme="minorHAnsi"/>
        </w:rPr>
        <w:t xml:space="preserve"> an opportunity to kick</w:t>
      </w:r>
      <w:r w:rsidR="00FA1BB4" w:rsidRPr="004C79FC">
        <w:rPr>
          <w:rFonts w:cstheme="minorHAnsi"/>
        </w:rPr>
        <w:t>-</w:t>
      </w:r>
      <w:r w:rsidR="00D34032" w:rsidRPr="004C79FC">
        <w:rPr>
          <w:rFonts w:cstheme="minorHAnsi"/>
        </w:rPr>
        <w:t xml:space="preserve">start an industry by </w:t>
      </w:r>
      <w:r w:rsidR="00F56E19" w:rsidRPr="004C79FC">
        <w:rPr>
          <w:rFonts w:cstheme="minorHAnsi"/>
        </w:rPr>
        <w:t>increasing</w:t>
      </w:r>
      <w:r w:rsidR="009626CD" w:rsidRPr="004C79FC">
        <w:rPr>
          <w:rFonts w:cstheme="minorHAnsi"/>
        </w:rPr>
        <w:t xml:space="preserve"> the project’s </w:t>
      </w:r>
      <w:r w:rsidR="00F56E19" w:rsidRPr="004C79FC">
        <w:rPr>
          <w:rFonts w:cstheme="minorHAnsi"/>
        </w:rPr>
        <w:t>cost</w:t>
      </w:r>
      <w:r w:rsidR="00D34032" w:rsidRPr="004C79FC">
        <w:rPr>
          <w:rFonts w:cstheme="minorHAnsi"/>
        </w:rPr>
        <w:t xml:space="preserve"> by over €600 million</w:t>
      </w:r>
      <w:r w:rsidR="006A59AC" w:rsidRPr="004C79FC">
        <w:rPr>
          <w:rStyle w:val="FootnoteReference"/>
          <w:rFonts w:cstheme="minorHAnsi"/>
        </w:rPr>
        <w:footnoteReference w:id="1"/>
      </w:r>
      <w:r w:rsidR="00D34032" w:rsidRPr="004C79FC">
        <w:rPr>
          <w:rFonts w:cstheme="minorHAnsi"/>
        </w:rPr>
        <w:t xml:space="preserve"> </w:t>
      </w:r>
      <w:r w:rsidR="009626CD" w:rsidRPr="004C79FC">
        <w:rPr>
          <w:rFonts w:cstheme="minorHAnsi"/>
        </w:rPr>
        <w:t>(</w:t>
      </w:r>
      <w:r w:rsidR="009148A1" w:rsidRPr="004C79FC">
        <w:rPr>
          <w:rFonts w:cstheme="minorHAnsi"/>
        </w:rPr>
        <w:t>Pale Blue Dot and Axis Well Technology</w:t>
      </w:r>
      <w:r w:rsidR="009626CD" w:rsidRPr="004C79FC">
        <w:rPr>
          <w:rFonts w:cstheme="minorHAnsi"/>
        </w:rPr>
        <w:t>, 201</w:t>
      </w:r>
      <w:r w:rsidR="006A59AC" w:rsidRPr="004C79FC">
        <w:rPr>
          <w:rFonts w:cstheme="minorHAnsi"/>
        </w:rPr>
        <w:t>6</w:t>
      </w:r>
      <w:r w:rsidR="009626CD" w:rsidRPr="004C79FC">
        <w:rPr>
          <w:rFonts w:cstheme="minorHAnsi"/>
        </w:rPr>
        <w:t>).</w:t>
      </w:r>
      <w:bookmarkEnd w:id="1"/>
      <w:r w:rsidR="009626CD" w:rsidRPr="004C79FC">
        <w:rPr>
          <w:rFonts w:cstheme="minorHAnsi"/>
        </w:rPr>
        <w:t xml:space="preserve"> </w:t>
      </w:r>
    </w:p>
    <w:p w14:paraId="270C40FB" w14:textId="46FFA4A5" w:rsidR="009626CD" w:rsidRPr="004C79FC" w:rsidRDefault="00D34032" w:rsidP="008F550A">
      <w:pPr>
        <w:spacing w:after="240" w:line="240" w:lineRule="auto"/>
        <w:rPr>
          <w:rFonts w:cstheme="minorHAnsi"/>
        </w:rPr>
      </w:pPr>
      <w:r w:rsidRPr="004C79FC">
        <w:rPr>
          <w:rFonts w:cstheme="minorHAnsi"/>
        </w:rPr>
        <w:t>There</w:t>
      </w:r>
      <w:r w:rsidR="009626CD" w:rsidRPr="004C79FC">
        <w:rPr>
          <w:rFonts w:cstheme="minorHAnsi"/>
        </w:rPr>
        <w:t xml:space="preserve"> is now a risk that much of this useful infrastructure will be decommissioned</w:t>
      </w:r>
      <w:r w:rsidR="00E25ECD" w:rsidRPr="004C79FC">
        <w:rPr>
          <w:rFonts w:cstheme="minorHAnsi"/>
        </w:rPr>
        <w:t xml:space="preserve"> (Ahinaga-Dagbui et al., 2017)</w:t>
      </w:r>
      <w:r w:rsidR="009626CD" w:rsidRPr="004C79FC">
        <w:rPr>
          <w:rFonts w:cstheme="minorHAnsi"/>
        </w:rPr>
        <w:t>, precluding the lowest cost</w:t>
      </w:r>
      <w:r w:rsidR="00FB2B04">
        <w:rPr>
          <w:rFonts w:cstheme="minorHAnsi"/>
        </w:rPr>
        <w:t xml:space="preserve"> option</w:t>
      </w:r>
      <w:r w:rsidR="0017561F">
        <w:rPr>
          <w:rFonts w:cstheme="minorHAnsi"/>
        </w:rPr>
        <w:t xml:space="preserve"> for the development of CCS in this area</w:t>
      </w:r>
      <w:r w:rsidR="00AE074B" w:rsidRPr="004C79FC">
        <w:rPr>
          <w:rFonts w:cstheme="minorHAnsi"/>
        </w:rPr>
        <w:t>,</w:t>
      </w:r>
      <w:r w:rsidRPr="004C79FC">
        <w:rPr>
          <w:rFonts w:cstheme="minorHAnsi"/>
        </w:rPr>
        <w:t xml:space="preserve"> </w:t>
      </w:r>
      <w:r w:rsidR="00FB2B04">
        <w:rPr>
          <w:rFonts w:cstheme="minorHAnsi"/>
        </w:rPr>
        <w:t>and</w:t>
      </w:r>
      <w:r w:rsidR="00FB2B04" w:rsidRPr="004C79FC">
        <w:rPr>
          <w:rFonts w:cstheme="minorHAnsi"/>
        </w:rPr>
        <w:t xml:space="preserve"> </w:t>
      </w:r>
      <w:r w:rsidR="00FB2B04">
        <w:rPr>
          <w:rFonts w:cstheme="minorHAnsi"/>
        </w:rPr>
        <w:t xml:space="preserve">perhaps </w:t>
      </w:r>
      <w:r w:rsidRPr="004C79FC">
        <w:rPr>
          <w:rFonts w:cstheme="minorHAnsi"/>
        </w:rPr>
        <w:t xml:space="preserve">indeed </w:t>
      </w:r>
      <w:r w:rsidR="00FB2B04">
        <w:rPr>
          <w:rFonts w:cstheme="minorHAnsi"/>
        </w:rPr>
        <w:t>preventing</w:t>
      </w:r>
      <w:r w:rsidR="00FB2B04" w:rsidRPr="004C79FC">
        <w:rPr>
          <w:rFonts w:cstheme="minorHAnsi"/>
        </w:rPr>
        <w:t xml:space="preserve"> </w:t>
      </w:r>
      <w:r w:rsidRPr="004C79FC">
        <w:rPr>
          <w:rFonts w:cstheme="minorHAnsi"/>
        </w:rPr>
        <w:t>any</w:t>
      </w:r>
      <w:r w:rsidR="009626CD" w:rsidRPr="004C79FC">
        <w:rPr>
          <w:rFonts w:cstheme="minorHAnsi"/>
        </w:rPr>
        <w:t xml:space="preserve"> CO</w:t>
      </w:r>
      <w:r w:rsidR="009626CD" w:rsidRPr="004C79FC">
        <w:rPr>
          <w:rFonts w:cstheme="minorHAnsi"/>
          <w:vertAlign w:val="subscript"/>
        </w:rPr>
        <w:t>2</w:t>
      </w:r>
      <w:r w:rsidR="009626CD" w:rsidRPr="004C79FC">
        <w:rPr>
          <w:rFonts w:cstheme="minorHAnsi"/>
        </w:rPr>
        <w:t xml:space="preserve"> transport and storage developments</w:t>
      </w:r>
      <w:r w:rsidR="00FB2B04">
        <w:rPr>
          <w:rFonts w:cstheme="minorHAnsi"/>
        </w:rPr>
        <w:t xml:space="preserve"> </w:t>
      </w:r>
      <w:r w:rsidR="00FB2B04" w:rsidRPr="00D53F4D">
        <w:rPr>
          <w:rFonts w:cstheme="minorHAnsi"/>
          <w:i/>
        </w:rPr>
        <w:t>at all</w:t>
      </w:r>
      <w:r w:rsidR="009626CD" w:rsidRPr="004C79FC">
        <w:rPr>
          <w:rFonts w:cstheme="minorHAnsi"/>
        </w:rPr>
        <w:t xml:space="preserve">. </w:t>
      </w:r>
      <w:r w:rsidR="0017561F">
        <w:rPr>
          <w:rFonts w:cstheme="minorHAnsi"/>
        </w:rPr>
        <w:t>Building new</w:t>
      </w:r>
      <w:r w:rsidR="009626CD" w:rsidRPr="004C79FC">
        <w:rPr>
          <w:rFonts w:cstheme="minorHAnsi"/>
        </w:rPr>
        <w:t xml:space="preserve"> </w:t>
      </w:r>
      <w:r w:rsidR="00896BBC" w:rsidRPr="004C79FC">
        <w:rPr>
          <w:rFonts w:cstheme="minorHAnsi"/>
        </w:rPr>
        <w:t>pi</w:t>
      </w:r>
      <w:r w:rsidR="009626CD" w:rsidRPr="004C79FC">
        <w:rPr>
          <w:rFonts w:cstheme="minorHAnsi"/>
        </w:rPr>
        <w:t>pelines</w:t>
      </w:r>
      <w:r w:rsidR="00896BBC" w:rsidRPr="004C79FC">
        <w:rPr>
          <w:rFonts w:cstheme="minorHAnsi"/>
        </w:rPr>
        <w:t xml:space="preserve"> </w:t>
      </w:r>
      <w:r w:rsidR="009626CD" w:rsidRPr="004C79FC">
        <w:rPr>
          <w:rFonts w:cstheme="minorHAnsi"/>
        </w:rPr>
        <w:t xml:space="preserve">would increase the initial hurdle for CCS development and deployment in Europe by </w:t>
      </w:r>
      <w:r w:rsidRPr="004C79FC">
        <w:rPr>
          <w:rFonts w:cstheme="minorHAnsi"/>
        </w:rPr>
        <w:t xml:space="preserve">adding the </w:t>
      </w:r>
      <w:r w:rsidR="009626CD" w:rsidRPr="004C79FC">
        <w:rPr>
          <w:rFonts w:cstheme="minorHAnsi"/>
        </w:rPr>
        <w:t xml:space="preserve">capital cost of </w:t>
      </w:r>
      <w:r w:rsidRPr="004C79FC">
        <w:rPr>
          <w:rFonts w:cstheme="minorHAnsi"/>
        </w:rPr>
        <w:t xml:space="preserve">their </w:t>
      </w:r>
      <w:r w:rsidR="009626CD" w:rsidRPr="004C79FC">
        <w:rPr>
          <w:rFonts w:cstheme="minorHAnsi"/>
        </w:rPr>
        <w:t>replacement</w:t>
      </w:r>
      <w:r w:rsidR="00F92A9E" w:rsidRPr="004C79FC">
        <w:rPr>
          <w:rFonts w:cstheme="minorHAnsi"/>
        </w:rPr>
        <w:t xml:space="preserve"> to the overall budget</w:t>
      </w:r>
      <w:r w:rsidR="009626CD" w:rsidRPr="004C79FC">
        <w:rPr>
          <w:rFonts w:cstheme="minorHAnsi"/>
        </w:rPr>
        <w:t>.</w:t>
      </w:r>
      <w:r w:rsidR="004E1B2A" w:rsidRPr="004C79FC">
        <w:rPr>
          <w:rFonts w:cstheme="minorHAnsi"/>
        </w:rPr>
        <w:t xml:space="preserve"> </w:t>
      </w:r>
      <w:r w:rsidR="0017561F">
        <w:rPr>
          <w:rFonts w:cstheme="minorHAnsi"/>
        </w:rPr>
        <w:t>It is therefore essential to highlight t</w:t>
      </w:r>
      <w:r w:rsidR="004E1B2A" w:rsidRPr="004C79FC">
        <w:rPr>
          <w:rFonts w:cstheme="minorHAnsi"/>
        </w:rPr>
        <w:t xml:space="preserve">he importance of early engagement to discuss the re-usability of cost-reducing infrastructure </w:t>
      </w:r>
      <w:r w:rsidR="0017561F">
        <w:rPr>
          <w:rFonts w:cstheme="minorHAnsi"/>
        </w:rPr>
        <w:t xml:space="preserve">that is </w:t>
      </w:r>
      <w:r w:rsidR="004E1B2A" w:rsidRPr="004C79FC">
        <w:rPr>
          <w:rFonts w:cstheme="minorHAnsi"/>
        </w:rPr>
        <w:t>already in place.</w:t>
      </w:r>
      <w:r w:rsidR="00033462">
        <w:rPr>
          <w:rFonts w:cstheme="minorHAnsi"/>
        </w:rPr>
        <w:t xml:space="preserve"> We now discuss in more depth re-use opportunities and challenges across three areas: pipelines, platforms, and wells.</w:t>
      </w:r>
    </w:p>
    <w:p w14:paraId="6D195C4A" w14:textId="5044F465" w:rsidR="000E79E7" w:rsidRPr="004C79FC" w:rsidRDefault="003250C8" w:rsidP="008F550A">
      <w:pPr>
        <w:spacing w:after="240" w:line="240" w:lineRule="auto"/>
        <w:rPr>
          <w:rFonts w:cstheme="minorHAnsi"/>
        </w:rPr>
      </w:pPr>
      <w:r>
        <w:rPr>
          <w:rFonts w:cstheme="minorHAnsi"/>
          <w:b/>
        </w:rPr>
        <w:t xml:space="preserve">4.1. </w:t>
      </w:r>
      <w:r w:rsidR="00896BBC" w:rsidRPr="004C79FC">
        <w:rPr>
          <w:rFonts w:cstheme="minorHAnsi"/>
          <w:b/>
        </w:rPr>
        <w:t xml:space="preserve">Pipeline </w:t>
      </w:r>
      <w:r w:rsidR="009A30EC" w:rsidRPr="004C79FC">
        <w:rPr>
          <w:rFonts w:cstheme="minorHAnsi"/>
          <w:b/>
        </w:rPr>
        <w:t>re-use</w:t>
      </w:r>
      <w:r w:rsidR="00896BBC" w:rsidRPr="004C79FC">
        <w:rPr>
          <w:rFonts w:cstheme="minorHAnsi"/>
          <w:b/>
        </w:rPr>
        <w:t xml:space="preserve">: </w:t>
      </w:r>
      <w:r w:rsidR="000E79E7" w:rsidRPr="004C79FC">
        <w:rPr>
          <w:rFonts w:cstheme="minorHAnsi"/>
        </w:rPr>
        <w:t xml:space="preserve">If the decommissioning of pipelines is deferred, </w:t>
      </w:r>
      <w:r w:rsidR="00AB1C46" w:rsidRPr="004C79FC">
        <w:rPr>
          <w:rFonts w:cstheme="minorHAnsi"/>
        </w:rPr>
        <w:t xml:space="preserve">the </w:t>
      </w:r>
      <w:r w:rsidR="0051132E" w:rsidRPr="004C79FC">
        <w:rPr>
          <w:rFonts w:cstheme="minorHAnsi"/>
        </w:rPr>
        <w:t>operation</w:t>
      </w:r>
      <w:r w:rsidR="00AB1C46" w:rsidRPr="004C79FC">
        <w:rPr>
          <w:rFonts w:cstheme="minorHAnsi"/>
        </w:rPr>
        <w:t xml:space="preserve">al costs </w:t>
      </w:r>
      <w:r w:rsidR="000E79E7" w:rsidRPr="004C79FC">
        <w:rPr>
          <w:rFonts w:cstheme="minorHAnsi"/>
        </w:rPr>
        <w:t xml:space="preserve">of monitoring and maintenance are </w:t>
      </w:r>
      <w:r w:rsidR="00AB3359" w:rsidRPr="004C79FC">
        <w:rPr>
          <w:rFonts w:cstheme="minorHAnsi"/>
        </w:rPr>
        <w:t xml:space="preserve">estimated </w:t>
      </w:r>
      <w:r w:rsidR="00F92A9E" w:rsidRPr="004C79FC">
        <w:rPr>
          <w:rFonts w:cstheme="minorHAnsi"/>
        </w:rPr>
        <w:t xml:space="preserve">to be relatively </w:t>
      </w:r>
      <w:r w:rsidR="000E79E7" w:rsidRPr="004C79FC">
        <w:rPr>
          <w:rFonts w:cstheme="minorHAnsi"/>
        </w:rPr>
        <w:t>low</w:t>
      </w:r>
      <w:r w:rsidR="004F2126" w:rsidRPr="004C79FC">
        <w:rPr>
          <w:rFonts w:cstheme="minorHAnsi"/>
        </w:rPr>
        <w:t xml:space="preserve"> compared to the </w:t>
      </w:r>
      <w:r w:rsidR="008A3BD3" w:rsidRPr="004C79FC">
        <w:rPr>
          <w:rFonts w:cstheme="minorHAnsi"/>
        </w:rPr>
        <w:t>cost of building and installing a new pipeline (</w:t>
      </w:r>
      <w:r w:rsidR="00F27449">
        <w:rPr>
          <w:rFonts w:cstheme="minorHAnsi"/>
        </w:rPr>
        <w:t>DECC, 201</w:t>
      </w:r>
      <w:r w:rsidR="00EF1F3B">
        <w:rPr>
          <w:rFonts w:cstheme="minorHAnsi"/>
        </w:rPr>
        <w:t>2</w:t>
      </w:r>
      <w:r w:rsidR="008A3BD3" w:rsidRPr="004C79FC">
        <w:rPr>
          <w:rFonts w:cstheme="minorHAnsi"/>
        </w:rPr>
        <w:t>)</w:t>
      </w:r>
      <w:r w:rsidR="00C9685E" w:rsidRPr="004C79FC">
        <w:rPr>
          <w:rFonts w:cstheme="minorHAnsi"/>
        </w:rPr>
        <w:t xml:space="preserve">. However, the cost of re-use </w:t>
      </w:r>
      <w:r w:rsidR="00631A33" w:rsidRPr="004C79FC">
        <w:rPr>
          <w:rFonts w:cstheme="minorHAnsi"/>
        </w:rPr>
        <w:t xml:space="preserve">is strongly dependent on the length and </w:t>
      </w:r>
      <w:r w:rsidR="0017561F">
        <w:rPr>
          <w:rFonts w:cstheme="minorHAnsi"/>
        </w:rPr>
        <w:t xml:space="preserve">physical </w:t>
      </w:r>
      <w:r w:rsidR="00631A33" w:rsidRPr="004C79FC">
        <w:rPr>
          <w:rFonts w:cstheme="minorHAnsi"/>
        </w:rPr>
        <w:t>condition of the pipeline</w:t>
      </w:r>
      <w:r w:rsidR="00F92A9E" w:rsidRPr="004C79FC">
        <w:rPr>
          <w:rFonts w:cstheme="minorHAnsi"/>
        </w:rPr>
        <w:t xml:space="preserve"> after decades of hydrocarbon transport</w:t>
      </w:r>
      <w:r w:rsidR="000E79E7" w:rsidRPr="004C79FC">
        <w:rPr>
          <w:rFonts w:cstheme="minorHAnsi"/>
        </w:rPr>
        <w:t xml:space="preserve">. The </w:t>
      </w:r>
      <w:r w:rsidR="00F92A9E" w:rsidRPr="004C79FC">
        <w:rPr>
          <w:rFonts w:cstheme="minorHAnsi"/>
        </w:rPr>
        <w:t xml:space="preserve">monitoring and maintenance </w:t>
      </w:r>
      <w:r w:rsidR="000E79E7" w:rsidRPr="004C79FC">
        <w:rPr>
          <w:rFonts w:cstheme="minorHAnsi"/>
        </w:rPr>
        <w:t xml:space="preserve">costs depend on the length and condition of each pipeline. </w:t>
      </w:r>
      <w:r w:rsidR="00B45FE6" w:rsidRPr="004C79FC">
        <w:rPr>
          <w:rFonts w:cstheme="minorHAnsi"/>
        </w:rPr>
        <w:t>R</w:t>
      </w:r>
      <w:r w:rsidR="000E79E7" w:rsidRPr="004C79FC">
        <w:rPr>
          <w:rFonts w:cstheme="minorHAnsi"/>
        </w:rPr>
        <w:t>e</w:t>
      </w:r>
      <w:r w:rsidR="00F92A9E" w:rsidRPr="004C79FC">
        <w:rPr>
          <w:rFonts w:cstheme="minorHAnsi"/>
        </w:rPr>
        <w:t>-</w:t>
      </w:r>
      <w:r w:rsidR="000E79E7" w:rsidRPr="004C79FC">
        <w:rPr>
          <w:rFonts w:cstheme="minorHAnsi"/>
        </w:rPr>
        <w:t>purposing an existing pipeline generally includes various commissioning</w:t>
      </w:r>
      <w:r w:rsidR="00F92A9E" w:rsidRPr="004C79FC">
        <w:rPr>
          <w:rFonts w:cstheme="minorHAnsi"/>
        </w:rPr>
        <w:t>-</w:t>
      </w:r>
      <w:r w:rsidR="000E79E7" w:rsidRPr="004C79FC">
        <w:rPr>
          <w:rFonts w:cstheme="minorHAnsi"/>
        </w:rPr>
        <w:t>type duties, such as drying the pipeline or running an intelligent pig</w:t>
      </w:r>
      <w:r w:rsidR="00FD7DFC" w:rsidRPr="004C79FC">
        <w:rPr>
          <w:rFonts w:cstheme="minorHAnsi"/>
        </w:rPr>
        <w:t xml:space="preserve"> (Coramik and Ege, 2017)</w:t>
      </w:r>
      <w:r w:rsidR="00B45FE6" w:rsidRPr="004C79FC">
        <w:rPr>
          <w:rFonts w:cstheme="minorHAnsi"/>
        </w:rPr>
        <w:t xml:space="preserve">. </w:t>
      </w:r>
      <w:r w:rsidR="000E79E7" w:rsidRPr="004C79FC">
        <w:rPr>
          <w:rFonts w:cstheme="minorHAnsi"/>
        </w:rPr>
        <w:t>The age, condition and pressure</w:t>
      </w:r>
      <w:r w:rsidR="0052002C" w:rsidRPr="004C79FC">
        <w:rPr>
          <w:rFonts w:cstheme="minorHAnsi"/>
        </w:rPr>
        <w:t>-</w:t>
      </w:r>
      <w:r w:rsidR="000E79E7" w:rsidRPr="004C79FC">
        <w:rPr>
          <w:rFonts w:cstheme="minorHAnsi"/>
        </w:rPr>
        <w:t xml:space="preserve">rating of the pipeline are key factors in assessing </w:t>
      </w:r>
      <w:r w:rsidR="00FD7DFC" w:rsidRPr="004C79FC">
        <w:rPr>
          <w:rFonts w:cstheme="minorHAnsi"/>
        </w:rPr>
        <w:t>the</w:t>
      </w:r>
      <w:r w:rsidR="000E79E7" w:rsidRPr="004C79FC">
        <w:rPr>
          <w:rFonts w:cstheme="minorHAnsi"/>
        </w:rPr>
        <w:t xml:space="preserve"> </w:t>
      </w:r>
      <w:r w:rsidR="0017561F" w:rsidRPr="004C79FC">
        <w:rPr>
          <w:rFonts w:cstheme="minorHAnsi"/>
        </w:rPr>
        <w:t xml:space="preserve">suitability </w:t>
      </w:r>
      <w:r w:rsidR="0017561F">
        <w:rPr>
          <w:rFonts w:cstheme="minorHAnsi"/>
        </w:rPr>
        <w:t xml:space="preserve">of the </w:t>
      </w:r>
      <w:r w:rsidR="00FD7DFC" w:rsidRPr="004C79FC">
        <w:rPr>
          <w:rFonts w:cstheme="minorHAnsi"/>
        </w:rPr>
        <w:t>pipeline</w:t>
      </w:r>
      <w:r w:rsidR="000E79E7" w:rsidRPr="004C79FC">
        <w:rPr>
          <w:rFonts w:cstheme="minorHAnsi"/>
        </w:rPr>
        <w:t>. Older pipelines</w:t>
      </w:r>
      <w:r w:rsidR="0052002C" w:rsidRPr="004C79FC">
        <w:rPr>
          <w:rFonts w:cstheme="minorHAnsi"/>
        </w:rPr>
        <w:t>,</w:t>
      </w:r>
      <w:r w:rsidR="000E79E7" w:rsidRPr="004C79FC">
        <w:rPr>
          <w:rFonts w:cstheme="minorHAnsi"/>
        </w:rPr>
        <w:t xml:space="preserve"> or those that have experienced harsh production environments</w:t>
      </w:r>
      <w:r w:rsidR="0052002C" w:rsidRPr="004C79FC">
        <w:rPr>
          <w:rFonts w:cstheme="minorHAnsi"/>
        </w:rPr>
        <w:t>,</w:t>
      </w:r>
      <w:r w:rsidR="000E79E7" w:rsidRPr="004C79FC">
        <w:rPr>
          <w:rFonts w:cstheme="minorHAnsi"/>
        </w:rPr>
        <w:t xml:space="preserve"> may have </w:t>
      </w:r>
      <w:r w:rsidR="0052002C" w:rsidRPr="004C79FC">
        <w:rPr>
          <w:rFonts w:cstheme="minorHAnsi"/>
        </w:rPr>
        <w:t xml:space="preserve">problems </w:t>
      </w:r>
      <w:r w:rsidR="000E79E7" w:rsidRPr="004C79FC">
        <w:rPr>
          <w:rFonts w:cstheme="minorHAnsi"/>
        </w:rPr>
        <w:t xml:space="preserve">with corrosion or other integrity concerns. </w:t>
      </w:r>
      <w:r w:rsidR="0017561F">
        <w:rPr>
          <w:rFonts w:cstheme="minorHAnsi"/>
        </w:rPr>
        <w:t>Therefore, the</w:t>
      </w:r>
      <w:r w:rsidR="000E79E7" w:rsidRPr="004C79FC">
        <w:rPr>
          <w:rFonts w:cstheme="minorHAnsi"/>
        </w:rPr>
        <w:t xml:space="preserve"> potential for </w:t>
      </w:r>
      <w:r w:rsidR="009A30EC" w:rsidRPr="004C79FC">
        <w:rPr>
          <w:rFonts w:cstheme="minorHAnsi"/>
        </w:rPr>
        <w:t>re-use</w:t>
      </w:r>
      <w:r w:rsidR="000E79E7" w:rsidRPr="004C79FC">
        <w:rPr>
          <w:rFonts w:cstheme="minorHAnsi"/>
        </w:rPr>
        <w:t xml:space="preserve"> of any pipeline depends both on technical and practical factors</w:t>
      </w:r>
      <w:r w:rsidR="0017561F">
        <w:rPr>
          <w:rFonts w:cstheme="minorHAnsi"/>
        </w:rPr>
        <w:t>,</w:t>
      </w:r>
      <w:r w:rsidR="000E79E7" w:rsidRPr="004C79FC">
        <w:rPr>
          <w:rFonts w:cstheme="minorHAnsi"/>
        </w:rPr>
        <w:t xml:space="preserve"> such as proximity to a </w:t>
      </w:r>
      <w:r w:rsidR="0052002C" w:rsidRPr="004C79FC">
        <w:rPr>
          <w:rFonts w:cstheme="minorHAnsi"/>
        </w:rPr>
        <w:t xml:space="preserve">geological </w:t>
      </w:r>
      <w:r w:rsidR="000E79E7" w:rsidRPr="004C79FC">
        <w:rPr>
          <w:rFonts w:cstheme="minorHAnsi"/>
        </w:rPr>
        <w:t>storage reservoir</w:t>
      </w:r>
      <w:r w:rsidR="00FD7DFC" w:rsidRPr="004C79FC">
        <w:rPr>
          <w:rFonts w:cstheme="minorHAnsi"/>
        </w:rPr>
        <w:t>, estimated</w:t>
      </w:r>
      <w:r w:rsidR="000E79E7" w:rsidRPr="004C79FC">
        <w:rPr>
          <w:rFonts w:cstheme="minorHAnsi"/>
        </w:rPr>
        <w:t xml:space="preserve"> </w:t>
      </w:r>
      <w:r w:rsidR="00FD7DFC" w:rsidRPr="004C79FC">
        <w:rPr>
          <w:rFonts w:cstheme="minorHAnsi"/>
        </w:rPr>
        <w:t>condition</w:t>
      </w:r>
      <w:r w:rsidR="000E79E7" w:rsidRPr="004C79FC">
        <w:rPr>
          <w:rFonts w:cstheme="minorHAnsi"/>
        </w:rPr>
        <w:t xml:space="preserve">, </w:t>
      </w:r>
      <w:r w:rsidR="0017561F">
        <w:rPr>
          <w:rFonts w:cstheme="minorHAnsi"/>
        </w:rPr>
        <w:t xml:space="preserve">legal- and </w:t>
      </w:r>
      <w:r w:rsidR="000E79E7" w:rsidRPr="004C79FC">
        <w:rPr>
          <w:rFonts w:cstheme="minorHAnsi"/>
        </w:rPr>
        <w:t>permitting</w:t>
      </w:r>
      <w:r w:rsidR="0017561F">
        <w:rPr>
          <w:rFonts w:cstheme="minorHAnsi"/>
        </w:rPr>
        <w:t>-</w:t>
      </w:r>
      <w:r w:rsidR="000E79E7" w:rsidRPr="004C79FC">
        <w:rPr>
          <w:rFonts w:cstheme="minorHAnsi"/>
        </w:rPr>
        <w:t xml:space="preserve">requirements and liability arrangements. </w:t>
      </w:r>
    </w:p>
    <w:p w14:paraId="42802673" w14:textId="168C81BF" w:rsidR="00835C7B" w:rsidRPr="004C79FC" w:rsidRDefault="00835C7B" w:rsidP="008F550A">
      <w:pPr>
        <w:spacing w:after="240" w:line="240" w:lineRule="auto"/>
        <w:rPr>
          <w:rFonts w:cstheme="minorHAnsi"/>
        </w:rPr>
      </w:pPr>
      <w:r w:rsidRPr="004C79FC">
        <w:rPr>
          <w:rFonts w:cstheme="minorHAnsi"/>
        </w:rPr>
        <w:t xml:space="preserve">The re-use cost profile must be assessed on a case-by-case basis. </w:t>
      </w:r>
      <w:r w:rsidR="00B1636D" w:rsidRPr="004C79FC">
        <w:rPr>
          <w:rFonts w:cstheme="minorHAnsi"/>
        </w:rPr>
        <w:t xml:space="preserve">In the </w:t>
      </w:r>
      <w:r w:rsidR="00C138E3" w:rsidRPr="004C79FC">
        <w:rPr>
          <w:rFonts w:cstheme="minorHAnsi"/>
        </w:rPr>
        <w:t xml:space="preserve">UK </w:t>
      </w:r>
      <w:r w:rsidR="00B1636D" w:rsidRPr="004C79FC">
        <w:rPr>
          <w:rFonts w:cstheme="minorHAnsi"/>
        </w:rPr>
        <w:t xml:space="preserve">North Sea area, as in </w:t>
      </w:r>
      <w:r w:rsidR="0017561F">
        <w:rPr>
          <w:rFonts w:cstheme="minorHAnsi"/>
        </w:rPr>
        <w:t xml:space="preserve">many </w:t>
      </w:r>
      <w:r w:rsidR="00B1636D" w:rsidRPr="004C79FC">
        <w:rPr>
          <w:rFonts w:cstheme="minorHAnsi"/>
        </w:rPr>
        <w:t>other mature hydrocarbon areas, s</w:t>
      </w:r>
      <w:r w:rsidR="00896BBC" w:rsidRPr="004C79FC">
        <w:rPr>
          <w:rFonts w:cstheme="minorHAnsi"/>
        </w:rPr>
        <w:t>everal suitable pipelines exist</w:t>
      </w:r>
      <w:r w:rsidR="00B1636D" w:rsidRPr="004C79FC">
        <w:rPr>
          <w:rFonts w:cstheme="minorHAnsi"/>
        </w:rPr>
        <w:t>. T</w:t>
      </w:r>
      <w:r w:rsidR="00896BBC" w:rsidRPr="004C79FC">
        <w:rPr>
          <w:rFonts w:cstheme="minorHAnsi"/>
        </w:rPr>
        <w:t>hree of them</w:t>
      </w:r>
      <w:r w:rsidR="009626CD" w:rsidRPr="004C79FC">
        <w:rPr>
          <w:rFonts w:cstheme="minorHAnsi"/>
        </w:rPr>
        <w:t xml:space="preserve">, the Atlantic pipeline, the Goldeneye pipeline, and the </w:t>
      </w:r>
      <w:r w:rsidR="00FB2B04">
        <w:rPr>
          <w:rFonts w:cstheme="minorHAnsi"/>
        </w:rPr>
        <w:t>Miller Gas System (</w:t>
      </w:r>
      <w:r w:rsidR="009626CD" w:rsidRPr="004C79FC">
        <w:rPr>
          <w:rFonts w:cstheme="minorHAnsi"/>
        </w:rPr>
        <w:t>MGS</w:t>
      </w:r>
      <w:r w:rsidR="00FB2B04">
        <w:rPr>
          <w:rFonts w:cstheme="minorHAnsi"/>
        </w:rPr>
        <w:t>)</w:t>
      </w:r>
      <w:r w:rsidR="009626CD" w:rsidRPr="004C79FC">
        <w:rPr>
          <w:rFonts w:cstheme="minorHAnsi"/>
        </w:rPr>
        <w:t xml:space="preserve"> pipeline</w:t>
      </w:r>
      <w:r w:rsidR="00896BBC" w:rsidRPr="004C79FC">
        <w:rPr>
          <w:rFonts w:cstheme="minorHAnsi"/>
        </w:rPr>
        <w:t xml:space="preserve">, can be </w:t>
      </w:r>
      <w:r w:rsidR="009A30EC" w:rsidRPr="004C79FC">
        <w:rPr>
          <w:rFonts w:cstheme="minorHAnsi"/>
        </w:rPr>
        <w:t>re-use</w:t>
      </w:r>
      <w:r w:rsidR="00896BBC" w:rsidRPr="004C79FC">
        <w:rPr>
          <w:rFonts w:cstheme="minorHAnsi"/>
        </w:rPr>
        <w:t>d to transport CO</w:t>
      </w:r>
      <w:r w:rsidR="00896BBC" w:rsidRPr="004C79FC">
        <w:rPr>
          <w:rFonts w:cstheme="minorHAnsi"/>
          <w:vertAlign w:val="subscript"/>
        </w:rPr>
        <w:t>2</w:t>
      </w:r>
      <w:r w:rsidR="00896BBC" w:rsidRPr="004C79FC">
        <w:rPr>
          <w:rFonts w:cstheme="minorHAnsi"/>
        </w:rPr>
        <w:t xml:space="preserve"> from St Fergus to the Acorn storage site</w:t>
      </w:r>
      <w:r w:rsidR="009626CD" w:rsidRPr="004C79FC">
        <w:rPr>
          <w:rFonts w:cstheme="minorHAnsi"/>
        </w:rPr>
        <w:t xml:space="preserve">. </w:t>
      </w:r>
      <w:r w:rsidR="00CC245C" w:rsidRPr="004C79FC">
        <w:rPr>
          <w:rFonts w:cstheme="minorHAnsi"/>
        </w:rPr>
        <w:t>Additionally, the MGS pipeline offers the opportunity for expansion of the CO</w:t>
      </w:r>
      <w:r w:rsidR="00CC245C" w:rsidRPr="004C79FC">
        <w:rPr>
          <w:rFonts w:cstheme="minorHAnsi"/>
          <w:vertAlign w:val="subscript"/>
        </w:rPr>
        <w:t>2</w:t>
      </w:r>
      <w:r w:rsidR="00CC245C" w:rsidRPr="004C79FC">
        <w:rPr>
          <w:rFonts w:cstheme="minorHAnsi"/>
        </w:rPr>
        <w:t xml:space="preserve"> infrastructure into the Norwegian Continental Shelf. All three pipelines have been preserved in-situ under </w:t>
      </w:r>
      <w:r w:rsidR="0017561F">
        <w:rPr>
          <w:rFonts w:cstheme="minorHAnsi"/>
        </w:rPr>
        <w:t xml:space="preserve">the </w:t>
      </w:r>
      <w:r w:rsidR="00CC245C" w:rsidRPr="004C79FC">
        <w:rPr>
          <w:rFonts w:cstheme="minorHAnsi"/>
        </w:rPr>
        <w:t>Interim Pipeline Regime (</w:t>
      </w:r>
      <w:r w:rsidR="00332B10">
        <w:rPr>
          <w:rFonts w:cstheme="minorHAnsi"/>
        </w:rPr>
        <w:t>DECC</w:t>
      </w:r>
      <w:r w:rsidR="00CC245C" w:rsidRPr="004C79FC">
        <w:rPr>
          <w:rFonts w:cstheme="minorHAnsi"/>
        </w:rPr>
        <w:t>, 2018</w:t>
      </w:r>
      <w:r w:rsidR="00332B10">
        <w:rPr>
          <w:rFonts w:cstheme="minorHAnsi"/>
        </w:rPr>
        <w:t>a</w:t>
      </w:r>
      <w:r w:rsidR="00CC245C" w:rsidRPr="004C79FC">
        <w:rPr>
          <w:rFonts w:cstheme="minorHAnsi"/>
        </w:rPr>
        <w:t xml:space="preserve">) and are currently awaiting decommissioning. </w:t>
      </w:r>
      <w:r w:rsidRPr="004C79FC">
        <w:rPr>
          <w:rFonts w:cstheme="minorHAnsi"/>
        </w:rPr>
        <w:t>As an example of cost reduction, re-us</w:t>
      </w:r>
      <w:r w:rsidR="00FB2B04">
        <w:rPr>
          <w:rFonts w:cstheme="minorHAnsi"/>
        </w:rPr>
        <w:t>e</w:t>
      </w:r>
      <w:r w:rsidRPr="004C79FC">
        <w:rPr>
          <w:rFonts w:cstheme="minorHAnsi"/>
        </w:rPr>
        <w:t xml:space="preserve"> of the Atlantic pipeline in the Acorn CCS project could have a capital cost of €38 million, whereas the cost of building a new pipeline could be over €110 million (</w:t>
      </w:r>
      <w:r w:rsidR="00A02B69" w:rsidRPr="004C79FC">
        <w:rPr>
          <w:rFonts w:cstheme="minorHAnsi"/>
        </w:rPr>
        <w:t>Pale Blue Dot and Axis Well Technology, 2016</w:t>
      </w:r>
      <w:r w:rsidRPr="004C79FC">
        <w:rPr>
          <w:rFonts w:cstheme="minorHAnsi"/>
        </w:rPr>
        <w:t>; based on values from ZEP, 2011, and Benton, 2015).</w:t>
      </w:r>
    </w:p>
    <w:p w14:paraId="0B159FEB" w14:textId="65F27B7E" w:rsidR="007D37E9" w:rsidRPr="004C79FC" w:rsidRDefault="00C209B2" w:rsidP="008F550A">
      <w:pPr>
        <w:spacing w:after="240" w:line="240" w:lineRule="auto"/>
        <w:rPr>
          <w:rFonts w:cstheme="minorHAnsi"/>
        </w:rPr>
      </w:pPr>
      <w:r>
        <w:rPr>
          <w:rFonts w:cstheme="minorHAnsi"/>
          <w:b/>
        </w:rPr>
        <w:t xml:space="preserve">4.2. </w:t>
      </w:r>
      <w:r w:rsidR="009626CD" w:rsidRPr="004C79FC">
        <w:rPr>
          <w:rFonts w:cstheme="minorHAnsi"/>
          <w:b/>
        </w:rPr>
        <w:t xml:space="preserve">Platform </w:t>
      </w:r>
      <w:r w:rsidR="009A30EC" w:rsidRPr="004C79FC">
        <w:rPr>
          <w:rFonts w:cstheme="minorHAnsi"/>
          <w:b/>
        </w:rPr>
        <w:t>re-use</w:t>
      </w:r>
      <w:r w:rsidR="000E79E7" w:rsidRPr="004C79FC">
        <w:rPr>
          <w:rFonts w:cstheme="minorHAnsi"/>
          <w:b/>
        </w:rPr>
        <w:t xml:space="preserve">: </w:t>
      </w:r>
      <w:r w:rsidR="009626CD" w:rsidRPr="004C79FC">
        <w:rPr>
          <w:rFonts w:cstheme="minorHAnsi"/>
        </w:rPr>
        <w:t xml:space="preserve">Offshore oil and gas </w:t>
      </w:r>
      <w:r w:rsidR="00525582">
        <w:rPr>
          <w:rFonts w:cstheme="minorHAnsi"/>
        </w:rPr>
        <w:t xml:space="preserve">production </w:t>
      </w:r>
      <w:r w:rsidR="002D38EA" w:rsidRPr="004C79FC">
        <w:rPr>
          <w:rFonts w:cstheme="minorHAnsi"/>
        </w:rPr>
        <w:t xml:space="preserve">platforms </w:t>
      </w:r>
      <w:r w:rsidR="00525582">
        <w:rPr>
          <w:rFonts w:cstheme="minorHAnsi"/>
        </w:rPr>
        <w:t>can</w:t>
      </w:r>
      <w:r w:rsidR="00525582" w:rsidRPr="004C79FC">
        <w:rPr>
          <w:rFonts w:cstheme="minorHAnsi"/>
        </w:rPr>
        <w:t xml:space="preserve"> </w:t>
      </w:r>
      <w:r w:rsidR="009626CD" w:rsidRPr="004C79FC">
        <w:rPr>
          <w:rFonts w:cstheme="minorHAnsi"/>
        </w:rPr>
        <w:t>also be re</w:t>
      </w:r>
      <w:r w:rsidR="0052002C" w:rsidRPr="004C79FC">
        <w:rPr>
          <w:rFonts w:cstheme="minorHAnsi"/>
        </w:rPr>
        <w:t>-</w:t>
      </w:r>
      <w:r w:rsidR="009626CD" w:rsidRPr="004C79FC">
        <w:rPr>
          <w:rFonts w:cstheme="minorHAnsi"/>
        </w:rPr>
        <w:t>purposed for CO</w:t>
      </w:r>
      <w:r w:rsidR="009626CD" w:rsidRPr="004C79FC">
        <w:rPr>
          <w:rFonts w:cstheme="minorHAnsi"/>
          <w:vertAlign w:val="subscript"/>
        </w:rPr>
        <w:t>2</w:t>
      </w:r>
      <w:r w:rsidR="009626CD" w:rsidRPr="004C79FC">
        <w:rPr>
          <w:rFonts w:cstheme="minorHAnsi"/>
        </w:rPr>
        <w:t xml:space="preserve"> injection</w:t>
      </w:r>
      <w:r w:rsidR="00FB2B04">
        <w:rPr>
          <w:rFonts w:cstheme="minorHAnsi"/>
        </w:rPr>
        <w:t>,</w:t>
      </w:r>
      <w:r w:rsidR="00336E11" w:rsidRPr="004C79FC">
        <w:rPr>
          <w:rFonts w:cstheme="minorHAnsi"/>
        </w:rPr>
        <w:t xml:space="preserve"> but</w:t>
      </w:r>
      <w:r w:rsidR="009626CD" w:rsidRPr="004C79FC">
        <w:rPr>
          <w:rFonts w:cstheme="minorHAnsi"/>
        </w:rPr>
        <w:t xml:space="preserve"> there are significant technical, commercial and regulatory factors </w:t>
      </w:r>
      <w:r w:rsidR="002F7EEC" w:rsidRPr="004C79FC">
        <w:rPr>
          <w:rFonts w:cstheme="minorHAnsi"/>
        </w:rPr>
        <w:t>that</w:t>
      </w:r>
      <w:r w:rsidR="00336E11" w:rsidRPr="004C79FC">
        <w:rPr>
          <w:rFonts w:cstheme="minorHAnsi"/>
        </w:rPr>
        <w:t xml:space="preserve"> </w:t>
      </w:r>
      <w:r w:rsidR="009626CD" w:rsidRPr="004C79FC">
        <w:rPr>
          <w:rFonts w:cstheme="minorHAnsi"/>
        </w:rPr>
        <w:t xml:space="preserve">need to be </w:t>
      </w:r>
      <w:r w:rsidR="00336E11" w:rsidRPr="004C79FC">
        <w:rPr>
          <w:rFonts w:cstheme="minorHAnsi"/>
        </w:rPr>
        <w:t>assessed</w:t>
      </w:r>
      <w:r w:rsidR="009626CD" w:rsidRPr="004C79FC">
        <w:rPr>
          <w:rFonts w:cstheme="minorHAnsi"/>
        </w:rPr>
        <w:t xml:space="preserve"> on a case</w:t>
      </w:r>
      <w:r w:rsidR="0052002C" w:rsidRPr="004C79FC">
        <w:rPr>
          <w:rFonts w:cstheme="minorHAnsi"/>
        </w:rPr>
        <w:t>-</w:t>
      </w:r>
      <w:r w:rsidR="009626CD" w:rsidRPr="004C79FC">
        <w:rPr>
          <w:rFonts w:cstheme="minorHAnsi"/>
        </w:rPr>
        <w:t>by</w:t>
      </w:r>
      <w:r w:rsidR="0052002C" w:rsidRPr="004C79FC">
        <w:rPr>
          <w:rFonts w:cstheme="minorHAnsi"/>
        </w:rPr>
        <w:t>-</w:t>
      </w:r>
      <w:r w:rsidR="009626CD" w:rsidRPr="004C79FC">
        <w:rPr>
          <w:rFonts w:cstheme="minorHAnsi"/>
        </w:rPr>
        <w:t>case basis</w:t>
      </w:r>
      <w:r w:rsidR="002A1442" w:rsidRPr="004C79FC">
        <w:rPr>
          <w:rFonts w:cstheme="minorHAnsi"/>
        </w:rPr>
        <w:t xml:space="preserve"> (Ahiaga-Dagbui et al., 2017)</w:t>
      </w:r>
      <w:r w:rsidR="009626CD" w:rsidRPr="004C79FC">
        <w:rPr>
          <w:rFonts w:cstheme="minorHAnsi"/>
        </w:rPr>
        <w:t>.</w:t>
      </w:r>
      <w:r w:rsidR="00336E11" w:rsidRPr="004C79FC">
        <w:rPr>
          <w:rFonts w:cstheme="minorHAnsi"/>
        </w:rPr>
        <w:t xml:space="preserve"> </w:t>
      </w:r>
      <w:r w:rsidR="009626CD" w:rsidRPr="004C79FC">
        <w:rPr>
          <w:rFonts w:cstheme="minorHAnsi"/>
        </w:rPr>
        <w:t>The main issue</w:t>
      </w:r>
      <w:r w:rsidR="00525582">
        <w:rPr>
          <w:rFonts w:cstheme="minorHAnsi"/>
        </w:rPr>
        <w:t>s</w:t>
      </w:r>
      <w:r w:rsidR="009626CD" w:rsidRPr="004C79FC">
        <w:rPr>
          <w:rFonts w:cstheme="minorHAnsi"/>
        </w:rPr>
        <w:t xml:space="preserve"> with re</w:t>
      </w:r>
      <w:r w:rsidR="007C538B" w:rsidRPr="004C79FC">
        <w:rPr>
          <w:rFonts w:cstheme="minorHAnsi"/>
        </w:rPr>
        <w:t>-</w:t>
      </w:r>
      <w:r w:rsidR="009626CD" w:rsidRPr="004C79FC">
        <w:rPr>
          <w:rFonts w:cstheme="minorHAnsi"/>
        </w:rPr>
        <w:t>purposing platforms</w:t>
      </w:r>
      <w:r w:rsidR="006F43AE" w:rsidRPr="004C79FC">
        <w:rPr>
          <w:rFonts w:cstheme="minorHAnsi"/>
        </w:rPr>
        <w:t xml:space="preserve"> </w:t>
      </w:r>
      <w:r w:rsidR="009626CD" w:rsidRPr="004C79FC">
        <w:rPr>
          <w:rFonts w:cstheme="minorHAnsi"/>
        </w:rPr>
        <w:t>and their topsides for CO</w:t>
      </w:r>
      <w:r w:rsidR="009626CD" w:rsidRPr="004C79FC">
        <w:rPr>
          <w:rFonts w:cstheme="minorHAnsi"/>
          <w:vertAlign w:val="subscript"/>
        </w:rPr>
        <w:t>2</w:t>
      </w:r>
      <w:r w:rsidR="009626CD" w:rsidRPr="004C79FC">
        <w:rPr>
          <w:rFonts w:cstheme="minorHAnsi"/>
        </w:rPr>
        <w:t xml:space="preserve"> </w:t>
      </w:r>
      <w:r w:rsidR="00525582">
        <w:rPr>
          <w:rFonts w:cstheme="minorHAnsi"/>
        </w:rPr>
        <w:t>injection</w:t>
      </w:r>
      <w:r w:rsidR="009626CD" w:rsidRPr="004C79FC">
        <w:rPr>
          <w:rFonts w:cstheme="minorHAnsi"/>
        </w:rPr>
        <w:t xml:space="preserve"> are the capital and operating costs</w:t>
      </w:r>
      <w:r w:rsidR="00D77545">
        <w:rPr>
          <w:rFonts w:cstheme="minorHAnsi"/>
        </w:rPr>
        <w:t xml:space="preserve"> (ACT Acorn, 2018a)</w:t>
      </w:r>
      <w:r w:rsidR="009626CD" w:rsidRPr="004C79FC">
        <w:rPr>
          <w:rFonts w:cstheme="minorHAnsi"/>
        </w:rPr>
        <w:t xml:space="preserve">. Large complex </w:t>
      </w:r>
      <w:r w:rsidR="00525582">
        <w:rPr>
          <w:rFonts w:cstheme="minorHAnsi"/>
        </w:rPr>
        <w:t xml:space="preserve">oil and gas production </w:t>
      </w:r>
      <w:r w:rsidR="009626CD" w:rsidRPr="004C79FC">
        <w:rPr>
          <w:rFonts w:cstheme="minorHAnsi"/>
        </w:rPr>
        <w:t xml:space="preserve">facilities may </w:t>
      </w:r>
      <w:r w:rsidR="00E92A36" w:rsidRPr="004C79FC">
        <w:rPr>
          <w:rFonts w:cstheme="minorHAnsi"/>
        </w:rPr>
        <w:t>require</w:t>
      </w:r>
      <w:r w:rsidR="009626CD" w:rsidRPr="004C79FC">
        <w:rPr>
          <w:rFonts w:cstheme="minorHAnsi"/>
        </w:rPr>
        <w:t xml:space="preserve"> </w:t>
      </w:r>
      <w:r w:rsidR="00525582">
        <w:rPr>
          <w:rFonts w:cstheme="minorHAnsi"/>
        </w:rPr>
        <w:t>large-scale</w:t>
      </w:r>
      <w:r w:rsidR="00525582" w:rsidRPr="004C79FC">
        <w:rPr>
          <w:rFonts w:cstheme="minorHAnsi"/>
        </w:rPr>
        <w:t xml:space="preserve"> </w:t>
      </w:r>
      <w:r w:rsidR="00E92A36" w:rsidRPr="004C79FC">
        <w:rPr>
          <w:rFonts w:cstheme="minorHAnsi"/>
        </w:rPr>
        <w:t xml:space="preserve">and costly modifications </w:t>
      </w:r>
      <w:r w:rsidR="00525582">
        <w:rPr>
          <w:rFonts w:cstheme="minorHAnsi"/>
        </w:rPr>
        <w:t xml:space="preserve">in order </w:t>
      </w:r>
      <w:r w:rsidR="00E92A36" w:rsidRPr="004C79FC">
        <w:rPr>
          <w:rFonts w:cstheme="minorHAnsi"/>
        </w:rPr>
        <w:t xml:space="preserve">to be adapted to </w:t>
      </w:r>
      <w:r w:rsidR="009626CD" w:rsidRPr="004C79FC">
        <w:rPr>
          <w:rFonts w:cstheme="minorHAnsi"/>
        </w:rPr>
        <w:t>CO</w:t>
      </w:r>
      <w:r w:rsidR="009626CD" w:rsidRPr="004C79FC">
        <w:rPr>
          <w:rFonts w:cstheme="minorHAnsi"/>
          <w:vertAlign w:val="subscript"/>
        </w:rPr>
        <w:t>2</w:t>
      </w:r>
      <w:r w:rsidR="009626CD" w:rsidRPr="004C79FC">
        <w:rPr>
          <w:rFonts w:cstheme="minorHAnsi"/>
        </w:rPr>
        <w:t xml:space="preserve"> </w:t>
      </w:r>
      <w:r w:rsidR="00525582">
        <w:rPr>
          <w:rFonts w:cstheme="minorHAnsi"/>
        </w:rPr>
        <w:t>injection</w:t>
      </w:r>
      <w:r w:rsidR="00525582" w:rsidRPr="004C79FC">
        <w:rPr>
          <w:rFonts w:cstheme="minorHAnsi"/>
        </w:rPr>
        <w:t xml:space="preserve"> </w:t>
      </w:r>
      <w:r w:rsidR="00E92A36" w:rsidRPr="004C79FC">
        <w:rPr>
          <w:rFonts w:cstheme="minorHAnsi"/>
        </w:rPr>
        <w:t>operations</w:t>
      </w:r>
      <w:r w:rsidR="00525582">
        <w:rPr>
          <w:rFonts w:cstheme="minorHAnsi"/>
        </w:rPr>
        <w:t>. These modifications may</w:t>
      </w:r>
      <w:r w:rsidR="00E92A36" w:rsidRPr="004C79FC">
        <w:rPr>
          <w:rFonts w:cstheme="minorHAnsi"/>
        </w:rPr>
        <w:t xml:space="preserve"> includ</w:t>
      </w:r>
      <w:r w:rsidR="00525582">
        <w:rPr>
          <w:rFonts w:cstheme="minorHAnsi"/>
        </w:rPr>
        <w:t>e</w:t>
      </w:r>
      <w:r w:rsidR="00E92A36" w:rsidRPr="004C79FC">
        <w:rPr>
          <w:rFonts w:cstheme="minorHAnsi"/>
        </w:rPr>
        <w:t xml:space="preserve"> the</w:t>
      </w:r>
      <w:r w:rsidR="009626CD" w:rsidRPr="004C79FC">
        <w:rPr>
          <w:rFonts w:cstheme="minorHAnsi"/>
        </w:rPr>
        <w:t xml:space="preserve"> removal of any unwanted facilities and the addition of CO</w:t>
      </w:r>
      <w:r w:rsidR="009626CD" w:rsidRPr="004C79FC">
        <w:rPr>
          <w:rFonts w:cstheme="minorHAnsi"/>
          <w:vertAlign w:val="subscript"/>
        </w:rPr>
        <w:t>2</w:t>
      </w:r>
      <w:r w:rsidR="009626CD" w:rsidRPr="004C79FC">
        <w:rPr>
          <w:rFonts w:cstheme="minorHAnsi"/>
        </w:rPr>
        <w:t xml:space="preserve"> processing and injection facilities, such as filters, heaters</w:t>
      </w:r>
      <w:r w:rsidR="00525582">
        <w:rPr>
          <w:rFonts w:cstheme="minorHAnsi"/>
        </w:rPr>
        <w:t>,</w:t>
      </w:r>
      <w:r w:rsidR="003F70A7">
        <w:rPr>
          <w:rFonts w:cstheme="minorHAnsi"/>
        </w:rPr>
        <w:t xml:space="preserve"> monitoring facilities</w:t>
      </w:r>
      <w:r w:rsidR="009626CD" w:rsidRPr="004C79FC">
        <w:rPr>
          <w:rFonts w:cstheme="minorHAnsi"/>
        </w:rPr>
        <w:t xml:space="preserve"> etc</w:t>
      </w:r>
      <w:r w:rsidR="00F2356C">
        <w:rPr>
          <w:rFonts w:cstheme="minorHAnsi"/>
        </w:rPr>
        <w:t>.</w:t>
      </w:r>
      <w:r w:rsidR="003F70A7">
        <w:rPr>
          <w:rFonts w:cstheme="minorHAnsi"/>
        </w:rPr>
        <w:t xml:space="preserve"> (e.g. Spence et al., 2014)</w:t>
      </w:r>
      <w:r w:rsidR="003D7D6A" w:rsidRPr="004C79FC">
        <w:rPr>
          <w:rFonts w:cstheme="minorHAnsi"/>
        </w:rPr>
        <w:t xml:space="preserve">.  A full refurbishment of </w:t>
      </w:r>
      <w:r w:rsidR="00402CA9" w:rsidRPr="004C79FC">
        <w:rPr>
          <w:rFonts w:cstheme="minorHAnsi"/>
        </w:rPr>
        <w:t>health and safety</w:t>
      </w:r>
      <w:r w:rsidR="003D7D6A" w:rsidRPr="004C79FC">
        <w:rPr>
          <w:rFonts w:cstheme="minorHAnsi"/>
        </w:rPr>
        <w:t xml:space="preserve"> systems such as flare</w:t>
      </w:r>
      <w:r w:rsidR="00525582">
        <w:rPr>
          <w:rFonts w:cstheme="minorHAnsi"/>
        </w:rPr>
        <w:t>s</w:t>
      </w:r>
      <w:r w:rsidR="003D7D6A" w:rsidRPr="004C79FC">
        <w:rPr>
          <w:rFonts w:cstheme="minorHAnsi"/>
        </w:rPr>
        <w:t xml:space="preserve"> and vent</w:t>
      </w:r>
      <w:r w:rsidR="00525582">
        <w:rPr>
          <w:rFonts w:cstheme="minorHAnsi"/>
        </w:rPr>
        <w:t>s</w:t>
      </w:r>
      <w:r w:rsidR="003D7D6A" w:rsidRPr="004C79FC">
        <w:rPr>
          <w:rFonts w:cstheme="minorHAnsi"/>
        </w:rPr>
        <w:t xml:space="preserve"> </w:t>
      </w:r>
      <w:r w:rsidR="00525582">
        <w:rPr>
          <w:rFonts w:cstheme="minorHAnsi"/>
        </w:rPr>
        <w:t>may</w:t>
      </w:r>
      <w:r w:rsidR="00525582" w:rsidRPr="004C79FC">
        <w:rPr>
          <w:rFonts w:cstheme="minorHAnsi"/>
        </w:rPr>
        <w:t xml:space="preserve"> </w:t>
      </w:r>
      <w:r w:rsidR="003D7D6A" w:rsidRPr="004C79FC">
        <w:rPr>
          <w:rFonts w:cstheme="minorHAnsi"/>
        </w:rPr>
        <w:t xml:space="preserve">also </w:t>
      </w:r>
      <w:r w:rsidR="00525582">
        <w:rPr>
          <w:rFonts w:cstheme="minorHAnsi"/>
        </w:rPr>
        <w:t xml:space="preserve">be </w:t>
      </w:r>
      <w:r w:rsidR="003D7D6A" w:rsidRPr="004C79FC">
        <w:rPr>
          <w:rFonts w:cstheme="minorHAnsi"/>
        </w:rPr>
        <w:t>required</w:t>
      </w:r>
      <w:r w:rsidR="009626CD" w:rsidRPr="004C79FC">
        <w:rPr>
          <w:rFonts w:cstheme="minorHAnsi"/>
        </w:rPr>
        <w:t xml:space="preserve">. </w:t>
      </w:r>
      <w:r w:rsidR="00525582">
        <w:rPr>
          <w:rFonts w:cstheme="minorHAnsi"/>
        </w:rPr>
        <w:t>Issues</w:t>
      </w:r>
      <w:r w:rsidR="00525582" w:rsidRPr="004C79FC">
        <w:rPr>
          <w:rFonts w:cstheme="minorHAnsi"/>
        </w:rPr>
        <w:t xml:space="preserve"> </w:t>
      </w:r>
      <w:r w:rsidR="00A514B2" w:rsidRPr="004C79FC">
        <w:rPr>
          <w:rFonts w:cstheme="minorHAnsi"/>
        </w:rPr>
        <w:t xml:space="preserve">such as the </w:t>
      </w:r>
      <w:r w:rsidR="00525582">
        <w:rPr>
          <w:rFonts w:cstheme="minorHAnsi"/>
        </w:rPr>
        <w:t>continuing</w:t>
      </w:r>
      <w:r w:rsidR="00525582" w:rsidRPr="004C79FC">
        <w:rPr>
          <w:rFonts w:cstheme="minorHAnsi"/>
        </w:rPr>
        <w:t xml:space="preserve"> </w:t>
      </w:r>
      <w:r w:rsidR="00A514B2" w:rsidRPr="004C79FC">
        <w:rPr>
          <w:rFonts w:cstheme="minorHAnsi"/>
        </w:rPr>
        <w:t>structural integrity of the jacket, on which the platform is based, or limited space on the platform</w:t>
      </w:r>
      <w:r w:rsidR="00525582">
        <w:rPr>
          <w:rFonts w:cstheme="minorHAnsi"/>
        </w:rPr>
        <w:t>,</w:t>
      </w:r>
      <w:r w:rsidR="00A514B2" w:rsidRPr="004C79FC">
        <w:rPr>
          <w:rFonts w:cstheme="minorHAnsi"/>
        </w:rPr>
        <w:t xml:space="preserve"> </w:t>
      </w:r>
      <w:r w:rsidR="00525582">
        <w:rPr>
          <w:rFonts w:cstheme="minorHAnsi"/>
        </w:rPr>
        <w:t>may also</w:t>
      </w:r>
      <w:r w:rsidR="00A514B2" w:rsidRPr="004C79FC">
        <w:rPr>
          <w:rFonts w:cstheme="minorHAnsi"/>
        </w:rPr>
        <w:t xml:space="preserve"> have implications on the economics of re-use. Additionally, there may be regulatory uncertainties, related to the granting of new permits</w:t>
      </w:r>
      <w:r w:rsidR="00525582">
        <w:rPr>
          <w:rFonts w:cstheme="minorHAnsi"/>
        </w:rPr>
        <w:t>,</w:t>
      </w:r>
      <w:r w:rsidR="00A514B2" w:rsidRPr="004C79FC">
        <w:rPr>
          <w:rFonts w:cstheme="minorHAnsi"/>
        </w:rPr>
        <w:t xml:space="preserve"> and on the </w:t>
      </w:r>
      <w:r w:rsidR="00525582">
        <w:rPr>
          <w:rFonts w:cstheme="minorHAnsi"/>
        </w:rPr>
        <w:t>question</w:t>
      </w:r>
      <w:r w:rsidR="00525582" w:rsidRPr="004C79FC">
        <w:rPr>
          <w:rFonts w:cstheme="minorHAnsi"/>
        </w:rPr>
        <w:t xml:space="preserve"> </w:t>
      </w:r>
      <w:r w:rsidR="00A514B2" w:rsidRPr="004C79FC">
        <w:rPr>
          <w:rFonts w:cstheme="minorHAnsi"/>
        </w:rPr>
        <w:t xml:space="preserve">of liabilities from previous asset owners if ownership changes </w:t>
      </w:r>
      <w:r w:rsidR="00525582">
        <w:rPr>
          <w:rFonts w:cstheme="minorHAnsi"/>
        </w:rPr>
        <w:t>evolving from oil and gas production to CO</w:t>
      </w:r>
      <w:r w:rsidR="00525582" w:rsidRPr="00525582">
        <w:rPr>
          <w:rFonts w:cstheme="minorHAnsi"/>
          <w:vertAlign w:val="subscript"/>
        </w:rPr>
        <w:t>2</w:t>
      </w:r>
      <w:r w:rsidR="00525582">
        <w:rPr>
          <w:rFonts w:cstheme="minorHAnsi"/>
        </w:rPr>
        <w:t xml:space="preserve"> injection</w:t>
      </w:r>
      <w:r w:rsidR="00A514B2" w:rsidRPr="004C79FC">
        <w:rPr>
          <w:rFonts w:cstheme="minorHAnsi"/>
        </w:rPr>
        <w:t xml:space="preserve">. </w:t>
      </w:r>
      <w:r w:rsidR="00525582">
        <w:rPr>
          <w:rFonts w:cstheme="minorHAnsi"/>
        </w:rPr>
        <w:t>For</w:t>
      </w:r>
      <w:r w:rsidR="00336E11" w:rsidRPr="004C79FC">
        <w:rPr>
          <w:rFonts w:cstheme="minorHAnsi"/>
        </w:rPr>
        <w:t xml:space="preserve"> example, </w:t>
      </w:r>
      <w:r w:rsidR="00A514B2" w:rsidRPr="004C79FC">
        <w:rPr>
          <w:rFonts w:cstheme="minorHAnsi"/>
        </w:rPr>
        <w:t xml:space="preserve">Jansen et al. (2011) calculated that the </w:t>
      </w:r>
      <w:r w:rsidR="00A36352" w:rsidRPr="004C79FC">
        <w:rPr>
          <w:rFonts w:cstheme="minorHAnsi"/>
        </w:rPr>
        <w:t xml:space="preserve">capital and </w:t>
      </w:r>
      <w:r w:rsidR="00336E11" w:rsidRPr="004C79FC">
        <w:rPr>
          <w:rFonts w:cstheme="minorHAnsi"/>
        </w:rPr>
        <w:t>o</w:t>
      </w:r>
      <w:r w:rsidR="009626CD" w:rsidRPr="004C79FC">
        <w:rPr>
          <w:rFonts w:cstheme="minorHAnsi"/>
        </w:rPr>
        <w:t>perating costs for</w:t>
      </w:r>
      <w:r w:rsidR="00E92A36" w:rsidRPr="004C79FC">
        <w:rPr>
          <w:rFonts w:cstheme="minorHAnsi"/>
        </w:rPr>
        <w:t xml:space="preserve"> </w:t>
      </w:r>
      <w:r w:rsidR="007C538B" w:rsidRPr="004C79FC">
        <w:rPr>
          <w:rFonts w:cstheme="minorHAnsi"/>
        </w:rPr>
        <w:t xml:space="preserve">re-purposing </w:t>
      </w:r>
      <w:r w:rsidR="00A36352" w:rsidRPr="004C79FC">
        <w:rPr>
          <w:rFonts w:cstheme="minorHAnsi"/>
        </w:rPr>
        <w:t>a</w:t>
      </w:r>
      <w:r w:rsidR="009626CD" w:rsidRPr="004C79FC">
        <w:rPr>
          <w:rFonts w:cstheme="minorHAnsi"/>
        </w:rPr>
        <w:t xml:space="preserve"> Southern North Sea </w:t>
      </w:r>
      <w:r w:rsidR="003D7D6A" w:rsidRPr="004C79FC">
        <w:rPr>
          <w:rFonts w:cstheme="minorHAnsi"/>
        </w:rPr>
        <w:t xml:space="preserve">gas </w:t>
      </w:r>
      <w:r w:rsidR="009626CD" w:rsidRPr="004C79FC">
        <w:rPr>
          <w:rFonts w:cstheme="minorHAnsi"/>
        </w:rPr>
        <w:t xml:space="preserve">platform, with </w:t>
      </w:r>
      <w:r w:rsidR="00735863" w:rsidRPr="004C79FC">
        <w:rPr>
          <w:rFonts w:cstheme="minorHAnsi"/>
        </w:rPr>
        <w:t>four</w:t>
      </w:r>
      <w:r w:rsidR="009626CD" w:rsidRPr="004C79FC">
        <w:rPr>
          <w:rFonts w:cstheme="minorHAnsi"/>
        </w:rPr>
        <w:t xml:space="preserve"> wells, </w:t>
      </w:r>
      <w:r w:rsidR="00A36352" w:rsidRPr="004C79FC">
        <w:rPr>
          <w:rFonts w:cstheme="minorHAnsi"/>
        </w:rPr>
        <w:t>was</w:t>
      </w:r>
      <w:r w:rsidR="009626CD" w:rsidRPr="004C79FC">
        <w:rPr>
          <w:rFonts w:cstheme="minorHAnsi"/>
        </w:rPr>
        <w:t xml:space="preserve"> estimated to be </w:t>
      </w:r>
      <w:r w:rsidR="00A36352" w:rsidRPr="004C79FC">
        <w:rPr>
          <w:rFonts w:cstheme="minorHAnsi"/>
        </w:rPr>
        <w:t>€3</w:t>
      </w:r>
      <w:r w:rsidR="00A514B2" w:rsidRPr="004C79FC">
        <w:rPr>
          <w:rFonts w:cstheme="minorHAnsi"/>
        </w:rPr>
        <w:t xml:space="preserve"> </w:t>
      </w:r>
      <w:r w:rsidR="00A36352" w:rsidRPr="004C79FC">
        <w:rPr>
          <w:rFonts w:cstheme="minorHAnsi"/>
        </w:rPr>
        <w:t>m/well and</w:t>
      </w:r>
      <w:r w:rsidR="009626CD" w:rsidRPr="004C79FC">
        <w:rPr>
          <w:rFonts w:cstheme="minorHAnsi"/>
        </w:rPr>
        <w:t xml:space="preserve"> </w:t>
      </w:r>
      <w:r w:rsidR="00A36352" w:rsidRPr="004C79FC">
        <w:rPr>
          <w:rFonts w:cstheme="minorHAnsi"/>
        </w:rPr>
        <w:t>€</w:t>
      </w:r>
      <w:r w:rsidR="009626CD" w:rsidRPr="004C79FC">
        <w:rPr>
          <w:rFonts w:cstheme="minorHAnsi"/>
        </w:rPr>
        <w:t>2</w:t>
      </w:r>
      <w:r w:rsidR="00A514B2" w:rsidRPr="004C79FC">
        <w:rPr>
          <w:rFonts w:cstheme="minorHAnsi"/>
        </w:rPr>
        <w:t xml:space="preserve"> </w:t>
      </w:r>
      <w:r w:rsidR="009626CD" w:rsidRPr="004C79FC">
        <w:rPr>
          <w:rFonts w:cstheme="minorHAnsi"/>
        </w:rPr>
        <w:t>m</w:t>
      </w:r>
      <w:r w:rsidR="00A36352" w:rsidRPr="004C79FC">
        <w:rPr>
          <w:rFonts w:cstheme="minorHAnsi"/>
        </w:rPr>
        <w:t>/well/</w:t>
      </w:r>
      <w:r w:rsidR="009626CD" w:rsidRPr="004C79FC">
        <w:rPr>
          <w:rFonts w:cstheme="minorHAnsi"/>
        </w:rPr>
        <w:t>year</w:t>
      </w:r>
      <w:r w:rsidR="00525582">
        <w:rPr>
          <w:rFonts w:cstheme="minorHAnsi"/>
        </w:rPr>
        <w:t xml:space="preserve"> respectively</w:t>
      </w:r>
      <w:r w:rsidR="009626CD" w:rsidRPr="004C79FC">
        <w:rPr>
          <w:rFonts w:cstheme="minorHAnsi"/>
        </w:rPr>
        <w:t xml:space="preserve">, </w:t>
      </w:r>
      <w:r w:rsidR="00660117" w:rsidRPr="004C79FC">
        <w:rPr>
          <w:rFonts w:cstheme="minorHAnsi"/>
        </w:rPr>
        <w:t xml:space="preserve">whereas </w:t>
      </w:r>
      <w:r w:rsidR="007C538B" w:rsidRPr="004C79FC">
        <w:rPr>
          <w:rFonts w:cstheme="minorHAnsi"/>
        </w:rPr>
        <w:t xml:space="preserve">costs </w:t>
      </w:r>
      <w:r w:rsidR="009626CD" w:rsidRPr="004C79FC">
        <w:rPr>
          <w:rFonts w:cstheme="minorHAnsi"/>
        </w:rPr>
        <w:t xml:space="preserve">for </w:t>
      </w:r>
      <w:r w:rsidR="00A36352" w:rsidRPr="004C79FC">
        <w:rPr>
          <w:rFonts w:cstheme="minorHAnsi"/>
        </w:rPr>
        <w:t>building and operating a new platform could reach €40</w:t>
      </w:r>
      <w:r w:rsidR="00A514B2" w:rsidRPr="004C79FC">
        <w:rPr>
          <w:rFonts w:cstheme="minorHAnsi"/>
        </w:rPr>
        <w:t xml:space="preserve"> </w:t>
      </w:r>
      <w:r w:rsidR="00A36352" w:rsidRPr="004C79FC">
        <w:rPr>
          <w:rFonts w:cstheme="minorHAnsi"/>
        </w:rPr>
        <w:t>m/well and €1.5</w:t>
      </w:r>
      <w:r w:rsidR="00A514B2" w:rsidRPr="004C79FC">
        <w:rPr>
          <w:rFonts w:cstheme="minorHAnsi"/>
        </w:rPr>
        <w:t xml:space="preserve"> </w:t>
      </w:r>
      <w:r w:rsidR="00A36352" w:rsidRPr="004C79FC">
        <w:rPr>
          <w:rFonts w:cstheme="minorHAnsi"/>
        </w:rPr>
        <w:t>m/well/y</w:t>
      </w:r>
      <w:r w:rsidR="009626CD" w:rsidRPr="004C79FC">
        <w:rPr>
          <w:rFonts w:cstheme="minorHAnsi"/>
        </w:rPr>
        <w:t xml:space="preserve">ear. </w:t>
      </w:r>
      <w:r w:rsidR="00525582">
        <w:rPr>
          <w:rFonts w:cstheme="minorHAnsi"/>
        </w:rPr>
        <w:t>In summary</w:t>
      </w:r>
      <w:r w:rsidR="009626CD" w:rsidRPr="004C79FC">
        <w:rPr>
          <w:rFonts w:cstheme="minorHAnsi"/>
        </w:rPr>
        <w:t>, economic</w:t>
      </w:r>
      <w:r w:rsidR="00525582">
        <w:rPr>
          <w:rFonts w:cstheme="minorHAnsi"/>
        </w:rPr>
        <w:t xml:space="preserve"> issue</w:t>
      </w:r>
      <w:r w:rsidR="009626CD" w:rsidRPr="004C79FC">
        <w:rPr>
          <w:rFonts w:cstheme="minorHAnsi"/>
        </w:rPr>
        <w:t xml:space="preserve">s may </w:t>
      </w:r>
      <w:r w:rsidR="00525582">
        <w:rPr>
          <w:rFonts w:cstheme="minorHAnsi"/>
        </w:rPr>
        <w:t>result in</w:t>
      </w:r>
      <w:r w:rsidR="009626CD" w:rsidRPr="004C79FC">
        <w:rPr>
          <w:rFonts w:cstheme="minorHAnsi"/>
        </w:rPr>
        <w:t xml:space="preserve"> a new platform, or a subsea solution, </w:t>
      </w:r>
      <w:r w:rsidR="00525582">
        <w:rPr>
          <w:rFonts w:cstheme="minorHAnsi"/>
        </w:rPr>
        <w:t>being</w:t>
      </w:r>
      <w:r w:rsidR="00525582" w:rsidRPr="004C79FC">
        <w:rPr>
          <w:rFonts w:cstheme="minorHAnsi"/>
        </w:rPr>
        <w:t xml:space="preserve"> </w:t>
      </w:r>
      <w:r w:rsidR="009626CD" w:rsidRPr="004C79FC">
        <w:rPr>
          <w:rFonts w:cstheme="minorHAnsi"/>
        </w:rPr>
        <w:t xml:space="preserve">more cost effective than </w:t>
      </w:r>
      <w:r w:rsidR="00210DEF" w:rsidRPr="004C79FC">
        <w:rPr>
          <w:rFonts w:cstheme="minorHAnsi"/>
        </w:rPr>
        <w:t xml:space="preserve">re-use of </w:t>
      </w:r>
      <w:r w:rsidR="00525582">
        <w:rPr>
          <w:rFonts w:cstheme="minorHAnsi"/>
        </w:rPr>
        <w:t xml:space="preserve">production </w:t>
      </w:r>
      <w:r w:rsidR="00D63B2D">
        <w:rPr>
          <w:rFonts w:cstheme="minorHAnsi"/>
        </w:rPr>
        <w:t>facilities.</w:t>
      </w:r>
    </w:p>
    <w:p w14:paraId="572338BE" w14:textId="45A2D6D8" w:rsidR="009626CD" w:rsidRPr="004C79FC" w:rsidRDefault="0042205B">
      <w:pPr>
        <w:spacing w:after="240" w:line="240" w:lineRule="auto"/>
        <w:rPr>
          <w:rFonts w:cstheme="minorHAnsi"/>
        </w:rPr>
      </w:pPr>
      <w:r>
        <w:rPr>
          <w:rFonts w:cstheme="minorHAnsi"/>
          <w:b/>
        </w:rPr>
        <w:t xml:space="preserve">4.3. </w:t>
      </w:r>
      <w:r w:rsidR="009626CD" w:rsidRPr="004C79FC">
        <w:rPr>
          <w:rFonts w:cstheme="minorHAnsi"/>
          <w:b/>
        </w:rPr>
        <w:t xml:space="preserve">Well </w:t>
      </w:r>
      <w:r w:rsidR="009A30EC" w:rsidRPr="004C79FC">
        <w:rPr>
          <w:rFonts w:cstheme="minorHAnsi"/>
          <w:b/>
        </w:rPr>
        <w:t>re-use</w:t>
      </w:r>
      <w:r w:rsidR="009E5D02" w:rsidRPr="004C79FC">
        <w:rPr>
          <w:rFonts w:cstheme="minorHAnsi"/>
          <w:b/>
        </w:rPr>
        <w:t xml:space="preserve">: </w:t>
      </w:r>
      <w:r w:rsidR="00525582" w:rsidRPr="004C79FC">
        <w:rPr>
          <w:rFonts w:cstheme="minorHAnsi"/>
        </w:rPr>
        <w:t>Th</w:t>
      </w:r>
      <w:r w:rsidR="00525582">
        <w:rPr>
          <w:rFonts w:cstheme="minorHAnsi"/>
        </w:rPr>
        <w:t>e</w:t>
      </w:r>
      <w:r w:rsidR="00525582" w:rsidRPr="004C79FC">
        <w:rPr>
          <w:rFonts w:cstheme="minorHAnsi"/>
        </w:rPr>
        <w:t xml:space="preserve"> basis </w:t>
      </w:r>
      <w:r w:rsidR="00525582">
        <w:rPr>
          <w:rFonts w:cstheme="minorHAnsi"/>
        </w:rPr>
        <w:t>for</w:t>
      </w:r>
      <w:r w:rsidR="00525582" w:rsidRPr="004C79FC">
        <w:rPr>
          <w:rFonts w:cstheme="minorHAnsi"/>
        </w:rPr>
        <w:t xml:space="preserve"> </w:t>
      </w:r>
      <w:r w:rsidR="00525582">
        <w:rPr>
          <w:rFonts w:cstheme="minorHAnsi"/>
        </w:rPr>
        <w:t xml:space="preserve">the </w:t>
      </w:r>
      <w:r w:rsidR="00525582" w:rsidRPr="004C79FC">
        <w:rPr>
          <w:rFonts w:cstheme="minorHAnsi"/>
        </w:rPr>
        <w:t xml:space="preserve">design </w:t>
      </w:r>
      <w:r w:rsidR="00525582">
        <w:rPr>
          <w:rFonts w:cstheme="minorHAnsi"/>
        </w:rPr>
        <w:t>of</w:t>
      </w:r>
      <w:r w:rsidR="00525582" w:rsidRPr="004C79FC">
        <w:rPr>
          <w:rFonts w:cstheme="minorHAnsi"/>
        </w:rPr>
        <w:t xml:space="preserve"> an oil </w:t>
      </w:r>
      <w:r w:rsidR="00525582">
        <w:rPr>
          <w:rFonts w:cstheme="minorHAnsi"/>
        </w:rPr>
        <w:t>or</w:t>
      </w:r>
      <w:r w:rsidR="00525582" w:rsidRPr="004C79FC">
        <w:rPr>
          <w:rFonts w:cstheme="minorHAnsi"/>
        </w:rPr>
        <w:t xml:space="preserve"> gas </w:t>
      </w:r>
      <w:r w:rsidR="00525582">
        <w:rPr>
          <w:rFonts w:cstheme="minorHAnsi"/>
        </w:rPr>
        <w:t xml:space="preserve">production </w:t>
      </w:r>
      <w:r w:rsidR="00525582" w:rsidRPr="004C79FC">
        <w:rPr>
          <w:rFonts w:cstheme="minorHAnsi"/>
        </w:rPr>
        <w:t>well is different from that of a CO</w:t>
      </w:r>
      <w:r w:rsidR="00525582" w:rsidRPr="004C79FC">
        <w:rPr>
          <w:rFonts w:cstheme="minorHAnsi"/>
          <w:vertAlign w:val="subscript"/>
        </w:rPr>
        <w:t>2</w:t>
      </w:r>
      <w:r w:rsidR="00525582" w:rsidRPr="004C79FC">
        <w:rPr>
          <w:rFonts w:cstheme="minorHAnsi"/>
        </w:rPr>
        <w:t xml:space="preserve"> injection well (Bai et al., 2015)</w:t>
      </w:r>
      <w:r w:rsidR="00644C70">
        <w:rPr>
          <w:rFonts w:cstheme="minorHAnsi"/>
        </w:rPr>
        <w:t>. Therefore, although</w:t>
      </w:r>
      <w:r w:rsidR="009626CD" w:rsidRPr="004C79FC">
        <w:rPr>
          <w:rFonts w:cstheme="minorHAnsi"/>
        </w:rPr>
        <w:t xml:space="preserve"> redundant oil and gas </w:t>
      </w:r>
      <w:r w:rsidR="00644C70">
        <w:rPr>
          <w:rFonts w:cstheme="minorHAnsi"/>
        </w:rPr>
        <w:t xml:space="preserve">production </w:t>
      </w:r>
      <w:r w:rsidR="009626CD" w:rsidRPr="004C79FC">
        <w:rPr>
          <w:rFonts w:cstheme="minorHAnsi"/>
        </w:rPr>
        <w:t>wells could be repurposed for CO</w:t>
      </w:r>
      <w:r w:rsidR="009626CD" w:rsidRPr="004C79FC">
        <w:rPr>
          <w:rFonts w:cstheme="minorHAnsi"/>
          <w:vertAlign w:val="subscript"/>
        </w:rPr>
        <w:t>2</w:t>
      </w:r>
      <w:r w:rsidR="009626CD" w:rsidRPr="004C79FC">
        <w:rPr>
          <w:rFonts w:cstheme="minorHAnsi"/>
        </w:rPr>
        <w:t xml:space="preserve"> injection, </w:t>
      </w:r>
      <w:r w:rsidR="00644C70">
        <w:rPr>
          <w:rFonts w:cstheme="minorHAnsi"/>
        </w:rPr>
        <w:t>n</w:t>
      </w:r>
      <w:r w:rsidR="009626CD" w:rsidRPr="004C79FC">
        <w:rPr>
          <w:rFonts w:cstheme="minorHAnsi"/>
        </w:rPr>
        <w:t>ew wells are most likely to be required for CCS</w:t>
      </w:r>
      <w:r w:rsidR="00644C70">
        <w:rPr>
          <w:rFonts w:cstheme="minorHAnsi"/>
        </w:rPr>
        <w:t xml:space="preserve"> </w:t>
      </w:r>
      <w:r w:rsidR="00644C70" w:rsidRPr="004C79FC">
        <w:rPr>
          <w:rFonts w:cstheme="minorHAnsi"/>
        </w:rPr>
        <w:t>given the technical difficulties, risks and economic realities</w:t>
      </w:r>
      <w:r w:rsidR="009626CD" w:rsidRPr="004C79FC">
        <w:rPr>
          <w:rFonts w:cstheme="minorHAnsi"/>
        </w:rPr>
        <w:t xml:space="preserve">. </w:t>
      </w:r>
      <w:r w:rsidR="00644C70">
        <w:rPr>
          <w:rFonts w:cstheme="minorHAnsi"/>
        </w:rPr>
        <w:t>Well d</w:t>
      </w:r>
      <w:r w:rsidR="007D37E9" w:rsidRPr="004C79FC">
        <w:rPr>
          <w:rFonts w:cstheme="minorHAnsi"/>
        </w:rPr>
        <w:t>esign, in this respect, refers to the operating criteria which would make various elements of the well, such as existing wellhea</w:t>
      </w:r>
      <w:r w:rsidR="00522A41" w:rsidRPr="004C79FC">
        <w:rPr>
          <w:rFonts w:cstheme="minorHAnsi"/>
        </w:rPr>
        <w:t>d</w:t>
      </w:r>
      <w:r w:rsidR="007D37E9" w:rsidRPr="004C79FC">
        <w:rPr>
          <w:rFonts w:cstheme="minorHAnsi"/>
        </w:rPr>
        <w:t>, casing strings and downhole equipment</w:t>
      </w:r>
      <w:r w:rsidR="005B7E2F" w:rsidRPr="004C79FC">
        <w:rPr>
          <w:rFonts w:cstheme="minorHAnsi"/>
        </w:rPr>
        <w:t>,</w:t>
      </w:r>
      <w:r w:rsidR="007D37E9" w:rsidRPr="004C79FC">
        <w:rPr>
          <w:rFonts w:cstheme="minorHAnsi"/>
        </w:rPr>
        <w:t xml:space="preserve"> unlikely to be suitable for CO</w:t>
      </w:r>
      <w:r w:rsidR="007D37E9" w:rsidRPr="004C79FC">
        <w:rPr>
          <w:rFonts w:cstheme="minorHAnsi"/>
          <w:vertAlign w:val="subscript"/>
        </w:rPr>
        <w:t>2</w:t>
      </w:r>
      <w:r w:rsidR="007D37E9" w:rsidRPr="004C79FC">
        <w:rPr>
          <w:rFonts w:cstheme="minorHAnsi"/>
        </w:rPr>
        <w:t xml:space="preserve"> injection.</w:t>
      </w:r>
      <w:r w:rsidR="00FB2B04">
        <w:rPr>
          <w:rFonts w:cstheme="minorHAnsi"/>
        </w:rPr>
        <w:t xml:space="preserve">  </w:t>
      </w:r>
      <w:r w:rsidR="009626CD" w:rsidRPr="004C79FC">
        <w:rPr>
          <w:rFonts w:cstheme="minorHAnsi"/>
        </w:rPr>
        <w:t xml:space="preserve">Those </w:t>
      </w:r>
      <w:r w:rsidR="00210DEF" w:rsidRPr="004C79FC">
        <w:rPr>
          <w:rFonts w:cstheme="minorHAnsi"/>
        </w:rPr>
        <w:t xml:space="preserve">wells </w:t>
      </w:r>
      <w:r w:rsidR="009626CD" w:rsidRPr="004C79FC">
        <w:rPr>
          <w:rFonts w:cstheme="minorHAnsi"/>
        </w:rPr>
        <w:t xml:space="preserve">that </w:t>
      </w:r>
      <w:r w:rsidR="00644C70">
        <w:rPr>
          <w:rFonts w:cstheme="minorHAnsi"/>
        </w:rPr>
        <w:t>may</w:t>
      </w:r>
      <w:r w:rsidR="00644C70" w:rsidRPr="004C79FC">
        <w:rPr>
          <w:rFonts w:cstheme="minorHAnsi"/>
        </w:rPr>
        <w:t xml:space="preserve"> </w:t>
      </w:r>
      <w:r w:rsidR="009626CD" w:rsidRPr="004C79FC">
        <w:rPr>
          <w:rFonts w:cstheme="minorHAnsi"/>
        </w:rPr>
        <w:t xml:space="preserve">be considered suitable </w:t>
      </w:r>
      <w:r w:rsidR="00644C70">
        <w:rPr>
          <w:rFonts w:cstheme="minorHAnsi"/>
        </w:rPr>
        <w:t>might</w:t>
      </w:r>
      <w:r w:rsidR="00644C70" w:rsidRPr="004C79FC">
        <w:rPr>
          <w:rFonts w:cstheme="minorHAnsi"/>
        </w:rPr>
        <w:t xml:space="preserve"> </w:t>
      </w:r>
      <w:r w:rsidR="009626CD" w:rsidRPr="004C79FC">
        <w:rPr>
          <w:rFonts w:cstheme="minorHAnsi"/>
        </w:rPr>
        <w:t xml:space="preserve">carry a </w:t>
      </w:r>
      <w:r w:rsidR="00644C70">
        <w:rPr>
          <w:rFonts w:cstheme="minorHAnsi"/>
        </w:rPr>
        <w:t>degree</w:t>
      </w:r>
      <w:r w:rsidR="00644C70" w:rsidRPr="004C79FC">
        <w:rPr>
          <w:rFonts w:cstheme="minorHAnsi"/>
        </w:rPr>
        <w:t xml:space="preserve"> </w:t>
      </w:r>
      <w:r w:rsidR="009626CD" w:rsidRPr="004C79FC">
        <w:rPr>
          <w:rFonts w:cstheme="minorHAnsi"/>
        </w:rPr>
        <w:t>of risk</w:t>
      </w:r>
      <w:r w:rsidR="003D7D6A" w:rsidRPr="004C79FC">
        <w:rPr>
          <w:rFonts w:cstheme="minorHAnsi"/>
        </w:rPr>
        <w:t xml:space="preserve"> and compromise</w:t>
      </w:r>
      <w:r w:rsidR="009626CD" w:rsidRPr="004C79FC">
        <w:rPr>
          <w:rFonts w:cstheme="minorHAnsi"/>
        </w:rPr>
        <w:t>, which</w:t>
      </w:r>
      <w:r w:rsidR="00C95392" w:rsidRPr="004C79FC">
        <w:rPr>
          <w:rFonts w:cstheme="minorHAnsi"/>
        </w:rPr>
        <w:t>,</w:t>
      </w:r>
      <w:r w:rsidR="009626CD" w:rsidRPr="004C79FC">
        <w:rPr>
          <w:rFonts w:cstheme="minorHAnsi"/>
        </w:rPr>
        <w:t xml:space="preserve"> given the potential consequences</w:t>
      </w:r>
      <w:r w:rsidR="00C95392" w:rsidRPr="004C79FC">
        <w:rPr>
          <w:rFonts w:cstheme="minorHAnsi"/>
        </w:rPr>
        <w:t>,</w:t>
      </w:r>
      <w:r w:rsidR="009626CD" w:rsidRPr="004C79FC">
        <w:rPr>
          <w:rFonts w:cstheme="minorHAnsi"/>
        </w:rPr>
        <w:t xml:space="preserve"> may not </w:t>
      </w:r>
      <w:r w:rsidR="009626CD" w:rsidRPr="004C79FC">
        <w:rPr>
          <w:rFonts w:cstheme="minorHAnsi"/>
        </w:rPr>
        <w:lastRenderedPageBreak/>
        <w:t xml:space="preserve">be considered acceptable. In addition, the condition of redundant wells is often uncertain and would require considerable assessment and/or remedial intervention to enable </w:t>
      </w:r>
      <w:r w:rsidR="009A30EC" w:rsidRPr="004C79FC">
        <w:rPr>
          <w:rFonts w:cstheme="minorHAnsi"/>
        </w:rPr>
        <w:t>re-use</w:t>
      </w:r>
      <w:r w:rsidR="009626CD" w:rsidRPr="004C79FC">
        <w:rPr>
          <w:rFonts w:cstheme="minorHAnsi"/>
        </w:rPr>
        <w:t xml:space="preserve">, which could </w:t>
      </w:r>
      <w:r w:rsidR="00210DEF" w:rsidRPr="004C79FC">
        <w:rPr>
          <w:rFonts w:cstheme="minorHAnsi"/>
        </w:rPr>
        <w:t>lead to</w:t>
      </w:r>
      <w:r w:rsidR="009626CD" w:rsidRPr="004C79FC">
        <w:rPr>
          <w:rFonts w:cstheme="minorHAnsi"/>
        </w:rPr>
        <w:t xml:space="preserve"> a significant cost.</w:t>
      </w:r>
      <w:r w:rsidR="007D37E9" w:rsidRPr="004C79FC">
        <w:rPr>
          <w:rFonts w:cstheme="minorHAnsi"/>
        </w:rPr>
        <w:t xml:space="preserve"> </w:t>
      </w:r>
      <w:r w:rsidR="009626CD" w:rsidRPr="004C79FC">
        <w:rPr>
          <w:rFonts w:cstheme="minorHAnsi"/>
        </w:rPr>
        <w:t xml:space="preserve">The cost of </w:t>
      </w:r>
      <w:r w:rsidR="00F92A9E" w:rsidRPr="004C79FC">
        <w:rPr>
          <w:rFonts w:cstheme="minorHAnsi"/>
        </w:rPr>
        <w:t>re-using</w:t>
      </w:r>
      <w:r w:rsidR="00522A41" w:rsidRPr="004C79FC">
        <w:rPr>
          <w:rFonts w:cstheme="minorHAnsi"/>
        </w:rPr>
        <w:t xml:space="preserve"> a well </w:t>
      </w:r>
      <w:r w:rsidR="009626CD" w:rsidRPr="004C79FC">
        <w:rPr>
          <w:rFonts w:cstheme="minorHAnsi"/>
        </w:rPr>
        <w:t xml:space="preserve">would include costs for assessment of </w:t>
      </w:r>
      <w:r w:rsidR="00644C70">
        <w:rPr>
          <w:rFonts w:cstheme="minorHAnsi"/>
        </w:rPr>
        <w:t xml:space="preserve">the </w:t>
      </w:r>
      <w:r w:rsidR="00644C70" w:rsidRPr="004C79FC">
        <w:rPr>
          <w:rFonts w:cstheme="minorHAnsi"/>
        </w:rPr>
        <w:t xml:space="preserve">integrity </w:t>
      </w:r>
      <w:r w:rsidR="00644C70">
        <w:rPr>
          <w:rFonts w:cstheme="minorHAnsi"/>
        </w:rPr>
        <w:t xml:space="preserve">of the </w:t>
      </w:r>
      <w:r w:rsidR="009626CD" w:rsidRPr="004C79FC">
        <w:rPr>
          <w:rFonts w:cstheme="minorHAnsi"/>
        </w:rPr>
        <w:t xml:space="preserve">wellbore, </w:t>
      </w:r>
      <w:r w:rsidR="00644C70">
        <w:rPr>
          <w:rFonts w:cstheme="minorHAnsi"/>
        </w:rPr>
        <w:t xml:space="preserve">its </w:t>
      </w:r>
      <w:r w:rsidR="009626CD" w:rsidRPr="004C79FC">
        <w:rPr>
          <w:rFonts w:cstheme="minorHAnsi"/>
        </w:rPr>
        <w:t xml:space="preserve">casing and </w:t>
      </w:r>
      <w:r w:rsidR="00644C70">
        <w:rPr>
          <w:rFonts w:cstheme="minorHAnsi"/>
        </w:rPr>
        <w:t xml:space="preserve">the downhole </w:t>
      </w:r>
      <w:r w:rsidR="009626CD" w:rsidRPr="004C79FC">
        <w:rPr>
          <w:rFonts w:cstheme="minorHAnsi"/>
        </w:rPr>
        <w:t>completion</w:t>
      </w:r>
      <w:r w:rsidR="00644C70">
        <w:rPr>
          <w:rFonts w:cstheme="minorHAnsi"/>
        </w:rPr>
        <w:t xml:space="preserve"> infrastructure</w:t>
      </w:r>
      <w:r w:rsidR="009626CD" w:rsidRPr="004C79FC">
        <w:rPr>
          <w:rFonts w:cstheme="minorHAnsi"/>
        </w:rPr>
        <w:t>, as well as some remedial and conversion work.</w:t>
      </w:r>
      <w:r w:rsidR="00D63B2D">
        <w:rPr>
          <w:rFonts w:cstheme="minorHAnsi"/>
        </w:rPr>
        <w:t xml:space="preserve"> For all these issues, well re-use</w:t>
      </w:r>
      <w:r w:rsidR="00F06DE0">
        <w:rPr>
          <w:rFonts w:cstheme="minorHAnsi"/>
        </w:rPr>
        <w:t xml:space="preserve"> </w:t>
      </w:r>
      <w:r w:rsidR="00C630CF">
        <w:rPr>
          <w:rFonts w:cstheme="minorHAnsi"/>
        </w:rPr>
        <w:t xml:space="preserve">is not considered suitable for the Acorn storage project, in spite of the </w:t>
      </w:r>
      <w:r w:rsidR="00EC5A1E">
        <w:rPr>
          <w:rFonts w:cstheme="minorHAnsi"/>
        </w:rPr>
        <w:t>potential cost savings of their use (ACT Acorn, 2018a)</w:t>
      </w:r>
      <w:r w:rsidR="00C630CF">
        <w:rPr>
          <w:rFonts w:cstheme="minorHAnsi"/>
        </w:rPr>
        <w:t>.</w:t>
      </w:r>
    </w:p>
    <w:p w14:paraId="7D44A9A9" w14:textId="77777777" w:rsidR="00A51F4B" w:rsidRPr="004C79FC" w:rsidRDefault="00A51F4B" w:rsidP="008F550A">
      <w:pPr>
        <w:pStyle w:val="ListParagraph"/>
        <w:numPr>
          <w:ilvl w:val="0"/>
          <w:numId w:val="32"/>
        </w:numPr>
        <w:spacing w:after="240" w:line="240" w:lineRule="auto"/>
        <w:rPr>
          <w:rFonts w:cstheme="minorHAnsi"/>
          <w:b/>
        </w:rPr>
      </w:pPr>
      <w:r w:rsidRPr="004C79FC">
        <w:rPr>
          <w:rFonts w:cstheme="minorHAnsi"/>
          <w:b/>
        </w:rPr>
        <w:t>Storage development plan design</w:t>
      </w:r>
    </w:p>
    <w:p w14:paraId="4E2DB407" w14:textId="5C76168E" w:rsidR="000E1E7A" w:rsidRPr="004C79FC" w:rsidRDefault="006E7549" w:rsidP="008F550A">
      <w:pPr>
        <w:spacing w:after="240" w:line="240" w:lineRule="auto"/>
        <w:rPr>
          <w:rFonts w:cstheme="minorHAnsi"/>
        </w:rPr>
      </w:pPr>
      <w:r>
        <w:rPr>
          <w:rFonts w:cstheme="minorHAnsi"/>
        </w:rPr>
        <w:t>Similar to well-established field development plans utilised in the oil and gas industries, t</w:t>
      </w:r>
      <w:r w:rsidR="000E1E7A" w:rsidRPr="004C79FC">
        <w:rPr>
          <w:rFonts w:cstheme="minorHAnsi"/>
        </w:rPr>
        <w:t xml:space="preserve">he storage development plan (SDP) lies </w:t>
      </w:r>
      <w:r w:rsidR="001E6E52" w:rsidRPr="004C79FC">
        <w:rPr>
          <w:rFonts w:cstheme="minorHAnsi"/>
        </w:rPr>
        <w:t xml:space="preserve">at </w:t>
      </w:r>
      <w:r w:rsidR="000E1E7A" w:rsidRPr="004C79FC">
        <w:rPr>
          <w:rFonts w:cstheme="minorHAnsi"/>
        </w:rPr>
        <w:t>the heart of the planning process of a CCS project</w:t>
      </w:r>
      <w:r w:rsidR="00F30B13">
        <w:rPr>
          <w:rFonts w:cstheme="minorHAnsi"/>
        </w:rPr>
        <w:t>. The SDP</w:t>
      </w:r>
      <w:r w:rsidR="000E1E7A" w:rsidRPr="004C79FC">
        <w:rPr>
          <w:rFonts w:cstheme="minorHAnsi"/>
        </w:rPr>
        <w:t xml:space="preserve"> contains, or is the product of, a summary of results and conclusions of all the </w:t>
      </w:r>
      <w:r w:rsidR="00B77B9F">
        <w:rPr>
          <w:rFonts w:cstheme="minorHAnsi"/>
        </w:rPr>
        <w:t>geo</w:t>
      </w:r>
      <w:r w:rsidR="000E1E7A" w:rsidRPr="004C79FC">
        <w:rPr>
          <w:rFonts w:cstheme="minorHAnsi"/>
        </w:rPr>
        <w:t>technical</w:t>
      </w:r>
      <w:r w:rsidR="00B77B9F">
        <w:rPr>
          <w:rFonts w:cstheme="minorHAnsi"/>
        </w:rPr>
        <w:t>, engineering</w:t>
      </w:r>
      <w:r w:rsidR="000E1E7A" w:rsidRPr="004C79FC">
        <w:rPr>
          <w:rFonts w:cstheme="minorHAnsi"/>
        </w:rPr>
        <w:t xml:space="preserve"> and scientific work required. </w:t>
      </w:r>
      <w:r w:rsidR="00BA0982">
        <w:rPr>
          <w:rFonts w:cstheme="minorHAnsi"/>
        </w:rPr>
        <w:t>Acorn represented one of the first times a storage development plan was developed for the UK</w:t>
      </w:r>
      <w:r w:rsidR="00AA1868">
        <w:rPr>
          <w:rFonts w:cstheme="minorHAnsi"/>
        </w:rPr>
        <w:t xml:space="preserve"> </w:t>
      </w:r>
      <w:r w:rsidR="00BA0982">
        <w:rPr>
          <w:rFonts w:cstheme="minorHAnsi"/>
        </w:rPr>
        <w:t>C</w:t>
      </w:r>
      <w:r w:rsidR="00AA1868">
        <w:rPr>
          <w:rFonts w:cstheme="minorHAnsi"/>
        </w:rPr>
        <w:t xml:space="preserve">ontinental </w:t>
      </w:r>
      <w:r w:rsidR="00BA0982">
        <w:rPr>
          <w:rFonts w:cstheme="minorHAnsi"/>
        </w:rPr>
        <w:t>S</w:t>
      </w:r>
      <w:r w:rsidR="00AA1868">
        <w:rPr>
          <w:rFonts w:cstheme="minorHAnsi"/>
        </w:rPr>
        <w:t>helf</w:t>
      </w:r>
      <w:r w:rsidR="00BA0982">
        <w:rPr>
          <w:rFonts w:cstheme="minorHAnsi"/>
        </w:rPr>
        <w:t xml:space="preserve">, and </w:t>
      </w:r>
      <w:r w:rsidR="00462BB1">
        <w:rPr>
          <w:rFonts w:cstheme="minorHAnsi"/>
        </w:rPr>
        <w:t>was designed to address</w:t>
      </w:r>
      <w:r w:rsidR="000E1E7A" w:rsidRPr="004C79FC">
        <w:rPr>
          <w:rFonts w:cstheme="minorHAnsi"/>
        </w:rPr>
        <w:t xml:space="preserve"> the following questions:</w:t>
      </w:r>
    </w:p>
    <w:p w14:paraId="4A603F4B" w14:textId="4CB937E0" w:rsidR="000E1E7A" w:rsidRPr="00CC6E53" w:rsidRDefault="00012687" w:rsidP="008F550A">
      <w:pPr>
        <w:spacing w:after="240" w:line="240" w:lineRule="auto"/>
        <w:rPr>
          <w:rFonts w:cstheme="minorHAnsi"/>
          <w:b/>
        </w:rPr>
      </w:pPr>
      <w:r>
        <w:rPr>
          <w:rFonts w:cstheme="minorHAnsi"/>
          <w:b/>
        </w:rPr>
        <w:t xml:space="preserve">5.1. </w:t>
      </w:r>
      <w:r w:rsidR="000E1E7A" w:rsidRPr="00CC6E53">
        <w:rPr>
          <w:rFonts w:cstheme="minorHAnsi"/>
          <w:b/>
        </w:rPr>
        <w:t xml:space="preserve">Storage Resource and </w:t>
      </w:r>
      <w:r w:rsidR="00536152" w:rsidRPr="00CC6E53">
        <w:rPr>
          <w:rFonts w:cstheme="minorHAnsi"/>
          <w:b/>
        </w:rPr>
        <w:t>I</w:t>
      </w:r>
      <w:r w:rsidR="000E1E7A" w:rsidRPr="00CC6E53">
        <w:rPr>
          <w:rFonts w:cstheme="minorHAnsi"/>
          <w:b/>
        </w:rPr>
        <w:t>njectivity - How much CO</w:t>
      </w:r>
      <w:r w:rsidR="000E1E7A" w:rsidRPr="00CC6E53">
        <w:rPr>
          <w:rFonts w:cstheme="minorHAnsi"/>
          <w:b/>
          <w:vertAlign w:val="subscript"/>
        </w:rPr>
        <w:t>2</w:t>
      </w:r>
      <w:r w:rsidR="000E1E7A" w:rsidRPr="00CC6E53">
        <w:rPr>
          <w:rFonts w:cstheme="minorHAnsi"/>
          <w:b/>
        </w:rPr>
        <w:t xml:space="preserve"> can the site hold for a given development scenario? How easily </w:t>
      </w:r>
      <w:r w:rsidR="001E6E52" w:rsidRPr="00CC6E53">
        <w:rPr>
          <w:rFonts w:cstheme="minorHAnsi"/>
          <w:b/>
        </w:rPr>
        <w:t xml:space="preserve">can </w:t>
      </w:r>
      <w:r w:rsidR="000E1E7A" w:rsidRPr="00CC6E53">
        <w:rPr>
          <w:rFonts w:cstheme="minorHAnsi"/>
          <w:b/>
        </w:rPr>
        <w:t>the CO</w:t>
      </w:r>
      <w:r w:rsidR="000E1E7A" w:rsidRPr="00CC6E53">
        <w:rPr>
          <w:rFonts w:cstheme="minorHAnsi"/>
          <w:b/>
          <w:vertAlign w:val="subscript"/>
        </w:rPr>
        <w:t>2</w:t>
      </w:r>
      <w:r w:rsidR="000E1E7A" w:rsidRPr="00CC6E53">
        <w:rPr>
          <w:rFonts w:cstheme="minorHAnsi"/>
          <w:b/>
        </w:rPr>
        <w:t xml:space="preserve"> be injected?</w:t>
      </w:r>
    </w:p>
    <w:p w14:paraId="6968F669" w14:textId="7384594D" w:rsidR="00EB4A32" w:rsidRDefault="000E1E7A" w:rsidP="008F550A">
      <w:pPr>
        <w:spacing w:after="240" w:line="240" w:lineRule="auto"/>
        <w:rPr>
          <w:rFonts w:cstheme="minorHAnsi"/>
        </w:rPr>
      </w:pPr>
      <w:r w:rsidRPr="004C79FC">
        <w:rPr>
          <w:rFonts w:cstheme="minorHAnsi"/>
        </w:rPr>
        <w:t>These questions ultimately refer to the determination of the quality</w:t>
      </w:r>
      <w:r w:rsidR="00B77B9F">
        <w:rPr>
          <w:rFonts w:cstheme="minorHAnsi"/>
        </w:rPr>
        <w:t xml:space="preserve"> and </w:t>
      </w:r>
      <w:r w:rsidRPr="004C79FC">
        <w:rPr>
          <w:rFonts w:cstheme="minorHAnsi"/>
        </w:rPr>
        <w:t>suitability of the reservoir for CO</w:t>
      </w:r>
      <w:r w:rsidRPr="004C79FC">
        <w:rPr>
          <w:rFonts w:cstheme="minorHAnsi"/>
          <w:vertAlign w:val="subscript"/>
        </w:rPr>
        <w:t>2</w:t>
      </w:r>
      <w:r w:rsidRPr="004C79FC">
        <w:rPr>
          <w:rFonts w:cstheme="minorHAnsi"/>
        </w:rPr>
        <w:t xml:space="preserve"> geological storage. To </w:t>
      </w:r>
      <w:r w:rsidR="001E6E52" w:rsidRPr="004C79FC">
        <w:rPr>
          <w:rFonts w:cstheme="minorHAnsi"/>
        </w:rPr>
        <w:t xml:space="preserve">address these </w:t>
      </w:r>
      <w:r w:rsidRPr="004C79FC">
        <w:rPr>
          <w:rFonts w:cstheme="minorHAnsi"/>
        </w:rPr>
        <w:t>question</w:t>
      </w:r>
      <w:r w:rsidR="001E6E52" w:rsidRPr="004C79FC">
        <w:rPr>
          <w:rFonts w:cstheme="minorHAnsi"/>
        </w:rPr>
        <w:t>s</w:t>
      </w:r>
      <w:r w:rsidRPr="004C79FC">
        <w:rPr>
          <w:rFonts w:cstheme="minorHAnsi"/>
        </w:rPr>
        <w:t xml:space="preserve">, geological characterisation followed by dynamic modelling </w:t>
      </w:r>
      <w:r w:rsidR="00392348" w:rsidRPr="004C79FC">
        <w:rPr>
          <w:rFonts w:cstheme="minorHAnsi"/>
        </w:rPr>
        <w:t xml:space="preserve">of the site </w:t>
      </w:r>
      <w:r w:rsidR="001E6E52" w:rsidRPr="004C79FC">
        <w:rPr>
          <w:rFonts w:cstheme="minorHAnsi"/>
        </w:rPr>
        <w:t>must be undertaken</w:t>
      </w:r>
      <w:r w:rsidR="00F50BB0">
        <w:rPr>
          <w:rFonts w:cstheme="minorHAnsi"/>
        </w:rPr>
        <w:t xml:space="preserve"> (Figure 3)</w:t>
      </w:r>
      <w:r w:rsidRPr="004C79FC">
        <w:rPr>
          <w:rFonts w:cstheme="minorHAnsi"/>
        </w:rPr>
        <w:t xml:space="preserve">. The geological characterisation </w:t>
      </w:r>
      <w:r w:rsidR="00392348" w:rsidRPr="004C79FC">
        <w:rPr>
          <w:rFonts w:cstheme="minorHAnsi"/>
        </w:rPr>
        <w:t xml:space="preserve">includes </w:t>
      </w:r>
      <w:r w:rsidRPr="004C79FC">
        <w:rPr>
          <w:rFonts w:cstheme="minorHAnsi"/>
        </w:rPr>
        <w:t>collation and interpretation of geological</w:t>
      </w:r>
      <w:r w:rsidR="001E6E52" w:rsidRPr="004C79FC">
        <w:rPr>
          <w:rFonts w:cstheme="minorHAnsi"/>
        </w:rPr>
        <w:t>, petrophysical</w:t>
      </w:r>
      <w:r w:rsidRPr="004C79FC">
        <w:rPr>
          <w:rFonts w:cstheme="minorHAnsi"/>
        </w:rPr>
        <w:t xml:space="preserve"> and geophysical data such as seismic data, wireline data and drilling information. </w:t>
      </w:r>
      <w:r w:rsidR="006253AB">
        <w:rPr>
          <w:rFonts w:cstheme="minorHAnsi"/>
        </w:rPr>
        <w:t xml:space="preserve">As </w:t>
      </w:r>
      <w:r w:rsidRPr="004C79FC">
        <w:rPr>
          <w:rFonts w:cstheme="minorHAnsi"/>
        </w:rPr>
        <w:t>the foundation for all future technical work</w:t>
      </w:r>
      <w:r w:rsidR="0051575D">
        <w:rPr>
          <w:rFonts w:cstheme="minorHAnsi"/>
        </w:rPr>
        <w:t>,</w:t>
      </w:r>
      <w:r w:rsidRPr="004C79FC">
        <w:rPr>
          <w:rFonts w:cstheme="minorHAnsi"/>
        </w:rPr>
        <w:t xml:space="preserve"> </w:t>
      </w:r>
      <w:r w:rsidR="006253AB">
        <w:rPr>
          <w:rFonts w:cstheme="minorHAnsi"/>
        </w:rPr>
        <w:t>geological characterisation</w:t>
      </w:r>
      <w:r w:rsidRPr="004C79FC">
        <w:rPr>
          <w:rFonts w:cstheme="minorHAnsi"/>
        </w:rPr>
        <w:t xml:space="preserve"> </w:t>
      </w:r>
      <w:r w:rsidR="00B77B9F">
        <w:rPr>
          <w:rFonts w:cstheme="minorHAnsi"/>
        </w:rPr>
        <w:t>is</w:t>
      </w:r>
      <w:r w:rsidR="00B77B9F" w:rsidRPr="004C79FC">
        <w:rPr>
          <w:rFonts w:cstheme="minorHAnsi"/>
        </w:rPr>
        <w:t xml:space="preserve"> </w:t>
      </w:r>
      <w:r w:rsidRPr="004C79FC">
        <w:rPr>
          <w:rFonts w:cstheme="minorHAnsi"/>
        </w:rPr>
        <w:t xml:space="preserve">of paramount importance. The geology of the selected storage site </w:t>
      </w:r>
      <w:r w:rsidR="00B77B9F">
        <w:rPr>
          <w:rFonts w:cstheme="minorHAnsi"/>
        </w:rPr>
        <w:t xml:space="preserve">must </w:t>
      </w:r>
      <w:r w:rsidRPr="004C79FC">
        <w:rPr>
          <w:rFonts w:cstheme="minorHAnsi"/>
        </w:rPr>
        <w:t>undergo a detailed investigation using all available subsurface data. The main tasks involve: seismic interpretation to understand the structure of the reservoir; a geomechanical analysis to determine rock strength and the stress field; a reservoir quality investigation of the reservoir formations to understand rock properties and reservoir heterogeneity; and well test and pressure data interpretation to understand reservoir conductivity and pressure response during CO</w:t>
      </w:r>
      <w:r w:rsidRPr="004C79FC">
        <w:rPr>
          <w:rFonts w:cstheme="minorHAnsi"/>
          <w:vertAlign w:val="subscript"/>
        </w:rPr>
        <w:t>2</w:t>
      </w:r>
      <w:r w:rsidRPr="004C79FC">
        <w:rPr>
          <w:rFonts w:cstheme="minorHAnsi"/>
        </w:rPr>
        <w:t xml:space="preserve"> injection. The main outcome of these analyses is a static reservoir model</w:t>
      </w:r>
      <w:r w:rsidR="00B77B9F">
        <w:rPr>
          <w:rFonts w:cstheme="minorHAnsi"/>
        </w:rPr>
        <w:t xml:space="preserve"> of the subsurface formations</w:t>
      </w:r>
      <w:r w:rsidRPr="004C79FC">
        <w:rPr>
          <w:rFonts w:cstheme="minorHAnsi"/>
        </w:rPr>
        <w:t xml:space="preserve"> which will subsequently be used </w:t>
      </w:r>
      <w:r w:rsidR="00B77B9F">
        <w:rPr>
          <w:rFonts w:cstheme="minorHAnsi"/>
        </w:rPr>
        <w:t>to run</w:t>
      </w:r>
      <w:r w:rsidR="00B77B9F" w:rsidRPr="004C79FC">
        <w:rPr>
          <w:rFonts w:cstheme="minorHAnsi"/>
        </w:rPr>
        <w:t xml:space="preserve"> </w:t>
      </w:r>
      <w:r w:rsidRPr="004C79FC">
        <w:rPr>
          <w:rFonts w:cstheme="minorHAnsi"/>
        </w:rPr>
        <w:t>numerical simulation of CO</w:t>
      </w:r>
      <w:r w:rsidRPr="004C79FC">
        <w:rPr>
          <w:rFonts w:cstheme="minorHAnsi"/>
          <w:vertAlign w:val="subscript"/>
        </w:rPr>
        <w:t>2</w:t>
      </w:r>
      <w:r w:rsidRPr="004C79FC">
        <w:rPr>
          <w:rFonts w:cstheme="minorHAnsi"/>
        </w:rPr>
        <w:t xml:space="preserve"> injection and storage. </w:t>
      </w:r>
      <w:r w:rsidR="00536152" w:rsidRPr="004C79FC">
        <w:rPr>
          <w:rFonts w:cstheme="minorHAnsi"/>
        </w:rPr>
        <w:t xml:space="preserve">In the ACT Acorn project, the </w:t>
      </w:r>
      <w:r w:rsidR="00564643" w:rsidRPr="004C79FC">
        <w:rPr>
          <w:rFonts w:cstheme="minorHAnsi"/>
        </w:rPr>
        <w:t xml:space="preserve">geological characterisation was </w:t>
      </w:r>
      <w:r w:rsidR="004322F2" w:rsidRPr="004C79FC">
        <w:rPr>
          <w:rFonts w:cstheme="minorHAnsi"/>
        </w:rPr>
        <w:t xml:space="preserve">conducted </w:t>
      </w:r>
      <w:r w:rsidR="00392348" w:rsidRPr="004C79FC">
        <w:rPr>
          <w:rFonts w:cstheme="minorHAnsi"/>
        </w:rPr>
        <w:t>for</w:t>
      </w:r>
      <w:r w:rsidR="004322F2" w:rsidRPr="004C79FC">
        <w:rPr>
          <w:rFonts w:cstheme="minorHAnsi"/>
        </w:rPr>
        <w:t xml:space="preserve"> the two target reservoir sites, </w:t>
      </w:r>
      <w:r w:rsidR="00EB4A32" w:rsidRPr="004C79FC">
        <w:rPr>
          <w:rFonts w:cstheme="minorHAnsi"/>
        </w:rPr>
        <w:t xml:space="preserve">the primary Acorn storage site and the East Mey site. </w:t>
      </w:r>
      <w:r w:rsidR="00B0620A">
        <w:rPr>
          <w:rFonts w:cstheme="minorHAnsi"/>
        </w:rPr>
        <w:t xml:space="preserve">The Acorn storage site </w:t>
      </w:r>
      <w:r w:rsidR="004A5EBC">
        <w:rPr>
          <w:rFonts w:cstheme="minorHAnsi"/>
        </w:rPr>
        <w:t xml:space="preserve">was already </w:t>
      </w:r>
      <w:r w:rsidR="00BA01C4" w:rsidRPr="00BA01C4">
        <w:rPr>
          <w:rFonts w:cstheme="minorHAnsi"/>
        </w:rPr>
        <w:t>studied to a pre-FEED level in the Energy Technologies Institute’s Strategic UK CO</w:t>
      </w:r>
      <w:r w:rsidR="00BA01C4" w:rsidRPr="00BA01C4">
        <w:rPr>
          <w:rFonts w:cstheme="minorHAnsi"/>
          <w:vertAlign w:val="subscript"/>
        </w:rPr>
        <w:t>2</w:t>
      </w:r>
      <w:r w:rsidR="00BA01C4" w:rsidRPr="00BA01C4">
        <w:rPr>
          <w:rFonts w:cstheme="minorHAnsi"/>
        </w:rPr>
        <w:t xml:space="preserve"> Storage Appraisal Project (</w:t>
      </w:r>
      <w:r w:rsidR="00BA01C4">
        <w:rPr>
          <w:rFonts w:cstheme="minorHAnsi"/>
        </w:rPr>
        <w:t>Pale Blue Dot Energy and Axis Well Technology, 2016</w:t>
      </w:r>
      <w:r w:rsidR="00BA01C4" w:rsidRPr="00BA01C4">
        <w:rPr>
          <w:rFonts w:cstheme="minorHAnsi"/>
        </w:rPr>
        <w:t>)</w:t>
      </w:r>
      <w:r w:rsidR="00BA01C4">
        <w:rPr>
          <w:rFonts w:cstheme="minorHAnsi"/>
        </w:rPr>
        <w:t xml:space="preserve">, and </w:t>
      </w:r>
      <w:r w:rsidR="004A5EBC">
        <w:rPr>
          <w:rFonts w:cstheme="minorHAnsi"/>
        </w:rPr>
        <w:t xml:space="preserve">includes the Goldeneye depleted gas field, which was </w:t>
      </w:r>
      <w:r w:rsidR="00B0620A">
        <w:rPr>
          <w:rFonts w:cstheme="minorHAnsi"/>
        </w:rPr>
        <w:t xml:space="preserve">already appraised </w:t>
      </w:r>
      <w:r w:rsidR="004A5EBC">
        <w:rPr>
          <w:rFonts w:cstheme="minorHAnsi"/>
        </w:rPr>
        <w:t xml:space="preserve">for CCS </w:t>
      </w:r>
      <w:r w:rsidR="00B0620A">
        <w:rPr>
          <w:rFonts w:cstheme="minorHAnsi"/>
        </w:rPr>
        <w:t xml:space="preserve">as part of </w:t>
      </w:r>
      <w:r w:rsidR="00260E40">
        <w:rPr>
          <w:rFonts w:cstheme="minorHAnsi"/>
        </w:rPr>
        <w:t>the Peterhead-Goldeneye project (Tucker and Tinios, 2017)</w:t>
      </w:r>
      <w:r w:rsidR="00BA01C4">
        <w:rPr>
          <w:rFonts w:cstheme="minorHAnsi"/>
        </w:rPr>
        <w:t>. It is therefore a well known and very suitable storage site (ACT Acorn, 2018b).</w:t>
      </w:r>
      <w:r w:rsidR="004A5EBC">
        <w:rPr>
          <w:rFonts w:cstheme="minorHAnsi"/>
        </w:rPr>
        <w:t xml:space="preserve"> </w:t>
      </w:r>
      <w:r w:rsidR="00260E40">
        <w:rPr>
          <w:rFonts w:cstheme="minorHAnsi"/>
        </w:rPr>
        <w:t xml:space="preserve"> </w:t>
      </w:r>
      <w:r w:rsidR="00EB4A32" w:rsidRPr="004C79FC">
        <w:rPr>
          <w:rFonts w:cstheme="minorHAnsi"/>
        </w:rPr>
        <w:t xml:space="preserve">The East Mey </w:t>
      </w:r>
      <w:r w:rsidR="0051575D">
        <w:rPr>
          <w:rFonts w:cstheme="minorHAnsi"/>
        </w:rPr>
        <w:t xml:space="preserve">site </w:t>
      </w:r>
      <w:r w:rsidR="00A86B85">
        <w:rPr>
          <w:rFonts w:cstheme="minorHAnsi"/>
        </w:rPr>
        <w:t>was characterised both as a reserve and</w:t>
      </w:r>
      <w:r w:rsidR="00EB4A32" w:rsidRPr="004C79FC">
        <w:rPr>
          <w:rFonts w:cstheme="minorHAnsi"/>
        </w:rPr>
        <w:t xml:space="preserve"> an expansion option, to accommodate storage build-out</w:t>
      </w:r>
      <w:r w:rsidR="0051575D">
        <w:rPr>
          <w:rFonts w:cstheme="minorHAnsi"/>
        </w:rPr>
        <w:t xml:space="preserve"> opportunity</w:t>
      </w:r>
      <w:r w:rsidR="0073320A">
        <w:rPr>
          <w:rFonts w:cstheme="minorHAnsi"/>
        </w:rPr>
        <w:t xml:space="preserve"> (ACT Acorn, 2018c).</w:t>
      </w:r>
      <w:r w:rsidR="00AF25CE">
        <w:rPr>
          <w:rFonts w:cstheme="minorHAnsi"/>
        </w:rPr>
        <w:t xml:space="preserve"> The East Mey storage site also provides a </w:t>
      </w:r>
      <w:r w:rsidR="00AF25CE" w:rsidRPr="00AF25CE">
        <w:rPr>
          <w:rFonts w:cstheme="minorHAnsi"/>
        </w:rPr>
        <w:t>low-cost, flexibl</w:t>
      </w:r>
      <w:r w:rsidR="00AF25CE">
        <w:rPr>
          <w:rFonts w:cstheme="minorHAnsi"/>
        </w:rPr>
        <w:t>e and scalable storage option, and could be used as a potential backup of the Acorn site</w:t>
      </w:r>
      <w:r w:rsidR="00A03EDA">
        <w:rPr>
          <w:rFonts w:cstheme="minorHAnsi"/>
        </w:rPr>
        <w:t xml:space="preserve"> if required.</w:t>
      </w:r>
    </w:p>
    <w:p w14:paraId="655DFA14" w14:textId="77777777" w:rsidR="008839D0" w:rsidRDefault="00F50BB0" w:rsidP="00963C39">
      <w:pPr>
        <w:keepNext/>
        <w:spacing w:after="240" w:line="240" w:lineRule="auto"/>
      </w:pPr>
      <w:r>
        <w:rPr>
          <w:rFonts w:cstheme="minorHAnsi"/>
          <w:noProof/>
          <w:lang w:val="es-ES" w:eastAsia="es-ES"/>
        </w:rPr>
        <w:drawing>
          <wp:inline distT="0" distB="0" distL="0" distR="0" wp14:anchorId="5A33A3EB" wp14:editId="14576EAD">
            <wp:extent cx="3546281" cy="32126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jpg"/>
                    <pic:cNvPicPr/>
                  </pic:nvPicPr>
                  <pic:blipFill>
                    <a:blip r:embed="rId17">
                      <a:extLst>
                        <a:ext uri="{28A0092B-C50C-407E-A947-70E740481C1C}">
                          <a14:useLocalDpi xmlns:a14="http://schemas.microsoft.com/office/drawing/2010/main" val="0"/>
                        </a:ext>
                      </a:extLst>
                    </a:blip>
                    <a:stretch>
                      <a:fillRect/>
                    </a:stretch>
                  </pic:blipFill>
                  <pic:spPr>
                    <a:xfrm>
                      <a:off x="0" y="0"/>
                      <a:ext cx="3552256" cy="3218093"/>
                    </a:xfrm>
                    <a:prstGeom prst="rect">
                      <a:avLst/>
                    </a:prstGeom>
                  </pic:spPr>
                </pic:pic>
              </a:graphicData>
            </a:graphic>
          </wp:inline>
        </w:drawing>
      </w:r>
    </w:p>
    <w:p w14:paraId="11D422FB" w14:textId="101C4A16" w:rsidR="008839D0" w:rsidRPr="004C79FC" w:rsidRDefault="008839D0" w:rsidP="00963C39">
      <w:pPr>
        <w:pStyle w:val="Caption"/>
        <w:rPr>
          <w:rFonts w:cstheme="minorHAnsi"/>
        </w:rPr>
      </w:pPr>
      <w:r>
        <w:t xml:space="preserve">Figure </w:t>
      </w:r>
      <w:fldSimple w:instr=" SEQ Figure \* ARABIC ">
        <w:r w:rsidR="000770A4">
          <w:rPr>
            <w:noProof/>
          </w:rPr>
          <w:t>3</w:t>
        </w:r>
      </w:fldSimple>
      <w:r>
        <w:t>: Workflow required for achieving the CO</w:t>
      </w:r>
      <w:r w:rsidRPr="002A4480">
        <w:rPr>
          <w:vertAlign w:val="subscript"/>
        </w:rPr>
        <w:t>2</w:t>
      </w:r>
      <w:r>
        <w:t xml:space="preserve"> storage resource and injectivity characterisation of the target storage site</w:t>
      </w:r>
    </w:p>
    <w:p w14:paraId="7AC215FF" w14:textId="5335587A" w:rsidR="000E1E7A" w:rsidRPr="004C79FC" w:rsidRDefault="000E1E7A" w:rsidP="008F550A">
      <w:pPr>
        <w:spacing w:after="240" w:line="240" w:lineRule="auto"/>
        <w:rPr>
          <w:rFonts w:cstheme="minorHAnsi"/>
        </w:rPr>
      </w:pPr>
      <w:r w:rsidRPr="004C79FC">
        <w:rPr>
          <w:rFonts w:cstheme="minorHAnsi"/>
        </w:rPr>
        <w:t xml:space="preserve">The dynamic modelling stage follows directly </w:t>
      </w:r>
      <w:r w:rsidR="001E6E52" w:rsidRPr="004C79FC">
        <w:rPr>
          <w:rFonts w:cstheme="minorHAnsi"/>
        </w:rPr>
        <w:t xml:space="preserve">from </w:t>
      </w:r>
      <w:r w:rsidRPr="004C79FC">
        <w:rPr>
          <w:rFonts w:cstheme="minorHAnsi"/>
        </w:rPr>
        <w:t>the geological characterisation and is key to a</w:t>
      </w:r>
      <w:r w:rsidR="00B77B9F">
        <w:rPr>
          <w:rFonts w:cstheme="minorHAnsi"/>
        </w:rPr>
        <w:t>n optimum</w:t>
      </w:r>
      <w:r w:rsidRPr="004C79FC">
        <w:rPr>
          <w:rFonts w:cstheme="minorHAnsi"/>
        </w:rPr>
        <w:t xml:space="preserve"> understanding of the storage characteristics of the site selected. The main objective</w:t>
      </w:r>
      <w:r w:rsidR="00B77B9F">
        <w:rPr>
          <w:rFonts w:cstheme="minorHAnsi"/>
        </w:rPr>
        <w:t xml:space="preserve"> of the dynamic model</w:t>
      </w:r>
      <w:r w:rsidRPr="004C79FC">
        <w:rPr>
          <w:rFonts w:cstheme="minorHAnsi"/>
        </w:rPr>
        <w:t xml:space="preserve"> is the numerical simulation of CO</w:t>
      </w:r>
      <w:r w:rsidRPr="004C79FC">
        <w:rPr>
          <w:rFonts w:cstheme="minorHAnsi"/>
          <w:vertAlign w:val="subscript"/>
        </w:rPr>
        <w:t>2</w:t>
      </w:r>
      <w:r w:rsidRPr="004C79FC">
        <w:rPr>
          <w:rFonts w:cstheme="minorHAnsi"/>
        </w:rPr>
        <w:t xml:space="preserve"> injection and storage </w:t>
      </w:r>
      <w:r w:rsidR="00B77B9F">
        <w:rPr>
          <w:rFonts w:cstheme="minorHAnsi"/>
        </w:rPr>
        <w:t>employing</w:t>
      </w:r>
      <w:r w:rsidR="00B77B9F" w:rsidRPr="004C79FC">
        <w:rPr>
          <w:rFonts w:cstheme="minorHAnsi"/>
        </w:rPr>
        <w:t xml:space="preserve"> </w:t>
      </w:r>
      <w:r w:rsidRPr="004C79FC">
        <w:rPr>
          <w:rFonts w:cstheme="minorHAnsi"/>
        </w:rPr>
        <w:t xml:space="preserve">the static reservoir model </w:t>
      </w:r>
      <w:r w:rsidR="001E6E52" w:rsidRPr="004C79FC">
        <w:rPr>
          <w:rFonts w:cstheme="minorHAnsi"/>
        </w:rPr>
        <w:t xml:space="preserve">developed </w:t>
      </w:r>
      <w:r w:rsidRPr="004C79FC">
        <w:rPr>
          <w:rFonts w:cstheme="minorHAnsi"/>
        </w:rPr>
        <w:t xml:space="preserve">in the previous stage. These </w:t>
      </w:r>
      <w:r w:rsidR="0051575D">
        <w:rPr>
          <w:rFonts w:cstheme="minorHAnsi"/>
        </w:rPr>
        <w:t xml:space="preserve">dynamic </w:t>
      </w:r>
      <w:r w:rsidRPr="004C79FC">
        <w:rPr>
          <w:rFonts w:cstheme="minorHAnsi"/>
        </w:rPr>
        <w:t xml:space="preserve">simulations are critical </w:t>
      </w:r>
      <w:r w:rsidR="00A11F8A">
        <w:rPr>
          <w:rFonts w:cstheme="minorHAnsi"/>
        </w:rPr>
        <w:t>to</w:t>
      </w:r>
      <w:r w:rsidR="0051575D">
        <w:rPr>
          <w:rFonts w:cstheme="minorHAnsi"/>
        </w:rPr>
        <w:t xml:space="preserve"> </w:t>
      </w:r>
      <w:r w:rsidR="00B77B9F">
        <w:rPr>
          <w:rFonts w:cstheme="minorHAnsi"/>
        </w:rPr>
        <w:t xml:space="preserve">the </w:t>
      </w:r>
      <w:r w:rsidR="0051575D">
        <w:rPr>
          <w:rFonts w:cstheme="minorHAnsi"/>
        </w:rPr>
        <w:t>identif</w:t>
      </w:r>
      <w:r w:rsidR="00B77B9F">
        <w:rPr>
          <w:rFonts w:cstheme="minorHAnsi"/>
        </w:rPr>
        <w:t>ication of</w:t>
      </w:r>
      <w:r w:rsidRPr="004C79FC">
        <w:rPr>
          <w:rFonts w:cstheme="minorHAnsi"/>
        </w:rPr>
        <w:t xml:space="preserve"> the most suitable injection </w:t>
      </w:r>
      <w:r w:rsidR="0051575D">
        <w:rPr>
          <w:rFonts w:cstheme="minorHAnsi"/>
        </w:rPr>
        <w:t>locations</w:t>
      </w:r>
      <w:r w:rsidR="0051575D" w:rsidRPr="004C79FC">
        <w:rPr>
          <w:rFonts w:cstheme="minorHAnsi"/>
        </w:rPr>
        <w:t xml:space="preserve"> </w:t>
      </w:r>
      <w:r w:rsidRPr="004C79FC">
        <w:rPr>
          <w:rFonts w:cstheme="minorHAnsi"/>
        </w:rPr>
        <w:t xml:space="preserve">and </w:t>
      </w:r>
      <w:r w:rsidR="00A11F8A">
        <w:rPr>
          <w:rFonts w:cstheme="minorHAnsi"/>
        </w:rPr>
        <w:t>to</w:t>
      </w:r>
      <w:r w:rsidR="0051575D">
        <w:rPr>
          <w:rFonts w:cstheme="minorHAnsi"/>
        </w:rPr>
        <w:t xml:space="preserve"> </w:t>
      </w:r>
      <w:r w:rsidR="0054597C">
        <w:rPr>
          <w:rFonts w:cstheme="minorHAnsi"/>
        </w:rPr>
        <w:t xml:space="preserve">forward-predict </w:t>
      </w:r>
      <w:r w:rsidR="0051575D">
        <w:rPr>
          <w:rFonts w:cstheme="minorHAnsi"/>
        </w:rPr>
        <w:t xml:space="preserve">the </w:t>
      </w:r>
      <w:r w:rsidRPr="004C79FC">
        <w:rPr>
          <w:rFonts w:cstheme="minorHAnsi"/>
        </w:rPr>
        <w:t xml:space="preserve">individual injection performance for each well. This </w:t>
      </w:r>
      <w:r w:rsidR="001E6E52" w:rsidRPr="004C79FC">
        <w:rPr>
          <w:rFonts w:cstheme="minorHAnsi"/>
        </w:rPr>
        <w:t xml:space="preserve">approach </w:t>
      </w:r>
      <w:r w:rsidRPr="004C79FC">
        <w:rPr>
          <w:rFonts w:cstheme="minorHAnsi"/>
        </w:rPr>
        <w:t>allows strategies to</w:t>
      </w:r>
      <w:r w:rsidR="001E6E52" w:rsidRPr="004C79FC">
        <w:rPr>
          <w:rFonts w:cstheme="minorHAnsi"/>
        </w:rPr>
        <w:t xml:space="preserve"> be developed to</w:t>
      </w:r>
      <w:r w:rsidRPr="004C79FC">
        <w:rPr>
          <w:rFonts w:cstheme="minorHAnsi"/>
        </w:rPr>
        <w:t xml:space="preserve"> improve storage efficiency and security, and to estimate storage efficiency for individual injection strateg</w:t>
      </w:r>
      <w:r w:rsidR="00044C7B">
        <w:rPr>
          <w:rFonts w:cstheme="minorHAnsi"/>
        </w:rPr>
        <w:t>ies</w:t>
      </w:r>
      <w:r w:rsidRPr="004C79FC">
        <w:rPr>
          <w:rFonts w:cstheme="minorHAnsi"/>
        </w:rPr>
        <w:t xml:space="preserve">. </w:t>
      </w:r>
      <w:r w:rsidR="00044C7B">
        <w:rPr>
          <w:rFonts w:cstheme="minorHAnsi"/>
        </w:rPr>
        <w:t>T</w:t>
      </w:r>
      <w:r w:rsidRPr="004C79FC">
        <w:rPr>
          <w:rFonts w:cstheme="minorHAnsi"/>
        </w:rPr>
        <w:t xml:space="preserve">he dynamic models </w:t>
      </w:r>
      <w:r w:rsidR="00044C7B">
        <w:rPr>
          <w:rFonts w:cstheme="minorHAnsi"/>
        </w:rPr>
        <w:t xml:space="preserve">also </w:t>
      </w:r>
      <w:r w:rsidRPr="004C79FC">
        <w:rPr>
          <w:rFonts w:cstheme="minorHAnsi"/>
        </w:rPr>
        <w:t>deliver predictions about the long-term fate of the injected CO</w:t>
      </w:r>
      <w:r w:rsidRPr="004C79FC">
        <w:rPr>
          <w:rFonts w:cstheme="minorHAnsi"/>
          <w:vertAlign w:val="subscript"/>
        </w:rPr>
        <w:t>2</w:t>
      </w:r>
      <w:r w:rsidRPr="004C79FC">
        <w:rPr>
          <w:rFonts w:cstheme="minorHAnsi"/>
        </w:rPr>
        <w:t xml:space="preserve"> </w:t>
      </w:r>
      <w:r w:rsidR="00A4720D" w:rsidRPr="004C79FC">
        <w:rPr>
          <w:rFonts w:cstheme="minorHAnsi"/>
        </w:rPr>
        <w:t xml:space="preserve">as a function of </w:t>
      </w:r>
      <w:r w:rsidRPr="004C79FC">
        <w:rPr>
          <w:rFonts w:cstheme="minorHAnsi"/>
        </w:rPr>
        <w:t xml:space="preserve">the different injection strategies considered. </w:t>
      </w:r>
      <w:r w:rsidR="00392348" w:rsidRPr="004C79FC">
        <w:rPr>
          <w:rFonts w:cstheme="minorHAnsi"/>
        </w:rPr>
        <w:t>T</w:t>
      </w:r>
      <w:r w:rsidRPr="004C79FC">
        <w:rPr>
          <w:rFonts w:cstheme="minorHAnsi"/>
        </w:rPr>
        <w:t xml:space="preserve">he injection modelling </w:t>
      </w:r>
      <w:r w:rsidR="00392348" w:rsidRPr="004C79FC">
        <w:rPr>
          <w:rFonts w:cstheme="minorHAnsi"/>
        </w:rPr>
        <w:t xml:space="preserve">scenarios </w:t>
      </w:r>
      <w:r w:rsidR="00044C7B">
        <w:rPr>
          <w:rFonts w:cstheme="minorHAnsi"/>
        </w:rPr>
        <w:t>we</w:t>
      </w:r>
      <w:r w:rsidR="0051575D">
        <w:rPr>
          <w:rFonts w:cstheme="minorHAnsi"/>
        </w:rPr>
        <w:t>re</w:t>
      </w:r>
      <w:r w:rsidRPr="004C79FC">
        <w:rPr>
          <w:rFonts w:cstheme="minorHAnsi"/>
        </w:rPr>
        <w:t xml:space="preserve"> designed </w:t>
      </w:r>
      <w:r w:rsidR="0054597C">
        <w:rPr>
          <w:rFonts w:cstheme="minorHAnsi"/>
        </w:rPr>
        <w:t xml:space="preserve">to address </w:t>
      </w:r>
      <w:r w:rsidR="00F2356C">
        <w:rPr>
          <w:rFonts w:cstheme="minorHAnsi"/>
        </w:rPr>
        <w:t xml:space="preserve">the </w:t>
      </w:r>
      <w:r w:rsidR="00F2356C" w:rsidRPr="004C79FC">
        <w:rPr>
          <w:rFonts w:cstheme="minorHAnsi"/>
        </w:rPr>
        <w:t>real</w:t>
      </w:r>
      <w:r w:rsidRPr="004C79FC">
        <w:rPr>
          <w:rFonts w:cstheme="minorHAnsi"/>
        </w:rPr>
        <w:t>-world CO</w:t>
      </w:r>
      <w:r w:rsidRPr="004C79FC">
        <w:rPr>
          <w:rFonts w:cstheme="minorHAnsi"/>
          <w:vertAlign w:val="subscript"/>
        </w:rPr>
        <w:t>2</w:t>
      </w:r>
      <w:r w:rsidRPr="004C79FC">
        <w:rPr>
          <w:rFonts w:cstheme="minorHAnsi"/>
        </w:rPr>
        <w:t xml:space="preserve"> supply </w:t>
      </w:r>
      <w:r w:rsidR="00392348" w:rsidRPr="004C79FC">
        <w:rPr>
          <w:rFonts w:cstheme="minorHAnsi"/>
        </w:rPr>
        <w:t>options for</w:t>
      </w:r>
      <w:r w:rsidRPr="004C79FC">
        <w:rPr>
          <w:rFonts w:cstheme="minorHAnsi"/>
        </w:rPr>
        <w:t xml:space="preserve"> the </w:t>
      </w:r>
      <w:r w:rsidR="00044C7B">
        <w:rPr>
          <w:rFonts w:cstheme="minorHAnsi"/>
        </w:rPr>
        <w:t xml:space="preserve">Acorn </w:t>
      </w:r>
      <w:r w:rsidRPr="004C79FC">
        <w:rPr>
          <w:rFonts w:cstheme="minorHAnsi"/>
        </w:rPr>
        <w:t>storage project</w:t>
      </w:r>
      <w:r w:rsidR="00856E60">
        <w:rPr>
          <w:rFonts w:cstheme="minorHAnsi"/>
        </w:rPr>
        <w:t xml:space="preserve"> (ACT Acorn, 2018d)</w:t>
      </w:r>
      <w:r w:rsidRPr="004C79FC">
        <w:rPr>
          <w:rFonts w:cstheme="minorHAnsi"/>
        </w:rPr>
        <w:t>.</w:t>
      </w:r>
    </w:p>
    <w:p w14:paraId="6F21F417" w14:textId="542EEBA9" w:rsidR="000E1E7A" w:rsidRPr="00CC6E53" w:rsidRDefault="006E1821" w:rsidP="008F550A">
      <w:pPr>
        <w:spacing w:after="240" w:line="240" w:lineRule="auto"/>
        <w:rPr>
          <w:rFonts w:cstheme="minorHAnsi"/>
          <w:b/>
        </w:rPr>
      </w:pPr>
      <w:r>
        <w:rPr>
          <w:rFonts w:cstheme="minorHAnsi"/>
          <w:b/>
        </w:rPr>
        <w:t xml:space="preserve">5.2. </w:t>
      </w:r>
      <w:r w:rsidR="000E1E7A" w:rsidRPr="00CC6E53">
        <w:rPr>
          <w:rFonts w:cstheme="minorHAnsi"/>
          <w:b/>
        </w:rPr>
        <w:t>Containment - How do we build confidence that the CO</w:t>
      </w:r>
      <w:r w:rsidR="000E1E7A" w:rsidRPr="00CC6E53">
        <w:rPr>
          <w:rFonts w:cstheme="minorHAnsi"/>
          <w:b/>
          <w:vertAlign w:val="subscript"/>
        </w:rPr>
        <w:t>2</w:t>
      </w:r>
      <w:r w:rsidR="000E1E7A" w:rsidRPr="00CC6E53">
        <w:rPr>
          <w:rFonts w:cstheme="minorHAnsi"/>
          <w:b/>
        </w:rPr>
        <w:t xml:space="preserve"> will be safely contained?</w:t>
      </w:r>
    </w:p>
    <w:p w14:paraId="63227063" w14:textId="77777777" w:rsidR="00543EEE" w:rsidRDefault="000E1E7A" w:rsidP="008F550A">
      <w:pPr>
        <w:spacing w:after="240" w:line="240" w:lineRule="auto"/>
        <w:rPr>
          <w:rFonts w:cstheme="minorHAnsi"/>
        </w:rPr>
      </w:pPr>
      <w:r w:rsidRPr="004C79FC">
        <w:rPr>
          <w:rFonts w:cstheme="minorHAnsi"/>
        </w:rPr>
        <w:t xml:space="preserve">This </w:t>
      </w:r>
      <w:r w:rsidR="00A4720D" w:rsidRPr="004C79FC">
        <w:rPr>
          <w:rFonts w:cstheme="minorHAnsi"/>
        </w:rPr>
        <w:t xml:space="preserve">question </w:t>
      </w:r>
      <w:r w:rsidRPr="004C79FC">
        <w:rPr>
          <w:rFonts w:cstheme="minorHAnsi"/>
        </w:rPr>
        <w:t xml:space="preserve">considers the full technical risk exposure of the project and includes consideration of </w:t>
      </w:r>
      <w:r w:rsidR="00A4720D" w:rsidRPr="004C79FC">
        <w:rPr>
          <w:rFonts w:cstheme="minorHAnsi"/>
        </w:rPr>
        <w:t xml:space="preserve">several </w:t>
      </w:r>
      <w:r w:rsidRPr="004C79FC">
        <w:rPr>
          <w:rFonts w:cstheme="minorHAnsi"/>
        </w:rPr>
        <w:t xml:space="preserve">scenarios where it may not be possible to inject, store or contain the planned </w:t>
      </w:r>
      <w:r w:rsidR="00A4720D" w:rsidRPr="004C79FC">
        <w:rPr>
          <w:rFonts w:cstheme="minorHAnsi"/>
        </w:rPr>
        <w:t>CO</w:t>
      </w:r>
      <w:r w:rsidR="00A4720D" w:rsidRPr="004C79FC">
        <w:rPr>
          <w:rFonts w:cstheme="minorHAnsi"/>
          <w:vertAlign w:val="subscript"/>
        </w:rPr>
        <w:t>2</w:t>
      </w:r>
      <w:r w:rsidR="00A4720D" w:rsidRPr="004C79FC">
        <w:rPr>
          <w:rFonts w:cstheme="minorHAnsi"/>
        </w:rPr>
        <w:t xml:space="preserve"> </w:t>
      </w:r>
      <w:r w:rsidRPr="004C79FC">
        <w:rPr>
          <w:rFonts w:cstheme="minorHAnsi"/>
        </w:rPr>
        <w:t xml:space="preserve">injection inventory. </w:t>
      </w:r>
      <w:r w:rsidR="00A4720D" w:rsidRPr="004C79FC">
        <w:rPr>
          <w:rFonts w:cstheme="minorHAnsi"/>
        </w:rPr>
        <w:t>E</w:t>
      </w:r>
      <w:r w:rsidRPr="004C79FC">
        <w:rPr>
          <w:rFonts w:cstheme="minorHAnsi"/>
        </w:rPr>
        <w:t xml:space="preserve">valuation of the leakage risk is an integral part of every SDP and </w:t>
      </w:r>
      <w:r w:rsidR="00A4720D" w:rsidRPr="004C79FC">
        <w:rPr>
          <w:rFonts w:cstheme="minorHAnsi"/>
        </w:rPr>
        <w:t xml:space="preserve">includes </w:t>
      </w:r>
      <w:r w:rsidRPr="004C79FC">
        <w:rPr>
          <w:rFonts w:cstheme="minorHAnsi"/>
        </w:rPr>
        <w:t>evaluat</w:t>
      </w:r>
      <w:r w:rsidR="00A4720D" w:rsidRPr="004C79FC">
        <w:rPr>
          <w:rFonts w:cstheme="minorHAnsi"/>
        </w:rPr>
        <w:t>ion of</w:t>
      </w:r>
      <w:r w:rsidRPr="004C79FC">
        <w:rPr>
          <w:rFonts w:cstheme="minorHAnsi"/>
        </w:rPr>
        <w:t xml:space="preserve"> the technical solutions already in place and raises awareness for previously </w:t>
      </w:r>
      <w:r w:rsidR="00A4720D" w:rsidRPr="004C79FC">
        <w:rPr>
          <w:rFonts w:cstheme="minorHAnsi"/>
        </w:rPr>
        <w:t>un-</w:t>
      </w:r>
      <w:r w:rsidRPr="004C79FC">
        <w:rPr>
          <w:rFonts w:cstheme="minorHAnsi"/>
        </w:rPr>
        <w:t xml:space="preserve">anticipated risks. </w:t>
      </w:r>
      <w:r w:rsidR="001A0828" w:rsidRPr="004C79FC">
        <w:rPr>
          <w:rFonts w:cstheme="minorHAnsi"/>
        </w:rPr>
        <w:t>G</w:t>
      </w:r>
      <w:r w:rsidR="008E3D2A" w:rsidRPr="004C79FC">
        <w:rPr>
          <w:rFonts w:cstheme="minorHAnsi"/>
        </w:rPr>
        <w:t xml:space="preserve">eological characterisation involves interpretation of the overburden </w:t>
      </w:r>
      <w:r w:rsidR="001A0828" w:rsidRPr="004C79FC">
        <w:rPr>
          <w:rFonts w:cstheme="minorHAnsi"/>
        </w:rPr>
        <w:t xml:space="preserve">in order </w:t>
      </w:r>
      <w:r w:rsidR="008E3D2A" w:rsidRPr="004C79FC">
        <w:rPr>
          <w:rFonts w:cstheme="minorHAnsi"/>
        </w:rPr>
        <w:t>to characterise site integrity and identify any possible leakage pathways, as well as opportunities for secondary containment</w:t>
      </w:r>
      <w:r w:rsidR="001A0828" w:rsidRPr="004C79FC">
        <w:rPr>
          <w:rFonts w:cstheme="minorHAnsi"/>
        </w:rPr>
        <w:t>,</w:t>
      </w:r>
      <w:r w:rsidR="008E3D2A" w:rsidRPr="004C79FC">
        <w:rPr>
          <w:rFonts w:cstheme="minorHAnsi"/>
        </w:rPr>
        <w:t xml:space="preserve"> fault seal analysis of relevant faults</w:t>
      </w:r>
      <w:r w:rsidR="001A0828" w:rsidRPr="004C79FC">
        <w:rPr>
          <w:rFonts w:cstheme="minorHAnsi"/>
        </w:rPr>
        <w:t>,</w:t>
      </w:r>
      <w:r w:rsidR="008E3D2A" w:rsidRPr="004C79FC">
        <w:rPr>
          <w:rFonts w:cstheme="minorHAnsi"/>
        </w:rPr>
        <w:t xml:space="preserve"> and </w:t>
      </w:r>
      <w:r w:rsidR="001A0828" w:rsidRPr="004C79FC">
        <w:rPr>
          <w:rFonts w:cstheme="minorHAnsi"/>
        </w:rPr>
        <w:t xml:space="preserve">provide </w:t>
      </w:r>
      <w:r w:rsidR="008E3D2A" w:rsidRPr="004C79FC">
        <w:rPr>
          <w:rFonts w:cstheme="minorHAnsi"/>
        </w:rPr>
        <w:t xml:space="preserve">a detailed investigation of the abandoned wells in the area. </w:t>
      </w:r>
      <w:r w:rsidR="00912B99">
        <w:rPr>
          <w:rFonts w:cstheme="minorHAnsi"/>
        </w:rPr>
        <w:t xml:space="preserve">Abandoned wells are a particular </w:t>
      </w:r>
      <w:r w:rsidR="00512D1A">
        <w:rPr>
          <w:rFonts w:cstheme="minorHAnsi"/>
        </w:rPr>
        <w:t>source of concern</w:t>
      </w:r>
      <w:r w:rsidR="0054597C">
        <w:rPr>
          <w:rFonts w:cstheme="minorHAnsi"/>
        </w:rPr>
        <w:t>,</w:t>
      </w:r>
      <w:r w:rsidR="00512D1A">
        <w:rPr>
          <w:rFonts w:cstheme="minorHAnsi"/>
        </w:rPr>
        <w:t xml:space="preserve"> especially in mature hydrocarbon regions. </w:t>
      </w:r>
    </w:p>
    <w:p w14:paraId="3B6DE013" w14:textId="7412A10D" w:rsidR="008D69DF" w:rsidRPr="008D69DF" w:rsidRDefault="00543EEE" w:rsidP="008F550A">
      <w:pPr>
        <w:spacing w:after="240" w:line="240" w:lineRule="auto"/>
        <w:rPr>
          <w:rFonts w:cstheme="minorHAnsi"/>
        </w:rPr>
      </w:pPr>
      <w:r w:rsidRPr="00963C39">
        <w:t xml:space="preserve">The </w:t>
      </w:r>
      <w:r w:rsidR="00AA1868">
        <w:t>ACT Acorn</w:t>
      </w:r>
      <w:r w:rsidRPr="00963C39">
        <w:t xml:space="preserve"> </w:t>
      </w:r>
      <w:r w:rsidR="008F142E" w:rsidRPr="00963C39">
        <w:t xml:space="preserve">team </w:t>
      </w:r>
      <w:r w:rsidRPr="00963C39">
        <w:t xml:space="preserve">conducted risk assessments on the two target storage sites, employing the “bow-tie” approach. This approach defines the leakage threats that may trigger leakage </w:t>
      </w:r>
      <w:r w:rsidR="008F142E" w:rsidRPr="00963C39">
        <w:t xml:space="preserve">(e.g. the presence of a leaky abandoned well or an undetected open fault) </w:t>
      </w:r>
      <w:r w:rsidRPr="00963C39">
        <w:t>as the top event, which can, once occurred, lead to consequences (</w:t>
      </w:r>
      <w:r w:rsidR="008F142E" w:rsidRPr="00963C39">
        <w:t>e.g. leakage to an overlying reservoir)</w:t>
      </w:r>
      <w:r w:rsidRPr="00963C39">
        <w:t>. Several leakage scenarios were defined</w:t>
      </w:r>
      <w:r w:rsidR="000C689B" w:rsidRPr="00963C39">
        <w:t xml:space="preserve"> to account for all potential </w:t>
      </w:r>
      <w:r w:rsidR="00BE7A42" w:rsidRPr="00963C39">
        <w:t xml:space="preserve">leakage threads </w:t>
      </w:r>
      <w:r w:rsidRPr="00963C39">
        <w:t xml:space="preserve">and </w:t>
      </w:r>
      <w:r w:rsidR="00BE7A42" w:rsidRPr="00963C39">
        <w:t>the impacts associated (Heinemann et al., 2018b)</w:t>
      </w:r>
      <w:r w:rsidRPr="00963C39">
        <w:t xml:space="preserve">. </w:t>
      </w:r>
      <w:r w:rsidR="00ED090A" w:rsidRPr="003245C0">
        <w:rPr>
          <w:rFonts w:cstheme="minorHAnsi"/>
        </w:rPr>
        <w:t xml:space="preserve">A notable outcome from </w:t>
      </w:r>
      <w:r w:rsidR="00AA1868">
        <w:rPr>
          <w:rFonts w:cstheme="minorHAnsi"/>
        </w:rPr>
        <w:t>ACT Acorn</w:t>
      </w:r>
      <w:r w:rsidR="00ED090A" w:rsidRPr="003245C0">
        <w:rPr>
          <w:rFonts w:cstheme="minorHAnsi"/>
        </w:rPr>
        <w:t xml:space="preserve"> in this regard was that in a region with a long oil and gas production history like the North Sea, there are </w:t>
      </w:r>
      <w:r w:rsidR="003D501B" w:rsidRPr="003245C0">
        <w:rPr>
          <w:rFonts w:cstheme="minorHAnsi"/>
        </w:rPr>
        <w:t xml:space="preserve">hundreds </w:t>
      </w:r>
      <w:r w:rsidR="00BD244A" w:rsidRPr="003245C0">
        <w:rPr>
          <w:rFonts w:cstheme="minorHAnsi"/>
        </w:rPr>
        <w:t xml:space="preserve">of vintage </w:t>
      </w:r>
      <w:r w:rsidR="00940738" w:rsidRPr="003245C0">
        <w:rPr>
          <w:rFonts w:cstheme="minorHAnsi"/>
        </w:rPr>
        <w:t xml:space="preserve">exploration and production </w:t>
      </w:r>
      <w:r w:rsidR="003D501B" w:rsidRPr="003245C0">
        <w:rPr>
          <w:rFonts w:cstheme="minorHAnsi"/>
        </w:rPr>
        <w:t>wells</w:t>
      </w:r>
      <w:r w:rsidR="00BD244A" w:rsidRPr="003245C0">
        <w:rPr>
          <w:rFonts w:cstheme="minorHAnsi"/>
        </w:rPr>
        <w:t xml:space="preserve">, abandoned under different </w:t>
      </w:r>
      <w:r w:rsidR="005D6CB1" w:rsidRPr="00414E97">
        <w:rPr>
          <w:rFonts w:cstheme="minorHAnsi"/>
        </w:rPr>
        <w:t xml:space="preserve">regulations and </w:t>
      </w:r>
      <w:r w:rsidR="00EA19F3" w:rsidRPr="00414E97">
        <w:rPr>
          <w:rFonts w:cstheme="minorHAnsi"/>
        </w:rPr>
        <w:t>employing techniques and materials not necessarily suitable for CO</w:t>
      </w:r>
      <w:r w:rsidR="00EA19F3" w:rsidRPr="00414E97">
        <w:rPr>
          <w:rFonts w:cstheme="minorHAnsi"/>
          <w:vertAlign w:val="subscript"/>
        </w:rPr>
        <w:t>2</w:t>
      </w:r>
      <w:r w:rsidR="00EA19F3" w:rsidRPr="00414E97">
        <w:rPr>
          <w:rFonts w:cstheme="minorHAnsi"/>
        </w:rPr>
        <w:t xml:space="preserve"> storage</w:t>
      </w:r>
      <w:r w:rsidR="00ED090A" w:rsidRPr="008D69DF">
        <w:rPr>
          <w:rFonts w:cstheme="minorHAnsi"/>
        </w:rPr>
        <w:t xml:space="preserve"> (</w:t>
      </w:r>
      <w:r w:rsidR="002B7C05" w:rsidRPr="008D69DF">
        <w:rPr>
          <w:rFonts w:cstheme="minorHAnsi"/>
        </w:rPr>
        <w:t>Pale Blue Dot Energy and Axis Well Technology, 2016</w:t>
      </w:r>
      <w:r w:rsidR="00ED090A" w:rsidRPr="008D69DF">
        <w:rPr>
          <w:rFonts w:cstheme="minorHAnsi"/>
        </w:rPr>
        <w:t>)</w:t>
      </w:r>
      <w:r w:rsidR="00EA19F3" w:rsidRPr="008D69DF">
        <w:rPr>
          <w:rFonts w:cstheme="minorHAnsi"/>
        </w:rPr>
        <w:t xml:space="preserve">. </w:t>
      </w:r>
    </w:p>
    <w:p w14:paraId="1A5880A2" w14:textId="76956B48" w:rsidR="00BE7A42" w:rsidRPr="008D69DF" w:rsidRDefault="008D69DF" w:rsidP="008F550A">
      <w:pPr>
        <w:spacing w:after="240" w:line="240" w:lineRule="auto"/>
        <w:rPr>
          <w:rFonts w:cstheme="minorHAnsi"/>
        </w:rPr>
      </w:pPr>
      <w:r w:rsidRPr="00963C39">
        <w:rPr>
          <w:rFonts w:cstheme="minorHAnsi"/>
        </w:rPr>
        <w:t>In such areas,</w:t>
      </w:r>
      <w:r w:rsidRPr="00963C39">
        <w:t xml:space="preserve"> leakage across geological formations or structures is generally less likely than leakage along wells. </w:t>
      </w:r>
      <w:r w:rsidRPr="00963C39">
        <w:rPr>
          <w:rFonts w:cstheme="minorHAnsi"/>
        </w:rPr>
        <w:t>Abandoned wells are the main source of concern for leakage in mature hydrocarbon regions (Alcalde et al., 2018</w:t>
      </w:r>
      <w:r w:rsidR="00226690">
        <w:rPr>
          <w:rFonts w:cstheme="minorHAnsi"/>
        </w:rPr>
        <w:t>a</w:t>
      </w:r>
      <w:r w:rsidRPr="00963C39">
        <w:rPr>
          <w:rFonts w:cstheme="minorHAnsi"/>
        </w:rPr>
        <w:t xml:space="preserve">), and particularly if they were abandoned under </w:t>
      </w:r>
      <w:r w:rsidR="0038389F">
        <w:rPr>
          <w:rFonts w:cstheme="minorHAnsi"/>
        </w:rPr>
        <w:t>inadequate</w:t>
      </w:r>
      <w:r w:rsidRPr="00963C39">
        <w:rPr>
          <w:rFonts w:cstheme="minorHAnsi"/>
        </w:rPr>
        <w:t xml:space="preserve"> regulations. The potentially leaky wells have to </w:t>
      </w:r>
      <w:r w:rsidRPr="00963C39">
        <w:t>be either remediated to improve their integrity, or taken into account to design an injection strategy, so that the CO</w:t>
      </w:r>
      <w:r w:rsidRPr="00963C39">
        <w:rPr>
          <w:vertAlign w:val="subscript"/>
        </w:rPr>
        <w:t>2</w:t>
      </w:r>
      <w:r w:rsidRPr="00963C39">
        <w:t xml:space="preserve"> plume avoids these wells in its underground migration. </w:t>
      </w:r>
      <w:r w:rsidR="00EA19F3" w:rsidRPr="003245C0">
        <w:rPr>
          <w:rFonts w:cstheme="minorHAnsi"/>
        </w:rPr>
        <w:t>A</w:t>
      </w:r>
      <w:r w:rsidR="00ED090A" w:rsidRPr="003245C0">
        <w:rPr>
          <w:rFonts w:cstheme="minorHAnsi"/>
        </w:rPr>
        <w:t xml:space="preserve">s such, whilst CCS operations in an area with current oil and gas operations may yield infrastructure re-use benefits, </w:t>
      </w:r>
      <w:r w:rsidR="00AA1868">
        <w:rPr>
          <w:rFonts w:cstheme="minorHAnsi"/>
        </w:rPr>
        <w:t>ACT Acorn</w:t>
      </w:r>
      <w:r w:rsidR="00ED090A" w:rsidRPr="003245C0">
        <w:rPr>
          <w:rFonts w:cstheme="minorHAnsi"/>
        </w:rPr>
        <w:t xml:space="preserve"> illustrates this must be offset against</w:t>
      </w:r>
      <w:r w:rsidR="00EA19F3" w:rsidRPr="00414E97">
        <w:rPr>
          <w:rFonts w:cstheme="minorHAnsi"/>
        </w:rPr>
        <w:t xml:space="preserve"> careful assessment of the status of abandoned wells</w:t>
      </w:r>
      <w:r w:rsidR="0054597C" w:rsidRPr="00414E97">
        <w:rPr>
          <w:rFonts w:cstheme="minorHAnsi"/>
        </w:rPr>
        <w:t xml:space="preserve">, </w:t>
      </w:r>
      <w:r w:rsidR="00010CF7" w:rsidRPr="00414E97">
        <w:rPr>
          <w:rFonts w:cstheme="minorHAnsi"/>
        </w:rPr>
        <w:t xml:space="preserve">which </w:t>
      </w:r>
      <w:r w:rsidR="0054597C" w:rsidRPr="00414E97">
        <w:rPr>
          <w:rFonts w:cstheme="minorHAnsi"/>
        </w:rPr>
        <w:t>may have penetrated the subsurface storage domain,</w:t>
      </w:r>
      <w:r w:rsidR="00EA19F3" w:rsidRPr="00414E97">
        <w:rPr>
          <w:rFonts w:cstheme="minorHAnsi"/>
        </w:rPr>
        <w:t xml:space="preserve"> to ensure </w:t>
      </w:r>
      <w:r w:rsidR="0054597C" w:rsidRPr="00414E97">
        <w:rPr>
          <w:rFonts w:cstheme="minorHAnsi"/>
        </w:rPr>
        <w:t>long-term</w:t>
      </w:r>
      <w:r w:rsidR="00EA19F3" w:rsidRPr="00414E97">
        <w:rPr>
          <w:rFonts w:cstheme="minorHAnsi"/>
        </w:rPr>
        <w:t xml:space="preserve"> CO</w:t>
      </w:r>
      <w:r w:rsidR="00EA19F3" w:rsidRPr="00414E97">
        <w:rPr>
          <w:rFonts w:cstheme="minorHAnsi"/>
          <w:vertAlign w:val="subscript"/>
        </w:rPr>
        <w:t>2</w:t>
      </w:r>
      <w:r w:rsidR="00EA19F3" w:rsidRPr="00414E97">
        <w:rPr>
          <w:rFonts w:cstheme="minorHAnsi"/>
        </w:rPr>
        <w:t xml:space="preserve"> storage</w:t>
      </w:r>
      <w:r w:rsidR="00EA19F3" w:rsidRPr="008D69DF">
        <w:rPr>
          <w:rFonts w:cstheme="minorHAnsi"/>
        </w:rPr>
        <w:t xml:space="preserve"> security</w:t>
      </w:r>
      <w:r w:rsidR="00010CF7" w:rsidRPr="008D69DF">
        <w:rPr>
          <w:rFonts w:cstheme="minorHAnsi"/>
        </w:rPr>
        <w:t xml:space="preserve"> is not compromised</w:t>
      </w:r>
      <w:r w:rsidR="00EA19F3" w:rsidRPr="008D69DF">
        <w:rPr>
          <w:rFonts w:cstheme="minorHAnsi"/>
        </w:rPr>
        <w:t xml:space="preserve">. </w:t>
      </w:r>
    </w:p>
    <w:p w14:paraId="049E1B96" w14:textId="1DEC6BAA" w:rsidR="000E1E7A" w:rsidRPr="004C79FC" w:rsidRDefault="00EB4C21" w:rsidP="008F550A">
      <w:pPr>
        <w:spacing w:after="240" w:line="240" w:lineRule="auto"/>
        <w:rPr>
          <w:rFonts w:cstheme="minorHAnsi"/>
        </w:rPr>
      </w:pPr>
      <w:r w:rsidRPr="004C79FC">
        <w:rPr>
          <w:rFonts w:cstheme="minorHAnsi"/>
        </w:rPr>
        <w:t>The risk of leakage is defined as the combination of the probability of a leakage scenario occurring and the severity of the possible loss of CO</w:t>
      </w:r>
      <w:r w:rsidRPr="004C79FC">
        <w:rPr>
          <w:rFonts w:cstheme="minorHAnsi"/>
          <w:vertAlign w:val="subscript"/>
        </w:rPr>
        <w:t>2</w:t>
      </w:r>
      <w:r w:rsidRPr="004C79FC">
        <w:rPr>
          <w:rFonts w:cstheme="minorHAnsi"/>
        </w:rPr>
        <w:t>. All potential scenarios which could lead to leakage</w:t>
      </w:r>
      <w:r w:rsidR="0054597C">
        <w:rPr>
          <w:rFonts w:cstheme="minorHAnsi"/>
        </w:rPr>
        <w:t>,</w:t>
      </w:r>
      <w:r w:rsidRPr="004C79FC">
        <w:rPr>
          <w:rFonts w:cstheme="minorHAnsi"/>
        </w:rPr>
        <w:t xml:space="preserve"> and the technical aspects which could mitigate the scenarios to occur</w:t>
      </w:r>
      <w:r w:rsidR="0054597C">
        <w:rPr>
          <w:rFonts w:cstheme="minorHAnsi"/>
        </w:rPr>
        <w:t>,</w:t>
      </w:r>
      <w:r w:rsidRPr="004C79FC">
        <w:rPr>
          <w:rFonts w:cstheme="minorHAnsi"/>
        </w:rPr>
        <w:t xml:space="preserve"> must be evaluated.</w:t>
      </w:r>
      <w:r>
        <w:rPr>
          <w:rFonts w:cstheme="minorHAnsi"/>
        </w:rPr>
        <w:t xml:space="preserve"> </w:t>
      </w:r>
      <w:r w:rsidR="000E1E7A" w:rsidRPr="004C79FC">
        <w:rPr>
          <w:rFonts w:cstheme="minorHAnsi"/>
        </w:rPr>
        <w:t xml:space="preserve">Additionally, remediation methods, which will decrease the severity of </w:t>
      </w:r>
      <w:r w:rsidR="001A0828" w:rsidRPr="004C79FC">
        <w:rPr>
          <w:rFonts w:cstheme="minorHAnsi"/>
        </w:rPr>
        <w:t xml:space="preserve">any </w:t>
      </w:r>
      <w:r w:rsidR="000E1E7A" w:rsidRPr="004C79FC">
        <w:rPr>
          <w:rFonts w:cstheme="minorHAnsi"/>
        </w:rPr>
        <w:t>leakage of CO</w:t>
      </w:r>
      <w:r w:rsidR="000E1E7A" w:rsidRPr="004C79FC">
        <w:rPr>
          <w:rFonts w:cstheme="minorHAnsi"/>
          <w:vertAlign w:val="subscript"/>
        </w:rPr>
        <w:t>2</w:t>
      </w:r>
      <w:r w:rsidR="000E1E7A" w:rsidRPr="004C79FC">
        <w:rPr>
          <w:rFonts w:cstheme="minorHAnsi"/>
        </w:rPr>
        <w:t>, need to be assessed and their impact quantified</w:t>
      </w:r>
      <w:r w:rsidR="00A0210D">
        <w:rPr>
          <w:rFonts w:cstheme="minorHAnsi"/>
        </w:rPr>
        <w:t xml:space="preserve"> (Govindan et al., 2018)</w:t>
      </w:r>
      <w:r w:rsidR="000E1E7A" w:rsidRPr="004C79FC">
        <w:rPr>
          <w:rFonts w:cstheme="minorHAnsi"/>
        </w:rPr>
        <w:t xml:space="preserve">. </w:t>
      </w:r>
      <w:r w:rsidR="000E3CA7" w:rsidRPr="004C79FC">
        <w:rPr>
          <w:rFonts w:cstheme="minorHAnsi"/>
        </w:rPr>
        <w:t xml:space="preserve">These aspects, in combination with the information obtained from the geological characterisation of the storage site, allow </w:t>
      </w:r>
      <w:r w:rsidR="001A0828" w:rsidRPr="004C79FC">
        <w:rPr>
          <w:rFonts w:cstheme="minorHAnsi"/>
        </w:rPr>
        <w:t xml:space="preserve">the </w:t>
      </w:r>
      <w:r w:rsidR="000E3CA7" w:rsidRPr="004C79FC">
        <w:rPr>
          <w:rFonts w:cstheme="minorHAnsi"/>
        </w:rPr>
        <w:t xml:space="preserve">design </w:t>
      </w:r>
      <w:r w:rsidR="001A0828" w:rsidRPr="004C79FC">
        <w:rPr>
          <w:rFonts w:cstheme="minorHAnsi"/>
        </w:rPr>
        <w:t xml:space="preserve">of </w:t>
      </w:r>
      <w:r w:rsidR="000E3CA7" w:rsidRPr="004C79FC">
        <w:rPr>
          <w:rFonts w:cstheme="minorHAnsi"/>
        </w:rPr>
        <w:t xml:space="preserve">effective </w:t>
      </w:r>
      <w:r w:rsidR="0059562E" w:rsidRPr="004C79FC">
        <w:rPr>
          <w:rFonts w:cstheme="minorHAnsi"/>
        </w:rPr>
        <w:t>programs for reliable Monitoring, Measuring and Verification (MMV) of the storage.</w:t>
      </w:r>
      <w:r w:rsidR="00407FD8">
        <w:rPr>
          <w:rFonts w:cstheme="minorHAnsi"/>
        </w:rPr>
        <w:t xml:space="preserve"> The MMV program for the Acorn storage site can be found in </w:t>
      </w:r>
      <w:r w:rsidR="003F70A7">
        <w:rPr>
          <w:rFonts w:cstheme="minorHAnsi"/>
        </w:rPr>
        <w:t>ACT Acorn</w:t>
      </w:r>
      <w:r w:rsidR="00407FD8">
        <w:rPr>
          <w:rFonts w:cstheme="minorHAnsi"/>
        </w:rPr>
        <w:t xml:space="preserve"> (2018</w:t>
      </w:r>
      <w:r w:rsidR="003F70A7">
        <w:rPr>
          <w:rFonts w:cstheme="minorHAnsi"/>
        </w:rPr>
        <w:t>b</w:t>
      </w:r>
      <w:r w:rsidR="00407FD8">
        <w:rPr>
          <w:rFonts w:cstheme="minorHAnsi"/>
        </w:rPr>
        <w:t xml:space="preserve">), but it </w:t>
      </w:r>
      <w:r w:rsidR="00C71870">
        <w:rPr>
          <w:rFonts w:cstheme="minorHAnsi"/>
        </w:rPr>
        <w:t xml:space="preserve">will </w:t>
      </w:r>
      <w:r w:rsidR="00407FD8">
        <w:rPr>
          <w:rFonts w:cstheme="minorHAnsi"/>
        </w:rPr>
        <w:t xml:space="preserve">need to be </w:t>
      </w:r>
      <w:r w:rsidR="00310896">
        <w:rPr>
          <w:rFonts w:cstheme="minorHAnsi"/>
        </w:rPr>
        <w:t>reassessed and adapted to new information as the project develops.</w:t>
      </w:r>
      <w:r w:rsidR="00407FD8">
        <w:rPr>
          <w:rFonts w:cstheme="minorHAnsi"/>
        </w:rPr>
        <w:t xml:space="preserve"> The MMV program for the </w:t>
      </w:r>
      <w:r w:rsidR="00C71870">
        <w:rPr>
          <w:rFonts w:cstheme="minorHAnsi"/>
        </w:rPr>
        <w:t>i</w:t>
      </w:r>
      <w:r w:rsidR="000F6CC8" w:rsidRPr="004C79FC">
        <w:rPr>
          <w:rFonts w:cstheme="minorHAnsi"/>
        </w:rPr>
        <w:t xml:space="preserve">nternational </w:t>
      </w:r>
      <w:r w:rsidR="0059562E" w:rsidRPr="004C79FC">
        <w:rPr>
          <w:rFonts w:cstheme="minorHAnsi"/>
        </w:rPr>
        <w:t xml:space="preserve">experiences in </w:t>
      </w:r>
      <w:r w:rsidR="000F6CC8" w:rsidRPr="004C79FC">
        <w:rPr>
          <w:rFonts w:cstheme="minorHAnsi"/>
        </w:rPr>
        <w:t>monitoring of CO</w:t>
      </w:r>
      <w:r w:rsidR="000F6CC8" w:rsidRPr="004C79FC">
        <w:rPr>
          <w:rFonts w:cstheme="minorHAnsi"/>
          <w:vertAlign w:val="subscript"/>
        </w:rPr>
        <w:t>2</w:t>
      </w:r>
      <w:r w:rsidR="000F6CC8" w:rsidRPr="004C79FC">
        <w:rPr>
          <w:rFonts w:cstheme="minorHAnsi"/>
        </w:rPr>
        <w:t xml:space="preserve"> storage </w:t>
      </w:r>
      <w:r w:rsidR="00044C7B">
        <w:rPr>
          <w:rFonts w:cstheme="minorHAnsi"/>
        </w:rPr>
        <w:t xml:space="preserve">sites </w:t>
      </w:r>
      <w:r w:rsidR="000F6CC8" w:rsidRPr="004C79FC">
        <w:rPr>
          <w:rFonts w:cstheme="minorHAnsi"/>
        </w:rPr>
        <w:t>(e.g. In Salah in Algeria</w:t>
      </w:r>
      <w:r w:rsidR="00392348" w:rsidRPr="004C79FC">
        <w:rPr>
          <w:rFonts w:cstheme="minorHAnsi"/>
        </w:rPr>
        <w:t>,</w:t>
      </w:r>
      <w:r w:rsidR="000F6CC8" w:rsidRPr="004C79FC">
        <w:rPr>
          <w:rFonts w:cstheme="minorHAnsi"/>
        </w:rPr>
        <w:t xml:space="preserve"> Eiken et al., 2011</w:t>
      </w:r>
      <w:r w:rsidR="00392348" w:rsidRPr="004C79FC">
        <w:rPr>
          <w:rFonts w:cstheme="minorHAnsi"/>
        </w:rPr>
        <w:t>,</w:t>
      </w:r>
      <w:r w:rsidR="000F6CC8" w:rsidRPr="004C79FC">
        <w:rPr>
          <w:rFonts w:cstheme="minorHAnsi"/>
        </w:rPr>
        <w:t xml:space="preserve"> or Weyburn in Canada</w:t>
      </w:r>
      <w:r w:rsidR="00392348" w:rsidRPr="004C79FC">
        <w:rPr>
          <w:rFonts w:cstheme="minorHAnsi"/>
        </w:rPr>
        <w:t>,</w:t>
      </w:r>
      <w:r w:rsidR="000F6CC8" w:rsidRPr="004C79FC">
        <w:rPr>
          <w:rFonts w:cstheme="minorHAnsi"/>
        </w:rPr>
        <w:t xml:space="preserve"> White, 2004) are valuable sources of information for the design of MMV protocols. </w:t>
      </w:r>
      <w:r w:rsidR="000E1E7A" w:rsidRPr="004C79FC">
        <w:rPr>
          <w:rFonts w:cstheme="minorHAnsi"/>
        </w:rPr>
        <w:t xml:space="preserve">It is also recommended </w:t>
      </w:r>
      <w:r w:rsidR="00C71870">
        <w:rPr>
          <w:rFonts w:cstheme="minorHAnsi"/>
        </w:rPr>
        <w:t>that there is a formal</w:t>
      </w:r>
      <w:r w:rsidR="00C71870" w:rsidRPr="004C79FC">
        <w:rPr>
          <w:rFonts w:cstheme="minorHAnsi"/>
        </w:rPr>
        <w:t xml:space="preserve"> </w:t>
      </w:r>
      <w:r w:rsidR="000E1E7A" w:rsidRPr="004C79FC">
        <w:rPr>
          <w:rFonts w:cstheme="minorHAnsi"/>
        </w:rPr>
        <w:t>summar</w:t>
      </w:r>
      <w:r w:rsidR="00C71870">
        <w:rPr>
          <w:rFonts w:cstheme="minorHAnsi"/>
        </w:rPr>
        <w:t>y made of</w:t>
      </w:r>
      <w:r w:rsidR="000E1E7A" w:rsidRPr="004C79FC">
        <w:rPr>
          <w:rFonts w:cstheme="minorHAnsi"/>
        </w:rPr>
        <w:t xml:space="preserve"> the lessons learned and recommendations of the risk analysis</w:t>
      </w:r>
      <w:r w:rsidR="00C71870">
        <w:rPr>
          <w:rFonts w:cstheme="minorHAnsi"/>
        </w:rPr>
        <w:t xml:space="preserve"> from previous CCS projects (e.g. Weyburn, In Salah, Sleipner, etc.)</w:t>
      </w:r>
      <w:r w:rsidR="000E1E7A" w:rsidRPr="004C79FC">
        <w:rPr>
          <w:rFonts w:cstheme="minorHAnsi"/>
        </w:rPr>
        <w:t xml:space="preserve"> to update the ongoing project and to establish a knowledge transfer for the benefit of future CCS projects. Risk analyses </w:t>
      </w:r>
      <w:r w:rsidR="00C71870">
        <w:rPr>
          <w:rFonts w:cstheme="minorHAnsi"/>
        </w:rPr>
        <w:t xml:space="preserve">of CCS projects </w:t>
      </w:r>
      <w:r w:rsidR="000E1E7A" w:rsidRPr="004C79FC">
        <w:rPr>
          <w:rFonts w:cstheme="minorHAnsi"/>
        </w:rPr>
        <w:t xml:space="preserve">should be made </w:t>
      </w:r>
      <w:r w:rsidR="00C71870">
        <w:rPr>
          <w:rFonts w:cstheme="minorHAnsi"/>
        </w:rPr>
        <w:t xml:space="preserve">fully </w:t>
      </w:r>
      <w:r w:rsidR="000E1E7A" w:rsidRPr="004C79FC">
        <w:rPr>
          <w:rFonts w:cstheme="minorHAnsi"/>
        </w:rPr>
        <w:t>public so that regulators</w:t>
      </w:r>
      <w:r w:rsidR="00C71870">
        <w:rPr>
          <w:rFonts w:cstheme="minorHAnsi"/>
        </w:rPr>
        <w:t>,</w:t>
      </w:r>
      <w:r w:rsidR="000E1E7A" w:rsidRPr="004C79FC">
        <w:rPr>
          <w:rFonts w:cstheme="minorHAnsi"/>
        </w:rPr>
        <w:t xml:space="preserve"> and the general public</w:t>
      </w:r>
      <w:r w:rsidR="00C71870">
        <w:rPr>
          <w:rFonts w:cstheme="minorHAnsi"/>
        </w:rPr>
        <w:t>,</w:t>
      </w:r>
      <w:r w:rsidR="000E1E7A" w:rsidRPr="004C79FC">
        <w:rPr>
          <w:rFonts w:cstheme="minorHAnsi"/>
        </w:rPr>
        <w:t xml:space="preserve"> </w:t>
      </w:r>
      <w:r w:rsidR="0051575D">
        <w:rPr>
          <w:rFonts w:cstheme="minorHAnsi"/>
        </w:rPr>
        <w:t>can study</w:t>
      </w:r>
      <w:r w:rsidR="000E1E7A" w:rsidRPr="004C79FC">
        <w:rPr>
          <w:rFonts w:cstheme="minorHAnsi"/>
        </w:rPr>
        <w:t xml:space="preserve"> them, and to allow independent, external evaluation.</w:t>
      </w:r>
    </w:p>
    <w:p w14:paraId="2C2FE4FF" w14:textId="613A4CBA" w:rsidR="000E1E7A" w:rsidRPr="00CC6E53" w:rsidRDefault="002C17A7" w:rsidP="008F550A">
      <w:pPr>
        <w:spacing w:after="240" w:line="240" w:lineRule="auto"/>
        <w:rPr>
          <w:rFonts w:cstheme="minorHAnsi"/>
          <w:b/>
        </w:rPr>
      </w:pPr>
      <w:r>
        <w:rPr>
          <w:rFonts w:cstheme="minorHAnsi"/>
          <w:b/>
        </w:rPr>
        <w:t xml:space="preserve">5.3. </w:t>
      </w:r>
      <w:r w:rsidR="000E1E7A" w:rsidRPr="00CC6E53">
        <w:rPr>
          <w:rFonts w:cstheme="minorHAnsi"/>
          <w:b/>
        </w:rPr>
        <w:t xml:space="preserve">Development Plan and cost - How will we develop the site and how much </w:t>
      </w:r>
      <w:r w:rsidR="00B2317B" w:rsidRPr="00CC6E53">
        <w:rPr>
          <w:rFonts w:cstheme="minorHAnsi"/>
          <w:b/>
        </w:rPr>
        <w:t>will</w:t>
      </w:r>
      <w:r w:rsidR="000E1E7A" w:rsidRPr="00CC6E53">
        <w:rPr>
          <w:rFonts w:cstheme="minorHAnsi"/>
          <w:b/>
        </w:rPr>
        <w:t xml:space="preserve"> it cost?</w:t>
      </w:r>
    </w:p>
    <w:p w14:paraId="2DBF9B76" w14:textId="4FFCBFE2" w:rsidR="00E02C90" w:rsidRDefault="000E1E7A" w:rsidP="00310957">
      <w:pPr>
        <w:spacing w:after="240" w:line="240" w:lineRule="auto"/>
        <w:rPr>
          <w:rFonts w:cstheme="minorHAnsi"/>
        </w:rPr>
      </w:pPr>
      <w:r w:rsidRPr="004C79FC">
        <w:rPr>
          <w:rFonts w:cstheme="minorHAnsi"/>
        </w:rPr>
        <w:t xml:space="preserve">The </w:t>
      </w:r>
      <w:r w:rsidR="001A0828" w:rsidRPr="004C79FC">
        <w:rPr>
          <w:rFonts w:cstheme="minorHAnsi"/>
        </w:rPr>
        <w:t xml:space="preserve">design of </w:t>
      </w:r>
      <w:r w:rsidRPr="004C79FC">
        <w:rPr>
          <w:rFonts w:cstheme="minorHAnsi"/>
        </w:rPr>
        <w:t>injection well</w:t>
      </w:r>
      <w:r w:rsidR="001A0828" w:rsidRPr="004C79FC">
        <w:rPr>
          <w:rFonts w:cstheme="minorHAnsi"/>
        </w:rPr>
        <w:t>s</w:t>
      </w:r>
      <w:r w:rsidRPr="004C79FC">
        <w:rPr>
          <w:rFonts w:cstheme="minorHAnsi"/>
        </w:rPr>
        <w:t xml:space="preserve"> is important for a storage project because </w:t>
      </w:r>
      <w:r w:rsidR="00B17C37">
        <w:rPr>
          <w:rFonts w:cstheme="minorHAnsi"/>
        </w:rPr>
        <w:t>this type of</w:t>
      </w:r>
      <w:r w:rsidR="00F32C5F">
        <w:rPr>
          <w:rFonts w:cstheme="minorHAnsi"/>
        </w:rPr>
        <w:t xml:space="preserve"> well</w:t>
      </w:r>
      <w:r w:rsidR="00F32C5F" w:rsidRPr="004C79FC">
        <w:rPr>
          <w:rFonts w:cstheme="minorHAnsi"/>
        </w:rPr>
        <w:t xml:space="preserve"> </w:t>
      </w:r>
      <w:r w:rsidRPr="004C79FC">
        <w:rPr>
          <w:rFonts w:cstheme="minorHAnsi"/>
        </w:rPr>
        <w:t>constitutes one of the greatest up</w:t>
      </w:r>
      <w:r w:rsidR="001A0828" w:rsidRPr="004C79FC">
        <w:rPr>
          <w:rFonts w:cstheme="minorHAnsi"/>
        </w:rPr>
        <w:t>-</w:t>
      </w:r>
      <w:r w:rsidRPr="004C79FC">
        <w:rPr>
          <w:rFonts w:cstheme="minorHAnsi"/>
        </w:rPr>
        <w:t>front investments, especially when operating offshore. A well</w:t>
      </w:r>
      <w:r w:rsidR="00B17C37">
        <w:rPr>
          <w:rFonts w:cstheme="minorHAnsi"/>
        </w:rPr>
        <w:t>-</w:t>
      </w:r>
      <w:r w:rsidRPr="004C79FC">
        <w:rPr>
          <w:rFonts w:cstheme="minorHAnsi"/>
        </w:rPr>
        <w:t xml:space="preserve">performance model, which takes into account the various supply and injection scenarios, will inform what tubing sizes are appropriate. </w:t>
      </w:r>
      <w:r w:rsidR="004A073B">
        <w:rPr>
          <w:rFonts w:cstheme="minorHAnsi"/>
        </w:rPr>
        <w:t>The</w:t>
      </w:r>
      <w:r w:rsidRPr="004C79FC">
        <w:rPr>
          <w:rFonts w:cstheme="minorHAnsi"/>
        </w:rPr>
        <w:t xml:space="preserve"> Acorn </w:t>
      </w:r>
      <w:r w:rsidR="00AB3359" w:rsidRPr="004C79FC">
        <w:rPr>
          <w:rFonts w:cstheme="minorHAnsi"/>
        </w:rPr>
        <w:t xml:space="preserve">CCS </w:t>
      </w:r>
      <w:r w:rsidRPr="004C79FC">
        <w:rPr>
          <w:rFonts w:cstheme="minorHAnsi"/>
        </w:rPr>
        <w:t>project</w:t>
      </w:r>
      <w:r w:rsidR="004A073B">
        <w:rPr>
          <w:rFonts w:cstheme="minorHAnsi"/>
        </w:rPr>
        <w:t xml:space="preserve"> </w:t>
      </w:r>
      <w:r w:rsidR="009D7A02" w:rsidRPr="004C79FC">
        <w:rPr>
          <w:rFonts w:cstheme="minorHAnsi"/>
        </w:rPr>
        <w:t>propose</w:t>
      </w:r>
      <w:r w:rsidR="004A073B">
        <w:rPr>
          <w:rFonts w:cstheme="minorHAnsi"/>
        </w:rPr>
        <w:t>s</w:t>
      </w:r>
      <w:r w:rsidR="009D7A02" w:rsidRPr="004C79FC">
        <w:rPr>
          <w:rFonts w:cstheme="minorHAnsi"/>
        </w:rPr>
        <w:t xml:space="preserve"> </w:t>
      </w:r>
      <w:r w:rsidRPr="004C79FC">
        <w:rPr>
          <w:rFonts w:cstheme="minorHAnsi"/>
        </w:rPr>
        <w:t>a dual</w:t>
      </w:r>
      <w:r w:rsidR="001A0828" w:rsidRPr="004C79FC">
        <w:rPr>
          <w:rFonts w:cstheme="minorHAnsi"/>
        </w:rPr>
        <w:t>-</w:t>
      </w:r>
      <w:r w:rsidRPr="004C79FC">
        <w:rPr>
          <w:rFonts w:cstheme="minorHAnsi"/>
        </w:rPr>
        <w:t>completion well</w:t>
      </w:r>
      <w:r w:rsidR="001A0828" w:rsidRPr="004C79FC">
        <w:rPr>
          <w:rFonts w:cstheme="minorHAnsi"/>
        </w:rPr>
        <w:t>-</w:t>
      </w:r>
      <w:r w:rsidRPr="004C79FC">
        <w:rPr>
          <w:rFonts w:cstheme="minorHAnsi"/>
        </w:rPr>
        <w:t>design to mitigate the negative effects of CO</w:t>
      </w:r>
      <w:r w:rsidRPr="004C79FC">
        <w:rPr>
          <w:rFonts w:cstheme="minorHAnsi"/>
          <w:vertAlign w:val="subscript"/>
        </w:rPr>
        <w:t>2</w:t>
      </w:r>
      <w:r w:rsidRPr="004C79FC">
        <w:rPr>
          <w:rFonts w:cstheme="minorHAnsi"/>
        </w:rPr>
        <w:t xml:space="preserve"> phase changes within the injection well due to the expected large range of </w:t>
      </w:r>
      <w:r w:rsidR="00B17C37">
        <w:rPr>
          <w:rFonts w:cstheme="minorHAnsi"/>
        </w:rPr>
        <w:t xml:space="preserve">amounts of </w:t>
      </w:r>
      <w:r w:rsidRPr="004C79FC">
        <w:rPr>
          <w:rFonts w:cstheme="minorHAnsi"/>
        </w:rPr>
        <w:t>CO</w:t>
      </w:r>
      <w:r w:rsidRPr="004C79FC">
        <w:rPr>
          <w:rFonts w:cstheme="minorHAnsi"/>
          <w:vertAlign w:val="subscript"/>
        </w:rPr>
        <w:t>2</w:t>
      </w:r>
      <w:r w:rsidRPr="004C79FC">
        <w:rPr>
          <w:rFonts w:cstheme="minorHAnsi"/>
        </w:rPr>
        <w:t xml:space="preserve"> supply </w:t>
      </w:r>
      <w:r w:rsidR="00B17C37">
        <w:rPr>
          <w:rFonts w:cstheme="minorHAnsi"/>
        </w:rPr>
        <w:t xml:space="preserve">(which will affect the downhole pressure regime) </w:t>
      </w:r>
      <w:r w:rsidRPr="004C79FC">
        <w:rPr>
          <w:rFonts w:cstheme="minorHAnsi"/>
        </w:rPr>
        <w:t xml:space="preserve">at the initial stage of </w:t>
      </w:r>
      <w:r w:rsidR="005822B9">
        <w:rPr>
          <w:rFonts w:cstheme="minorHAnsi"/>
        </w:rPr>
        <w:t xml:space="preserve">the </w:t>
      </w:r>
      <w:r w:rsidRPr="004C79FC">
        <w:rPr>
          <w:rFonts w:cstheme="minorHAnsi"/>
        </w:rPr>
        <w:t>project</w:t>
      </w:r>
      <w:r w:rsidR="00392348" w:rsidRPr="004C79FC">
        <w:rPr>
          <w:rFonts w:cstheme="minorHAnsi"/>
        </w:rPr>
        <w:t xml:space="preserve"> (</w:t>
      </w:r>
      <w:r w:rsidR="003F70A7">
        <w:rPr>
          <w:rFonts w:cstheme="minorHAnsi"/>
        </w:rPr>
        <w:t>ACT Acor</w:t>
      </w:r>
      <w:r w:rsidR="00AD1D53">
        <w:rPr>
          <w:rFonts w:cstheme="minorHAnsi"/>
        </w:rPr>
        <w:t>n</w:t>
      </w:r>
      <w:r w:rsidR="00CB14E1" w:rsidRPr="004C79FC">
        <w:rPr>
          <w:rFonts w:cstheme="minorHAnsi"/>
        </w:rPr>
        <w:t xml:space="preserve">, </w:t>
      </w:r>
      <w:r w:rsidR="00AE5C49" w:rsidRPr="004C79FC">
        <w:rPr>
          <w:rFonts w:cstheme="minorHAnsi"/>
        </w:rPr>
        <w:t>2018</w:t>
      </w:r>
      <w:r w:rsidR="00AE5C49">
        <w:rPr>
          <w:rFonts w:cstheme="minorHAnsi"/>
        </w:rPr>
        <w:t>b</w:t>
      </w:r>
      <w:r w:rsidR="00392348" w:rsidRPr="004C79FC">
        <w:rPr>
          <w:rFonts w:cstheme="minorHAnsi"/>
        </w:rPr>
        <w:t>)</w:t>
      </w:r>
      <w:r w:rsidRPr="004C79FC">
        <w:rPr>
          <w:rFonts w:cstheme="minorHAnsi"/>
        </w:rPr>
        <w:t xml:space="preserve">. </w:t>
      </w:r>
      <w:r w:rsidR="00302195">
        <w:rPr>
          <w:rFonts w:cstheme="minorHAnsi"/>
        </w:rPr>
        <w:t>For the characteristics of the Acorn storage site, a</w:t>
      </w:r>
      <w:r w:rsidR="00302195">
        <w:t xml:space="preserve"> subsea injection well designed to handle a range of injection rates </w:t>
      </w:r>
      <w:r w:rsidR="00B17C37">
        <w:t>would require</w:t>
      </w:r>
      <w:r w:rsidR="00302195">
        <w:t xml:space="preserve"> lower capital cost than a platform well, and therefore it is the preferred option. </w:t>
      </w:r>
      <w:r w:rsidRPr="004C79FC">
        <w:rPr>
          <w:rFonts w:cstheme="minorHAnsi"/>
        </w:rPr>
        <w:t>D</w:t>
      </w:r>
      <w:r w:rsidR="00302195">
        <w:rPr>
          <w:rFonts w:cstheme="minorHAnsi"/>
        </w:rPr>
        <w:t>ue to</w:t>
      </w:r>
      <w:r w:rsidRPr="004C79FC">
        <w:rPr>
          <w:rFonts w:cstheme="minorHAnsi"/>
        </w:rPr>
        <w:t xml:space="preserve"> the degree of compaction of the reservoir and the expected pressure changes, sand screens </w:t>
      </w:r>
      <w:r w:rsidR="00302195" w:rsidRPr="004C79FC">
        <w:rPr>
          <w:rFonts w:cstheme="minorHAnsi"/>
        </w:rPr>
        <w:t>(Ibukun et al., 2015)</w:t>
      </w:r>
      <w:r w:rsidR="00302195">
        <w:rPr>
          <w:rFonts w:cstheme="minorHAnsi"/>
        </w:rPr>
        <w:t xml:space="preserve"> will be employed </w:t>
      </w:r>
      <w:r w:rsidRPr="004C79FC">
        <w:rPr>
          <w:rFonts w:cstheme="minorHAnsi"/>
        </w:rPr>
        <w:t>to reduce the risk of sand mobilisation towards the injectio</w:t>
      </w:r>
      <w:r w:rsidR="00302195">
        <w:rPr>
          <w:rFonts w:cstheme="minorHAnsi"/>
        </w:rPr>
        <w:t>n</w:t>
      </w:r>
      <w:r w:rsidRPr="004C79FC">
        <w:rPr>
          <w:rFonts w:cstheme="minorHAnsi"/>
        </w:rPr>
        <w:t>.</w:t>
      </w:r>
      <w:r w:rsidR="00310957">
        <w:rPr>
          <w:rFonts w:cstheme="minorHAnsi"/>
        </w:rPr>
        <w:t xml:space="preserve"> </w:t>
      </w:r>
    </w:p>
    <w:p w14:paraId="4470C84E" w14:textId="5A19AF76" w:rsidR="000E1E7A" w:rsidRPr="004C79FC" w:rsidRDefault="00AE5C49" w:rsidP="00310957">
      <w:pPr>
        <w:spacing w:after="240" w:line="240" w:lineRule="auto"/>
        <w:rPr>
          <w:rFonts w:cstheme="minorHAnsi"/>
        </w:rPr>
      </w:pPr>
      <w:r>
        <w:rPr>
          <w:rFonts w:cstheme="minorHAnsi"/>
        </w:rPr>
        <w:t xml:space="preserve">In the </w:t>
      </w:r>
      <w:r w:rsidR="007B743B">
        <w:rPr>
          <w:rFonts w:cstheme="minorHAnsi"/>
        </w:rPr>
        <w:t xml:space="preserve">initial </w:t>
      </w:r>
      <w:r>
        <w:rPr>
          <w:rFonts w:cstheme="minorHAnsi"/>
        </w:rPr>
        <w:t xml:space="preserve">Acorn site, the capital investment required to build and condition the site (including the pipelines, umbilical, subsea </w:t>
      </w:r>
      <w:r w:rsidR="00E02C90">
        <w:rPr>
          <w:rFonts w:cstheme="minorHAnsi"/>
        </w:rPr>
        <w:t>infrastructure</w:t>
      </w:r>
      <w:r>
        <w:rPr>
          <w:rFonts w:cstheme="minorHAnsi"/>
        </w:rPr>
        <w:t xml:space="preserve"> and well drilling) is estimated to be €</w:t>
      </w:r>
      <w:r w:rsidR="00310957">
        <w:rPr>
          <w:rFonts w:cstheme="minorHAnsi"/>
        </w:rPr>
        <w:t>1</w:t>
      </w:r>
      <w:r w:rsidR="00E02C90">
        <w:rPr>
          <w:rFonts w:cstheme="minorHAnsi"/>
        </w:rPr>
        <w:t>7</w:t>
      </w:r>
      <w:r w:rsidR="00310957">
        <w:rPr>
          <w:rFonts w:cstheme="minorHAnsi"/>
        </w:rPr>
        <w:t>0</w:t>
      </w:r>
      <w:r w:rsidR="00E02C90">
        <w:rPr>
          <w:rFonts w:cstheme="minorHAnsi"/>
        </w:rPr>
        <w:t xml:space="preserve"> million (</w:t>
      </w:r>
      <w:r>
        <w:rPr>
          <w:rFonts w:cstheme="minorHAnsi"/>
        </w:rPr>
        <w:t xml:space="preserve">including </w:t>
      </w:r>
      <w:r w:rsidR="00E02C90">
        <w:rPr>
          <w:rFonts w:cstheme="minorHAnsi"/>
        </w:rPr>
        <w:t>€47 million contingency)</w:t>
      </w:r>
      <w:r w:rsidR="007B743B">
        <w:rPr>
          <w:rFonts w:cstheme="minorHAnsi"/>
        </w:rPr>
        <w:t xml:space="preserve"> (ACT Acorn, 2018b)</w:t>
      </w:r>
      <w:r w:rsidR="00E02C90">
        <w:rPr>
          <w:rFonts w:cstheme="minorHAnsi"/>
        </w:rPr>
        <w:t>. T</w:t>
      </w:r>
      <w:r w:rsidR="00310957">
        <w:rPr>
          <w:rFonts w:cstheme="minorHAnsi"/>
        </w:rPr>
        <w:t xml:space="preserve">he </w:t>
      </w:r>
      <w:r w:rsidR="00E02C90">
        <w:rPr>
          <w:rFonts w:cstheme="minorHAnsi"/>
        </w:rPr>
        <w:t>injection</w:t>
      </w:r>
      <w:r w:rsidR="00310957">
        <w:rPr>
          <w:rFonts w:cstheme="minorHAnsi"/>
        </w:rPr>
        <w:t xml:space="preserve"> operations (</w:t>
      </w:r>
      <w:r w:rsidR="00E02C90">
        <w:rPr>
          <w:rFonts w:cstheme="minorHAnsi"/>
        </w:rPr>
        <w:t>CO</w:t>
      </w:r>
      <w:r w:rsidR="00E02C90" w:rsidRPr="00963C39">
        <w:rPr>
          <w:rFonts w:cstheme="minorHAnsi"/>
          <w:vertAlign w:val="subscript"/>
        </w:rPr>
        <w:t>2</w:t>
      </w:r>
      <w:r w:rsidR="00E02C90">
        <w:rPr>
          <w:rFonts w:cstheme="minorHAnsi"/>
        </w:rPr>
        <w:t xml:space="preserve"> </w:t>
      </w:r>
      <w:r w:rsidR="00310957">
        <w:rPr>
          <w:rFonts w:cstheme="minorHAnsi"/>
        </w:rPr>
        <w:t xml:space="preserve">transport, subsea </w:t>
      </w:r>
      <w:r w:rsidR="00E02C90">
        <w:rPr>
          <w:rFonts w:cstheme="minorHAnsi"/>
        </w:rPr>
        <w:t>procedures</w:t>
      </w:r>
      <w:r w:rsidR="00310957">
        <w:rPr>
          <w:rFonts w:cstheme="minorHAnsi"/>
        </w:rPr>
        <w:t xml:space="preserve"> and monitoring) </w:t>
      </w:r>
      <w:r w:rsidR="00E02C90">
        <w:rPr>
          <w:rFonts w:cstheme="minorHAnsi"/>
        </w:rPr>
        <w:t>are estimated to amount over €4.5 million yr</w:t>
      </w:r>
      <w:r w:rsidR="00E02C90" w:rsidRPr="00963C39">
        <w:rPr>
          <w:rFonts w:cstheme="minorHAnsi"/>
          <w:vertAlign w:val="superscript"/>
        </w:rPr>
        <w:t>-1</w:t>
      </w:r>
      <w:r w:rsidR="00E02C90">
        <w:rPr>
          <w:rFonts w:cstheme="minorHAnsi"/>
        </w:rPr>
        <w:t xml:space="preserve"> (including €</w:t>
      </w:r>
      <w:r w:rsidR="00310957">
        <w:rPr>
          <w:rFonts w:cstheme="minorHAnsi"/>
        </w:rPr>
        <w:t>1.</w:t>
      </w:r>
      <w:r w:rsidR="00E02C90">
        <w:rPr>
          <w:rFonts w:cstheme="minorHAnsi"/>
        </w:rPr>
        <w:t>4</w:t>
      </w:r>
      <w:r w:rsidR="00310957">
        <w:rPr>
          <w:rFonts w:cstheme="minorHAnsi"/>
        </w:rPr>
        <w:t xml:space="preserve"> contingency</w:t>
      </w:r>
      <w:r w:rsidR="00E02C90" w:rsidRPr="00E02C90">
        <w:rPr>
          <w:rFonts w:cstheme="minorHAnsi"/>
        </w:rPr>
        <w:t xml:space="preserve"> </w:t>
      </w:r>
      <w:r w:rsidR="00E02C90">
        <w:rPr>
          <w:rFonts w:cstheme="minorHAnsi"/>
        </w:rPr>
        <w:t>yr</w:t>
      </w:r>
      <w:r w:rsidR="00E02C90" w:rsidRPr="00963C39">
        <w:rPr>
          <w:rFonts w:cstheme="minorHAnsi"/>
          <w:vertAlign w:val="superscript"/>
        </w:rPr>
        <w:t>-1</w:t>
      </w:r>
      <w:r w:rsidR="00310957">
        <w:rPr>
          <w:rFonts w:cstheme="minorHAnsi"/>
        </w:rPr>
        <w:t>)</w:t>
      </w:r>
      <w:r w:rsidR="00E02C90">
        <w:rPr>
          <w:rFonts w:cstheme="minorHAnsi"/>
        </w:rPr>
        <w:t>.</w:t>
      </w:r>
    </w:p>
    <w:p w14:paraId="4CC07BC6" w14:textId="676A1310" w:rsidR="009148A1" w:rsidRPr="003245C0" w:rsidRDefault="003245C0" w:rsidP="003245C0">
      <w:pPr>
        <w:rPr>
          <w:b/>
        </w:rPr>
      </w:pPr>
      <w:r>
        <w:rPr>
          <w:b/>
        </w:rPr>
        <w:t xml:space="preserve">6. </w:t>
      </w:r>
      <w:r w:rsidR="009148A1" w:rsidRPr="003245C0">
        <w:rPr>
          <w:b/>
        </w:rPr>
        <w:t xml:space="preserve">Low-carbon </w:t>
      </w:r>
      <w:r w:rsidR="002B2718" w:rsidRPr="003245C0">
        <w:rPr>
          <w:b/>
        </w:rPr>
        <w:t>build</w:t>
      </w:r>
      <w:r w:rsidR="009148A1" w:rsidRPr="003245C0">
        <w:rPr>
          <w:b/>
        </w:rPr>
        <w:t xml:space="preserve">-out </w:t>
      </w:r>
      <w:r w:rsidR="002B2718" w:rsidRPr="003245C0">
        <w:rPr>
          <w:b/>
        </w:rPr>
        <w:t>options</w:t>
      </w:r>
      <w:r w:rsidR="0040059C" w:rsidRPr="003245C0">
        <w:rPr>
          <w:b/>
        </w:rPr>
        <w:t xml:space="preserve"> and full-chain development planning</w:t>
      </w:r>
    </w:p>
    <w:p w14:paraId="0917B18B" w14:textId="29DE62D0" w:rsidR="00823E04" w:rsidRDefault="009750C6" w:rsidP="008F550A">
      <w:pPr>
        <w:spacing w:after="240" w:line="240" w:lineRule="auto"/>
        <w:rPr>
          <w:rFonts w:cstheme="minorHAnsi"/>
        </w:rPr>
      </w:pPr>
      <w:r>
        <w:rPr>
          <w:rFonts w:cstheme="minorHAnsi"/>
        </w:rPr>
        <w:t>The third area of learning concerns low-carbon build-out</w:t>
      </w:r>
      <w:r w:rsidR="00240FC5">
        <w:rPr>
          <w:rFonts w:cstheme="minorHAnsi"/>
        </w:rPr>
        <w:t xml:space="preserve"> and full-chain development planning</w:t>
      </w:r>
      <w:r>
        <w:rPr>
          <w:rFonts w:cstheme="minorHAnsi"/>
        </w:rPr>
        <w:t xml:space="preserve">. That is, potential for developing a larger low-carbon network on the basis of storage infrastructure established through a project such as Acorn. </w:t>
      </w:r>
      <w:r w:rsidR="009148A1" w:rsidRPr="004C79FC">
        <w:rPr>
          <w:rFonts w:cstheme="minorHAnsi"/>
        </w:rPr>
        <w:t>CO</w:t>
      </w:r>
      <w:r w:rsidR="009148A1" w:rsidRPr="004C79FC">
        <w:rPr>
          <w:rFonts w:cstheme="minorHAnsi"/>
          <w:vertAlign w:val="subscript"/>
        </w:rPr>
        <w:t>2</w:t>
      </w:r>
      <w:r w:rsidR="009148A1" w:rsidRPr="004C79FC">
        <w:rPr>
          <w:rFonts w:cstheme="minorHAnsi"/>
        </w:rPr>
        <w:t xml:space="preserve"> transport and storage infrastructure can be shared between multiple capture projects, to maximise value, simplify investment decisions, </w:t>
      </w:r>
      <w:r w:rsidR="006C4CE1" w:rsidRPr="004C79FC">
        <w:rPr>
          <w:rFonts w:cstheme="minorHAnsi"/>
        </w:rPr>
        <w:t>shar</w:t>
      </w:r>
      <w:r w:rsidR="006C4CE1">
        <w:rPr>
          <w:rFonts w:cstheme="minorHAnsi"/>
        </w:rPr>
        <w:t>e</w:t>
      </w:r>
      <w:r w:rsidR="006C4CE1" w:rsidRPr="004C79FC">
        <w:rPr>
          <w:rFonts w:cstheme="minorHAnsi"/>
        </w:rPr>
        <w:t xml:space="preserve"> </w:t>
      </w:r>
      <w:r w:rsidR="009148A1" w:rsidRPr="004C79FC">
        <w:rPr>
          <w:rFonts w:cstheme="minorHAnsi"/>
        </w:rPr>
        <w:t xml:space="preserve">operating costs and </w:t>
      </w:r>
      <w:r w:rsidR="001A0828" w:rsidRPr="004C79FC">
        <w:rPr>
          <w:rFonts w:cstheme="minorHAnsi"/>
        </w:rPr>
        <w:t xml:space="preserve">so </w:t>
      </w:r>
      <w:r w:rsidR="006C4CE1" w:rsidRPr="004C79FC">
        <w:rPr>
          <w:rFonts w:cstheme="minorHAnsi"/>
        </w:rPr>
        <w:t>reduc</w:t>
      </w:r>
      <w:r w:rsidR="006C4CE1">
        <w:rPr>
          <w:rFonts w:cstheme="minorHAnsi"/>
        </w:rPr>
        <w:t>e</w:t>
      </w:r>
      <w:r w:rsidR="006C4CE1" w:rsidRPr="004C79FC">
        <w:rPr>
          <w:rFonts w:cstheme="minorHAnsi"/>
        </w:rPr>
        <w:t xml:space="preserve"> </w:t>
      </w:r>
      <w:r w:rsidR="009148A1" w:rsidRPr="004C79FC">
        <w:rPr>
          <w:rFonts w:cstheme="minorHAnsi"/>
        </w:rPr>
        <w:t>development costs.</w:t>
      </w:r>
    </w:p>
    <w:p w14:paraId="4645BF58" w14:textId="43A85E3A" w:rsidR="00230F8B" w:rsidRPr="00230F8B" w:rsidRDefault="00230F8B" w:rsidP="008F550A">
      <w:pPr>
        <w:spacing w:after="240" w:line="240" w:lineRule="auto"/>
        <w:rPr>
          <w:rFonts w:cstheme="minorHAnsi"/>
        </w:rPr>
      </w:pPr>
      <w:r>
        <w:rPr>
          <w:rFonts w:cstheme="minorHAnsi"/>
          <w:b/>
        </w:rPr>
        <w:t>6.1. Low-carbon build-out options</w:t>
      </w:r>
    </w:p>
    <w:p w14:paraId="0F5935BF" w14:textId="5381A099" w:rsidR="009148A1" w:rsidRPr="004C79FC" w:rsidRDefault="009148A1" w:rsidP="008F550A">
      <w:pPr>
        <w:spacing w:after="240" w:line="240" w:lineRule="auto"/>
        <w:rPr>
          <w:rFonts w:cstheme="minorHAnsi"/>
        </w:rPr>
      </w:pPr>
      <w:r w:rsidRPr="004C79FC">
        <w:rPr>
          <w:rFonts w:cstheme="minorHAnsi"/>
        </w:rPr>
        <w:t>For early</w:t>
      </w:r>
      <w:r w:rsidR="001A0828" w:rsidRPr="004C79FC">
        <w:rPr>
          <w:rFonts w:cstheme="minorHAnsi"/>
        </w:rPr>
        <w:t>-</w:t>
      </w:r>
      <w:r w:rsidRPr="004C79FC">
        <w:rPr>
          <w:rFonts w:cstheme="minorHAnsi"/>
        </w:rPr>
        <w:t xml:space="preserve">stage projects, the demonstration of potential build-out to enable wider decarbonisation is an important aspect of </w:t>
      </w:r>
      <w:r w:rsidR="00FF1A19">
        <w:rPr>
          <w:rFonts w:cstheme="minorHAnsi"/>
        </w:rPr>
        <w:t>a</w:t>
      </w:r>
      <w:r w:rsidR="00FF1A19" w:rsidRPr="004C79FC">
        <w:rPr>
          <w:rFonts w:cstheme="minorHAnsi"/>
        </w:rPr>
        <w:t xml:space="preserve"> </w:t>
      </w:r>
      <w:r w:rsidRPr="004C79FC">
        <w:rPr>
          <w:rFonts w:cstheme="minorHAnsi"/>
        </w:rPr>
        <w:t xml:space="preserve">project’s business case as it could make the project </w:t>
      </w:r>
      <w:r w:rsidR="00FF1A19">
        <w:rPr>
          <w:rFonts w:cstheme="minorHAnsi"/>
        </w:rPr>
        <w:t xml:space="preserve">more </w:t>
      </w:r>
      <w:r w:rsidR="001A0828" w:rsidRPr="004C79FC">
        <w:rPr>
          <w:rFonts w:cstheme="minorHAnsi"/>
        </w:rPr>
        <w:t xml:space="preserve">attractive </w:t>
      </w:r>
      <w:r w:rsidRPr="004C79FC">
        <w:rPr>
          <w:rFonts w:cstheme="minorHAnsi"/>
        </w:rPr>
        <w:t xml:space="preserve">for investors and shareholders. If build-out options to expand </w:t>
      </w:r>
      <w:r w:rsidR="007F110B" w:rsidRPr="004C79FC">
        <w:rPr>
          <w:rFonts w:cstheme="minorHAnsi"/>
        </w:rPr>
        <w:t>the initial stages</w:t>
      </w:r>
      <w:r w:rsidRPr="004C79FC">
        <w:rPr>
          <w:rFonts w:cstheme="minorHAnsi"/>
        </w:rPr>
        <w:t xml:space="preserve"> of the project do not exist, </w:t>
      </w:r>
      <w:r w:rsidR="00387570" w:rsidRPr="004C79FC">
        <w:rPr>
          <w:rFonts w:cstheme="minorHAnsi"/>
        </w:rPr>
        <w:t xml:space="preserve">then </w:t>
      </w:r>
      <w:r w:rsidRPr="004C79FC">
        <w:rPr>
          <w:rFonts w:cstheme="minorHAnsi"/>
        </w:rPr>
        <w:t>further investment into the project is compromised</w:t>
      </w:r>
      <w:r w:rsidR="00387570" w:rsidRPr="004C79FC">
        <w:rPr>
          <w:rFonts w:cstheme="minorHAnsi"/>
        </w:rPr>
        <w:t>; this</w:t>
      </w:r>
      <w:r w:rsidRPr="004C79FC">
        <w:rPr>
          <w:rFonts w:cstheme="minorHAnsi"/>
        </w:rPr>
        <w:t xml:space="preserve"> may reduce the interest of potential investors. </w:t>
      </w:r>
      <w:r w:rsidR="00FF1A19">
        <w:rPr>
          <w:rFonts w:cstheme="minorHAnsi"/>
        </w:rPr>
        <w:t>Using</w:t>
      </w:r>
      <w:r w:rsidR="00FF1A19" w:rsidRPr="004C79FC">
        <w:rPr>
          <w:rFonts w:cstheme="minorHAnsi"/>
        </w:rPr>
        <w:t xml:space="preserve"> </w:t>
      </w:r>
      <w:r w:rsidRPr="004C79FC">
        <w:rPr>
          <w:rFonts w:cstheme="minorHAnsi"/>
        </w:rPr>
        <w:t xml:space="preserve">this </w:t>
      </w:r>
      <w:r w:rsidR="006C4CE1">
        <w:rPr>
          <w:rFonts w:cstheme="minorHAnsi"/>
        </w:rPr>
        <w:t xml:space="preserve">phased </w:t>
      </w:r>
      <w:r w:rsidRPr="004C79FC">
        <w:rPr>
          <w:rFonts w:cstheme="minorHAnsi"/>
        </w:rPr>
        <w:t>approach, CCS can then support decarbonisation of multiple sectors including industry, heat, hydrogen and power generation.</w:t>
      </w:r>
    </w:p>
    <w:p w14:paraId="1062CD22" w14:textId="522A1CD3" w:rsidR="009148A1" w:rsidRPr="004C79FC" w:rsidRDefault="00D27893" w:rsidP="008F550A">
      <w:pPr>
        <w:spacing w:after="240" w:line="240" w:lineRule="auto"/>
        <w:rPr>
          <w:rFonts w:cstheme="minorHAnsi"/>
        </w:rPr>
      </w:pPr>
      <w:r w:rsidRPr="004C79FC">
        <w:rPr>
          <w:rFonts w:cstheme="minorHAnsi"/>
        </w:rPr>
        <w:t xml:space="preserve">In the </w:t>
      </w:r>
      <w:r w:rsidR="00AA1868">
        <w:rPr>
          <w:rFonts w:cstheme="minorHAnsi"/>
        </w:rPr>
        <w:t>ACT Acorn</w:t>
      </w:r>
      <w:r w:rsidRPr="004C79FC">
        <w:rPr>
          <w:rFonts w:cstheme="minorHAnsi"/>
        </w:rPr>
        <w:t xml:space="preserve"> project, </w:t>
      </w:r>
      <w:r w:rsidR="004322F2" w:rsidRPr="004C79FC">
        <w:rPr>
          <w:rFonts w:cstheme="minorHAnsi"/>
        </w:rPr>
        <w:t xml:space="preserve">identified </w:t>
      </w:r>
      <w:r w:rsidRPr="004C79FC">
        <w:rPr>
          <w:rFonts w:cstheme="minorHAnsi"/>
        </w:rPr>
        <w:t>build</w:t>
      </w:r>
      <w:r w:rsidR="00EB4A32" w:rsidRPr="004C79FC">
        <w:rPr>
          <w:rFonts w:cstheme="minorHAnsi"/>
        </w:rPr>
        <w:t>-</w:t>
      </w:r>
      <w:r w:rsidRPr="004C79FC">
        <w:rPr>
          <w:rFonts w:cstheme="minorHAnsi"/>
        </w:rPr>
        <w:t xml:space="preserve">out </w:t>
      </w:r>
      <w:r w:rsidR="009148A1" w:rsidRPr="004C79FC">
        <w:rPr>
          <w:rFonts w:cstheme="minorHAnsi"/>
        </w:rPr>
        <w:t>options</w:t>
      </w:r>
      <w:r w:rsidR="004322F2" w:rsidRPr="004C79FC">
        <w:rPr>
          <w:rFonts w:cstheme="minorHAnsi"/>
        </w:rPr>
        <w:t xml:space="preserve"> </w:t>
      </w:r>
      <w:r w:rsidR="009148A1" w:rsidRPr="004C79FC">
        <w:rPr>
          <w:rFonts w:cstheme="minorHAnsi"/>
        </w:rPr>
        <w:t>include: hydrogen production from natural gas, CO</w:t>
      </w:r>
      <w:r w:rsidR="009148A1" w:rsidRPr="004C79FC">
        <w:rPr>
          <w:rFonts w:cstheme="minorHAnsi"/>
          <w:vertAlign w:val="subscript"/>
        </w:rPr>
        <w:t>2</w:t>
      </w:r>
      <w:r w:rsidR="009148A1" w:rsidRPr="004C79FC">
        <w:rPr>
          <w:rFonts w:cstheme="minorHAnsi"/>
        </w:rPr>
        <w:t xml:space="preserve"> import by ships </w:t>
      </w:r>
      <w:r w:rsidR="006C4CE1">
        <w:rPr>
          <w:rFonts w:cstheme="minorHAnsi"/>
        </w:rPr>
        <w:t>through</w:t>
      </w:r>
      <w:r w:rsidR="006C4CE1" w:rsidRPr="004C79FC">
        <w:rPr>
          <w:rFonts w:cstheme="minorHAnsi"/>
        </w:rPr>
        <w:t xml:space="preserve"> </w:t>
      </w:r>
      <w:r w:rsidR="009148A1" w:rsidRPr="004C79FC">
        <w:rPr>
          <w:rFonts w:cstheme="minorHAnsi"/>
        </w:rPr>
        <w:t>Peterhead Port, CO</w:t>
      </w:r>
      <w:r w:rsidR="009148A1" w:rsidRPr="004C79FC">
        <w:rPr>
          <w:rFonts w:cstheme="minorHAnsi"/>
          <w:vertAlign w:val="subscript"/>
        </w:rPr>
        <w:t>2</w:t>
      </w:r>
      <w:r w:rsidR="009148A1" w:rsidRPr="004C79FC">
        <w:rPr>
          <w:rFonts w:cstheme="minorHAnsi"/>
        </w:rPr>
        <w:t xml:space="preserve"> transport from Central Scotland by pipeline, the potential for utilisation of CO</w:t>
      </w:r>
      <w:r w:rsidR="009148A1" w:rsidRPr="004C79FC">
        <w:rPr>
          <w:rFonts w:cstheme="minorHAnsi"/>
          <w:vertAlign w:val="subscript"/>
        </w:rPr>
        <w:t>2</w:t>
      </w:r>
      <w:r w:rsidR="001779D1" w:rsidRPr="00302195">
        <w:rPr>
          <w:rFonts w:cstheme="minorHAnsi"/>
        </w:rPr>
        <w:t>,</w:t>
      </w:r>
      <w:r w:rsidR="00302195">
        <w:rPr>
          <w:rFonts w:cstheme="minorHAnsi"/>
        </w:rPr>
        <w:t xml:space="preserve"> </w:t>
      </w:r>
      <w:r w:rsidR="009148A1" w:rsidRPr="004C79FC">
        <w:rPr>
          <w:rFonts w:cstheme="minorHAnsi"/>
        </w:rPr>
        <w:t>and capture of CO</w:t>
      </w:r>
      <w:r w:rsidR="009148A1" w:rsidRPr="004C79FC">
        <w:rPr>
          <w:rFonts w:cstheme="minorHAnsi"/>
          <w:vertAlign w:val="subscript"/>
        </w:rPr>
        <w:t>2</w:t>
      </w:r>
      <w:r w:rsidR="009148A1" w:rsidRPr="004C79FC">
        <w:rPr>
          <w:rFonts w:cstheme="minorHAnsi"/>
        </w:rPr>
        <w:t xml:space="preserve"> emissions from biomass to </w:t>
      </w:r>
      <w:r w:rsidR="001779D1">
        <w:rPr>
          <w:rFonts w:cstheme="minorHAnsi"/>
        </w:rPr>
        <w:t>achieve</w:t>
      </w:r>
      <w:r w:rsidR="001779D1" w:rsidRPr="004C79FC">
        <w:rPr>
          <w:rFonts w:cstheme="minorHAnsi"/>
        </w:rPr>
        <w:t xml:space="preserve"> </w:t>
      </w:r>
      <w:r w:rsidR="001779D1">
        <w:rPr>
          <w:rFonts w:cstheme="minorHAnsi"/>
        </w:rPr>
        <w:t>‘</w:t>
      </w:r>
      <w:r w:rsidR="009148A1" w:rsidRPr="004C79FC">
        <w:rPr>
          <w:rFonts w:cstheme="minorHAnsi"/>
        </w:rPr>
        <w:t>negative emissions</w:t>
      </w:r>
      <w:r w:rsidR="001779D1">
        <w:rPr>
          <w:rFonts w:cstheme="minorHAnsi"/>
        </w:rPr>
        <w:t>’</w:t>
      </w:r>
      <w:r w:rsidR="00A629AC">
        <w:rPr>
          <w:rFonts w:cstheme="minorHAnsi"/>
        </w:rPr>
        <w:t xml:space="preserve"> (</w:t>
      </w:r>
      <w:r w:rsidR="002B7C05">
        <w:rPr>
          <w:rFonts w:cstheme="minorHAnsi"/>
        </w:rPr>
        <w:t>ACT Acorn, 2018e</w:t>
      </w:r>
      <w:r w:rsidR="00A629AC">
        <w:rPr>
          <w:rFonts w:cstheme="minorHAnsi"/>
        </w:rPr>
        <w:t>)</w:t>
      </w:r>
      <w:r w:rsidR="009148A1" w:rsidRPr="004C79FC">
        <w:rPr>
          <w:rFonts w:cstheme="minorHAnsi"/>
        </w:rPr>
        <w:t>.</w:t>
      </w:r>
      <w:r w:rsidR="0093030E">
        <w:rPr>
          <w:rFonts w:cstheme="minorHAnsi"/>
        </w:rPr>
        <w:t xml:space="preserve"> The potential to connect with h</w:t>
      </w:r>
      <w:r w:rsidR="00613BD4">
        <w:rPr>
          <w:rFonts w:cstheme="minorHAnsi"/>
        </w:rPr>
        <w:t xml:space="preserve">ydrogen production from natural gas appears especially significant for Acorn, </w:t>
      </w:r>
      <w:r w:rsidR="00F73140">
        <w:rPr>
          <w:rFonts w:cstheme="minorHAnsi"/>
        </w:rPr>
        <w:t xml:space="preserve">given that the </w:t>
      </w:r>
      <w:r w:rsidR="009148A1" w:rsidRPr="004C79FC">
        <w:rPr>
          <w:rFonts w:cstheme="minorHAnsi"/>
        </w:rPr>
        <w:t>production of hydrogen from natural gas by advanced steam methane reforming techniques (ASMR) results in pure CO</w:t>
      </w:r>
      <w:r w:rsidR="009148A1" w:rsidRPr="004C79FC">
        <w:rPr>
          <w:rFonts w:cstheme="minorHAnsi"/>
          <w:vertAlign w:val="subscript"/>
        </w:rPr>
        <w:t>2</w:t>
      </w:r>
      <w:r w:rsidR="009148A1" w:rsidRPr="004C79FC">
        <w:rPr>
          <w:rFonts w:cstheme="minorHAnsi"/>
        </w:rPr>
        <w:t xml:space="preserve"> </w:t>
      </w:r>
      <w:r w:rsidR="00387570" w:rsidRPr="004C79FC">
        <w:rPr>
          <w:rFonts w:cstheme="minorHAnsi"/>
        </w:rPr>
        <w:t>as a by-product</w:t>
      </w:r>
      <w:r w:rsidR="00F73140">
        <w:rPr>
          <w:rFonts w:cstheme="minorHAnsi"/>
        </w:rPr>
        <w:t>.</w:t>
      </w:r>
      <w:r w:rsidR="009148A1" w:rsidRPr="004C79FC">
        <w:rPr>
          <w:rFonts w:cstheme="minorHAnsi"/>
        </w:rPr>
        <w:t xml:space="preserve"> CCS can </w:t>
      </w:r>
      <w:r w:rsidR="00F73140">
        <w:rPr>
          <w:rFonts w:cstheme="minorHAnsi"/>
        </w:rPr>
        <w:t xml:space="preserve">hence </w:t>
      </w:r>
      <w:r w:rsidR="009148A1" w:rsidRPr="004C79FC">
        <w:rPr>
          <w:rFonts w:cstheme="minorHAnsi"/>
        </w:rPr>
        <w:t>be applied in a cost-effective way to reduce the CO</w:t>
      </w:r>
      <w:r w:rsidR="009148A1" w:rsidRPr="004C79FC">
        <w:rPr>
          <w:rFonts w:cstheme="minorHAnsi"/>
          <w:vertAlign w:val="subscript"/>
        </w:rPr>
        <w:t>2</w:t>
      </w:r>
      <w:r w:rsidR="009148A1" w:rsidRPr="004C79FC">
        <w:rPr>
          <w:rFonts w:cstheme="minorHAnsi"/>
        </w:rPr>
        <w:t xml:space="preserve"> emissions</w:t>
      </w:r>
      <w:r w:rsidR="00CC6E53">
        <w:rPr>
          <w:rFonts w:cstheme="minorHAnsi"/>
        </w:rPr>
        <w:t xml:space="preserve"> in the production of a clean fuel</w:t>
      </w:r>
      <w:r w:rsidR="009148A1" w:rsidRPr="004C79FC">
        <w:rPr>
          <w:rFonts w:cstheme="minorHAnsi"/>
        </w:rPr>
        <w:t xml:space="preserve">. </w:t>
      </w:r>
      <w:r w:rsidR="002848D2">
        <w:rPr>
          <w:rFonts w:cstheme="minorHAnsi"/>
        </w:rPr>
        <w:t xml:space="preserve">As </w:t>
      </w:r>
      <w:r w:rsidR="002848D2" w:rsidRPr="004C79FC">
        <w:rPr>
          <w:rFonts w:cstheme="minorHAnsi"/>
        </w:rPr>
        <w:t>~50% of energy in the UK is dedicated to heating, mainly in the domestic and service sectors (DECC, 2018</w:t>
      </w:r>
      <w:r w:rsidR="00AD1D53">
        <w:rPr>
          <w:rFonts w:cstheme="minorHAnsi"/>
        </w:rPr>
        <w:t>b</w:t>
      </w:r>
      <w:r w:rsidR="002848D2" w:rsidRPr="004C79FC">
        <w:rPr>
          <w:rFonts w:cstheme="minorHAnsi"/>
        </w:rPr>
        <w:t>; Heinemann et al., 2018</w:t>
      </w:r>
      <w:r w:rsidR="00BE7A42">
        <w:rPr>
          <w:rFonts w:cstheme="minorHAnsi"/>
        </w:rPr>
        <w:t>a</w:t>
      </w:r>
      <w:r w:rsidR="002848D2" w:rsidRPr="004C79FC">
        <w:rPr>
          <w:rFonts w:cstheme="minorHAnsi"/>
        </w:rPr>
        <w:t xml:space="preserve">), </w:t>
      </w:r>
      <w:r w:rsidR="002848D2">
        <w:rPr>
          <w:rFonts w:cstheme="minorHAnsi"/>
        </w:rPr>
        <w:t>s</w:t>
      </w:r>
      <w:r w:rsidR="009148A1" w:rsidRPr="004C79FC">
        <w:rPr>
          <w:rFonts w:cstheme="minorHAnsi"/>
        </w:rPr>
        <w:t>cale</w:t>
      </w:r>
      <w:r w:rsidR="00387570" w:rsidRPr="004C79FC">
        <w:rPr>
          <w:rFonts w:cstheme="minorHAnsi"/>
        </w:rPr>
        <w:t>-</w:t>
      </w:r>
      <w:r w:rsidR="009148A1" w:rsidRPr="004C79FC">
        <w:rPr>
          <w:rFonts w:cstheme="minorHAnsi"/>
        </w:rPr>
        <w:t xml:space="preserve">up of this business would enable hydrogen to be </w:t>
      </w:r>
      <w:r w:rsidR="00C308EF" w:rsidRPr="004C79FC">
        <w:rPr>
          <w:rFonts w:cstheme="minorHAnsi"/>
        </w:rPr>
        <w:t>stored and subsequently used as fuel</w:t>
      </w:r>
      <w:r w:rsidR="009148A1" w:rsidRPr="004C79FC">
        <w:rPr>
          <w:rFonts w:cstheme="minorHAnsi"/>
        </w:rPr>
        <w:t xml:space="preserve"> in some industries</w:t>
      </w:r>
      <w:r w:rsidR="00CC6E53">
        <w:rPr>
          <w:rFonts w:cstheme="minorHAnsi"/>
        </w:rPr>
        <w:t xml:space="preserve">; </w:t>
      </w:r>
      <w:r w:rsidR="007A3A11">
        <w:rPr>
          <w:rFonts w:cstheme="minorHAnsi"/>
        </w:rPr>
        <w:t xml:space="preserve">together </w:t>
      </w:r>
      <w:r w:rsidR="009148A1" w:rsidRPr="004C79FC">
        <w:rPr>
          <w:rFonts w:cstheme="minorHAnsi"/>
        </w:rPr>
        <w:t xml:space="preserve">with the necessary technical adjustments and political and social consensus, </w:t>
      </w:r>
      <w:r w:rsidR="00CC6E53">
        <w:rPr>
          <w:rFonts w:cstheme="minorHAnsi"/>
        </w:rPr>
        <w:t xml:space="preserve">it could also </w:t>
      </w:r>
      <w:r w:rsidR="009148A1" w:rsidRPr="004C79FC">
        <w:rPr>
          <w:rFonts w:cstheme="minorHAnsi"/>
        </w:rPr>
        <w:t xml:space="preserve">be </w:t>
      </w:r>
      <w:r w:rsidR="00387570" w:rsidRPr="004C79FC">
        <w:rPr>
          <w:rFonts w:cstheme="minorHAnsi"/>
        </w:rPr>
        <w:t xml:space="preserve">employed </w:t>
      </w:r>
      <w:r w:rsidR="009148A1" w:rsidRPr="004C79FC">
        <w:rPr>
          <w:rFonts w:cstheme="minorHAnsi"/>
        </w:rPr>
        <w:t xml:space="preserve">as a partial or full replacement of natural gas in the </w:t>
      </w:r>
      <w:r w:rsidR="00387570" w:rsidRPr="004C79FC">
        <w:rPr>
          <w:rFonts w:cstheme="minorHAnsi"/>
        </w:rPr>
        <w:t xml:space="preserve">national </w:t>
      </w:r>
      <w:r w:rsidR="009148A1" w:rsidRPr="004C79FC">
        <w:rPr>
          <w:rFonts w:cstheme="minorHAnsi"/>
        </w:rPr>
        <w:t>gas grid</w:t>
      </w:r>
      <w:r w:rsidR="007A3A11">
        <w:rPr>
          <w:rFonts w:cstheme="minorHAnsi"/>
        </w:rPr>
        <w:t xml:space="preserve"> (</w:t>
      </w:r>
      <w:r w:rsidR="0043731C">
        <w:rPr>
          <w:rFonts w:cstheme="minorHAnsi"/>
        </w:rPr>
        <w:t>e.g. Brandon and Kurba, 2017</w:t>
      </w:r>
      <w:r w:rsidR="007A3A11">
        <w:rPr>
          <w:rFonts w:cstheme="minorHAnsi"/>
        </w:rPr>
        <w:t>)</w:t>
      </w:r>
      <w:r w:rsidR="009148A1" w:rsidRPr="004C79FC">
        <w:rPr>
          <w:rFonts w:cstheme="minorHAnsi"/>
        </w:rPr>
        <w:t>.</w:t>
      </w:r>
      <w:r w:rsidR="002848D2">
        <w:rPr>
          <w:rFonts w:cstheme="minorHAnsi"/>
        </w:rPr>
        <w:t xml:space="preserve"> In the case of Acorn, </w:t>
      </w:r>
      <w:r w:rsidR="00A459E5">
        <w:rPr>
          <w:rFonts w:cstheme="minorHAnsi"/>
        </w:rPr>
        <w:t xml:space="preserve">there is potential to use </w:t>
      </w:r>
      <w:r w:rsidR="009148A1" w:rsidRPr="004C79FC">
        <w:rPr>
          <w:rFonts w:cstheme="minorHAnsi"/>
        </w:rPr>
        <w:t>the Acorn CCS system for the transport and storage of CO</w:t>
      </w:r>
      <w:r w:rsidR="009148A1" w:rsidRPr="004C79FC">
        <w:rPr>
          <w:rFonts w:cstheme="minorHAnsi"/>
          <w:vertAlign w:val="subscript"/>
        </w:rPr>
        <w:t>2</w:t>
      </w:r>
      <w:r w:rsidR="00930B38">
        <w:rPr>
          <w:rFonts w:cstheme="minorHAnsi"/>
          <w:vertAlign w:val="subscript"/>
        </w:rPr>
        <w:t xml:space="preserve">, </w:t>
      </w:r>
      <w:r w:rsidR="00930B38">
        <w:rPr>
          <w:rFonts w:cstheme="minorHAnsi"/>
        </w:rPr>
        <w:t>and to link to</w:t>
      </w:r>
      <w:r w:rsidR="009148A1" w:rsidRPr="004C79FC">
        <w:rPr>
          <w:rFonts w:cstheme="minorHAnsi"/>
        </w:rPr>
        <w:t xml:space="preserve"> the vast storage resource of the Central North Sea</w:t>
      </w:r>
      <w:r w:rsidR="00A803DB">
        <w:rPr>
          <w:rFonts w:cstheme="minorHAnsi"/>
        </w:rPr>
        <w:t xml:space="preserve"> (ACT Acorn, 2018e)</w:t>
      </w:r>
      <w:r w:rsidR="00F77AB9">
        <w:rPr>
          <w:rFonts w:cstheme="minorHAnsi"/>
        </w:rPr>
        <w:t>.</w:t>
      </w:r>
    </w:p>
    <w:p w14:paraId="26DD0FA8" w14:textId="08B7DF00" w:rsidR="00FB3E5C" w:rsidRDefault="009148A1" w:rsidP="008F550A">
      <w:pPr>
        <w:spacing w:after="240" w:line="240" w:lineRule="auto"/>
        <w:rPr>
          <w:rFonts w:cstheme="minorHAnsi"/>
        </w:rPr>
      </w:pPr>
      <w:r w:rsidRPr="004C79FC">
        <w:rPr>
          <w:rFonts w:cstheme="minorHAnsi"/>
        </w:rPr>
        <w:t xml:space="preserve">Shipping of </w:t>
      </w:r>
      <w:r w:rsidR="00710105">
        <w:rPr>
          <w:rFonts w:cstheme="minorHAnsi"/>
        </w:rPr>
        <w:t xml:space="preserve">industrial waste </w:t>
      </w:r>
      <w:r w:rsidRPr="004C79FC">
        <w:rPr>
          <w:rFonts w:cstheme="minorHAnsi"/>
        </w:rPr>
        <w:t>CO</w:t>
      </w:r>
      <w:r w:rsidRPr="004C79FC">
        <w:rPr>
          <w:rFonts w:cstheme="minorHAnsi"/>
          <w:vertAlign w:val="subscript"/>
        </w:rPr>
        <w:t>2</w:t>
      </w:r>
      <w:r w:rsidRPr="004C79FC">
        <w:rPr>
          <w:rFonts w:cstheme="minorHAnsi"/>
        </w:rPr>
        <w:t xml:space="preserve"> provides potential for decarbonisation of regions or countries </w:t>
      </w:r>
      <w:r w:rsidR="00F90D2B" w:rsidRPr="004C79FC">
        <w:rPr>
          <w:rFonts w:cstheme="minorHAnsi"/>
        </w:rPr>
        <w:t xml:space="preserve">that are </w:t>
      </w:r>
      <w:r w:rsidRPr="004C79FC">
        <w:rPr>
          <w:rFonts w:cstheme="minorHAnsi"/>
        </w:rPr>
        <w:t>far removed from suitable subsurface storage sites. Since the most suitable offshore storage sites in Europe are located in the North Sea, transporting the CO</w:t>
      </w:r>
      <w:r w:rsidRPr="004C79FC">
        <w:rPr>
          <w:rFonts w:cstheme="minorHAnsi"/>
          <w:vertAlign w:val="subscript"/>
        </w:rPr>
        <w:t>2</w:t>
      </w:r>
      <w:r w:rsidRPr="004C79FC">
        <w:rPr>
          <w:rFonts w:cstheme="minorHAnsi"/>
        </w:rPr>
        <w:t xml:space="preserve"> from mainland Europe to the St Fergus hub would allow for wider regional emissions reduction. </w:t>
      </w:r>
      <w:r w:rsidR="00AA1868">
        <w:rPr>
          <w:rFonts w:cstheme="minorHAnsi"/>
        </w:rPr>
        <w:t>ACT Acorn</w:t>
      </w:r>
      <w:r w:rsidRPr="004C79FC">
        <w:rPr>
          <w:rFonts w:cstheme="minorHAnsi"/>
        </w:rPr>
        <w:t xml:space="preserve"> </w:t>
      </w:r>
      <w:r w:rsidR="00B24ED7" w:rsidRPr="004C79FC">
        <w:rPr>
          <w:rFonts w:cstheme="minorHAnsi"/>
        </w:rPr>
        <w:t>showed</w:t>
      </w:r>
      <w:r w:rsidRPr="004C79FC">
        <w:rPr>
          <w:rFonts w:cstheme="minorHAnsi"/>
        </w:rPr>
        <w:t xml:space="preserve"> that Peterhead’s deep-water port, only a few kilometres from St Fergus, could become a CO</w:t>
      </w:r>
      <w:r w:rsidRPr="004C79FC">
        <w:rPr>
          <w:rFonts w:cstheme="minorHAnsi"/>
          <w:vertAlign w:val="subscript"/>
        </w:rPr>
        <w:t>2</w:t>
      </w:r>
      <w:r w:rsidRPr="004C79FC">
        <w:rPr>
          <w:rFonts w:cstheme="minorHAnsi"/>
        </w:rPr>
        <w:t>-shipping hub that collects CO</w:t>
      </w:r>
      <w:r w:rsidRPr="004C79FC">
        <w:rPr>
          <w:rFonts w:cstheme="minorHAnsi"/>
          <w:vertAlign w:val="subscript"/>
        </w:rPr>
        <w:t>2</w:t>
      </w:r>
      <w:r w:rsidRPr="004C79FC">
        <w:rPr>
          <w:rFonts w:cstheme="minorHAnsi"/>
        </w:rPr>
        <w:t xml:space="preserve"> and</w:t>
      </w:r>
      <w:r w:rsidR="00E073BB">
        <w:rPr>
          <w:rFonts w:cstheme="minorHAnsi"/>
        </w:rPr>
        <w:t>, with a short new onshore connection pipeline,</w:t>
      </w:r>
      <w:r w:rsidRPr="004C79FC">
        <w:rPr>
          <w:rFonts w:cstheme="minorHAnsi"/>
        </w:rPr>
        <w:t xml:space="preserve"> utilises </w:t>
      </w:r>
      <w:r w:rsidR="009A30EC" w:rsidRPr="004C79FC">
        <w:rPr>
          <w:rFonts w:cstheme="minorHAnsi"/>
        </w:rPr>
        <w:t>re-use</w:t>
      </w:r>
      <w:r w:rsidRPr="004C79FC">
        <w:rPr>
          <w:rFonts w:cstheme="minorHAnsi"/>
        </w:rPr>
        <w:t>d pipeline infrastructure for onward transport and storage offshore</w:t>
      </w:r>
      <w:r w:rsidR="00003BC9">
        <w:rPr>
          <w:rFonts w:cstheme="minorHAnsi"/>
        </w:rPr>
        <w:t xml:space="preserve"> (ACT Acorn, 2018e)</w:t>
      </w:r>
      <w:r w:rsidRPr="004C79FC">
        <w:rPr>
          <w:rFonts w:cstheme="minorHAnsi"/>
        </w:rPr>
        <w:t xml:space="preserve">. A visionary build-out option </w:t>
      </w:r>
      <w:r w:rsidR="00075504">
        <w:rPr>
          <w:rFonts w:cstheme="minorHAnsi"/>
        </w:rPr>
        <w:t>is</w:t>
      </w:r>
      <w:r w:rsidRPr="004C79FC">
        <w:rPr>
          <w:rFonts w:cstheme="minorHAnsi"/>
        </w:rPr>
        <w:t xml:space="preserve"> the connection of technologies for </w:t>
      </w:r>
      <w:r w:rsidR="00E073BB">
        <w:rPr>
          <w:rFonts w:cstheme="minorHAnsi"/>
        </w:rPr>
        <w:t>‘</w:t>
      </w:r>
      <w:r w:rsidRPr="004C79FC">
        <w:rPr>
          <w:rFonts w:cstheme="minorHAnsi"/>
        </w:rPr>
        <w:t>negative emissions</w:t>
      </w:r>
      <w:r w:rsidR="00E073BB">
        <w:rPr>
          <w:rFonts w:cstheme="minorHAnsi"/>
        </w:rPr>
        <w:t>’</w:t>
      </w:r>
      <w:r w:rsidRPr="004C79FC">
        <w:rPr>
          <w:rFonts w:cstheme="minorHAnsi"/>
        </w:rPr>
        <w:t xml:space="preserve">, or </w:t>
      </w:r>
      <w:r w:rsidR="00E47402" w:rsidRPr="004C79FC">
        <w:rPr>
          <w:rFonts w:cstheme="minorHAnsi"/>
        </w:rPr>
        <w:t>carbon dioxide</w:t>
      </w:r>
      <w:r w:rsidRPr="004C79FC">
        <w:rPr>
          <w:rFonts w:cstheme="minorHAnsi"/>
        </w:rPr>
        <w:t xml:space="preserve"> removal (CDR) from the atmosphere, with the Acorn CCS project. Biomass with CCS, direct air capture and other CDR technologies </w:t>
      </w:r>
      <w:r w:rsidR="001615D9">
        <w:rPr>
          <w:rFonts w:cstheme="minorHAnsi"/>
        </w:rPr>
        <w:t>can</w:t>
      </w:r>
      <w:r w:rsidR="001615D9" w:rsidRPr="004C79FC">
        <w:rPr>
          <w:rFonts w:cstheme="minorHAnsi"/>
        </w:rPr>
        <w:t xml:space="preserve"> </w:t>
      </w:r>
      <w:r w:rsidRPr="004C79FC">
        <w:rPr>
          <w:rFonts w:cstheme="minorHAnsi"/>
        </w:rPr>
        <w:t xml:space="preserve">make an important contribution to climate change targets (IPCC, 2018), and Scotland has a great potential for </w:t>
      </w:r>
      <w:r w:rsidR="001615D9">
        <w:rPr>
          <w:rFonts w:cstheme="minorHAnsi"/>
        </w:rPr>
        <w:t>their</w:t>
      </w:r>
      <w:r w:rsidR="001615D9" w:rsidRPr="004C79FC">
        <w:rPr>
          <w:rFonts w:cstheme="minorHAnsi"/>
        </w:rPr>
        <w:t xml:space="preserve"> </w:t>
      </w:r>
      <w:r w:rsidR="004322F2" w:rsidRPr="004C79FC">
        <w:rPr>
          <w:rFonts w:cstheme="minorHAnsi"/>
        </w:rPr>
        <w:t>implementation</w:t>
      </w:r>
      <w:r w:rsidRPr="004C79FC">
        <w:rPr>
          <w:rFonts w:cstheme="minorHAnsi"/>
        </w:rPr>
        <w:t xml:space="preserve"> (Alcalde et al., 2018</w:t>
      </w:r>
      <w:r w:rsidR="00407FD8">
        <w:rPr>
          <w:rFonts w:cstheme="minorHAnsi"/>
        </w:rPr>
        <w:t>b</w:t>
      </w:r>
      <w:r w:rsidRPr="004C79FC">
        <w:rPr>
          <w:rFonts w:cstheme="minorHAnsi"/>
        </w:rPr>
        <w:t xml:space="preserve">). </w:t>
      </w:r>
      <w:r w:rsidR="00FB3E5C">
        <w:rPr>
          <w:rFonts w:cstheme="minorHAnsi"/>
        </w:rPr>
        <w:t xml:space="preserve">Whilst not explicitly considered within </w:t>
      </w:r>
      <w:r w:rsidR="00AA1868">
        <w:rPr>
          <w:rFonts w:cstheme="minorHAnsi"/>
        </w:rPr>
        <w:t>ACT Acorn</w:t>
      </w:r>
      <w:r w:rsidR="00FB3E5C">
        <w:rPr>
          <w:rFonts w:cstheme="minorHAnsi"/>
        </w:rPr>
        <w:t xml:space="preserve">, research and development of </w:t>
      </w:r>
      <w:r w:rsidR="00C8757C">
        <w:rPr>
          <w:rFonts w:cstheme="minorHAnsi"/>
        </w:rPr>
        <w:t>CO</w:t>
      </w:r>
      <w:r w:rsidR="00C8757C" w:rsidRPr="007A3A11">
        <w:rPr>
          <w:rFonts w:cstheme="minorHAnsi"/>
          <w:vertAlign w:val="subscript"/>
        </w:rPr>
        <w:t>2</w:t>
      </w:r>
      <w:r w:rsidR="00C8757C">
        <w:rPr>
          <w:rFonts w:cstheme="minorHAnsi"/>
        </w:rPr>
        <w:t xml:space="preserve"> storage capability through </w:t>
      </w:r>
      <w:r w:rsidR="00546EEE">
        <w:rPr>
          <w:rFonts w:cstheme="minorHAnsi"/>
        </w:rPr>
        <w:t xml:space="preserve">initiatives such as </w:t>
      </w:r>
      <w:r w:rsidR="00C8757C">
        <w:rPr>
          <w:rFonts w:cstheme="minorHAnsi"/>
        </w:rPr>
        <w:t>Acorn</w:t>
      </w:r>
      <w:r w:rsidRPr="004C79FC">
        <w:rPr>
          <w:rFonts w:cstheme="minorHAnsi"/>
        </w:rPr>
        <w:t xml:space="preserve"> can </w:t>
      </w:r>
      <w:r w:rsidR="00C8757C">
        <w:rPr>
          <w:rFonts w:cstheme="minorHAnsi"/>
        </w:rPr>
        <w:t>create the knowledge to facilitate deployment of</w:t>
      </w:r>
      <w:r w:rsidR="00AA3CDD">
        <w:rPr>
          <w:rFonts w:cstheme="minorHAnsi"/>
        </w:rPr>
        <w:t xml:space="preserve"> such</w:t>
      </w:r>
      <w:r w:rsidR="00C8757C">
        <w:rPr>
          <w:rFonts w:cstheme="minorHAnsi"/>
        </w:rPr>
        <w:t xml:space="preserve"> CDR</w:t>
      </w:r>
      <w:r w:rsidR="00AA3CDD">
        <w:rPr>
          <w:rFonts w:cstheme="minorHAnsi"/>
        </w:rPr>
        <w:t xml:space="preserve"> </w:t>
      </w:r>
      <w:r w:rsidR="00C8757C">
        <w:rPr>
          <w:rFonts w:cstheme="minorHAnsi"/>
        </w:rPr>
        <w:t>technologies if required</w:t>
      </w:r>
      <w:r w:rsidRPr="004C79FC">
        <w:rPr>
          <w:rFonts w:cstheme="minorHAnsi"/>
        </w:rPr>
        <w:t>.</w:t>
      </w:r>
    </w:p>
    <w:p w14:paraId="5368A1E5" w14:textId="416AAE4E" w:rsidR="00A51F4B" w:rsidRPr="00FB0472" w:rsidRDefault="00965377" w:rsidP="00FB0472">
      <w:pPr>
        <w:spacing w:after="240" w:line="240" w:lineRule="auto"/>
        <w:rPr>
          <w:rFonts w:cstheme="minorHAnsi"/>
          <w:b/>
        </w:rPr>
      </w:pPr>
      <w:r>
        <w:rPr>
          <w:rFonts w:cstheme="minorHAnsi"/>
          <w:b/>
        </w:rPr>
        <w:t xml:space="preserve">6.2. </w:t>
      </w:r>
      <w:r w:rsidR="00A51F4B" w:rsidRPr="00FB0472">
        <w:rPr>
          <w:rFonts w:cstheme="minorHAnsi"/>
          <w:b/>
        </w:rPr>
        <w:t>Full</w:t>
      </w:r>
      <w:r w:rsidR="004B6143" w:rsidRPr="00FB0472">
        <w:rPr>
          <w:rFonts w:cstheme="minorHAnsi"/>
          <w:b/>
        </w:rPr>
        <w:t>-</w:t>
      </w:r>
      <w:r w:rsidR="002B2718" w:rsidRPr="00FB0472">
        <w:rPr>
          <w:rFonts w:cstheme="minorHAnsi"/>
          <w:b/>
        </w:rPr>
        <w:t xml:space="preserve">chain development </w:t>
      </w:r>
      <w:r w:rsidR="004B6143" w:rsidRPr="00FB0472">
        <w:rPr>
          <w:rFonts w:cstheme="minorHAnsi"/>
          <w:b/>
        </w:rPr>
        <w:t>plan design</w:t>
      </w:r>
    </w:p>
    <w:p w14:paraId="2CE5D059" w14:textId="10F2C4F1" w:rsidR="00B922F0" w:rsidRDefault="006F3984" w:rsidP="00003BC9">
      <w:pPr>
        <w:shd w:val="clear" w:color="auto" w:fill="FFFFFF"/>
        <w:spacing w:after="240" w:line="240" w:lineRule="auto"/>
        <w:rPr>
          <w:rFonts w:cstheme="minorHAnsi"/>
        </w:rPr>
      </w:pPr>
      <w:r w:rsidRPr="004C79FC">
        <w:rPr>
          <w:rFonts w:eastAsia="Times New Roman" w:cstheme="minorHAnsi"/>
          <w:color w:val="212121"/>
          <w:lang w:eastAsia="en-GB"/>
        </w:rPr>
        <w:t xml:space="preserve">A full chain development plan (FCDP) for a CCS project </w:t>
      </w:r>
      <w:r w:rsidR="00F90D2B" w:rsidRPr="004C79FC">
        <w:rPr>
          <w:rFonts w:eastAsia="Times New Roman" w:cstheme="minorHAnsi"/>
          <w:color w:val="212121"/>
          <w:lang w:eastAsia="en-GB"/>
        </w:rPr>
        <w:t>examines</w:t>
      </w:r>
      <w:r w:rsidRPr="004C79FC">
        <w:rPr>
          <w:rFonts w:eastAsia="Times New Roman" w:cstheme="minorHAnsi"/>
          <w:color w:val="212121"/>
          <w:lang w:eastAsia="en-GB"/>
        </w:rPr>
        <w:t xml:space="preserve"> all of the elements required to capture, transport and store CO</w:t>
      </w:r>
      <w:r w:rsidRPr="004C79FC">
        <w:rPr>
          <w:rFonts w:eastAsia="Times New Roman" w:cstheme="minorHAnsi"/>
          <w:color w:val="212121"/>
          <w:vertAlign w:val="subscript"/>
          <w:lang w:eastAsia="en-GB"/>
        </w:rPr>
        <w:t>2</w:t>
      </w:r>
      <w:r w:rsidRPr="004C79FC">
        <w:rPr>
          <w:rFonts w:eastAsia="Times New Roman" w:cstheme="minorHAnsi"/>
          <w:color w:val="212121"/>
          <w:lang w:eastAsia="en-GB"/>
        </w:rPr>
        <w:t xml:space="preserve"> and sets out </w:t>
      </w:r>
      <w:r w:rsidR="009B63B6" w:rsidRPr="004C79FC">
        <w:rPr>
          <w:rFonts w:cstheme="minorHAnsi"/>
        </w:rPr>
        <w:t>to document the development of different scenarios</w:t>
      </w:r>
      <w:r w:rsidRPr="004C79FC">
        <w:rPr>
          <w:rFonts w:cstheme="minorHAnsi"/>
        </w:rPr>
        <w:t xml:space="preserve"> and stages of the project</w:t>
      </w:r>
      <w:r w:rsidR="009B63B6" w:rsidRPr="004C79FC">
        <w:rPr>
          <w:rFonts w:cstheme="minorHAnsi"/>
        </w:rPr>
        <w:t xml:space="preserve">. </w:t>
      </w:r>
      <w:r w:rsidR="009F3F4D" w:rsidRPr="004C79FC">
        <w:rPr>
          <w:rFonts w:cstheme="minorHAnsi"/>
        </w:rPr>
        <w:t xml:space="preserve">To </w:t>
      </w:r>
      <w:r w:rsidR="009B4958" w:rsidRPr="004C79FC">
        <w:rPr>
          <w:rFonts w:cstheme="minorHAnsi"/>
        </w:rPr>
        <w:t xml:space="preserve">simplify investment decisions, </w:t>
      </w:r>
      <w:r w:rsidR="009F3F4D" w:rsidRPr="004C79FC">
        <w:rPr>
          <w:rFonts w:cstheme="minorHAnsi"/>
        </w:rPr>
        <w:t>Acorn</w:t>
      </w:r>
      <w:r w:rsidR="0064037E" w:rsidRPr="004C79FC">
        <w:rPr>
          <w:rFonts w:cstheme="minorHAnsi"/>
        </w:rPr>
        <w:t>’s FCDP</w:t>
      </w:r>
      <w:r w:rsidR="00C308EF" w:rsidRPr="004C79FC">
        <w:rPr>
          <w:rFonts w:cstheme="minorHAnsi"/>
        </w:rPr>
        <w:t xml:space="preserve"> </w:t>
      </w:r>
      <w:r w:rsidR="00075504">
        <w:rPr>
          <w:rFonts w:cstheme="minorHAnsi"/>
        </w:rPr>
        <w:t>has been</w:t>
      </w:r>
      <w:r w:rsidR="00CC1E96" w:rsidRPr="004C79FC">
        <w:rPr>
          <w:rFonts w:cstheme="minorHAnsi"/>
        </w:rPr>
        <w:t xml:space="preserve"> developed</w:t>
      </w:r>
      <w:r w:rsidRPr="004C79FC">
        <w:rPr>
          <w:rFonts w:cstheme="minorHAnsi"/>
        </w:rPr>
        <w:t xml:space="preserve"> </w:t>
      </w:r>
      <w:r w:rsidR="009B4958" w:rsidRPr="004C79FC">
        <w:rPr>
          <w:rFonts w:cstheme="minorHAnsi"/>
        </w:rPr>
        <w:t>as a phased project.</w:t>
      </w:r>
      <w:r w:rsidR="009F3F4D" w:rsidRPr="004C79FC">
        <w:rPr>
          <w:rFonts w:cstheme="minorHAnsi"/>
        </w:rPr>
        <w:t xml:space="preserve"> To </w:t>
      </w:r>
      <w:r w:rsidR="00AE074B" w:rsidRPr="004C79FC">
        <w:rPr>
          <w:rFonts w:cstheme="minorHAnsi"/>
        </w:rPr>
        <w:t>kick-start</w:t>
      </w:r>
      <w:r w:rsidR="009F3F4D" w:rsidRPr="004C79FC">
        <w:rPr>
          <w:rFonts w:cstheme="minorHAnsi"/>
        </w:rPr>
        <w:t xml:space="preserve"> the project, a catalyst phase is proposed during which CO</w:t>
      </w:r>
      <w:r w:rsidR="009F3F4D" w:rsidRPr="004C79FC">
        <w:rPr>
          <w:rFonts w:cstheme="minorHAnsi"/>
          <w:vertAlign w:val="subscript"/>
        </w:rPr>
        <w:t>2</w:t>
      </w:r>
      <w:r w:rsidR="00F90D2B" w:rsidRPr="004C79FC">
        <w:rPr>
          <w:rFonts w:cstheme="minorHAnsi"/>
        </w:rPr>
        <w:t xml:space="preserve"> </w:t>
      </w:r>
      <w:r w:rsidR="009F3F4D" w:rsidRPr="004C79FC">
        <w:rPr>
          <w:rFonts w:cstheme="minorHAnsi"/>
        </w:rPr>
        <w:t>will be captured</w:t>
      </w:r>
      <w:r w:rsidR="00883CC0" w:rsidRPr="00883CC0">
        <w:rPr>
          <w:rFonts w:cstheme="minorHAnsi"/>
        </w:rPr>
        <w:t xml:space="preserve"> </w:t>
      </w:r>
      <w:r w:rsidR="00883CC0" w:rsidRPr="004F7CD9">
        <w:rPr>
          <w:rFonts w:cstheme="minorHAnsi"/>
        </w:rPr>
        <w:t>at a secure and reliable source</w:t>
      </w:r>
      <w:r w:rsidR="009F3F4D" w:rsidRPr="004C79FC">
        <w:rPr>
          <w:rFonts w:cstheme="minorHAnsi"/>
        </w:rPr>
        <w:t xml:space="preserve">, transported and permanently stored in a geological storage site. During this phase, infrastructure </w:t>
      </w:r>
      <w:r w:rsidR="00F90D2B" w:rsidRPr="004C79FC">
        <w:rPr>
          <w:rFonts w:cstheme="minorHAnsi"/>
        </w:rPr>
        <w:t xml:space="preserve">that is </w:t>
      </w:r>
      <w:r w:rsidR="009F3F4D" w:rsidRPr="004C79FC">
        <w:rPr>
          <w:rFonts w:cstheme="minorHAnsi"/>
        </w:rPr>
        <w:t>capable of handling much greater volumes of CO</w:t>
      </w:r>
      <w:r w:rsidR="009F3F4D" w:rsidRPr="004C79FC">
        <w:rPr>
          <w:rFonts w:cstheme="minorHAnsi"/>
          <w:vertAlign w:val="subscript"/>
        </w:rPr>
        <w:t>2</w:t>
      </w:r>
      <w:r w:rsidR="009B4958" w:rsidRPr="004C79FC">
        <w:rPr>
          <w:rFonts w:cstheme="minorHAnsi"/>
        </w:rPr>
        <w:t xml:space="preserve"> is</w:t>
      </w:r>
      <w:r w:rsidR="009F700B" w:rsidRPr="004C79FC">
        <w:rPr>
          <w:rFonts w:cstheme="minorHAnsi"/>
        </w:rPr>
        <w:t xml:space="preserve"> </w:t>
      </w:r>
      <w:r w:rsidR="00AE1E84" w:rsidRPr="004C79FC">
        <w:rPr>
          <w:rFonts w:cstheme="minorHAnsi"/>
        </w:rPr>
        <w:t xml:space="preserve">secured and commissioned </w:t>
      </w:r>
      <w:r w:rsidR="009B4958" w:rsidRPr="004C79FC">
        <w:rPr>
          <w:rFonts w:cstheme="minorHAnsi"/>
        </w:rPr>
        <w:t xml:space="preserve">to support the </w:t>
      </w:r>
      <w:r w:rsidR="00AE1E84" w:rsidRPr="004C79FC">
        <w:rPr>
          <w:rFonts w:cstheme="minorHAnsi"/>
        </w:rPr>
        <w:t>next phase.</w:t>
      </w:r>
      <w:r w:rsidR="009F3F4D" w:rsidRPr="004C79FC">
        <w:rPr>
          <w:rFonts w:cstheme="minorHAnsi"/>
        </w:rPr>
        <w:t xml:space="preserve"> </w:t>
      </w:r>
      <w:r w:rsidR="009B4958" w:rsidRPr="004C79FC">
        <w:rPr>
          <w:rFonts w:cstheme="minorHAnsi"/>
        </w:rPr>
        <w:t>Later on, a</w:t>
      </w:r>
      <w:r w:rsidR="00A57924" w:rsidRPr="004C79FC">
        <w:rPr>
          <w:rFonts w:cstheme="minorHAnsi"/>
        </w:rPr>
        <w:t xml:space="preserve">dditional infrastructure, such as </w:t>
      </w:r>
      <w:r w:rsidR="009B4958" w:rsidRPr="004C79FC">
        <w:rPr>
          <w:rFonts w:cstheme="minorHAnsi"/>
        </w:rPr>
        <w:t xml:space="preserve">additional wells or pipelines </w:t>
      </w:r>
      <w:r w:rsidR="00A57924" w:rsidRPr="004C79FC">
        <w:rPr>
          <w:rFonts w:cstheme="minorHAnsi"/>
        </w:rPr>
        <w:t>might be required</w:t>
      </w:r>
      <w:r w:rsidR="009B4958" w:rsidRPr="004C79FC">
        <w:rPr>
          <w:rFonts w:cstheme="minorHAnsi"/>
        </w:rPr>
        <w:t xml:space="preserve">. Subsequent phases </w:t>
      </w:r>
      <w:r w:rsidR="009F700B" w:rsidRPr="004C79FC">
        <w:rPr>
          <w:rFonts w:cstheme="minorHAnsi"/>
        </w:rPr>
        <w:t xml:space="preserve">could </w:t>
      </w:r>
      <w:r w:rsidR="00AE1E84" w:rsidRPr="004C79FC">
        <w:rPr>
          <w:rFonts w:cstheme="minorHAnsi"/>
        </w:rPr>
        <w:t>expand the sources of CO</w:t>
      </w:r>
      <w:r w:rsidR="00AE1E84" w:rsidRPr="004C79FC">
        <w:rPr>
          <w:rFonts w:cstheme="minorHAnsi"/>
          <w:vertAlign w:val="subscript"/>
        </w:rPr>
        <w:t>2</w:t>
      </w:r>
      <w:r w:rsidR="00AE1E84" w:rsidRPr="004C79FC">
        <w:rPr>
          <w:rFonts w:cstheme="minorHAnsi"/>
        </w:rPr>
        <w:t xml:space="preserve"> and increase utilisation of the offshore infrastructure. Low</w:t>
      </w:r>
      <w:r w:rsidR="009F700B" w:rsidRPr="004C79FC">
        <w:rPr>
          <w:rFonts w:cstheme="minorHAnsi"/>
        </w:rPr>
        <w:t>-</w:t>
      </w:r>
      <w:r w:rsidR="00AE1E84" w:rsidRPr="004C79FC">
        <w:rPr>
          <w:rFonts w:cstheme="minorHAnsi"/>
        </w:rPr>
        <w:t>carbon build</w:t>
      </w:r>
      <w:r w:rsidR="00EB4A32" w:rsidRPr="004C79FC">
        <w:rPr>
          <w:rFonts w:cstheme="minorHAnsi"/>
        </w:rPr>
        <w:t>-</w:t>
      </w:r>
      <w:r w:rsidR="00AE1E84" w:rsidRPr="004C79FC">
        <w:rPr>
          <w:rFonts w:cstheme="minorHAnsi"/>
        </w:rPr>
        <w:t>out options, specifically designed for the project, will be accessed at this stage.</w:t>
      </w:r>
      <w:r w:rsidR="00AD1D53">
        <w:rPr>
          <w:rFonts w:cstheme="minorHAnsi"/>
        </w:rPr>
        <w:t xml:space="preserve"> </w:t>
      </w:r>
      <w:r w:rsidR="003927B5">
        <w:rPr>
          <w:rFonts w:cstheme="minorHAnsi"/>
        </w:rPr>
        <w:t xml:space="preserve">Within </w:t>
      </w:r>
      <w:r w:rsidR="00AA1868">
        <w:rPr>
          <w:rFonts w:cstheme="minorHAnsi"/>
        </w:rPr>
        <w:t>ACT Acorn</w:t>
      </w:r>
      <w:r w:rsidR="003927B5">
        <w:rPr>
          <w:rFonts w:cstheme="minorHAnsi"/>
        </w:rPr>
        <w:t xml:space="preserve">, </w:t>
      </w:r>
      <w:r w:rsidR="007A48A7">
        <w:rPr>
          <w:rFonts w:cstheme="minorHAnsi"/>
        </w:rPr>
        <w:t xml:space="preserve">full-chain development is realised by situating the project within the </w:t>
      </w:r>
      <w:r w:rsidR="00DD35D0" w:rsidRPr="004C79FC">
        <w:rPr>
          <w:rFonts w:cstheme="minorHAnsi"/>
        </w:rPr>
        <w:t xml:space="preserve">European </w:t>
      </w:r>
      <w:r w:rsidR="002D512B" w:rsidRPr="004C79FC">
        <w:rPr>
          <w:rFonts w:cstheme="minorHAnsi"/>
        </w:rPr>
        <w:t>Project of Common Interest (</w:t>
      </w:r>
      <w:r w:rsidR="00DD35D0" w:rsidRPr="004C79FC">
        <w:rPr>
          <w:rFonts w:cstheme="minorHAnsi"/>
        </w:rPr>
        <w:t>PCI</w:t>
      </w:r>
      <w:r w:rsidR="002D512B" w:rsidRPr="004C79FC">
        <w:rPr>
          <w:rFonts w:cstheme="minorHAnsi"/>
        </w:rPr>
        <w:t>)</w:t>
      </w:r>
      <w:r w:rsidR="00DD35D0" w:rsidRPr="004C79FC">
        <w:rPr>
          <w:rFonts w:cstheme="minorHAnsi"/>
        </w:rPr>
        <w:t xml:space="preserve"> </w:t>
      </w:r>
      <w:r w:rsidR="001B3962">
        <w:rPr>
          <w:rFonts w:cstheme="minorHAnsi"/>
        </w:rPr>
        <w:t xml:space="preserve">framework. Acorn </w:t>
      </w:r>
      <w:r w:rsidR="00042766" w:rsidRPr="004C79FC">
        <w:rPr>
          <w:rFonts w:cstheme="minorHAnsi"/>
        </w:rPr>
        <w:t>is the first CCS Project to be awarded funding under the Connecting Europe Facility (CEF)</w:t>
      </w:r>
      <w:r w:rsidR="00DD35D0" w:rsidRPr="004C79FC">
        <w:rPr>
          <w:rFonts w:cstheme="minorHAnsi"/>
        </w:rPr>
        <w:t xml:space="preserve">. </w:t>
      </w:r>
      <w:r w:rsidR="00A53F83" w:rsidRPr="004C79FC">
        <w:rPr>
          <w:rFonts w:cstheme="minorHAnsi"/>
        </w:rPr>
        <w:t xml:space="preserve">The St Fergus site incorporates </w:t>
      </w:r>
      <w:r w:rsidR="00F90D2B" w:rsidRPr="004C79FC">
        <w:rPr>
          <w:rFonts w:cstheme="minorHAnsi"/>
        </w:rPr>
        <w:t xml:space="preserve">four </w:t>
      </w:r>
      <w:r w:rsidR="00A53F83" w:rsidRPr="004C79FC">
        <w:rPr>
          <w:rFonts w:cstheme="minorHAnsi"/>
        </w:rPr>
        <w:t>gas</w:t>
      </w:r>
      <w:r w:rsidR="009F700B" w:rsidRPr="004C79FC">
        <w:rPr>
          <w:rFonts w:cstheme="minorHAnsi"/>
        </w:rPr>
        <w:t>-</w:t>
      </w:r>
      <w:r w:rsidR="00A53F83" w:rsidRPr="004C79FC">
        <w:rPr>
          <w:rFonts w:cstheme="minorHAnsi"/>
        </w:rPr>
        <w:t>receiving terminals</w:t>
      </w:r>
      <w:r w:rsidR="00686878" w:rsidRPr="004C79FC">
        <w:rPr>
          <w:rFonts w:cstheme="minorHAnsi"/>
        </w:rPr>
        <w:t xml:space="preserve"> (Brownsort et al., 2016)</w:t>
      </w:r>
      <w:r w:rsidR="00A53F83" w:rsidRPr="004C79FC">
        <w:rPr>
          <w:rFonts w:cstheme="minorHAnsi"/>
        </w:rPr>
        <w:t>: SEGAL, operated by Shell</w:t>
      </w:r>
      <w:r w:rsidR="003D31E8" w:rsidRPr="004C79FC">
        <w:rPr>
          <w:rFonts w:cstheme="minorHAnsi"/>
        </w:rPr>
        <w:t xml:space="preserve"> (~330</w:t>
      </w:r>
      <w:r w:rsidR="00F90D2B" w:rsidRPr="004C79FC">
        <w:rPr>
          <w:rFonts w:cstheme="minorHAnsi"/>
        </w:rPr>
        <w:t xml:space="preserve"> </w:t>
      </w:r>
      <w:r w:rsidR="003D31E8" w:rsidRPr="004C79FC">
        <w:rPr>
          <w:rFonts w:cstheme="minorHAnsi"/>
        </w:rPr>
        <w:t>kT/yr)</w:t>
      </w:r>
      <w:r w:rsidR="00A53F83" w:rsidRPr="004C79FC">
        <w:rPr>
          <w:rFonts w:cstheme="minorHAnsi"/>
        </w:rPr>
        <w:t>, the Scott</w:t>
      </w:r>
      <w:r w:rsidR="00846CD6" w:rsidRPr="004C79FC">
        <w:rPr>
          <w:rFonts w:cstheme="minorHAnsi"/>
        </w:rPr>
        <w:t>ish Area Gas Evacuation (SAGE) T</w:t>
      </w:r>
      <w:r w:rsidR="00A53F83" w:rsidRPr="004C79FC">
        <w:rPr>
          <w:rFonts w:cstheme="minorHAnsi"/>
        </w:rPr>
        <w:t>erminal (operated by Ancala</w:t>
      </w:r>
      <w:r w:rsidR="003D31E8" w:rsidRPr="004C79FC">
        <w:rPr>
          <w:rFonts w:cstheme="minorHAnsi"/>
        </w:rPr>
        <w:t>, ~130</w:t>
      </w:r>
      <w:r w:rsidR="00F90D2B" w:rsidRPr="004C79FC">
        <w:rPr>
          <w:rFonts w:cstheme="minorHAnsi"/>
        </w:rPr>
        <w:t xml:space="preserve"> </w:t>
      </w:r>
      <w:r w:rsidR="003D31E8" w:rsidRPr="004C79FC">
        <w:rPr>
          <w:rFonts w:cstheme="minorHAnsi"/>
        </w:rPr>
        <w:t>kT/yr</w:t>
      </w:r>
      <w:r w:rsidR="00A53F83" w:rsidRPr="004C79FC">
        <w:rPr>
          <w:rFonts w:cstheme="minorHAnsi"/>
        </w:rPr>
        <w:t>)</w:t>
      </w:r>
      <w:r w:rsidR="003D31E8" w:rsidRPr="004C79FC">
        <w:rPr>
          <w:rFonts w:cstheme="minorHAnsi"/>
        </w:rPr>
        <w:t>, the National Grid Plant (~60</w:t>
      </w:r>
      <w:r w:rsidR="00F90D2B" w:rsidRPr="004C79FC">
        <w:rPr>
          <w:rFonts w:cstheme="minorHAnsi"/>
        </w:rPr>
        <w:t xml:space="preserve"> </w:t>
      </w:r>
      <w:r w:rsidR="003D31E8" w:rsidRPr="004C79FC">
        <w:rPr>
          <w:rFonts w:cstheme="minorHAnsi"/>
        </w:rPr>
        <w:t>kT/yr)</w:t>
      </w:r>
      <w:r w:rsidR="00A53F83" w:rsidRPr="004C79FC">
        <w:rPr>
          <w:rFonts w:cstheme="minorHAnsi"/>
        </w:rPr>
        <w:t xml:space="preserve"> and the North Sea Midstr</w:t>
      </w:r>
      <w:r w:rsidR="00113C39" w:rsidRPr="004C79FC">
        <w:rPr>
          <w:rFonts w:cstheme="minorHAnsi"/>
        </w:rPr>
        <w:t>eam Partners (NSMP) T</w:t>
      </w:r>
      <w:r w:rsidR="00A53F83" w:rsidRPr="004C79FC">
        <w:rPr>
          <w:rFonts w:cstheme="minorHAnsi"/>
        </w:rPr>
        <w:t>erminal (operated by PX Limited</w:t>
      </w:r>
      <w:r w:rsidR="003D31E8" w:rsidRPr="004C79FC">
        <w:rPr>
          <w:rFonts w:cstheme="minorHAnsi"/>
        </w:rPr>
        <w:t>, ~50</w:t>
      </w:r>
      <w:r w:rsidR="00F90D2B" w:rsidRPr="004C79FC">
        <w:rPr>
          <w:rFonts w:cstheme="minorHAnsi"/>
        </w:rPr>
        <w:t xml:space="preserve"> </w:t>
      </w:r>
      <w:r w:rsidR="003D31E8" w:rsidRPr="004C79FC">
        <w:rPr>
          <w:rFonts w:cstheme="minorHAnsi"/>
        </w:rPr>
        <w:t>kT/yr</w:t>
      </w:r>
      <w:r w:rsidR="00A53F83" w:rsidRPr="004C79FC">
        <w:rPr>
          <w:rFonts w:cstheme="minorHAnsi"/>
        </w:rPr>
        <w:t>)</w:t>
      </w:r>
      <w:r w:rsidR="003D31E8" w:rsidRPr="004C79FC">
        <w:rPr>
          <w:rFonts w:cstheme="minorHAnsi"/>
        </w:rPr>
        <w:t xml:space="preserve">. </w:t>
      </w:r>
      <w:r w:rsidR="00686878" w:rsidRPr="004C79FC">
        <w:rPr>
          <w:rFonts w:cstheme="minorHAnsi"/>
        </w:rPr>
        <w:t>However, t</w:t>
      </w:r>
      <w:r w:rsidR="003D31E8" w:rsidRPr="004C79FC">
        <w:rPr>
          <w:rFonts w:cstheme="minorHAnsi"/>
        </w:rPr>
        <w:t>hese approximate</w:t>
      </w:r>
      <w:r w:rsidR="00686878" w:rsidRPr="004C79FC">
        <w:rPr>
          <w:rFonts w:cstheme="minorHAnsi"/>
        </w:rPr>
        <w:t>ly</w:t>
      </w:r>
      <w:r w:rsidR="003D31E8" w:rsidRPr="004C79FC">
        <w:rPr>
          <w:rFonts w:cstheme="minorHAnsi"/>
        </w:rPr>
        <w:t xml:space="preserve"> </w:t>
      </w:r>
      <w:r w:rsidR="00686878" w:rsidRPr="004C79FC">
        <w:rPr>
          <w:rFonts w:cstheme="minorHAnsi"/>
        </w:rPr>
        <w:t>57</w:t>
      </w:r>
      <w:r w:rsidR="00A53F83" w:rsidRPr="004C79FC">
        <w:rPr>
          <w:rFonts w:cstheme="minorHAnsi"/>
        </w:rPr>
        <w:t>0</w:t>
      </w:r>
      <w:r w:rsidR="00F90D2B" w:rsidRPr="004C79FC">
        <w:rPr>
          <w:rFonts w:cstheme="minorHAnsi"/>
        </w:rPr>
        <w:t xml:space="preserve"> </w:t>
      </w:r>
      <w:r w:rsidR="00A53F83" w:rsidRPr="004C79FC">
        <w:rPr>
          <w:rFonts w:cstheme="minorHAnsi"/>
        </w:rPr>
        <w:t>kT/yr of CO</w:t>
      </w:r>
      <w:r w:rsidR="00A53F83" w:rsidRPr="004C79FC">
        <w:rPr>
          <w:rFonts w:cstheme="minorHAnsi"/>
          <w:vertAlign w:val="subscript"/>
        </w:rPr>
        <w:t>2</w:t>
      </w:r>
      <w:r w:rsidR="00A53F83" w:rsidRPr="004C79FC">
        <w:rPr>
          <w:rFonts w:cstheme="minorHAnsi"/>
        </w:rPr>
        <w:t xml:space="preserve"> </w:t>
      </w:r>
      <w:r w:rsidR="00686878" w:rsidRPr="004C79FC">
        <w:rPr>
          <w:rFonts w:cstheme="minorHAnsi"/>
        </w:rPr>
        <w:t>are raw emissions, and the capture potential is around 65% on average</w:t>
      </w:r>
      <w:r w:rsidR="00392348" w:rsidRPr="004C79FC">
        <w:rPr>
          <w:rFonts w:cstheme="minorHAnsi"/>
        </w:rPr>
        <w:t xml:space="preserve"> (Brownsort et al., 2016)</w:t>
      </w:r>
      <w:r w:rsidR="00A53F83" w:rsidRPr="004C79FC">
        <w:rPr>
          <w:rFonts w:cstheme="minorHAnsi"/>
        </w:rPr>
        <w:t xml:space="preserve">. </w:t>
      </w:r>
    </w:p>
    <w:p w14:paraId="4F77A9DE" w14:textId="76679B9D" w:rsidR="00976A04" w:rsidRDefault="00A53F83" w:rsidP="00963C39">
      <w:pPr>
        <w:shd w:val="clear" w:color="auto" w:fill="FFFFFF"/>
        <w:spacing w:after="240" w:line="240" w:lineRule="auto"/>
        <w:rPr>
          <w:rFonts w:cstheme="minorHAnsi"/>
        </w:rPr>
      </w:pPr>
      <w:r w:rsidRPr="004C79FC">
        <w:rPr>
          <w:rFonts w:cstheme="minorHAnsi"/>
        </w:rPr>
        <w:t>For Acorn Phase 1</w:t>
      </w:r>
      <w:r w:rsidR="000770A4">
        <w:rPr>
          <w:rFonts w:cstheme="minorHAnsi"/>
        </w:rPr>
        <w:t xml:space="preserve"> (Figure 4)</w:t>
      </w:r>
      <w:r w:rsidRPr="004C79FC">
        <w:rPr>
          <w:rFonts w:cstheme="minorHAnsi"/>
        </w:rPr>
        <w:t xml:space="preserve">, new facilities </w:t>
      </w:r>
      <w:r w:rsidR="00075504">
        <w:rPr>
          <w:rFonts w:cstheme="minorHAnsi"/>
        </w:rPr>
        <w:t>need to</w:t>
      </w:r>
      <w:r w:rsidR="00075504" w:rsidRPr="004C79FC">
        <w:rPr>
          <w:rFonts w:cstheme="minorHAnsi"/>
        </w:rPr>
        <w:t xml:space="preserve"> </w:t>
      </w:r>
      <w:r w:rsidRPr="004C79FC">
        <w:rPr>
          <w:rFonts w:cstheme="minorHAnsi"/>
        </w:rPr>
        <w:t>be installed to capt</w:t>
      </w:r>
      <w:r w:rsidR="00846CD6" w:rsidRPr="004C79FC">
        <w:rPr>
          <w:rFonts w:cstheme="minorHAnsi"/>
        </w:rPr>
        <w:t xml:space="preserve">ure </w:t>
      </w:r>
      <w:r w:rsidR="00042766" w:rsidRPr="004C79FC">
        <w:rPr>
          <w:rFonts w:cstheme="minorHAnsi"/>
        </w:rPr>
        <w:t>~200</w:t>
      </w:r>
      <w:r w:rsidR="00075504">
        <w:rPr>
          <w:rFonts w:cstheme="minorHAnsi"/>
        </w:rPr>
        <w:t xml:space="preserve"> </w:t>
      </w:r>
      <w:r w:rsidR="00042766" w:rsidRPr="004C79FC">
        <w:rPr>
          <w:rFonts w:cstheme="minorHAnsi"/>
        </w:rPr>
        <w:t>kT</w:t>
      </w:r>
      <w:r w:rsidR="00846CD6" w:rsidRPr="004C79FC">
        <w:rPr>
          <w:rFonts w:cstheme="minorHAnsi"/>
        </w:rPr>
        <w:t xml:space="preserve">/yr from </w:t>
      </w:r>
      <w:r w:rsidR="00813719" w:rsidRPr="004C79FC">
        <w:rPr>
          <w:rFonts w:cstheme="minorHAnsi"/>
        </w:rPr>
        <w:t>one of these t</w:t>
      </w:r>
      <w:r w:rsidRPr="004C79FC">
        <w:rPr>
          <w:rFonts w:cstheme="minorHAnsi"/>
        </w:rPr>
        <w:t>erminal</w:t>
      </w:r>
      <w:r w:rsidR="00813719" w:rsidRPr="004C79FC">
        <w:rPr>
          <w:rFonts w:cstheme="minorHAnsi"/>
        </w:rPr>
        <w:t>s</w:t>
      </w:r>
      <w:r w:rsidRPr="004C79FC">
        <w:rPr>
          <w:rFonts w:cstheme="minorHAnsi"/>
        </w:rPr>
        <w:t>, assuming that the flue gas emissions come from a mixture of power turbines and heaters</w:t>
      </w:r>
      <w:r w:rsidR="00B922F0">
        <w:rPr>
          <w:rFonts w:cstheme="minorHAnsi"/>
        </w:rPr>
        <w:t>. Further stages</w:t>
      </w:r>
      <w:r w:rsidR="00524E38">
        <w:rPr>
          <w:rFonts w:cstheme="minorHAnsi"/>
        </w:rPr>
        <w:t xml:space="preserve"> of development involve the base case plus other potential buildout scenarios: Phase 2 involves CO</w:t>
      </w:r>
      <w:r w:rsidR="00524E38" w:rsidRPr="00963C39">
        <w:rPr>
          <w:rFonts w:cstheme="minorHAnsi"/>
          <w:vertAlign w:val="subscript"/>
        </w:rPr>
        <w:t>2</w:t>
      </w:r>
      <w:r w:rsidR="00524E38">
        <w:rPr>
          <w:rFonts w:cstheme="minorHAnsi"/>
        </w:rPr>
        <w:t xml:space="preserve"> captured from hydrogen generation and transport via Peterhead Harbour (from shipping), with 64 MT of CO</w:t>
      </w:r>
      <w:r w:rsidR="00524E38" w:rsidRPr="00963C39">
        <w:rPr>
          <w:rFonts w:cstheme="minorHAnsi"/>
          <w:vertAlign w:val="subscript"/>
        </w:rPr>
        <w:t>2</w:t>
      </w:r>
      <w:r w:rsidR="00524E38">
        <w:rPr>
          <w:rFonts w:cstheme="minorHAnsi"/>
        </w:rPr>
        <w:t xml:space="preserve"> captured, and a maximum injection of 2.7 MT yr</w:t>
      </w:r>
      <w:r w:rsidR="00524E38" w:rsidRPr="00963C39">
        <w:rPr>
          <w:rFonts w:cstheme="minorHAnsi"/>
          <w:vertAlign w:val="superscript"/>
        </w:rPr>
        <w:t>-1</w:t>
      </w:r>
      <w:r w:rsidR="00524E38">
        <w:rPr>
          <w:rFonts w:cstheme="minorHAnsi"/>
        </w:rPr>
        <w:t>. Phase 3 includes a great increase in CO</w:t>
      </w:r>
      <w:r w:rsidR="00524E38" w:rsidRPr="00963C39">
        <w:rPr>
          <w:rFonts w:cstheme="minorHAnsi"/>
          <w:vertAlign w:val="subscript"/>
        </w:rPr>
        <w:t>2</w:t>
      </w:r>
      <w:r w:rsidR="00524E38">
        <w:rPr>
          <w:rFonts w:cstheme="minorHAnsi"/>
        </w:rPr>
        <w:t xml:space="preserve"> supply up to 5MT yr-1, imported from </w:t>
      </w:r>
      <w:r w:rsidR="00F2356C">
        <w:rPr>
          <w:rFonts w:cstheme="minorHAnsi"/>
        </w:rPr>
        <w:t>Grangemouth via</w:t>
      </w:r>
      <w:r w:rsidR="00524E38">
        <w:rPr>
          <w:rFonts w:cstheme="minorHAnsi"/>
        </w:rPr>
        <w:t xml:space="preserve"> the Feeder 10 pipeline to St Fergus (Figure 1), and injection via four injection sites, with 152 MT of CO</w:t>
      </w:r>
      <w:r w:rsidR="00524E38" w:rsidRPr="00963C39">
        <w:rPr>
          <w:rFonts w:cstheme="minorHAnsi"/>
          <w:vertAlign w:val="subscript"/>
        </w:rPr>
        <w:t>2</w:t>
      </w:r>
      <w:r w:rsidR="00524E38">
        <w:rPr>
          <w:rFonts w:cstheme="minorHAnsi"/>
        </w:rPr>
        <w:t xml:space="preserve"> stored.  </w:t>
      </w:r>
      <w:r w:rsidR="00DD35D0" w:rsidRPr="004C79FC">
        <w:rPr>
          <w:rFonts w:cstheme="minorHAnsi"/>
        </w:rPr>
        <w:t xml:space="preserve">Through </w:t>
      </w:r>
      <w:r w:rsidR="009A30EC" w:rsidRPr="004C79FC">
        <w:rPr>
          <w:rFonts w:cstheme="minorHAnsi"/>
        </w:rPr>
        <w:t>re-use</w:t>
      </w:r>
      <w:r w:rsidR="00DD35D0" w:rsidRPr="004C79FC">
        <w:rPr>
          <w:rFonts w:cstheme="minorHAnsi"/>
        </w:rPr>
        <w:t xml:space="preserve"> </w:t>
      </w:r>
      <w:r w:rsidR="00075504">
        <w:rPr>
          <w:rFonts w:cstheme="minorHAnsi"/>
        </w:rPr>
        <w:t xml:space="preserve">of infrastructure </w:t>
      </w:r>
      <w:r w:rsidR="00DD35D0" w:rsidRPr="004C79FC">
        <w:rPr>
          <w:rFonts w:cstheme="minorHAnsi"/>
        </w:rPr>
        <w:t>and investments into new infrastructure, such as a new</w:t>
      </w:r>
      <w:r w:rsidR="00F90D2B" w:rsidRPr="004C79FC">
        <w:rPr>
          <w:rFonts w:cstheme="minorHAnsi"/>
        </w:rPr>
        <w:t>ly</w:t>
      </w:r>
      <w:r w:rsidR="00075504">
        <w:rPr>
          <w:rFonts w:cstheme="minorHAnsi"/>
        </w:rPr>
        <w:t>-</w:t>
      </w:r>
      <w:r w:rsidR="00DD35D0" w:rsidRPr="004C79FC">
        <w:rPr>
          <w:rFonts w:cstheme="minorHAnsi"/>
        </w:rPr>
        <w:t>drilled</w:t>
      </w:r>
      <w:r w:rsidR="00F90D2B" w:rsidRPr="004C79FC">
        <w:rPr>
          <w:rFonts w:cstheme="minorHAnsi"/>
        </w:rPr>
        <w:t>,</w:t>
      </w:r>
      <w:r w:rsidR="00DD35D0" w:rsidRPr="004C79FC">
        <w:rPr>
          <w:rFonts w:cstheme="minorHAnsi"/>
        </w:rPr>
        <w:t xml:space="preserve"> dual</w:t>
      </w:r>
      <w:r w:rsidR="00F90D2B" w:rsidRPr="004C79FC">
        <w:rPr>
          <w:rFonts w:cstheme="minorHAnsi"/>
        </w:rPr>
        <w:t>-</w:t>
      </w:r>
      <w:r w:rsidR="00DD35D0" w:rsidRPr="004C79FC">
        <w:rPr>
          <w:rFonts w:cstheme="minorHAnsi"/>
        </w:rPr>
        <w:t>completion</w:t>
      </w:r>
      <w:r w:rsidR="00F90D2B" w:rsidRPr="004C79FC">
        <w:rPr>
          <w:rFonts w:cstheme="minorHAnsi"/>
        </w:rPr>
        <w:t>,</w:t>
      </w:r>
      <w:r w:rsidR="00DD35D0" w:rsidRPr="004C79FC">
        <w:rPr>
          <w:rFonts w:cstheme="minorHAnsi"/>
        </w:rPr>
        <w:t xml:space="preserve"> subsea injection well and a new 8</w:t>
      </w:r>
      <w:r w:rsidR="00F90D2B" w:rsidRPr="004C79FC">
        <w:rPr>
          <w:rFonts w:cstheme="minorHAnsi"/>
        </w:rPr>
        <w:t xml:space="preserve"> </w:t>
      </w:r>
      <w:r w:rsidR="00DD35D0" w:rsidRPr="004C79FC">
        <w:rPr>
          <w:rFonts w:cstheme="minorHAnsi"/>
        </w:rPr>
        <w:t xml:space="preserve">km pipeline to connect the Atlantic pipeline to the Acorn storage site, </w:t>
      </w:r>
      <w:r w:rsidR="00E75D69" w:rsidRPr="004C79FC">
        <w:rPr>
          <w:rFonts w:cstheme="minorHAnsi"/>
        </w:rPr>
        <w:t>P</w:t>
      </w:r>
      <w:r w:rsidR="00DD35D0" w:rsidRPr="004C79FC">
        <w:rPr>
          <w:rFonts w:cstheme="minorHAnsi"/>
        </w:rPr>
        <w:t xml:space="preserve">hase 1 of the FCDP </w:t>
      </w:r>
      <w:r w:rsidR="00075504">
        <w:rPr>
          <w:rFonts w:cstheme="minorHAnsi"/>
        </w:rPr>
        <w:t xml:space="preserve">will </w:t>
      </w:r>
      <w:r w:rsidR="00DD35D0" w:rsidRPr="004C79FC">
        <w:rPr>
          <w:rFonts w:cstheme="minorHAnsi"/>
        </w:rPr>
        <w:t xml:space="preserve">allow the </w:t>
      </w:r>
      <w:r w:rsidR="00B14C67" w:rsidRPr="004C79FC">
        <w:rPr>
          <w:rFonts w:cstheme="minorHAnsi"/>
        </w:rPr>
        <w:t xml:space="preserve">transport and </w:t>
      </w:r>
      <w:r w:rsidR="00DD35D0" w:rsidRPr="004C79FC">
        <w:rPr>
          <w:rFonts w:cstheme="minorHAnsi"/>
        </w:rPr>
        <w:t xml:space="preserve">injection of </w:t>
      </w:r>
      <w:r w:rsidR="00976A04" w:rsidRPr="004C79FC">
        <w:rPr>
          <w:rFonts w:cstheme="minorHAnsi"/>
        </w:rPr>
        <w:t>between 100,000</w:t>
      </w:r>
      <w:r w:rsidR="00F90D2B" w:rsidRPr="004C79FC">
        <w:rPr>
          <w:rFonts w:cstheme="minorHAnsi"/>
        </w:rPr>
        <w:t xml:space="preserve"> </w:t>
      </w:r>
      <w:r w:rsidR="00976A04" w:rsidRPr="004C79FC">
        <w:rPr>
          <w:rFonts w:cstheme="minorHAnsi"/>
        </w:rPr>
        <w:t xml:space="preserve">T and </w:t>
      </w:r>
      <w:r w:rsidR="00DD35D0" w:rsidRPr="004C79FC">
        <w:rPr>
          <w:rFonts w:cstheme="minorHAnsi"/>
        </w:rPr>
        <w:t>2</w:t>
      </w:r>
      <w:r w:rsidR="00F90D2B" w:rsidRPr="004C79FC">
        <w:rPr>
          <w:rFonts w:cstheme="minorHAnsi"/>
        </w:rPr>
        <w:t xml:space="preserve"> </w:t>
      </w:r>
      <w:r w:rsidR="00DD35D0" w:rsidRPr="004C79FC">
        <w:rPr>
          <w:rFonts w:cstheme="minorHAnsi"/>
        </w:rPr>
        <w:t>MT of CO</w:t>
      </w:r>
      <w:r w:rsidR="00DD35D0" w:rsidRPr="004C79FC">
        <w:rPr>
          <w:rFonts w:cstheme="minorHAnsi"/>
          <w:vertAlign w:val="subscript"/>
        </w:rPr>
        <w:t>2</w:t>
      </w:r>
      <w:r w:rsidR="006B4830" w:rsidRPr="004C79FC">
        <w:rPr>
          <w:rFonts w:cstheme="minorHAnsi"/>
        </w:rPr>
        <w:t xml:space="preserve"> per year</w:t>
      </w:r>
      <w:r w:rsidR="008A085D" w:rsidRPr="004C79FC">
        <w:rPr>
          <w:rFonts w:cstheme="minorHAnsi"/>
        </w:rPr>
        <w:t xml:space="preserve"> (</w:t>
      </w:r>
      <w:r w:rsidR="003F70A7">
        <w:rPr>
          <w:rFonts w:cstheme="minorHAnsi"/>
        </w:rPr>
        <w:t>ACT Acorn</w:t>
      </w:r>
      <w:r w:rsidR="008A085D" w:rsidRPr="004C79FC">
        <w:rPr>
          <w:rFonts w:cstheme="minorHAnsi"/>
        </w:rPr>
        <w:t>, 2018</w:t>
      </w:r>
      <w:r w:rsidR="00997D8E">
        <w:rPr>
          <w:rFonts w:cstheme="minorHAnsi"/>
        </w:rPr>
        <w:t>d</w:t>
      </w:r>
      <w:r w:rsidR="008A085D" w:rsidRPr="004C79FC">
        <w:rPr>
          <w:rFonts w:cstheme="minorHAnsi"/>
        </w:rPr>
        <w:t>)</w:t>
      </w:r>
      <w:r w:rsidR="006B4830" w:rsidRPr="004C79FC">
        <w:rPr>
          <w:rFonts w:cstheme="minorHAnsi"/>
        </w:rPr>
        <w:t>.</w:t>
      </w:r>
      <w:r w:rsidR="00DD35D0" w:rsidRPr="004C79FC">
        <w:rPr>
          <w:rFonts w:cstheme="minorHAnsi"/>
        </w:rPr>
        <w:t xml:space="preserve"> However, the </w:t>
      </w:r>
      <w:r w:rsidR="00CC6BC7">
        <w:rPr>
          <w:rFonts w:cstheme="minorHAnsi"/>
        </w:rPr>
        <w:t xml:space="preserve">possible </w:t>
      </w:r>
      <w:r w:rsidR="009A30EC" w:rsidRPr="004C79FC">
        <w:rPr>
          <w:rFonts w:cstheme="minorHAnsi"/>
        </w:rPr>
        <w:t>re-use</w:t>
      </w:r>
      <w:r w:rsidR="00DD35D0" w:rsidRPr="004C79FC">
        <w:rPr>
          <w:rFonts w:cstheme="minorHAnsi"/>
        </w:rPr>
        <w:t xml:space="preserve"> of the redundant 78</w:t>
      </w:r>
      <w:r w:rsidR="00F90D2B" w:rsidRPr="004C79FC">
        <w:rPr>
          <w:rFonts w:cstheme="minorHAnsi"/>
        </w:rPr>
        <w:t xml:space="preserve"> </w:t>
      </w:r>
      <w:r w:rsidR="00DD35D0" w:rsidRPr="004C79FC">
        <w:rPr>
          <w:rFonts w:cstheme="minorHAnsi"/>
        </w:rPr>
        <w:t>km</w:t>
      </w:r>
      <w:r w:rsidR="00A31DDD">
        <w:rPr>
          <w:rFonts w:cstheme="minorHAnsi"/>
        </w:rPr>
        <w:t>,</w:t>
      </w:r>
      <w:r w:rsidR="00DD35D0" w:rsidRPr="004C79FC">
        <w:rPr>
          <w:rFonts w:cstheme="minorHAnsi"/>
        </w:rPr>
        <w:t xml:space="preserve"> 16” Atlantic gas pipeline</w:t>
      </w:r>
      <w:r w:rsidR="00734907" w:rsidRPr="004C79FC">
        <w:rPr>
          <w:rFonts w:cstheme="minorHAnsi"/>
        </w:rPr>
        <w:t>,</w:t>
      </w:r>
      <w:r w:rsidR="00DD35D0" w:rsidRPr="004C79FC">
        <w:rPr>
          <w:rFonts w:cstheme="minorHAnsi"/>
        </w:rPr>
        <w:t xml:space="preserve"> with a capacity to transport of up to 5-6</w:t>
      </w:r>
      <w:r w:rsidR="00F90D2B" w:rsidRPr="004C79FC">
        <w:rPr>
          <w:rFonts w:cstheme="minorHAnsi"/>
        </w:rPr>
        <w:t xml:space="preserve"> </w:t>
      </w:r>
      <w:r w:rsidR="00DD35D0" w:rsidRPr="004C79FC">
        <w:rPr>
          <w:rFonts w:cstheme="minorHAnsi"/>
        </w:rPr>
        <w:t>MT</w:t>
      </w:r>
      <w:r w:rsidR="006B4830" w:rsidRPr="004C79FC">
        <w:rPr>
          <w:rFonts w:cstheme="minorHAnsi"/>
        </w:rPr>
        <w:t xml:space="preserve"> per year</w:t>
      </w:r>
      <w:r w:rsidR="00883CC0">
        <w:rPr>
          <w:rFonts w:cstheme="minorHAnsi"/>
        </w:rPr>
        <w:t>,</w:t>
      </w:r>
      <w:r w:rsidR="00DD35D0" w:rsidRPr="004C79FC">
        <w:rPr>
          <w:rFonts w:cstheme="minorHAnsi"/>
        </w:rPr>
        <w:t xml:space="preserve"> </w:t>
      </w:r>
      <w:r w:rsidR="00CC6BC7">
        <w:rPr>
          <w:rFonts w:cstheme="minorHAnsi"/>
        </w:rPr>
        <w:t>will permit an</w:t>
      </w:r>
      <w:r w:rsidR="00CC6BC7" w:rsidRPr="004C79FC">
        <w:rPr>
          <w:rFonts w:cstheme="minorHAnsi"/>
        </w:rPr>
        <w:t xml:space="preserve"> </w:t>
      </w:r>
      <w:r w:rsidR="00DD35D0" w:rsidRPr="004C79FC">
        <w:rPr>
          <w:rFonts w:cstheme="minorHAnsi"/>
        </w:rPr>
        <w:t xml:space="preserve">upgrade of the </w:t>
      </w:r>
      <w:r w:rsidR="00CC6BC7">
        <w:rPr>
          <w:rFonts w:cstheme="minorHAnsi"/>
        </w:rPr>
        <w:t xml:space="preserve">Acorn CCS </w:t>
      </w:r>
      <w:r w:rsidR="00DD35D0" w:rsidRPr="004C79FC">
        <w:rPr>
          <w:rFonts w:cstheme="minorHAnsi"/>
        </w:rPr>
        <w:t xml:space="preserve">project to </w:t>
      </w:r>
      <w:r w:rsidR="00CC6BC7">
        <w:rPr>
          <w:rFonts w:cstheme="minorHAnsi"/>
        </w:rPr>
        <w:t xml:space="preserve">transmit </w:t>
      </w:r>
      <w:r w:rsidR="00CC6BC7" w:rsidRPr="004C79FC">
        <w:rPr>
          <w:rFonts w:cstheme="minorHAnsi"/>
        </w:rPr>
        <w:t>far greater volumes of CO</w:t>
      </w:r>
      <w:r w:rsidR="00CC6BC7" w:rsidRPr="004C79FC">
        <w:rPr>
          <w:rFonts w:cstheme="minorHAnsi"/>
          <w:vertAlign w:val="subscript"/>
        </w:rPr>
        <w:t>2</w:t>
      </w:r>
      <w:r w:rsidR="00CC6BC7" w:rsidRPr="004C79FC">
        <w:rPr>
          <w:rFonts w:cstheme="minorHAnsi"/>
        </w:rPr>
        <w:t xml:space="preserve"> </w:t>
      </w:r>
      <w:r w:rsidR="00CC6BC7">
        <w:rPr>
          <w:rFonts w:cstheme="minorHAnsi"/>
        </w:rPr>
        <w:t xml:space="preserve">than can be currently delivered from </w:t>
      </w:r>
      <w:r w:rsidR="00CC6BC7" w:rsidRPr="004C79FC">
        <w:rPr>
          <w:rFonts w:cstheme="minorHAnsi"/>
        </w:rPr>
        <w:t>St Fergus</w:t>
      </w:r>
      <w:r w:rsidR="00CC6BC7" w:rsidRPr="004C79FC" w:rsidDel="00CC6BC7">
        <w:rPr>
          <w:rFonts w:cstheme="minorHAnsi"/>
        </w:rPr>
        <w:t xml:space="preserve"> </w:t>
      </w:r>
      <w:r w:rsidR="00CC6BC7">
        <w:rPr>
          <w:rFonts w:cstheme="minorHAnsi"/>
        </w:rPr>
        <w:t>industrial sites</w:t>
      </w:r>
      <w:r w:rsidR="00DD35D0" w:rsidRPr="004C79FC">
        <w:rPr>
          <w:rFonts w:cstheme="minorHAnsi"/>
        </w:rPr>
        <w:t xml:space="preserve">. This </w:t>
      </w:r>
      <w:r w:rsidR="00976A04" w:rsidRPr="004C79FC">
        <w:rPr>
          <w:rFonts w:cstheme="minorHAnsi"/>
        </w:rPr>
        <w:t xml:space="preserve">approach </w:t>
      </w:r>
      <w:r w:rsidR="00CC6BC7">
        <w:rPr>
          <w:rFonts w:cstheme="minorHAnsi"/>
        </w:rPr>
        <w:t xml:space="preserve">thus </w:t>
      </w:r>
      <w:r w:rsidR="00976A04" w:rsidRPr="004C79FC">
        <w:rPr>
          <w:rFonts w:cstheme="minorHAnsi"/>
        </w:rPr>
        <w:t>in</w:t>
      </w:r>
      <w:r w:rsidR="00CC6BC7">
        <w:rPr>
          <w:rFonts w:cstheme="minorHAnsi"/>
        </w:rPr>
        <w:t>corporates</w:t>
      </w:r>
      <w:r w:rsidR="00976A04" w:rsidRPr="004C79FC">
        <w:rPr>
          <w:rFonts w:cstheme="minorHAnsi"/>
        </w:rPr>
        <w:t xml:space="preserve"> cost</w:t>
      </w:r>
      <w:r w:rsidR="00CC6BC7">
        <w:rPr>
          <w:rFonts w:cstheme="minorHAnsi"/>
        </w:rPr>
        <w:t>-</w:t>
      </w:r>
      <w:r w:rsidR="00976A04" w:rsidRPr="004C79FC">
        <w:rPr>
          <w:rFonts w:cstheme="minorHAnsi"/>
        </w:rPr>
        <w:t>reduction for build</w:t>
      </w:r>
      <w:r w:rsidR="00CC6BC7">
        <w:rPr>
          <w:rFonts w:cstheme="minorHAnsi"/>
        </w:rPr>
        <w:t>-</w:t>
      </w:r>
      <w:r w:rsidR="00976A04" w:rsidRPr="004C79FC">
        <w:rPr>
          <w:rFonts w:cstheme="minorHAnsi"/>
        </w:rPr>
        <w:t>out phases.</w:t>
      </w:r>
    </w:p>
    <w:p w14:paraId="6E677515" w14:textId="77777777" w:rsidR="000770A4" w:rsidRDefault="000770A4" w:rsidP="00963C39">
      <w:pPr>
        <w:keepNext/>
        <w:shd w:val="clear" w:color="auto" w:fill="FFFFFF"/>
        <w:spacing w:after="240" w:line="240" w:lineRule="auto"/>
      </w:pPr>
      <w:r>
        <w:rPr>
          <w:rFonts w:cstheme="minorHAnsi"/>
          <w:noProof/>
          <w:lang w:val="es-ES" w:eastAsia="es-ES"/>
        </w:rPr>
        <w:drawing>
          <wp:inline distT="0" distB="0" distL="0" distR="0" wp14:anchorId="2322CE5C" wp14:editId="6FB8DAF7">
            <wp:extent cx="3466768" cy="1980397"/>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jpg"/>
                    <pic:cNvPicPr/>
                  </pic:nvPicPr>
                  <pic:blipFill>
                    <a:blip r:embed="rId18">
                      <a:extLst>
                        <a:ext uri="{28A0092B-C50C-407E-A947-70E740481C1C}">
                          <a14:useLocalDpi xmlns:a14="http://schemas.microsoft.com/office/drawing/2010/main" val="0"/>
                        </a:ext>
                      </a:extLst>
                    </a:blip>
                    <a:stretch>
                      <a:fillRect/>
                    </a:stretch>
                  </pic:blipFill>
                  <pic:spPr>
                    <a:xfrm>
                      <a:off x="0" y="0"/>
                      <a:ext cx="3488874" cy="1993025"/>
                    </a:xfrm>
                    <a:prstGeom prst="rect">
                      <a:avLst/>
                    </a:prstGeom>
                  </pic:spPr>
                </pic:pic>
              </a:graphicData>
            </a:graphic>
          </wp:inline>
        </w:drawing>
      </w:r>
    </w:p>
    <w:p w14:paraId="18A5A33A" w14:textId="598AD231" w:rsidR="000770A4" w:rsidRDefault="000770A4" w:rsidP="00963C39">
      <w:pPr>
        <w:pStyle w:val="Caption"/>
        <w:rPr>
          <w:rFonts w:cstheme="minorHAnsi"/>
        </w:rPr>
      </w:pPr>
      <w:r>
        <w:t xml:space="preserve">Figure </w:t>
      </w:r>
      <w:fldSimple w:instr=" SEQ Figure \* ARABIC ">
        <w:r>
          <w:rPr>
            <w:noProof/>
          </w:rPr>
          <w:t>4</w:t>
        </w:r>
      </w:fldSimple>
      <w:r>
        <w:t xml:space="preserve">: Three different storage </w:t>
      </w:r>
      <w:r w:rsidR="003A63FE">
        <w:t>phases</w:t>
      </w:r>
      <w:r>
        <w:t xml:space="preserve"> for the Acorn project based on CO2 supply and the potential build-out options available.</w:t>
      </w:r>
      <w:r w:rsidR="003A63FE">
        <w:t xml:space="preserve"> Phase 1 in pink, Phase 2 in green and Phase 3 in blue.</w:t>
      </w:r>
    </w:p>
    <w:p w14:paraId="767915A1" w14:textId="2AEF2C75" w:rsidR="002C6D35" w:rsidRPr="004C79FC" w:rsidRDefault="002C6D35" w:rsidP="008F550A">
      <w:pPr>
        <w:spacing w:after="240" w:line="240" w:lineRule="auto"/>
        <w:rPr>
          <w:rFonts w:cstheme="minorHAnsi"/>
        </w:rPr>
      </w:pPr>
      <w:r>
        <w:rPr>
          <w:rFonts w:cstheme="minorHAnsi"/>
        </w:rPr>
        <w:t xml:space="preserve">Clearly the examples illustrated </w:t>
      </w:r>
      <w:r w:rsidR="000770A4">
        <w:rPr>
          <w:rFonts w:cstheme="minorHAnsi"/>
        </w:rPr>
        <w:t>in Figure 4</w:t>
      </w:r>
      <w:r>
        <w:rPr>
          <w:rFonts w:cstheme="minorHAnsi"/>
        </w:rPr>
        <w:t xml:space="preserve"> are specific to the Acorn CCS Project context.</w:t>
      </w:r>
      <w:r w:rsidRPr="004C79FC">
        <w:rPr>
          <w:rFonts w:cstheme="minorHAnsi"/>
        </w:rPr>
        <w:t xml:space="preserve"> </w:t>
      </w:r>
      <w:r>
        <w:rPr>
          <w:rFonts w:cstheme="minorHAnsi"/>
        </w:rPr>
        <w:t xml:space="preserve">Nonetheless, </w:t>
      </w:r>
      <w:r w:rsidR="00AA1868">
        <w:rPr>
          <w:rFonts w:cstheme="minorHAnsi"/>
        </w:rPr>
        <w:t>ACT Acorn</w:t>
      </w:r>
      <w:r>
        <w:rPr>
          <w:rFonts w:cstheme="minorHAnsi"/>
        </w:rPr>
        <w:t xml:space="preserve"> exemplifies the importance of developer competence in identifying</w:t>
      </w:r>
      <w:r w:rsidRPr="004C79FC">
        <w:rPr>
          <w:rFonts w:cstheme="minorHAnsi"/>
        </w:rPr>
        <w:t xml:space="preserve"> opportunities to grow CO</w:t>
      </w:r>
      <w:r w:rsidRPr="004C79FC">
        <w:rPr>
          <w:rFonts w:cstheme="minorHAnsi"/>
          <w:vertAlign w:val="subscript"/>
        </w:rPr>
        <w:t>2</w:t>
      </w:r>
      <w:r w:rsidRPr="004C79FC">
        <w:rPr>
          <w:rFonts w:cstheme="minorHAnsi"/>
        </w:rPr>
        <w:t xml:space="preserve"> intake, </w:t>
      </w:r>
      <w:r>
        <w:rPr>
          <w:rFonts w:cstheme="minorHAnsi"/>
        </w:rPr>
        <w:t>and in identifying and including</w:t>
      </w:r>
      <w:r w:rsidRPr="004C79FC">
        <w:rPr>
          <w:rFonts w:cstheme="minorHAnsi"/>
        </w:rPr>
        <w:t xml:space="preserve"> build-out options </w:t>
      </w:r>
      <w:r>
        <w:rPr>
          <w:rFonts w:cstheme="minorHAnsi"/>
        </w:rPr>
        <w:t>in</w:t>
      </w:r>
      <w:r w:rsidRPr="004C79FC">
        <w:rPr>
          <w:rFonts w:cstheme="minorHAnsi"/>
        </w:rPr>
        <w:t xml:space="preserve"> the initial project plan. Once operational, </w:t>
      </w:r>
      <w:r>
        <w:rPr>
          <w:rFonts w:cstheme="minorHAnsi"/>
        </w:rPr>
        <w:t>identification of build-out options</w:t>
      </w:r>
      <w:r w:rsidRPr="004C79FC">
        <w:rPr>
          <w:rFonts w:cstheme="minorHAnsi"/>
        </w:rPr>
        <w:t xml:space="preserve"> could significantly simplify CCS investment decisions in adjacent regions.</w:t>
      </w:r>
    </w:p>
    <w:p w14:paraId="27AE1CD7" w14:textId="535AEFA1" w:rsidR="004454C3" w:rsidRPr="004C79FC" w:rsidRDefault="007F1ED9" w:rsidP="008F550A">
      <w:pPr>
        <w:pStyle w:val="ListParagraph"/>
        <w:numPr>
          <w:ilvl w:val="0"/>
          <w:numId w:val="32"/>
        </w:numPr>
        <w:spacing w:after="240" w:line="240" w:lineRule="auto"/>
        <w:rPr>
          <w:rFonts w:cstheme="minorHAnsi"/>
          <w:b/>
        </w:rPr>
      </w:pPr>
      <w:r>
        <w:rPr>
          <w:rFonts w:cstheme="minorHAnsi"/>
          <w:b/>
        </w:rPr>
        <w:t>Political</w:t>
      </w:r>
      <w:r w:rsidR="009B407E">
        <w:rPr>
          <w:rFonts w:cstheme="minorHAnsi"/>
          <w:b/>
        </w:rPr>
        <w:t xml:space="preserve"> support and s</w:t>
      </w:r>
      <w:r w:rsidR="003B1BC2">
        <w:rPr>
          <w:rFonts w:cstheme="minorHAnsi"/>
          <w:b/>
        </w:rPr>
        <w:t>ituating CCS within a just transition</w:t>
      </w:r>
    </w:p>
    <w:p w14:paraId="094724B5" w14:textId="34894B16" w:rsidR="00004E99" w:rsidRDefault="00211DD8" w:rsidP="008F550A">
      <w:pPr>
        <w:spacing w:after="240" w:line="240" w:lineRule="auto"/>
      </w:pPr>
      <w:r>
        <w:t xml:space="preserve">The fourth and </w:t>
      </w:r>
      <w:r w:rsidR="0044336A">
        <w:t>final area of assessment is the</w:t>
      </w:r>
      <w:r>
        <w:t xml:space="preserve"> </w:t>
      </w:r>
      <w:r w:rsidR="00AD1D53">
        <w:t>messaging that</w:t>
      </w:r>
      <w:r>
        <w:t xml:space="preserve"> may facilitate CCS deployment. </w:t>
      </w:r>
      <w:r w:rsidR="00123D3C" w:rsidRPr="004C79FC">
        <w:t xml:space="preserve">While many institutions </w:t>
      </w:r>
      <w:r w:rsidR="003529A6" w:rsidRPr="004C79FC">
        <w:t xml:space="preserve">have </w:t>
      </w:r>
      <w:r w:rsidR="00123D3C" w:rsidRPr="004C79FC">
        <w:t>assign</w:t>
      </w:r>
      <w:r w:rsidR="003529A6" w:rsidRPr="004C79FC">
        <w:t>ed</w:t>
      </w:r>
      <w:r w:rsidR="00123D3C" w:rsidRPr="004C79FC">
        <w:t xml:space="preserve"> a key role to CCS in limiting global temperature rise</w:t>
      </w:r>
      <w:r w:rsidR="00091C77">
        <w:t xml:space="preserve"> (e.g. BEIS, 2018)</w:t>
      </w:r>
      <w:r w:rsidR="00123D3C" w:rsidRPr="004C79FC">
        <w:t>, large-scale, non-EOR CCS faces several financial, political and social challenges (IEA, 201</w:t>
      </w:r>
      <w:r w:rsidR="00FF2D6A">
        <w:t>7</w:t>
      </w:r>
      <w:r w:rsidR="0001760D" w:rsidRPr="004C79FC">
        <w:t>; IPCC, 2018</w:t>
      </w:r>
      <w:r w:rsidR="00123D3C" w:rsidRPr="004C79FC">
        <w:t xml:space="preserve">). </w:t>
      </w:r>
      <w:r w:rsidR="006F5EF0">
        <w:t xml:space="preserve">The research and development work for </w:t>
      </w:r>
      <w:r w:rsidR="00AA1868">
        <w:t>ACT Acorn</w:t>
      </w:r>
      <w:r w:rsidR="006F5EF0">
        <w:t xml:space="preserve"> hence placed explicit attention</w:t>
      </w:r>
      <w:r w:rsidR="00836B66">
        <w:t xml:space="preserve"> on understanding the </w:t>
      </w:r>
      <w:r w:rsidR="00566349">
        <w:t>political</w:t>
      </w:r>
      <w:r w:rsidR="00836B66">
        <w:t xml:space="preserve"> context in potential deployment locations, and understanding framings and messaging to attain buy-in</w:t>
      </w:r>
      <w:r w:rsidR="006F5EF0">
        <w:t xml:space="preserve"> (</w:t>
      </w:r>
      <w:r w:rsidR="00C047CE">
        <w:t>ACT Acorn, 2018f</w:t>
      </w:r>
      <w:r w:rsidR="006F5EF0">
        <w:t>)</w:t>
      </w:r>
      <w:r w:rsidR="003228F7">
        <w:t>.</w:t>
      </w:r>
    </w:p>
    <w:p w14:paraId="70744116" w14:textId="674E4A11" w:rsidR="00D65319" w:rsidRPr="004C79FC" w:rsidRDefault="00D65319" w:rsidP="008F550A">
      <w:pPr>
        <w:spacing w:after="240" w:line="240" w:lineRule="auto"/>
        <w:rPr>
          <w:rFonts w:cstheme="minorHAnsi"/>
        </w:rPr>
      </w:pPr>
      <w:r w:rsidRPr="004C79FC">
        <w:rPr>
          <w:rFonts w:cstheme="minorHAnsi"/>
        </w:rPr>
        <w:t xml:space="preserve">The </w:t>
      </w:r>
      <w:r w:rsidR="00AA1868">
        <w:rPr>
          <w:rFonts w:cstheme="minorHAnsi"/>
        </w:rPr>
        <w:t>ACT Acorn</w:t>
      </w:r>
      <w:r w:rsidR="00B24ED7" w:rsidRPr="004C79FC">
        <w:rPr>
          <w:rFonts w:cstheme="minorHAnsi"/>
        </w:rPr>
        <w:t xml:space="preserve"> CCS</w:t>
      </w:r>
      <w:r w:rsidRPr="004C79FC">
        <w:rPr>
          <w:rFonts w:cstheme="minorHAnsi"/>
        </w:rPr>
        <w:t xml:space="preserve"> project assesse</w:t>
      </w:r>
      <w:r w:rsidR="00B24ED7" w:rsidRPr="004C79FC">
        <w:rPr>
          <w:rFonts w:cstheme="minorHAnsi"/>
        </w:rPr>
        <w:t>d</w:t>
      </w:r>
      <w:r w:rsidRPr="004C79FC">
        <w:rPr>
          <w:rFonts w:cstheme="minorHAnsi"/>
        </w:rPr>
        <w:t xml:space="preserve"> the extent to which CCS may fit with a public interest framing</w:t>
      </w:r>
      <w:r w:rsidR="00E62E00">
        <w:rPr>
          <w:rFonts w:cstheme="minorHAnsi"/>
        </w:rPr>
        <w:t>, particularly</w:t>
      </w:r>
      <w:r w:rsidRPr="004C79FC">
        <w:rPr>
          <w:rFonts w:cstheme="minorHAnsi"/>
        </w:rPr>
        <w:t xml:space="preserve"> that of a just transition. </w:t>
      </w:r>
      <w:r w:rsidR="00451C46">
        <w:rPr>
          <w:rFonts w:cstheme="minorHAnsi"/>
        </w:rPr>
        <w:t xml:space="preserve">A </w:t>
      </w:r>
      <w:r w:rsidRPr="004C79FC">
        <w:rPr>
          <w:rFonts w:cstheme="minorHAnsi"/>
        </w:rPr>
        <w:t>just transition</w:t>
      </w:r>
      <w:r w:rsidR="00451C46">
        <w:rPr>
          <w:rFonts w:cstheme="minorHAnsi"/>
        </w:rPr>
        <w:t xml:space="preserve"> is understood here as</w:t>
      </w:r>
      <w:r w:rsidRPr="004C79FC">
        <w:rPr>
          <w:rFonts w:cstheme="minorHAnsi"/>
        </w:rPr>
        <w:t xml:space="preserve"> an imperative to ensure </w:t>
      </w:r>
      <w:r w:rsidR="004804D8" w:rsidRPr="004C79FC">
        <w:rPr>
          <w:rFonts w:cstheme="minorHAnsi"/>
        </w:rPr>
        <w:t xml:space="preserve">that </w:t>
      </w:r>
      <w:r w:rsidR="00451C46">
        <w:rPr>
          <w:rFonts w:cstheme="minorHAnsi"/>
        </w:rPr>
        <w:t xml:space="preserve">carbon-intensive </w:t>
      </w:r>
      <w:r w:rsidRPr="004C79FC">
        <w:rPr>
          <w:rFonts w:cstheme="minorHAnsi"/>
        </w:rPr>
        <w:t>locations</w:t>
      </w:r>
      <w:r w:rsidR="004804D8" w:rsidRPr="004C79FC">
        <w:rPr>
          <w:rFonts w:cstheme="minorHAnsi"/>
        </w:rPr>
        <w:t>,</w:t>
      </w:r>
      <w:r w:rsidRPr="004C79FC">
        <w:rPr>
          <w:rFonts w:cstheme="minorHAnsi"/>
        </w:rPr>
        <w:t xml:space="preserve"> and the workers and communities within them</w:t>
      </w:r>
      <w:r w:rsidR="004804D8" w:rsidRPr="004C79FC">
        <w:rPr>
          <w:rFonts w:cstheme="minorHAnsi"/>
        </w:rPr>
        <w:t>,</w:t>
      </w:r>
      <w:r w:rsidRPr="004C79FC">
        <w:rPr>
          <w:rFonts w:cstheme="minorHAnsi"/>
        </w:rPr>
        <w:t xml:space="preserve"> are not left behind and are guided towards alternative forms of economic activity as unsustainable or carbon intensive practices are phased out nationally and globally (Baer, 2016; Evans and Phelan, 2016). </w:t>
      </w:r>
      <w:r w:rsidR="00451C46">
        <w:rPr>
          <w:rFonts w:cstheme="minorHAnsi"/>
        </w:rPr>
        <w:t>Thus far, however, there has been limited consideration of how CCS may integrate with a just transition framing.</w:t>
      </w:r>
    </w:p>
    <w:p w14:paraId="77AECA60" w14:textId="61732E19" w:rsidR="007228A5" w:rsidRPr="004C79FC" w:rsidRDefault="004804D8">
      <w:pPr>
        <w:spacing w:after="240" w:line="240" w:lineRule="auto"/>
        <w:rPr>
          <w:rFonts w:cstheme="minorHAnsi"/>
        </w:rPr>
      </w:pPr>
      <w:r w:rsidRPr="004C79FC">
        <w:rPr>
          <w:rFonts w:cstheme="minorHAnsi"/>
        </w:rPr>
        <w:t xml:space="preserve">The just transition approach </w:t>
      </w:r>
      <w:r w:rsidR="00FC06D4">
        <w:rPr>
          <w:rFonts w:cstheme="minorHAnsi"/>
        </w:rPr>
        <w:t xml:space="preserve">requires </w:t>
      </w:r>
      <w:r w:rsidR="008C146E" w:rsidRPr="004C79FC">
        <w:rPr>
          <w:rFonts w:cstheme="minorHAnsi"/>
        </w:rPr>
        <w:t xml:space="preserve">a significant role for stakeholder engagement. </w:t>
      </w:r>
      <w:r w:rsidR="007228A5" w:rsidRPr="004C79FC">
        <w:rPr>
          <w:rFonts w:cstheme="minorHAnsi"/>
        </w:rPr>
        <w:t xml:space="preserve">In this context, the focus lies on what Shackley et al (2007) refer to as ‘tier 2 stakeholders’ (those with a role in climate and energy policy wider than the specific CCS project under discussion) and ‘tier 3 stakeholders’ (the general public). The reason for this is that stakeholders in these categories are less likely to be formally engaged in project development, yet can still have significant influence on whether or not the project gains societal support through actions such as granting planning permission or influencing public opinion. </w:t>
      </w:r>
      <w:r w:rsidR="006F4F09">
        <w:rPr>
          <w:rFonts w:cstheme="minorHAnsi"/>
        </w:rPr>
        <w:t xml:space="preserve">Therefore, </w:t>
      </w:r>
      <w:r w:rsidR="007228A5" w:rsidRPr="004C79FC">
        <w:rPr>
          <w:rFonts w:cstheme="minorHAnsi"/>
        </w:rPr>
        <w:t>it is important to consider how stakeholders in these tiers may engage with CCS.</w:t>
      </w:r>
      <w:r w:rsidR="009629EB">
        <w:rPr>
          <w:rFonts w:cstheme="minorHAnsi"/>
        </w:rPr>
        <w:t xml:space="preserve"> It is recognised</w:t>
      </w:r>
      <w:r w:rsidR="007228A5" w:rsidRPr="004C79FC">
        <w:rPr>
          <w:rFonts w:cstheme="minorHAnsi"/>
        </w:rPr>
        <w:t xml:space="preserve"> that stakeholder and public opinion towards CCS is informed by a much wider range of factors than merely risk or safety concerns. For instance, trust in operators and decision-makers (Terwel et al, 2012), inter</w:t>
      </w:r>
      <w:r w:rsidR="009A0DB5" w:rsidRPr="004C79FC">
        <w:rPr>
          <w:rFonts w:cstheme="minorHAnsi"/>
        </w:rPr>
        <w:t>-</w:t>
      </w:r>
      <w:r w:rsidR="007228A5" w:rsidRPr="004C79FC">
        <w:rPr>
          <w:rFonts w:cstheme="minorHAnsi"/>
        </w:rPr>
        <w:t xml:space="preserve">generational concerns (Gough and Boucher, 2013) and fit with personal values and world views (Mabon and Shackley, 2015) have all been identified as shaping societal opinion. Scepticism has also been raised about the perceived links between CCS and the perpetuation of a fossil fuel economy (Stephens, 2014). </w:t>
      </w:r>
      <w:r w:rsidR="009A0DB5" w:rsidRPr="004C79FC">
        <w:rPr>
          <w:rFonts w:cstheme="minorHAnsi"/>
        </w:rPr>
        <w:t>Therefore</w:t>
      </w:r>
      <w:r w:rsidR="007228A5" w:rsidRPr="004C79FC">
        <w:rPr>
          <w:rFonts w:cstheme="minorHAnsi"/>
        </w:rPr>
        <w:t>, attaining buy-in for CCS from stakeholders and citizens must go beyond communication of techno-scientific risks and create a compelling case for how CCS can be utilised to undertake climate change mitigation in the public interest.</w:t>
      </w:r>
    </w:p>
    <w:p w14:paraId="42A1BD11" w14:textId="2AF7C185" w:rsidR="00601E81" w:rsidRPr="00424FC1" w:rsidRDefault="0001112A" w:rsidP="008F550A">
      <w:pPr>
        <w:spacing w:after="240" w:line="240" w:lineRule="auto"/>
      </w:pPr>
      <w:r>
        <w:rPr>
          <w:rFonts w:cstheme="minorHAnsi"/>
        </w:rPr>
        <w:t xml:space="preserve">A key finding of </w:t>
      </w:r>
      <w:r w:rsidR="00AA1868">
        <w:rPr>
          <w:rFonts w:cstheme="minorHAnsi"/>
        </w:rPr>
        <w:t>ACT Acorn</w:t>
      </w:r>
      <w:r>
        <w:rPr>
          <w:rFonts w:cstheme="minorHAnsi"/>
        </w:rPr>
        <w:t>’s work in this area is that i</w:t>
      </w:r>
      <w:r w:rsidR="007228A5" w:rsidRPr="004C79FC">
        <w:rPr>
          <w:rFonts w:cstheme="minorHAnsi"/>
        </w:rPr>
        <w:t xml:space="preserve">f CCS </w:t>
      </w:r>
      <w:r w:rsidR="009A0DB5" w:rsidRPr="004C79FC">
        <w:rPr>
          <w:rFonts w:cstheme="minorHAnsi"/>
        </w:rPr>
        <w:t xml:space="preserve">is </w:t>
      </w:r>
      <w:r w:rsidR="007228A5" w:rsidRPr="004C79FC">
        <w:rPr>
          <w:rFonts w:cstheme="minorHAnsi"/>
        </w:rPr>
        <w:t>to play a role within a just transition, there needs to be greater engagement on CCS by local government</w:t>
      </w:r>
      <w:r w:rsidR="0023371A">
        <w:rPr>
          <w:rFonts w:cstheme="minorHAnsi"/>
        </w:rPr>
        <w:t xml:space="preserve"> (</w:t>
      </w:r>
      <w:r w:rsidR="00F716B2">
        <w:t>ACT Acorn, 2018g</w:t>
      </w:r>
      <w:r w:rsidR="0023371A">
        <w:rPr>
          <w:rFonts w:cstheme="minorHAnsi"/>
        </w:rPr>
        <w:t>)</w:t>
      </w:r>
      <w:r w:rsidR="007228A5" w:rsidRPr="004C79FC">
        <w:rPr>
          <w:rFonts w:cstheme="minorHAnsi"/>
        </w:rPr>
        <w:t xml:space="preserve">. Thus far, CCS has been discussed very much as an </w:t>
      </w:r>
      <w:r w:rsidR="009A0DB5" w:rsidRPr="004C79FC">
        <w:rPr>
          <w:rFonts w:cstheme="minorHAnsi"/>
        </w:rPr>
        <w:t>issue of concern by</w:t>
      </w:r>
      <w:r w:rsidR="007228A5" w:rsidRPr="004C79FC">
        <w:rPr>
          <w:rFonts w:cstheme="minorHAnsi"/>
        </w:rPr>
        <w:t xml:space="preserve"> national </w:t>
      </w:r>
      <w:r w:rsidR="00A76959" w:rsidRPr="004C79FC">
        <w:rPr>
          <w:rFonts w:cstheme="minorHAnsi"/>
        </w:rPr>
        <w:t xml:space="preserve">government </w:t>
      </w:r>
      <w:r w:rsidR="007228A5" w:rsidRPr="004C79FC">
        <w:rPr>
          <w:rFonts w:cstheme="minorHAnsi"/>
        </w:rPr>
        <w:t>or international</w:t>
      </w:r>
      <w:r w:rsidR="00A76959" w:rsidRPr="004C79FC">
        <w:rPr>
          <w:rFonts w:cstheme="minorHAnsi"/>
        </w:rPr>
        <w:t xml:space="preserve"> institutions</w:t>
      </w:r>
      <w:r w:rsidR="00560133">
        <w:rPr>
          <w:rFonts w:cstheme="minorHAnsi"/>
        </w:rPr>
        <w:t>;</w:t>
      </w:r>
      <w:r w:rsidR="00560133" w:rsidRPr="004C79FC">
        <w:rPr>
          <w:rFonts w:cstheme="minorHAnsi"/>
        </w:rPr>
        <w:t xml:space="preserve"> </w:t>
      </w:r>
      <w:r w:rsidR="007228A5" w:rsidRPr="004C79FC">
        <w:rPr>
          <w:rFonts w:cstheme="minorHAnsi"/>
        </w:rPr>
        <w:t>however</w:t>
      </w:r>
      <w:r w:rsidR="00560133">
        <w:rPr>
          <w:rFonts w:cstheme="minorHAnsi"/>
        </w:rPr>
        <w:t>,</w:t>
      </w:r>
      <w:r w:rsidR="007228A5" w:rsidRPr="004C79FC">
        <w:rPr>
          <w:rFonts w:cstheme="minorHAnsi"/>
        </w:rPr>
        <w:t xml:space="preserve"> </w:t>
      </w:r>
      <w:r w:rsidR="00676B86">
        <w:rPr>
          <w:rFonts w:cstheme="minorHAnsi"/>
        </w:rPr>
        <w:t xml:space="preserve">the </w:t>
      </w:r>
      <w:r w:rsidR="00AA1868">
        <w:rPr>
          <w:rFonts w:cstheme="minorHAnsi"/>
        </w:rPr>
        <w:t>ACT Acorn</w:t>
      </w:r>
      <w:r w:rsidR="00676B86">
        <w:rPr>
          <w:rFonts w:cstheme="minorHAnsi"/>
        </w:rPr>
        <w:t xml:space="preserve"> work indicates</w:t>
      </w:r>
      <w:r w:rsidR="007228A5" w:rsidRPr="004C79FC">
        <w:rPr>
          <w:rFonts w:cstheme="minorHAnsi"/>
        </w:rPr>
        <w:t xml:space="preserve"> </w:t>
      </w:r>
      <w:r w:rsidR="007A3A11">
        <w:rPr>
          <w:rFonts w:cstheme="minorHAnsi"/>
        </w:rPr>
        <w:t xml:space="preserve">that it </w:t>
      </w:r>
      <w:r w:rsidR="008A085D" w:rsidRPr="004C79FC">
        <w:rPr>
          <w:rFonts w:cstheme="minorHAnsi"/>
        </w:rPr>
        <w:t>i</w:t>
      </w:r>
      <w:r w:rsidR="007228A5" w:rsidRPr="004C79FC">
        <w:rPr>
          <w:rFonts w:cstheme="minorHAnsi"/>
        </w:rPr>
        <w:t xml:space="preserve">s </w:t>
      </w:r>
      <w:r w:rsidR="008A085D" w:rsidRPr="004C79FC">
        <w:rPr>
          <w:rFonts w:cstheme="minorHAnsi"/>
        </w:rPr>
        <w:t xml:space="preserve">also </w:t>
      </w:r>
      <w:r w:rsidR="007228A5" w:rsidRPr="004C79FC">
        <w:rPr>
          <w:rFonts w:cstheme="minorHAnsi"/>
        </w:rPr>
        <w:t xml:space="preserve">the responsibility of local government to set out a vision for the future, </w:t>
      </w:r>
      <w:r w:rsidR="00A76959" w:rsidRPr="004C79FC">
        <w:rPr>
          <w:rFonts w:cstheme="minorHAnsi"/>
        </w:rPr>
        <w:t xml:space="preserve">potentially including </w:t>
      </w:r>
      <w:r w:rsidR="007228A5" w:rsidRPr="004C79FC">
        <w:rPr>
          <w:rFonts w:cstheme="minorHAnsi"/>
        </w:rPr>
        <w:t xml:space="preserve">CCS. </w:t>
      </w:r>
      <w:r w:rsidR="00A76959" w:rsidRPr="004C79FC">
        <w:rPr>
          <w:rFonts w:cstheme="minorHAnsi"/>
        </w:rPr>
        <w:t xml:space="preserve">The </w:t>
      </w:r>
      <w:r w:rsidR="007228A5" w:rsidRPr="004C79FC">
        <w:rPr>
          <w:rFonts w:cstheme="minorHAnsi"/>
        </w:rPr>
        <w:t xml:space="preserve">findings </w:t>
      </w:r>
      <w:r w:rsidR="008A085D" w:rsidRPr="004C79FC">
        <w:rPr>
          <w:rFonts w:cstheme="minorHAnsi"/>
        </w:rPr>
        <w:t xml:space="preserve">of these investigations </w:t>
      </w:r>
      <w:r w:rsidR="007228A5" w:rsidRPr="004C79FC">
        <w:rPr>
          <w:rFonts w:cstheme="minorHAnsi"/>
        </w:rPr>
        <w:t>indicate that</w:t>
      </w:r>
      <w:r w:rsidR="00A76959" w:rsidRPr="004C79FC">
        <w:rPr>
          <w:rFonts w:cstheme="minorHAnsi"/>
        </w:rPr>
        <w:t xml:space="preserve">, while the just transition frame seemed to resonate in </w:t>
      </w:r>
      <w:r w:rsidR="00644A4A">
        <w:rPr>
          <w:rFonts w:cstheme="minorHAnsi"/>
        </w:rPr>
        <w:t xml:space="preserve">the Aberdeen area of </w:t>
      </w:r>
      <w:r w:rsidR="00A76959" w:rsidRPr="004C79FC">
        <w:rPr>
          <w:rFonts w:cstheme="minorHAnsi"/>
        </w:rPr>
        <w:t xml:space="preserve">Scotland, this was much less the case in the Netherlands (Rotterdam area) and Norway (Stavanger area). The discussions also showed that </w:t>
      </w:r>
      <w:r w:rsidR="007228A5" w:rsidRPr="004C79FC">
        <w:rPr>
          <w:rFonts w:cstheme="minorHAnsi"/>
        </w:rPr>
        <w:t xml:space="preserve">in order to </w:t>
      </w:r>
      <w:r w:rsidR="009A0DB5" w:rsidRPr="004C79FC">
        <w:rPr>
          <w:rFonts w:cstheme="minorHAnsi"/>
        </w:rPr>
        <w:t xml:space="preserve">develop </w:t>
      </w:r>
      <w:r w:rsidR="007228A5" w:rsidRPr="004C79FC">
        <w:rPr>
          <w:rFonts w:cstheme="minorHAnsi"/>
        </w:rPr>
        <w:t xml:space="preserve">an informed opinion on CCS, stakeholders required more information on how CCS might fit with the local context. Specific </w:t>
      </w:r>
      <w:r w:rsidR="009A0DB5" w:rsidRPr="004C79FC">
        <w:rPr>
          <w:rFonts w:cstheme="minorHAnsi"/>
        </w:rPr>
        <w:t xml:space="preserve">issues </w:t>
      </w:r>
      <w:r w:rsidR="007228A5" w:rsidRPr="004C79FC">
        <w:rPr>
          <w:rFonts w:cstheme="minorHAnsi"/>
        </w:rPr>
        <w:t xml:space="preserve">in this regard include: the extent to which infrastructure associated with current regional activities could be adapted or </w:t>
      </w:r>
      <w:r w:rsidR="009A30EC" w:rsidRPr="004C79FC">
        <w:rPr>
          <w:rFonts w:cstheme="minorHAnsi"/>
        </w:rPr>
        <w:t>re-use</w:t>
      </w:r>
      <w:r w:rsidR="007228A5" w:rsidRPr="004C79FC">
        <w:rPr>
          <w:rFonts w:cstheme="minorHAnsi"/>
        </w:rPr>
        <w:t>d for CCS</w:t>
      </w:r>
      <w:r w:rsidR="00F46D4F">
        <w:rPr>
          <w:rFonts w:cstheme="minorHAnsi"/>
        </w:rPr>
        <w:t>,</w:t>
      </w:r>
      <w:r w:rsidR="00F46D4F" w:rsidRPr="004C79FC">
        <w:rPr>
          <w:rFonts w:cstheme="minorHAnsi"/>
        </w:rPr>
        <w:t xml:space="preserve"> </w:t>
      </w:r>
      <w:r w:rsidR="007228A5" w:rsidRPr="004C79FC">
        <w:rPr>
          <w:rFonts w:cstheme="minorHAnsi"/>
        </w:rPr>
        <w:t>the extent to which skills present within the current workforce would be transferable to CCS</w:t>
      </w:r>
      <w:r w:rsidR="00F46D4F">
        <w:rPr>
          <w:rFonts w:cstheme="minorHAnsi"/>
        </w:rPr>
        <w:t>,</w:t>
      </w:r>
      <w:r w:rsidR="00F46D4F" w:rsidRPr="004C79FC">
        <w:rPr>
          <w:rFonts w:cstheme="minorHAnsi"/>
        </w:rPr>
        <w:t xml:space="preserve"> </w:t>
      </w:r>
      <w:r w:rsidR="007228A5" w:rsidRPr="004C79FC">
        <w:rPr>
          <w:rFonts w:cstheme="minorHAnsi"/>
        </w:rPr>
        <w:t>and who would be responsible for financing CCS deployment</w:t>
      </w:r>
      <w:r w:rsidR="00D85C88">
        <w:rPr>
          <w:rFonts w:cstheme="minorHAnsi"/>
        </w:rPr>
        <w:t xml:space="preserve"> (</w:t>
      </w:r>
      <w:r w:rsidR="00F716B2">
        <w:t>ACT Acorn, 2018g</w:t>
      </w:r>
      <w:r w:rsidR="00D85C88">
        <w:rPr>
          <w:rFonts w:cstheme="minorHAnsi"/>
        </w:rPr>
        <w:t>)</w:t>
      </w:r>
      <w:r w:rsidR="007228A5" w:rsidRPr="004C79FC">
        <w:rPr>
          <w:rFonts w:cstheme="minorHAnsi"/>
        </w:rPr>
        <w:t>. Th</w:t>
      </w:r>
      <w:r w:rsidR="007D60B2" w:rsidRPr="004C79FC">
        <w:rPr>
          <w:rFonts w:cstheme="minorHAnsi"/>
        </w:rPr>
        <w:t>ese aspects</w:t>
      </w:r>
      <w:r w:rsidR="007228A5" w:rsidRPr="004C79FC">
        <w:rPr>
          <w:rFonts w:cstheme="minorHAnsi"/>
        </w:rPr>
        <w:t xml:space="preserve"> suggest potential for greater integration with the infrastructure </w:t>
      </w:r>
      <w:r w:rsidR="009A30EC" w:rsidRPr="004C79FC">
        <w:rPr>
          <w:rFonts w:cstheme="minorHAnsi"/>
        </w:rPr>
        <w:t>re-use</w:t>
      </w:r>
      <w:r w:rsidR="007228A5" w:rsidRPr="004C79FC">
        <w:rPr>
          <w:rFonts w:cstheme="minorHAnsi"/>
        </w:rPr>
        <w:t xml:space="preserve"> and low-carbon build-out actions. </w:t>
      </w:r>
      <w:r w:rsidR="00FF5DC2">
        <w:rPr>
          <w:rFonts w:cstheme="minorHAnsi"/>
        </w:rPr>
        <w:t xml:space="preserve">The outcomes from </w:t>
      </w:r>
      <w:r w:rsidR="00AA1868">
        <w:rPr>
          <w:rFonts w:cstheme="minorHAnsi"/>
        </w:rPr>
        <w:t>ACT Acorn</w:t>
      </w:r>
      <w:r w:rsidR="00FF5DC2">
        <w:rPr>
          <w:rFonts w:cstheme="minorHAnsi"/>
        </w:rPr>
        <w:t xml:space="preserve"> hence</w:t>
      </w:r>
      <w:r w:rsidR="00EB7716">
        <w:rPr>
          <w:rFonts w:cstheme="minorHAnsi"/>
        </w:rPr>
        <w:t xml:space="preserve"> illustrate</w:t>
      </w:r>
      <w:r w:rsidR="007228A5" w:rsidRPr="004C79FC">
        <w:rPr>
          <w:rFonts w:cstheme="minorHAnsi"/>
        </w:rPr>
        <w:t xml:space="preserve"> a need to develop pathways and to engage local-level stakeholders on the outcomes of research into infrastructure, skills and financing</w:t>
      </w:r>
      <w:r w:rsidR="00C473F8" w:rsidRPr="004C79FC">
        <w:rPr>
          <w:rFonts w:cstheme="minorHAnsi"/>
        </w:rPr>
        <w:t>,</w:t>
      </w:r>
      <w:r w:rsidR="007228A5" w:rsidRPr="004C79FC">
        <w:rPr>
          <w:rFonts w:cstheme="minorHAnsi"/>
        </w:rPr>
        <w:t xml:space="preserve"> rather than just risk assessment</w:t>
      </w:r>
      <w:r w:rsidR="00613DEC" w:rsidRPr="004C79FC">
        <w:rPr>
          <w:rFonts w:cstheme="minorHAnsi"/>
        </w:rPr>
        <w:t>,</w:t>
      </w:r>
      <w:r w:rsidR="007228A5" w:rsidRPr="004C79FC">
        <w:rPr>
          <w:rFonts w:cstheme="minorHAnsi"/>
        </w:rPr>
        <w:t xml:space="preserve"> to allow stakeholders and informed citizens to reach a view on the role of CCS in a just transition. Lastly, it is worth reiterating that</w:t>
      </w:r>
      <w:r w:rsidR="00C473F8" w:rsidRPr="004C79FC">
        <w:rPr>
          <w:rFonts w:cstheme="minorHAnsi"/>
        </w:rPr>
        <w:t>,</w:t>
      </w:r>
      <w:r w:rsidR="007228A5" w:rsidRPr="004C79FC">
        <w:rPr>
          <w:rFonts w:cstheme="minorHAnsi"/>
        </w:rPr>
        <w:t xml:space="preserve"> for a set of technologies such as CCS which require a significant level of private-sector involvement to deliver, it is imperative to respect the need to develop a </w:t>
      </w:r>
      <w:r w:rsidR="00F46D4F" w:rsidRPr="004C79FC">
        <w:rPr>
          <w:rFonts w:cstheme="minorHAnsi"/>
        </w:rPr>
        <w:t>fram</w:t>
      </w:r>
      <w:r w:rsidR="00F46D4F">
        <w:rPr>
          <w:rFonts w:cstheme="minorHAnsi"/>
        </w:rPr>
        <w:t>ework</w:t>
      </w:r>
      <w:r w:rsidR="00F46D4F" w:rsidRPr="004C79FC">
        <w:rPr>
          <w:rFonts w:cstheme="minorHAnsi"/>
        </w:rPr>
        <w:t xml:space="preserve"> </w:t>
      </w:r>
      <w:r w:rsidR="007228A5" w:rsidRPr="004C79FC">
        <w:rPr>
          <w:rFonts w:cstheme="minorHAnsi"/>
        </w:rPr>
        <w:t xml:space="preserve">for CCS that positions it very </w:t>
      </w:r>
      <w:r w:rsidR="007228A5" w:rsidRPr="004C79FC">
        <w:t>much in the public interest and makes clear its value in helping carbon-intensive regions meet the climate challenge.</w:t>
      </w:r>
    </w:p>
    <w:p w14:paraId="76E77777" w14:textId="28FBD6AF" w:rsidR="00A51F4B" w:rsidRDefault="00601E81" w:rsidP="008F550A">
      <w:pPr>
        <w:pStyle w:val="ListParagraph"/>
        <w:numPr>
          <w:ilvl w:val="0"/>
          <w:numId w:val="32"/>
        </w:numPr>
        <w:spacing w:after="240" w:line="240" w:lineRule="auto"/>
        <w:rPr>
          <w:rFonts w:cstheme="minorHAnsi"/>
          <w:b/>
        </w:rPr>
      </w:pPr>
      <w:r>
        <w:rPr>
          <w:rFonts w:cstheme="minorHAnsi"/>
          <w:b/>
        </w:rPr>
        <w:t>Discussion</w:t>
      </w:r>
    </w:p>
    <w:p w14:paraId="33F9D9FC" w14:textId="6E15B3D6" w:rsidR="00C42A5A" w:rsidRDefault="006F7B61" w:rsidP="00C42A5A">
      <w:pPr>
        <w:rPr>
          <w:rFonts w:cstheme="minorHAnsi"/>
        </w:rPr>
      </w:pPr>
      <w:r>
        <w:rPr>
          <w:rFonts w:cstheme="minorHAnsi"/>
        </w:rPr>
        <w:t xml:space="preserve">Camara et al (2013) note that as CCS technologies are still in development, there is a need for ongoing research to assess CCS as a ‘clean’ technology. As a project at the advanced research and development stage, learnings from the </w:t>
      </w:r>
      <w:r w:rsidR="00AA1868">
        <w:rPr>
          <w:rFonts w:cstheme="minorHAnsi"/>
        </w:rPr>
        <w:t>ACT Acorn</w:t>
      </w:r>
      <w:r>
        <w:rPr>
          <w:rFonts w:cstheme="minorHAnsi"/>
        </w:rPr>
        <w:t xml:space="preserve"> project fill this gap</w:t>
      </w:r>
      <w:r w:rsidR="00C42A5A">
        <w:rPr>
          <w:rFonts w:cstheme="minorHAnsi"/>
        </w:rPr>
        <w:t xml:space="preserve"> in three ways. First, </w:t>
      </w:r>
      <w:r w:rsidR="00AA1868">
        <w:rPr>
          <w:rFonts w:cstheme="minorHAnsi"/>
        </w:rPr>
        <w:t>ACT Acorn</w:t>
      </w:r>
      <w:r w:rsidR="00C42A5A">
        <w:rPr>
          <w:rFonts w:cstheme="minorHAnsi"/>
        </w:rPr>
        <w:t xml:space="preserve"> illustrates that utilisation of existing infrastructure can provide a pathway to CCS deployment for early-stage projects where costs may be high. Wennersten et al (2015) argue that the main obstacles to CCS deployment are economic and social rather than technical, with Zhang and Huisingh (2017) likewise identifying high cost as a barrier. </w:t>
      </w:r>
      <w:r w:rsidR="00AA1868">
        <w:rPr>
          <w:rFonts w:cstheme="minorHAnsi"/>
        </w:rPr>
        <w:t>ACT Acorn</w:t>
      </w:r>
      <w:r w:rsidR="00C42A5A">
        <w:rPr>
          <w:rFonts w:cstheme="minorHAnsi"/>
        </w:rPr>
        <w:t xml:space="preserve"> demonstrates that in a region such as north-east Scotland with a history of subsurface activity, development (and therefore learning opportunities for society) can be aided by reuse of pipelines, platforms and wells. Second, </w:t>
      </w:r>
      <w:r w:rsidR="00AA1868">
        <w:rPr>
          <w:rFonts w:cstheme="minorHAnsi"/>
        </w:rPr>
        <w:t>ACT Acorn</w:t>
      </w:r>
      <w:r w:rsidR="00C42A5A">
        <w:rPr>
          <w:rFonts w:cstheme="minorHAnsi"/>
        </w:rPr>
        <w:t xml:space="preserve"> demonstrates the importance of a development plan across the whole CCS chain. Extant research suggests smaller-scale industrial applications such as steel and cement works may benefit from CCS as much as power sector applications, but that sharing of infrastructure such as pipelines may be needed to make this economically viable (Mandova et al., 2019). Perhaps different to previous large-scale CCS proposals focused on a single power sector or industrial application (e.g. Boundary Dam in Canada), </w:t>
      </w:r>
      <w:r w:rsidR="00AA1868">
        <w:rPr>
          <w:rFonts w:cstheme="minorHAnsi"/>
        </w:rPr>
        <w:t>ACT Acorn</w:t>
      </w:r>
      <w:r w:rsidR="00C42A5A">
        <w:rPr>
          <w:rFonts w:cstheme="minorHAnsi"/>
        </w:rPr>
        <w:t xml:space="preserve"> has paid explicit attention to low-carbon build-out options at the planning stage. The </w:t>
      </w:r>
      <w:r w:rsidR="00AA1868">
        <w:rPr>
          <w:rFonts w:cstheme="minorHAnsi"/>
        </w:rPr>
        <w:t>ACT Acorn</w:t>
      </w:r>
      <w:r w:rsidR="00C42A5A">
        <w:rPr>
          <w:rFonts w:cstheme="minorHAnsi"/>
        </w:rPr>
        <w:t xml:space="preserve"> approach indicates that a gradual development and build-out process may provide a more viable pathway to CCS deployment than aiming for a single large project. Third and final, a lack of stakeholder support for CCS has been identified across previous work (Chaudhry et al., 2013). What </w:t>
      </w:r>
      <w:r w:rsidR="00AA1868">
        <w:rPr>
          <w:rFonts w:cstheme="minorHAnsi"/>
        </w:rPr>
        <w:t>ACT Acorn</w:t>
      </w:r>
      <w:r w:rsidR="00C42A5A">
        <w:rPr>
          <w:rFonts w:cstheme="minorHAnsi"/>
        </w:rPr>
        <w:t xml:space="preserve"> adds in this regard is the importance of engagement of policy-makers at the regional level, who citizens and stakeholders may look to (as opposed to the national government) for understanding of the role of CCS in a low-carbon transition.</w:t>
      </w:r>
    </w:p>
    <w:p w14:paraId="299C2C98" w14:textId="7FA834D8" w:rsidR="00601E81" w:rsidRPr="00424FC1" w:rsidRDefault="00601E81" w:rsidP="00584F3A">
      <w:pPr>
        <w:spacing w:after="240" w:line="240" w:lineRule="auto"/>
        <w:rPr>
          <w:rFonts w:cstheme="minorHAnsi"/>
        </w:rPr>
      </w:pPr>
    </w:p>
    <w:p w14:paraId="7538DF28" w14:textId="7EE622F0" w:rsidR="00601E81" w:rsidRPr="004C79FC" w:rsidRDefault="00601E81" w:rsidP="008F550A">
      <w:pPr>
        <w:pStyle w:val="ListParagraph"/>
        <w:numPr>
          <w:ilvl w:val="0"/>
          <w:numId w:val="32"/>
        </w:numPr>
        <w:spacing w:after="240" w:line="240" w:lineRule="auto"/>
        <w:rPr>
          <w:rFonts w:cstheme="minorHAnsi"/>
          <w:b/>
        </w:rPr>
      </w:pPr>
      <w:r>
        <w:rPr>
          <w:rFonts w:cstheme="minorHAnsi"/>
          <w:b/>
        </w:rPr>
        <w:t>Conclusions</w:t>
      </w:r>
    </w:p>
    <w:p w14:paraId="0C7B8140" w14:textId="091638B6" w:rsidR="00913F7F" w:rsidRPr="004C79FC" w:rsidRDefault="00240FF8" w:rsidP="008F550A">
      <w:pPr>
        <w:spacing w:after="240" w:line="240" w:lineRule="auto"/>
      </w:pPr>
      <w:r w:rsidRPr="004C79FC">
        <w:rPr>
          <w:rFonts w:cstheme="minorHAnsi"/>
        </w:rPr>
        <w:t>Investments into dedicated CO</w:t>
      </w:r>
      <w:r w:rsidRPr="004C79FC">
        <w:rPr>
          <w:rFonts w:cstheme="minorHAnsi"/>
          <w:vertAlign w:val="subscript"/>
        </w:rPr>
        <w:t>2</w:t>
      </w:r>
      <w:r w:rsidRPr="004C79FC">
        <w:rPr>
          <w:rFonts w:cstheme="minorHAnsi"/>
        </w:rPr>
        <w:t xml:space="preserve"> storage project</w:t>
      </w:r>
      <w:r w:rsidR="001F51B3" w:rsidRPr="004C79FC">
        <w:rPr>
          <w:rFonts w:cstheme="minorHAnsi"/>
        </w:rPr>
        <w:t>s</w:t>
      </w:r>
      <w:r w:rsidRPr="004C79FC">
        <w:rPr>
          <w:rFonts w:cstheme="minorHAnsi"/>
        </w:rPr>
        <w:t xml:space="preserve"> </w:t>
      </w:r>
      <w:r w:rsidR="00E073BB" w:rsidRPr="004C79FC">
        <w:rPr>
          <w:rFonts w:cstheme="minorHAnsi"/>
        </w:rPr>
        <w:t xml:space="preserve">globally </w:t>
      </w:r>
      <w:r w:rsidRPr="004C79FC">
        <w:rPr>
          <w:rFonts w:cstheme="minorHAnsi"/>
        </w:rPr>
        <w:t>ha</w:t>
      </w:r>
      <w:r w:rsidR="001F51B3" w:rsidRPr="004C79FC">
        <w:rPr>
          <w:rFonts w:cstheme="minorHAnsi"/>
        </w:rPr>
        <w:t>ve</w:t>
      </w:r>
      <w:r w:rsidRPr="004C79FC">
        <w:rPr>
          <w:rFonts w:cstheme="minorHAnsi"/>
        </w:rPr>
        <w:t xml:space="preserve"> been l</w:t>
      </w:r>
      <w:r w:rsidR="00353113" w:rsidRPr="004C79FC">
        <w:rPr>
          <w:rFonts w:cstheme="minorHAnsi"/>
        </w:rPr>
        <w:t>imited</w:t>
      </w:r>
      <w:r w:rsidRPr="004C79FC">
        <w:rPr>
          <w:rFonts w:cstheme="minorHAnsi"/>
        </w:rPr>
        <w:t xml:space="preserve"> so far</w:t>
      </w:r>
      <w:r w:rsidR="001F51B3" w:rsidRPr="004C79FC">
        <w:rPr>
          <w:rFonts w:cstheme="minorHAnsi"/>
        </w:rPr>
        <w:t xml:space="preserve">, mainly </w:t>
      </w:r>
      <w:r w:rsidRPr="004C79FC">
        <w:rPr>
          <w:rFonts w:cstheme="minorHAnsi"/>
        </w:rPr>
        <w:t xml:space="preserve">because they </w:t>
      </w:r>
      <w:r w:rsidR="00353113" w:rsidRPr="004C79FC">
        <w:rPr>
          <w:rFonts w:cstheme="minorHAnsi"/>
        </w:rPr>
        <w:t>have lacked a viable revenue model</w:t>
      </w:r>
      <w:r w:rsidRPr="004C79FC">
        <w:t xml:space="preserve">, with high upfront costs and uncertain </w:t>
      </w:r>
      <w:r w:rsidR="001F51B3" w:rsidRPr="004C79FC">
        <w:t xml:space="preserve">future </w:t>
      </w:r>
      <w:r w:rsidRPr="004C79FC">
        <w:t xml:space="preserve">revenues. </w:t>
      </w:r>
      <w:r w:rsidR="001F51B3" w:rsidRPr="004C79FC">
        <w:t>W</w:t>
      </w:r>
      <w:r w:rsidRPr="004C79FC">
        <w:t>e</w:t>
      </w:r>
      <w:r w:rsidR="002B2718">
        <w:t xml:space="preserve"> have here</w:t>
      </w:r>
      <w:r w:rsidRPr="004C79FC">
        <w:t xml:space="preserve"> </w:t>
      </w:r>
      <w:r w:rsidR="00850C88">
        <w:t>assessed</w:t>
      </w:r>
      <w:r w:rsidR="00850C88" w:rsidRPr="004C79FC">
        <w:t xml:space="preserve"> </w:t>
      </w:r>
      <w:r w:rsidRPr="004C79FC">
        <w:t xml:space="preserve">Acorn as a CCS project that has the potential to overcome these hindrances by </w:t>
      </w:r>
      <w:r w:rsidR="001F51B3" w:rsidRPr="004C79FC">
        <w:t xml:space="preserve">focussing on seven key </w:t>
      </w:r>
      <w:r w:rsidR="00F02EF4">
        <w:t>elements</w:t>
      </w:r>
      <w:r w:rsidR="00F02EF4" w:rsidRPr="004C79FC">
        <w:t xml:space="preserve"> </w:t>
      </w:r>
      <w:r w:rsidR="006048B0" w:rsidRPr="004C79FC">
        <w:t>identified during the development of the project</w:t>
      </w:r>
      <w:r w:rsidR="002B2718">
        <w:t xml:space="preserve"> </w:t>
      </w:r>
      <w:r w:rsidR="004B6143">
        <w:t>described</w:t>
      </w:r>
      <w:r w:rsidR="004B6143" w:rsidRPr="004C79FC">
        <w:t xml:space="preserve"> in this paper</w:t>
      </w:r>
      <w:r w:rsidR="004B6143">
        <w:t xml:space="preserve"> </w:t>
      </w:r>
      <w:r w:rsidR="002B2718">
        <w:t xml:space="preserve">(infrastructure re-use, storage development plan, low-carbon build-out options, </w:t>
      </w:r>
      <w:r w:rsidR="004B6143">
        <w:t>full-chain development plan, policy-support, just transition and public engagement, knowledge exchange)</w:t>
      </w:r>
      <w:r w:rsidR="001F51B3" w:rsidRPr="004C79FC">
        <w:t xml:space="preserve">. The </w:t>
      </w:r>
      <w:r w:rsidR="002B2718">
        <w:t xml:space="preserve">successful development of these </w:t>
      </w:r>
      <w:r w:rsidR="00F02EF4">
        <w:t>elements</w:t>
      </w:r>
      <w:r w:rsidR="00F02EF4" w:rsidRPr="004C79FC">
        <w:t xml:space="preserve"> </w:t>
      </w:r>
      <w:r w:rsidR="004B6143">
        <w:t xml:space="preserve">will </w:t>
      </w:r>
      <w:r w:rsidR="001F51B3" w:rsidRPr="004C79FC">
        <w:t>make</w:t>
      </w:r>
      <w:r w:rsidR="00AB77A3" w:rsidRPr="004C79FC">
        <w:t xml:space="preserve"> the project more likely </w:t>
      </w:r>
      <w:r w:rsidR="001F51B3" w:rsidRPr="004C79FC">
        <w:t xml:space="preserve">as well as </w:t>
      </w:r>
      <w:r w:rsidR="00AB77A3" w:rsidRPr="004C79FC">
        <w:t>more sustainable</w:t>
      </w:r>
      <w:r w:rsidR="006048B0" w:rsidRPr="004C79FC">
        <w:t>,</w:t>
      </w:r>
      <w:r w:rsidR="00AB77A3" w:rsidRPr="004C79FC">
        <w:t xml:space="preserve"> </w:t>
      </w:r>
      <w:r w:rsidR="001F51B3" w:rsidRPr="004C79FC">
        <w:t xml:space="preserve">and hence </w:t>
      </w:r>
      <w:r w:rsidR="004B6143">
        <w:t xml:space="preserve">will </w:t>
      </w:r>
      <w:r w:rsidR="008F550A" w:rsidRPr="004C79FC">
        <w:t>make it</w:t>
      </w:r>
      <w:r w:rsidR="00AB77A3" w:rsidRPr="004C79FC">
        <w:t xml:space="preserve"> more attractive for investors.</w:t>
      </w:r>
    </w:p>
    <w:p w14:paraId="791A3309" w14:textId="348A465B" w:rsidR="00364058" w:rsidRPr="004C79FC" w:rsidRDefault="00913F7F" w:rsidP="008F550A">
      <w:pPr>
        <w:spacing w:after="240" w:line="240" w:lineRule="auto"/>
      </w:pPr>
      <w:r w:rsidRPr="004C79FC">
        <w:t xml:space="preserve">The key learnings </w:t>
      </w:r>
      <w:r w:rsidR="00364058" w:rsidRPr="004C79FC">
        <w:t xml:space="preserve">points that emerged from the </w:t>
      </w:r>
      <w:r w:rsidR="00AA1868">
        <w:t>ACT Acorn</w:t>
      </w:r>
      <w:r w:rsidR="00364058" w:rsidRPr="004C79FC">
        <w:t xml:space="preserve"> experience</w:t>
      </w:r>
      <w:r w:rsidR="00450A72">
        <w:t xml:space="preserve">, which may be transferable to other projects globally aimed at initiating CCS activity, </w:t>
      </w:r>
      <w:r w:rsidR="00364058" w:rsidRPr="004C79FC">
        <w:t>are:</w:t>
      </w:r>
    </w:p>
    <w:p w14:paraId="53A7C9FB" w14:textId="1002AC12" w:rsidR="009F1FE9" w:rsidRDefault="009F1FE9" w:rsidP="008F550A">
      <w:pPr>
        <w:pStyle w:val="ListParagraph"/>
        <w:numPr>
          <w:ilvl w:val="0"/>
          <w:numId w:val="41"/>
        </w:numPr>
        <w:spacing w:after="240" w:line="240" w:lineRule="auto"/>
        <w:rPr>
          <w:rFonts w:cstheme="minorHAnsi"/>
        </w:rPr>
      </w:pPr>
      <w:r>
        <w:rPr>
          <w:rFonts w:cstheme="minorHAnsi"/>
        </w:rPr>
        <w:t>Based on nearly 50 years of geological and petroleum engineering work by the oil and gas industry in the N</w:t>
      </w:r>
      <w:r w:rsidR="0038096B">
        <w:rPr>
          <w:rFonts w:cstheme="minorHAnsi"/>
        </w:rPr>
        <w:t>orth</w:t>
      </w:r>
      <w:r>
        <w:rPr>
          <w:rFonts w:cstheme="minorHAnsi"/>
        </w:rPr>
        <w:t xml:space="preserve"> Sea region, the permanent </w:t>
      </w:r>
      <w:r w:rsidR="0038096B">
        <w:rPr>
          <w:rFonts w:cstheme="minorHAnsi"/>
        </w:rPr>
        <w:t xml:space="preserve">sequestration </w:t>
      </w:r>
      <w:r>
        <w:rPr>
          <w:rFonts w:cstheme="minorHAnsi"/>
        </w:rPr>
        <w:t>of CO</w:t>
      </w:r>
      <w:r w:rsidRPr="006465C5">
        <w:rPr>
          <w:rFonts w:cstheme="minorHAnsi"/>
          <w:vertAlign w:val="subscript"/>
        </w:rPr>
        <w:t>2</w:t>
      </w:r>
      <w:r>
        <w:rPr>
          <w:rFonts w:cstheme="minorHAnsi"/>
        </w:rPr>
        <w:t xml:space="preserve"> in the subsurface has been shown to be technically feasible and geologically safe</w:t>
      </w:r>
      <w:r w:rsidR="00F35082">
        <w:rPr>
          <w:rFonts w:cstheme="minorHAnsi"/>
        </w:rPr>
        <w:t xml:space="preserve"> in the Acorn </w:t>
      </w:r>
      <w:r w:rsidR="0042056F">
        <w:rPr>
          <w:rFonts w:cstheme="minorHAnsi"/>
        </w:rPr>
        <w:t>project</w:t>
      </w:r>
      <w:r>
        <w:rPr>
          <w:rFonts w:cstheme="minorHAnsi"/>
        </w:rPr>
        <w:t>.</w:t>
      </w:r>
      <w:r w:rsidR="0038096B">
        <w:rPr>
          <w:rFonts w:cstheme="minorHAnsi"/>
        </w:rPr>
        <w:t xml:space="preserve"> CCS developments in other contexts may hence be assisted </w:t>
      </w:r>
      <w:r w:rsidR="0079002E">
        <w:rPr>
          <w:rFonts w:cstheme="minorHAnsi"/>
        </w:rPr>
        <w:t xml:space="preserve">if there is technical expertise and knowledge of subsurface characteristics gleaned from </w:t>
      </w:r>
      <w:r w:rsidR="00FD5926">
        <w:rPr>
          <w:rFonts w:cstheme="minorHAnsi"/>
        </w:rPr>
        <w:t>previous hydrocarbon activity in the same region;</w:t>
      </w:r>
      <w:r w:rsidR="00804CCF">
        <w:rPr>
          <w:rFonts w:cstheme="minorHAnsi"/>
        </w:rPr>
        <w:t xml:space="preserve"> </w:t>
      </w:r>
    </w:p>
    <w:p w14:paraId="7D24E8B6" w14:textId="3552A864" w:rsidR="004E1B2A" w:rsidRPr="004C79FC" w:rsidRDefault="00522A41" w:rsidP="008F550A">
      <w:pPr>
        <w:pStyle w:val="ListParagraph"/>
        <w:numPr>
          <w:ilvl w:val="0"/>
          <w:numId w:val="41"/>
        </w:numPr>
        <w:spacing w:after="240" w:line="240" w:lineRule="auto"/>
        <w:rPr>
          <w:rFonts w:cstheme="minorHAnsi"/>
        </w:rPr>
      </w:pPr>
      <w:r w:rsidRPr="004C79FC">
        <w:rPr>
          <w:rFonts w:cstheme="minorHAnsi"/>
        </w:rPr>
        <w:t xml:space="preserve">Preserving existing or </w:t>
      </w:r>
      <w:r w:rsidR="00590C97" w:rsidRPr="004C79FC">
        <w:rPr>
          <w:rFonts w:cstheme="minorHAnsi"/>
        </w:rPr>
        <w:t>"</w:t>
      </w:r>
      <w:r w:rsidRPr="004C79FC">
        <w:rPr>
          <w:rFonts w:cstheme="minorHAnsi"/>
        </w:rPr>
        <w:t>to</w:t>
      </w:r>
      <w:r w:rsidR="00590C97" w:rsidRPr="004C79FC">
        <w:rPr>
          <w:rFonts w:cstheme="minorHAnsi"/>
        </w:rPr>
        <w:t>-</w:t>
      </w:r>
      <w:r w:rsidRPr="004C79FC">
        <w:rPr>
          <w:rFonts w:cstheme="minorHAnsi"/>
        </w:rPr>
        <w:t>be</w:t>
      </w:r>
      <w:r w:rsidR="00590C97" w:rsidRPr="004C79FC">
        <w:rPr>
          <w:rFonts w:cstheme="minorHAnsi"/>
        </w:rPr>
        <w:t>-</w:t>
      </w:r>
      <w:r w:rsidRPr="004C79FC">
        <w:rPr>
          <w:rFonts w:cstheme="minorHAnsi"/>
        </w:rPr>
        <w:t>decommissioned</w:t>
      </w:r>
      <w:r w:rsidR="00590C97" w:rsidRPr="004C79FC">
        <w:rPr>
          <w:rFonts w:cstheme="minorHAnsi"/>
        </w:rPr>
        <w:t>"</w:t>
      </w:r>
      <w:r w:rsidRPr="004C79FC">
        <w:rPr>
          <w:rFonts w:cstheme="minorHAnsi"/>
        </w:rPr>
        <w:t xml:space="preserve"> offshore infrastructure, particularly pipelines, </w:t>
      </w:r>
      <w:r w:rsidR="00353113" w:rsidRPr="004C79FC">
        <w:rPr>
          <w:rFonts w:cstheme="minorHAnsi"/>
        </w:rPr>
        <w:t xml:space="preserve">can </w:t>
      </w:r>
      <w:r w:rsidRPr="004C79FC">
        <w:rPr>
          <w:rFonts w:cstheme="minorHAnsi"/>
        </w:rPr>
        <w:t xml:space="preserve">offer the lowest cost opportunity </w:t>
      </w:r>
      <w:r w:rsidR="004B6143">
        <w:rPr>
          <w:rFonts w:cstheme="minorHAnsi"/>
        </w:rPr>
        <w:t xml:space="preserve">for a CCS project by </w:t>
      </w:r>
      <w:r w:rsidRPr="004C79FC">
        <w:rPr>
          <w:rFonts w:cstheme="minorHAnsi"/>
        </w:rPr>
        <w:t>significantly lower</w:t>
      </w:r>
      <w:r w:rsidR="004B6143">
        <w:rPr>
          <w:rFonts w:cstheme="minorHAnsi"/>
        </w:rPr>
        <w:t>ing</w:t>
      </w:r>
      <w:r w:rsidRPr="004C79FC">
        <w:rPr>
          <w:rFonts w:cstheme="minorHAnsi"/>
        </w:rPr>
        <w:t xml:space="preserve"> the initial capital expenditure.</w:t>
      </w:r>
      <w:r w:rsidR="00CB0932" w:rsidRPr="004C79FC">
        <w:rPr>
          <w:rFonts w:cstheme="minorHAnsi"/>
        </w:rPr>
        <w:t xml:space="preserve"> In Acorn, the three existing pipelines </w:t>
      </w:r>
      <w:r w:rsidR="004B6143">
        <w:rPr>
          <w:rFonts w:cstheme="minorHAnsi"/>
        </w:rPr>
        <w:t>provide</w:t>
      </w:r>
      <w:r w:rsidR="004B6143" w:rsidRPr="004C79FC">
        <w:rPr>
          <w:rFonts w:cstheme="minorHAnsi"/>
        </w:rPr>
        <w:t xml:space="preserve"> </w:t>
      </w:r>
      <w:r w:rsidR="00CB0932" w:rsidRPr="004C79FC">
        <w:rPr>
          <w:rFonts w:cstheme="minorHAnsi"/>
        </w:rPr>
        <w:t xml:space="preserve">specific potential </w:t>
      </w:r>
      <w:r w:rsidR="009A30EC" w:rsidRPr="004C79FC">
        <w:rPr>
          <w:rFonts w:cstheme="minorHAnsi"/>
        </w:rPr>
        <w:t>re-use</w:t>
      </w:r>
      <w:r w:rsidR="00CB0932" w:rsidRPr="004C79FC">
        <w:rPr>
          <w:rFonts w:cstheme="minorHAnsi"/>
        </w:rPr>
        <w:t xml:space="preserve"> options in the CO</w:t>
      </w:r>
      <w:r w:rsidR="00CB0932" w:rsidRPr="004C79FC">
        <w:rPr>
          <w:rFonts w:cstheme="minorHAnsi"/>
          <w:vertAlign w:val="subscript"/>
        </w:rPr>
        <w:t>2</w:t>
      </w:r>
      <w:r w:rsidR="00CB0932" w:rsidRPr="004C79FC">
        <w:rPr>
          <w:rFonts w:cstheme="minorHAnsi"/>
        </w:rPr>
        <w:t xml:space="preserve"> value chain.</w:t>
      </w:r>
      <w:r w:rsidR="00B52645">
        <w:rPr>
          <w:rFonts w:cstheme="minorHAnsi"/>
        </w:rPr>
        <w:t xml:space="preserve"> As above, there may hence be value in targeting wider CCS deployment towards </w:t>
      </w:r>
      <w:r w:rsidR="00DC4FFE">
        <w:rPr>
          <w:rFonts w:cstheme="minorHAnsi"/>
        </w:rPr>
        <w:t xml:space="preserve">more mature oil and gas-producing regions, where discussions over </w:t>
      </w:r>
      <w:r w:rsidR="004038B7">
        <w:rPr>
          <w:rFonts w:cstheme="minorHAnsi"/>
        </w:rPr>
        <w:t>the future of infrastructure</w:t>
      </w:r>
      <w:r w:rsidR="00DC4FFE">
        <w:rPr>
          <w:rFonts w:cstheme="minorHAnsi"/>
        </w:rPr>
        <w:t xml:space="preserve"> are ongoing and where </w:t>
      </w:r>
      <w:r w:rsidR="00C96B70">
        <w:rPr>
          <w:rFonts w:cstheme="minorHAnsi"/>
        </w:rPr>
        <w:t xml:space="preserve">there may be </w:t>
      </w:r>
      <w:r w:rsidR="00DC3B33">
        <w:rPr>
          <w:rFonts w:cstheme="minorHAnsi"/>
        </w:rPr>
        <w:t>more immediate interest in re</w:t>
      </w:r>
      <w:r w:rsidR="00997D8E">
        <w:rPr>
          <w:rFonts w:cstheme="minorHAnsi"/>
        </w:rPr>
        <w:t>-</w:t>
      </w:r>
      <w:r w:rsidR="00DC3B33">
        <w:rPr>
          <w:rFonts w:cstheme="minorHAnsi"/>
        </w:rPr>
        <w:t>appropriating infrastructure as opposed to decommissioning;</w:t>
      </w:r>
    </w:p>
    <w:p w14:paraId="0C00857B" w14:textId="0FC6C841" w:rsidR="006D3D2A" w:rsidRPr="004C79FC" w:rsidRDefault="00B8390B" w:rsidP="008F550A">
      <w:pPr>
        <w:pStyle w:val="ListParagraph"/>
        <w:numPr>
          <w:ilvl w:val="0"/>
          <w:numId w:val="41"/>
        </w:numPr>
        <w:spacing w:after="240" w:line="240" w:lineRule="auto"/>
      </w:pPr>
      <w:r>
        <w:rPr>
          <w:rFonts w:cstheme="minorHAnsi"/>
        </w:rPr>
        <w:t>Acorn indicates the value of an incremental approach to full-chain development planning</w:t>
      </w:r>
      <w:r w:rsidR="00AF6ECD">
        <w:rPr>
          <w:rFonts w:cstheme="minorHAnsi"/>
        </w:rPr>
        <w:t>, planning for gradual development rather than commencing with maximum-scale infrastructure</w:t>
      </w:r>
      <w:r w:rsidR="00D64939" w:rsidRPr="004C79FC">
        <w:rPr>
          <w:rFonts w:cstheme="minorHAnsi"/>
        </w:rPr>
        <w:t>. A catalyst phase allows a fast</w:t>
      </w:r>
      <w:r w:rsidR="004B6143">
        <w:rPr>
          <w:rFonts w:cstheme="minorHAnsi"/>
        </w:rPr>
        <w:t xml:space="preserve"> and</w:t>
      </w:r>
      <w:r w:rsidR="00D64939" w:rsidRPr="004C79FC">
        <w:rPr>
          <w:rFonts w:cstheme="minorHAnsi"/>
        </w:rPr>
        <w:t xml:space="preserve"> low-risk implementation of a small- to medium-scale </w:t>
      </w:r>
      <w:r w:rsidR="00353113" w:rsidRPr="004C79FC">
        <w:rPr>
          <w:rFonts w:cstheme="minorHAnsi"/>
        </w:rPr>
        <w:t xml:space="preserve">full chain </w:t>
      </w:r>
      <w:r w:rsidR="00D64939" w:rsidRPr="004C79FC">
        <w:rPr>
          <w:rFonts w:cstheme="minorHAnsi"/>
        </w:rPr>
        <w:t>CCS project</w:t>
      </w:r>
      <w:r w:rsidR="00353113" w:rsidRPr="004C79FC">
        <w:rPr>
          <w:rFonts w:cstheme="minorHAnsi"/>
        </w:rPr>
        <w:t xml:space="preserve">. </w:t>
      </w:r>
      <w:r w:rsidR="00B1256F">
        <w:rPr>
          <w:rFonts w:cstheme="minorHAnsi"/>
        </w:rPr>
        <w:t>This phase</w:t>
      </w:r>
      <w:r w:rsidR="00D64939" w:rsidRPr="004C79FC">
        <w:rPr>
          <w:rFonts w:cstheme="minorHAnsi"/>
        </w:rPr>
        <w:t xml:space="preserve"> will </w:t>
      </w:r>
      <w:r w:rsidR="00590C97" w:rsidRPr="004C79FC">
        <w:rPr>
          <w:rFonts w:cstheme="minorHAnsi"/>
        </w:rPr>
        <w:t>act as a</w:t>
      </w:r>
      <w:r w:rsidR="00D64939" w:rsidRPr="004C79FC">
        <w:rPr>
          <w:rFonts w:cstheme="minorHAnsi"/>
        </w:rPr>
        <w:t xml:space="preserve"> seed for the subsequent </w:t>
      </w:r>
      <w:r w:rsidR="00353113" w:rsidRPr="004C79FC">
        <w:rPr>
          <w:rFonts w:cstheme="minorHAnsi"/>
        </w:rPr>
        <w:t>build</w:t>
      </w:r>
      <w:r w:rsidR="00590C97" w:rsidRPr="004C79FC">
        <w:rPr>
          <w:rFonts w:cstheme="minorHAnsi"/>
        </w:rPr>
        <w:t>-</w:t>
      </w:r>
      <w:r w:rsidR="00353113" w:rsidRPr="004C79FC">
        <w:rPr>
          <w:rFonts w:cstheme="minorHAnsi"/>
        </w:rPr>
        <w:t xml:space="preserve">out </w:t>
      </w:r>
      <w:r w:rsidR="006E2C0E" w:rsidRPr="004C79FC">
        <w:rPr>
          <w:rFonts w:cstheme="minorHAnsi"/>
        </w:rPr>
        <w:t xml:space="preserve">by </w:t>
      </w:r>
      <w:r w:rsidR="00353113" w:rsidRPr="004C79FC">
        <w:rPr>
          <w:rFonts w:cstheme="minorHAnsi"/>
        </w:rPr>
        <w:t xml:space="preserve">adding </w:t>
      </w:r>
      <w:r w:rsidR="004B6143">
        <w:rPr>
          <w:rFonts w:cstheme="minorHAnsi"/>
        </w:rPr>
        <w:t>further</w:t>
      </w:r>
      <w:r w:rsidR="004B6143" w:rsidRPr="004C79FC">
        <w:rPr>
          <w:rFonts w:cstheme="minorHAnsi"/>
        </w:rPr>
        <w:t xml:space="preserve"> </w:t>
      </w:r>
      <w:r w:rsidR="00D64939" w:rsidRPr="004C79FC">
        <w:rPr>
          <w:rFonts w:cstheme="minorHAnsi"/>
        </w:rPr>
        <w:t>source</w:t>
      </w:r>
      <w:r w:rsidR="00353113" w:rsidRPr="004C79FC">
        <w:rPr>
          <w:rFonts w:cstheme="minorHAnsi"/>
        </w:rPr>
        <w:t>s</w:t>
      </w:r>
      <w:r w:rsidR="00D64939" w:rsidRPr="004C79FC">
        <w:rPr>
          <w:rFonts w:cstheme="minorHAnsi"/>
        </w:rPr>
        <w:t xml:space="preserve"> of CO</w:t>
      </w:r>
      <w:r w:rsidR="00D64939" w:rsidRPr="004C79FC">
        <w:rPr>
          <w:rFonts w:cstheme="minorHAnsi"/>
          <w:vertAlign w:val="subscript"/>
        </w:rPr>
        <w:t>2</w:t>
      </w:r>
      <w:r w:rsidR="00CB0932" w:rsidRPr="004C79FC">
        <w:rPr>
          <w:rFonts w:cstheme="minorHAnsi"/>
        </w:rPr>
        <w:t xml:space="preserve">, which </w:t>
      </w:r>
      <w:r w:rsidR="00956531" w:rsidRPr="004C79FC">
        <w:rPr>
          <w:rFonts w:cstheme="minorHAnsi"/>
        </w:rPr>
        <w:t>represent the fully commercial side of the model</w:t>
      </w:r>
      <w:r w:rsidR="00CB0932" w:rsidRPr="004C79FC">
        <w:rPr>
          <w:rFonts w:cstheme="minorHAnsi"/>
        </w:rPr>
        <w:t>. T</w:t>
      </w:r>
      <w:r w:rsidR="00956531" w:rsidRPr="004C79FC">
        <w:rPr>
          <w:rFonts w:cstheme="minorHAnsi"/>
        </w:rPr>
        <w:t xml:space="preserve">he existence </w:t>
      </w:r>
      <w:r w:rsidR="007D60B2" w:rsidRPr="004C79FC">
        <w:rPr>
          <w:rFonts w:cstheme="minorHAnsi"/>
        </w:rPr>
        <w:t xml:space="preserve">of build-out options </w:t>
      </w:r>
      <w:r w:rsidR="006D3D2A" w:rsidRPr="004C79FC">
        <w:rPr>
          <w:rFonts w:cstheme="minorHAnsi"/>
        </w:rPr>
        <w:t>provide</w:t>
      </w:r>
      <w:r w:rsidR="00956531" w:rsidRPr="004C79FC">
        <w:rPr>
          <w:rFonts w:cstheme="minorHAnsi"/>
        </w:rPr>
        <w:t>s</w:t>
      </w:r>
      <w:r w:rsidR="006D3D2A" w:rsidRPr="004C79FC">
        <w:rPr>
          <w:rFonts w:cstheme="minorHAnsi"/>
        </w:rPr>
        <w:t xml:space="preserve"> the incentive </w:t>
      </w:r>
      <w:r w:rsidR="00353113" w:rsidRPr="004C79FC">
        <w:rPr>
          <w:rFonts w:cstheme="minorHAnsi"/>
        </w:rPr>
        <w:t xml:space="preserve">to invest in the initial phase of the project. </w:t>
      </w:r>
      <w:r w:rsidR="00956531" w:rsidRPr="004C79FC">
        <w:rPr>
          <w:rFonts w:cstheme="minorHAnsi"/>
        </w:rPr>
        <w:t xml:space="preserve">Later phases can be delivered at lower unit costs as the </w:t>
      </w:r>
      <w:r w:rsidR="006E2C0E" w:rsidRPr="004C79FC">
        <w:rPr>
          <w:rFonts w:cstheme="minorHAnsi"/>
        </w:rPr>
        <w:t>CO</w:t>
      </w:r>
      <w:r w:rsidR="006E2C0E" w:rsidRPr="004C79FC">
        <w:rPr>
          <w:rFonts w:cstheme="minorHAnsi"/>
          <w:vertAlign w:val="subscript"/>
        </w:rPr>
        <w:t>2</w:t>
      </w:r>
      <w:r w:rsidR="006E2C0E" w:rsidRPr="004C79FC">
        <w:rPr>
          <w:rFonts w:cstheme="minorHAnsi"/>
        </w:rPr>
        <w:t xml:space="preserve"> </w:t>
      </w:r>
      <w:r w:rsidR="00956531" w:rsidRPr="004C79FC">
        <w:rPr>
          <w:rFonts w:cstheme="minorHAnsi"/>
        </w:rPr>
        <w:t xml:space="preserve">throughput volume </w:t>
      </w:r>
      <w:r w:rsidR="004B6143">
        <w:rPr>
          <w:rFonts w:cstheme="minorHAnsi"/>
        </w:rPr>
        <w:t>increases</w:t>
      </w:r>
      <w:r w:rsidR="00956531" w:rsidRPr="004C79FC">
        <w:rPr>
          <w:rFonts w:cstheme="minorHAnsi"/>
        </w:rPr>
        <w:t>.</w:t>
      </w:r>
      <w:r w:rsidR="004B1CB6">
        <w:rPr>
          <w:rFonts w:cstheme="minorHAnsi"/>
        </w:rPr>
        <w:t xml:space="preserve"> To achieve this, however, requires significant vision and competence on the part of the project developer to be able to identify linkages to other CO</w:t>
      </w:r>
      <w:r w:rsidR="004B1CB6" w:rsidRPr="007A3A11">
        <w:rPr>
          <w:rFonts w:cstheme="minorHAnsi"/>
          <w:vertAlign w:val="subscript"/>
        </w:rPr>
        <w:t>2</w:t>
      </w:r>
      <w:r w:rsidR="004B1CB6">
        <w:rPr>
          <w:rFonts w:cstheme="minorHAnsi"/>
        </w:rPr>
        <w:t xml:space="preserve"> sources and projects</w:t>
      </w:r>
      <w:r w:rsidR="0068355E">
        <w:rPr>
          <w:rFonts w:cstheme="minorHAnsi"/>
        </w:rPr>
        <w:t xml:space="preserve"> – including to industries such as hydrogen which have thus far not been considered in-dep</w:t>
      </w:r>
      <w:r w:rsidR="007A3A11">
        <w:rPr>
          <w:rFonts w:cstheme="minorHAnsi"/>
        </w:rPr>
        <w:t>th in mainstream CCS discussions.</w:t>
      </w:r>
    </w:p>
    <w:p w14:paraId="0B0D80CD" w14:textId="37B9D94A" w:rsidR="006D3D2A" w:rsidRPr="004C79FC" w:rsidRDefault="006C7EF7" w:rsidP="008F550A">
      <w:pPr>
        <w:pStyle w:val="ListParagraph"/>
        <w:numPr>
          <w:ilvl w:val="0"/>
          <w:numId w:val="41"/>
        </w:numPr>
        <w:spacing w:after="240" w:line="240" w:lineRule="auto"/>
      </w:pPr>
      <w:r>
        <w:t xml:space="preserve">Nonetheless, the </w:t>
      </w:r>
      <w:r w:rsidR="00AA1868">
        <w:t>ACT Acorn</w:t>
      </w:r>
      <w:r>
        <w:t xml:space="preserve"> experience also illustrates that </w:t>
      </w:r>
      <w:r w:rsidR="006D3D2A" w:rsidRPr="004C79FC">
        <w:t xml:space="preserve">CCS requires </w:t>
      </w:r>
      <w:r w:rsidR="009F1FE9">
        <w:t xml:space="preserve">governmental </w:t>
      </w:r>
      <w:r w:rsidR="006D3D2A" w:rsidRPr="004C79FC">
        <w:t>policy support to deal with</w:t>
      </w:r>
      <w:r w:rsidR="009F1FE9">
        <w:t>:</w:t>
      </w:r>
      <w:r w:rsidR="006D3D2A" w:rsidRPr="004C79FC">
        <w:t xml:space="preserve"> the current lack of a market, infrastructure requirements, and ownership and liability issues. </w:t>
      </w:r>
      <w:r w:rsidR="00225221" w:rsidRPr="004C79FC">
        <w:t>State-</w:t>
      </w:r>
      <w:r w:rsidR="006D3D2A" w:rsidRPr="004C79FC">
        <w:t xml:space="preserve">owned and </w:t>
      </w:r>
      <w:r w:rsidR="006E2C0E" w:rsidRPr="004C79FC">
        <w:t>state</w:t>
      </w:r>
      <w:r w:rsidR="00225221" w:rsidRPr="004C79FC">
        <w:t>-</w:t>
      </w:r>
      <w:r w:rsidR="006D3D2A" w:rsidRPr="004C79FC">
        <w:t xml:space="preserve">backed organisations can act as vessels for financial support and can organise infrastructure and liability as well as increase </w:t>
      </w:r>
      <w:r w:rsidR="009F1FE9">
        <w:t xml:space="preserve">the trust of </w:t>
      </w:r>
      <w:r w:rsidR="006D3D2A" w:rsidRPr="004C79FC">
        <w:t xml:space="preserve">civil society. </w:t>
      </w:r>
      <w:r w:rsidR="00411F6D">
        <w:t>A strong role for the state (or for local and regional government) in CCS may also help to overcome concerns</w:t>
      </w:r>
      <w:r w:rsidR="00EB0CF4">
        <w:t xml:space="preserve"> among environmental groups</w:t>
      </w:r>
      <w:r w:rsidR="00411F6D">
        <w:t xml:space="preserve"> about the role for fossil fuel industry operators in a low-carbon transition; </w:t>
      </w:r>
    </w:p>
    <w:p w14:paraId="2012E608" w14:textId="6FD1C99E" w:rsidR="002140B7" w:rsidRPr="004C79FC" w:rsidRDefault="00192105" w:rsidP="008F550A">
      <w:pPr>
        <w:pStyle w:val="ListParagraph"/>
        <w:numPr>
          <w:ilvl w:val="0"/>
          <w:numId w:val="41"/>
        </w:numPr>
        <w:spacing w:after="240" w:line="240" w:lineRule="auto"/>
      </w:pPr>
      <w:r w:rsidRPr="004C79FC">
        <w:rPr>
          <w:rFonts w:cstheme="minorHAnsi"/>
        </w:rPr>
        <w:t>Stakeholders</w:t>
      </w:r>
      <w:r w:rsidR="006E2C0E" w:rsidRPr="004C79FC">
        <w:rPr>
          <w:rFonts w:cstheme="minorHAnsi"/>
        </w:rPr>
        <w:t xml:space="preserve"> that are</w:t>
      </w:r>
      <w:r w:rsidRPr="004C79FC">
        <w:rPr>
          <w:rFonts w:cstheme="minorHAnsi"/>
        </w:rPr>
        <w:t xml:space="preserve"> </w:t>
      </w:r>
      <w:r w:rsidR="009F1FE9">
        <w:rPr>
          <w:rFonts w:cstheme="minorHAnsi"/>
        </w:rPr>
        <w:t>un</w:t>
      </w:r>
      <w:r w:rsidR="002140B7" w:rsidRPr="004C79FC">
        <w:rPr>
          <w:rFonts w:cstheme="minorHAnsi"/>
        </w:rPr>
        <w:t xml:space="preserve">likely to be formally engaged in </w:t>
      </w:r>
      <w:r w:rsidRPr="004C79FC">
        <w:rPr>
          <w:rFonts w:cstheme="minorHAnsi"/>
        </w:rPr>
        <w:t xml:space="preserve">the </w:t>
      </w:r>
      <w:r w:rsidR="002140B7" w:rsidRPr="004C79FC">
        <w:rPr>
          <w:rFonts w:cstheme="minorHAnsi"/>
        </w:rPr>
        <w:t>project can still have significant influence on the societal support</w:t>
      </w:r>
      <w:r w:rsidRPr="004C79FC">
        <w:rPr>
          <w:rFonts w:cstheme="minorHAnsi"/>
        </w:rPr>
        <w:t xml:space="preserve"> of the project</w:t>
      </w:r>
      <w:r w:rsidR="002140B7" w:rsidRPr="004C79FC">
        <w:rPr>
          <w:rFonts w:cstheme="minorHAnsi"/>
        </w:rPr>
        <w:t xml:space="preserve"> through actions such as granting planning permission or influencing public opinion. </w:t>
      </w:r>
      <w:r w:rsidR="00AA1868">
        <w:rPr>
          <w:rFonts w:cstheme="minorHAnsi"/>
        </w:rPr>
        <w:t>ACT Acorn</w:t>
      </w:r>
      <w:r w:rsidR="00141B1E">
        <w:rPr>
          <w:rFonts w:cstheme="minorHAnsi"/>
        </w:rPr>
        <w:t xml:space="preserve"> illustrates that t</w:t>
      </w:r>
      <w:r w:rsidR="00475611">
        <w:rPr>
          <w:rFonts w:cstheme="minorHAnsi"/>
        </w:rPr>
        <w:t>hose responsible for CCS deployment – especially local and regional government who may be viewed as leading on a local low-carbon transition - must</w:t>
      </w:r>
      <w:r w:rsidRPr="004C79FC">
        <w:rPr>
          <w:rFonts w:cstheme="minorHAnsi"/>
        </w:rPr>
        <w:t xml:space="preserve"> create a compelling case for how CCS can undertake climate change mitigation in the public interest.</w:t>
      </w:r>
      <w:r w:rsidR="004906B9">
        <w:rPr>
          <w:rFonts w:cstheme="minorHAnsi"/>
        </w:rPr>
        <w:t xml:space="preserve"> This is particularly significant in carbon-intensive regions, where CCS could be framed as facilitating a just transition for workers in high-emitting industries</w:t>
      </w:r>
      <w:r w:rsidR="000B1862">
        <w:rPr>
          <w:rFonts w:cstheme="minorHAnsi"/>
        </w:rPr>
        <w:t>.</w:t>
      </w:r>
    </w:p>
    <w:p w14:paraId="3E74884E" w14:textId="77777777" w:rsidR="004454C3" w:rsidRPr="004C79FC" w:rsidRDefault="00E43345" w:rsidP="008F550A">
      <w:pPr>
        <w:spacing w:after="240" w:line="240" w:lineRule="auto"/>
        <w:rPr>
          <w:b/>
        </w:rPr>
      </w:pPr>
      <w:r w:rsidRPr="004C79FC">
        <w:rPr>
          <w:b/>
        </w:rPr>
        <w:t>Acknowledgements</w:t>
      </w:r>
    </w:p>
    <w:p w14:paraId="179DEF55" w14:textId="3C2C26F6" w:rsidR="00E43345" w:rsidRPr="004C79FC" w:rsidRDefault="00E43345" w:rsidP="008F550A">
      <w:pPr>
        <w:spacing w:after="240" w:line="240" w:lineRule="auto"/>
      </w:pPr>
      <w:r w:rsidRPr="004C79FC">
        <w:t xml:space="preserve">The authors want to thank the entire </w:t>
      </w:r>
      <w:r w:rsidR="00956531" w:rsidRPr="004C79FC">
        <w:t xml:space="preserve">ACT </w:t>
      </w:r>
      <w:r w:rsidRPr="004C79FC">
        <w:t xml:space="preserve">Acorn team for their support. The </w:t>
      </w:r>
      <w:r w:rsidR="00956531" w:rsidRPr="004C79FC">
        <w:t xml:space="preserve">ACT </w:t>
      </w:r>
      <w:r w:rsidRPr="004C79FC">
        <w:t xml:space="preserve">Acorn project </w:t>
      </w:r>
      <w:r w:rsidR="00954995">
        <w:t>wa</w:t>
      </w:r>
      <w:r w:rsidRPr="004C79FC">
        <w:t>s funded by Accelerating CCS Technologies under Horizon 2020.</w:t>
      </w:r>
      <w:r w:rsidR="005B278C">
        <w:t xml:space="preserve"> </w:t>
      </w:r>
      <w:r w:rsidR="00A25601" w:rsidRPr="00AD1EE0">
        <w:t xml:space="preserve">Alcalde </w:t>
      </w:r>
      <w:r w:rsidR="00A25601" w:rsidRPr="000F07B8">
        <w:t>is currently funded by EIT Raw Materials – SIT4ME project (17024).</w:t>
      </w:r>
    </w:p>
    <w:p w14:paraId="20F33EF0" w14:textId="77777777" w:rsidR="001E729D" w:rsidRPr="004C79FC" w:rsidRDefault="001E729D" w:rsidP="008F550A">
      <w:pPr>
        <w:spacing w:after="240" w:line="240" w:lineRule="auto"/>
        <w:rPr>
          <w:b/>
        </w:rPr>
      </w:pPr>
    </w:p>
    <w:p w14:paraId="2EC2335D" w14:textId="77777777" w:rsidR="001E729D" w:rsidRPr="004C79FC" w:rsidRDefault="001E729D" w:rsidP="008F550A">
      <w:pPr>
        <w:spacing w:after="240" w:line="240" w:lineRule="auto"/>
        <w:rPr>
          <w:b/>
        </w:rPr>
      </w:pPr>
      <w:r w:rsidRPr="004C79FC">
        <w:rPr>
          <w:b/>
        </w:rPr>
        <w:t>References</w:t>
      </w:r>
    </w:p>
    <w:p w14:paraId="1C84429A" w14:textId="5E309527" w:rsidR="000B65A3" w:rsidRPr="00E1050C" w:rsidRDefault="000B65A3" w:rsidP="008F550A">
      <w:pPr>
        <w:spacing w:after="240" w:line="240" w:lineRule="auto"/>
        <w:jc w:val="left"/>
        <w:rPr>
          <w:rFonts w:cs="Arial"/>
          <w:szCs w:val="20"/>
          <w:shd w:val="clear" w:color="auto" w:fill="FFFFFF"/>
        </w:rPr>
      </w:pPr>
      <w:bookmarkStart w:id="2" w:name="_Hlk532488376"/>
      <w:r w:rsidRPr="00E1050C">
        <w:rPr>
          <w:rFonts w:cs="Arial"/>
          <w:szCs w:val="20"/>
          <w:shd w:val="clear" w:color="auto" w:fill="FFFFFF"/>
        </w:rPr>
        <w:t xml:space="preserve">ACT </w:t>
      </w:r>
      <w:r w:rsidR="00786B4C" w:rsidRPr="00E1050C">
        <w:rPr>
          <w:rFonts w:cs="Arial"/>
          <w:szCs w:val="20"/>
          <w:shd w:val="clear" w:color="auto" w:fill="FFFFFF"/>
        </w:rPr>
        <w:t>Acorn, 2018</w:t>
      </w:r>
      <w:r w:rsidR="003F70A7" w:rsidRPr="00E1050C">
        <w:rPr>
          <w:rFonts w:cs="Arial"/>
          <w:szCs w:val="20"/>
          <w:shd w:val="clear" w:color="auto" w:fill="FFFFFF"/>
        </w:rPr>
        <w:t>a</w:t>
      </w:r>
      <w:r w:rsidR="00786B4C" w:rsidRPr="00E1050C">
        <w:rPr>
          <w:rFonts w:cs="Arial"/>
          <w:szCs w:val="20"/>
          <w:shd w:val="clear" w:color="auto" w:fill="FFFFFF"/>
        </w:rPr>
        <w:t xml:space="preserve">. Infrastructure Re-use. </w:t>
      </w:r>
      <w:r w:rsidR="003F70A7" w:rsidRPr="00E1050C">
        <w:t>ACT Acorn Consortium.</w:t>
      </w:r>
      <w:r w:rsidR="003F70A7" w:rsidRPr="00E1050C">
        <w:rPr>
          <w:rFonts w:cs="Arial"/>
          <w:szCs w:val="20"/>
          <w:shd w:val="clear" w:color="auto" w:fill="FFFFFF"/>
        </w:rPr>
        <w:t xml:space="preserve"> </w:t>
      </w:r>
      <w:r w:rsidRPr="00E1050C">
        <w:rPr>
          <w:rFonts w:cs="Arial"/>
          <w:szCs w:val="20"/>
          <w:shd w:val="clear" w:color="auto" w:fill="FFFFFF"/>
        </w:rPr>
        <w:t xml:space="preserve">Available at: </w:t>
      </w:r>
      <w:hyperlink r:id="rId19"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3CD1D09D" w14:textId="08D6E299" w:rsidR="003F70A7" w:rsidRPr="00E1050C" w:rsidRDefault="003F70A7" w:rsidP="003F70A7">
      <w:pPr>
        <w:rPr>
          <w:rFonts w:cs="Arial"/>
          <w:szCs w:val="20"/>
          <w:shd w:val="clear" w:color="auto" w:fill="FFFFFF"/>
        </w:rPr>
      </w:pPr>
      <w:r w:rsidRPr="00E1050C">
        <w:rPr>
          <w:rFonts w:cs="Arial"/>
          <w:szCs w:val="20"/>
          <w:shd w:val="clear" w:color="auto" w:fill="FFFFFF"/>
        </w:rPr>
        <w:t>ACT Acorn, 2018b.</w:t>
      </w:r>
      <w:r w:rsidRPr="00E1050C">
        <w:t xml:space="preserve"> Acorn CO</w:t>
      </w:r>
      <w:r w:rsidRPr="00E1050C">
        <w:rPr>
          <w:vertAlign w:val="subscript"/>
        </w:rPr>
        <w:t>2</w:t>
      </w:r>
      <w:r w:rsidRPr="00E1050C">
        <w:t xml:space="preserve"> Storage Site Development Plan. ACT Acorn Consortium. </w:t>
      </w:r>
      <w:r w:rsidRPr="00E1050C">
        <w:rPr>
          <w:rFonts w:cs="Arial"/>
          <w:szCs w:val="20"/>
          <w:shd w:val="clear" w:color="auto" w:fill="FFFFFF"/>
        </w:rPr>
        <w:t xml:space="preserve">Available at: </w:t>
      </w:r>
      <w:hyperlink r:id="rId20"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5F8AE562" w14:textId="36BFAA80" w:rsidR="0073320A" w:rsidRPr="00E1050C" w:rsidRDefault="0073320A" w:rsidP="003F70A7">
      <w:r w:rsidRPr="00E1050C">
        <w:rPr>
          <w:rFonts w:cs="Arial"/>
          <w:szCs w:val="20"/>
          <w:shd w:val="clear" w:color="auto" w:fill="FFFFFF"/>
        </w:rPr>
        <w:t>ACT Acorn, 2018c.</w:t>
      </w:r>
      <w:r w:rsidRPr="00E1050C">
        <w:t xml:space="preserve"> East Mey CO</w:t>
      </w:r>
      <w:r w:rsidRPr="00E1050C">
        <w:rPr>
          <w:vertAlign w:val="subscript"/>
        </w:rPr>
        <w:t>2</w:t>
      </w:r>
      <w:r w:rsidRPr="00E1050C">
        <w:t xml:space="preserve"> Storage Site Development Plan. ACT Acorn Consortium. </w:t>
      </w:r>
      <w:r w:rsidRPr="00E1050C">
        <w:rPr>
          <w:rFonts w:cs="Arial"/>
          <w:szCs w:val="20"/>
          <w:shd w:val="clear" w:color="auto" w:fill="FFFFFF"/>
        </w:rPr>
        <w:t xml:space="preserve">Available at: </w:t>
      </w:r>
      <w:hyperlink r:id="rId21"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583CE3E9" w14:textId="71FCBCB3" w:rsidR="003F70A7" w:rsidRPr="00E1050C" w:rsidRDefault="003F70A7" w:rsidP="003F70A7">
      <w:pPr>
        <w:rPr>
          <w:rFonts w:cs="Arial"/>
          <w:szCs w:val="20"/>
          <w:shd w:val="clear" w:color="auto" w:fill="FFFFFF"/>
        </w:rPr>
      </w:pPr>
      <w:r w:rsidRPr="00E1050C">
        <w:rPr>
          <w:rFonts w:cs="Arial"/>
          <w:szCs w:val="20"/>
          <w:shd w:val="clear" w:color="auto" w:fill="FFFFFF"/>
        </w:rPr>
        <w:t>ACT Acorn, 2018</w:t>
      </w:r>
      <w:r w:rsidR="006C14BB" w:rsidRPr="00E1050C">
        <w:rPr>
          <w:rFonts w:cs="Arial"/>
          <w:szCs w:val="20"/>
          <w:shd w:val="clear" w:color="auto" w:fill="FFFFFF"/>
        </w:rPr>
        <w:t>d</w:t>
      </w:r>
      <w:r w:rsidRPr="00E1050C">
        <w:t xml:space="preserve">. Full Chain Development Plan and Budget. ACT Acorn Consortium. </w:t>
      </w:r>
      <w:r w:rsidRPr="00E1050C">
        <w:rPr>
          <w:rFonts w:cs="Arial"/>
          <w:szCs w:val="20"/>
          <w:shd w:val="clear" w:color="auto" w:fill="FFFFFF"/>
        </w:rPr>
        <w:t xml:space="preserve">Available at: </w:t>
      </w:r>
      <w:hyperlink r:id="rId22"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0964F74F" w14:textId="07E014D2" w:rsidR="002B7C05" w:rsidRPr="00E1050C" w:rsidRDefault="002B7C05" w:rsidP="002B7C05">
      <w:pPr>
        <w:rPr>
          <w:rFonts w:cs="Arial"/>
          <w:szCs w:val="20"/>
          <w:shd w:val="clear" w:color="auto" w:fill="FFFFFF"/>
        </w:rPr>
      </w:pPr>
      <w:r w:rsidRPr="00E1050C">
        <w:rPr>
          <w:rFonts w:cs="Arial"/>
          <w:szCs w:val="20"/>
          <w:shd w:val="clear" w:color="auto" w:fill="FFFFFF"/>
        </w:rPr>
        <w:t>ACT Acorn, 2018e</w:t>
      </w:r>
      <w:r w:rsidRPr="00E1050C">
        <w:t xml:space="preserve">. Expansion Options. ACT Acorn Consortium. </w:t>
      </w:r>
      <w:r w:rsidRPr="00E1050C">
        <w:rPr>
          <w:rFonts w:cs="Arial"/>
          <w:szCs w:val="20"/>
          <w:shd w:val="clear" w:color="auto" w:fill="FFFFFF"/>
        </w:rPr>
        <w:t xml:space="preserve">Available at: </w:t>
      </w:r>
      <w:hyperlink r:id="rId23"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7820FFC1" w14:textId="3A8B5E15" w:rsidR="00C047CE" w:rsidRDefault="00C047CE" w:rsidP="00C047CE">
      <w:pPr>
        <w:rPr>
          <w:rStyle w:val="Hyperlink"/>
          <w:rFonts w:cs="Arial"/>
          <w:szCs w:val="20"/>
          <w:shd w:val="clear" w:color="auto" w:fill="FFFFFF"/>
        </w:rPr>
      </w:pPr>
      <w:r w:rsidRPr="00E1050C">
        <w:rPr>
          <w:rFonts w:cs="Arial"/>
          <w:szCs w:val="20"/>
          <w:shd w:val="clear" w:color="auto" w:fill="FFFFFF"/>
        </w:rPr>
        <w:t>ACT Acorn, 2018f</w:t>
      </w:r>
      <w:r w:rsidRPr="00E1050C">
        <w:t xml:space="preserve">. Policy Options. ACT Acorn Consortium. </w:t>
      </w:r>
      <w:r w:rsidRPr="00E1050C">
        <w:rPr>
          <w:rFonts w:cs="Arial"/>
          <w:szCs w:val="20"/>
          <w:shd w:val="clear" w:color="auto" w:fill="FFFFFF"/>
        </w:rPr>
        <w:t xml:space="preserve">Available at: </w:t>
      </w:r>
      <w:hyperlink r:id="rId24"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160A8E96" w14:textId="0FA52266" w:rsidR="00937A48" w:rsidRPr="00E1050C" w:rsidRDefault="00937A48" w:rsidP="00C047CE">
      <w:r>
        <w:rPr>
          <w:rFonts w:cs="Arial"/>
          <w:szCs w:val="20"/>
          <w:shd w:val="clear" w:color="auto" w:fill="FFFFFF"/>
        </w:rPr>
        <w:t>ACT Acorn, 2018g</w:t>
      </w:r>
      <w:r w:rsidRPr="00E1050C">
        <w:t xml:space="preserve">. </w:t>
      </w:r>
      <w:r>
        <w:t>Societal Acceptance</w:t>
      </w:r>
      <w:r w:rsidRPr="00E1050C">
        <w:t xml:space="preserve">. ACT Acorn Consortium. </w:t>
      </w:r>
      <w:r w:rsidRPr="00E1050C">
        <w:rPr>
          <w:rFonts w:cs="Arial"/>
          <w:szCs w:val="20"/>
          <w:shd w:val="clear" w:color="auto" w:fill="FFFFFF"/>
        </w:rPr>
        <w:t xml:space="preserve">Available at: </w:t>
      </w:r>
      <w:hyperlink r:id="rId25" w:history="1">
        <w:r w:rsidRPr="00E1050C">
          <w:rPr>
            <w:rStyle w:val="Hyperlink"/>
            <w:rFonts w:cs="Arial"/>
            <w:szCs w:val="20"/>
            <w:shd w:val="clear" w:color="auto" w:fill="FFFFFF"/>
          </w:rPr>
          <w:t>www.</w:t>
        </w:r>
        <w:r w:rsidR="00F86444">
          <w:rPr>
            <w:rStyle w:val="Hyperlink"/>
            <w:rFonts w:cs="Arial"/>
            <w:szCs w:val="20"/>
            <w:shd w:val="clear" w:color="auto" w:fill="FFFFFF"/>
          </w:rPr>
          <w:t>actacorn</w:t>
        </w:r>
        <w:r w:rsidRPr="00E1050C">
          <w:rPr>
            <w:rStyle w:val="Hyperlink"/>
            <w:rFonts w:cs="Arial"/>
            <w:szCs w:val="20"/>
            <w:shd w:val="clear" w:color="auto" w:fill="FFFFFF"/>
          </w:rPr>
          <w:t>.eu</w:t>
        </w:r>
      </w:hyperlink>
    </w:p>
    <w:p w14:paraId="082429DC" w14:textId="78976598" w:rsidR="00B45FE6" w:rsidRPr="00E1050C" w:rsidRDefault="00B45FE6" w:rsidP="008F550A">
      <w:pPr>
        <w:spacing w:after="240" w:line="240" w:lineRule="auto"/>
        <w:jc w:val="left"/>
        <w:rPr>
          <w:rFonts w:cs="Arial"/>
          <w:szCs w:val="20"/>
          <w:shd w:val="clear" w:color="auto" w:fill="FFFFFF"/>
        </w:rPr>
      </w:pPr>
      <w:r w:rsidRPr="00E1050C">
        <w:rPr>
          <w:rFonts w:cs="Arial"/>
          <w:szCs w:val="20"/>
          <w:shd w:val="clear" w:color="auto" w:fill="FFFFFF"/>
        </w:rPr>
        <w:t xml:space="preserve">Ahiaga-Dagbui, D.D., Love, P.E., Whyte, A. and Boateng, P., 2017. Costing and technological challenges of offshore oil and gas decommissioning in the UK North Sea. Journal of Construction Engineering and Management, 143, 05017008. </w:t>
      </w:r>
    </w:p>
    <w:p w14:paraId="6B3936C6" w14:textId="0780FAC8" w:rsidR="007E2CF6" w:rsidRPr="00E1050C" w:rsidRDefault="007E2CF6" w:rsidP="008F550A">
      <w:pPr>
        <w:spacing w:after="240" w:line="240" w:lineRule="auto"/>
        <w:jc w:val="left"/>
        <w:rPr>
          <w:rFonts w:cs="Arial"/>
          <w:szCs w:val="20"/>
          <w:shd w:val="clear" w:color="auto" w:fill="FFFFFF"/>
        </w:rPr>
      </w:pPr>
      <w:r w:rsidRPr="00E1050C">
        <w:rPr>
          <w:rFonts w:cs="Arial"/>
          <w:szCs w:val="20"/>
          <w:shd w:val="clear" w:color="auto" w:fill="FFFFFF"/>
        </w:rPr>
        <w:t xml:space="preserve">Akhurst, M., </w:t>
      </w:r>
      <w:proofErr w:type="spellStart"/>
      <w:r w:rsidRPr="00E1050C">
        <w:rPr>
          <w:rFonts w:cs="Arial"/>
          <w:szCs w:val="20"/>
          <w:shd w:val="clear" w:color="auto" w:fill="FFFFFF"/>
        </w:rPr>
        <w:t>Hannis</w:t>
      </w:r>
      <w:proofErr w:type="spellEnd"/>
      <w:r w:rsidRPr="00E1050C">
        <w:rPr>
          <w:rFonts w:cs="Arial"/>
          <w:szCs w:val="20"/>
          <w:shd w:val="clear" w:color="auto" w:fill="FFFFFF"/>
        </w:rPr>
        <w:t xml:space="preserve">, S.D., Quinn, M.F., Shi, J.Q., </w:t>
      </w:r>
      <w:proofErr w:type="spellStart"/>
      <w:r w:rsidRPr="00E1050C">
        <w:rPr>
          <w:rFonts w:cs="Arial"/>
          <w:szCs w:val="20"/>
          <w:shd w:val="clear" w:color="auto" w:fill="FFFFFF"/>
        </w:rPr>
        <w:t>Koenen</w:t>
      </w:r>
      <w:proofErr w:type="spellEnd"/>
      <w:r w:rsidRPr="00E1050C">
        <w:rPr>
          <w:rFonts w:cs="Arial"/>
          <w:szCs w:val="20"/>
          <w:shd w:val="clear" w:color="auto" w:fill="FFFFFF"/>
        </w:rPr>
        <w:t xml:space="preserve">, M., </w:t>
      </w:r>
      <w:proofErr w:type="spellStart"/>
      <w:r w:rsidRPr="00E1050C">
        <w:rPr>
          <w:rFonts w:cs="Arial"/>
          <w:szCs w:val="20"/>
          <w:shd w:val="clear" w:color="auto" w:fill="FFFFFF"/>
        </w:rPr>
        <w:t>Delprat-Jannaud</w:t>
      </w:r>
      <w:proofErr w:type="spellEnd"/>
      <w:r w:rsidRPr="00E1050C">
        <w:rPr>
          <w:rFonts w:cs="Arial"/>
          <w:szCs w:val="20"/>
          <w:shd w:val="clear" w:color="auto" w:fill="FFFFFF"/>
        </w:rPr>
        <w:t xml:space="preserve">, F., </w:t>
      </w:r>
      <w:proofErr w:type="spellStart"/>
      <w:r w:rsidRPr="00E1050C">
        <w:rPr>
          <w:rFonts w:cs="Arial"/>
          <w:szCs w:val="20"/>
          <w:shd w:val="clear" w:color="auto" w:fill="FFFFFF"/>
        </w:rPr>
        <w:t>Lecomte</w:t>
      </w:r>
      <w:proofErr w:type="spellEnd"/>
      <w:r w:rsidRPr="00E1050C">
        <w:rPr>
          <w:rFonts w:cs="Arial"/>
          <w:szCs w:val="20"/>
          <w:shd w:val="clear" w:color="auto" w:fill="FFFFFF"/>
        </w:rPr>
        <w:t xml:space="preserve">, J.C., </w:t>
      </w:r>
      <w:proofErr w:type="spellStart"/>
      <w:r w:rsidRPr="00E1050C">
        <w:rPr>
          <w:rFonts w:cs="Arial"/>
          <w:szCs w:val="20"/>
          <w:shd w:val="clear" w:color="auto" w:fill="FFFFFF"/>
        </w:rPr>
        <w:t>Bossie-Codreanu</w:t>
      </w:r>
      <w:proofErr w:type="spellEnd"/>
      <w:r w:rsidRPr="00E1050C">
        <w:rPr>
          <w:rFonts w:cs="Arial"/>
          <w:szCs w:val="20"/>
          <w:shd w:val="clear" w:color="auto" w:fill="FFFFFF"/>
        </w:rPr>
        <w:t xml:space="preserve">, D., Nagy, S., </w:t>
      </w:r>
      <w:proofErr w:type="spellStart"/>
      <w:r w:rsidRPr="00E1050C">
        <w:rPr>
          <w:rFonts w:cs="Arial"/>
          <w:szCs w:val="20"/>
          <w:shd w:val="clear" w:color="auto" w:fill="FFFFFF"/>
        </w:rPr>
        <w:t>Klimkowski</w:t>
      </w:r>
      <w:proofErr w:type="spellEnd"/>
      <w:r w:rsidRPr="00E1050C">
        <w:rPr>
          <w:rFonts w:cs="Arial"/>
          <w:szCs w:val="20"/>
          <w:shd w:val="clear" w:color="auto" w:fill="FFFFFF"/>
        </w:rPr>
        <w:t xml:space="preserve">, Ł. and </w:t>
      </w:r>
      <w:proofErr w:type="spellStart"/>
      <w:r w:rsidRPr="00E1050C">
        <w:rPr>
          <w:rFonts w:cs="Arial"/>
          <w:szCs w:val="20"/>
          <w:shd w:val="clear" w:color="auto" w:fill="FFFFFF"/>
        </w:rPr>
        <w:t>Gei</w:t>
      </w:r>
      <w:proofErr w:type="spellEnd"/>
      <w:r w:rsidRPr="00E1050C">
        <w:rPr>
          <w:rFonts w:cs="Arial"/>
          <w:szCs w:val="20"/>
          <w:shd w:val="clear" w:color="auto" w:fill="FFFFFF"/>
        </w:rPr>
        <w:t xml:space="preserve">, D., 2015. Risk assessment-led characterisation of the SiteChar UK North Sea site for the geological storage of CO2. Oil &amp; Gas Science and Technology–Revue </w:t>
      </w:r>
      <w:proofErr w:type="spellStart"/>
      <w:r w:rsidRPr="00E1050C">
        <w:rPr>
          <w:rFonts w:cs="Arial"/>
          <w:szCs w:val="20"/>
          <w:shd w:val="clear" w:color="auto" w:fill="FFFFFF"/>
        </w:rPr>
        <w:t>d’IFP</w:t>
      </w:r>
      <w:proofErr w:type="spellEnd"/>
      <w:r w:rsidRPr="00E1050C">
        <w:rPr>
          <w:rFonts w:cs="Arial"/>
          <w:szCs w:val="20"/>
          <w:shd w:val="clear" w:color="auto" w:fill="FFFFFF"/>
        </w:rPr>
        <w:t xml:space="preserve"> Energies </w:t>
      </w:r>
      <w:proofErr w:type="spellStart"/>
      <w:r w:rsidRPr="00E1050C">
        <w:rPr>
          <w:rFonts w:cs="Arial"/>
          <w:szCs w:val="20"/>
          <w:shd w:val="clear" w:color="auto" w:fill="FFFFFF"/>
        </w:rPr>
        <w:t>nouvelles</w:t>
      </w:r>
      <w:proofErr w:type="spellEnd"/>
      <w:r w:rsidRPr="00E1050C">
        <w:rPr>
          <w:rFonts w:cs="Arial"/>
          <w:szCs w:val="20"/>
          <w:shd w:val="clear" w:color="auto" w:fill="FFFFFF"/>
        </w:rPr>
        <w:t>, 70pp.567-586.</w:t>
      </w:r>
    </w:p>
    <w:p w14:paraId="0CF7286B" w14:textId="719D53C5" w:rsidR="00262BDF" w:rsidRPr="00E1050C" w:rsidRDefault="00262BDF" w:rsidP="008F550A">
      <w:pPr>
        <w:spacing w:after="240" w:line="240" w:lineRule="auto"/>
        <w:jc w:val="left"/>
        <w:rPr>
          <w:rFonts w:cs="Arial"/>
          <w:szCs w:val="20"/>
          <w:shd w:val="clear" w:color="auto" w:fill="FFFFFF"/>
        </w:rPr>
      </w:pPr>
      <w:r w:rsidRPr="00E1050C">
        <w:rPr>
          <w:rFonts w:cs="Arial"/>
          <w:szCs w:val="20"/>
          <w:shd w:val="clear" w:color="auto" w:fill="FFFFFF"/>
        </w:rPr>
        <w:t xml:space="preserve">Alcalde, J., </w:t>
      </w:r>
      <w:proofErr w:type="spellStart"/>
      <w:r w:rsidRPr="00E1050C">
        <w:rPr>
          <w:rFonts w:cs="Arial"/>
          <w:szCs w:val="20"/>
          <w:shd w:val="clear" w:color="auto" w:fill="FFFFFF"/>
        </w:rPr>
        <w:t>Flude</w:t>
      </w:r>
      <w:proofErr w:type="spellEnd"/>
      <w:r w:rsidRPr="00E1050C">
        <w:rPr>
          <w:rFonts w:cs="Arial"/>
          <w:szCs w:val="20"/>
          <w:shd w:val="clear" w:color="auto" w:fill="FFFFFF"/>
        </w:rPr>
        <w:t xml:space="preserve">, S., Wilkinson, M., Johnson, G., </w:t>
      </w:r>
      <w:proofErr w:type="spellStart"/>
      <w:r w:rsidRPr="00E1050C">
        <w:rPr>
          <w:rFonts w:cs="Arial"/>
          <w:szCs w:val="20"/>
          <w:shd w:val="clear" w:color="auto" w:fill="FFFFFF"/>
        </w:rPr>
        <w:t>Edlmann</w:t>
      </w:r>
      <w:proofErr w:type="spellEnd"/>
      <w:r w:rsidRPr="00E1050C">
        <w:rPr>
          <w:rFonts w:cs="Arial"/>
          <w:szCs w:val="20"/>
          <w:shd w:val="clear" w:color="auto" w:fill="FFFFFF"/>
        </w:rPr>
        <w:t xml:space="preserve">, K., Bond, C.E., Scott, V., Gilfillan, S.M., </w:t>
      </w:r>
      <w:proofErr w:type="spellStart"/>
      <w:r w:rsidRPr="00E1050C">
        <w:rPr>
          <w:rFonts w:cs="Arial"/>
          <w:szCs w:val="20"/>
          <w:shd w:val="clear" w:color="auto" w:fill="FFFFFF"/>
        </w:rPr>
        <w:t>Ogaya</w:t>
      </w:r>
      <w:proofErr w:type="spellEnd"/>
      <w:r w:rsidRPr="00E1050C">
        <w:rPr>
          <w:rFonts w:cs="Arial"/>
          <w:szCs w:val="20"/>
          <w:shd w:val="clear" w:color="auto" w:fill="FFFFFF"/>
        </w:rPr>
        <w:t>, X. and Haszeldine, R.S., 2018</w:t>
      </w:r>
      <w:r w:rsidR="006D7DBD" w:rsidRPr="00E1050C">
        <w:rPr>
          <w:rFonts w:cs="Arial"/>
          <w:szCs w:val="20"/>
          <w:shd w:val="clear" w:color="auto" w:fill="FFFFFF"/>
        </w:rPr>
        <w:t>a</w:t>
      </w:r>
      <w:r w:rsidRPr="00E1050C">
        <w:rPr>
          <w:rFonts w:cs="Arial"/>
          <w:szCs w:val="20"/>
          <w:shd w:val="clear" w:color="auto" w:fill="FFFFFF"/>
        </w:rPr>
        <w:t>. Estimating geological C</w:t>
      </w:r>
      <w:r w:rsidR="00A843F0" w:rsidRPr="00E1050C">
        <w:rPr>
          <w:rFonts w:cs="Arial"/>
          <w:szCs w:val="20"/>
          <w:shd w:val="clear" w:color="auto" w:fill="FFFFFF"/>
        </w:rPr>
        <w:t>O</w:t>
      </w:r>
      <w:r w:rsidR="00A843F0" w:rsidRPr="00E1050C">
        <w:rPr>
          <w:rFonts w:cs="Arial"/>
          <w:szCs w:val="20"/>
          <w:shd w:val="clear" w:color="auto" w:fill="FFFFFF"/>
          <w:vertAlign w:val="subscript"/>
        </w:rPr>
        <w:t>2</w:t>
      </w:r>
      <w:r w:rsidRPr="00E1050C">
        <w:rPr>
          <w:rFonts w:cs="Arial"/>
          <w:szCs w:val="20"/>
          <w:shd w:val="clear" w:color="auto" w:fill="FFFFFF"/>
        </w:rPr>
        <w:t xml:space="preserve"> storage security to deliver on climate mitigation. Nature Communications, 9, 2201.</w:t>
      </w:r>
    </w:p>
    <w:p w14:paraId="375398A4" w14:textId="3BA3B0D1" w:rsidR="004F6363" w:rsidRPr="00E1050C" w:rsidRDefault="004F6363" w:rsidP="008F550A">
      <w:pPr>
        <w:spacing w:after="240" w:line="240" w:lineRule="auto"/>
        <w:jc w:val="left"/>
        <w:rPr>
          <w:rFonts w:cs="Arial"/>
        </w:rPr>
      </w:pPr>
      <w:r w:rsidRPr="00E1050C">
        <w:rPr>
          <w:rFonts w:cs="Arial"/>
        </w:rPr>
        <w:t>Alcalde, J., Smith, P., Haszeldine, R.S. and Bond, C.E., 2018</w:t>
      </w:r>
      <w:r w:rsidR="00407FD8" w:rsidRPr="00E1050C">
        <w:rPr>
          <w:rFonts w:cs="Arial"/>
        </w:rPr>
        <w:t>b</w:t>
      </w:r>
      <w:r w:rsidRPr="00E1050C">
        <w:rPr>
          <w:rFonts w:cs="Arial"/>
        </w:rPr>
        <w:t>. The potential for implementation of Negative Emission Technologies in Scotland. International journal of greenhouse gas control, 76, 85-91.</w:t>
      </w:r>
    </w:p>
    <w:p w14:paraId="1D13ACEA" w14:textId="02BCDA85" w:rsidR="00190375" w:rsidRPr="00E1050C" w:rsidRDefault="00190375" w:rsidP="008F550A">
      <w:pPr>
        <w:spacing w:after="240" w:line="240" w:lineRule="auto"/>
        <w:jc w:val="left"/>
        <w:rPr>
          <w:rFonts w:cs="Arial"/>
        </w:rPr>
      </w:pPr>
      <w:r w:rsidRPr="00E1050C">
        <w:rPr>
          <w:rFonts w:cs="Arial"/>
        </w:rPr>
        <w:t>Alvarado, V. and Manrique, E., 2010. Enhanced oil recovery: an update review. Energies, 3, 1529-1575.</w:t>
      </w:r>
    </w:p>
    <w:p w14:paraId="426F962A" w14:textId="77777777" w:rsidR="0080401B" w:rsidRPr="00E1050C" w:rsidRDefault="0080401B" w:rsidP="008F550A">
      <w:pPr>
        <w:spacing w:after="240" w:line="240" w:lineRule="auto"/>
        <w:jc w:val="left"/>
        <w:rPr>
          <w:rFonts w:cstheme="minorHAnsi"/>
        </w:rPr>
      </w:pPr>
      <w:r w:rsidRPr="00E1050C">
        <w:rPr>
          <w:rFonts w:cstheme="minorHAnsi"/>
        </w:rPr>
        <w:t>Baer, H.A., 2016. The nexus of the coal industry and the state in Australia: Historical dimensions and contemporary challenges. Energy Policy 99, 194-202.</w:t>
      </w:r>
    </w:p>
    <w:p w14:paraId="4DE0AC3D" w14:textId="7B0F8278" w:rsidR="00F75862" w:rsidRPr="00E1050C" w:rsidRDefault="00F75862" w:rsidP="008F550A">
      <w:pPr>
        <w:spacing w:after="240" w:line="240" w:lineRule="auto"/>
        <w:jc w:val="left"/>
        <w:rPr>
          <w:rFonts w:cstheme="minorHAnsi"/>
        </w:rPr>
      </w:pPr>
      <w:r w:rsidRPr="00E1050C">
        <w:rPr>
          <w:rFonts w:cstheme="minorHAnsi"/>
        </w:rPr>
        <w:t xml:space="preserve">Bai, M., Sun, J., Song, K., Li, L. and </w:t>
      </w:r>
      <w:proofErr w:type="spellStart"/>
      <w:r w:rsidRPr="00E1050C">
        <w:rPr>
          <w:rFonts w:cstheme="minorHAnsi"/>
        </w:rPr>
        <w:t>Qiao</w:t>
      </w:r>
      <w:proofErr w:type="spellEnd"/>
      <w:r w:rsidRPr="00E1050C">
        <w:rPr>
          <w:rFonts w:cstheme="minorHAnsi"/>
        </w:rPr>
        <w:t>, Z., 2015. Well completion and integrity evaluation for CO2 injection wells. Renewable and Sustainable Energy Reviews, 45, 556-564.</w:t>
      </w:r>
    </w:p>
    <w:p w14:paraId="3F3C77FA" w14:textId="7BC13B06" w:rsidR="001F6997" w:rsidRPr="00E1050C" w:rsidRDefault="001F6997" w:rsidP="008F550A">
      <w:pPr>
        <w:spacing w:after="240" w:line="240" w:lineRule="auto"/>
        <w:jc w:val="left"/>
        <w:rPr>
          <w:rFonts w:cstheme="minorHAnsi"/>
        </w:rPr>
      </w:pPr>
      <w:r w:rsidRPr="00E1050C">
        <w:rPr>
          <w:rFonts w:cstheme="minorHAnsi"/>
        </w:rPr>
        <w:t xml:space="preserve">Bentham, M., Mallows, T., Lowndes, J. and Green, A., 2014. CO2 </w:t>
      </w:r>
      <w:proofErr w:type="spellStart"/>
      <w:r w:rsidRPr="00E1050C">
        <w:rPr>
          <w:rFonts w:cstheme="minorHAnsi"/>
        </w:rPr>
        <w:t>STORage</w:t>
      </w:r>
      <w:proofErr w:type="spellEnd"/>
      <w:r w:rsidRPr="00E1050C">
        <w:rPr>
          <w:rFonts w:cstheme="minorHAnsi"/>
        </w:rPr>
        <w:t xml:space="preserve"> Evaluation Database (CO2 Stored): the UK's online storage atlas. Energy Procedia, 63, 5103-5113.</w:t>
      </w:r>
    </w:p>
    <w:p w14:paraId="0DD3872B" w14:textId="1E3090F4" w:rsidR="00B46A1E" w:rsidRPr="00E1050C" w:rsidRDefault="00B46A1E" w:rsidP="008F550A">
      <w:pPr>
        <w:spacing w:after="240" w:line="240" w:lineRule="auto"/>
        <w:jc w:val="left"/>
        <w:rPr>
          <w:rFonts w:cstheme="minorHAnsi"/>
        </w:rPr>
      </w:pPr>
      <w:r w:rsidRPr="00E1050C">
        <w:rPr>
          <w:rFonts w:cstheme="minorHAnsi"/>
        </w:rPr>
        <w:t>Benton, D., 2015. Circular Economy Scotland. Green Alliance.</w:t>
      </w:r>
    </w:p>
    <w:p w14:paraId="48359444" w14:textId="5AC90F91" w:rsidR="00091C77" w:rsidRPr="00E1050C" w:rsidRDefault="00091C77" w:rsidP="008F550A">
      <w:pPr>
        <w:spacing w:after="240" w:line="240" w:lineRule="auto"/>
        <w:jc w:val="left"/>
        <w:rPr>
          <w:rFonts w:cstheme="minorHAnsi"/>
        </w:rPr>
      </w:pPr>
      <w:r w:rsidRPr="00E1050C">
        <w:rPr>
          <w:rFonts w:cstheme="minorHAnsi"/>
        </w:rPr>
        <w:t>BEIS</w:t>
      </w:r>
      <w:r w:rsidR="00F23026" w:rsidRPr="00E1050C">
        <w:rPr>
          <w:rFonts w:cstheme="minorHAnsi"/>
        </w:rPr>
        <w:t>,</w:t>
      </w:r>
      <w:r w:rsidRPr="00E1050C">
        <w:rPr>
          <w:rFonts w:cstheme="minorHAnsi"/>
        </w:rPr>
        <w:t xml:space="preserve"> 2018. The UK carbon capture, usage and storage (CCUS) deployment pathway: an action plan. Department of Business, Energy and Industrial Strategy (28</w:t>
      </w:r>
      <w:r w:rsidRPr="00E1050C">
        <w:rPr>
          <w:rFonts w:cstheme="minorHAnsi"/>
          <w:vertAlign w:val="superscript"/>
        </w:rPr>
        <w:t>th</w:t>
      </w:r>
      <w:r w:rsidRPr="00E1050C">
        <w:rPr>
          <w:rFonts w:cstheme="minorHAnsi"/>
        </w:rPr>
        <w:t xml:space="preserve"> November 2018).</w:t>
      </w:r>
    </w:p>
    <w:p w14:paraId="6E672329" w14:textId="700CCD25" w:rsidR="002A79CD" w:rsidRPr="00E1050C" w:rsidRDefault="002A79CD" w:rsidP="002A79CD">
      <w:pPr>
        <w:spacing w:after="240" w:line="240" w:lineRule="auto"/>
        <w:jc w:val="left"/>
        <w:rPr>
          <w:rFonts w:cstheme="minorHAnsi"/>
        </w:rPr>
      </w:pPr>
      <w:r w:rsidRPr="00E1050C">
        <w:rPr>
          <w:rFonts w:cstheme="minorHAnsi"/>
        </w:rPr>
        <w:t xml:space="preserve">Brandon NP, </w:t>
      </w:r>
      <w:proofErr w:type="spellStart"/>
      <w:r w:rsidRPr="00E1050C">
        <w:rPr>
          <w:rFonts w:cstheme="minorHAnsi"/>
        </w:rPr>
        <w:t>Kurban</w:t>
      </w:r>
      <w:proofErr w:type="spellEnd"/>
      <w:r w:rsidRPr="00E1050C">
        <w:rPr>
          <w:rFonts w:cstheme="minorHAnsi"/>
        </w:rPr>
        <w:t xml:space="preserve"> Z. 2017. Clean energy and the hydrogen economy. Phil. Trans. R. Soc. A 375: 20160400. </w:t>
      </w:r>
      <w:hyperlink r:id="rId26" w:history="1">
        <w:r w:rsidRPr="00E1050C">
          <w:rPr>
            <w:rStyle w:val="Hyperlink"/>
            <w:rFonts w:cstheme="minorHAnsi"/>
          </w:rPr>
          <w:t>http://dx.doi.org/10.1098/rsta.2016.0400</w:t>
        </w:r>
      </w:hyperlink>
    </w:p>
    <w:p w14:paraId="06F52BD4" w14:textId="3F025B01" w:rsidR="00686878" w:rsidRPr="00E1050C" w:rsidRDefault="00686878" w:rsidP="008F550A">
      <w:pPr>
        <w:spacing w:after="240" w:line="240" w:lineRule="auto"/>
        <w:jc w:val="left"/>
        <w:rPr>
          <w:rFonts w:cstheme="minorHAnsi"/>
        </w:rPr>
      </w:pPr>
      <w:r w:rsidRPr="00E1050C">
        <w:rPr>
          <w:rFonts w:cstheme="minorHAnsi"/>
        </w:rPr>
        <w:t>Brownsort, P.A., Scott, V. and Haszeldine, R.S., 2016. Reducing costs of carbon capture and storage by shared reuse of existing pipeline—Case study of a CO2 capture cluster for industry and power in Scotland. International Journal of Greenhouse Gas Control, 52, 130-138.</w:t>
      </w:r>
    </w:p>
    <w:p w14:paraId="3F8BB326" w14:textId="7A846789" w:rsidR="00ED407A" w:rsidRDefault="00ED407A" w:rsidP="008F550A">
      <w:pPr>
        <w:spacing w:after="240" w:line="240" w:lineRule="auto"/>
        <w:jc w:val="left"/>
        <w:rPr>
          <w:rFonts w:cstheme="minorHAnsi"/>
        </w:rPr>
      </w:pPr>
      <w:r w:rsidRPr="00E1050C">
        <w:rPr>
          <w:rFonts w:cstheme="minorHAnsi"/>
        </w:rPr>
        <w:t xml:space="preserve">Bui, M., </w:t>
      </w:r>
      <w:proofErr w:type="spellStart"/>
      <w:r w:rsidRPr="00E1050C">
        <w:rPr>
          <w:rFonts w:cstheme="minorHAnsi"/>
        </w:rPr>
        <w:t>Adjiman</w:t>
      </w:r>
      <w:proofErr w:type="spellEnd"/>
      <w:r w:rsidRPr="00E1050C">
        <w:rPr>
          <w:rFonts w:cstheme="minorHAnsi"/>
        </w:rPr>
        <w:t xml:space="preserve">, C.S., </w:t>
      </w:r>
      <w:proofErr w:type="spellStart"/>
      <w:r w:rsidRPr="00E1050C">
        <w:rPr>
          <w:rFonts w:cstheme="minorHAnsi"/>
        </w:rPr>
        <w:t>Bardow</w:t>
      </w:r>
      <w:proofErr w:type="spellEnd"/>
      <w:r w:rsidRPr="00E1050C">
        <w:rPr>
          <w:rFonts w:cstheme="minorHAnsi"/>
        </w:rPr>
        <w:t>, A., Anthony, E.J., Boston, A., Brown, S., Fennell, P.S., Fuss, S., Galindo, A., Hackett, L.A. and Hallett, J.P., 2018. Carbon capture and storage (CCS): the way forward. Energy &amp; Environmental Science, 11, 1062-1176.</w:t>
      </w:r>
    </w:p>
    <w:p w14:paraId="4484F84B" w14:textId="63C38AF8" w:rsidR="004C57D9" w:rsidRPr="00E1050C" w:rsidRDefault="004C57D9" w:rsidP="008F550A">
      <w:pPr>
        <w:spacing w:after="240" w:line="240" w:lineRule="auto"/>
        <w:jc w:val="left"/>
        <w:rPr>
          <w:rFonts w:cstheme="minorHAnsi"/>
        </w:rPr>
      </w:pPr>
      <w:r>
        <w:rPr>
          <w:rFonts w:cstheme="minorHAnsi"/>
        </w:rPr>
        <w:t xml:space="preserve">Camara, G., Andrade, C., Silva Junior, A., and Rocha, P. 2013. </w:t>
      </w:r>
      <w:r w:rsidRPr="004C57D9">
        <w:rPr>
          <w:rFonts w:cstheme="minorHAnsi"/>
        </w:rPr>
        <w:t>Storage of carbon dioxide in geological reservoirs: is it a cleaner technology?</w:t>
      </w:r>
      <w:r>
        <w:rPr>
          <w:rFonts w:cstheme="minorHAnsi"/>
        </w:rPr>
        <w:t xml:space="preserve"> Journal of Cleaner Production </w:t>
      </w:r>
      <w:r w:rsidR="00996733">
        <w:rPr>
          <w:rFonts w:cstheme="minorHAnsi"/>
        </w:rPr>
        <w:t>47: 52-60.</w:t>
      </w:r>
    </w:p>
    <w:p w14:paraId="069F2821" w14:textId="60F9E850" w:rsidR="007C41AB" w:rsidRDefault="00172A55" w:rsidP="008F550A">
      <w:pPr>
        <w:spacing w:after="240" w:line="240" w:lineRule="auto"/>
        <w:jc w:val="left"/>
      </w:pPr>
      <w:r w:rsidRPr="00E1050C">
        <w:t xml:space="preserve">CCC 2018. Delivering Clean Growth: CCUS Cost Challenge Taskforce Report. July 2018. Available at: </w:t>
      </w:r>
      <w:hyperlink r:id="rId27" w:history="1">
        <w:r w:rsidR="007C41AB" w:rsidRPr="00E1050C">
          <w:rPr>
            <w:rStyle w:val="Hyperlink"/>
          </w:rPr>
          <w:t>https://www.gov.uk/government/uploads/system/uploads/attachment_data/file/727040/CCUS_Cost_Challenge_Taskforce_Report.pdf</w:t>
        </w:r>
      </w:hyperlink>
      <w:r w:rsidR="007C41AB" w:rsidRPr="00E1050C">
        <w:t>. Last accessed: 19/11/18.</w:t>
      </w:r>
    </w:p>
    <w:p w14:paraId="70167D69" w14:textId="76BEA78E" w:rsidR="00B502CF" w:rsidRPr="00E1050C" w:rsidRDefault="00B502CF" w:rsidP="008F550A">
      <w:pPr>
        <w:spacing w:after="240" w:line="240" w:lineRule="auto"/>
        <w:jc w:val="left"/>
      </w:pPr>
      <w:r>
        <w:t xml:space="preserve">Chaudhry, R., </w:t>
      </w:r>
      <w:proofErr w:type="spellStart"/>
      <w:r w:rsidR="003F7C01">
        <w:t>Fischlein</w:t>
      </w:r>
      <w:proofErr w:type="spellEnd"/>
      <w:r w:rsidR="003F7C01">
        <w:t xml:space="preserve">, M., Larson, J., Hall, D., Peterson, T.R., Wilson, E., and Stephens, J., 2013. </w:t>
      </w:r>
      <w:r w:rsidR="003F7C01" w:rsidRPr="003F7C01">
        <w:t>Policy Stakeholders' Perceptions of Carbon Capture and Storage: A Comparison of Four U.S. States</w:t>
      </w:r>
      <w:r w:rsidR="003F7C01">
        <w:t>. Journal of Cleaner Production 52: 21-32.</w:t>
      </w:r>
    </w:p>
    <w:p w14:paraId="237E9905" w14:textId="068E2ADD" w:rsidR="00FD7DFC" w:rsidRPr="00E1050C" w:rsidRDefault="00FD7DFC" w:rsidP="008F550A">
      <w:pPr>
        <w:spacing w:after="240" w:line="240" w:lineRule="auto"/>
        <w:jc w:val="left"/>
        <w:rPr>
          <w:rFonts w:cstheme="minorHAnsi"/>
        </w:rPr>
      </w:pPr>
      <w:r w:rsidRPr="00E1050C">
        <w:rPr>
          <w:rFonts w:cstheme="minorHAnsi"/>
        </w:rPr>
        <w:t>Coramik, M. and Ege, Y., 2017. Discontinuity inspection in pipelines: A comparison review. Measurement, 111, 359-373.</w:t>
      </w:r>
    </w:p>
    <w:p w14:paraId="22D331BD" w14:textId="3A7E3A1B" w:rsidR="00190375" w:rsidRPr="00E1050C" w:rsidRDefault="00190375" w:rsidP="008F550A">
      <w:pPr>
        <w:spacing w:after="240" w:line="240" w:lineRule="auto"/>
        <w:jc w:val="left"/>
        <w:rPr>
          <w:rFonts w:cstheme="minorHAnsi"/>
        </w:rPr>
      </w:pPr>
      <w:r w:rsidRPr="00E1050C">
        <w:rPr>
          <w:rFonts w:cstheme="minorHAnsi"/>
        </w:rPr>
        <w:t xml:space="preserve">Damiani, D., </w:t>
      </w:r>
      <w:proofErr w:type="spellStart"/>
      <w:r w:rsidRPr="00E1050C">
        <w:rPr>
          <w:rFonts w:cstheme="minorHAnsi"/>
        </w:rPr>
        <w:t>Litynski</w:t>
      </w:r>
      <w:proofErr w:type="spellEnd"/>
      <w:r w:rsidRPr="00E1050C">
        <w:rPr>
          <w:rFonts w:cstheme="minorHAnsi"/>
        </w:rPr>
        <w:t xml:space="preserve">, J.T., </w:t>
      </w:r>
      <w:proofErr w:type="spellStart"/>
      <w:r w:rsidRPr="00E1050C">
        <w:rPr>
          <w:rFonts w:cstheme="minorHAnsi"/>
        </w:rPr>
        <w:t>McIlvried</w:t>
      </w:r>
      <w:proofErr w:type="spellEnd"/>
      <w:r w:rsidRPr="00E1050C">
        <w:rPr>
          <w:rFonts w:cstheme="minorHAnsi"/>
        </w:rPr>
        <w:t xml:space="preserve">, H.G., </w:t>
      </w:r>
      <w:proofErr w:type="spellStart"/>
      <w:r w:rsidRPr="00E1050C">
        <w:rPr>
          <w:rFonts w:cstheme="minorHAnsi"/>
        </w:rPr>
        <w:t>Vikara</w:t>
      </w:r>
      <w:proofErr w:type="spellEnd"/>
      <w:r w:rsidRPr="00E1050C">
        <w:rPr>
          <w:rFonts w:cstheme="minorHAnsi"/>
        </w:rPr>
        <w:t>, D.M. and Srivastava, R.D., 2012. The US department of Energy's R&amp;D program to reduce greenhouse gas emissions through beneficial uses of carbon dioxide. Greenhouse Gases: Science and Technology, 2, 9-16.</w:t>
      </w:r>
    </w:p>
    <w:p w14:paraId="595A5215" w14:textId="4DDCC41E" w:rsidR="00EF1F3B" w:rsidRPr="00E1050C" w:rsidRDefault="00EF1F3B" w:rsidP="00EF1F3B">
      <w:pPr>
        <w:spacing w:after="240" w:line="240" w:lineRule="auto"/>
        <w:jc w:val="left"/>
        <w:rPr>
          <w:rFonts w:cstheme="minorHAnsi"/>
        </w:rPr>
      </w:pPr>
      <w:r w:rsidRPr="00E1050C">
        <w:rPr>
          <w:rFonts w:cstheme="minorHAnsi"/>
        </w:rPr>
        <w:t>DECC, 2012. Potential cost reductions in CCS in the power sector. Department for Business, Energy and Industrial Strategy. 94 pages</w:t>
      </w:r>
    </w:p>
    <w:p w14:paraId="523A811D" w14:textId="77777777" w:rsidR="00332B10" w:rsidRPr="00E1050C" w:rsidRDefault="00332B10" w:rsidP="00332B10">
      <w:pPr>
        <w:spacing w:after="240" w:line="240" w:lineRule="auto"/>
        <w:jc w:val="left"/>
        <w:rPr>
          <w:rFonts w:cstheme="minorHAnsi"/>
        </w:rPr>
      </w:pPr>
      <w:r w:rsidRPr="00E1050C">
        <w:rPr>
          <w:rFonts w:cstheme="minorHAnsi"/>
        </w:rPr>
        <w:t>DECC, 2018a. Oil and gas: decommissioning of offshore installations and pipelines. Department for Business, Energy &amp; Industrial Strategy. Available at:</w:t>
      </w:r>
      <w:r w:rsidRPr="00E1050C">
        <w:t xml:space="preserve"> </w:t>
      </w:r>
      <w:hyperlink r:id="rId28" w:history="1">
        <w:r w:rsidRPr="00E1050C">
          <w:rPr>
            <w:rStyle w:val="Hyperlink"/>
            <w:rFonts w:cstheme="minorHAnsi"/>
          </w:rPr>
          <w:t>https://www.gov.uk/guidance/oil-and-gas-decommissioning-of-offshore-installations-and-pipelines</w:t>
        </w:r>
      </w:hyperlink>
      <w:r w:rsidRPr="00E1050C">
        <w:rPr>
          <w:rFonts w:cstheme="minorHAnsi"/>
        </w:rPr>
        <w:t>. Last accessed: 19/11/2018.</w:t>
      </w:r>
    </w:p>
    <w:p w14:paraId="62AAAE13" w14:textId="0E74D458" w:rsidR="009B1060" w:rsidRPr="00E1050C" w:rsidRDefault="009B1060" w:rsidP="008F550A">
      <w:pPr>
        <w:spacing w:after="240" w:line="240" w:lineRule="auto"/>
        <w:jc w:val="left"/>
        <w:rPr>
          <w:rFonts w:cstheme="minorHAnsi"/>
        </w:rPr>
      </w:pPr>
      <w:r w:rsidRPr="00E1050C">
        <w:rPr>
          <w:rFonts w:cstheme="minorHAnsi"/>
        </w:rPr>
        <w:t>DECC, 2018</w:t>
      </w:r>
      <w:r w:rsidR="00332B10" w:rsidRPr="00E1050C">
        <w:rPr>
          <w:rFonts w:cstheme="minorHAnsi"/>
        </w:rPr>
        <w:t>b</w:t>
      </w:r>
      <w:r w:rsidRPr="00E1050C">
        <w:rPr>
          <w:rFonts w:cstheme="minorHAnsi"/>
        </w:rPr>
        <w:t xml:space="preserve">. Energy Consumption in the UK. Department for Business, Energy and Industrial Strategy. </w:t>
      </w:r>
      <w:r w:rsidR="00F76A1A" w:rsidRPr="00E1050C">
        <w:rPr>
          <w:rFonts w:cstheme="minorHAnsi"/>
        </w:rPr>
        <w:t>39 pages.</w:t>
      </w:r>
    </w:p>
    <w:p w14:paraId="48E4F27B" w14:textId="5396AB1C" w:rsidR="00944499" w:rsidRPr="00E1050C" w:rsidRDefault="00944499" w:rsidP="008F550A">
      <w:pPr>
        <w:spacing w:after="240" w:line="240" w:lineRule="auto"/>
        <w:jc w:val="left"/>
        <w:rPr>
          <w:rFonts w:cstheme="minorHAnsi"/>
        </w:rPr>
      </w:pPr>
      <w:r w:rsidRPr="00E1050C">
        <w:rPr>
          <w:rFonts w:cstheme="minorHAnsi"/>
        </w:rPr>
        <w:t xml:space="preserve">De Coninck, H., </w:t>
      </w:r>
      <w:proofErr w:type="spellStart"/>
      <w:r w:rsidRPr="00E1050C">
        <w:rPr>
          <w:rFonts w:cstheme="minorHAnsi"/>
        </w:rPr>
        <w:t>Flach</w:t>
      </w:r>
      <w:proofErr w:type="spellEnd"/>
      <w:r w:rsidRPr="00E1050C">
        <w:rPr>
          <w:rFonts w:cstheme="minorHAnsi"/>
        </w:rPr>
        <w:t xml:space="preserve">, T., Curnow, P., Richardson, P., Anderson, J., Shackley, S., </w:t>
      </w:r>
      <w:proofErr w:type="spellStart"/>
      <w:r w:rsidRPr="00E1050C">
        <w:rPr>
          <w:rFonts w:cstheme="minorHAnsi"/>
        </w:rPr>
        <w:t>Sigurthorsson</w:t>
      </w:r>
      <w:proofErr w:type="spellEnd"/>
      <w:r w:rsidRPr="00E1050C">
        <w:rPr>
          <w:rFonts w:cstheme="minorHAnsi"/>
        </w:rPr>
        <w:t>, G. and Reiner, D., 2009. The acceptability of CO2 capture and storage (CCS) in Europe: An assessment of the key determining factors: Part 1. Scientific, technical and economic dimensions. International Journal of Greenhouse Gas Control, 3, 333-343.</w:t>
      </w:r>
    </w:p>
    <w:p w14:paraId="6CE755D6" w14:textId="2B77C029" w:rsidR="0080401B" w:rsidRPr="00E1050C" w:rsidRDefault="0080401B" w:rsidP="008F550A">
      <w:pPr>
        <w:spacing w:after="240" w:line="240" w:lineRule="auto"/>
        <w:jc w:val="left"/>
        <w:rPr>
          <w:rFonts w:cs="Arial"/>
        </w:rPr>
      </w:pPr>
      <w:r w:rsidRPr="00E1050C">
        <w:rPr>
          <w:rFonts w:cs="Arial"/>
        </w:rPr>
        <w:t xml:space="preserve">Eiken, O., Ringrose, P., </w:t>
      </w:r>
      <w:proofErr w:type="spellStart"/>
      <w:r w:rsidRPr="00E1050C">
        <w:rPr>
          <w:rFonts w:cs="Arial"/>
        </w:rPr>
        <w:t>Hermanrud</w:t>
      </w:r>
      <w:proofErr w:type="spellEnd"/>
      <w:r w:rsidRPr="00E1050C">
        <w:rPr>
          <w:rFonts w:cs="Arial"/>
        </w:rPr>
        <w:t xml:space="preserve">, C., Nazarian, B., Torp, T.A., </w:t>
      </w:r>
      <w:proofErr w:type="spellStart"/>
      <w:r w:rsidRPr="00E1050C">
        <w:rPr>
          <w:rFonts w:cs="Arial"/>
        </w:rPr>
        <w:t>Hoeier</w:t>
      </w:r>
      <w:proofErr w:type="spellEnd"/>
      <w:r w:rsidRPr="00E1050C">
        <w:rPr>
          <w:rFonts w:cs="Arial"/>
        </w:rPr>
        <w:t xml:space="preserve">, L., 2011. Lessons learned from 14 years of CCS operations: Sleipner, In Salah and </w:t>
      </w:r>
      <w:proofErr w:type="spellStart"/>
      <w:r w:rsidRPr="00E1050C">
        <w:rPr>
          <w:rFonts w:cs="Arial"/>
        </w:rPr>
        <w:t>Sn</w:t>
      </w:r>
      <w:r w:rsidR="00D86C9A" w:rsidRPr="00E1050C">
        <w:rPr>
          <w:rFonts w:cstheme="minorHAnsi"/>
        </w:rPr>
        <w:t>ø</w:t>
      </w:r>
      <w:r w:rsidRPr="00E1050C">
        <w:rPr>
          <w:rFonts w:cs="Arial"/>
        </w:rPr>
        <w:t>hvit</w:t>
      </w:r>
      <w:proofErr w:type="spellEnd"/>
      <w:r w:rsidRPr="00E1050C">
        <w:rPr>
          <w:rFonts w:cs="Arial"/>
        </w:rPr>
        <w:t>. Energy Procedia 4, 5541-5548.</w:t>
      </w:r>
    </w:p>
    <w:p w14:paraId="01D4F1AD" w14:textId="0297BACF" w:rsidR="0080401B" w:rsidRPr="00E1050C" w:rsidRDefault="0080401B" w:rsidP="008F550A">
      <w:pPr>
        <w:spacing w:after="240" w:line="240" w:lineRule="auto"/>
        <w:jc w:val="left"/>
        <w:rPr>
          <w:rFonts w:eastAsia="Times New Roman" w:cstheme="minorHAnsi"/>
        </w:rPr>
      </w:pPr>
      <w:r w:rsidRPr="00E1050C">
        <w:rPr>
          <w:rFonts w:eastAsia="Times New Roman" w:cstheme="minorHAnsi"/>
        </w:rPr>
        <w:t>Evans, G., Phelan, L., 2016. Transition to a post-carbon society: linking environmental justice and just transition discourses. Energy Policy 99, 329-339</w:t>
      </w:r>
    </w:p>
    <w:p w14:paraId="11E6437C" w14:textId="562F2BAF" w:rsidR="00A36352" w:rsidRPr="00E1050C" w:rsidRDefault="00A36352" w:rsidP="008F550A">
      <w:pPr>
        <w:spacing w:after="240" w:line="240" w:lineRule="auto"/>
        <w:jc w:val="left"/>
        <w:rPr>
          <w:rFonts w:eastAsia="Times New Roman" w:cstheme="minorHAnsi"/>
        </w:rPr>
      </w:pPr>
      <w:r w:rsidRPr="00E1050C">
        <w:rPr>
          <w:rFonts w:eastAsia="Times New Roman" w:cstheme="minorHAnsi"/>
        </w:rPr>
        <w:t xml:space="preserve">Jansen, F., </w:t>
      </w:r>
      <w:proofErr w:type="spellStart"/>
      <w:r w:rsidRPr="00E1050C">
        <w:rPr>
          <w:rFonts w:eastAsia="Times New Roman" w:cstheme="minorHAnsi"/>
        </w:rPr>
        <w:t>Steinz</w:t>
      </w:r>
      <w:proofErr w:type="spellEnd"/>
      <w:r w:rsidRPr="00E1050C">
        <w:rPr>
          <w:rFonts w:eastAsia="Times New Roman" w:cstheme="minorHAnsi"/>
        </w:rPr>
        <w:t>, R. and van Gelder, B., 2011. Potential for CO2 storage in depleted fields on the Dutch Continental Shelf–Cost estimate for offshore facilities. Energy Procedia, 4, 3079-3086.</w:t>
      </w:r>
    </w:p>
    <w:p w14:paraId="614821EF" w14:textId="35021039" w:rsidR="0080401B" w:rsidRDefault="0080401B" w:rsidP="008F550A">
      <w:pPr>
        <w:spacing w:after="240" w:line="240" w:lineRule="auto"/>
        <w:jc w:val="left"/>
        <w:rPr>
          <w:rFonts w:cstheme="minorHAnsi"/>
        </w:rPr>
      </w:pPr>
      <w:r w:rsidRPr="00E1050C">
        <w:rPr>
          <w:rFonts w:cstheme="minorHAnsi"/>
        </w:rPr>
        <w:t>Gough, C., Boucher, P., 2013. Ethical attitudes to underground CO</w:t>
      </w:r>
      <w:r w:rsidRPr="00E1050C">
        <w:rPr>
          <w:rFonts w:cstheme="minorHAnsi"/>
          <w:vertAlign w:val="subscript"/>
        </w:rPr>
        <w:t>2</w:t>
      </w:r>
      <w:r w:rsidRPr="00E1050C">
        <w:rPr>
          <w:rFonts w:cstheme="minorHAnsi"/>
        </w:rPr>
        <w:t xml:space="preserve"> storage: Points of convergence and potential </w:t>
      </w:r>
      <w:proofErr w:type="spellStart"/>
      <w:r w:rsidRPr="00E1050C">
        <w:rPr>
          <w:rFonts w:cstheme="minorHAnsi"/>
        </w:rPr>
        <w:t>faultlines</w:t>
      </w:r>
      <w:proofErr w:type="spellEnd"/>
      <w:r w:rsidRPr="00E1050C">
        <w:rPr>
          <w:rFonts w:cstheme="minorHAnsi"/>
        </w:rPr>
        <w:t>. International Journal of Greenhouse Gas Control 13, 156-167.</w:t>
      </w:r>
    </w:p>
    <w:p w14:paraId="2B353273" w14:textId="6E66AFC1" w:rsidR="00A0210D" w:rsidRPr="00E1050C" w:rsidRDefault="00A0210D" w:rsidP="00963C39">
      <w:pPr>
        <w:spacing w:after="240" w:line="240" w:lineRule="auto"/>
        <w:rPr>
          <w:rFonts w:cstheme="minorHAnsi"/>
        </w:rPr>
      </w:pPr>
      <w:r w:rsidRPr="00A0210D">
        <w:rPr>
          <w:rFonts w:cstheme="minorHAnsi"/>
        </w:rPr>
        <w:t xml:space="preserve">Govindan, R., </w:t>
      </w:r>
      <w:proofErr w:type="spellStart"/>
      <w:r w:rsidRPr="00A0210D">
        <w:rPr>
          <w:rFonts w:cstheme="minorHAnsi"/>
        </w:rPr>
        <w:t>Nie</w:t>
      </w:r>
      <w:proofErr w:type="spellEnd"/>
      <w:r w:rsidRPr="00A0210D">
        <w:rPr>
          <w:rFonts w:cstheme="minorHAnsi"/>
        </w:rPr>
        <w:t xml:space="preserve">, Z., </w:t>
      </w:r>
      <w:proofErr w:type="spellStart"/>
      <w:r w:rsidRPr="00A0210D">
        <w:rPr>
          <w:rFonts w:cstheme="minorHAnsi"/>
        </w:rPr>
        <w:t>Korre</w:t>
      </w:r>
      <w:proofErr w:type="spellEnd"/>
      <w:r w:rsidRPr="00A0210D">
        <w:rPr>
          <w:rFonts w:cstheme="minorHAnsi"/>
        </w:rPr>
        <w:t xml:space="preserve">, A., </w:t>
      </w:r>
      <w:proofErr w:type="spellStart"/>
      <w:r w:rsidRPr="00A0210D">
        <w:rPr>
          <w:rFonts w:cstheme="minorHAnsi"/>
        </w:rPr>
        <w:t>Durucan</w:t>
      </w:r>
      <w:proofErr w:type="spellEnd"/>
      <w:r w:rsidRPr="00A0210D">
        <w:rPr>
          <w:rFonts w:cstheme="minorHAnsi"/>
        </w:rPr>
        <w:t xml:space="preserve">, S., Shi, J., </w:t>
      </w:r>
      <w:proofErr w:type="spellStart"/>
      <w:r w:rsidRPr="00A0210D">
        <w:rPr>
          <w:rFonts w:cstheme="minorHAnsi"/>
        </w:rPr>
        <w:t>Hadi</w:t>
      </w:r>
      <w:proofErr w:type="spellEnd"/>
      <w:r w:rsidRPr="00A0210D">
        <w:rPr>
          <w:rFonts w:cstheme="minorHAnsi"/>
        </w:rPr>
        <w:t xml:space="preserve"> </w:t>
      </w:r>
      <w:proofErr w:type="spellStart"/>
      <w:r w:rsidRPr="00A0210D">
        <w:rPr>
          <w:rFonts w:cstheme="minorHAnsi"/>
        </w:rPr>
        <w:t>Mosleh</w:t>
      </w:r>
      <w:proofErr w:type="spellEnd"/>
      <w:r w:rsidRPr="00A0210D">
        <w:rPr>
          <w:rFonts w:cstheme="minorHAnsi"/>
        </w:rPr>
        <w:t>, M., Neele, F., Wilkinson, M., Heinemann, N., 2018. A Methodology for CO2 Storage Leakage Remediation Techniques Performance Assessment and Portfolio Optimisation. 14th Greenhouse Gas Control Technologies Conference Melbourne 21-26 October 2018 (GHGT-14). Available at SSRN: https://ssrn.com/abstract=3366046</w:t>
      </w:r>
    </w:p>
    <w:p w14:paraId="274AAE7C" w14:textId="77777777" w:rsidR="00172A55" w:rsidRPr="00E1050C" w:rsidRDefault="00172A55" w:rsidP="008F550A">
      <w:pPr>
        <w:spacing w:after="240" w:line="240" w:lineRule="auto"/>
        <w:jc w:val="left"/>
        <w:rPr>
          <w:rFonts w:cstheme="minorHAnsi"/>
        </w:rPr>
      </w:pPr>
      <w:r w:rsidRPr="00E1050C">
        <w:rPr>
          <w:rFonts w:cstheme="minorHAnsi"/>
        </w:rPr>
        <w:t xml:space="preserve">Gross, R., 2015. </w:t>
      </w:r>
      <w:r w:rsidRPr="00E1050C">
        <w:t xml:space="preserve">Approaches to cost reduction in carbon capture and storage and offshore wind. Committee on Climate Change. Available at: </w:t>
      </w:r>
      <w:hyperlink r:id="rId29" w:history="1">
        <w:r w:rsidRPr="00E1050C">
          <w:rPr>
            <w:rStyle w:val="Hyperlink"/>
          </w:rPr>
          <w:t>https://www.theccc.org.uk/wp-content/uploads/2015/06/Gross-2015-Approaches-to-cost-reduction-in-carbon-capture-and-storage-and-offshore-wind.pdf</w:t>
        </w:r>
      </w:hyperlink>
      <w:r w:rsidRPr="00E1050C">
        <w:t>. Last accessed: 19/11/18.</w:t>
      </w:r>
    </w:p>
    <w:p w14:paraId="7714A1A9" w14:textId="77777777" w:rsidR="002E2502" w:rsidRPr="00E1050C" w:rsidRDefault="002E2502" w:rsidP="008F550A">
      <w:pPr>
        <w:spacing w:after="240" w:line="240" w:lineRule="auto"/>
        <w:jc w:val="left"/>
        <w:rPr>
          <w:rFonts w:cstheme="minorHAnsi"/>
        </w:rPr>
      </w:pPr>
      <w:proofErr w:type="spellStart"/>
      <w:r w:rsidRPr="00E1050C">
        <w:rPr>
          <w:rFonts w:cstheme="minorHAnsi"/>
        </w:rPr>
        <w:t>Haszeldine</w:t>
      </w:r>
      <w:proofErr w:type="spellEnd"/>
      <w:r w:rsidRPr="00E1050C">
        <w:rPr>
          <w:rFonts w:cstheme="minorHAnsi"/>
        </w:rPr>
        <w:t xml:space="preserve">, R.S., </w:t>
      </w:r>
      <w:proofErr w:type="spellStart"/>
      <w:r w:rsidRPr="00E1050C">
        <w:rPr>
          <w:rFonts w:cstheme="minorHAnsi"/>
        </w:rPr>
        <w:t>Flude</w:t>
      </w:r>
      <w:proofErr w:type="spellEnd"/>
      <w:r w:rsidRPr="00E1050C">
        <w:rPr>
          <w:rFonts w:cstheme="minorHAnsi"/>
        </w:rPr>
        <w:t>, S., Johnson, G., and Scott, V., 2018. Negative emissions technologies and carbon capture and storage to achieve the Paris Agreement commitments. Phil. Trans. R. Soc. A 2018 376 20160447; DOI: 10.1098/rsta.2016.0447. Published 2 April 2018</w:t>
      </w:r>
    </w:p>
    <w:p w14:paraId="6D8ACFB2" w14:textId="77777777" w:rsidR="00FA6F66" w:rsidRPr="00E1050C" w:rsidRDefault="00FA6F66" w:rsidP="008F550A">
      <w:pPr>
        <w:spacing w:after="240" w:line="240" w:lineRule="auto"/>
        <w:jc w:val="left"/>
        <w:rPr>
          <w:rFonts w:cs="Arial"/>
        </w:rPr>
      </w:pPr>
      <w:r w:rsidRPr="00E1050C">
        <w:rPr>
          <w:rFonts w:cs="Arial"/>
        </w:rPr>
        <w:t>Heinemann, N., Wilkinson, M., Pickup, G.E. Ha</w:t>
      </w:r>
      <w:r w:rsidR="0080401B" w:rsidRPr="00E1050C">
        <w:rPr>
          <w:rFonts w:cs="Arial"/>
        </w:rPr>
        <w:t>s</w:t>
      </w:r>
      <w:r w:rsidRPr="00E1050C">
        <w:rPr>
          <w:rFonts w:cs="Arial"/>
        </w:rPr>
        <w:t>zeldine, R.S., Cutler, N.A., 2012. CO</w:t>
      </w:r>
      <w:r w:rsidRPr="00E1050C">
        <w:rPr>
          <w:rFonts w:cs="Arial"/>
          <w:vertAlign w:val="subscript"/>
        </w:rPr>
        <w:t>2</w:t>
      </w:r>
      <w:r w:rsidRPr="00E1050C">
        <w:rPr>
          <w:rFonts w:cs="Arial"/>
        </w:rPr>
        <w:t xml:space="preserve"> storage in the offshore UK Bunter Sandstone Formation. International Journal of Greenhouse Gas Control 6, 210-219.</w:t>
      </w:r>
    </w:p>
    <w:p w14:paraId="014ED0E3" w14:textId="42BC73BD" w:rsidR="00A26088" w:rsidRDefault="00A26088" w:rsidP="008F550A">
      <w:pPr>
        <w:spacing w:after="240" w:line="240" w:lineRule="auto"/>
        <w:jc w:val="left"/>
      </w:pPr>
      <w:r w:rsidRPr="00E1050C">
        <w:t xml:space="preserve">Heinemann, N., Booth, M.G., Haszeldine, R.S., Wilkinson, M., Scafidi, J., </w:t>
      </w:r>
      <w:proofErr w:type="spellStart"/>
      <w:r w:rsidRPr="00E1050C">
        <w:t>Edlmann</w:t>
      </w:r>
      <w:proofErr w:type="spellEnd"/>
      <w:r w:rsidRPr="00E1050C">
        <w:t>, K., 2018. Hydrogen storage in porous geological formations – onshore play opportunities in the Midland Valley (Scotland, UK),</w:t>
      </w:r>
      <w:r w:rsidR="000E3CA7" w:rsidRPr="00E1050C">
        <w:t xml:space="preserve"> International Journal of Hydrogen Energy,</w:t>
      </w:r>
      <w:r w:rsidRPr="00E1050C">
        <w:t xml:space="preserve"> 43/45, 20861-20874.</w:t>
      </w:r>
    </w:p>
    <w:p w14:paraId="5605CC5F" w14:textId="4D256391" w:rsidR="00FF2D6A" w:rsidRPr="00E1050C" w:rsidRDefault="00A0210D" w:rsidP="00FF2D6A">
      <w:pPr>
        <w:spacing w:after="240" w:line="240" w:lineRule="auto"/>
        <w:jc w:val="left"/>
        <w:rPr>
          <w:rFonts w:cs="Arial"/>
          <w:szCs w:val="20"/>
          <w:shd w:val="clear" w:color="auto" w:fill="FFFFFF"/>
        </w:rPr>
      </w:pPr>
      <w:r w:rsidRPr="00A0210D">
        <w:t xml:space="preserve">Heinemann, N., Robertson, H., Alcalde, J., James, A., </w:t>
      </w:r>
      <w:proofErr w:type="spellStart"/>
      <w:r w:rsidRPr="00A0210D">
        <w:t>Ghanbari</w:t>
      </w:r>
      <w:proofErr w:type="spellEnd"/>
      <w:r w:rsidRPr="00A0210D">
        <w:t>, S., Bond, C., Faulkner, D., Allen, M., Mackay, E., Haszeldine, S., 2018. Applied Risk and Consequence Analysis for CO2 Storage Projects – the Captain X Storage Site, Offshore UK (Acorn). 14th Greenhouse Gas Control Technologies Conference Melbourne 21-26 October 2018 (GHGT-14). Available at SSRN: https://ssrn.com/abstract=3365976</w:t>
      </w:r>
      <w:r w:rsidR="00FF2D6A" w:rsidRPr="00E1050C">
        <w:rPr>
          <w:rFonts w:cs="Arial"/>
          <w:szCs w:val="20"/>
          <w:shd w:val="clear" w:color="auto" w:fill="FFFFFF"/>
        </w:rPr>
        <w:t>IEA, 2017. Energy Technology Perspectives 2017: Catalysing Energy Technology Transformations. OECD. 443 pp.</w:t>
      </w:r>
    </w:p>
    <w:p w14:paraId="47B03343" w14:textId="77777777" w:rsidR="006B4830" w:rsidRPr="00E1050C" w:rsidRDefault="006B4830" w:rsidP="008F550A">
      <w:pPr>
        <w:spacing w:after="240" w:line="240" w:lineRule="auto"/>
        <w:jc w:val="left"/>
        <w:rPr>
          <w:b/>
          <w:sz w:val="24"/>
        </w:rPr>
      </w:pPr>
      <w:r w:rsidRPr="00E1050C">
        <w:rPr>
          <w:rFonts w:cs="Arial"/>
          <w:szCs w:val="20"/>
          <w:shd w:val="clear" w:color="auto" w:fill="FFFFFF"/>
        </w:rPr>
        <w:t xml:space="preserve">Ibukun, O., Tovar, J., Heinemann, N., Chalmers, F., </w:t>
      </w:r>
      <w:proofErr w:type="spellStart"/>
      <w:r w:rsidRPr="00E1050C">
        <w:rPr>
          <w:rFonts w:cs="Arial"/>
          <w:szCs w:val="20"/>
          <w:shd w:val="clear" w:color="auto" w:fill="FFFFFF"/>
        </w:rPr>
        <w:t>Mokdad</w:t>
      </w:r>
      <w:proofErr w:type="spellEnd"/>
      <w:r w:rsidRPr="00E1050C">
        <w:rPr>
          <w:rFonts w:cs="Arial"/>
          <w:szCs w:val="20"/>
          <w:shd w:val="clear" w:color="auto" w:fill="FFFFFF"/>
        </w:rPr>
        <w:t xml:space="preserve">, B., </w:t>
      </w:r>
      <w:proofErr w:type="spellStart"/>
      <w:r w:rsidRPr="00E1050C">
        <w:rPr>
          <w:rFonts w:cs="Arial"/>
          <w:szCs w:val="20"/>
          <w:shd w:val="clear" w:color="auto" w:fill="FFFFFF"/>
        </w:rPr>
        <w:t>Katoozi</w:t>
      </w:r>
      <w:proofErr w:type="spellEnd"/>
      <w:r w:rsidRPr="00E1050C">
        <w:rPr>
          <w:rFonts w:cs="Arial"/>
          <w:szCs w:val="20"/>
          <w:shd w:val="clear" w:color="auto" w:fill="FFFFFF"/>
        </w:rPr>
        <w:t>, K., 2015. Reservoir permeability evolution in sand producing wells. SPE Nigeria Annual International Conference and Exhibition. SPE-178357-MS.</w:t>
      </w:r>
    </w:p>
    <w:p w14:paraId="4DAB5DEB" w14:textId="26CD8320" w:rsidR="00123D3C" w:rsidRPr="00E1050C" w:rsidRDefault="002E2502" w:rsidP="008F550A">
      <w:pPr>
        <w:pStyle w:val="Bibliography"/>
        <w:spacing w:after="240" w:line="240" w:lineRule="auto"/>
        <w:ind w:left="720" w:hanging="720"/>
        <w:jc w:val="left"/>
      </w:pPr>
      <w:r w:rsidRPr="00E1050C">
        <w:t>IPCC, 2018. Special Report on Global Warming of 1.5</w:t>
      </w:r>
      <w:r w:rsidRPr="00E1050C">
        <w:rPr>
          <w:vertAlign w:val="superscript"/>
        </w:rPr>
        <w:t>o</w:t>
      </w:r>
      <w:r w:rsidRPr="00E1050C">
        <w:t>C.</w:t>
      </w:r>
      <w:r w:rsidR="00123D3C" w:rsidRPr="00E1050C">
        <w:t xml:space="preserve">IEA. (2016). </w:t>
      </w:r>
      <w:r w:rsidR="00123D3C" w:rsidRPr="00E1050C">
        <w:rPr>
          <w:iCs/>
        </w:rPr>
        <w:t>20 Years of Carbon Capture and Storage.</w:t>
      </w:r>
    </w:p>
    <w:p w14:paraId="423ED7BD" w14:textId="2E08E1C8" w:rsidR="00113C39" w:rsidRPr="00E1050C" w:rsidRDefault="00113C39" w:rsidP="008F550A">
      <w:pPr>
        <w:spacing w:after="240" w:line="240" w:lineRule="auto"/>
        <w:jc w:val="left"/>
        <w:rPr>
          <w:rFonts w:cstheme="minorHAnsi"/>
        </w:rPr>
      </w:pPr>
      <w:r w:rsidRPr="00E1050C">
        <w:rPr>
          <w:rFonts w:cstheme="minorHAnsi"/>
        </w:rPr>
        <w:t xml:space="preserve">Mabon, L., </w:t>
      </w:r>
      <w:r w:rsidR="00332B10" w:rsidRPr="00E1050C">
        <w:rPr>
          <w:rFonts w:cstheme="minorHAnsi"/>
        </w:rPr>
        <w:t xml:space="preserve">and </w:t>
      </w:r>
      <w:r w:rsidRPr="00E1050C">
        <w:rPr>
          <w:rFonts w:cstheme="minorHAnsi"/>
        </w:rPr>
        <w:t>Shackley, S., 2015. More than meeting the targets? The ethical dimensions of carbon dioxide capture and storage. Environmental Values 24, 465-482.</w:t>
      </w:r>
    </w:p>
    <w:p w14:paraId="7E2F2321" w14:textId="434D288F" w:rsidR="00AB1BAB" w:rsidRDefault="00A94A54" w:rsidP="008F550A">
      <w:pPr>
        <w:spacing w:after="240" w:line="240" w:lineRule="auto"/>
        <w:jc w:val="left"/>
      </w:pPr>
      <w:r w:rsidRPr="00E1050C">
        <w:t>Mabon, L and Littlecott, C (2016) ‘Stakeholder and public perceptions of CO2-EOR in the context of CCS – results from UK focus groups and implications for policy‘. International Journal of Greenhouse Gas Control 49: 128-137</w:t>
      </w:r>
    </w:p>
    <w:p w14:paraId="159E22BA" w14:textId="278E548C" w:rsidR="00AB1BAB" w:rsidRPr="00AB1BAB" w:rsidRDefault="00AB1BAB" w:rsidP="008F550A">
      <w:pPr>
        <w:spacing w:after="240" w:line="240" w:lineRule="auto"/>
        <w:jc w:val="left"/>
      </w:pPr>
      <w:r>
        <w:t>Mandova</w:t>
      </w:r>
      <w:r w:rsidR="000B5AC7">
        <w:t xml:space="preserve">, H., Patrizio, P., Leduc, S., </w:t>
      </w:r>
      <w:proofErr w:type="spellStart"/>
      <w:r w:rsidR="000B5AC7">
        <w:t>Kjarstad</w:t>
      </w:r>
      <w:proofErr w:type="spellEnd"/>
      <w:r w:rsidR="000B5AC7">
        <w:t xml:space="preserve">, J., Wang, C., </w:t>
      </w:r>
      <w:proofErr w:type="spellStart"/>
      <w:r w:rsidR="000B5AC7">
        <w:t>Wetterlund</w:t>
      </w:r>
      <w:proofErr w:type="spellEnd"/>
      <w:r w:rsidR="000B5AC7">
        <w:t xml:space="preserve">, E., </w:t>
      </w:r>
      <w:proofErr w:type="spellStart"/>
      <w:r w:rsidR="000B5AC7">
        <w:t>Kranxner</w:t>
      </w:r>
      <w:proofErr w:type="spellEnd"/>
      <w:r w:rsidR="000B5AC7">
        <w:t xml:space="preserve">, F., and Gale, W., 2019. </w:t>
      </w:r>
      <w:r w:rsidR="00831592" w:rsidRPr="00831592">
        <w:t>Achieving carbon-neutral iron and steelmaking in Europe through the deployment of bioenergy with carbon capture and storage</w:t>
      </w:r>
      <w:r w:rsidR="00831592">
        <w:t>. Journal of Cleaner Production 218: 118-129.</w:t>
      </w:r>
    </w:p>
    <w:p w14:paraId="2B6C5F61" w14:textId="0B76E5D9" w:rsidR="00B272D9" w:rsidRPr="00E1050C" w:rsidRDefault="00B272D9" w:rsidP="008F550A">
      <w:pPr>
        <w:spacing w:after="240" w:line="240" w:lineRule="auto"/>
        <w:jc w:val="left"/>
        <w:rPr>
          <w:rFonts w:cstheme="minorHAnsi"/>
        </w:rPr>
      </w:pPr>
      <w:r w:rsidRPr="00E1050C">
        <w:rPr>
          <w:rFonts w:cstheme="minorHAnsi"/>
        </w:rPr>
        <w:t xml:space="preserve">Neele, F., </w:t>
      </w:r>
      <w:proofErr w:type="spellStart"/>
      <w:r w:rsidRPr="00E1050C">
        <w:rPr>
          <w:rFonts w:cstheme="minorHAnsi"/>
        </w:rPr>
        <w:t>Delprat-Jannaud</w:t>
      </w:r>
      <w:proofErr w:type="spellEnd"/>
      <w:r w:rsidRPr="00E1050C">
        <w:rPr>
          <w:rFonts w:cstheme="minorHAnsi"/>
        </w:rPr>
        <w:t xml:space="preserve">, F., </w:t>
      </w:r>
      <w:proofErr w:type="spellStart"/>
      <w:r w:rsidRPr="00E1050C">
        <w:rPr>
          <w:rFonts w:cstheme="minorHAnsi"/>
        </w:rPr>
        <w:t>Vincké</w:t>
      </w:r>
      <w:proofErr w:type="spellEnd"/>
      <w:r w:rsidRPr="00E1050C">
        <w:rPr>
          <w:rFonts w:cstheme="minorHAnsi"/>
        </w:rPr>
        <w:t xml:space="preserve">, O., Volpi, V., </w:t>
      </w:r>
      <w:proofErr w:type="spellStart"/>
      <w:r w:rsidRPr="00E1050C">
        <w:rPr>
          <w:rFonts w:cstheme="minorHAnsi"/>
        </w:rPr>
        <w:t>Nepveu</w:t>
      </w:r>
      <w:proofErr w:type="spellEnd"/>
      <w:r w:rsidRPr="00E1050C">
        <w:rPr>
          <w:rFonts w:cstheme="minorHAnsi"/>
        </w:rPr>
        <w:t xml:space="preserve">, M., </w:t>
      </w:r>
      <w:proofErr w:type="spellStart"/>
      <w:r w:rsidRPr="00E1050C">
        <w:rPr>
          <w:rFonts w:cstheme="minorHAnsi"/>
        </w:rPr>
        <w:t>Hofstee</w:t>
      </w:r>
      <w:proofErr w:type="spellEnd"/>
      <w:r w:rsidRPr="00E1050C">
        <w:rPr>
          <w:rFonts w:cstheme="minorHAnsi"/>
        </w:rPr>
        <w:t xml:space="preserve">, C., </w:t>
      </w:r>
      <w:proofErr w:type="spellStart"/>
      <w:r w:rsidRPr="00E1050C">
        <w:rPr>
          <w:rFonts w:cstheme="minorHAnsi"/>
        </w:rPr>
        <w:t>Wollenweber</w:t>
      </w:r>
      <w:proofErr w:type="spellEnd"/>
      <w:r w:rsidRPr="00E1050C">
        <w:rPr>
          <w:rFonts w:cstheme="minorHAnsi"/>
        </w:rPr>
        <w:t xml:space="preserve">, J., </w:t>
      </w:r>
      <w:proofErr w:type="spellStart"/>
      <w:r w:rsidRPr="00E1050C">
        <w:rPr>
          <w:rFonts w:cstheme="minorHAnsi"/>
        </w:rPr>
        <w:t>Lothe</w:t>
      </w:r>
      <w:proofErr w:type="spellEnd"/>
      <w:r w:rsidRPr="00E1050C">
        <w:rPr>
          <w:rFonts w:cstheme="minorHAnsi"/>
        </w:rPr>
        <w:t xml:space="preserve">, A., </w:t>
      </w:r>
      <w:proofErr w:type="spellStart"/>
      <w:r w:rsidRPr="00E1050C">
        <w:rPr>
          <w:rFonts w:cstheme="minorHAnsi"/>
        </w:rPr>
        <w:t>Brunsting</w:t>
      </w:r>
      <w:proofErr w:type="spellEnd"/>
      <w:r w:rsidRPr="00E1050C">
        <w:rPr>
          <w:rFonts w:cstheme="minorHAnsi"/>
        </w:rPr>
        <w:t>, S., Pearce, J. and Battani, A., 2013. The SiteChar approach to efficient and focused CO2 storage site characterisation. Energy Procedia, 37, pp.4997-5005.</w:t>
      </w:r>
    </w:p>
    <w:p w14:paraId="657E18E1" w14:textId="24131F98" w:rsidR="009148A1" w:rsidRPr="00E1050C" w:rsidRDefault="009148A1" w:rsidP="008F550A">
      <w:pPr>
        <w:spacing w:after="240" w:line="240" w:lineRule="auto"/>
        <w:jc w:val="left"/>
      </w:pPr>
      <w:r w:rsidRPr="00E1050C">
        <w:t>Pale Blue Dot Energy &amp; Axis Well Technology</w:t>
      </w:r>
      <w:r w:rsidR="00A02B69" w:rsidRPr="00E1050C">
        <w:t>,</w:t>
      </w:r>
      <w:r w:rsidRPr="00E1050C">
        <w:t xml:space="preserve"> 2016. </w:t>
      </w:r>
      <w:r w:rsidRPr="00E1050C">
        <w:rPr>
          <w:i/>
          <w:iCs/>
        </w:rPr>
        <w:t>Strategic UK Storage Appraisal Project.</w:t>
      </w:r>
      <w:r w:rsidRPr="00E1050C">
        <w:t xml:space="preserve"> Energy Technologies Institute.</w:t>
      </w:r>
    </w:p>
    <w:p w14:paraId="17B811B4" w14:textId="77777777" w:rsidR="00FF2D6A" w:rsidRPr="00E1050C" w:rsidRDefault="00FF2D6A" w:rsidP="00FF2D6A">
      <w:pPr>
        <w:spacing w:after="240" w:line="240" w:lineRule="auto"/>
        <w:jc w:val="left"/>
      </w:pPr>
      <w:r w:rsidRPr="00E1050C">
        <w:t xml:space="preserve">Sanz-Perez, E.S., Murdock, C.R., </w:t>
      </w:r>
      <w:proofErr w:type="spellStart"/>
      <w:r w:rsidRPr="00E1050C">
        <w:t>Didas</w:t>
      </w:r>
      <w:proofErr w:type="spellEnd"/>
      <w:r w:rsidRPr="00E1050C">
        <w:t>, S.A. and Jones, C.W., 2016. Direct capture of CO2 from ambient air. Chemical reviews, 116(19), pp.11840-11876.</w:t>
      </w:r>
    </w:p>
    <w:p w14:paraId="3DA3726C" w14:textId="77777777" w:rsidR="00113C39" w:rsidRPr="00E1050C" w:rsidRDefault="00113C39" w:rsidP="008F550A">
      <w:pPr>
        <w:spacing w:after="240" w:line="240" w:lineRule="auto"/>
        <w:jc w:val="left"/>
        <w:rPr>
          <w:rFonts w:cstheme="minorHAnsi"/>
        </w:rPr>
      </w:pPr>
      <w:r w:rsidRPr="00E1050C">
        <w:rPr>
          <w:rFonts w:cstheme="minorHAnsi"/>
        </w:rPr>
        <w:t xml:space="preserve">Shackley, S., Waterman, H., </w:t>
      </w:r>
      <w:proofErr w:type="spellStart"/>
      <w:r w:rsidRPr="00E1050C">
        <w:rPr>
          <w:rFonts w:cstheme="minorHAnsi"/>
        </w:rPr>
        <w:t>Godfroij</w:t>
      </w:r>
      <w:proofErr w:type="spellEnd"/>
      <w:r w:rsidRPr="00E1050C">
        <w:rPr>
          <w:rFonts w:cstheme="minorHAnsi"/>
        </w:rPr>
        <w:t xml:space="preserve">, P., Reiner, D., Anderson, J., </w:t>
      </w:r>
      <w:proofErr w:type="spellStart"/>
      <w:r w:rsidRPr="00E1050C">
        <w:rPr>
          <w:rFonts w:cstheme="minorHAnsi"/>
        </w:rPr>
        <w:t>Draxlbauer</w:t>
      </w:r>
      <w:proofErr w:type="spellEnd"/>
      <w:r w:rsidRPr="00E1050C">
        <w:rPr>
          <w:rFonts w:cstheme="minorHAnsi"/>
        </w:rPr>
        <w:t xml:space="preserve">, K., </w:t>
      </w:r>
      <w:proofErr w:type="spellStart"/>
      <w:r w:rsidRPr="00E1050C">
        <w:rPr>
          <w:rFonts w:cstheme="minorHAnsi"/>
        </w:rPr>
        <w:t>Flach</w:t>
      </w:r>
      <w:proofErr w:type="spellEnd"/>
      <w:r w:rsidRPr="00E1050C">
        <w:rPr>
          <w:rFonts w:cstheme="minorHAnsi"/>
        </w:rPr>
        <w:t>, T., 2007. Stakeholder perceptions of CO</w:t>
      </w:r>
      <w:r w:rsidRPr="00E1050C">
        <w:rPr>
          <w:rFonts w:cstheme="minorHAnsi"/>
          <w:vertAlign w:val="subscript"/>
        </w:rPr>
        <w:t>2</w:t>
      </w:r>
      <w:r w:rsidRPr="00E1050C">
        <w:rPr>
          <w:rFonts w:cstheme="minorHAnsi"/>
        </w:rPr>
        <w:t xml:space="preserve"> capture and storage in Europe: results from a survey. Energy Policy 35/10, 5091–5108.</w:t>
      </w:r>
    </w:p>
    <w:p w14:paraId="47DB955B" w14:textId="79AA6CED" w:rsidR="008243B1" w:rsidRPr="00E1050C" w:rsidRDefault="008243B1" w:rsidP="008F550A">
      <w:pPr>
        <w:spacing w:after="240" w:line="240" w:lineRule="auto"/>
        <w:jc w:val="left"/>
      </w:pPr>
      <w:r w:rsidRPr="00E1050C">
        <w:t xml:space="preserve">Spence, B., Horan, D. and Tucker, O., 2014. The </w:t>
      </w:r>
      <w:r w:rsidR="001615D9" w:rsidRPr="00E1050C">
        <w:t>Peterhead</w:t>
      </w:r>
      <w:r w:rsidRPr="00E1050C">
        <w:t>-</w:t>
      </w:r>
      <w:r w:rsidR="001615D9" w:rsidRPr="00E1050C">
        <w:t xml:space="preserve">Goldeneye </w:t>
      </w:r>
      <w:r w:rsidRPr="00E1050C">
        <w:t>gas post-combustion CCS project. Energy Procedia, 63, 6258-6266.</w:t>
      </w:r>
    </w:p>
    <w:p w14:paraId="4DFD93C8" w14:textId="77777777" w:rsidR="00113C39" w:rsidRPr="00E1050C" w:rsidRDefault="00113C39" w:rsidP="008F550A">
      <w:pPr>
        <w:spacing w:after="240" w:line="240" w:lineRule="auto"/>
        <w:jc w:val="left"/>
        <w:rPr>
          <w:rFonts w:cstheme="minorHAnsi"/>
        </w:rPr>
      </w:pPr>
      <w:r w:rsidRPr="00E1050C">
        <w:rPr>
          <w:rFonts w:cstheme="minorHAnsi"/>
        </w:rPr>
        <w:t>Stephens, J.C., 2014. Time to Stop CCS Investments and End Government Subsidies of Fossil Fuels. Wiley Interdisciplinary Reviews: Climate Change. Volume 5, 169-173.</w:t>
      </w:r>
    </w:p>
    <w:p w14:paraId="141B43B0" w14:textId="1A4E6D92" w:rsidR="005136E3" w:rsidRPr="00E1050C" w:rsidRDefault="005136E3" w:rsidP="008F550A">
      <w:pPr>
        <w:spacing w:after="240" w:line="240" w:lineRule="auto"/>
        <w:jc w:val="left"/>
        <w:rPr>
          <w:rFonts w:cstheme="minorHAnsi"/>
        </w:rPr>
      </w:pPr>
      <w:r w:rsidRPr="00E1050C">
        <w:rPr>
          <w:rFonts w:cstheme="minorHAnsi"/>
        </w:rPr>
        <w:t xml:space="preserve">Stewart, R.J., Scott, V., </w:t>
      </w:r>
      <w:proofErr w:type="spellStart"/>
      <w:r w:rsidRPr="00E1050C">
        <w:rPr>
          <w:rFonts w:cstheme="minorHAnsi"/>
        </w:rPr>
        <w:t>Haszeldine</w:t>
      </w:r>
      <w:proofErr w:type="spellEnd"/>
      <w:r w:rsidRPr="00E1050C">
        <w:rPr>
          <w:rFonts w:cstheme="minorHAnsi"/>
        </w:rPr>
        <w:t xml:space="preserve">, R.S., </w:t>
      </w:r>
      <w:proofErr w:type="spellStart"/>
      <w:r w:rsidRPr="00E1050C">
        <w:rPr>
          <w:rFonts w:cstheme="minorHAnsi"/>
        </w:rPr>
        <w:t>Ainger</w:t>
      </w:r>
      <w:proofErr w:type="spellEnd"/>
      <w:r w:rsidRPr="00E1050C">
        <w:rPr>
          <w:rFonts w:cstheme="minorHAnsi"/>
        </w:rPr>
        <w:t>, D. and Argent, S., 2014. The feasibility of a European‐wide integrated CO2 transport network. Greenhouse Gases: Science and Technology, 4, 481-494.</w:t>
      </w:r>
    </w:p>
    <w:p w14:paraId="75007D38" w14:textId="62F97FD7" w:rsidR="00B83FC6" w:rsidRPr="00E1050C" w:rsidRDefault="00B83FC6" w:rsidP="008F550A">
      <w:pPr>
        <w:spacing w:after="240" w:line="240" w:lineRule="auto"/>
        <w:jc w:val="left"/>
        <w:rPr>
          <w:rFonts w:cstheme="minorHAnsi"/>
        </w:rPr>
      </w:pPr>
      <w:r w:rsidRPr="00E1050C">
        <w:rPr>
          <w:rFonts w:cstheme="minorHAnsi"/>
        </w:rPr>
        <w:t>Stigson, P., Hansson, A. and Lind, M., 2012. Obstacles for CCS deployment: an analysis of discrepancies of perceptions. Mitigation and adaptation strategies for global change, 17, 601-619.</w:t>
      </w:r>
    </w:p>
    <w:p w14:paraId="17D82EBC" w14:textId="77777777" w:rsidR="00113C39" w:rsidRPr="00E1050C" w:rsidRDefault="00113C39" w:rsidP="008F550A">
      <w:pPr>
        <w:spacing w:after="240" w:line="240" w:lineRule="auto"/>
        <w:jc w:val="left"/>
        <w:rPr>
          <w:rFonts w:cstheme="minorHAnsi"/>
        </w:rPr>
      </w:pPr>
      <w:proofErr w:type="spellStart"/>
      <w:r w:rsidRPr="00E1050C">
        <w:rPr>
          <w:rFonts w:cstheme="minorHAnsi"/>
        </w:rPr>
        <w:t>Terwel</w:t>
      </w:r>
      <w:proofErr w:type="spellEnd"/>
      <w:r w:rsidRPr="00E1050C">
        <w:rPr>
          <w:rFonts w:cstheme="minorHAnsi"/>
        </w:rPr>
        <w:t xml:space="preserve"> B.W., </w:t>
      </w:r>
      <w:proofErr w:type="spellStart"/>
      <w:r w:rsidRPr="00E1050C">
        <w:rPr>
          <w:rFonts w:cstheme="minorHAnsi"/>
        </w:rPr>
        <w:t>ter</w:t>
      </w:r>
      <w:proofErr w:type="spellEnd"/>
      <w:r w:rsidRPr="00E1050C">
        <w:rPr>
          <w:rFonts w:cstheme="minorHAnsi"/>
        </w:rPr>
        <w:t xml:space="preserve"> Mors, E., </w:t>
      </w:r>
      <w:proofErr w:type="spellStart"/>
      <w:r w:rsidRPr="00E1050C">
        <w:rPr>
          <w:rFonts w:cstheme="minorHAnsi"/>
        </w:rPr>
        <w:t>Daamen</w:t>
      </w:r>
      <w:proofErr w:type="spellEnd"/>
      <w:r w:rsidRPr="00E1050C">
        <w:rPr>
          <w:rFonts w:cstheme="minorHAnsi"/>
        </w:rPr>
        <w:t xml:space="preserve">, D.D.L., 2012. It's not only about safety: Beliefs and attitudes of 811 local residents regarding a CCS project in </w:t>
      </w:r>
      <w:proofErr w:type="spellStart"/>
      <w:r w:rsidRPr="00E1050C">
        <w:rPr>
          <w:rFonts w:cstheme="minorHAnsi"/>
        </w:rPr>
        <w:t>Barendrecht</w:t>
      </w:r>
      <w:proofErr w:type="spellEnd"/>
      <w:r w:rsidRPr="00E1050C">
        <w:rPr>
          <w:rFonts w:cstheme="minorHAnsi"/>
        </w:rPr>
        <w:t>. International Journal of Greenhouse Gas Control 9, 41-51.</w:t>
      </w:r>
    </w:p>
    <w:p w14:paraId="5B85A26F" w14:textId="4591968B" w:rsidR="001E729D" w:rsidRPr="00E1050C" w:rsidRDefault="001E729D" w:rsidP="008F550A">
      <w:pPr>
        <w:spacing w:after="240" w:line="240" w:lineRule="auto"/>
        <w:jc w:val="left"/>
      </w:pPr>
      <w:r w:rsidRPr="00E1050C">
        <w:t xml:space="preserve">United Nations, 2015. The Paris Agreement. Framework Convention on Climate </w:t>
      </w:r>
      <w:r w:rsidR="00190AC5" w:rsidRPr="00E1050C">
        <w:t xml:space="preserve">Change: </w:t>
      </w:r>
      <w:hyperlink r:id="rId30" w:history="1">
        <w:r w:rsidRPr="00E1050C">
          <w:rPr>
            <w:rStyle w:val="Hyperlink"/>
            <w:color w:val="auto"/>
          </w:rPr>
          <w:t>http://unfccc.int/paris_agreement/items/9485.php388</w:t>
        </w:r>
      </w:hyperlink>
      <w:r w:rsidRPr="00E1050C">
        <w:t xml:space="preserve"> </w:t>
      </w:r>
    </w:p>
    <w:p w14:paraId="30B568BF" w14:textId="34385F76" w:rsidR="00DC3C97" w:rsidRPr="00E1050C" w:rsidRDefault="00991BE0" w:rsidP="008F550A">
      <w:pPr>
        <w:spacing w:after="240" w:line="240" w:lineRule="auto"/>
        <w:rPr>
          <w:rStyle w:val="Hyperlink"/>
          <w:color w:val="auto"/>
        </w:rPr>
      </w:pPr>
      <w:r w:rsidRPr="00E1050C">
        <w:t>The Global CCS Institute website</w:t>
      </w:r>
      <w:r w:rsidR="00190AC5" w:rsidRPr="00E1050C">
        <w:t xml:space="preserve">: </w:t>
      </w:r>
      <w:hyperlink r:id="rId31" w:history="1">
        <w:r w:rsidR="00DC3C97" w:rsidRPr="00E1050C">
          <w:rPr>
            <w:rStyle w:val="Hyperlink"/>
            <w:color w:val="auto"/>
          </w:rPr>
          <w:t>https://www.globalccsinstitute.com/projects/large-scale-ccs-projects</w:t>
        </w:r>
      </w:hyperlink>
    </w:p>
    <w:p w14:paraId="71B31119" w14:textId="488EA2F9" w:rsidR="00260E40" w:rsidRPr="00E1050C" w:rsidRDefault="00260E40" w:rsidP="008F550A">
      <w:pPr>
        <w:spacing w:after="240" w:line="240" w:lineRule="auto"/>
        <w:rPr>
          <w:rStyle w:val="Hyperlink"/>
          <w:color w:val="auto"/>
          <w:u w:val="none"/>
        </w:rPr>
      </w:pPr>
      <w:r w:rsidRPr="00E1050C">
        <w:rPr>
          <w:rStyle w:val="Hyperlink"/>
          <w:color w:val="auto"/>
          <w:u w:val="none"/>
        </w:rPr>
        <w:t>Tucker, O., and Tinios, L. 2017. Experience in developing the Goldeneye Storage Permit Application. Energy Procedia 114, 7466-7479. Doi: 10.1016/j.egypro.2017.03.1880</w:t>
      </w:r>
    </w:p>
    <w:p w14:paraId="3A803ADC" w14:textId="3B92C71D" w:rsidR="000F6CC8" w:rsidRPr="00E1050C" w:rsidRDefault="000F6CC8" w:rsidP="008F550A">
      <w:pPr>
        <w:spacing w:after="240" w:line="240" w:lineRule="auto"/>
        <w:rPr>
          <w:rStyle w:val="Hyperlink"/>
          <w:color w:val="auto"/>
          <w:u w:val="none"/>
        </w:rPr>
      </w:pPr>
      <w:r w:rsidRPr="00E1050C">
        <w:rPr>
          <w:rStyle w:val="Hyperlink"/>
          <w:color w:val="auto"/>
          <w:u w:val="none"/>
        </w:rPr>
        <w:t>White, D., 2009. Monitoring CO2 storage during EOR at the Weyburn-</w:t>
      </w:r>
      <w:proofErr w:type="spellStart"/>
      <w:r w:rsidRPr="00E1050C">
        <w:rPr>
          <w:rStyle w:val="Hyperlink"/>
          <w:color w:val="auto"/>
          <w:u w:val="none"/>
        </w:rPr>
        <w:t>Midale</w:t>
      </w:r>
      <w:proofErr w:type="spellEnd"/>
      <w:r w:rsidRPr="00E1050C">
        <w:rPr>
          <w:rStyle w:val="Hyperlink"/>
          <w:color w:val="auto"/>
          <w:u w:val="none"/>
        </w:rPr>
        <w:t xml:space="preserve"> Field. The Leading Edge, 28, 838-842.</w:t>
      </w:r>
    </w:p>
    <w:p w14:paraId="3D34A01F" w14:textId="145634A0" w:rsidR="00582C1B" w:rsidRPr="00E1050C" w:rsidRDefault="00582C1B" w:rsidP="008F550A">
      <w:pPr>
        <w:spacing w:after="240" w:line="240" w:lineRule="auto"/>
        <w:rPr>
          <w:rStyle w:val="Hyperlink"/>
          <w:color w:val="auto"/>
          <w:u w:val="none"/>
        </w:rPr>
      </w:pPr>
      <w:r w:rsidRPr="00E1050C">
        <w:rPr>
          <w:rStyle w:val="Hyperlink"/>
          <w:color w:val="auto"/>
          <w:u w:val="none"/>
        </w:rPr>
        <w:t>Wennersten, R., Sun, Q. and Li, H., 2015. The future potential for Carbon Capture and Storage in climate change mitigation–an overview from perspectives of technology, economy and risk. Journal of Cleaner Production, 103, pp.724-736. DOI: 10.1016/j.jclepro.2014.09.023</w:t>
      </w:r>
    </w:p>
    <w:p w14:paraId="116B5BEB" w14:textId="3BBF2BF7" w:rsidR="00ED407A" w:rsidRPr="00E1050C" w:rsidRDefault="00ED407A" w:rsidP="008F550A">
      <w:pPr>
        <w:spacing w:after="240" w:line="240" w:lineRule="auto"/>
        <w:rPr>
          <w:rStyle w:val="Hyperlink"/>
          <w:color w:val="auto"/>
          <w:u w:val="none"/>
        </w:rPr>
      </w:pPr>
      <w:r w:rsidRPr="00E1050C">
        <w:rPr>
          <w:rStyle w:val="Hyperlink"/>
          <w:color w:val="auto"/>
          <w:u w:val="none"/>
        </w:rPr>
        <w:t xml:space="preserve">Worden, R.H. and Smith, L.K., 2004. Geological sequestration of CO2 in the subsurface: lessons from CO2 injection enhanced oil recovery projects in oilfields. In: S.J. Baines and R.H. Worden (Editors), Geological storage of carbon dioxide. Special Publication. Geological Society, London, </w:t>
      </w:r>
      <w:r w:rsidR="008326D7" w:rsidRPr="00E1050C">
        <w:rPr>
          <w:rStyle w:val="Hyperlink"/>
          <w:color w:val="auto"/>
          <w:u w:val="none"/>
        </w:rPr>
        <w:t xml:space="preserve">233, </w:t>
      </w:r>
      <w:r w:rsidRPr="00E1050C">
        <w:rPr>
          <w:rStyle w:val="Hyperlink"/>
          <w:color w:val="auto"/>
          <w:u w:val="none"/>
        </w:rPr>
        <w:t>211-224.</w:t>
      </w:r>
    </w:p>
    <w:p w14:paraId="645ECABC" w14:textId="700A3785" w:rsidR="00B46A1E" w:rsidRDefault="00B46A1E" w:rsidP="008F550A">
      <w:pPr>
        <w:spacing w:after="240" w:line="240" w:lineRule="auto"/>
      </w:pPr>
      <w:r w:rsidRPr="00E1050C">
        <w:t>ZEP, 2011. The costs of CO2 capture, transport and storage. Post-demonstration CCS in the EU. European Technology Platform for Zero Emission Fossil Fuel Power Plants. Zero Emissions Platform.</w:t>
      </w:r>
      <w:bookmarkEnd w:id="2"/>
    </w:p>
    <w:p w14:paraId="5300ED30" w14:textId="03FDC806" w:rsidR="00C42A5A" w:rsidRPr="004C79FC" w:rsidRDefault="001E313C" w:rsidP="008F550A">
      <w:pPr>
        <w:spacing w:after="240" w:line="240" w:lineRule="auto"/>
      </w:pPr>
      <w:r>
        <w:t xml:space="preserve">Zhang, Z., and Huisingh, D., 2017. </w:t>
      </w:r>
      <w:r w:rsidRPr="001E313C">
        <w:t>Carbon dioxide storage schemes: Technology, assessment and deployment</w:t>
      </w:r>
      <w:r>
        <w:t xml:space="preserve">. </w:t>
      </w:r>
      <w:r w:rsidRPr="00E1050C">
        <w:rPr>
          <w:rStyle w:val="Hyperlink"/>
          <w:color w:val="auto"/>
          <w:u w:val="none"/>
        </w:rPr>
        <w:t>Journal of Cleaner Production</w:t>
      </w:r>
      <w:r>
        <w:rPr>
          <w:rStyle w:val="Hyperlink"/>
          <w:color w:val="auto"/>
          <w:u w:val="none"/>
        </w:rPr>
        <w:t xml:space="preserve"> 142: 1055-1064.</w:t>
      </w:r>
    </w:p>
    <w:sectPr w:rsidR="00C42A5A" w:rsidRPr="004C79FC" w:rsidSect="00E75F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7C9A" w14:textId="77777777" w:rsidR="00991191" w:rsidRDefault="00991191" w:rsidP="000A640A">
      <w:pPr>
        <w:spacing w:after="0" w:line="240" w:lineRule="auto"/>
      </w:pPr>
      <w:r>
        <w:separator/>
      </w:r>
    </w:p>
  </w:endnote>
  <w:endnote w:type="continuationSeparator" w:id="0">
    <w:p w14:paraId="52E19354" w14:textId="77777777" w:rsidR="00991191" w:rsidRDefault="00991191" w:rsidP="000A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F11C" w14:textId="77777777" w:rsidR="00991191" w:rsidRDefault="00991191" w:rsidP="000A640A">
      <w:pPr>
        <w:spacing w:after="0" w:line="240" w:lineRule="auto"/>
      </w:pPr>
      <w:r>
        <w:separator/>
      </w:r>
    </w:p>
  </w:footnote>
  <w:footnote w:type="continuationSeparator" w:id="0">
    <w:p w14:paraId="133CE517" w14:textId="77777777" w:rsidR="00991191" w:rsidRDefault="00991191" w:rsidP="000A640A">
      <w:pPr>
        <w:spacing w:after="0" w:line="240" w:lineRule="auto"/>
      </w:pPr>
      <w:r>
        <w:continuationSeparator/>
      </w:r>
    </w:p>
  </w:footnote>
  <w:footnote w:id="1">
    <w:p w14:paraId="74451B78" w14:textId="77777777" w:rsidR="00C630CF" w:rsidRPr="00DB7CF7" w:rsidRDefault="00C630CF">
      <w:pPr>
        <w:pStyle w:val="FootnoteText"/>
      </w:pPr>
      <w:r>
        <w:rPr>
          <w:rStyle w:val="FootnoteReference"/>
        </w:rPr>
        <w:footnoteRef/>
      </w:r>
      <w:r>
        <w:t xml:space="preserve"> </w:t>
      </w:r>
      <w:r w:rsidRPr="00DB7CF7">
        <w:t>All cost figures in 2018 euros.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BB2"/>
    <w:multiLevelType w:val="hybridMultilevel"/>
    <w:tmpl w:val="930CC414"/>
    <w:lvl w:ilvl="0" w:tplc="4A9A6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052ED"/>
    <w:multiLevelType w:val="hybridMultilevel"/>
    <w:tmpl w:val="D924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1BB"/>
    <w:multiLevelType w:val="hybridMultilevel"/>
    <w:tmpl w:val="B65EC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23EF5"/>
    <w:multiLevelType w:val="hybridMultilevel"/>
    <w:tmpl w:val="00D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D1820"/>
    <w:multiLevelType w:val="hybridMultilevel"/>
    <w:tmpl w:val="C4B4B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C6872"/>
    <w:multiLevelType w:val="hybridMultilevel"/>
    <w:tmpl w:val="DA3EF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2161D"/>
    <w:multiLevelType w:val="hybridMultilevel"/>
    <w:tmpl w:val="025CC088"/>
    <w:lvl w:ilvl="0" w:tplc="9F24AD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27466"/>
    <w:multiLevelType w:val="hybridMultilevel"/>
    <w:tmpl w:val="74AE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6694C"/>
    <w:multiLevelType w:val="hybridMultilevel"/>
    <w:tmpl w:val="FF5AB8C8"/>
    <w:lvl w:ilvl="0" w:tplc="61CC2FB6">
      <w:start w:val="1"/>
      <w:numFmt w:val="bullet"/>
      <w:lvlText w:val=""/>
      <w:lvlJc w:val="left"/>
      <w:pPr>
        <w:ind w:left="360" w:hanging="360"/>
      </w:pPr>
      <w:rPr>
        <w:rFonts w:ascii="Wingdings" w:hAnsi="Wingdings" w:hint="default"/>
        <w:sz w:val="20"/>
      </w:rPr>
    </w:lvl>
    <w:lvl w:ilvl="1" w:tplc="0809000F">
      <w:start w:val="1"/>
      <w:numFmt w:val="decimal"/>
      <w:lvlText w:val="%2."/>
      <w:lvlJc w:val="left"/>
      <w:pPr>
        <w:ind w:left="1080" w:hanging="360"/>
      </w:pPr>
      <w:rPr>
        <w:rFonts w:hint="default"/>
      </w:rPr>
    </w:lvl>
    <w:lvl w:ilvl="2" w:tplc="6A6C21AC">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767AD"/>
    <w:multiLevelType w:val="hybridMultilevel"/>
    <w:tmpl w:val="730E3E0E"/>
    <w:lvl w:ilvl="0" w:tplc="0D6E74F4">
      <w:start w:val="1"/>
      <w:numFmt w:val="bullet"/>
      <w:pStyle w:val="ListBullet"/>
      <w:lvlText w:val="•"/>
      <w:lvlJc w:val="left"/>
      <w:pPr>
        <w:ind w:left="1008" w:hanging="360"/>
      </w:pPr>
      <w:rPr>
        <w:rFonts w:ascii="Cambria" w:hAnsi="Cambria" w:hint="default"/>
        <w:color w:val="6598CC"/>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2AF122F1"/>
    <w:multiLevelType w:val="hybridMultilevel"/>
    <w:tmpl w:val="3F38BBEE"/>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02CFD"/>
    <w:multiLevelType w:val="hybridMultilevel"/>
    <w:tmpl w:val="3C4693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A41907"/>
    <w:multiLevelType w:val="hybridMultilevel"/>
    <w:tmpl w:val="D0AE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16AC6"/>
    <w:multiLevelType w:val="hybridMultilevel"/>
    <w:tmpl w:val="1C3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C35E6"/>
    <w:multiLevelType w:val="hybridMultilevel"/>
    <w:tmpl w:val="6368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16BA9"/>
    <w:multiLevelType w:val="hybridMultilevel"/>
    <w:tmpl w:val="7F0435BA"/>
    <w:lvl w:ilvl="0" w:tplc="798EAB9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616D1"/>
    <w:multiLevelType w:val="hybridMultilevel"/>
    <w:tmpl w:val="361A0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70481"/>
    <w:multiLevelType w:val="hybridMultilevel"/>
    <w:tmpl w:val="ECD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1563C"/>
    <w:multiLevelType w:val="hybridMultilevel"/>
    <w:tmpl w:val="A246E1FA"/>
    <w:lvl w:ilvl="0" w:tplc="CFA8FDC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30A1951"/>
    <w:multiLevelType w:val="hybridMultilevel"/>
    <w:tmpl w:val="025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C2D95"/>
    <w:multiLevelType w:val="hybridMultilevel"/>
    <w:tmpl w:val="CA8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5072"/>
    <w:multiLevelType w:val="hybridMultilevel"/>
    <w:tmpl w:val="BAB09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C23753"/>
    <w:multiLevelType w:val="hybridMultilevel"/>
    <w:tmpl w:val="1ED6540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4B6D67F3"/>
    <w:multiLevelType w:val="hybridMultilevel"/>
    <w:tmpl w:val="A226F4BA"/>
    <w:lvl w:ilvl="0" w:tplc="A3B61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762E0"/>
    <w:multiLevelType w:val="hybridMultilevel"/>
    <w:tmpl w:val="E5F477E8"/>
    <w:lvl w:ilvl="0" w:tplc="370E7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D02FA"/>
    <w:multiLevelType w:val="hybridMultilevel"/>
    <w:tmpl w:val="08F86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101BB1"/>
    <w:multiLevelType w:val="hybridMultilevel"/>
    <w:tmpl w:val="E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7A8D"/>
    <w:multiLevelType w:val="hybridMultilevel"/>
    <w:tmpl w:val="99BEA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E81AA3"/>
    <w:multiLevelType w:val="hybridMultilevel"/>
    <w:tmpl w:val="1B46C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27384"/>
    <w:multiLevelType w:val="hybridMultilevel"/>
    <w:tmpl w:val="D924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707BB"/>
    <w:multiLevelType w:val="hybridMultilevel"/>
    <w:tmpl w:val="92A42402"/>
    <w:lvl w:ilvl="0" w:tplc="39F6F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7A0D"/>
    <w:multiLevelType w:val="hybridMultilevel"/>
    <w:tmpl w:val="16786F96"/>
    <w:lvl w:ilvl="0" w:tplc="61CC2FB6">
      <w:start w:val="1"/>
      <w:numFmt w:val="bullet"/>
      <w:lvlText w:val=""/>
      <w:lvlJc w:val="left"/>
      <w:pPr>
        <w:ind w:left="714" w:hanging="360"/>
      </w:pPr>
      <w:rPr>
        <w:rFonts w:ascii="Wingdings" w:hAnsi="Wingdings" w:hint="default"/>
        <w:sz w:val="20"/>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2" w15:restartNumberingAfterBreak="0">
    <w:nsid w:val="63B25E3F"/>
    <w:multiLevelType w:val="hybridMultilevel"/>
    <w:tmpl w:val="7F289224"/>
    <w:lvl w:ilvl="0" w:tplc="14F66A36">
      <w:start w:val="1"/>
      <w:numFmt w:val="bullet"/>
      <w:lvlText w:val=""/>
      <w:lvlJc w:val="left"/>
      <w:pPr>
        <w:ind w:left="720" w:hanging="360"/>
      </w:pPr>
      <w:rPr>
        <w:rFonts w:ascii="Wingdings" w:hAnsi="Wingding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EF08A7"/>
    <w:multiLevelType w:val="hybridMultilevel"/>
    <w:tmpl w:val="261C6D48"/>
    <w:lvl w:ilvl="0" w:tplc="08090005">
      <w:start w:val="1"/>
      <w:numFmt w:val="bullet"/>
      <w:lvlText w:val=""/>
      <w:lvlJc w:val="left"/>
      <w:pPr>
        <w:ind w:left="4287" w:hanging="360"/>
      </w:pPr>
      <w:rPr>
        <w:rFonts w:ascii="Wingdings" w:hAnsi="Wingdings" w:hint="default"/>
      </w:rPr>
    </w:lvl>
    <w:lvl w:ilvl="1" w:tplc="08090003">
      <w:start w:val="1"/>
      <w:numFmt w:val="bullet"/>
      <w:lvlText w:val="o"/>
      <w:lvlJc w:val="left"/>
      <w:pPr>
        <w:ind w:left="5007" w:hanging="360"/>
      </w:pPr>
      <w:rPr>
        <w:rFonts w:ascii="Courier New" w:hAnsi="Courier New" w:cs="Courier New" w:hint="default"/>
      </w:rPr>
    </w:lvl>
    <w:lvl w:ilvl="2" w:tplc="08090005" w:tentative="1">
      <w:start w:val="1"/>
      <w:numFmt w:val="bullet"/>
      <w:lvlText w:val=""/>
      <w:lvlJc w:val="left"/>
      <w:pPr>
        <w:ind w:left="5727" w:hanging="360"/>
      </w:pPr>
      <w:rPr>
        <w:rFonts w:ascii="Wingdings" w:hAnsi="Wingdings" w:hint="default"/>
      </w:rPr>
    </w:lvl>
    <w:lvl w:ilvl="3" w:tplc="08090001" w:tentative="1">
      <w:start w:val="1"/>
      <w:numFmt w:val="bullet"/>
      <w:lvlText w:val=""/>
      <w:lvlJc w:val="left"/>
      <w:pPr>
        <w:ind w:left="6447" w:hanging="360"/>
      </w:pPr>
      <w:rPr>
        <w:rFonts w:ascii="Symbol" w:hAnsi="Symbol" w:hint="default"/>
      </w:rPr>
    </w:lvl>
    <w:lvl w:ilvl="4" w:tplc="08090003" w:tentative="1">
      <w:start w:val="1"/>
      <w:numFmt w:val="bullet"/>
      <w:lvlText w:val="o"/>
      <w:lvlJc w:val="left"/>
      <w:pPr>
        <w:ind w:left="7167" w:hanging="360"/>
      </w:pPr>
      <w:rPr>
        <w:rFonts w:ascii="Courier New" w:hAnsi="Courier New" w:cs="Courier New" w:hint="default"/>
      </w:rPr>
    </w:lvl>
    <w:lvl w:ilvl="5" w:tplc="08090005" w:tentative="1">
      <w:start w:val="1"/>
      <w:numFmt w:val="bullet"/>
      <w:lvlText w:val=""/>
      <w:lvlJc w:val="left"/>
      <w:pPr>
        <w:ind w:left="7887" w:hanging="360"/>
      </w:pPr>
      <w:rPr>
        <w:rFonts w:ascii="Wingdings" w:hAnsi="Wingdings" w:hint="default"/>
      </w:rPr>
    </w:lvl>
    <w:lvl w:ilvl="6" w:tplc="08090001" w:tentative="1">
      <w:start w:val="1"/>
      <w:numFmt w:val="bullet"/>
      <w:lvlText w:val=""/>
      <w:lvlJc w:val="left"/>
      <w:pPr>
        <w:ind w:left="8607" w:hanging="360"/>
      </w:pPr>
      <w:rPr>
        <w:rFonts w:ascii="Symbol" w:hAnsi="Symbol" w:hint="default"/>
      </w:rPr>
    </w:lvl>
    <w:lvl w:ilvl="7" w:tplc="08090003" w:tentative="1">
      <w:start w:val="1"/>
      <w:numFmt w:val="bullet"/>
      <w:lvlText w:val="o"/>
      <w:lvlJc w:val="left"/>
      <w:pPr>
        <w:ind w:left="9327" w:hanging="360"/>
      </w:pPr>
      <w:rPr>
        <w:rFonts w:ascii="Courier New" w:hAnsi="Courier New" w:cs="Courier New" w:hint="default"/>
      </w:rPr>
    </w:lvl>
    <w:lvl w:ilvl="8" w:tplc="08090005" w:tentative="1">
      <w:start w:val="1"/>
      <w:numFmt w:val="bullet"/>
      <w:lvlText w:val=""/>
      <w:lvlJc w:val="left"/>
      <w:pPr>
        <w:ind w:left="10047" w:hanging="360"/>
      </w:pPr>
      <w:rPr>
        <w:rFonts w:ascii="Wingdings" w:hAnsi="Wingdings" w:hint="default"/>
      </w:rPr>
    </w:lvl>
  </w:abstractNum>
  <w:abstractNum w:abstractNumId="34" w15:restartNumberingAfterBreak="0">
    <w:nsid w:val="670E50C2"/>
    <w:multiLevelType w:val="hybridMultilevel"/>
    <w:tmpl w:val="BEF66F52"/>
    <w:lvl w:ilvl="0" w:tplc="0B260D40">
      <w:start w:val="1"/>
      <w:numFmt w:val="decimal"/>
      <w:lvlText w:val="%1)"/>
      <w:lvlJc w:val="left"/>
      <w:pPr>
        <w:ind w:left="720" w:hanging="360"/>
      </w:pPr>
      <w:rPr>
        <w:rFonts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72691"/>
    <w:multiLevelType w:val="hybridMultilevel"/>
    <w:tmpl w:val="94305D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F3695"/>
    <w:multiLevelType w:val="hybridMultilevel"/>
    <w:tmpl w:val="5680E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F1EC4"/>
    <w:multiLevelType w:val="hybridMultilevel"/>
    <w:tmpl w:val="1352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5082B"/>
    <w:multiLevelType w:val="hybridMultilevel"/>
    <w:tmpl w:val="0816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7776E"/>
    <w:multiLevelType w:val="hybridMultilevel"/>
    <w:tmpl w:val="42205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097897"/>
    <w:multiLevelType w:val="hybridMultilevel"/>
    <w:tmpl w:val="3AF66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0"/>
  </w:num>
  <w:num w:numId="3">
    <w:abstractNumId w:val="4"/>
  </w:num>
  <w:num w:numId="4">
    <w:abstractNumId w:val="27"/>
  </w:num>
  <w:num w:numId="5">
    <w:abstractNumId w:val="37"/>
  </w:num>
  <w:num w:numId="6">
    <w:abstractNumId w:val="32"/>
  </w:num>
  <w:num w:numId="7">
    <w:abstractNumId w:val="22"/>
  </w:num>
  <w:num w:numId="8">
    <w:abstractNumId w:val="31"/>
  </w:num>
  <w:num w:numId="9">
    <w:abstractNumId w:val="12"/>
  </w:num>
  <w:num w:numId="10">
    <w:abstractNumId w:val="11"/>
  </w:num>
  <w:num w:numId="11">
    <w:abstractNumId w:val="35"/>
  </w:num>
  <w:num w:numId="12">
    <w:abstractNumId w:val="36"/>
  </w:num>
  <w:num w:numId="13">
    <w:abstractNumId w:val="33"/>
  </w:num>
  <w:num w:numId="14">
    <w:abstractNumId w:val="28"/>
  </w:num>
  <w:num w:numId="15">
    <w:abstractNumId w:val="3"/>
  </w:num>
  <w:num w:numId="16">
    <w:abstractNumId w:val="7"/>
  </w:num>
  <w:num w:numId="17">
    <w:abstractNumId w:val="8"/>
  </w:num>
  <w:num w:numId="18">
    <w:abstractNumId w:val="31"/>
  </w:num>
  <w:num w:numId="19">
    <w:abstractNumId w:val="24"/>
  </w:num>
  <w:num w:numId="20">
    <w:abstractNumId w:val="15"/>
  </w:num>
  <w:num w:numId="21">
    <w:abstractNumId w:val="20"/>
  </w:num>
  <w:num w:numId="22">
    <w:abstractNumId w:val="10"/>
  </w:num>
  <w:num w:numId="23">
    <w:abstractNumId w:val="9"/>
  </w:num>
  <w:num w:numId="24">
    <w:abstractNumId w:val="5"/>
  </w:num>
  <w:num w:numId="25">
    <w:abstractNumId w:val="38"/>
  </w:num>
  <w:num w:numId="26">
    <w:abstractNumId w:val="2"/>
  </w:num>
  <w:num w:numId="27">
    <w:abstractNumId w:val="26"/>
  </w:num>
  <w:num w:numId="28">
    <w:abstractNumId w:val="30"/>
  </w:num>
  <w:num w:numId="29">
    <w:abstractNumId w:val="19"/>
  </w:num>
  <w:num w:numId="30">
    <w:abstractNumId w:val="0"/>
  </w:num>
  <w:num w:numId="31">
    <w:abstractNumId w:val="16"/>
  </w:num>
  <w:num w:numId="32">
    <w:abstractNumId w:val="6"/>
  </w:num>
  <w:num w:numId="33">
    <w:abstractNumId w:val="18"/>
  </w:num>
  <w:num w:numId="34">
    <w:abstractNumId w:val="17"/>
  </w:num>
  <w:num w:numId="35">
    <w:abstractNumId w:val="21"/>
  </w:num>
  <w:num w:numId="36">
    <w:abstractNumId w:val="1"/>
  </w:num>
  <w:num w:numId="37">
    <w:abstractNumId w:val="34"/>
  </w:num>
  <w:num w:numId="38">
    <w:abstractNumId w:val="13"/>
  </w:num>
  <w:num w:numId="39">
    <w:abstractNumId w:val="23"/>
  </w:num>
  <w:num w:numId="40">
    <w:abstractNumId w:val="29"/>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F9"/>
    <w:rsid w:val="0000179F"/>
    <w:rsid w:val="00003BC9"/>
    <w:rsid w:val="00004E99"/>
    <w:rsid w:val="00004EB9"/>
    <w:rsid w:val="00010136"/>
    <w:rsid w:val="00010CF7"/>
    <w:rsid w:val="0001112A"/>
    <w:rsid w:val="00011A7E"/>
    <w:rsid w:val="00012687"/>
    <w:rsid w:val="0001760D"/>
    <w:rsid w:val="000179FB"/>
    <w:rsid w:val="00023078"/>
    <w:rsid w:val="00024C26"/>
    <w:rsid w:val="000259D4"/>
    <w:rsid w:val="00025F0D"/>
    <w:rsid w:val="000261B0"/>
    <w:rsid w:val="000263D2"/>
    <w:rsid w:val="00030B31"/>
    <w:rsid w:val="00033462"/>
    <w:rsid w:val="00033816"/>
    <w:rsid w:val="00040B1C"/>
    <w:rsid w:val="00041159"/>
    <w:rsid w:val="00042766"/>
    <w:rsid w:val="00044C7B"/>
    <w:rsid w:val="00046E85"/>
    <w:rsid w:val="00050448"/>
    <w:rsid w:val="0005654A"/>
    <w:rsid w:val="00062509"/>
    <w:rsid w:val="000632A9"/>
    <w:rsid w:val="000639D7"/>
    <w:rsid w:val="00066EC3"/>
    <w:rsid w:val="00067CDE"/>
    <w:rsid w:val="00073F0A"/>
    <w:rsid w:val="00075504"/>
    <w:rsid w:val="000757AF"/>
    <w:rsid w:val="00076700"/>
    <w:rsid w:val="000770A4"/>
    <w:rsid w:val="00077B83"/>
    <w:rsid w:val="000911E2"/>
    <w:rsid w:val="00091C77"/>
    <w:rsid w:val="000933B0"/>
    <w:rsid w:val="000A0258"/>
    <w:rsid w:val="000A06F6"/>
    <w:rsid w:val="000A0835"/>
    <w:rsid w:val="000A640A"/>
    <w:rsid w:val="000B15CD"/>
    <w:rsid w:val="000B1862"/>
    <w:rsid w:val="000B579A"/>
    <w:rsid w:val="000B5922"/>
    <w:rsid w:val="000B5AC7"/>
    <w:rsid w:val="000B65A3"/>
    <w:rsid w:val="000C0FE0"/>
    <w:rsid w:val="000C1523"/>
    <w:rsid w:val="000C5546"/>
    <w:rsid w:val="000C5E79"/>
    <w:rsid w:val="000C689B"/>
    <w:rsid w:val="000D2CE0"/>
    <w:rsid w:val="000D39E8"/>
    <w:rsid w:val="000E1E7A"/>
    <w:rsid w:val="000E3CA7"/>
    <w:rsid w:val="000E6355"/>
    <w:rsid w:val="000E79E7"/>
    <w:rsid w:val="000F27C7"/>
    <w:rsid w:val="000F6CC8"/>
    <w:rsid w:val="001071E3"/>
    <w:rsid w:val="0010794E"/>
    <w:rsid w:val="001120BF"/>
    <w:rsid w:val="00113774"/>
    <w:rsid w:val="00113C39"/>
    <w:rsid w:val="00116DA2"/>
    <w:rsid w:val="00120C87"/>
    <w:rsid w:val="00123D3C"/>
    <w:rsid w:val="00124E2A"/>
    <w:rsid w:val="00131F6D"/>
    <w:rsid w:val="00141B1E"/>
    <w:rsid w:val="00142E00"/>
    <w:rsid w:val="00145348"/>
    <w:rsid w:val="00157DDA"/>
    <w:rsid w:val="00160FB5"/>
    <w:rsid w:val="001615D9"/>
    <w:rsid w:val="001644D6"/>
    <w:rsid w:val="00170A09"/>
    <w:rsid w:val="001715F9"/>
    <w:rsid w:val="00171E95"/>
    <w:rsid w:val="00172A55"/>
    <w:rsid w:val="00172D6B"/>
    <w:rsid w:val="0017441E"/>
    <w:rsid w:val="0017561F"/>
    <w:rsid w:val="001763DB"/>
    <w:rsid w:val="00176AED"/>
    <w:rsid w:val="001779D1"/>
    <w:rsid w:val="00190375"/>
    <w:rsid w:val="00190AC5"/>
    <w:rsid w:val="0019198D"/>
    <w:rsid w:val="00191BE5"/>
    <w:rsid w:val="00192105"/>
    <w:rsid w:val="001A0828"/>
    <w:rsid w:val="001A0DB2"/>
    <w:rsid w:val="001A2B56"/>
    <w:rsid w:val="001B2BBE"/>
    <w:rsid w:val="001B3086"/>
    <w:rsid w:val="001B3962"/>
    <w:rsid w:val="001B4D16"/>
    <w:rsid w:val="001B62C2"/>
    <w:rsid w:val="001C1BBD"/>
    <w:rsid w:val="001C3A05"/>
    <w:rsid w:val="001C4AC3"/>
    <w:rsid w:val="001C54AC"/>
    <w:rsid w:val="001C6980"/>
    <w:rsid w:val="001D000E"/>
    <w:rsid w:val="001D4A79"/>
    <w:rsid w:val="001E313C"/>
    <w:rsid w:val="001E6E52"/>
    <w:rsid w:val="001E729D"/>
    <w:rsid w:val="001E750C"/>
    <w:rsid w:val="001F0060"/>
    <w:rsid w:val="001F3EF4"/>
    <w:rsid w:val="001F51B3"/>
    <w:rsid w:val="001F5E42"/>
    <w:rsid w:val="001F6997"/>
    <w:rsid w:val="00201637"/>
    <w:rsid w:val="00203C50"/>
    <w:rsid w:val="00210DEF"/>
    <w:rsid w:val="00211DD8"/>
    <w:rsid w:val="0021205D"/>
    <w:rsid w:val="00213086"/>
    <w:rsid w:val="002140B7"/>
    <w:rsid w:val="00214407"/>
    <w:rsid w:val="00215ACB"/>
    <w:rsid w:val="0022437C"/>
    <w:rsid w:val="00225155"/>
    <w:rsid w:val="00225221"/>
    <w:rsid w:val="00225A93"/>
    <w:rsid w:val="00226690"/>
    <w:rsid w:val="002309AF"/>
    <w:rsid w:val="00230F8B"/>
    <w:rsid w:val="0023371A"/>
    <w:rsid w:val="00233C29"/>
    <w:rsid w:val="00235F59"/>
    <w:rsid w:val="00240D72"/>
    <w:rsid w:val="00240FC5"/>
    <w:rsid w:val="00240FF8"/>
    <w:rsid w:val="00247317"/>
    <w:rsid w:val="00250416"/>
    <w:rsid w:val="0025052A"/>
    <w:rsid w:val="00255115"/>
    <w:rsid w:val="00256778"/>
    <w:rsid w:val="00256D03"/>
    <w:rsid w:val="00256E87"/>
    <w:rsid w:val="00260E40"/>
    <w:rsid w:val="00261BD5"/>
    <w:rsid w:val="00262BDF"/>
    <w:rsid w:val="00263B85"/>
    <w:rsid w:val="00266873"/>
    <w:rsid w:val="00266F0C"/>
    <w:rsid w:val="00267965"/>
    <w:rsid w:val="002742DB"/>
    <w:rsid w:val="002754AA"/>
    <w:rsid w:val="00275669"/>
    <w:rsid w:val="00275D5D"/>
    <w:rsid w:val="002766AF"/>
    <w:rsid w:val="002769CD"/>
    <w:rsid w:val="00277014"/>
    <w:rsid w:val="002848D2"/>
    <w:rsid w:val="00286754"/>
    <w:rsid w:val="002951A0"/>
    <w:rsid w:val="002A1442"/>
    <w:rsid w:val="002A2764"/>
    <w:rsid w:val="002A3CFA"/>
    <w:rsid w:val="002A4148"/>
    <w:rsid w:val="002A600D"/>
    <w:rsid w:val="002A79CD"/>
    <w:rsid w:val="002B260A"/>
    <w:rsid w:val="002B2718"/>
    <w:rsid w:val="002B7C05"/>
    <w:rsid w:val="002C17A7"/>
    <w:rsid w:val="002C19CF"/>
    <w:rsid w:val="002C6D35"/>
    <w:rsid w:val="002D261C"/>
    <w:rsid w:val="002D38EA"/>
    <w:rsid w:val="002D4D89"/>
    <w:rsid w:val="002D512B"/>
    <w:rsid w:val="002D7D0B"/>
    <w:rsid w:val="002E059B"/>
    <w:rsid w:val="002E10FD"/>
    <w:rsid w:val="002E2502"/>
    <w:rsid w:val="002F1F3D"/>
    <w:rsid w:val="002F7EEC"/>
    <w:rsid w:val="0030144E"/>
    <w:rsid w:val="00302195"/>
    <w:rsid w:val="00310896"/>
    <w:rsid w:val="00310957"/>
    <w:rsid w:val="00311A49"/>
    <w:rsid w:val="0031219B"/>
    <w:rsid w:val="00313342"/>
    <w:rsid w:val="00313617"/>
    <w:rsid w:val="00315D67"/>
    <w:rsid w:val="00320A22"/>
    <w:rsid w:val="003228F7"/>
    <w:rsid w:val="003245C0"/>
    <w:rsid w:val="003250C8"/>
    <w:rsid w:val="00330A75"/>
    <w:rsid w:val="00331570"/>
    <w:rsid w:val="00331A3B"/>
    <w:rsid w:val="00332B10"/>
    <w:rsid w:val="003338DD"/>
    <w:rsid w:val="00335CCC"/>
    <w:rsid w:val="00336E11"/>
    <w:rsid w:val="003416A5"/>
    <w:rsid w:val="00346432"/>
    <w:rsid w:val="00350D78"/>
    <w:rsid w:val="003529A6"/>
    <w:rsid w:val="00353113"/>
    <w:rsid w:val="00355CA4"/>
    <w:rsid w:val="00357EDC"/>
    <w:rsid w:val="00364058"/>
    <w:rsid w:val="00366E50"/>
    <w:rsid w:val="003700B2"/>
    <w:rsid w:val="00375A0D"/>
    <w:rsid w:val="003768BE"/>
    <w:rsid w:val="0038096B"/>
    <w:rsid w:val="0038225A"/>
    <w:rsid w:val="0038389F"/>
    <w:rsid w:val="003859B1"/>
    <w:rsid w:val="00386045"/>
    <w:rsid w:val="00387570"/>
    <w:rsid w:val="00387846"/>
    <w:rsid w:val="00392348"/>
    <w:rsid w:val="003927B5"/>
    <w:rsid w:val="00392D9B"/>
    <w:rsid w:val="00393269"/>
    <w:rsid w:val="00393551"/>
    <w:rsid w:val="00393F9B"/>
    <w:rsid w:val="00394172"/>
    <w:rsid w:val="003A5175"/>
    <w:rsid w:val="003A5AE7"/>
    <w:rsid w:val="003A5F0C"/>
    <w:rsid w:val="003A63FE"/>
    <w:rsid w:val="003B1BC2"/>
    <w:rsid w:val="003B25BA"/>
    <w:rsid w:val="003B66F5"/>
    <w:rsid w:val="003B7AC0"/>
    <w:rsid w:val="003C2234"/>
    <w:rsid w:val="003C414B"/>
    <w:rsid w:val="003C5AA2"/>
    <w:rsid w:val="003D0C6A"/>
    <w:rsid w:val="003D31E8"/>
    <w:rsid w:val="003D49C1"/>
    <w:rsid w:val="003D501B"/>
    <w:rsid w:val="003D5755"/>
    <w:rsid w:val="003D7D6A"/>
    <w:rsid w:val="003E08E9"/>
    <w:rsid w:val="003E4004"/>
    <w:rsid w:val="003E43E5"/>
    <w:rsid w:val="003E6FA6"/>
    <w:rsid w:val="003E79F0"/>
    <w:rsid w:val="003E7A8F"/>
    <w:rsid w:val="003F0F0F"/>
    <w:rsid w:val="003F1A6C"/>
    <w:rsid w:val="003F70A7"/>
    <w:rsid w:val="003F7C01"/>
    <w:rsid w:val="0040059C"/>
    <w:rsid w:val="00402CA9"/>
    <w:rsid w:val="004038B7"/>
    <w:rsid w:val="004062B4"/>
    <w:rsid w:val="00407B48"/>
    <w:rsid w:val="00407FD8"/>
    <w:rsid w:val="00410699"/>
    <w:rsid w:val="00411F6D"/>
    <w:rsid w:val="00412686"/>
    <w:rsid w:val="0041366A"/>
    <w:rsid w:val="0041399C"/>
    <w:rsid w:val="00414E97"/>
    <w:rsid w:val="00415425"/>
    <w:rsid w:val="00415A1A"/>
    <w:rsid w:val="0042056F"/>
    <w:rsid w:val="0042205B"/>
    <w:rsid w:val="00424FC1"/>
    <w:rsid w:val="004270FE"/>
    <w:rsid w:val="004322F2"/>
    <w:rsid w:val="0043731C"/>
    <w:rsid w:val="0044336A"/>
    <w:rsid w:val="004454C3"/>
    <w:rsid w:val="00450A72"/>
    <w:rsid w:val="00451C46"/>
    <w:rsid w:val="004615D2"/>
    <w:rsid w:val="004619D6"/>
    <w:rsid w:val="00462BB1"/>
    <w:rsid w:val="0046329C"/>
    <w:rsid w:val="004745BC"/>
    <w:rsid w:val="0047544C"/>
    <w:rsid w:val="00475611"/>
    <w:rsid w:val="004804D8"/>
    <w:rsid w:val="0048321E"/>
    <w:rsid w:val="004844CF"/>
    <w:rsid w:val="00484EC9"/>
    <w:rsid w:val="0048712F"/>
    <w:rsid w:val="004906B9"/>
    <w:rsid w:val="0049459E"/>
    <w:rsid w:val="00494C5C"/>
    <w:rsid w:val="004A05DD"/>
    <w:rsid w:val="004A073B"/>
    <w:rsid w:val="004A1AA5"/>
    <w:rsid w:val="004A5EBC"/>
    <w:rsid w:val="004B1664"/>
    <w:rsid w:val="004B1786"/>
    <w:rsid w:val="004B1CB6"/>
    <w:rsid w:val="004B6143"/>
    <w:rsid w:val="004B6651"/>
    <w:rsid w:val="004B7995"/>
    <w:rsid w:val="004B7EDF"/>
    <w:rsid w:val="004C2ED3"/>
    <w:rsid w:val="004C57D9"/>
    <w:rsid w:val="004C766F"/>
    <w:rsid w:val="004C79FC"/>
    <w:rsid w:val="004D41B6"/>
    <w:rsid w:val="004D7128"/>
    <w:rsid w:val="004D7C40"/>
    <w:rsid w:val="004E1B2A"/>
    <w:rsid w:val="004E3FC1"/>
    <w:rsid w:val="004F1342"/>
    <w:rsid w:val="004F1698"/>
    <w:rsid w:val="004F2126"/>
    <w:rsid w:val="004F3EF3"/>
    <w:rsid w:val="004F4EBE"/>
    <w:rsid w:val="004F4F55"/>
    <w:rsid w:val="004F6363"/>
    <w:rsid w:val="00503A63"/>
    <w:rsid w:val="00503FE4"/>
    <w:rsid w:val="0050636D"/>
    <w:rsid w:val="005078F5"/>
    <w:rsid w:val="005109CC"/>
    <w:rsid w:val="0051132E"/>
    <w:rsid w:val="00512D1A"/>
    <w:rsid w:val="005136E3"/>
    <w:rsid w:val="0051575D"/>
    <w:rsid w:val="0052002C"/>
    <w:rsid w:val="0052056D"/>
    <w:rsid w:val="00522270"/>
    <w:rsid w:val="005223F5"/>
    <w:rsid w:val="005229A4"/>
    <w:rsid w:val="00522A41"/>
    <w:rsid w:val="00524CD2"/>
    <w:rsid w:val="00524E38"/>
    <w:rsid w:val="00525582"/>
    <w:rsid w:val="0053010D"/>
    <w:rsid w:val="0053015F"/>
    <w:rsid w:val="00530FE1"/>
    <w:rsid w:val="00536152"/>
    <w:rsid w:val="005374A8"/>
    <w:rsid w:val="005376BC"/>
    <w:rsid w:val="00543EEE"/>
    <w:rsid w:val="00544BD6"/>
    <w:rsid w:val="0054597C"/>
    <w:rsid w:val="00545F13"/>
    <w:rsid w:val="00546EEE"/>
    <w:rsid w:val="005576E0"/>
    <w:rsid w:val="00560133"/>
    <w:rsid w:val="00562D0A"/>
    <w:rsid w:val="00564643"/>
    <w:rsid w:val="00565F0F"/>
    <w:rsid w:val="00566349"/>
    <w:rsid w:val="00571C5E"/>
    <w:rsid w:val="00573C02"/>
    <w:rsid w:val="005744AC"/>
    <w:rsid w:val="00575A04"/>
    <w:rsid w:val="00575CB4"/>
    <w:rsid w:val="00576677"/>
    <w:rsid w:val="005822B9"/>
    <w:rsid w:val="00582C1B"/>
    <w:rsid w:val="00584F3A"/>
    <w:rsid w:val="0058568D"/>
    <w:rsid w:val="0058784D"/>
    <w:rsid w:val="005900F0"/>
    <w:rsid w:val="00590536"/>
    <w:rsid w:val="00590C97"/>
    <w:rsid w:val="00591789"/>
    <w:rsid w:val="00593018"/>
    <w:rsid w:val="0059562E"/>
    <w:rsid w:val="005A0700"/>
    <w:rsid w:val="005B0E6E"/>
    <w:rsid w:val="005B278C"/>
    <w:rsid w:val="005B3477"/>
    <w:rsid w:val="005B69F4"/>
    <w:rsid w:val="005B7C09"/>
    <w:rsid w:val="005B7E2F"/>
    <w:rsid w:val="005C5D5B"/>
    <w:rsid w:val="005C5D91"/>
    <w:rsid w:val="005D03E8"/>
    <w:rsid w:val="005D6CB1"/>
    <w:rsid w:val="005E5181"/>
    <w:rsid w:val="005E584E"/>
    <w:rsid w:val="005E7798"/>
    <w:rsid w:val="005F178F"/>
    <w:rsid w:val="005F211F"/>
    <w:rsid w:val="005F4FB1"/>
    <w:rsid w:val="005F4FD1"/>
    <w:rsid w:val="005F57C0"/>
    <w:rsid w:val="005F60E6"/>
    <w:rsid w:val="00601E81"/>
    <w:rsid w:val="00603FAC"/>
    <w:rsid w:val="006048B0"/>
    <w:rsid w:val="0060531F"/>
    <w:rsid w:val="00607227"/>
    <w:rsid w:val="0061247F"/>
    <w:rsid w:val="00612EBB"/>
    <w:rsid w:val="00613BD4"/>
    <w:rsid w:val="00613BDF"/>
    <w:rsid w:val="00613DEC"/>
    <w:rsid w:val="00614F67"/>
    <w:rsid w:val="00616F8C"/>
    <w:rsid w:val="00620AEA"/>
    <w:rsid w:val="006244F1"/>
    <w:rsid w:val="006253AB"/>
    <w:rsid w:val="00630A58"/>
    <w:rsid w:val="00631A33"/>
    <w:rsid w:val="006342EB"/>
    <w:rsid w:val="006349F1"/>
    <w:rsid w:val="0063512C"/>
    <w:rsid w:val="0064037E"/>
    <w:rsid w:val="00641F1E"/>
    <w:rsid w:val="00644786"/>
    <w:rsid w:val="00644A4A"/>
    <w:rsid w:val="00644C70"/>
    <w:rsid w:val="006465C5"/>
    <w:rsid w:val="00660117"/>
    <w:rsid w:val="00662D58"/>
    <w:rsid w:val="006641AA"/>
    <w:rsid w:val="006644C9"/>
    <w:rsid w:val="0066450A"/>
    <w:rsid w:val="00676B86"/>
    <w:rsid w:val="0068355E"/>
    <w:rsid w:val="00685921"/>
    <w:rsid w:val="00685E2E"/>
    <w:rsid w:val="00686516"/>
    <w:rsid w:val="00686878"/>
    <w:rsid w:val="00692AE9"/>
    <w:rsid w:val="00693A08"/>
    <w:rsid w:val="006978C7"/>
    <w:rsid w:val="006A59AC"/>
    <w:rsid w:val="006B23C0"/>
    <w:rsid w:val="006B37E8"/>
    <w:rsid w:val="006B4830"/>
    <w:rsid w:val="006C14BB"/>
    <w:rsid w:val="006C27B5"/>
    <w:rsid w:val="006C4A67"/>
    <w:rsid w:val="006C4CE1"/>
    <w:rsid w:val="006C64FC"/>
    <w:rsid w:val="006C7EF7"/>
    <w:rsid w:val="006D3D2A"/>
    <w:rsid w:val="006D7DBD"/>
    <w:rsid w:val="006E1440"/>
    <w:rsid w:val="006E1450"/>
    <w:rsid w:val="006E1821"/>
    <w:rsid w:val="006E2C0E"/>
    <w:rsid w:val="006E69B1"/>
    <w:rsid w:val="006E7549"/>
    <w:rsid w:val="006E78A7"/>
    <w:rsid w:val="006F3984"/>
    <w:rsid w:val="006F43AE"/>
    <w:rsid w:val="006F4F09"/>
    <w:rsid w:val="006F5EF0"/>
    <w:rsid w:val="006F7B61"/>
    <w:rsid w:val="00700446"/>
    <w:rsid w:val="0070255D"/>
    <w:rsid w:val="00703878"/>
    <w:rsid w:val="00704808"/>
    <w:rsid w:val="007050BD"/>
    <w:rsid w:val="00710105"/>
    <w:rsid w:val="00711876"/>
    <w:rsid w:val="00711DC2"/>
    <w:rsid w:val="0071214C"/>
    <w:rsid w:val="00713A19"/>
    <w:rsid w:val="007228A5"/>
    <w:rsid w:val="00726EEE"/>
    <w:rsid w:val="007276FC"/>
    <w:rsid w:val="007306A4"/>
    <w:rsid w:val="0073320A"/>
    <w:rsid w:val="00734907"/>
    <w:rsid w:val="00734C16"/>
    <w:rsid w:val="00735863"/>
    <w:rsid w:val="00736B17"/>
    <w:rsid w:val="00740B62"/>
    <w:rsid w:val="00742354"/>
    <w:rsid w:val="00747CE2"/>
    <w:rsid w:val="00753918"/>
    <w:rsid w:val="00761F3D"/>
    <w:rsid w:val="00765140"/>
    <w:rsid w:val="00767C6E"/>
    <w:rsid w:val="00775557"/>
    <w:rsid w:val="0078068B"/>
    <w:rsid w:val="007809F6"/>
    <w:rsid w:val="0078305F"/>
    <w:rsid w:val="007838FA"/>
    <w:rsid w:val="007859E4"/>
    <w:rsid w:val="00786B4C"/>
    <w:rsid w:val="007870B1"/>
    <w:rsid w:val="00787C8F"/>
    <w:rsid w:val="0079002E"/>
    <w:rsid w:val="007913DC"/>
    <w:rsid w:val="00794E03"/>
    <w:rsid w:val="00795DE3"/>
    <w:rsid w:val="0079601D"/>
    <w:rsid w:val="00796047"/>
    <w:rsid w:val="007A1EFB"/>
    <w:rsid w:val="007A3A11"/>
    <w:rsid w:val="007A3C77"/>
    <w:rsid w:val="007A48A7"/>
    <w:rsid w:val="007A6597"/>
    <w:rsid w:val="007A6E88"/>
    <w:rsid w:val="007B3D87"/>
    <w:rsid w:val="007B41DF"/>
    <w:rsid w:val="007B6F6B"/>
    <w:rsid w:val="007B743B"/>
    <w:rsid w:val="007B7A4B"/>
    <w:rsid w:val="007B7FF1"/>
    <w:rsid w:val="007C41AB"/>
    <w:rsid w:val="007C538B"/>
    <w:rsid w:val="007D1892"/>
    <w:rsid w:val="007D2AB2"/>
    <w:rsid w:val="007D3548"/>
    <w:rsid w:val="007D37E9"/>
    <w:rsid w:val="007D3BEB"/>
    <w:rsid w:val="007D5C7C"/>
    <w:rsid w:val="007D60B2"/>
    <w:rsid w:val="007D6BFD"/>
    <w:rsid w:val="007E20FF"/>
    <w:rsid w:val="007E2CF6"/>
    <w:rsid w:val="007F0817"/>
    <w:rsid w:val="007F110B"/>
    <w:rsid w:val="007F1ED9"/>
    <w:rsid w:val="0080076E"/>
    <w:rsid w:val="00801CF4"/>
    <w:rsid w:val="00802935"/>
    <w:rsid w:val="0080401B"/>
    <w:rsid w:val="00804C54"/>
    <w:rsid w:val="00804CCF"/>
    <w:rsid w:val="00804FFF"/>
    <w:rsid w:val="00805F10"/>
    <w:rsid w:val="00806BF5"/>
    <w:rsid w:val="00813719"/>
    <w:rsid w:val="0081429E"/>
    <w:rsid w:val="008161F5"/>
    <w:rsid w:val="00820CC6"/>
    <w:rsid w:val="00823E04"/>
    <w:rsid w:val="008243B1"/>
    <w:rsid w:val="00824432"/>
    <w:rsid w:val="008244C1"/>
    <w:rsid w:val="0083015E"/>
    <w:rsid w:val="008304DE"/>
    <w:rsid w:val="008309FB"/>
    <w:rsid w:val="0083143E"/>
    <w:rsid w:val="00831592"/>
    <w:rsid w:val="008326D7"/>
    <w:rsid w:val="00835C7B"/>
    <w:rsid w:val="008367F7"/>
    <w:rsid w:val="00836B66"/>
    <w:rsid w:val="00844D84"/>
    <w:rsid w:val="00846CD6"/>
    <w:rsid w:val="008509C4"/>
    <w:rsid w:val="00850C88"/>
    <w:rsid w:val="00853680"/>
    <w:rsid w:val="00854082"/>
    <w:rsid w:val="00855B2F"/>
    <w:rsid w:val="00856E60"/>
    <w:rsid w:val="00866D74"/>
    <w:rsid w:val="00866F8A"/>
    <w:rsid w:val="00875EA8"/>
    <w:rsid w:val="008839D0"/>
    <w:rsid w:val="00883CC0"/>
    <w:rsid w:val="00884A6C"/>
    <w:rsid w:val="008903B5"/>
    <w:rsid w:val="00896BBC"/>
    <w:rsid w:val="00897D0F"/>
    <w:rsid w:val="008A085D"/>
    <w:rsid w:val="008A294E"/>
    <w:rsid w:val="008A3BD3"/>
    <w:rsid w:val="008A4B20"/>
    <w:rsid w:val="008A515A"/>
    <w:rsid w:val="008B00F7"/>
    <w:rsid w:val="008B0CE5"/>
    <w:rsid w:val="008B28F2"/>
    <w:rsid w:val="008B2D69"/>
    <w:rsid w:val="008B420E"/>
    <w:rsid w:val="008C146E"/>
    <w:rsid w:val="008C3FCF"/>
    <w:rsid w:val="008C5186"/>
    <w:rsid w:val="008C543D"/>
    <w:rsid w:val="008C66AF"/>
    <w:rsid w:val="008C7291"/>
    <w:rsid w:val="008D06F7"/>
    <w:rsid w:val="008D0764"/>
    <w:rsid w:val="008D2E37"/>
    <w:rsid w:val="008D3064"/>
    <w:rsid w:val="008D574D"/>
    <w:rsid w:val="008D69DF"/>
    <w:rsid w:val="008D7A92"/>
    <w:rsid w:val="008E1436"/>
    <w:rsid w:val="008E3D2A"/>
    <w:rsid w:val="008F11BB"/>
    <w:rsid w:val="008F142E"/>
    <w:rsid w:val="008F550A"/>
    <w:rsid w:val="008F5951"/>
    <w:rsid w:val="008F78C9"/>
    <w:rsid w:val="00900E97"/>
    <w:rsid w:val="0090191B"/>
    <w:rsid w:val="00903A52"/>
    <w:rsid w:val="0090650E"/>
    <w:rsid w:val="00911E72"/>
    <w:rsid w:val="00912B99"/>
    <w:rsid w:val="00913F7F"/>
    <w:rsid w:val="009148A1"/>
    <w:rsid w:val="0091604F"/>
    <w:rsid w:val="00922A48"/>
    <w:rsid w:val="00924CF5"/>
    <w:rsid w:val="0093030E"/>
    <w:rsid w:val="00930B38"/>
    <w:rsid w:val="00930C4A"/>
    <w:rsid w:val="00934EAB"/>
    <w:rsid w:val="00935735"/>
    <w:rsid w:val="00937A48"/>
    <w:rsid w:val="00937C7A"/>
    <w:rsid w:val="0094068A"/>
    <w:rsid w:val="00940738"/>
    <w:rsid w:val="00944499"/>
    <w:rsid w:val="009455C9"/>
    <w:rsid w:val="00947B70"/>
    <w:rsid w:val="009521B9"/>
    <w:rsid w:val="00954995"/>
    <w:rsid w:val="00954B7D"/>
    <w:rsid w:val="009554DE"/>
    <w:rsid w:val="00956531"/>
    <w:rsid w:val="0095654F"/>
    <w:rsid w:val="00960293"/>
    <w:rsid w:val="009626CD"/>
    <w:rsid w:val="009629EB"/>
    <w:rsid w:val="00963C39"/>
    <w:rsid w:val="00965377"/>
    <w:rsid w:val="009672A5"/>
    <w:rsid w:val="00972DE1"/>
    <w:rsid w:val="00973814"/>
    <w:rsid w:val="009750C6"/>
    <w:rsid w:val="00976A04"/>
    <w:rsid w:val="009814D2"/>
    <w:rsid w:val="0098258C"/>
    <w:rsid w:val="00991191"/>
    <w:rsid w:val="009917DD"/>
    <w:rsid w:val="00991BE0"/>
    <w:rsid w:val="00991F53"/>
    <w:rsid w:val="00992273"/>
    <w:rsid w:val="00992AF2"/>
    <w:rsid w:val="00994A1C"/>
    <w:rsid w:val="00996008"/>
    <w:rsid w:val="00996733"/>
    <w:rsid w:val="00997598"/>
    <w:rsid w:val="00997D8E"/>
    <w:rsid w:val="009A033E"/>
    <w:rsid w:val="009A0DB5"/>
    <w:rsid w:val="009A0E88"/>
    <w:rsid w:val="009A30EC"/>
    <w:rsid w:val="009B0BB8"/>
    <w:rsid w:val="009B1060"/>
    <w:rsid w:val="009B407E"/>
    <w:rsid w:val="009B42D2"/>
    <w:rsid w:val="009B4958"/>
    <w:rsid w:val="009B5C8C"/>
    <w:rsid w:val="009B63B6"/>
    <w:rsid w:val="009B6B42"/>
    <w:rsid w:val="009B71C7"/>
    <w:rsid w:val="009B736A"/>
    <w:rsid w:val="009C480B"/>
    <w:rsid w:val="009C6A68"/>
    <w:rsid w:val="009C78A0"/>
    <w:rsid w:val="009D10B1"/>
    <w:rsid w:val="009D15FF"/>
    <w:rsid w:val="009D4047"/>
    <w:rsid w:val="009D617F"/>
    <w:rsid w:val="009D7A02"/>
    <w:rsid w:val="009E1E51"/>
    <w:rsid w:val="009E264E"/>
    <w:rsid w:val="009E5D02"/>
    <w:rsid w:val="009E5E6F"/>
    <w:rsid w:val="009E6AE6"/>
    <w:rsid w:val="009F00D6"/>
    <w:rsid w:val="009F131B"/>
    <w:rsid w:val="009F1FE9"/>
    <w:rsid w:val="009F2F28"/>
    <w:rsid w:val="009F3F4D"/>
    <w:rsid w:val="009F5D6B"/>
    <w:rsid w:val="009F700B"/>
    <w:rsid w:val="009F7F64"/>
    <w:rsid w:val="00A015B7"/>
    <w:rsid w:val="00A0210D"/>
    <w:rsid w:val="00A02B69"/>
    <w:rsid w:val="00A02EF6"/>
    <w:rsid w:val="00A03EDA"/>
    <w:rsid w:val="00A04172"/>
    <w:rsid w:val="00A06140"/>
    <w:rsid w:val="00A0623F"/>
    <w:rsid w:val="00A07423"/>
    <w:rsid w:val="00A07AE1"/>
    <w:rsid w:val="00A11F8A"/>
    <w:rsid w:val="00A133F4"/>
    <w:rsid w:val="00A15445"/>
    <w:rsid w:val="00A25601"/>
    <w:rsid w:val="00A26088"/>
    <w:rsid w:val="00A3062E"/>
    <w:rsid w:val="00A31DDD"/>
    <w:rsid w:val="00A31EE1"/>
    <w:rsid w:val="00A33619"/>
    <w:rsid w:val="00A34595"/>
    <w:rsid w:val="00A35A39"/>
    <w:rsid w:val="00A36352"/>
    <w:rsid w:val="00A44077"/>
    <w:rsid w:val="00A459E5"/>
    <w:rsid w:val="00A460B4"/>
    <w:rsid w:val="00A4720D"/>
    <w:rsid w:val="00A50824"/>
    <w:rsid w:val="00A514B2"/>
    <w:rsid w:val="00A5165D"/>
    <w:rsid w:val="00A51F4B"/>
    <w:rsid w:val="00A523AE"/>
    <w:rsid w:val="00A5285E"/>
    <w:rsid w:val="00A53264"/>
    <w:rsid w:val="00A53F83"/>
    <w:rsid w:val="00A57924"/>
    <w:rsid w:val="00A60F2A"/>
    <w:rsid w:val="00A629AC"/>
    <w:rsid w:val="00A639E4"/>
    <w:rsid w:val="00A72F9F"/>
    <w:rsid w:val="00A7671D"/>
    <w:rsid w:val="00A76959"/>
    <w:rsid w:val="00A8023F"/>
    <w:rsid w:val="00A803DB"/>
    <w:rsid w:val="00A82A48"/>
    <w:rsid w:val="00A82C90"/>
    <w:rsid w:val="00A8383A"/>
    <w:rsid w:val="00A843F0"/>
    <w:rsid w:val="00A86B85"/>
    <w:rsid w:val="00A9091E"/>
    <w:rsid w:val="00A912C7"/>
    <w:rsid w:val="00A91CA6"/>
    <w:rsid w:val="00A92AE3"/>
    <w:rsid w:val="00A94A54"/>
    <w:rsid w:val="00AA1868"/>
    <w:rsid w:val="00AA2CA2"/>
    <w:rsid w:val="00AA327A"/>
    <w:rsid w:val="00AA3CDD"/>
    <w:rsid w:val="00AA4623"/>
    <w:rsid w:val="00AA4885"/>
    <w:rsid w:val="00AA580F"/>
    <w:rsid w:val="00AB1BAB"/>
    <w:rsid w:val="00AB1C46"/>
    <w:rsid w:val="00AB2DEC"/>
    <w:rsid w:val="00AB3359"/>
    <w:rsid w:val="00AB5094"/>
    <w:rsid w:val="00AB77A3"/>
    <w:rsid w:val="00AC02A5"/>
    <w:rsid w:val="00AC3FF0"/>
    <w:rsid w:val="00AC66AE"/>
    <w:rsid w:val="00AC6DC6"/>
    <w:rsid w:val="00AD1D53"/>
    <w:rsid w:val="00AD1EB8"/>
    <w:rsid w:val="00AE074B"/>
    <w:rsid w:val="00AE14A4"/>
    <w:rsid w:val="00AE1E84"/>
    <w:rsid w:val="00AE3806"/>
    <w:rsid w:val="00AE5C49"/>
    <w:rsid w:val="00AE7E3F"/>
    <w:rsid w:val="00AF0BA2"/>
    <w:rsid w:val="00AF12F7"/>
    <w:rsid w:val="00AF1CAE"/>
    <w:rsid w:val="00AF2109"/>
    <w:rsid w:val="00AF2576"/>
    <w:rsid w:val="00AF25CE"/>
    <w:rsid w:val="00AF6ECD"/>
    <w:rsid w:val="00AF7075"/>
    <w:rsid w:val="00B04172"/>
    <w:rsid w:val="00B053E2"/>
    <w:rsid w:val="00B0620A"/>
    <w:rsid w:val="00B1256F"/>
    <w:rsid w:val="00B14C67"/>
    <w:rsid w:val="00B1636D"/>
    <w:rsid w:val="00B17C37"/>
    <w:rsid w:val="00B2317B"/>
    <w:rsid w:val="00B23688"/>
    <w:rsid w:val="00B238C3"/>
    <w:rsid w:val="00B24ED7"/>
    <w:rsid w:val="00B257BE"/>
    <w:rsid w:val="00B272D9"/>
    <w:rsid w:val="00B278A7"/>
    <w:rsid w:val="00B32506"/>
    <w:rsid w:val="00B32873"/>
    <w:rsid w:val="00B34ED4"/>
    <w:rsid w:val="00B438DF"/>
    <w:rsid w:val="00B43D5B"/>
    <w:rsid w:val="00B44E00"/>
    <w:rsid w:val="00B45F75"/>
    <w:rsid w:val="00B45FE6"/>
    <w:rsid w:val="00B46A1E"/>
    <w:rsid w:val="00B47362"/>
    <w:rsid w:val="00B502CF"/>
    <w:rsid w:val="00B51088"/>
    <w:rsid w:val="00B52645"/>
    <w:rsid w:val="00B563DF"/>
    <w:rsid w:val="00B570F7"/>
    <w:rsid w:val="00B62E83"/>
    <w:rsid w:val="00B65A43"/>
    <w:rsid w:val="00B6715F"/>
    <w:rsid w:val="00B70133"/>
    <w:rsid w:val="00B70ED0"/>
    <w:rsid w:val="00B74AAD"/>
    <w:rsid w:val="00B7555E"/>
    <w:rsid w:val="00B77B9F"/>
    <w:rsid w:val="00B8390B"/>
    <w:rsid w:val="00B83FC6"/>
    <w:rsid w:val="00B922F0"/>
    <w:rsid w:val="00B93603"/>
    <w:rsid w:val="00B959B9"/>
    <w:rsid w:val="00BA01C4"/>
    <w:rsid w:val="00BA0982"/>
    <w:rsid w:val="00BA257D"/>
    <w:rsid w:val="00BA367C"/>
    <w:rsid w:val="00BA3943"/>
    <w:rsid w:val="00BA4363"/>
    <w:rsid w:val="00BA5480"/>
    <w:rsid w:val="00BA6640"/>
    <w:rsid w:val="00BB3E33"/>
    <w:rsid w:val="00BC1B1D"/>
    <w:rsid w:val="00BC4298"/>
    <w:rsid w:val="00BC4773"/>
    <w:rsid w:val="00BC570A"/>
    <w:rsid w:val="00BC57D1"/>
    <w:rsid w:val="00BD1073"/>
    <w:rsid w:val="00BD244A"/>
    <w:rsid w:val="00BD52DE"/>
    <w:rsid w:val="00BD5BE1"/>
    <w:rsid w:val="00BD6420"/>
    <w:rsid w:val="00BE13E0"/>
    <w:rsid w:val="00BE1627"/>
    <w:rsid w:val="00BE277E"/>
    <w:rsid w:val="00BE7A42"/>
    <w:rsid w:val="00BF12A6"/>
    <w:rsid w:val="00BF2014"/>
    <w:rsid w:val="00BF6B59"/>
    <w:rsid w:val="00BF6C96"/>
    <w:rsid w:val="00BF7240"/>
    <w:rsid w:val="00BF72CD"/>
    <w:rsid w:val="00C0242F"/>
    <w:rsid w:val="00C047CE"/>
    <w:rsid w:val="00C10524"/>
    <w:rsid w:val="00C138E3"/>
    <w:rsid w:val="00C15012"/>
    <w:rsid w:val="00C17C2C"/>
    <w:rsid w:val="00C209B2"/>
    <w:rsid w:val="00C21B6E"/>
    <w:rsid w:val="00C2378C"/>
    <w:rsid w:val="00C308EF"/>
    <w:rsid w:val="00C3649E"/>
    <w:rsid w:val="00C37459"/>
    <w:rsid w:val="00C403A5"/>
    <w:rsid w:val="00C40B54"/>
    <w:rsid w:val="00C4177A"/>
    <w:rsid w:val="00C417EB"/>
    <w:rsid w:val="00C42A5A"/>
    <w:rsid w:val="00C473F8"/>
    <w:rsid w:val="00C50BB7"/>
    <w:rsid w:val="00C53322"/>
    <w:rsid w:val="00C5545C"/>
    <w:rsid w:val="00C60F4B"/>
    <w:rsid w:val="00C6127A"/>
    <w:rsid w:val="00C61AE3"/>
    <w:rsid w:val="00C630CF"/>
    <w:rsid w:val="00C636EC"/>
    <w:rsid w:val="00C71870"/>
    <w:rsid w:val="00C71BA9"/>
    <w:rsid w:val="00C73A34"/>
    <w:rsid w:val="00C73EF7"/>
    <w:rsid w:val="00C7582D"/>
    <w:rsid w:val="00C8027D"/>
    <w:rsid w:val="00C824AF"/>
    <w:rsid w:val="00C85F06"/>
    <w:rsid w:val="00C872FF"/>
    <w:rsid w:val="00C8757C"/>
    <w:rsid w:val="00C908A7"/>
    <w:rsid w:val="00C9270C"/>
    <w:rsid w:val="00C92794"/>
    <w:rsid w:val="00C92A23"/>
    <w:rsid w:val="00C9318E"/>
    <w:rsid w:val="00C95392"/>
    <w:rsid w:val="00C9685E"/>
    <w:rsid w:val="00C96B70"/>
    <w:rsid w:val="00CA1DE9"/>
    <w:rsid w:val="00CA1FE4"/>
    <w:rsid w:val="00CA2E6F"/>
    <w:rsid w:val="00CA5585"/>
    <w:rsid w:val="00CA693F"/>
    <w:rsid w:val="00CA7109"/>
    <w:rsid w:val="00CA7556"/>
    <w:rsid w:val="00CB0932"/>
    <w:rsid w:val="00CB0D18"/>
    <w:rsid w:val="00CB0D41"/>
    <w:rsid w:val="00CB14E1"/>
    <w:rsid w:val="00CB602E"/>
    <w:rsid w:val="00CC1DDB"/>
    <w:rsid w:val="00CC1E96"/>
    <w:rsid w:val="00CC245C"/>
    <w:rsid w:val="00CC2AA7"/>
    <w:rsid w:val="00CC3710"/>
    <w:rsid w:val="00CC6BC7"/>
    <w:rsid w:val="00CC6E53"/>
    <w:rsid w:val="00CC7BCD"/>
    <w:rsid w:val="00CD1EE0"/>
    <w:rsid w:val="00CD7125"/>
    <w:rsid w:val="00CE616D"/>
    <w:rsid w:val="00CF30C4"/>
    <w:rsid w:val="00CF42D9"/>
    <w:rsid w:val="00CF69C6"/>
    <w:rsid w:val="00D00307"/>
    <w:rsid w:val="00D034A9"/>
    <w:rsid w:val="00D042CA"/>
    <w:rsid w:val="00D0569C"/>
    <w:rsid w:val="00D07DA8"/>
    <w:rsid w:val="00D13AFC"/>
    <w:rsid w:val="00D13F32"/>
    <w:rsid w:val="00D14DD0"/>
    <w:rsid w:val="00D1736C"/>
    <w:rsid w:val="00D21FEE"/>
    <w:rsid w:val="00D2233C"/>
    <w:rsid w:val="00D22EDD"/>
    <w:rsid w:val="00D230E7"/>
    <w:rsid w:val="00D27893"/>
    <w:rsid w:val="00D34032"/>
    <w:rsid w:val="00D40165"/>
    <w:rsid w:val="00D462B6"/>
    <w:rsid w:val="00D50C9E"/>
    <w:rsid w:val="00D53F4D"/>
    <w:rsid w:val="00D5492F"/>
    <w:rsid w:val="00D55C05"/>
    <w:rsid w:val="00D60CD6"/>
    <w:rsid w:val="00D60F22"/>
    <w:rsid w:val="00D6197D"/>
    <w:rsid w:val="00D62F88"/>
    <w:rsid w:val="00D63B2D"/>
    <w:rsid w:val="00D64939"/>
    <w:rsid w:val="00D6527C"/>
    <w:rsid w:val="00D65319"/>
    <w:rsid w:val="00D65A0A"/>
    <w:rsid w:val="00D76043"/>
    <w:rsid w:val="00D7716F"/>
    <w:rsid w:val="00D77545"/>
    <w:rsid w:val="00D808CE"/>
    <w:rsid w:val="00D80BE1"/>
    <w:rsid w:val="00D837ED"/>
    <w:rsid w:val="00D84030"/>
    <w:rsid w:val="00D8448D"/>
    <w:rsid w:val="00D84B66"/>
    <w:rsid w:val="00D85C88"/>
    <w:rsid w:val="00D86C9A"/>
    <w:rsid w:val="00D87D49"/>
    <w:rsid w:val="00D87F33"/>
    <w:rsid w:val="00D93E33"/>
    <w:rsid w:val="00D940D9"/>
    <w:rsid w:val="00D95293"/>
    <w:rsid w:val="00D96347"/>
    <w:rsid w:val="00DA2C30"/>
    <w:rsid w:val="00DA564A"/>
    <w:rsid w:val="00DA5C6D"/>
    <w:rsid w:val="00DA6512"/>
    <w:rsid w:val="00DA7F94"/>
    <w:rsid w:val="00DB74BA"/>
    <w:rsid w:val="00DB7CF7"/>
    <w:rsid w:val="00DC0D6F"/>
    <w:rsid w:val="00DC1C49"/>
    <w:rsid w:val="00DC264B"/>
    <w:rsid w:val="00DC3A91"/>
    <w:rsid w:val="00DC3B33"/>
    <w:rsid w:val="00DC3C97"/>
    <w:rsid w:val="00DC4FFE"/>
    <w:rsid w:val="00DC5BE6"/>
    <w:rsid w:val="00DC6BF2"/>
    <w:rsid w:val="00DC7931"/>
    <w:rsid w:val="00DD082E"/>
    <w:rsid w:val="00DD35D0"/>
    <w:rsid w:val="00DD42C9"/>
    <w:rsid w:val="00DD6830"/>
    <w:rsid w:val="00DD7A21"/>
    <w:rsid w:val="00DD7B45"/>
    <w:rsid w:val="00DE6AD3"/>
    <w:rsid w:val="00DF3750"/>
    <w:rsid w:val="00E02384"/>
    <w:rsid w:val="00E02C90"/>
    <w:rsid w:val="00E073BB"/>
    <w:rsid w:val="00E07983"/>
    <w:rsid w:val="00E1050C"/>
    <w:rsid w:val="00E11DFF"/>
    <w:rsid w:val="00E15DC0"/>
    <w:rsid w:val="00E16BC4"/>
    <w:rsid w:val="00E20132"/>
    <w:rsid w:val="00E20768"/>
    <w:rsid w:val="00E228EA"/>
    <w:rsid w:val="00E22AC3"/>
    <w:rsid w:val="00E25ECD"/>
    <w:rsid w:val="00E25EF8"/>
    <w:rsid w:val="00E2668F"/>
    <w:rsid w:val="00E32D53"/>
    <w:rsid w:val="00E34283"/>
    <w:rsid w:val="00E34312"/>
    <w:rsid w:val="00E40E70"/>
    <w:rsid w:val="00E43345"/>
    <w:rsid w:val="00E44892"/>
    <w:rsid w:val="00E44F1F"/>
    <w:rsid w:val="00E46A9A"/>
    <w:rsid w:val="00E47402"/>
    <w:rsid w:val="00E5237F"/>
    <w:rsid w:val="00E53FE6"/>
    <w:rsid w:val="00E56CBB"/>
    <w:rsid w:val="00E57A03"/>
    <w:rsid w:val="00E60338"/>
    <w:rsid w:val="00E6280B"/>
    <w:rsid w:val="00E62E00"/>
    <w:rsid w:val="00E63973"/>
    <w:rsid w:val="00E654C4"/>
    <w:rsid w:val="00E65BFB"/>
    <w:rsid w:val="00E719CE"/>
    <w:rsid w:val="00E740F0"/>
    <w:rsid w:val="00E7539A"/>
    <w:rsid w:val="00E75D69"/>
    <w:rsid w:val="00E75F82"/>
    <w:rsid w:val="00E76AF2"/>
    <w:rsid w:val="00E81059"/>
    <w:rsid w:val="00E84E33"/>
    <w:rsid w:val="00E87619"/>
    <w:rsid w:val="00E92855"/>
    <w:rsid w:val="00E92A36"/>
    <w:rsid w:val="00E937B6"/>
    <w:rsid w:val="00E948EA"/>
    <w:rsid w:val="00E9733F"/>
    <w:rsid w:val="00EA19F3"/>
    <w:rsid w:val="00EA3008"/>
    <w:rsid w:val="00EA3DA0"/>
    <w:rsid w:val="00EA4FBA"/>
    <w:rsid w:val="00EB0CF4"/>
    <w:rsid w:val="00EB4A32"/>
    <w:rsid w:val="00EB4C21"/>
    <w:rsid w:val="00EB6D1F"/>
    <w:rsid w:val="00EB7716"/>
    <w:rsid w:val="00EB7E62"/>
    <w:rsid w:val="00EB7EE9"/>
    <w:rsid w:val="00EC0B19"/>
    <w:rsid w:val="00EC510C"/>
    <w:rsid w:val="00EC5A1E"/>
    <w:rsid w:val="00EC6B9F"/>
    <w:rsid w:val="00ED090A"/>
    <w:rsid w:val="00ED19AE"/>
    <w:rsid w:val="00ED407A"/>
    <w:rsid w:val="00EE340E"/>
    <w:rsid w:val="00EE3DB9"/>
    <w:rsid w:val="00EF1332"/>
    <w:rsid w:val="00EF1F3B"/>
    <w:rsid w:val="00EF3105"/>
    <w:rsid w:val="00F0115F"/>
    <w:rsid w:val="00F02EF4"/>
    <w:rsid w:val="00F06DE0"/>
    <w:rsid w:val="00F1224D"/>
    <w:rsid w:val="00F20D20"/>
    <w:rsid w:val="00F20FC8"/>
    <w:rsid w:val="00F23026"/>
    <w:rsid w:val="00F2334D"/>
    <w:rsid w:val="00F2356C"/>
    <w:rsid w:val="00F25D21"/>
    <w:rsid w:val="00F27449"/>
    <w:rsid w:val="00F30599"/>
    <w:rsid w:val="00F30B13"/>
    <w:rsid w:val="00F30CDA"/>
    <w:rsid w:val="00F32C5F"/>
    <w:rsid w:val="00F331FD"/>
    <w:rsid w:val="00F35082"/>
    <w:rsid w:val="00F36427"/>
    <w:rsid w:val="00F41918"/>
    <w:rsid w:val="00F44227"/>
    <w:rsid w:val="00F44BA6"/>
    <w:rsid w:val="00F46D4F"/>
    <w:rsid w:val="00F500EB"/>
    <w:rsid w:val="00F50BB0"/>
    <w:rsid w:val="00F544C2"/>
    <w:rsid w:val="00F5658C"/>
    <w:rsid w:val="00F56E19"/>
    <w:rsid w:val="00F63118"/>
    <w:rsid w:val="00F64C60"/>
    <w:rsid w:val="00F6537A"/>
    <w:rsid w:val="00F65F9C"/>
    <w:rsid w:val="00F6782A"/>
    <w:rsid w:val="00F716B2"/>
    <w:rsid w:val="00F73140"/>
    <w:rsid w:val="00F75862"/>
    <w:rsid w:val="00F7698A"/>
    <w:rsid w:val="00F76A1A"/>
    <w:rsid w:val="00F77AB9"/>
    <w:rsid w:val="00F77C80"/>
    <w:rsid w:val="00F81372"/>
    <w:rsid w:val="00F81B67"/>
    <w:rsid w:val="00F86444"/>
    <w:rsid w:val="00F87DB0"/>
    <w:rsid w:val="00F90D2B"/>
    <w:rsid w:val="00F91A74"/>
    <w:rsid w:val="00F92272"/>
    <w:rsid w:val="00F92A9E"/>
    <w:rsid w:val="00F979F3"/>
    <w:rsid w:val="00FA070A"/>
    <w:rsid w:val="00FA1643"/>
    <w:rsid w:val="00FA1BB4"/>
    <w:rsid w:val="00FA23FC"/>
    <w:rsid w:val="00FA25F5"/>
    <w:rsid w:val="00FA64B5"/>
    <w:rsid w:val="00FA6F66"/>
    <w:rsid w:val="00FA75E9"/>
    <w:rsid w:val="00FB0472"/>
    <w:rsid w:val="00FB0554"/>
    <w:rsid w:val="00FB27FB"/>
    <w:rsid w:val="00FB2B04"/>
    <w:rsid w:val="00FB3E5C"/>
    <w:rsid w:val="00FB57B9"/>
    <w:rsid w:val="00FB6F9A"/>
    <w:rsid w:val="00FB7910"/>
    <w:rsid w:val="00FC06D4"/>
    <w:rsid w:val="00FC48EF"/>
    <w:rsid w:val="00FC5C46"/>
    <w:rsid w:val="00FD0A99"/>
    <w:rsid w:val="00FD2F27"/>
    <w:rsid w:val="00FD5926"/>
    <w:rsid w:val="00FD6FBB"/>
    <w:rsid w:val="00FD7DFC"/>
    <w:rsid w:val="00FE01CF"/>
    <w:rsid w:val="00FE7DC9"/>
    <w:rsid w:val="00FF1A19"/>
    <w:rsid w:val="00FF2D6A"/>
    <w:rsid w:val="00FF3D95"/>
    <w:rsid w:val="00FF5DC2"/>
    <w:rsid w:val="00FF64D4"/>
    <w:rsid w:val="00FF669F"/>
    <w:rsid w:val="00FF6BAE"/>
    <w:rsid w:val="00FF7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6D7E9"/>
  <w15:docId w15:val="{A45E78BD-5E59-4AB7-B348-A648666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00"/>
    <w:pPr>
      <w:jc w:val="both"/>
    </w:pPr>
  </w:style>
  <w:style w:type="paragraph" w:styleId="Heading1">
    <w:name w:val="heading 1"/>
    <w:basedOn w:val="Normal"/>
    <w:next w:val="Normal"/>
    <w:link w:val="Heading1Char"/>
    <w:uiPriority w:val="9"/>
    <w:qFormat/>
    <w:rsid w:val="00BC4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E25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ojectTable">
    <w:name w:val="Project Table"/>
    <w:basedOn w:val="TableNormal"/>
    <w:uiPriority w:val="99"/>
    <w:rsid w:val="00C21B6E"/>
    <w:pPr>
      <w:keepNext/>
      <w:keepLines/>
      <w:spacing w:before="40" w:after="40" w:line="240" w:lineRule="auto"/>
    </w:pPr>
    <w:rPr>
      <w:color w:val="404040" w:themeColor="text1" w:themeTint="BF"/>
      <w:sz w:val="20"/>
      <w:szCs w:val="20"/>
      <w:lang w:val="en-US"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pPr>
        <w:jc w:val="center"/>
      </w:pPr>
      <w:rPr>
        <w:b/>
        <w:color w:val="E7E6E6" w:themeColor="background2"/>
      </w:rPr>
      <w:tblPr/>
      <w:tcPr>
        <w:shd w:val="clear" w:color="auto" w:fill="6598CC"/>
      </w:tcPr>
    </w:tblStylePr>
    <w:tblStylePr w:type="firstCol">
      <w:rPr>
        <w:b/>
      </w:rPr>
    </w:tblStylePr>
    <w:tblStylePr w:type="band1Horz">
      <w:rPr>
        <w:rFonts w:asciiTheme="minorHAnsi" w:hAnsiTheme="minorHAnsi"/>
        <w:sz w:val="20"/>
      </w:rPr>
      <w:tblPr/>
      <w:tcPr>
        <w:shd w:val="clear" w:color="auto" w:fill="FBE4D5" w:themeFill="accent2" w:themeFillTint="33"/>
      </w:tcPr>
    </w:tblStylePr>
    <w:tblStylePr w:type="band2Horz">
      <w:tblPr/>
      <w:tcPr>
        <w:shd w:val="clear" w:color="auto" w:fill="FCFDFE"/>
      </w:tcPr>
    </w:tblStylePr>
  </w:style>
  <w:style w:type="paragraph" w:styleId="ListParagraph">
    <w:name w:val="List Paragraph"/>
    <w:basedOn w:val="Normal"/>
    <w:uiPriority w:val="34"/>
    <w:qFormat/>
    <w:rsid w:val="001715F9"/>
    <w:pPr>
      <w:ind w:left="720"/>
      <w:contextualSpacing/>
    </w:pPr>
  </w:style>
  <w:style w:type="paragraph" w:styleId="BodyText">
    <w:name w:val="Body Text"/>
    <w:basedOn w:val="Normal"/>
    <w:link w:val="BodyTextChar"/>
    <w:semiHidden/>
    <w:rsid w:val="00386045"/>
    <w:pPr>
      <w:suppressAutoHyphens/>
      <w:spacing w:after="0" w:line="360" w:lineRule="auto"/>
    </w:pPr>
    <w:rPr>
      <w:rFonts w:ascii="Times New Roman" w:eastAsia="Times New Roman" w:hAnsi="Times New Roman" w:cs="Times New Roman"/>
      <w:noProof/>
      <w:sz w:val="20"/>
      <w:szCs w:val="20"/>
      <w:lang w:val="en-US"/>
    </w:rPr>
  </w:style>
  <w:style w:type="character" w:customStyle="1" w:styleId="BodyTextChar">
    <w:name w:val="Body Text Char"/>
    <w:basedOn w:val="DefaultParagraphFont"/>
    <w:link w:val="BodyText"/>
    <w:semiHidden/>
    <w:rsid w:val="00386045"/>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7B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DF"/>
    <w:rPr>
      <w:rFonts w:ascii="Tahoma" w:hAnsi="Tahoma" w:cs="Tahoma"/>
      <w:sz w:val="16"/>
      <w:szCs w:val="16"/>
    </w:rPr>
  </w:style>
  <w:style w:type="paragraph" w:styleId="Caption">
    <w:name w:val="caption"/>
    <w:basedOn w:val="Normal"/>
    <w:next w:val="Normal"/>
    <w:uiPriority w:val="35"/>
    <w:unhideWhenUsed/>
    <w:qFormat/>
    <w:rsid w:val="007B41DF"/>
    <w:pPr>
      <w:spacing w:after="200"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4D7128"/>
    <w:rPr>
      <w:sz w:val="16"/>
      <w:szCs w:val="16"/>
    </w:rPr>
  </w:style>
  <w:style w:type="paragraph" w:styleId="CommentText">
    <w:name w:val="annotation text"/>
    <w:basedOn w:val="Normal"/>
    <w:link w:val="CommentTextChar"/>
    <w:uiPriority w:val="99"/>
    <w:unhideWhenUsed/>
    <w:rsid w:val="004D7128"/>
    <w:pPr>
      <w:spacing w:line="240" w:lineRule="auto"/>
    </w:pPr>
    <w:rPr>
      <w:sz w:val="20"/>
      <w:szCs w:val="20"/>
    </w:rPr>
  </w:style>
  <w:style w:type="character" w:customStyle="1" w:styleId="CommentTextChar">
    <w:name w:val="Comment Text Char"/>
    <w:basedOn w:val="DefaultParagraphFont"/>
    <w:link w:val="CommentText"/>
    <w:uiPriority w:val="99"/>
    <w:rsid w:val="004D7128"/>
    <w:rPr>
      <w:sz w:val="20"/>
      <w:szCs w:val="20"/>
    </w:rPr>
  </w:style>
  <w:style w:type="paragraph" w:styleId="CommentSubject">
    <w:name w:val="annotation subject"/>
    <w:basedOn w:val="CommentText"/>
    <w:next w:val="CommentText"/>
    <w:link w:val="CommentSubjectChar"/>
    <w:uiPriority w:val="99"/>
    <w:semiHidden/>
    <w:unhideWhenUsed/>
    <w:rsid w:val="004D7128"/>
    <w:rPr>
      <w:b/>
      <w:bCs/>
    </w:rPr>
  </w:style>
  <w:style w:type="character" w:customStyle="1" w:styleId="CommentSubjectChar">
    <w:name w:val="Comment Subject Char"/>
    <w:basedOn w:val="CommentTextChar"/>
    <w:link w:val="CommentSubject"/>
    <w:uiPriority w:val="99"/>
    <w:semiHidden/>
    <w:rsid w:val="004D7128"/>
    <w:rPr>
      <w:b/>
      <w:bCs/>
      <w:sz w:val="20"/>
      <w:szCs w:val="20"/>
    </w:rPr>
  </w:style>
  <w:style w:type="character" w:customStyle="1" w:styleId="Heading1Char">
    <w:name w:val="Heading 1 Char"/>
    <w:basedOn w:val="DefaultParagraphFont"/>
    <w:link w:val="Heading1"/>
    <w:uiPriority w:val="9"/>
    <w:rsid w:val="00BC42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729D"/>
    <w:rPr>
      <w:color w:val="0563C1" w:themeColor="hyperlink"/>
      <w:u w:val="single"/>
    </w:rPr>
  </w:style>
  <w:style w:type="paragraph" w:customStyle="1" w:styleId="Sidebar">
    <w:name w:val="Sidebar"/>
    <w:basedOn w:val="Quote"/>
    <w:link w:val="SidebarChar"/>
    <w:qFormat/>
    <w:rsid w:val="00D95293"/>
    <w:pPr>
      <w:spacing w:before="240" w:after="240" w:line="288" w:lineRule="auto"/>
      <w:ind w:left="0" w:right="0"/>
      <w:jc w:val="left"/>
    </w:pPr>
    <w:rPr>
      <w:rFonts w:eastAsiaTheme="minorEastAsia"/>
      <w:color w:val="33669A"/>
      <w:kern w:val="20"/>
      <w:sz w:val="28"/>
      <w:szCs w:val="28"/>
      <w:lang w:eastAsia="ja-JP"/>
    </w:rPr>
  </w:style>
  <w:style w:type="character" w:customStyle="1" w:styleId="SidebarChar">
    <w:name w:val="Sidebar Char"/>
    <w:basedOn w:val="QuoteChar"/>
    <w:link w:val="Sidebar"/>
    <w:rsid w:val="00D95293"/>
    <w:rPr>
      <w:rFonts w:eastAsiaTheme="minorEastAsia"/>
      <w:i/>
      <w:iCs/>
      <w:color w:val="33669A"/>
      <w:kern w:val="20"/>
      <w:sz w:val="28"/>
      <w:szCs w:val="28"/>
      <w:lang w:eastAsia="ja-JP"/>
    </w:rPr>
  </w:style>
  <w:style w:type="paragraph" w:styleId="Quote">
    <w:name w:val="Quote"/>
    <w:basedOn w:val="Normal"/>
    <w:next w:val="Normal"/>
    <w:link w:val="QuoteChar"/>
    <w:uiPriority w:val="29"/>
    <w:qFormat/>
    <w:rsid w:val="00D9529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5293"/>
    <w:rPr>
      <w:i/>
      <w:iCs/>
      <w:color w:val="404040" w:themeColor="text1" w:themeTint="BF"/>
    </w:rPr>
  </w:style>
  <w:style w:type="paragraph" w:styleId="ListBullet">
    <w:name w:val="List Bullet"/>
    <w:basedOn w:val="Normal"/>
    <w:uiPriority w:val="1"/>
    <w:unhideWhenUsed/>
    <w:qFormat/>
    <w:rsid w:val="00D95293"/>
    <w:pPr>
      <w:numPr>
        <w:numId w:val="23"/>
      </w:numPr>
      <w:spacing w:before="120" w:after="120" w:line="336" w:lineRule="auto"/>
      <w:contextualSpacing/>
    </w:pPr>
    <w:rPr>
      <w:rFonts w:eastAsiaTheme="minorEastAsia"/>
      <w:color w:val="404040" w:themeColor="text1" w:themeTint="BF"/>
      <w:kern w:val="20"/>
      <w:sz w:val="20"/>
      <w:szCs w:val="20"/>
      <w:lang w:eastAsia="ja-JP"/>
    </w:rPr>
  </w:style>
  <w:style w:type="character" w:customStyle="1" w:styleId="UnresolvedMention1">
    <w:name w:val="Unresolved Mention1"/>
    <w:basedOn w:val="DefaultParagraphFont"/>
    <w:uiPriority w:val="99"/>
    <w:semiHidden/>
    <w:unhideWhenUsed/>
    <w:rsid w:val="00F41918"/>
    <w:rPr>
      <w:color w:val="605E5C"/>
      <w:shd w:val="clear" w:color="auto" w:fill="E1DFDD"/>
    </w:rPr>
  </w:style>
  <w:style w:type="paragraph" w:styleId="Bibliography">
    <w:name w:val="Bibliography"/>
    <w:basedOn w:val="Normal"/>
    <w:next w:val="Normal"/>
    <w:uiPriority w:val="37"/>
    <w:semiHidden/>
    <w:unhideWhenUsed/>
    <w:rsid w:val="00123D3C"/>
  </w:style>
  <w:style w:type="paragraph" w:styleId="NormalWeb">
    <w:name w:val="Normal (Web)"/>
    <w:basedOn w:val="Normal"/>
    <w:uiPriority w:val="99"/>
    <w:semiHidden/>
    <w:unhideWhenUsed/>
    <w:rsid w:val="00B34ED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050448"/>
    <w:pPr>
      <w:spacing w:after="0" w:line="240" w:lineRule="auto"/>
    </w:pPr>
  </w:style>
  <w:style w:type="character" w:customStyle="1" w:styleId="Heading4Char">
    <w:name w:val="Heading 4 Char"/>
    <w:basedOn w:val="DefaultParagraphFont"/>
    <w:link w:val="Heading4"/>
    <w:uiPriority w:val="9"/>
    <w:semiHidden/>
    <w:rsid w:val="002E250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64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640A"/>
  </w:style>
  <w:style w:type="paragraph" w:styleId="Footer">
    <w:name w:val="footer"/>
    <w:basedOn w:val="Normal"/>
    <w:link w:val="FooterChar"/>
    <w:uiPriority w:val="99"/>
    <w:unhideWhenUsed/>
    <w:rsid w:val="000A64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640A"/>
  </w:style>
  <w:style w:type="character" w:customStyle="1" w:styleId="UnresolvedMention2">
    <w:name w:val="Unresolved Mention2"/>
    <w:basedOn w:val="DefaultParagraphFont"/>
    <w:uiPriority w:val="99"/>
    <w:semiHidden/>
    <w:unhideWhenUsed/>
    <w:rsid w:val="00660117"/>
    <w:rPr>
      <w:color w:val="605E5C"/>
      <w:shd w:val="clear" w:color="auto" w:fill="E1DFDD"/>
    </w:rPr>
  </w:style>
  <w:style w:type="paragraph" w:styleId="FootnoteText">
    <w:name w:val="footnote text"/>
    <w:basedOn w:val="Normal"/>
    <w:link w:val="FootnoteTextChar"/>
    <w:uiPriority w:val="99"/>
    <w:semiHidden/>
    <w:unhideWhenUsed/>
    <w:rsid w:val="006A5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9AC"/>
    <w:rPr>
      <w:sz w:val="20"/>
      <w:szCs w:val="20"/>
    </w:rPr>
  </w:style>
  <w:style w:type="character" w:styleId="FootnoteReference">
    <w:name w:val="footnote reference"/>
    <w:basedOn w:val="DefaultParagraphFont"/>
    <w:uiPriority w:val="99"/>
    <w:semiHidden/>
    <w:unhideWhenUsed/>
    <w:rsid w:val="006A59AC"/>
    <w:rPr>
      <w:vertAlign w:val="superscript"/>
    </w:rPr>
  </w:style>
  <w:style w:type="paragraph" w:customStyle="1" w:styleId="EndNoteBibliography">
    <w:name w:val="EndNote Bibliography"/>
    <w:basedOn w:val="Normal"/>
    <w:link w:val="EndNoteBibliographyChar"/>
    <w:rsid w:val="00B17C37"/>
    <w:pPr>
      <w:spacing w:line="240" w:lineRule="auto"/>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B17C37"/>
    <w:rPr>
      <w:rFonts w:ascii="Calibri" w:hAnsi="Calibri" w:cs="Calibri"/>
      <w:noProof/>
      <w:lang w:val="en-US"/>
    </w:rPr>
  </w:style>
  <w:style w:type="character" w:styleId="FollowedHyperlink">
    <w:name w:val="FollowedHyperlink"/>
    <w:basedOn w:val="DefaultParagraphFont"/>
    <w:uiPriority w:val="99"/>
    <w:semiHidden/>
    <w:unhideWhenUsed/>
    <w:rsid w:val="00F86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462">
      <w:bodyDiv w:val="1"/>
      <w:marLeft w:val="0"/>
      <w:marRight w:val="0"/>
      <w:marTop w:val="0"/>
      <w:marBottom w:val="0"/>
      <w:divBdr>
        <w:top w:val="none" w:sz="0" w:space="0" w:color="auto"/>
        <w:left w:val="none" w:sz="0" w:space="0" w:color="auto"/>
        <w:bottom w:val="none" w:sz="0" w:space="0" w:color="auto"/>
        <w:right w:val="none" w:sz="0" w:space="0" w:color="auto"/>
      </w:divBdr>
    </w:div>
    <w:div w:id="62410595">
      <w:bodyDiv w:val="1"/>
      <w:marLeft w:val="0"/>
      <w:marRight w:val="0"/>
      <w:marTop w:val="0"/>
      <w:marBottom w:val="0"/>
      <w:divBdr>
        <w:top w:val="none" w:sz="0" w:space="0" w:color="auto"/>
        <w:left w:val="none" w:sz="0" w:space="0" w:color="auto"/>
        <w:bottom w:val="none" w:sz="0" w:space="0" w:color="auto"/>
        <w:right w:val="none" w:sz="0" w:space="0" w:color="auto"/>
      </w:divBdr>
    </w:div>
    <w:div w:id="67729390">
      <w:bodyDiv w:val="1"/>
      <w:marLeft w:val="0"/>
      <w:marRight w:val="0"/>
      <w:marTop w:val="0"/>
      <w:marBottom w:val="0"/>
      <w:divBdr>
        <w:top w:val="none" w:sz="0" w:space="0" w:color="auto"/>
        <w:left w:val="none" w:sz="0" w:space="0" w:color="auto"/>
        <w:bottom w:val="none" w:sz="0" w:space="0" w:color="auto"/>
        <w:right w:val="none" w:sz="0" w:space="0" w:color="auto"/>
      </w:divBdr>
    </w:div>
    <w:div w:id="111175133">
      <w:bodyDiv w:val="1"/>
      <w:marLeft w:val="0"/>
      <w:marRight w:val="0"/>
      <w:marTop w:val="0"/>
      <w:marBottom w:val="0"/>
      <w:divBdr>
        <w:top w:val="none" w:sz="0" w:space="0" w:color="auto"/>
        <w:left w:val="none" w:sz="0" w:space="0" w:color="auto"/>
        <w:bottom w:val="none" w:sz="0" w:space="0" w:color="auto"/>
        <w:right w:val="none" w:sz="0" w:space="0" w:color="auto"/>
      </w:divBdr>
      <w:divsChild>
        <w:div w:id="2025010787">
          <w:marLeft w:val="0"/>
          <w:marRight w:val="0"/>
          <w:marTop w:val="0"/>
          <w:marBottom w:val="0"/>
          <w:divBdr>
            <w:top w:val="none" w:sz="0" w:space="0" w:color="auto"/>
            <w:left w:val="none" w:sz="0" w:space="0" w:color="auto"/>
            <w:bottom w:val="none" w:sz="0" w:space="0" w:color="auto"/>
            <w:right w:val="none" w:sz="0" w:space="0" w:color="auto"/>
          </w:divBdr>
        </w:div>
        <w:div w:id="300698396">
          <w:marLeft w:val="0"/>
          <w:marRight w:val="0"/>
          <w:marTop w:val="75"/>
          <w:marBottom w:val="0"/>
          <w:divBdr>
            <w:top w:val="none" w:sz="0" w:space="0" w:color="auto"/>
            <w:left w:val="none" w:sz="0" w:space="0" w:color="auto"/>
            <w:bottom w:val="none" w:sz="0" w:space="0" w:color="auto"/>
            <w:right w:val="none" w:sz="0" w:space="0" w:color="auto"/>
          </w:divBdr>
        </w:div>
        <w:div w:id="71899852">
          <w:marLeft w:val="0"/>
          <w:marRight w:val="0"/>
          <w:marTop w:val="75"/>
          <w:marBottom w:val="0"/>
          <w:divBdr>
            <w:top w:val="none" w:sz="0" w:space="0" w:color="auto"/>
            <w:left w:val="none" w:sz="0" w:space="0" w:color="auto"/>
            <w:bottom w:val="none" w:sz="0" w:space="0" w:color="auto"/>
            <w:right w:val="none" w:sz="0" w:space="0" w:color="auto"/>
          </w:divBdr>
        </w:div>
      </w:divsChild>
    </w:div>
    <w:div w:id="337930480">
      <w:bodyDiv w:val="1"/>
      <w:marLeft w:val="0"/>
      <w:marRight w:val="0"/>
      <w:marTop w:val="0"/>
      <w:marBottom w:val="0"/>
      <w:divBdr>
        <w:top w:val="none" w:sz="0" w:space="0" w:color="auto"/>
        <w:left w:val="none" w:sz="0" w:space="0" w:color="auto"/>
        <w:bottom w:val="none" w:sz="0" w:space="0" w:color="auto"/>
        <w:right w:val="none" w:sz="0" w:space="0" w:color="auto"/>
      </w:divBdr>
    </w:div>
    <w:div w:id="617299465">
      <w:bodyDiv w:val="1"/>
      <w:marLeft w:val="0"/>
      <w:marRight w:val="0"/>
      <w:marTop w:val="0"/>
      <w:marBottom w:val="0"/>
      <w:divBdr>
        <w:top w:val="none" w:sz="0" w:space="0" w:color="auto"/>
        <w:left w:val="none" w:sz="0" w:space="0" w:color="auto"/>
        <w:bottom w:val="none" w:sz="0" w:space="0" w:color="auto"/>
        <w:right w:val="none" w:sz="0" w:space="0" w:color="auto"/>
      </w:divBdr>
    </w:div>
    <w:div w:id="696201180">
      <w:bodyDiv w:val="1"/>
      <w:marLeft w:val="0"/>
      <w:marRight w:val="0"/>
      <w:marTop w:val="0"/>
      <w:marBottom w:val="0"/>
      <w:divBdr>
        <w:top w:val="none" w:sz="0" w:space="0" w:color="auto"/>
        <w:left w:val="none" w:sz="0" w:space="0" w:color="auto"/>
        <w:bottom w:val="none" w:sz="0" w:space="0" w:color="auto"/>
        <w:right w:val="none" w:sz="0" w:space="0" w:color="auto"/>
      </w:divBdr>
    </w:div>
    <w:div w:id="828400524">
      <w:bodyDiv w:val="1"/>
      <w:marLeft w:val="0"/>
      <w:marRight w:val="0"/>
      <w:marTop w:val="0"/>
      <w:marBottom w:val="0"/>
      <w:divBdr>
        <w:top w:val="none" w:sz="0" w:space="0" w:color="auto"/>
        <w:left w:val="none" w:sz="0" w:space="0" w:color="auto"/>
        <w:bottom w:val="none" w:sz="0" w:space="0" w:color="auto"/>
        <w:right w:val="none" w:sz="0" w:space="0" w:color="auto"/>
      </w:divBdr>
    </w:div>
    <w:div w:id="952202501">
      <w:bodyDiv w:val="1"/>
      <w:marLeft w:val="0"/>
      <w:marRight w:val="0"/>
      <w:marTop w:val="0"/>
      <w:marBottom w:val="0"/>
      <w:divBdr>
        <w:top w:val="none" w:sz="0" w:space="0" w:color="auto"/>
        <w:left w:val="none" w:sz="0" w:space="0" w:color="auto"/>
        <w:bottom w:val="none" w:sz="0" w:space="0" w:color="auto"/>
        <w:right w:val="none" w:sz="0" w:space="0" w:color="auto"/>
      </w:divBdr>
    </w:div>
    <w:div w:id="955674490">
      <w:bodyDiv w:val="1"/>
      <w:marLeft w:val="0"/>
      <w:marRight w:val="0"/>
      <w:marTop w:val="0"/>
      <w:marBottom w:val="0"/>
      <w:divBdr>
        <w:top w:val="none" w:sz="0" w:space="0" w:color="auto"/>
        <w:left w:val="none" w:sz="0" w:space="0" w:color="auto"/>
        <w:bottom w:val="none" w:sz="0" w:space="0" w:color="auto"/>
        <w:right w:val="none" w:sz="0" w:space="0" w:color="auto"/>
      </w:divBdr>
    </w:div>
    <w:div w:id="1204714201">
      <w:bodyDiv w:val="1"/>
      <w:marLeft w:val="0"/>
      <w:marRight w:val="0"/>
      <w:marTop w:val="0"/>
      <w:marBottom w:val="0"/>
      <w:divBdr>
        <w:top w:val="none" w:sz="0" w:space="0" w:color="auto"/>
        <w:left w:val="none" w:sz="0" w:space="0" w:color="auto"/>
        <w:bottom w:val="none" w:sz="0" w:space="0" w:color="auto"/>
        <w:right w:val="none" w:sz="0" w:space="0" w:color="auto"/>
      </w:divBdr>
    </w:div>
    <w:div w:id="1213611049">
      <w:bodyDiv w:val="1"/>
      <w:marLeft w:val="0"/>
      <w:marRight w:val="0"/>
      <w:marTop w:val="0"/>
      <w:marBottom w:val="0"/>
      <w:divBdr>
        <w:top w:val="none" w:sz="0" w:space="0" w:color="auto"/>
        <w:left w:val="none" w:sz="0" w:space="0" w:color="auto"/>
        <w:bottom w:val="none" w:sz="0" w:space="0" w:color="auto"/>
        <w:right w:val="none" w:sz="0" w:space="0" w:color="auto"/>
      </w:divBdr>
    </w:div>
    <w:div w:id="1217937711">
      <w:bodyDiv w:val="1"/>
      <w:marLeft w:val="0"/>
      <w:marRight w:val="0"/>
      <w:marTop w:val="0"/>
      <w:marBottom w:val="0"/>
      <w:divBdr>
        <w:top w:val="none" w:sz="0" w:space="0" w:color="auto"/>
        <w:left w:val="none" w:sz="0" w:space="0" w:color="auto"/>
        <w:bottom w:val="none" w:sz="0" w:space="0" w:color="auto"/>
        <w:right w:val="none" w:sz="0" w:space="0" w:color="auto"/>
      </w:divBdr>
    </w:div>
    <w:div w:id="1234198455">
      <w:bodyDiv w:val="1"/>
      <w:marLeft w:val="0"/>
      <w:marRight w:val="0"/>
      <w:marTop w:val="0"/>
      <w:marBottom w:val="0"/>
      <w:divBdr>
        <w:top w:val="none" w:sz="0" w:space="0" w:color="auto"/>
        <w:left w:val="none" w:sz="0" w:space="0" w:color="auto"/>
        <w:bottom w:val="none" w:sz="0" w:space="0" w:color="auto"/>
        <w:right w:val="none" w:sz="0" w:space="0" w:color="auto"/>
      </w:divBdr>
    </w:div>
    <w:div w:id="1458378353">
      <w:bodyDiv w:val="1"/>
      <w:marLeft w:val="0"/>
      <w:marRight w:val="0"/>
      <w:marTop w:val="0"/>
      <w:marBottom w:val="0"/>
      <w:divBdr>
        <w:top w:val="none" w:sz="0" w:space="0" w:color="auto"/>
        <w:left w:val="none" w:sz="0" w:space="0" w:color="auto"/>
        <w:bottom w:val="none" w:sz="0" w:space="0" w:color="auto"/>
        <w:right w:val="none" w:sz="0" w:space="0" w:color="auto"/>
      </w:divBdr>
    </w:div>
    <w:div w:id="1604220312">
      <w:bodyDiv w:val="1"/>
      <w:marLeft w:val="0"/>
      <w:marRight w:val="0"/>
      <w:marTop w:val="0"/>
      <w:marBottom w:val="0"/>
      <w:divBdr>
        <w:top w:val="none" w:sz="0" w:space="0" w:color="auto"/>
        <w:left w:val="none" w:sz="0" w:space="0" w:color="auto"/>
        <w:bottom w:val="none" w:sz="0" w:space="0" w:color="auto"/>
        <w:right w:val="none" w:sz="0" w:space="0" w:color="auto"/>
      </w:divBdr>
    </w:div>
    <w:div w:id="1658609923">
      <w:bodyDiv w:val="1"/>
      <w:marLeft w:val="0"/>
      <w:marRight w:val="0"/>
      <w:marTop w:val="0"/>
      <w:marBottom w:val="0"/>
      <w:divBdr>
        <w:top w:val="none" w:sz="0" w:space="0" w:color="auto"/>
        <w:left w:val="none" w:sz="0" w:space="0" w:color="auto"/>
        <w:bottom w:val="none" w:sz="0" w:space="0" w:color="auto"/>
        <w:right w:val="none" w:sz="0" w:space="0" w:color="auto"/>
      </w:divBdr>
    </w:div>
    <w:div w:id="1825705264">
      <w:bodyDiv w:val="1"/>
      <w:marLeft w:val="0"/>
      <w:marRight w:val="0"/>
      <w:marTop w:val="0"/>
      <w:marBottom w:val="0"/>
      <w:divBdr>
        <w:top w:val="none" w:sz="0" w:space="0" w:color="auto"/>
        <w:left w:val="none" w:sz="0" w:space="0" w:color="auto"/>
        <w:bottom w:val="none" w:sz="0" w:space="0" w:color="auto"/>
        <w:right w:val="none" w:sz="0" w:space="0" w:color="auto"/>
      </w:divBdr>
    </w:div>
    <w:div w:id="1910113026">
      <w:bodyDiv w:val="1"/>
      <w:marLeft w:val="0"/>
      <w:marRight w:val="0"/>
      <w:marTop w:val="0"/>
      <w:marBottom w:val="0"/>
      <w:divBdr>
        <w:top w:val="none" w:sz="0" w:space="0" w:color="auto"/>
        <w:left w:val="none" w:sz="0" w:space="0" w:color="auto"/>
        <w:bottom w:val="none" w:sz="0" w:space="0" w:color="auto"/>
        <w:right w:val="none" w:sz="0" w:space="0" w:color="auto"/>
      </w:divBdr>
    </w:div>
    <w:div w:id="1919554146">
      <w:bodyDiv w:val="1"/>
      <w:marLeft w:val="0"/>
      <w:marRight w:val="0"/>
      <w:marTop w:val="0"/>
      <w:marBottom w:val="0"/>
      <w:divBdr>
        <w:top w:val="none" w:sz="0" w:space="0" w:color="auto"/>
        <w:left w:val="none" w:sz="0" w:space="0" w:color="auto"/>
        <w:bottom w:val="none" w:sz="0" w:space="0" w:color="auto"/>
        <w:right w:val="none" w:sz="0" w:space="0" w:color="auto"/>
      </w:divBdr>
    </w:div>
    <w:div w:id="19693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hyperlink" Target="http://dx.doi.org/10.1098/rsta.2016.0400" TargetMode="External"/><Relationship Id="rId3" Type="http://schemas.openxmlformats.org/officeDocument/2006/relationships/customXml" Target="../customXml/item3.xml"/><Relationship Id="rId21" Type="http://schemas.openxmlformats.org/officeDocument/2006/relationships/hyperlink" Target="http://www.act-acorn.eu"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3.jpg"/><Relationship Id="rId25" Type="http://schemas.openxmlformats.org/officeDocument/2006/relationships/hyperlink" Target="http://www.act-acorn.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techar-co2.eu" TargetMode="External"/><Relationship Id="rId20" Type="http://schemas.openxmlformats.org/officeDocument/2006/relationships/hyperlink" Target="http://www.act-acorn.eu" TargetMode="External"/><Relationship Id="rId29" Type="http://schemas.openxmlformats.org/officeDocument/2006/relationships/hyperlink" Target="https://www.theccc.org.uk/wp-content/uploads/2015/06/Gross-2015-Approaches-to-cost-reduction-in-carbon-capture-and-storage-and-offshore-win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ccsinstitute.com" TargetMode="External"/><Relationship Id="rId24" Type="http://schemas.openxmlformats.org/officeDocument/2006/relationships/hyperlink" Target="http://www.act-acorn.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o2-project.eu" TargetMode="External"/><Relationship Id="rId23" Type="http://schemas.openxmlformats.org/officeDocument/2006/relationships/hyperlink" Target="http://www.act-acorn.eu" TargetMode="External"/><Relationship Id="rId28" Type="http://schemas.openxmlformats.org/officeDocument/2006/relationships/hyperlink" Target="https://www.gov.uk/guidance/oil-and-gas-decommissioning-of-offshore-installations-and-pipelines" TargetMode="External"/><Relationship Id="rId10" Type="http://schemas.openxmlformats.org/officeDocument/2006/relationships/endnotes" Target="endnotes.xml"/><Relationship Id="rId19" Type="http://schemas.openxmlformats.org/officeDocument/2006/relationships/hyperlink" Target="http://www.act-acorn.eu" TargetMode="External"/><Relationship Id="rId31" Type="http://schemas.openxmlformats.org/officeDocument/2006/relationships/hyperlink" Target="https://www.globalccsinstitute.com/projects/large-scale-ccs-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acorn.eu/" TargetMode="External"/><Relationship Id="rId22" Type="http://schemas.openxmlformats.org/officeDocument/2006/relationships/hyperlink" Target="http://www.act-acorn.eu" TargetMode="External"/><Relationship Id="rId27" Type="http://schemas.openxmlformats.org/officeDocument/2006/relationships/hyperlink" Target="https://www.gov.uk/government/uploads/system/uploads/attachment_data/file/727040/CCUS_Cost_Challenge_Taskforce_Report.pdf" TargetMode="External"/><Relationship Id="rId30" Type="http://schemas.openxmlformats.org/officeDocument/2006/relationships/hyperlink" Target="http://unfccc.int/paris_agreement/items/9485.php3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P_x0020_Class xmlns="4215983f-a23c-4da3-9609-a3f9bf422e9b">A - Arising</IP_x0020_Cla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4045328DB7147A409D0FFCC8D59AB" ma:contentTypeVersion="10" ma:contentTypeDescription="Create a new document." ma:contentTypeScope="" ma:versionID="7389ec4aa39b0fa06ddaf5f423b7c1c2">
  <xsd:schema xmlns:xsd="http://www.w3.org/2001/XMLSchema" xmlns:xs="http://www.w3.org/2001/XMLSchema" xmlns:p="http://schemas.microsoft.com/office/2006/metadata/properties" xmlns:ns2="e1533249-e0f4-42eb-b9ce-4d73ccebf5bd" xmlns:ns3="4215983f-a23c-4da3-9609-a3f9bf422e9b" targetNamespace="http://schemas.microsoft.com/office/2006/metadata/properties" ma:root="true" ma:fieldsID="a71788c195eb9b942e01c36dc23a11ff" ns2:_="" ns3:_="">
    <xsd:import namespace="e1533249-e0f4-42eb-b9ce-4d73ccebf5bd"/>
    <xsd:import namespace="4215983f-a23c-4da3-9609-a3f9bf422e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IP_x0020_Clas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33249-e0f4-42eb-b9ce-4d73ccebf5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15983f-a23c-4da3-9609-a3f9bf422e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IP_x0020_Class" ma:index="14" nillable="true" ma:displayName="IP Class" ma:default="A - Arising" ma:description="A - Arising, Client or Background IP&#10;B - Limited Rights, data will not form part of results&#10;C - Data will inform work but not form part of the results e.g. data provided under NDA&#10;D - Commercially Available software required to use a deliverable" ma:format="Dropdown" ma:internalName="IP_x0020_Class">
      <xsd:simpleType>
        <xsd:restriction base="dms:Choice">
          <xsd:enumeration value="A - Arising"/>
          <xsd:enumeration value="B - Limited Rights"/>
          <xsd:enumeration value="C - NDA"/>
          <xsd:enumeration value="D - Commercially Available"/>
        </xsd:restriction>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2BE2-7DB1-4CB8-98C8-550A323ADC9C}">
  <ds:schemaRefs>
    <ds:schemaRef ds:uri="http://schemas.microsoft.com/office/2006/metadata/properties"/>
    <ds:schemaRef ds:uri="http://schemas.microsoft.com/office/infopath/2007/PartnerControls"/>
    <ds:schemaRef ds:uri="4215983f-a23c-4da3-9609-a3f9bf422e9b"/>
  </ds:schemaRefs>
</ds:datastoreItem>
</file>

<file path=customXml/itemProps2.xml><?xml version="1.0" encoding="utf-8"?>
<ds:datastoreItem xmlns:ds="http://schemas.openxmlformats.org/officeDocument/2006/customXml" ds:itemID="{52F841FE-7AF4-494E-8682-32072EFD79B9}">
  <ds:schemaRefs>
    <ds:schemaRef ds:uri="http://schemas.microsoft.com/sharepoint/v3/contenttype/forms"/>
  </ds:schemaRefs>
</ds:datastoreItem>
</file>

<file path=customXml/itemProps3.xml><?xml version="1.0" encoding="utf-8"?>
<ds:datastoreItem xmlns:ds="http://schemas.openxmlformats.org/officeDocument/2006/customXml" ds:itemID="{EFA408C1-4EAF-4B02-A88B-54B2D17F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33249-e0f4-42eb-b9ce-4d73ccebf5bd"/>
    <ds:schemaRef ds:uri="4215983f-a23c-4da3-9609-a3f9bf42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D4F56-486A-4126-A979-6973B5D6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9327</Words>
  <Characters>53165</Characters>
  <Application>Microsoft Office Word</Application>
  <DocSecurity>0</DocSecurity>
  <Lines>443</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CnCZ</Company>
  <LinksUpToDate>false</LinksUpToDate>
  <CharactersWithSpaces>62368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 Juan</dc:creator>
  <cp:lastModifiedBy>Kate Black</cp:lastModifiedBy>
  <cp:revision>2</cp:revision>
  <cp:lastPrinted>2019-04-24T17:01:00Z</cp:lastPrinted>
  <dcterms:created xsi:type="dcterms:W3CDTF">2019-06-10T16:46:00Z</dcterms:created>
  <dcterms:modified xsi:type="dcterms:W3CDTF">2019-06-10T16:46:00Z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0x0101003324045328DB7147A409D0FFCC8D59AB</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http://www.zotero.org/styles/international-journal-of-greenhouse-gas-control</vt:lpwstr>
  </property>
  <property fmtid="{D5CDD505-2E9C-101B-9397-08002B2CF9AE}" pid="14" name="Mendeley Recent Style Name 5_1">
    <vt:lpwstr>International Journal of Greenhouse Gas Control</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http://www.zotero.org/styles/taylor-and-francis-harvard-v</vt:lpwstr>
  </property>
  <property fmtid="{D5CDD505-2E9C-101B-9397-08002B2CF9AE}" pid="22" name="Mendeley Recent Style Name 9_1">
    <vt:lpwstr>Taylor &amp; Francis - Harvard V</vt:lpwstr>
  </property>
</Properties>
</file>