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CE770" w14:textId="54D2C298" w:rsidR="00336461" w:rsidRPr="00823AE2" w:rsidRDefault="00E16911" w:rsidP="00F622B3">
      <w:pPr>
        <w:tabs>
          <w:tab w:val="left" w:pos="567"/>
        </w:tabs>
        <w:spacing w:line="360" w:lineRule="auto"/>
        <w:jc w:val="both"/>
        <w:rPr>
          <w:b/>
        </w:rPr>
      </w:pPr>
      <w:r>
        <w:rPr>
          <w:b/>
        </w:rPr>
        <w:t>BRIEF REPORT</w:t>
      </w:r>
    </w:p>
    <w:p w14:paraId="6929CEA1" w14:textId="77777777" w:rsidR="00336461" w:rsidRPr="00823AE2" w:rsidRDefault="00336461" w:rsidP="00F622B3">
      <w:pPr>
        <w:tabs>
          <w:tab w:val="left" w:pos="567"/>
        </w:tabs>
        <w:spacing w:line="360" w:lineRule="auto"/>
        <w:jc w:val="both"/>
        <w:rPr>
          <w:b/>
        </w:rPr>
      </w:pPr>
    </w:p>
    <w:p w14:paraId="3712ED96" w14:textId="54213B0F" w:rsidR="006E3323" w:rsidRPr="00823AE2" w:rsidRDefault="0052337D" w:rsidP="00F622B3">
      <w:pPr>
        <w:tabs>
          <w:tab w:val="left" w:pos="567"/>
        </w:tabs>
        <w:spacing w:line="360" w:lineRule="auto"/>
        <w:jc w:val="both"/>
        <w:rPr>
          <w:b/>
        </w:rPr>
      </w:pPr>
      <w:r>
        <w:rPr>
          <w:b/>
        </w:rPr>
        <w:t>An apparent paradox: r</w:t>
      </w:r>
      <w:r w:rsidR="00DF3B0E" w:rsidRPr="00823AE2">
        <w:rPr>
          <w:b/>
        </w:rPr>
        <w:t xml:space="preserve">esistance mutations in HIV-1 DNA </w:t>
      </w:r>
      <w:r w:rsidR="00A75B65" w:rsidRPr="00823AE2">
        <w:rPr>
          <w:b/>
        </w:rPr>
        <w:t xml:space="preserve">predict </w:t>
      </w:r>
      <w:r w:rsidR="00095278" w:rsidRPr="00823AE2">
        <w:rPr>
          <w:b/>
        </w:rPr>
        <w:t xml:space="preserve">improved </w:t>
      </w:r>
      <w:r>
        <w:rPr>
          <w:b/>
        </w:rPr>
        <w:t>virological responses to antiretroviral therapy</w:t>
      </w:r>
    </w:p>
    <w:p w14:paraId="6C3166A9" w14:textId="77777777" w:rsidR="006E3323" w:rsidRPr="00823AE2" w:rsidRDefault="006E3323" w:rsidP="00F622B3">
      <w:pPr>
        <w:tabs>
          <w:tab w:val="left" w:pos="567"/>
        </w:tabs>
        <w:spacing w:line="360" w:lineRule="auto"/>
        <w:jc w:val="both"/>
        <w:rPr>
          <w:b/>
        </w:rPr>
      </w:pPr>
    </w:p>
    <w:p w14:paraId="3E3C5310" w14:textId="1D8D18F5" w:rsidR="006E3323" w:rsidRPr="00823AE2" w:rsidRDefault="000177C8" w:rsidP="00F622B3">
      <w:pPr>
        <w:tabs>
          <w:tab w:val="left" w:pos="567"/>
        </w:tabs>
        <w:spacing w:line="360" w:lineRule="auto"/>
        <w:jc w:val="both"/>
      </w:pPr>
      <w:r w:rsidRPr="00823AE2">
        <w:t>Anna Maria G</w:t>
      </w:r>
      <w:r w:rsidR="00CC28C1" w:rsidRPr="00823AE2">
        <w:t>ERETTI</w:t>
      </w:r>
      <w:r w:rsidRPr="00823AE2">
        <w:rPr>
          <w:vertAlign w:val="superscript"/>
        </w:rPr>
        <w:t>1*</w:t>
      </w:r>
      <w:r w:rsidRPr="00823AE2">
        <w:t xml:space="preserve">, Adam </w:t>
      </w:r>
      <w:r w:rsidR="00CC28C1" w:rsidRPr="00823AE2">
        <w:t>ABDULLAHI</w:t>
      </w:r>
      <w:r w:rsidRPr="00823AE2">
        <w:rPr>
          <w:vertAlign w:val="superscript"/>
        </w:rPr>
        <w:t>1</w:t>
      </w:r>
      <w:r w:rsidRPr="00823AE2">
        <w:t xml:space="preserve">, Olga </w:t>
      </w:r>
      <w:r w:rsidR="00CC28C1" w:rsidRPr="00823AE2">
        <w:t>MAFOTSING FOPOUSSI</w:t>
      </w:r>
      <w:r w:rsidRPr="00823AE2">
        <w:rPr>
          <w:vertAlign w:val="superscript"/>
        </w:rPr>
        <w:t>1,2</w:t>
      </w:r>
      <w:r w:rsidRPr="00823AE2">
        <w:t xml:space="preserve">, </w:t>
      </w:r>
      <w:r w:rsidR="00336461" w:rsidRPr="00823AE2">
        <w:t xml:space="preserve">Laura </w:t>
      </w:r>
      <w:r w:rsidR="0076040C" w:rsidRPr="00823AE2">
        <w:t>BONNETT</w:t>
      </w:r>
      <w:r w:rsidR="00723196" w:rsidRPr="00823AE2">
        <w:rPr>
          <w:vertAlign w:val="superscript"/>
        </w:rPr>
        <w:t>3</w:t>
      </w:r>
      <w:r w:rsidR="00336461" w:rsidRPr="00823AE2">
        <w:t xml:space="preserve">, </w:t>
      </w:r>
      <w:r w:rsidRPr="00823AE2">
        <w:t xml:space="preserve">Victoire </w:t>
      </w:r>
      <w:r w:rsidR="00CC28C1" w:rsidRPr="00823AE2">
        <w:t>FOKOM DEFO</w:t>
      </w:r>
      <w:r w:rsidRPr="00823AE2">
        <w:rPr>
          <w:vertAlign w:val="superscript"/>
        </w:rPr>
        <w:t>2,</w:t>
      </w:r>
      <w:r w:rsidR="00723196" w:rsidRPr="00823AE2">
        <w:rPr>
          <w:vertAlign w:val="superscript"/>
        </w:rPr>
        <w:t>4</w:t>
      </w:r>
      <w:r w:rsidRPr="00823AE2">
        <w:t xml:space="preserve">, Sylvie </w:t>
      </w:r>
      <w:r w:rsidR="00CC28C1" w:rsidRPr="00823AE2">
        <w:t>MOUDOUROU</w:t>
      </w:r>
      <w:r w:rsidRPr="00823AE2">
        <w:rPr>
          <w:vertAlign w:val="superscript"/>
        </w:rPr>
        <w:t>2</w:t>
      </w:r>
      <w:r w:rsidRPr="00823AE2">
        <w:t xml:space="preserve">, Joseph </w:t>
      </w:r>
      <w:r w:rsidR="00CC28C1" w:rsidRPr="00823AE2">
        <w:t>FOKAM</w:t>
      </w:r>
      <w:r w:rsidRPr="00823AE2">
        <w:rPr>
          <w:vertAlign w:val="superscript"/>
        </w:rPr>
        <w:t>2</w:t>
      </w:r>
      <w:r w:rsidRPr="00823AE2">
        <w:t xml:space="preserve">, Charles </w:t>
      </w:r>
      <w:r w:rsidR="00CC28C1" w:rsidRPr="00823AE2">
        <w:t>KOUANFACK</w:t>
      </w:r>
      <w:r w:rsidR="00723196" w:rsidRPr="00823AE2">
        <w:rPr>
          <w:vertAlign w:val="superscript"/>
        </w:rPr>
        <w:t>4</w:t>
      </w:r>
      <w:r w:rsidRPr="00823AE2">
        <w:t xml:space="preserve">, Judith </w:t>
      </w:r>
      <w:r w:rsidR="00CC28C1" w:rsidRPr="00823AE2">
        <w:t>TORIMIRO</w:t>
      </w:r>
      <w:r w:rsidRPr="00823AE2">
        <w:rPr>
          <w:vertAlign w:val="superscript"/>
        </w:rPr>
        <w:t>2</w:t>
      </w:r>
      <w:r w:rsidRPr="00823AE2">
        <w:t>.</w:t>
      </w:r>
    </w:p>
    <w:p w14:paraId="2B4B556B" w14:textId="77777777" w:rsidR="006E3323" w:rsidRPr="00823AE2" w:rsidRDefault="006E3323" w:rsidP="00F622B3">
      <w:pPr>
        <w:tabs>
          <w:tab w:val="left" w:pos="567"/>
        </w:tabs>
        <w:spacing w:line="360" w:lineRule="auto"/>
        <w:jc w:val="both"/>
        <w:rPr>
          <w:b/>
        </w:rPr>
      </w:pPr>
    </w:p>
    <w:p w14:paraId="26F7EC39" w14:textId="5A71C949" w:rsidR="000177C8" w:rsidRPr="00823AE2" w:rsidRDefault="000177C8" w:rsidP="00F622B3">
      <w:pPr>
        <w:pStyle w:val="Normal1"/>
        <w:pBdr>
          <w:top w:val="nil"/>
          <w:left w:val="nil"/>
          <w:bottom w:val="nil"/>
          <w:right w:val="nil"/>
          <w:between w:val="nil"/>
        </w:pBdr>
        <w:spacing w:after="0" w:line="360" w:lineRule="auto"/>
        <w:contextualSpacing/>
        <w:jc w:val="both"/>
        <w:rPr>
          <w:color w:val="000000"/>
          <w:sz w:val="24"/>
          <w:szCs w:val="24"/>
        </w:rPr>
      </w:pPr>
      <w:r w:rsidRPr="00823AE2">
        <w:rPr>
          <w:rFonts w:asciiTheme="minorHAnsi" w:eastAsiaTheme="minorEastAsia" w:hAnsiTheme="minorHAnsi" w:cstheme="minorBidi"/>
          <w:sz w:val="24"/>
          <w:szCs w:val="24"/>
        </w:rPr>
        <w:t xml:space="preserve">1. </w:t>
      </w:r>
      <w:r w:rsidRPr="00823AE2">
        <w:rPr>
          <w:color w:val="000000"/>
          <w:sz w:val="24"/>
          <w:szCs w:val="24"/>
        </w:rPr>
        <w:t xml:space="preserve">Institute of Infection </w:t>
      </w:r>
      <w:r w:rsidR="00BE2B9A" w:rsidRPr="00823AE2">
        <w:rPr>
          <w:color w:val="000000"/>
          <w:sz w:val="24"/>
          <w:szCs w:val="24"/>
        </w:rPr>
        <w:t>&amp;</w:t>
      </w:r>
      <w:r w:rsidRPr="00823AE2">
        <w:rPr>
          <w:color w:val="000000"/>
          <w:sz w:val="24"/>
          <w:szCs w:val="24"/>
        </w:rPr>
        <w:t xml:space="preserve"> Global Health, University of Liverpool, Liverpool, United Kingdom </w:t>
      </w:r>
    </w:p>
    <w:p w14:paraId="74414105" w14:textId="2C7823AF" w:rsidR="0076040C" w:rsidRPr="00823AE2" w:rsidRDefault="000177C8" w:rsidP="00F622B3">
      <w:pPr>
        <w:pStyle w:val="Normal1"/>
        <w:pBdr>
          <w:top w:val="nil"/>
          <w:left w:val="nil"/>
          <w:bottom w:val="nil"/>
          <w:right w:val="nil"/>
          <w:between w:val="nil"/>
        </w:pBdr>
        <w:spacing w:after="0" w:line="360" w:lineRule="auto"/>
        <w:contextualSpacing/>
        <w:jc w:val="both"/>
        <w:rPr>
          <w:color w:val="000000"/>
          <w:sz w:val="24"/>
          <w:szCs w:val="24"/>
        </w:rPr>
      </w:pPr>
      <w:r w:rsidRPr="00823AE2">
        <w:rPr>
          <w:color w:val="000000"/>
          <w:sz w:val="24"/>
          <w:szCs w:val="24"/>
        </w:rPr>
        <w:t xml:space="preserve">2. Chantal </w:t>
      </w:r>
      <w:proofErr w:type="spellStart"/>
      <w:r w:rsidRPr="00823AE2">
        <w:rPr>
          <w:color w:val="000000"/>
          <w:sz w:val="24"/>
          <w:szCs w:val="24"/>
        </w:rPr>
        <w:t>Biya</w:t>
      </w:r>
      <w:proofErr w:type="spellEnd"/>
      <w:r w:rsidRPr="00823AE2">
        <w:rPr>
          <w:color w:val="000000"/>
          <w:sz w:val="24"/>
          <w:szCs w:val="24"/>
        </w:rPr>
        <w:t xml:space="preserve"> International Reference Centre for Research on HIV/AIDS Prevention </w:t>
      </w:r>
      <w:r w:rsidR="00BE2B9A" w:rsidRPr="00823AE2">
        <w:rPr>
          <w:color w:val="000000"/>
          <w:sz w:val="24"/>
          <w:szCs w:val="24"/>
        </w:rPr>
        <w:t xml:space="preserve">&amp; </w:t>
      </w:r>
      <w:r w:rsidRPr="00823AE2">
        <w:rPr>
          <w:color w:val="000000"/>
          <w:sz w:val="24"/>
          <w:szCs w:val="24"/>
        </w:rPr>
        <w:t>Management (CIRCB), Yaoundé, Cameroon</w:t>
      </w:r>
    </w:p>
    <w:p w14:paraId="17FDB489" w14:textId="4F756C70" w:rsidR="00723196" w:rsidRPr="00823AE2" w:rsidRDefault="00723196" w:rsidP="00F622B3">
      <w:pPr>
        <w:pStyle w:val="Normal1"/>
        <w:pBdr>
          <w:top w:val="nil"/>
          <w:left w:val="nil"/>
          <w:bottom w:val="nil"/>
          <w:right w:val="nil"/>
          <w:between w:val="nil"/>
        </w:pBdr>
        <w:spacing w:after="0" w:line="360" w:lineRule="auto"/>
        <w:contextualSpacing/>
        <w:jc w:val="both"/>
        <w:rPr>
          <w:color w:val="000000"/>
          <w:sz w:val="24"/>
          <w:szCs w:val="24"/>
        </w:rPr>
      </w:pPr>
      <w:r w:rsidRPr="00823AE2">
        <w:rPr>
          <w:color w:val="000000"/>
          <w:sz w:val="24"/>
          <w:szCs w:val="24"/>
        </w:rPr>
        <w:t>3. Institute of Translational Medicine, University of Liverpool, Liverpool, United Kingdom</w:t>
      </w:r>
    </w:p>
    <w:p w14:paraId="384CBC5A" w14:textId="1DF4F382" w:rsidR="000177C8" w:rsidRPr="00823AE2" w:rsidRDefault="00723196" w:rsidP="00F622B3">
      <w:pPr>
        <w:pStyle w:val="Normal1"/>
        <w:pBdr>
          <w:top w:val="nil"/>
          <w:left w:val="nil"/>
          <w:bottom w:val="nil"/>
          <w:right w:val="nil"/>
          <w:between w:val="nil"/>
        </w:pBdr>
        <w:spacing w:after="0" w:line="360" w:lineRule="auto"/>
        <w:contextualSpacing/>
        <w:jc w:val="both"/>
        <w:rPr>
          <w:color w:val="000000"/>
          <w:sz w:val="24"/>
          <w:szCs w:val="24"/>
        </w:rPr>
      </w:pPr>
      <w:r w:rsidRPr="00823AE2">
        <w:rPr>
          <w:color w:val="000000"/>
          <w:sz w:val="24"/>
          <w:szCs w:val="24"/>
        </w:rPr>
        <w:t>4</w:t>
      </w:r>
      <w:r w:rsidR="000177C8" w:rsidRPr="00823AE2">
        <w:rPr>
          <w:color w:val="000000"/>
          <w:sz w:val="24"/>
          <w:szCs w:val="24"/>
        </w:rPr>
        <w:t xml:space="preserve">. </w:t>
      </w:r>
      <w:proofErr w:type="spellStart"/>
      <w:r w:rsidR="000177C8" w:rsidRPr="00823AE2">
        <w:rPr>
          <w:sz w:val="24"/>
          <w:szCs w:val="24"/>
        </w:rPr>
        <w:t>Hôpital</w:t>
      </w:r>
      <w:proofErr w:type="spellEnd"/>
      <w:r w:rsidR="000177C8" w:rsidRPr="00823AE2">
        <w:rPr>
          <w:sz w:val="24"/>
          <w:szCs w:val="24"/>
        </w:rPr>
        <w:t xml:space="preserve"> Central Yaoundé</w:t>
      </w:r>
      <w:r w:rsidR="00B43B08" w:rsidRPr="00823AE2">
        <w:rPr>
          <w:sz w:val="24"/>
          <w:szCs w:val="24"/>
        </w:rPr>
        <w:t xml:space="preserve">, </w:t>
      </w:r>
      <w:r w:rsidR="000177C8" w:rsidRPr="00823AE2">
        <w:rPr>
          <w:color w:val="000000"/>
          <w:sz w:val="24"/>
          <w:szCs w:val="24"/>
        </w:rPr>
        <w:t>Ministry of Public Health, Yaoundé, Cameroon</w:t>
      </w:r>
    </w:p>
    <w:p w14:paraId="3CB83965" w14:textId="79653DAC" w:rsidR="000177C8" w:rsidRPr="00823AE2" w:rsidRDefault="000177C8" w:rsidP="00F622B3">
      <w:pPr>
        <w:pStyle w:val="Normal1"/>
        <w:pBdr>
          <w:top w:val="nil"/>
          <w:left w:val="nil"/>
          <w:bottom w:val="nil"/>
          <w:right w:val="nil"/>
          <w:between w:val="nil"/>
        </w:pBdr>
        <w:spacing w:after="0" w:line="360" w:lineRule="auto"/>
        <w:contextualSpacing/>
        <w:jc w:val="both"/>
        <w:rPr>
          <w:color w:val="000000"/>
          <w:sz w:val="24"/>
          <w:szCs w:val="24"/>
        </w:rPr>
      </w:pPr>
    </w:p>
    <w:p w14:paraId="0B462808" w14:textId="77777777" w:rsidR="0076040C" w:rsidRPr="00823AE2" w:rsidRDefault="000177C8" w:rsidP="00F622B3">
      <w:pPr>
        <w:spacing w:line="360" w:lineRule="auto"/>
        <w:jc w:val="both"/>
        <w:rPr>
          <w:rFonts w:cs="Arial"/>
        </w:rPr>
      </w:pPr>
      <w:r w:rsidRPr="00823AE2">
        <w:t>*</w:t>
      </w:r>
      <w:r w:rsidRPr="00823AE2">
        <w:rPr>
          <w:rFonts w:cs="Arial"/>
        </w:rPr>
        <w:t xml:space="preserve">Address correspondence to: </w:t>
      </w:r>
    </w:p>
    <w:p w14:paraId="6BC72BA1" w14:textId="77777777" w:rsidR="0076040C" w:rsidRPr="00823AE2" w:rsidRDefault="000177C8" w:rsidP="00F622B3">
      <w:pPr>
        <w:spacing w:line="360" w:lineRule="auto"/>
        <w:jc w:val="both"/>
        <w:rPr>
          <w:rFonts w:cs="Arial"/>
        </w:rPr>
      </w:pPr>
      <w:r w:rsidRPr="00823AE2">
        <w:rPr>
          <w:rFonts w:cs="Arial"/>
        </w:rPr>
        <w:t xml:space="preserve">Prof Anna Maria Geretti, MD, PhD, </w:t>
      </w:r>
      <w:proofErr w:type="spellStart"/>
      <w:r w:rsidRPr="00823AE2">
        <w:rPr>
          <w:rFonts w:cs="Arial"/>
        </w:rPr>
        <w:t>FRCPath</w:t>
      </w:r>
      <w:proofErr w:type="spellEnd"/>
    </w:p>
    <w:p w14:paraId="2179C855" w14:textId="429DDA5B" w:rsidR="0076040C" w:rsidRPr="00823AE2" w:rsidRDefault="000177C8" w:rsidP="00F622B3">
      <w:pPr>
        <w:spacing w:line="360" w:lineRule="auto"/>
        <w:jc w:val="both"/>
        <w:rPr>
          <w:rFonts w:cs="Arial"/>
        </w:rPr>
      </w:pPr>
      <w:r w:rsidRPr="00823AE2">
        <w:rPr>
          <w:rFonts w:cs="Arial"/>
        </w:rPr>
        <w:t xml:space="preserve">Institute of Infection </w:t>
      </w:r>
      <w:r w:rsidR="00BE2B9A" w:rsidRPr="00823AE2">
        <w:rPr>
          <w:rFonts w:cs="Arial"/>
        </w:rPr>
        <w:t>&amp;</w:t>
      </w:r>
      <w:r w:rsidRPr="00823AE2">
        <w:rPr>
          <w:rFonts w:cs="Arial"/>
        </w:rPr>
        <w:t xml:space="preserve"> Global Health, University of Liverpool</w:t>
      </w:r>
    </w:p>
    <w:p w14:paraId="2B093248" w14:textId="1E2CCEDB" w:rsidR="0076040C" w:rsidRPr="00823AE2" w:rsidRDefault="000177C8" w:rsidP="00F622B3">
      <w:pPr>
        <w:spacing w:line="360" w:lineRule="auto"/>
        <w:jc w:val="both"/>
        <w:rPr>
          <w:rFonts w:cs="Arial"/>
        </w:rPr>
      </w:pPr>
      <w:r w:rsidRPr="00823AE2">
        <w:rPr>
          <w:rFonts w:cs="Arial"/>
        </w:rPr>
        <w:t>Liverpool L69 7BE, United Kingdom</w:t>
      </w:r>
    </w:p>
    <w:p w14:paraId="3BFBF861" w14:textId="3BC260D2" w:rsidR="000177C8" w:rsidRPr="00823AE2" w:rsidRDefault="000177C8" w:rsidP="00F622B3">
      <w:pPr>
        <w:spacing w:line="360" w:lineRule="auto"/>
        <w:jc w:val="both"/>
        <w:rPr>
          <w:rFonts w:cs="Arial"/>
        </w:rPr>
      </w:pPr>
      <w:r w:rsidRPr="00823AE2">
        <w:rPr>
          <w:rFonts w:cs="Arial"/>
        </w:rPr>
        <w:t xml:space="preserve">Tel: +44 151 795 9625; </w:t>
      </w:r>
      <w:proofErr w:type="gramStart"/>
      <w:r w:rsidRPr="00823AE2">
        <w:rPr>
          <w:rFonts w:cs="Arial"/>
        </w:rPr>
        <w:t>e-mail:geretti@liverpool.ac.uk</w:t>
      </w:r>
      <w:proofErr w:type="gramEnd"/>
    </w:p>
    <w:p w14:paraId="568A2974" w14:textId="716D9234" w:rsidR="009E2551" w:rsidRPr="00823AE2" w:rsidRDefault="009E2551" w:rsidP="00F622B3">
      <w:pPr>
        <w:spacing w:line="360" w:lineRule="auto"/>
        <w:jc w:val="both"/>
        <w:rPr>
          <w:rFonts w:cs="Arial"/>
        </w:rPr>
      </w:pPr>
    </w:p>
    <w:p w14:paraId="138ECAAE" w14:textId="7FFA2440" w:rsidR="00CC28C1" w:rsidRPr="00823AE2" w:rsidRDefault="00CC28C1" w:rsidP="00F622B3">
      <w:pPr>
        <w:spacing w:line="360" w:lineRule="auto"/>
        <w:jc w:val="both"/>
        <w:rPr>
          <w:rFonts w:cs="Arial"/>
        </w:rPr>
      </w:pPr>
      <w:r w:rsidRPr="00823AE2">
        <w:rPr>
          <w:rFonts w:cs="Arial"/>
          <w:b/>
        </w:rPr>
        <w:t xml:space="preserve">Running head: </w:t>
      </w:r>
      <w:r w:rsidR="00F622B3" w:rsidRPr="00823AE2">
        <w:rPr>
          <w:rFonts w:cs="Arial"/>
        </w:rPr>
        <w:t>Resistance as a predictor of outcomes in Africa</w:t>
      </w:r>
    </w:p>
    <w:p w14:paraId="3E70AD53" w14:textId="77777777" w:rsidR="00F622B3" w:rsidRPr="00823AE2" w:rsidRDefault="00F622B3" w:rsidP="00F622B3">
      <w:pPr>
        <w:spacing w:line="360" w:lineRule="auto"/>
        <w:jc w:val="both"/>
        <w:rPr>
          <w:rFonts w:cs="Arial"/>
          <w:b/>
        </w:rPr>
      </w:pPr>
      <w:bookmarkStart w:id="0" w:name="_GoBack"/>
      <w:bookmarkEnd w:id="0"/>
    </w:p>
    <w:p w14:paraId="349119B9" w14:textId="5620A60E" w:rsidR="00F622B3" w:rsidRPr="007D677D" w:rsidRDefault="009E2551" w:rsidP="007D677D">
      <w:pPr>
        <w:spacing w:line="360" w:lineRule="auto"/>
        <w:jc w:val="both"/>
        <w:rPr>
          <w:rFonts w:cs="Arial"/>
        </w:rPr>
      </w:pPr>
      <w:r w:rsidRPr="00823AE2">
        <w:rPr>
          <w:rFonts w:cs="Arial"/>
          <w:b/>
        </w:rPr>
        <w:t>Word count:</w:t>
      </w:r>
      <w:r w:rsidRPr="00823AE2">
        <w:rPr>
          <w:rFonts w:cs="Arial"/>
        </w:rPr>
        <w:t xml:space="preserve"> </w:t>
      </w:r>
      <w:r w:rsidR="00F622B3" w:rsidRPr="00823AE2">
        <w:rPr>
          <w:rFonts w:cs="Arial"/>
        </w:rPr>
        <w:t xml:space="preserve">Abstract 250, </w:t>
      </w:r>
      <w:r w:rsidRPr="00823AE2">
        <w:rPr>
          <w:rFonts w:cs="Arial"/>
        </w:rPr>
        <w:t xml:space="preserve">Text </w:t>
      </w:r>
      <w:r w:rsidR="00E16911">
        <w:rPr>
          <w:rFonts w:cs="Arial"/>
        </w:rPr>
        <w:t>1500</w:t>
      </w:r>
    </w:p>
    <w:p w14:paraId="7BD4B69C" w14:textId="6A68A74F" w:rsidR="000177C8" w:rsidRPr="00823AE2" w:rsidRDefault="000177C8" w:rsidP="00991E7C">
      <w:pPr>
        <w:pStyle w:val="Normal1"/>
        <w:spacing w:after="0" w:line="360" w:lineRule="auto"/>
        <w:jc w:val="both"/>
        <w:rPr>
          <w:b/>
          <w:sz w:val="24"/>
          <w:szCs w:val="24"/>
        </w:rPr>
      </w:pPr>
      <w:r w:rsidRPr="00823AE2">
        <w:rPr>
          <w:b/>
        </w:rPr>
        <w:br w:type="column"/>
      </w:r>
      <w:r w:rsidR="00446E5E" w:rsidRPr="00823AE2">
        <w:rPr>
          <w:b/>
          <w:sz w:val="24"/>
          <w:szCs w:val="24"/>
        </w:rPr>
        <w:lastRenderedPageBreak/>
        <w:t>Abstract</w:t>
      </w:r>
    </w:p>
    <w:p w14:paraId="493BBDC8" w14:textId="14C448C6" w:rsidR="003E04C2" w:rsidRPr="00823AE2" w:rsidRDefault="003E04C2" w:rsidP="00643B90">
      <w:pPr>
        <w:tabs>
          <w:tab w:val="left" w:pos="567"/>
        </w:tabs>
        <w:spacing w:line="360" w:lineRule="auto"/>
        <w:jc w:val="both"/>
      </w:pPr>
      <w:r w:rsidRPr="00823AE2">
        <w:rPr>
          <w:b/>
        </w:rPr>
        <w:t>Objective:</w:t>
      </w:r>
      <w:r w:rsidR="000177C8" w:rsidRPr="00823AE2">
        <w:rPr>
          <w:b/>
        </w:rPr>
        <w:t xml:space="preserve"> </w:t>
      </w:r>
      <w:r w:rsidR="000177C8" w:rsidRPr="00823AE2">
        <w:t xml:space="preserve">In sub-Saharan Africa, </w:t>
      </w:r>
      <w:r w:rsidR="0062734E" w:rsidRPr="00823AE2">
        <w:t xml:space="preserve">detecting </w:t>
      </w:r>
      <w:r w:rsidR="000177C8" w:rsidRPr="00823AE2">
        <w:t>resistance</w:t>
      </w:r>
      <w:r w:rsidR="00E8474E" w:rsidRPr="00823AE2">
        <w:t xml:space="preserve">-associated mutations (RAMs) at failure of </w:t>
      </w:r>
      <w:r w:rsidR="000177C8" w:rsidRPr="00823AE2">
        <w:t xml:space="preserve">first-line </w:t>
      </w:r>
      <w:r w:rsidR="00643B90">
        <w:t xml:space="preserve">ART </w:t>
      </w:r>
      <w:r w:rsidR="00E8474E" w:rsidRPr="00823AE2">
        <w:t>with 2</w:t>
      </w:r>
      <w:r w:rsidR="00367A28" w:rsidRPr="00823AE2">
        <w:t xml:space="preserve"> </w:t>
      </w:r>
      <w:r w:rsidR="00E8474E" w:rsidRPr="00823AE2">
        <w:t>NRTIs</w:t>
      </w:r>
      <w:r w:rsidR="00367A28" w:rsidRPr="00823AE2">
        <w:t xml:space="preserve"> plus an </w:t>
      </w:r>
      <w:r w:rsidR="00E8474E" w:rsidRPr="00823AE2">
        <w:t xml:space="preserve">NNRTI </w:t>
      </w:r>
      <w:r w:rsidR="005D016C" w:rsidRPr="00823AE2">
        <w:t>predict</w:t>
      </w:r>
      <w:r w:rsidR="0062734E" w:rsidRPr="00823AE2">
        <w:t>s</w:t>
      </w:r>
      <w:r w:rsidR="000177C8" w:rsidRPr="00823AE2">
        <w:t xml:space="preserve"> improved </w:t>
      </w:r>
      <w:r w:rsidR="00E8474E" w:rsidRPr="00823AE2">
        <w:t xml:space="preserve">virological </w:t>
      </w:r>
      <w:r w:rsidR="000177C8" w:rsidRPr="00823AE2">
        <w:t xml:space="preserve">responses to second-line </w:t>
      </w:r>
      <w:r w:rsidR="00102FC4" w:rsidRPr="00823AE2">
        <w:t>therapy</w:t>
      </w:r>
      <w:r w:rsidR="001B46D0" w:rsidRPr="00823AE2">
        <w:t xml:space="preserve"> </w:t>
      </w:r>
      <w:r w:rsidR="00E8474E" w:rsidRPr="00823AE2">
        <w:t>with 2</w:t>
      </w:r>
      <w:r w:rsidR="00367A28" w:rsidRPr="00823AE2">
        <w:t xml:space="preserve"> </w:t>
      </w:r>
      <w:r w:rsidR="00E8474E" w:rsidRPr="00823AE2">
        <w:t>NRTIs</w:t>
      </w:r>
      <w:r w:rsidR="00367A28" w:rsidRPr="00823AE2">
        <w:t xml:space="preserve"> plus a </w:t>
      </w:r>
      <w:r w:rsidR="00E8474E" w:rsidRPr="00823AE2">
        <w:t>ritonavir-boosted PI (PI/r)</w:t>
      </w:r>
      <w:r w:rsidR="00583B33" w:rsidRPr="00823AE2">
        <w:t xml:space="preserve">. </w:t>
      </w:r>
      <w:r w:rsidR="00102FC4" w:rsidRPr="00E20A10">
        <w:rPr>
          <w:highlight w:val="yellow"/>
        </w:rPr>
        <w:t>This</w:t>
      </w:r>
      <w:r w:rsidR="00583B33" w:rsidRPr="00E20A10">
        <w:rPr>
          <w:highlight w:val="yellow"/>
        </w:rPr>
        <w:t xml:space="preserve"> </w:t>
      </w:r>
      <w:r w:rsidR="00B147E6" w:rsidRPr="00E20A10">
        <w:rPr>
          <w:highlight w:val="yellow"/>
        </w:rPr>
        <w:t xml:space="preserve">indicates </w:t>
      </w:r>
      <w:r w:rsidR="00E41A95" w:rsidRPr="00E20A10">
        <w:rPr>
          <w:highlight w:val="yellow"/>
        </w:rPr>
        <w:t>residual</w:t>
      </w:r>
      <w:r w:rsidR="005F653A" w:rsidRPr="00E20A10">
        <w:rPr>
          <w:highlight w:val="yellow"/>
        </w:rPr>
        <w:t xml:space="preserve"> </w:t>
      </w:r>
      <w:r w:rsidR="000E04AC" w:rsidRPr="00E20A10">
        <w:rPr>
          <w:highlight w:val="yellow"/>
        </w:rPr>
        <w:t xml:space="preserve">NRTI </w:t>
      </w:r>
      <w:r w:rsidR="00C870AB" w:rsidRPr="00E20A10">
        <w:rPr>
          <w:highlight w:val="yellow"/>
        </w:rPr>
        <w:t>activity</w:t>
      </w:r>
      <w:r w:rsidR="005F653A" w:rsidRPr="00E20A10">
        <w:rPr>
          <w:highlight w:val="yellow"/>
        </w:rPr>
        <w:t xml:space="preserve"> </w:t>
      </w:r>
      <w:r w:rsidR="000E04AC" w:rsidRPr="00E20A10">
        <w:rPr>
          <w:highlight w:val="yellow"/>
        </w:rPr>
        <w:t>in the presence of RAMs</w:t>
      </w:r>
      <w:r w:rsidR="00102FC4" w:rsidRPr="00E20A10">
        <w:rPr>
          <w:highlight w:val="yellow"/>
        </w:rPr>
        <w:t>, although a</w:t>
      </w:r>
      <w:r w:rsidR="00741C09" w:rsidRPr="00E20A10">
        <w:rPr>
          <w:highlight w:val="yellow"/>
        </w:rPr>
        <w:t>dditional</w:t>
      </w:r>
      <w:r w:rsidR="00102FC4" w:rsidRPr="00E20A10">
        <w:rPr>
          <w:highlight w:val="yellow"/>
        </w:rPr>
        <w:t xml:space="preserve"> </w:t>
      </w:r>
      <w:r w:rsidR="00B147E6" w:rsidRPr="00E20A10">
        <w:rPr>
          <w:highlight w:val="yellow"/>
        </w:rPr>
        <w:t xml:space="preserve">factors may </w:t>
      </w:r>
      <w:r w:rsidR="00A753FC" w:rsidRPr="00E20A10">
        <w:rPr>
          <w:highlight w:val="yellow"/>
        </w:rPr>
        <w:t>contribute</w:t>
      </w:r>
      <w:r w:rsidR="00057016">
        <w:rPr>
          <w:highlight w:val="yellow"/>
        </w:rPr>
        <w:t xml:space="preserve"> to the effect</w:t>
      </w:r>
      <w:r w:rsidR="000E04AC" w:rsidRPr="00E20A10">
        <w:rPr>
          <w:highlight w:val="yellow"/>
        </w:rPr>
        <w:t>.</w:t>
      </w:r>
      <w:r w:rsidR="000177C8" w:rsidRPr="00823AE2">
        <w:t xml:space="preserve"> </w:t>
      </w:r>
      <w:r w:rsidR="00583B33" w:rsidRPr="00823AE2">
        <w:t>T</w:t>
      </w:r>
      <w:r w:rsidR="00367A28" w:rsidRPr="00823AE2">
        <w:t xml:space="preserve">his study </w:t>
      </w:r>
      <w:r w:rsidR="00583B33" w:rsidRPr="00823AE2">
        <w:t>investigated</w:t>
      </w:r>
      <w:r w:rsidR="00367A28" w:rsidRPr="00823AE2">
        <w:t xml:space="preserve"> the </w:t>
      </w:r>
      <w:r w:rsidR="00583B33" w:rsidRPr="00823AE2">
        <w:t xml:space="preserve">influence </w:t>
      </w:r>
      <w:r w:rsidR="00367A28" w:rsidRPr="00823AE2">
        <w:t xml:space="preserve">of </w:t>
      </w:r>
      <w:r w:rsidR="001B46D0" w:rsidRPr="00823AE2">
        <w:t xml:space="preserve">pre-existing RAMs </w:t>
      </w:r>
      <w:r w:rsidR="000E04AC" w:rsidRPr="00823AE2">
        <w:t xml:space="preserve">on the outcomes of </w:t>
      </w:r>
      <w:r w:rsidR="00D32361" w:rsidRPr="00823AE2">
        <w:t>maintenance</w:t>
      </w:r>
      <w:r w:rsidR="005F653A" w:rsidRPr="00823AE2">
        <w:t xml:space="preserve"> </w:t>
      </w:r>
      <w:r w:rsidR="00367A28" w:rsidRPr="00823AE2">
        <w:t xml:space="preserve">monotherapy with ritonavir-boosted darunavir </w:t>
      </w:r>
      <w:r w:rsidR="00643B90">
        <w:t>within a randomised trial in Cameroon.</w:t>
      </w:r>
    </w:p>
    <w:p w14:paraId="18FC7C86" w14:textId="77777777" w:rsidR="003E04C2" w:rsidRPr="00823AE2" w:rsidRDefault="003E04C2" w:rsidP="00991E7C">
      <w:pPr>
        <w:pStyle w:val="Normal1"/>
        <w:spacing w:after="0" w:line="360" w:lineRule="auto"/>
        <w:jc w:val="both"/>
        <w:rPr>
          <w:b/>
          <w:sz w:val="24"/>
          <w:szCs w:val="24"/>
        </w:rPr>
      </w:pPr>
    </w:p>
    <w:p w14:paraId="30057417" w14:textId="631D1ED2" w:rsidR="005D016C" w:rsidRPr="00823AE2" w:rsidRDefault="000177C8" w:rsidP="00991E7C">
      <w:pPr>
        <w:pStyle w:val="Normal1"/>
        <w:spacing w:after="0" w:line="360" w:lineRule="auto"/>
        <w:jc w:val="both"/>
        <w:rPr>
          <w:sz w:val="24"/>
          <w:szCs w:val="24"/>
        </w:rPr>
      </w:pPr>
      <w:r w:rsidRPr="00823AE2">
        <w:rPr>
          <w:b/>
          <w:sz w:val="24"/>
          <w:szCs w:val="24"/>
        </w:rPr>
        <w:t>Methods:</w:t>
      </w:r>
      <w:r w:rsidR="00367A28" w:rsidRPr="00823AE2">
        <w:rPr>
          <w:sz w:val="24"/>
          <w:szCs w:val="24"/>
        </w:rPr>
        <w:t xml:space="preserve"> </w:t>
      </w:r>
      <w:r w:rsidR="001B46D0" w:rsidRPr="00823AE2">
        <w:rPr>
          <w:sz w:val="24"/>
          <w:szCs w:val="24"/>
        </w:rPr>
        <w:t>RAMs were detected in HIV-1 DNA</w:t>
      </w:r>
      <w:r w:rsidR="005F653A" w:rsidRPr="00823AE2">
        <w:rPr>
          <w:sz w:val="24"/>
          <w:szCs w:val="24"/>
        </w:rPr>
        <w:t xml:space="preserve"> </w:t>
      </w:r>
      <w:r w:rsidR="00102FC4" w:rsidRPr="00823AE2">
        <w:rPr>
          <w:sz w:val="24"/>
          <w:szCs w:val="24"/>
        </w:rPr>
        <w:t>using</w:t>
      </w:r>
      <w:r w:rsidR="005F653A" w:rsidRPr="00823AE2">
        <w:rPr>
          <w:sz w:val="24"/>
          <w:szCs w:val="24"/>
        </w:rPr>
        <w:t xml:space="preserve"> </w:t>
      </w:r>
      <w:r w:rsidR="0052337D">
        <w:rPr>
          <w:sz w:val="24"/>
          <w:szCs w:val="24"/>
        </w:rPr>
        <w:t xml:space="preserve">PBMC </w:t>
      </w:r>
      <w:r w:rsidR="006B6F1B" w:rsidRPr="00823AE2">
        <w:rPr>
          <w:sz w:val="24"/>
          <w:szCs w:val="24"/>
        </w:rPr>
        <w:t xml:space="preserve">collected at initiation of </w:t>
      </w:r>
      <w:r w:rsidR="00482A19">
        <w:rPr>
          <w:sz w:val="24"/>
          <w:szCs w:val="24"/>
        </w:rPr>
        <w:t xml:space="preserve">darunavir/ritonavir </w:t>
      </w:r>
      <w:r w:rsidR="006B6F1B" w:rsidRPr="00823AE2">
        <w:rPr>
          <w:sz w:val="24"/>
          <w:szCs w:val="24"/>
        </w:rPr>
        <w:t xml:space="preserve">monotherapy. </w:t>
      </w:r>
      <w:r w:rsidR="00102FC4" w:rsidRPr="00823AE2">
        <w:rPr>
          <w:sz w:val="24"/>
          <w:szCs w:val="24"/>
        </w:rPr>
        <w:t xml:space="preserve">Adherence was assessed by pill count and visual </w:t>
      </w:r>
      <w:r w:rsidR="00102FC4" w:rsidRPr="00E60DCC">
        <w:rPr>
          <w:sz w:val="24"/>
          <w:szCs w:val="24"/>
        </w:rPr>
        <w:t xml:space="preserve">analogue scale (VAS). </w:t>
      </w:r>
      <w:r w:rsidR="000E04AC" w:rsidRPr="00E60DCC">
        <w:rPr>
          <w:sz w:val="24"/>
          <w:szCs w:val="24"/>
        </w:rPr>
        <w:t>P</w:t>
      </w:r>
      <w:r w:rsidRPr="00E60DCC">
        <w:rPr>
          <w:sz w:val="24"/>
          <w:szCs w:val="24"/>
        </w:rPr>
        <w:t xml:space="preserve">redictors of </w:t>
      </w:r>
      <w:r w:rsidR="000E04AC" w:rsidRPr="00E60DCC">
        <w:rPr>
          <w:sz w:val="24"/>
          <w:szCs w:val="24"/>
        </w:rPr>
        <w:t>virological failure</w:t>
      </w:r>
      <w:r w:rsidRPr="00E60DCC">
        <w:rPr>
          <w:sz w:val="24"/>
          <w:szCs w:val="24"/>
        </w:rPr>
        <w:t xml:space="preserve"> </w:t>
      </w:r>
      <w:r w:rsidR="005F653A" w:rsidRPr="00E60DCC">
        <w:rPr>
          <w:sz w:val="24"/>
          <w:szCs w:val="24"/>
        </w:rPr>
        <w:t>(confirmed or last available viral load &gt;400 copies/</w:t>
      </w:r>
      <w:r w:rsidR="00E60DCC" w:rsidRPr="00E60DCC">
        <w:rPr>
          <w:sz w:val="24"/>
          <w:szCs w:val="24"/>
        </w:rPr>
        <w:t>mL</w:t>
      </w:r>
      <w:r w:rsidR="005F653A" w:rsidRPr="00E60DCC">
        <w:rPr>
          <w:sz w:val="24"/>
          <w:szCs w:val="24"/>
        </w:rPr>
        <w:t xml:space="preserve">) </w:t>
      </w:r>
      <w:r w:rsidRPr="00E60DCC">
        <w:rPr>
          <w:sz w:val="24"/>
          <w:szCs w:val="24"/>
        </w:rPr>
        <w:t>were explored</w:t>
      </w:r>
      <w:r w:rsidRPr="00823AE2">
        <w:rPr>
          <w:sz w:val="24"/>
          <w:szCs w:val="24"/>
        </w:rPr>
        <w:t xml:space="preserve"> </w:t>
      </w:r>
      <w:r w:rsidR="000E04AC" w:rsidRPr="00823AE2">
        <w:rPr>
          <w:sz w:val="24"/>
          <w:szCs w:val="24"/>
        </w:rPr>
        <w:t xml:space="preserve">by </w:t>
      </w:r>
      <w:r w:rsidRPr="00823AE2">
        <w:rPr>
          <w:sz w:val="24"/>
          <w:szCs w:val="24"/>
        </w:rPr>
        <w:t xml:space="preserve">logistic regression analysis. </w:t>
      </w:r>
    </w:p>
    <w:p w14:paraId="5F4BD683" w14:textId="77777777" w:rsidR="00083016" w:rsidRPr="00823AE2" w:rsidRDefault="00083016" w:rsidP="00991E7C">
      <w:pPr>
        <w:pStyle w:val="Normal1"/>
        <w:spacing w:after="0" w:line="360" w:lineRule="auto"/>
        <w:jc w:val="both"/>
        <w:rPr>
          <w:b/>
          <w:sz w:val="24"/>
          <w:szCs w:val="24"/>
        </w:rPr>
      </w:pPr>
    </w:p>
    <w:p w14:paraId="4B8054BC" w14:textId="3561E63F" w:rsidR="000177C8" w:rsidRPr="00823AE2" w:rsidRDefault="000177C8" w:rsidP="00991E7C">
      <w:pPr>
        <w:pStyle w:val="Normal1"/>
        <w:spacing w:after="0" w:line="360" w:lineRule="auto"/>
        <w:jc w:val="both"/>
        <w:rPr>
          <w:sz w:val="24"/>
          <w:szCs w:val="24"/>
        </w:rPr>
      </w:pPr>
      <w:r w:rsidRPr="00823AE2">
        <w:rPr>
          <w:b/>
          <w:sz w:val="24"/>
          <w:szCs w:val="24"/>
        </w:rPr>
        <w:t>Results:</w:t>
      </w:r>
      <w:r w:rsidRPr="00823AE2">
        <w:rPr>
          <w:sz w:val="24"/>
          <w:szCs w:val="24"/>
        </w:rPr>
        <w:t xml:space="preserve"> </w:t>
      </w:r>
      <w:r w:rsidR="001B46D0" w:rsidRPr="00823AE2">
        <w:rPr>
          <w:sz w:val="24"/>
          <w:szCs w:val="24"/>
        </w:rPr>
        <w:t xml:space="preserve">After NNRTI-based </w:t>
      </w:r>
      <w:r w:rsidR="00102FC4" w:rsidRPr="00823AE2">
        <w:rPr>
          <w:sz w:val="24"/>
          <w:szCs w:val="24"/>
        </w:rPr>
        <w:t>therapy</w:t>
      </w:r>
      <w:r w:rsidR="001B46D0" w:rsidRPr="00823AE2">
        <w:rPr>
          <w:sz w:val="24"/>
          <w:szCs w:val="24"/>
        </w:rPr>
        <w:t xml:space="preserve">, participants </w:t>
      </w:r>
      <w:r w:rsidR="00583B33" w:rsidRPr="00823AE2">
        <w:rPr>
          <w:sz w:val="24"/>
          <w:szCs w:val="24"/>
        </w:rPr>
        <w:t xml:space="preserve">(n=81) </w:t>
      </w:r>
      <w:r w:rsidR="001B46D0" w:rsidRPr="00823AE2">
        <w:rPr>
          <w:sz w:val="24"/>
          <w:szCs w:val="24"/>
        </w:rPr>
        <w:t xml:space="preserve">had received </w:t>
      </w:r>
      <w:r w:rsidR="00367A28" w:rsidRPr="00823AE2">
        <w:rPr>
          <w:sz w:val="24"/>
          <w:szCs w:val="24"/>
        </w:rPr>
        <w:t>PI</w:t>
      </w:r>
      <w:r w:rsidR="001B46D0" w:rsidRPr="00823AE2">
        <w:rPr>
          <w:sz w:val="24"/>
          <w:szCs w:val="24"/>
        </w:rPr>
        <w:t>/r</w:t>
      </w:r>
      <w:r w:rsidR="00367A28" w:rsidRPr="00823AE2">
        <w:rPr>
          <w:sz w:val="24"/>
          <w:szCs w:val="24"/>
        </w:rPr>
        <w:t xml:space="preserve">-based </w:t>
      </w:r>
      <w:r w:rsidR="00102FC4" w:rsidRPr="00823AE2">
        <w:rPr>
          <w:sz w:val="24"/>
          <w:szCs w:val="24"/>
        </w:rPr>
        <w:t xml:space="preserve">therapy </w:t>
      </w:r>
      <w:r w:rsidR="00367A28" w:rsidRPr="00823AE2">
        <w:rPr>
          <w:sz w:val="24"/>
          <w:szCs w:val="24"/>
        </w:rPr>
        <w:t xml:space="preserve">for </w:t>
      </w:r>
      <w:r w:rsidR="00C870AB" w:rsidRPr="00823AE2">
        <w:rPr>
          <w:sz w:val="24"/>
          <w:szCs w:val="24"/>
        </w:rPr>
        <w:t xml:space="preserve">a </w:t>
      </w:r>
      <w:r w:rsidR="00367A28" w:rsidRPr="00823AE2">
        <w:rPr>
          <w:sz w:val="24"/>
          <w:szCs w:val="24"/>
        </w:rPr>
        <w:t xml:space="preserve">median </w:t>
      </w:r>
      <w:r w:rsidR="00C870AB" w:rsidRPr="00823AE2">
        <w:rPr>
          <w:sz w:val="24"/>
          <w:szCs w:val="24"/>
        </w:rPr>
        <w:t xml:space="preserve">of </w:t>
      </w:r>
      <w:r w:rsidR="00367A28" w:rsidRPr="00823AE2">
        <w:rPr>
          <w:color w:val="000000"/>
          <w:sz w:val="24"/>
          <w:szCs w:val="24"/>
        </w:rPr>
        <w:t>3.2 years</w:t>
      </w:r>
      <w:r w:rsidR="006B6F1B" w:rsidRPr="00823AE2">
        <w:rPr>
          <w:color w:val="000000"/>
          <w:sz w:val="24"/>
          <w:szCs w:val="24"/>
        </w:rPr>
        <w:t xml:space="preserve"> and </w:t>
      </w:r>
      <w:r w:rsidR="00C870AB" w:rsidRPr="00823AE2">
        <w:rPr>
          <w:color w:val="000000"/>
          <w:sz w:val="24"/>
          <w:szCs w:val="24"/>
        </w:rPr>
        <w:t>had a confirmed viral load &lt;60 copies/</w:t>
      </w:r>
      <w:r w:rsidR="00E60DCC">
        <w:rPr>
          <w:color w:val="000000"/>
          <w:sz w:val="24"/>
          <w:szCs w:val="24"/>
        </w:rPr>
        <w:t>mL</w:t>
      </w:r>
      <w:r w:rsidR="00C870AB" w:rsidRPr="00823AE2">
        <w:rPr>
          <w:color w:val="000000"/>
          <w:sz w:val="24"/>
          <w:szCs w:val="24"/>
        </w:rPr>
        <w:t xml:space="preserve"> and a</w:t>
      </w:r>
      <w:r w:rsidR="005F653A" w:rsidRPr="00823AE2">
        <w:rPr>
          <w:color w:val="000000"/>
          <w:sz w:val="24"/>
          <w:szCs w:val="24"/>
        </w:rPr>
        <w:t xml:space="preserve"> median CD4 count </w:t>
      </w:r>
      <w:r w:rsidR="00C870AB" w:rsidRPr="00823AE2">
        <w:rPr>
          <w:color w:val="000000"/>
          <w:sz w:val="24"/>
          <w:szCs w:val="24"/>
        </w:rPr>
        <w:t>of</w:t>
      </w:r>
      <w:r w:rsidR="005F653A" w:rsidRPr="00823AE2">
        <w:rPr>
          <w:color w:val="000000"/>
          <w:sz w:val="24"/>
          <w:szCs w:val="24"/>
        </w:rPr>
        <w:t xml:space="preserve"> 466 cells/mm</w:t>
      </w:r>
      <w:r w:rsidR="005F653A" w:rsidRPr="00823AE2">
        <w:rPr>
          <w:color w:val="000000"/>
          <w:sz w:val="24"/>
          <w:szCs w:val="24"/>
          <w:vertAlign w:val="superscript"/>
        </w:rPr>
        <w:t>3</w:t>
      </w:r>
      <w:r w:rsidR="001B46D0" w:rsidRPr="00823AE2">
        <w:rPr>
          <w:sz w:val="24"/>
          <w:szCs w:val="24"/>
        </w:rPr>
        <w:t>. NRTI</w:t>
      </w:r>
      <w:r w:rsidR="00741C09" w:rsidRPr="00823AE2">
        <w:rPr>
          <w:sz w:val="24"/>
          <w:szCs w:val="24"/>
        </w:rPr>
        <w:t xml:space="preserve"> and </w:t>
      </w:r>
      <w:r w:rsidR="001B46D0" w:rsidRPr="00823AE2">
        <w:rPr>
          <w:sz w:val="24"/>
          <w:szCs w:val="24"/>
        </w:rPr>
        <w:t xml:space="preserve">NNRTI RAMs </w:t>
      </w:r>
      <w:r w:rsidR="00C870AB" w:rsidRPr="00823AE2">
        <w:rPr>
          <w:sz w:val="24"/>
          <w:szCs w:val="24"/>
        </w:rPr>
        <w:t xml:space="preserve">were detected </w:t>
      </w:r>
      <w:r w:rsidR="001B46D0" w:rsidRPr="00823AE2">
        <w:rPr>
          <w:sz w:val="24"/>
          <w:szCs w:val="24"/>
        </w:rPr>
        <w:t xml:space="preserve">in 39/60 (65.0%) and 41/60 (68.3%) </w:t>
      </w:r>
      <w:r w:rsidR="00C870AB" w:rsidRPr="00823AE2">
        <w:rPr>
          <w:sz w:val="24"/>
          <w:szCs w:val="24"/>
        </w:rPr>
        <w:t>HIV-1 DNA sequences</w:t>
      </w:r>
      <w:r w:rsidR="001B46D0" w:rsidRPr="00823AE2">
        <w:rPr>
          <w:sz w:val="24"/>
          <w:szCs w:val="24"/>
        </w:rPr>
        <w:t xml:space="preserve">, respectively. </w:t>
      </w:r>
      <w:r w:rsidRPr="00823AE2">
        <w:rPr>
          <w:sz w:val="24"/>
          <w:szCs w:val="24"/>
        </w:rPr>
        <w:t>Over 48 weeks</w:t>
      </w:r>
      <w:r w:rsidR="00E41A95" w:rsidRPr="00823AE2">
        <w:rPr>
          <w:sz w:val="24"/>
          <w:szCs w:val="24"/>
        </w:rPr>
        <w:t xml:space="preserve"> of monotherapy</w:t>
      </w:r>
      <w:r w:rsidRPr="00823AE2">
        <w:rPr>
          <w:sz w:val="24"/>
          <w:szCs w:val="24"/>
        </w:rPr>
        <w:t xml:space="preserve">, </w:t>
      </w:r>
      <w:r w:rsidR="001B46D0" w:rsidRPr="00823AE2">
        <w:rPr>
          <w:sz w:val="24"/>
          <w:szCs w:val="24"/>
        </w:rPr>
        <w:t xml:space="preserve">16/81 (19.8%) </w:t>
      </w:r>
      <w:r w:rsidR="006B6F1B" w:rsidRPr="00823AE2">
        <w:rPr>
          <w:sz w:val="24"/>
          <w:szCs w:val="24"/>
        </w:rPr>
        <w:t xml:space="preserve">patients </w:t>
      </w:r>
      <w:r w:rsidR="001B46D0" w:rsidRPr="00823AE2">
        <w:rPr>
          <w:sz w:val="24"/>
          <w:szCs w:val="24"/>
        </w:rPr>
        <w:t>experienced virological failure</w:t>
      </w:r>
      <w:r w:rsidRPr="00823AE2">
        <w:rPr>
          <w:sz w:val="24"/>
          <w:szCs w:val="24"/>
        </w:rPr>
        <w:t>.</w:t>
      </w:r>
      <w:r w:rsidR="005F653A" w:rsidRPr="00823AE2">
        <w:rPr>
          <w:sz w:val="24"/>
          <w:szCs w:val="24"/>
        </w:rPr>
        <w:t xml:space="preserve"> </w:t>
      </w:r>
      <w:r w:rsidR="00583B33" w:rsidRPr="00823AE2">
        <w:rPr>
          <w:sz w:val="24"/>
          <w:szCs w:val="24"/>
        </w:rPr>
        <w:t>After adjust</w:t>
      </w:r>
      <w:r w:rsidR="007D669F" w:rsidRPr="00823AE2">
        <w:rPr>
          <w:sz w:val="24"/>
          <w:szCs w:val="24"/>
        </w:rPr>
        <w:t>ing</w:t>
      </w:r>
      <w:r w:rsidR="00102FC4" w:rsidRPr="00823AE2">
        <w:rPr>
          <w:sz w:val="24"/>
          <w:szCs w:val="24"/>
        </w:rPr>
        <w:t xml:space="preserve"> for age, HIV-1 DNA load, </w:t>
      </w:r>
      <w:r w:rsidR="00741C09" w:rsidRPr="00823AE2">
        <w:rPr>
          <w:sz w:val="24"/>
          <w:szCs w:val="24"/>
        </w:rPr>
        <w:t>adherence</w:t>
      </w:r>
      <w:r w:rsidR="0062734E" w:rsidRPr="00823AE2">
        <w:rPr>
          <w:sz w:val="24"/>
          <w:szCs w:val="24"/>
        </w:rPr>
        <w:t xml:space="preserve"> by VAS</w:t>
      </w:r>
      <w:r w:rsidR="00741C09" w:rsidRPr="00823AE2">
        <w:rPr>
          <w:sz w:val="24"/>
          <w:szCs w:val="24"/>
        </w:rPr>
        <w:t xml:space="preserve">, and </w:t>
      </w:r>
      <w:r w:rsidR="00102FC4" w:rsidRPr="00823AE2">
        <w:rPr>
          <w:sz w:val="24"/>
          <w:szCs w:val="24"/>
        </w:rPr>
        <w:t>RAM status</w:t>
      </w:r>
      <w:r w:rsidR="007D669F" w:rsidRPr="00823AE2">
        <w:rPr>
          <w:sz w:val="24"/>
          <w:szCs w:val="24"/>
        </w:rPr>
        <w:t>,</w:t>
      </w:r>
      <w:r w:rsidR="00102FC4" w:rsidRPr="00823AE2">
        <w:rPr>
          <w:sz w:val="24"/>
          <w:szCs w:val="24"/>
        </w:rPr>
        <w:t xml:space="preserve"> </w:t>
      </w:r>
      <w:r w:rsidR="00C870AB" w:rsidRPr="00823AE2">
        <w:rPr>
          <w:sz w:val="24"/>
          <w:szCs w:val="24"/>
        </w:rPr>
        <w:t>v</w:t>
      </w:r>
      <w:r w:rsidR="005F653A" w:rsidRPr="00823AE2">
        <w:rPr>
          <w:sz w:val="24"/>
          <w:szCs w:val="24"/>
        </w:rPr>
        <w:t xml:space="preserve">irological failure </w:t>
      </w:r>
      <w:r w:rsidR="00E41A95" w:rsidRPr="00823AE2">
        <w:rPr>
          <w:sz w:val="24"/>
          <w:szCs w:val="24"/>
        </w:rPr>
        <w:t xml:space="preserve">was </w:t>
      </w:r>
      <w:r w:rsidR="00102FC4" w:rsidRPr="00823AE2">
        <w:rPr>
          <w:sz w:val="24"/>
          <w:szCs w:val="24"/>
        </w:rPr>
        <w:t>less likely</w:t>
      </w:r>
      <w:r w:rsidR="00583B33" w:rsidRPr="00823AE2">
        <w:rPr>
          <w:sz w:val="24"/>
          <w:szCs w:val="24"/>
        </w:rPr>
        <w:t xml:space="preserve"> with </w:t>
      </w:r>
      <w:r w:rsidR="00C870AB" w:rsidRPr="00823AE2">
        <w:rPr>
          <w:sz w:val="24"/>
          <w:szCs w:val="24"/>
        </w:rPr>
        <w:t xml:space="preserve">higher </w:t>
      </w:r>
      <w:r w:rsidR="00E41A95" w:rsidRPr="00823AE2">
        <w:rPr>
          <w:sz w:val="24"/>
          <w:szCs w:val="24"/>
        </w:rPr>
        <w:t xml:space="preserve">VAS-measured </w:t>
      </w:r>
      <w:r w:rsidR="00C870AB" w:rsidRPr="00823AE2">
        <w:rPr>
          <w:sz w:val="24"/>
          <w:szCs w:val="24"/>
        </w:rPr>
        <w:t xml:space="preserve">adherence </w:t>
      </w:r>
      <w:r w:rsidR="005D016C" w:rsidRPr="00823AE2">
        <w:rPr>
          <w:sz w:val="24"/>
          <w:szCs w:val="24"/>
        </w:rPr>
        <w:t xml:space="preserve">(adjusted </w:t>
      </w:r>
      <w:r w:rsidR="00482A19">
        <w:rPr>
          <w:sz w:val="24"/>
          <w:szCs w:val="24"/>
        </w:rPr>
        <w:t>odds ratio</w:t>
      </w:r>
      <w:r w:rsidR="00AE701D">
        <w:rPr>
          <w:sz w:val="24"/>
          <w:szCs w:val="24"/>
        </w:rPr>
        <w:t xml:space="preserve"> </w:t>
      </w:r>
      <w:r w:rsidR="005D016C" w:rsidRPr="00823AE2">
        <w:rPr>
          <w:sz w:val="24"/>
          <w:szCs w:val="24"/>
        </w:rPr>
        <w:t xml:space="preserve">0.04, 95% </w:t>
      </w:r>
      <w:r w:rsidR="007D669F" w:rsidRPr="00823AE2">
        <w:rPr>
          <w:sz w:val="24"/>
          <w:szCs w:val="24"/>
        </w:rPr>
        <w:t>CI</w:t>
      </w:r>
      <w:r w:rsidR="005D016C" w:rsidRPr="00823AE2">
        <w:rPr>
          <w:sz w:val="24"/>
          <w:szCs w:val="24"/>
        </w:rPr>
        <w:t xml:space="preserve"> 0.01-0.37; p=0.004) </w:t>
      </w:r>
      <w:r w:rsidR="005F653A" w:rsidRPr="00823AE2">
        <w:rPr>
          <w:sz w:val="24"/>
          <w:szCs w:val="24"/>
        </w:rPr>
        <w:t xml:space="preserve">and </w:t>
      </w:r>
      <w:r w:rsidR="00583B33" w:rsidRPr="00823AE2">
        <w:rPr>
          <w:sz w:val="24"/>
          <w:szCs w:val="24"/>
        </w:rPr>
        <w:t xml:space="preserve">detectable </w:t>
      </w:r>
      <w:r w:rsidR="005F653A" w:rsidRPr="00823AE2">
        <w:rPr>
          <w:sz w:val="24"/>
          <w:szCs w:val="24"/>
        </w:rPr>
        <w:t>HIV-1 DNA RAMs</w:t>
      </w:r>
      <w:r w:rsidR="005D016C" w:rsidRPr="00823AE2">
        <w:rPr>
          <w:sz w:val="24"/>
          <w:szCs w:val="24"/>
        </w:rPr>
        <w:t xml:space="preserve"> (adjusted </w:t>
      </w:r>
      <w:r w:rsidR="00482A19">
        <w:rPr>
          <w:sz w:val="24"/>
          <w:szCs w:val="24"/>
        </w:rPr>
        <w:t>odds ratio</w:t>
      </w:r>
      <w:r w:rsidR="00234F81" w:rsidRPr="00823AE2">
        <w:rPr>
          <w:sz w:val="24"/>
          <w:szCs w:val="24"/>
        </w:rPr>
        <w:t xml:space="preserve"> </w:t>
      </w:r>
      <w:r w:rsidR="005D016C" w:rsidRPr="00823AE2">
        <w:rPr>
          <w:sz w:val="24"/>
          <w:szCs w:val="24"/>
        </w:rPr>
        <w:t xml:space="preserve">0.15, 95% </w:t>
      </w:r>
      <w:r w:rsidR="007D669F" w:rsidRPr="00823AE2">
        <w:rPr>
          <w:sz w:val="24"/>
          <w:szCs w:val="24"/>
        </w:rPr>
        <w:t>CI</w:t>
      </w:r>
      <w:r w:rsidR="005D016C" w:rsidRPr="00823AE2">
        <w:rPr>
          <w:sz w:val="24"/>
          <w:szCs w:val="24"/>
        </w:rPr>
        <w:t xml:space="preserve"> 0.03-0.82; p=0.028). </w:t>
      </w:r>
    </w:p>
    <w:p w14:paraId="11611990" w14:textId="77777777" w:rsidR="00083016" w:rsidRPr="00823AE2" w:rsidRDefault="00083016" w:rsidP="00991E7C">
      <w:pPr>
        <w:pStyle w:val="Normal1"/>
        <w:spacing w:after="0" w:line="360" w:lineRule="auto"/>
        <w:jc w:val="both"/>
        <w:rPr>
          <w:rFonts w:cstheme="minorHAnsi"/>
          <w:b/>
          <w:sz w:val="24"/>
          <w:szCs w:val="24"/>
        </w:rPr>
      </w:pPr>
      <w:bookmarkStart w:id="1" w:name="_gjdgxs" w:colFirst="0" w:colLast="0"/>
      <w:bookmarkEnd w:id="1"/>
    </w:p>
    <w:p w14:paraId="710F7CB4" w14:textId="2484F4B0" w:rsidR="00590DB1" w:rsidRPr="00823AE2" w:rsidRDefault="000177C8" w:rsidP="00991E7C">
      <w:pPr>
        <w:pStyle w:val="Normal1"/>
        <w:spacing w:after="0" w:line="360" w:lineRule="auto"/>
        <w:jc w:val="both"/>
      </w:pPr>
      <w:r w:rsidRPr="00823AE2">
        <w:rPr>
          <w:rFonts w:cstheme="minorHAnsi"/>
          <w:b/>
          <w:sz w:val="24"/>
          <w:szCs w:val="24"/>
        </w:rPr>
        <w:t>Conclusion</w:t>
      </w:r>
      <w:r w:rsidR="00234F81" w:rsidRPr="00823AE2">
        <w:rPr>
          <w:rFonts w:cstheme="minorHAnsi"/>
          <w:b/>
          <w:sz w:val="24"/>
          <w:szCs w:val="24"/>
        </w:rPr>
        <w:t>s</w:t>
      </w:r>
      <w:r w:rsidRPr="00823AE2">
        <w:rPr>
          <w:rFonts w:cstheme="minorHAnsi"/>
          <w:b/>
          <w:sz w:val="24"/>
          <w:szCs w:val="24"/>
        </w:rPr>
        <w:t xml:space="preserve">: </w:t>
      </w:r>
      <w:r w:rsidR="00B147E6" w:rsidRPr="00E20A10">
        <w:rPr>
          <w:rFonts w:cstheme="minorHAnsi"/>
          <w:sz w:val="24"/>
          <w:szCs w:val="24"/>
          <w:highlight w:val="yellow"/>
        </w:rPr>
        <w:t>Pre-existing</w:t>
      </w:r>
      <w:r w:rsidR="00B147E6" w:rsidRPr="00E20A10">
        <w:rPr>
          <w:rFonts w:cstheme="minorHAnsi"/>
          <w:b/>
          <w:sz w:val="24"/>
          <w:szCs w:val="24"/>
          <w:highlight w:val="yellow"/>
        </w:rPr>
        <w:t xml:space="preserve"> </w:t>
      </w:r>
      <w:r w:rsidR="00B147E6" w:rsidRPr="00E20A10">
        <w:rPr>
          <w:rFonts w:cstheme="minorHAnsi"/>
          <w:sz w:val="24"/>
          <w:szCs w:val="24"/>
          <w:highlight w:val="yellow"/>
        </w:rPr>
        <w:t xml:space="preserve">NRTI and NNRTI </w:t>
      </w:r>
      <w:r w:rsidR="00B147E6" w:rsidRPr="00E20A10">
        <w:rPr>
          <w:sz w:val="24"/>
          <w:szCs w:val="24"/>
          <w:highlight w:val="yellow"/>
        </w:rPr>
        <w:t>RAMs</w:t>
      </w:r>
      <w:r w:rsidR="005D016C" w:rsidRPr="00E20A10">
        <w:rPr>
          <w:sz w:val="24"/>
          <w:szCs w:val="24"/>
          <w:highlight w:val="yellow"/>
        </w:rPr>
        <w:t xml:space="preserve"> </w:t>
      </w:r>
      <w:r w:rsidR="00482A19">
        <w:rPr>
          <w:sz w:val="24"/>
          <w:szCs w:val="24"/>
          <w:highlight w:val="yellow"/>
        </w:rPr>
        <w:t>are associated with</w:t>
      </w:r>
      <w:r w:rsidR="00482A19" w:rsidRPr="00E20A10">
        <w:rPr>
          <w:sz w:val="24"/>
          <w:szCs w:val="24"/>
          <w:highlight w:val="yellow"/>
        </w:rPr>
        <w:t xml:space="preserve"> </w:t>
      </w:r>
      <w:r w:rsidR="00E41A95" w:rsidRPr="00E20A10">
        <w:rPr>
          <w:sz w:val="24"/>
          <w:szCs w:val="24"/>
          <w:highlight w:val="yellow"/>
        </w:rPr>
        <w:t xml:space="preserve">improved </w:t>
      </w:r>
      <w:r w:rsidR="00C870AB" w:rsidRPr="00E20A10">
        <w:rPr>
          <w:sz w:val="24"/>
          <w:szCs w:val="24"/>
          <w:highlight w:val="yellow"/>
        </w:rPr>
        <w:t xml:space="preserve">virological </w:t>
      </w:r>
      <w:r w:rsidR="00B147E6" w:rsidRPr="00E20A10">
        <w:rPr>
          <w:sz w:val="24"/>
          <w:szCs w:val="24"/>
          <w:highlight w:val="yellow"/>
        </w:rPr>
        <w:t xml:space="preserve">responses to NRTI-sparing ART </w:t>
      </w:r>
      <w:r w:rsidR="00583B33" w:rsidRPr="00E20A10">
        <w:rPr>
          <w:sz w:val="24"/>
          <w:szCs w:val="24"/>
          <w:highlight w:val="yellow"/>
        </w:rPr>
        <w:t xml:space="preserve">in </w:t>
      </w:r>
      <w:r w:rsidR="00C13908" w:rsidRPr="00E20A10">
        <w:rPr>
          <w:sz w:val="24"/>
          <w:szCs w:val="24"/>
          <w:highlight w:val="yellow"/>
        </w:rPr>
        <w:t>sub-Saharan Africa</w:t>
      </w:r>
      <w:r w:rsidR="00482A19">
        <w:rPr>
          <w:sz w:val="24"/>
          <w:szCs w:val="24"/>
          <w:highlight w:val="yellow"/>
        </w:rPr>
        <w:t xml:space="preserve">, indicating </w:t>
      </w:r>
      <w:r w:rsidR="00B147E6" w:rsidRPr="00E20A10">
        <w:rPr>
          <w:sz w:val="24"/>
          <w:szCs w:val="24"/>
          <w:highlight w:val="yellow"/>
        </w:rPr>
        <w:t>a</w:t>
      </w:r>
      <w:r w:rsidR="00482A19">
        <w:rPr>
          <w:sz w:val="24"/>
          <w:szCs w:val="24"/>
          <w:highlight w:val="yellow"/>
        </w:rPr>
        <w:t xml:space="preserve"> predictive</w:t>
      </w:r>
      <w:r w:rsidR="00E41A95" w:rsidRPr="00E20A10">
        <w:rPr>
          <w:sz w:val="24"/>
          <w:szCs w:val="24"/>
          <w:highlight w:val="yellow"/>
        </w:rPr>
        <w:t xml:space="preserve"> effect </w:t>
      </w:r>
      <w:r w:rsidR="00B147E6" w:rsidRPr="00E20A10">
        <w:rPr>
          <w:sz w:val="24"/>
          <w:szCs w:val="24"/>
          <w:highlight w:val="yellow"/>
        </w:rPr>
        <w:t xml:space="preserve">that is </w:t>
      </w:r>
      <w:r w:rsidR="005D016C" w:rsidRPr="00E20A10">
        <w:rPr>
          <w:sz w:val="24"/>
          <w:szCs w:val="24"/>
          <w:highlight w:val="yellow"/>
        </w:rPr>
        <w:t xml:space="preserve">independent of residual </w:t>
      </w:r>
      <w:r w:rsidR="00E41A95" w:rsidRPr="00E20A10">
        <w:rPr>
          <w:sz w:val="24"/>
          <w:szCs w:val="24"/>
          <w:highlight w:val="yellow"/>
        </w:rPr>
        <w:t xml:space="preserve">NRTI </w:t>
      </w:r>
      <w:r w:rsidR="005D016C" w:rsidRPr="00E20A10">
        <w:rPr>
          <w:sz w:val="24"/>
          <w:szCs w:val="24"/>
          <w:highlight w:val="yellow"/>
        </w:rPr>
        <w:t>activity.</w:t>
      </w:r>
    </w:p>
    <w:p w14:paraId="780E3D18" w14:textId="6AFC90DF" w:rsidR="00436C0C" w:rsidRPr="00823AE2" w:rsidRDefault="00436C0C" w:rsidP="00991E7C">
      <w:pPr>
        <w:tabs>
          <w:tab w:val="left" w:pos="567"/>
        </w:tabs>
        <w:spacing w:line="360" w:lineRule="auto"/>
        <w:jc w:val="both"/>
        <w:rPr>
          <w:b/>
        </w:rPr>
      </w:pPr>
    </w:p>
    <w:p w14:paraId="764EB1EC" w14:textId="157C127B" w:rsidR="00436C0C" w:rsidRPr="00823AE2" w:rsidRDefault="00436C0C" w:rsidP="00991E7C">
      <w:pPr>
        <w:tabs>
          <w:tab w:val="left" w:pos="567"/>
        </w:tabs>
        <w:spacing w:line="360" w:lineRule="auto"/>
        <w:jc w:val="both"/>
      </w:pPr>
      <w:r w:rsidRPr="00823AE2">
        <w:rPr>
          <w:b/>
        </w:rPr>
        <w:t>Keywords</w:t>
      </w:r>
      <w:r w:rsidR="00FB0FE5" w:rsidRPr="00823AE2">
        <w:rPr>
          <w:b/>
        </w:rPr>
        <w:t xml:space="preserve">: </w:t>
      </w:r>
      <w:r w:rsidR="00FB0FE5" w:rsidRPr="00823AE2">
        <w:t xml:space="preserve">Resistance, adherence, Africa, monotherapy, </w:t>
      </w:r>
      <w:r w:rsidR="007D669F" w:rsidRPr="00823AE2">
        <w:t xml:space="preserve">NRTI, </w:t>
      </w:r>
      <w:r w:rsidR="00FB0FE5" w:rsidRPr="00823AE2">
        <w:t>HIV-1 DNA</w:t>
      </w:r>
    </w:p>
    <w:p w14:paraId="7DB61B07" w14:textId="06963A82" w:rsidR="006E3323" w:rsidRPr="00823AE2" w:rsidRDefault="006E3323" w:rsidP="00991E7C">
      <w:pPr>
        <w:tabs>
          <w:tab w:val="left" w:pos="567"/>
        </w:tabs>
        <w:spacing w:line="360" w:lineRule="auto"/>
        <w:jc w:val="both"/>
        <w:outlineLvl w:val="0"/>
        <w:rPr>
          <w:b/>
          <w:caps/>
        </w:rPr>
      </w:pPr>
      <w:r w:rsidRPr="00823AE2">
        <w:rPr>
          <w:b/>
          <w:caps/>
        </w:rPr>
        <w:br w:type="column"/>
      </w:r>
      <w:r w:rsidR="005970B5" w:rsidRPr="00823AE2">
        <w:rPr>
          <w:b/>
        </w:rPr>
        <w:lastRenderedPageBreak/>
        <w:t>Introduction</w:t>
      </w:r>
    </w:p>
    <w:p w14:paraId="741AAA49" w14:textId="01BB06DF" w:rsidR="0007263E" w:rsidRPr="00823AE2" w:rsidRDefault="005271E3" w:rsidP="00991E7C">
      <w:pPr>
        <w:tabs>
          <w:tab w:val="left" w:pos="567"/>
        </w:tabs>
        <w:spacing w:line="360" w:lineRule="auto"/>
        <w:jc w:val="both"/>
      </w:pPr>
      <w:r w:rsidRPr="00823AE2">
        <w:t xml:space="preserve">The </w:t>
      </w:r>
      <w:r w:rsidR="005D7900">
        <w:t>WHO</w:t>
      </w:r>
      <w:r w:rsidRPr="00823AE2">
        <w:t xml:space="preserve"> recommends standardised regimens for first-line and second-line ART</w:t>
      </w:r>
      <w:r>
        <w:t xml:space="preserve"> in sub-Saharan Africa, comprising </w:t>
      </w:r>
      <w:r w:rsidRPr="00823AE2">
        <w:t xml:space="preserve">2 NRTIs </w:t>
      </w:r>
      <w:r>
        <w:t xml:space="preserve">plus </w:t>
      </w:r>
      <w:r w:rsidRPr="00823AE2">
        <w:t>an NNRTI, a PI/r, or</w:t>
      </w:r>
      <w:r>
        <w:t xml:space="preserve"> more recently</w:t>
      </w:r>
      <w:r w:rsidRPr="00823AE2">
        <w:t xml:space="preserve"> an integrase inhibitor</w:t>
      </w:r>
      <w:r w:rsidR="00572EAB">
        <w:t>.</w:t>
      </w:r>
      <w:r w:rsidRPr="00823AE2">
        <w:rPr>
          <w:vertAlign w:val="superscript"/>
        </w:rPr>
        <w:t>1</w:t>
      </w:r>
      <w:r w:rsidRPr="00823AE2">
        <w:t xml:space="preserve"> </w:t>
      </w:r>
      <w:r w:rsidR="006E3323" w:rsidRPr="00823AE2">
        <w:rPr>
          <w:rFonts w:cstheme="minorHAnsi"/>
        </w:rPr>
        <w:t xml:space="preserve">Pooled estimates indicate adherence rates of 67-77% </w:t>
      </w:r>
      <w:r>
        <w:rPr>
          <w:rFonts w:cstheme="minorHAnsi"/>
        </w:rPr>
        <w:t>in the region</w:t>
      </w:r>
      <w:r w:rsidR="00572EAB">
        <w:rPr>
          <w:rFonts w:cstheme="minorHAnsi"/>
        </w:rPr>
        <w:t>,</w:t>
      </w:r>
      <w:r w:rsidR="00572EAB">
        <w:rPr>
          <w:rFonts w:cstheme="minorHAnsi"/>
          <w:vertAlign w:val="superscript"/>
        </w:rPr>
        <w:t>2</w:t>
      </w:r>
      <w:r w:rsidR="006E3323" w:rsidRPr="00823AE2">
        <w:rPr>
          <w:rFonts w:cstheme="minorHAnsi"/>
          <w:vertAlign w:val="superscript"/>
        </w:rPr>
        <w:t>,</w:t>
      </w:r>
      <w:r w:rsidR="00572EAB">
        <w:rPr>
          <w:rFonts w:cstheme="minorHAnsi"/>
          <w:vertAlign w:val="superscript"/>
        </w:rPr>
        <w:t>3</w:t>
      </w:r>
      <w:r>
        <w:rPr>
          <w:rFonts w:cstheme="minorHAnsi"/>
        </w:rPr>
        <w:t xml:space="preserve"> and rates of virological suppression </w:t>
      </w:r>
      <w:r w:rsidR="00CB2300">
        <w:rPr>
          <w:rFonts w:cstheme="minorHAnsi"/>
        </w:rPr>
        <w:t>of</w:t>
      </w:r>
      <w:r w:rsidR="00CB2300" w:rsidRPr="00823AE2">
        <w:t xml:space="preserve"> 65% and 62% after 24 months of NNRTI-based first-line</w:t>
      </w:r>
      <w:r w:rsidR="00482A19">
        <w:t xml:space="preserve"> ART</w:t>
      </w:r>
      <w:r w:rsidR="00572EAB">
        <w:rPr>
          <w:vertAlign w:val="superscript"/>
        </w:rPr>
        <w:t>4</w:t>
      </w:r>
      <w:r w:rsidR="00CB2300" w:rsidRPr="00823AE2">
        <w:t xml:space="preserve"> </w:t>
      </w:r>
      <w:r w:rsidR="00CB2300" w:rsidRPr="00823AE2">
        <w:rPr>
          <w:color w:val="000000" w:themeColor="text1"/>
        </w:rPr>
        <w:t>and PI/r-based second-line</w:t>
      </w:r>
      <w:r w:rsidR="0042589C">
        <w:rPr>
          <w:vertAlign w:val="superscript"/>
        </w:rPr>
        <w:t xml:space="preserve">5 </w:t>
      </w:r>
      <w:r w:rsidR="00CB2300" w:rsidRPr="00823AE2">
        <w:t>ART</w:t>
      </w:r>
      <w:r w:rsidR="00572EAB">
        <w:t>,</w:t>
      </w:r>
      <w:r w:rsidR="0042589C">
        <w:t xml:space="preserve"> </w:t>
      </w:r>
      <w:r w:rsidR="00CB2300" w:rsidRPr="00823AE2">
        <w:t xml:space="preserve">respectively. </w:t>
      </w:r>
      <w:r w:rsidR="004A6173" w:rsidRPr="00823AE2">
        <w:t>Sparse</w:t>
      </w:r>
      <w:r w:rsidR="006E3323" w:rsidRPr="00823AE2">
        <w:t xml:space="preserve"> </w:t>
      </w:r>
      <w:r w:rsidR="000A6B67" w:rsidRPr="00823AE2">
        <w:t>virological</w:t>
      </w:r>
      <w:r w:rsidR="006E3323" w:rsidRPr="00823AE2">
        <w:t xml:space="preserve"> monitoring and delayed introduction of second-line ART in viraemic patients favour the emergence of drug resistance</w:t>
      </w:r>
      <w:r w:rsidR="001C62BD" w:rsidRPr="00823AE2">
        <w:t>,</w:t>
      </w:r>
      <w:r w:rsidR="002D44D3" w:rsidRPr="00823AE2">
        <w:t xml:space="preserve"> and </w:t>
      </w:r>
      <w:r w:rsidR="006E3323" w:rsidRPr="00823AE2">
        <w:t xml:space="preserve">RAMs </w:t>
      </w:r>
      <w:r w:rsidR="002D44D3" w:rsidRPr="00823AE2">
        <w:t xml:space="preserve">affecting both the NRTIs and the NNRTIs </w:t>
      </w:r>
      <w:r w:rsidR="006E3323" w:rsidRPr="00823AE2">
        <w:t xml:space="preserve">are common </w:t>
      </w:r>
      <w:r w:rsidR="00C3270C" w:rsidRPr="00823AE2">
        <w:t>at</w:t>
      </w:r>
      <w:r w:rsidR="006E3323" w:rsidRPr="00823AE2">
        <w:t xml:space="preserve"> failure of </w:t>
      </w:r>
      <w:r w:rsidR="005743C8">
        <w:t xml:space="preserve">first-line </w:t>
      </w:r>
      <w:r w:rsidR="00331FB4" w:rsidRPr="00823AE2">
        <w:t xml:space="preserve">NNRTI-based </w:t>
      </w:r>
      <w:r w:rsidR="006E3323" w:rsidRPr="00823AE2">
        <w:t>ART</w:t>
      </w:r>
      <w:r w:rsidR="00634D37">
        <w:t>.</w:t>
      </w:r>
      <w:r w:rsidR="00634D37">
        <w:rPr>
          <w:vertAlign w:val="superscript"/>
        </w:rPr>
        <w:t>6</w:t>
      </w:r>
      <w:r w:rsidR="006E3323" w:rsidRPr="00823AE2">
        <w:rPr>
          <w:vertAlign w:val="superscript"/>
        </w:rPr>
        <w:t>-1</w:t>
      </w:r>
      <w:r w:rsidR="00634D37">
        <w:rPr>
          <w:vertAlign w:val="superscript"/>
        </w:rPr>
        <w:t>0</w:t>
      </w:r>
      <w:r w:rsidR="006E3323" w:rsidRPr="00823AE2">
        <w:t xml:space="preserve"> </w:t>
      </w:r>
      <w:r w:rsidR="00A753FC">
        <w:t>T</w:t>
      </w:r>
      <w:r w:rsidR="006E3323" w:rsidRPr="00823AE2">
        <w:t xml:space="preserve">he significance of NRTI RAMs in terms of predicting reduced responses to </w:t>
      </w:r>
      <w:r w:rsidR="00D43044">
        <w:t>second-line</w:t>
      </w:r>
      <w:r w:rsidR="006E3323" w:rsidRPr="00823AE2">
        <w:t xml:space="preserve"> NRTI-containing ART has been called into question.</w:t>
      </w:r>
      <w:r w:rsidR="00634D37" w:rsidRPr="00634D37">
        <w:rPr>
          <w:vertAlign w:val="superscript"/>
        </w:rPr>
        <w:t>5,1</w:t>
      </w:r>
      <w:r w:rsidR="00634D37">
        <w:rPr>
          <w:vertAlign w:val="superscript"/>
        </w:rPr>
        <w:t>1</w:t>
      </w:r>
      <w:r w:rsidR="00634D37">
        <w:rPr>
          <w:rFonts w:ascii="Calibri" w:eastAsia="Calibri,Times New Roman" w:hAnsi="Calibri" w:cs="Calibri,Times New Roman"/>
          <w:lang w:eastAsia="it-IT"/>
        </w:rPr>
        <w:t xml:space="preserve"> </w:t>
      </w:r>
      <w:r w:rsidR="007A3498" w:rsidRPr="00823AE2">
        <w:rPr>
          <w:rFonts w:ascii="Calibri" w:eastAsia="Calibri,Times New Roman" w:hAnsi="Calibri" w:cs="Calibri,Times New Roman"/>
          <w:lang w:eastAsia="it-IT"/>
        </w:rPr>
        <w:t>In a</w:t>
      </w:r>
      <w:r w:rsidR="006E3323" w:rsidRPr="00823AE2">
        <w:rPr>
          <w:rFonts w:ascii="Calibri" w:eastAsia="Calibri,Times New Roman" w:hAnsi="Calibri" w:cs="Calibri,Times New Roman"/>
          <w:lang w:eastAsia="it-IT"/>
        </w:rPr>
        <w:t xml:space="preserve"> </w:t>
      </w:r>
      <w:r w:rsidR="007A3498" w:rsidRPr="00823AE2">
        <w:rPr>
          <w:rFonts w:ascii="Calibri" w:eastAsia="Calibri,Times New Roman" w:hAnsi="Calibri" w:cs="Calibri,Times New Roman"/>
          <w:lang w:eastAsia="it-IT"/>
        </w:rPr>
        <w:t xml:space="preserve">meta-analysis of </w:t>
      </w:r>
      <w:r w:rsidR="00482A19">
        <w:rPr>
          <w:rFonts w:ascii="Calibri" w:eastAsia="Calibri,Times New Roman" w:hAnsi="Calibri" w:cs="Calibri,Times New Roman"/>
          <w:lang w:eastAsia="it-IT"/>
        </w:rPr>
        <w:t xml:space="preserve">pooled </w:t>
      </w:r>
      <w:r w:rsidR="006E3323" w:rsidRPr="00823AE2">
        <w:rPr>
          <w:rFonts w:ascii="Calibri" w:eastAsia="Calibri,Times New Roman" w:hAnsi="Calibri" w:cs="Calibri,Times New Roman"/>
          <w:lang w:eastAsia="it-IT"/>
        </w:rPr>
        <w:t xml:space="preserve">data from </w:t>
      </w:r>
      <w:r w:rsidR="00A70857">
        <w:rPr>
          <w:rFonts w:ascii="Calibri" w:eastAsia="Calibri,Times New Roman" w:hAnsi="Calibri" w:cs="Calibri,Times New Roman"/>
          <w:lang w:eastAsia="it-IT"/>
        </w:rPr>
        <w:t>sub-Saharan Africa</w:t>
      </w:r>
      <w:r w:rsidR="006E3323" w:rsidRPr="00823AE2">
        <w:rPr>
          <w:rFonts w:ascii="Calibri" w:eastAsia="Calibri,Times New Roman" w:hAnsi="Calibri" w:cs="Calibri,Times New Roman"/>
          <w:lang w:eastAsia="it-IT"/>
        </w:rPr>
        <w:t xml:space="preserve">, we </w:t>
      </w:r>
      <w:r w:rsidR="00A70857">
        <w:rPr>
          <w:rFonts w:ascii="Calibri" w:eastAsia="Calibri,Times New Roman" w:hAnsi="Calibri" w:cs="Calibri,Times New Roman"/>
          <w:lang w:eastAsia="it-IT"/>
        </w:rPr>
        <w:t>observed</w:t>
      </w:r>
      <w:r w:rsidR="006E3323" w:rsidRPr="00823AE2">
        <w:rPr>
          <w:rFonts w:ascii="Calibri" w:eastAsia="Calibri,Times New Roman" w:hAnsi="Calibri" w:cs="Calibri,Times New Roman"/>
          <w:lang w:eastAsia="it-IT"/>
        </w:rPr>
        <w:t xml:space="preserve"> that detection of </w:t>
      </w:r>
      <w:r w:rsidR="002D2A49" w:rsidRPr="00823AE2">
        <w:rPr>
          <w:rFonts w:ascii="Calibri" w:eastAsia="Calibri,Times New Roman" w:hAnsi="Calibri" w:cs="Calibri,Times New Roman"/>
          <w:lang w:eastAsia="it-IT"/>
        </w:rPr>
        <w:t>R</w:t>
      </w:r>
      <w:r w:rsidR="006E3323" w:rsidRPr="00823AE2">
        <w:rPr>
          <w:rFonts w:ascii="Calibri" w:eastAsia="Calibri,Times New Roman" w:hAnsi="Calibri" w:cs="Calibri,Times New Roman"/>
          <w:lang w:eastAsia="it-IT"/>
        </w:rPr>
        <w:t xml:space="preserve">AMs </w:t>
      </w:r>
      <w:r w:rsidR="002D44D3" w:rsidRPr="00823AE2">
        <w:rPr>
          <w:rFonts w:ascii="Calibri" w:eastAsia="Calibri,Times New Roman" w:hAnsi="Calibri" w:cs="Calibri,Times New Roman"/>
          <w:lang w:eastAsia="it-IT"/>
        </w:rPr>
        <w:t>at</w:t>
      </w:r>
      <w:r w:rsidR="006E3323" w:rsidRPr="00823AE2">
        <w:rPr>
          <w:rFonts w:ascii="Calibri" w:eastAsia="Calibri,Times New Roman" w:hAnsi="Calibri" w:cs="Calibri,Times New Roman"/>
          <w:lang w:eastAsia="it-IT"/>
        </w:rPr>
        <w:t xml:space="preserve"> failure of NNRTI-based ART, </w:t>
      </w:r>
      <w:r w:rsidR="002D2A49" w:rsidRPr="00823AE2">
        <w:rPr>
          <w:rFonts w:ascii="Calibri" w:eastAsia="Calibri,Times New Roman" w:hAnsi="Calibri" w:cs="Calibri,Times New Roman"/>
          <w:lang w:eastAsia="it-IT"/>
        </w:rPr>
        <w:t>most commonly</w:t>
      </w:r>
      <w:r w:rsidR="006E3323" w:rsidRPr="00823AE2">
        <w:rPr>
          <w:rFonts w:ascii="Calibri" w:eastAsia="Calibri,Times New Roman" w:hAnsi="Calibri" w:cs="Calibri,Times New Roman"/>
          <w:lang w:eastAsia="it-IT"/>
        </w:rPr>
        <w:t xml:space="preserve"> </w:t>
      </w:r>
      <w:r w:rsidR="00AA5419" w:rsidRPr="00823AE2">
        <w:rPr>
          <w:rFonts w:ascii="Calibri" w:eastAsia="Calibri,Times New Roman" w:hAnsi="Calibri" w:cs="Calibri,Times New Roman"/>
          <w:lang w:eastAsia="it-IT"/>
        </w:rPr>
        <w:t>M</w:t>
      </w:r>
      <w:r w:rsidR="00C3270C" w:rsidRPr="00823AE2">
        <w:rPr>
          <w:rFonts w:ascii="Calibri" w:eastAsia="Calibri,Times New Roman" w:hAnsi="Calibri" w:cs="Calibri,Times New Roman"/>
          <w:lang w:eastAsia="it-IT"/>
        </w:rPr>
        <w:t>1</w:t>
      </w:r>
      <w:r w:rsidR="00AA5419" w:rsidRPr="00823AE2">
        <w:rPr>
          <w:rFonts w:ascii="Calibri" w:eastAsia="Calibri,Times New Roman" w:hAnsi="Calibri" w:cs="Calibri,Times New Roman"/>
          <w:lang w:eastAsia="it-IT"/>
        </w:rPr>
        <w:t xml:space="preserve">84V and </w:t>
      </w:r>
      <w:r w:rsidR="00416AE7" w:rsidRPr="00823AE2">
        <w:rPr>
          <w:rFonts w:ascii="Calibri" w:eastAsia="Calibri,Times New Roman" w:hAnsi="Calibri" w:cs="Calibri,Times New Roman"/>
          <w:lang w:eastAsia="it-IT"/>
        </w:rPr>
        <w:t>thymidine analogue mutations (</w:t>
      </w:r>
      <w:r w:rsidR="006E3323" w:rsidRPr="00823AE2">
        <w:rPr>
          <w:rFonts w:ascii="Calibri" w:eastAsia="Calibri,Times New Roman" w:hAnsi="Calibri" w:cs="Calibri,Times New Roman"/>
          <w:lang w:eastAsia="it-IT"/>
        </w:rPr>
        <w:t>TAMs</w:t>
      </w:r>
      <w:r w:rsidR="00416AE7" w:rsidRPr="00823AE2">
        <w:rPr>
          <w:rFonts w:ascii="Calibri" w:eastAsia="Calibri,Times New Roman" w:hAnsi="Calibri" w:cs="Calibri,Times New Roman"/>
          <w:lang w:eastAsia="it-IT"/>
        </w:rPr>
        <w:t>)</w:t>
      </w:r>
      <w:r w:rsidR="006E3323" w:rsidRPr="00823AE2">
        <w:rPr>
          <w:rFonts w:ascii="Calibri" w:eastAsia="Calibri,Times New Roman" w:hAnsi="Calibri" w:cs="Calibri,Times New Roman"/>
          <w:lang w:eastAsia="it-IT"/>
        </w:rPr>
        <w:t>, predicted higher (rather than lower) odds of virological suppression after starting</w:t>
      </w:r>
      <w:r w:rsidR="00E16911">
        <w:rPr>
          <w:rFonts w:ascii="Calibri" w:eastAsia="Calibri,Times New Roman" w:hAnsi="Calibri" w:cs="Calibri,Times New Roman"/>
          <w:lang w:eastAsia="it-IT"/>
        </w:rPr>
        <w:t xml:space="preserve"> </w:t>
      </w:r>
      <w:r w:rsidR="008D6EC9" w:rsidRPr="00823AE2">
        <w:rPr>
          <w:rFonts w:ascii="Calibri" w:eastAsia="Calibri,Times New Roman" w:hAnsi="Calibri" w:cs="Calibri,Times New Roman"/>
          <w:lang w:eastAsia="it-IT"/>
        </w:rPr>
        <w:t>2NRTIs</w:t>
      </w:r>
      <w:r w:rsidR="00C555CF">
        <w:rPr>
          <w:rFonts w:ascii="Calibri" w:eastAsia="Calibri,Times New Roman" w:hAnsi="Calibri" w:cs="Calibri,Times New Roman"/>
          <w:lang w:eastAsia="it-IT"/>
        </w:rPr>
        <w:t xml:space="preserve"> + </w:t>
      </w:r>
      <w:r w:rsidR="008D6EC9" w:rsidRPr="00823AE2">
        <w:rPr>
          <w:rFonts w:ascii="Calibri" w:eastAsia="Calibri,Times New Roman" w:hAnsi="Calibri" w:cs="Calibri,Times New Roman"/>
          <w:lang w:eastAsia="it-IT"/>
        </w:rPr>
        <w:t>PI/r</w:t>
      </w:r>
      <w:r w:rsidR="00634D37">
        <w:rPr>
          <w:rFonts w:ascii="Calibri" w:eastAsia="Calibri,Times New Roman" w:hAnsi="Calibri" w:cs="Calibri,Times New Roman"/>
          <w:lang w:eastAsia="it-IT"/>
        </w:rPr>
        <w:t>.</w:t>
      </w:r>
      <w:r w:rsidR="00634D37">
        <w:rPr>
          <w:rFonts w:ascii="Calibri" w:eastAsia="Calibri,Times New Roman" w:hAnsi="Calibri" w:cs="Calibri,Times New Roman"/>
          <w:vertAlign w:val="superscript"/>
          <w:lang w:eastAsia="it-IT"/>
        </w:rPr>
        <w:t>5</w:t>
      </w:r>
      <w:r w:rsidR="006E3323" w:rsidRPr="00823AE2">
        <w:rPr>
          <w:rFonts w:ascii="Calibri" w:eastAsia="Calibri,Times New Roman" w:hAnsi="Calibri" w:cs="Calibri,Times New Roman"/>
          <w:lang w:eastAsia="it-IT"/>
        </w:rPr>
        <w:t xml:space="preserve"> </w:t>
      </w:r>
      <w:r w:rsidR="00440F16" w:rsidRPr="00A64E9B">
        <w:rPr>
          <w:rFonts w:ascii="Calibri" w:eastAsia="Calibri,Times New Roman" w:hAnsi="Calibri" w:cs="Calibri,Times New Roman"/>
          <w:highlight w:val="yellow"/>
          <w:lang w:eastAsia="it-IT"/>
        </w:rPr>
        <w:t>Thus,</w:t>
      </w:r>
      <w:r w:rsidR="00440F16">
        <w:rPr>
          <w:rFonts w:ascii="Calibri" w:eastAsia="Calibri,Times New Roman" w:hAnsi="Calibri" w:cs="Calibri,Times New Roman"/>
          <w:lang w:eastAsia="it-IT"/>
        </w:rPr>
        <w:t xml:space="preserve"> i</w:t>
      </w:r>
      <w:r w:rsidR="008D6EC9" w:rsidRPr="00823AE2">
        <w:rPr>
          <w:rFonts w:ascii="Calibri" w:eastAsia="Calibri,Times New Roman" w:hAnsi="Calibri" w:cs="Calibri,Times New Roman"/>
          <w:lang w:eastAsia="it-IT"/>
        </w:rPr>
        <w:t>t</w:t>
      </w:r>
      <w:r w:rsidR="002D44D3" w:rsidRPr="00823AE2">
        <w:rPr>
          <w:rFonts w:ascii="Calibri" w:eastAsia="Calibri,Times New Roman" w:hAnsi="Calibri" w:cs="Calibri,Times New Roman"/>
          <w:lang w:eastAsia="it-IT"/>
        </w:rPr>
        <w:t xml:space="preserve"> </w:t>
      </w:r>
      <w:r w:rsidR="002E2EA5" w:rsidRPr="00823AE2">
        <w:rPr>
          <w:rFonts w:ascii="Calibri" w:eastAsia="Calibri,Times New Roman" w:hAnsi="Calibri" w:cs="Calibri,Times New Roman"/>
          <w:lang w:eastAsia="it-IT"/>
        </w:rPr>
        <w:t xml:space="preserve">has been </w:t>
      </w:r>
      <w:r w:rsidR="00D43044">
        <w:rPr>
          <w:rFonts w:ascii="Calibri" w:eastAsia="Calibri,Times New Roman" w:hAnsi="Calibri" w:cs="Calibri,Times New Roman"/>
          <w:lang w:eastAsia="it-IT"/>
        </w:rPr>
        <w:t>inferred</w:t>
      </w:r>
      <w:r w:rsidR="002D44D3" w:rsidRPr="00823AE2">
        <w:rPr>
          <w:rFonts w:ascii="Calibri" w:eastAsia="Calibri,Times New Roman" w:hAnsi="Calibri" w:cs="Calibri,Times New Roman"/>
          <w:lang w:eastAsia="it-IT"/>
        </w:rPr>
        <w:t xml:space="preserve"> that resistance testing underestimates the </w:t>
      </w:r>
      <w:r>
        <w:rPr>
          <w:rFonts w:ascii="Calibri" w:eastAsia="Calibri,Times New Roman" w:hAnsi="Calibri" w:cs="Calibri,Times New Roman"/>
          <w:lang w:eastAsia="it-IT"/>
        </w:rPr>
        <w:t xml:space="preserve">continued </w:t>
      </w:r>
      <w:r w:rsidR="002D44D3" w:rsidRPr="00823AE2">
        <w:rPr>
          <w:rFonts w:ascii="Calibri" w:eastAsia="Calibri,Times New Roman" w:hAnsi="Calibri" w:cs="Calibri,Times New Roman"/>
          <w:lang w:eastAsia="it-IT"/>
        </w:rPr>
        <w:t>activity of NRTIs such as lamivudine</w:t>
      </w:r>
      <w:r w:rsidR="00D55E4E" w:rsidRPr="00823AE2">
        <w:rPr>
          <w:rFonts w:ascii="Calibri" w:eastAsia="Calibri,Times New Roman" w:hAnsi="Calibri" w:cs="Calibri,Times New Roman"/>
          <w:lang w:eastAsia="it-IT"/>
        </w:rPr>
        <w:t xml:space="preserve"> and </w:t>
      </w:r>
      <w:r w:rsidR="002D44D3" w:rsidRPr="00823AE2">
        <w:rPr>
          <w:rFonts w:ascii="Calibri" w:eastAsia="Calibri,Times New Roman" w:hAnsi="Calibri" w:cs="Calibri,Times New Roman"/>
          <w:lang w:eastAsia="it-IT"/>
        </w:rPr>
        <w:t>tenofovir</w:t>
      </w:r>
      <w:r w:rsidR="008E08FF" w:rsidRPr="00823AE2">
        <w:rPr>
          <w:rFonts w:ascii="Calibri" w:eastAsia="Calibri,Times New Roman" w:hAnsi="Calibri" w:cs="Calibri,Times New Roman"/>
          <w:lang w:eastAsia="it-IT"/>
        </w:rPr>
        <w:t xml:space="preserve"> </w:t>
      </w:r>
      <w:r w:rsidR="002D44D3" w:rsidRPr="00823AE2">
        <w:rPr>
          <w:rFonts w:ascii="Calibri" w:eastAsia="Calibri,Times New Roman" w:hAnsi="Calibri" w:cs="Calibri,Times New Roman"/>
          <w:lang w:eastAsia="it-IT"/>
        </w:rPr>
        <w:t>in the presence of M184V and TAMs</w:t>
      </w:r>
      <w:r w:rsidR="006E3323" w:rsidRPr="00823AE2">
        <w:rPr>
          <w:rFonts w:ascii="Calibri" w:eastAsia="Calibri,Times New Roman" w:hAnsi="Calibri" w:cs="Calibri,Times New Roman"/>
          <w:lang w:eastAsia="it-IT"/>
        </w:rPr>
        <w:t xml:space="preserve">. </w:t>
      </w:r>
      <w:r w:rsidR="00A753FC">
        <w:t xml:space="preserve">Here </w:t>
      </w:r>
      <w:r w:rsidR="002D44D3" w:rsidRPr="00823AE2">
        <w:t xml:space="preserve">we </w:t>
      </w:r>
      <w:r w:rsidR="00A753FC">
        <w:t xml:space="preserve">report </w:t>
      </w:r>
      <w:r w:rsidR="00D55E4E" w:rsidRPr="00823AE2">
        <w:t>the same</w:t>
      </w:r>
      <w:r w:rsidR="002D44D3" w:rsidRPr="00823AE2">
        <w:t xml:space="preserve"> predictive effect in patient</w:t>
      </w:r>
      <w:r w:rsidR="00A753FC">
        <w:t>s</w:t>
      </w:r>
      <w:r w:rsidR="002D44D3" w:rsidRPr="00823AE2">
        <w:t xml:space="preserve"> </w:t>
      </w:r>
      <w:r w:rsidR="00D43044">
        <w:t>receiving</w:t>
      </w:r>
      <w:r w:rsidR="002D44D3" w:rsidRPr="00823AE2">
        <w:t xml:space="preserve"> NRTI-sparing </w:t>
      </w:r>
      <w:r w:rsidR="0052337D">
        <w:t>ART</w:t>
      </w:r>
      <w:r w:rsidR="002D44D3" w:rsidRPr="00823AE2">
        <w:t xml:space="preserve">. </w:t>
      </w:r>
    </w:p>
    <w:p w14:paraId="19412F85" w14:textId="77777777" w:rsidR="006E3323" w:rsidRPr="00823AE2" w:rsidRDefault="006E3323" w:rsidP="00991E7C">
      <w:pPr>
        <w:tabs>
          <w:tab w:val="left" w:pos="567"/>
          <w:tab w:val="center" w:pos="4513"/>
        </w:tabs>
        <w:spacing w:line="360" w:lineRule="auto"/>
        <w:jc w:val="both"/>
        <w:outlineLvl w:val="0"/>
        <w:rPr>
          <w:b/>
        </w:rPr>
      </w:pPr>
    </w:p>
    <w:p w14:paraId="5508A7AE" w14:textId="22303485" w:rsidR="006E3323" w:rsidRPr="00823AE2" w:rsidRDefault="005970B5" w:rsidP="00446E5E">
      <w:pPr>
        <w:tabs>
          <w:tab w:val="left" w:pos="567"/>
          <w:tab w:val="center" w:pos="4513"/>
        </w:tabs>
        <w:spacing w:line="360" w:lineRule="auto"/>
        <w:jc w:val="both"/>
        <w:outlineLvl w:val="0"/>
        <w:rPr>
          <w:b/>
        </w:rPr>
      </w:pPr>
      <w:r w:rsidRPr="00823AE2">
        <w:rPr>
          <w:b/>
        </w:rPr>
        <w:t>Methods</w:t>
      </w:r>
    </w:p>
    <w:p w14:paraId="4815AF94" w14:textId="77777777" w:rsidR="006E3323" w:rsidRPr="00823AE2" w:rsidRDefault="006E3323" w:rsidP="00991E7C">
      <w:pPr>
        <w:tabs>
          <w:tab w:val="left" w:pos="567"/>
        </w:tabs>
        <w:spacing w:line="360" w:lineRule="auto"/>
        <w:jc w:val="both"/>
        <w:outlineLvl w:val="0"/>
        <w:rPr>
          <w:b/>
          <w:i/>
        </w:rPr>
      </w:pPr>
      <w:r w:rsidRPr="00823AE2">
        <w:rPr>
          <w:b/>
          <w:i/>
        </w:rPr>
        <w:t>Study population</w:t>
      </w:r>
    </w:p>
    <w:p w14:paraId="54746230" w14:textId="572ADEA0" w:rsidR="00B64FDC" w:rsidRDefault="005271E3" w:rsidP="00991E7C">
      <w:pPr>
        <w:tabs>
          <w:tab w:val="left" w:pos="567"/>
        </w:tabs>
        <w:spacing w:line="360" w:lineRule="auto"/>
        <w:jc w:val="both"/>
      </w:pPr>
      <w:r w:rsidRPr="005271E3">
        <w:t xml:space="preserve">MANET </w:t>
      </w:r>
      <w:r w:rsidR="00EC415A">
        <w:t>(</w:t>
      </w:r>
      <w:r w:rsidR="00EC415A" w:rsidRPr="00823AE2">
        <w:t>Monotherapy in Africa, New Evaluations of Treatment</w:t>
      </w:r>
      <w:r w:rsidR="00EC415A">
        <w:t>)</w:t>
      </w:r>
      <w:r w:rsidR="00EC415A" w:rsidRPr="005271E3">
        <w:t xml:space="preserve"> </w:t>
      </w:r>
      <w:r w:rsidRPr="005271E3">
        <w:t>was a randomised, open-label trial</w:t>
      </w:r>
      <w:r w:rsidR="00C211E3" w:rsidRPr="005271E3">
        <w:t xml:space="preserve"> </w:t>
      </w:r>
      <w:r w:rsidR="00A70857">
        <w:t xml:space="preserve">based </w:t>
      </w:r>
      <w:r w:rsidR="00C211E3" w:rsidRPr="00823AE2">
        <w:t xml:space="preserve">at </w:t>
      </w:r>
      <w:proofErr w:type="spellStart"/>
      <w:r w:rsidR="00C211E3" w:rsidRPr="00823AE2">
        <w:t>Hôpital</w:t>
      </w:r>
      <w:proofErr w:type="spellEnd"/>
      <w:r w:rsidR="00C211E3" w:rsidRPr="00823AE2">
        <w:t xml:space="preserve"> Central Yaoundé</w:t>
      </w:r>
      <w:r w:rsidR="00C211E3">
        <w:t xml:space="preserve"> </w:t>
      </w:r>
      <w:r w:rsidR="00C211E3" w:rsidRPr="00823AE2">
        <w:t>(NCT02155101)</w:t>
      </w:r>
      <w:r w:rsidR="00C211E3">
        <w:t>. B</w:t>
      </w:r>
      <w:r w:rsidR="00C211E3" w:rsidRPr="00823AE2">
        <w:t xml:space="preserve">etween </w:t>
      </w:r>
      <w:r w:rsidR="00C211E3">
        <w:t>August</w:t>
      </w:r>
      <w:r w:rsidR="00C211E3" w:rsidRPr="00823AE2">
        <w:t xml:space="preserve"> 201</w:t>
      </w:r>
      <w:r w:rsidR="00C211E3">
        <w:t>4</w:t>
      </w:r>
      <w:r w:rsidR="00C211E3" w:rsidRPr="00823AE2">
        <w:t xml:space="preserve"> and </w:t>
      </w:r>
      <w:r w:rsidR="00C211E3">
        <w:t>July</w:t>
      </w:r>
      <w:r w:rsidR="00C211E3" w:rsidRPr="00823AE2">
        <w:t xml:space="preserve"> 201</w:t>
      </w:r>
      <w:r w:rsidR="00C211E3">
        <w:t>5</w:t>
      </w:r>
      <w:r w:rsidR="00D43044">
        <w:t>,</w:t>
      </w:r>
      <w:r w:rsidR="00C211E3">
        <w:t xml:space="preserve"> 120 </w:t>
      </w:r>
      <w:r w:rsidR="00D43044">
        <w:t xml:space="preserve">virologically suppressed </w:t>
      </w:r>
      <w:r w:rsidR="00C211E3">
        <w:t>patients on</w:t>
      </w:r>
      <w:r w:rsidR="00C211E3" w:rsidRPr="005271E3">
        <w:t xml:space="preserve"> 2NRTIs</w:t>
      </w:r>
      <w:r w:rsidR="00C555CF">
        <w:t xml:space="preserve"> </w:t>
      </w:r>
      <w:r w:rsidR="00C211E3">
        <w:t>+</w:t>
      </w:r>
      <w:r w:rsidR="00C555CF">
        <w:t xml:space="preserve"> </w:t>
      </w:r>
      <w:r w:rsidR="00C211E3" w:rsidRPr="005271E3">
        <w:t>PI/r</w:t>
      </w:r>
      <w:r w:rsidR="00C211E3">
        <w:t xml:space="preserve"> either switched to </w:t>
      </w:r>
      <w:r w:rsidR="002E66F7">
        <w:t>darunavir</w:t>
      </w:r>
      <w:r w:rsidRPr="005271E3">
        <w:t>/r</w:t>
      </w:r>
      <w:r w:rsidR="002E66F7">
        <w:t>itonavir</w:t>
      </w:r>
      <w:r w:rsidR="00A70857">
        <w:t xml:space="preserve"> </w:t>
      </w:r>
      <w:r w:rsidR="00C555CF">
        <w:t xml:space="preserve">monotherapy </w:t>
      </w:r>
      <w:r w:rsidR="00A70857">
        <w:t>(</w:t>
      </w:r>
      <w:r>
        <w:t>800/100mg once daily)</w:t>
      </w:r>
      <w:r w:rsidRPr="005271E3">
        <w:t xml:space="preserve"> </w:t>
      </w:r>
      <w:r w:rsidR="00C211E3">
        <w:t xml:space="preserve">for </w:t>
      </w:r>
      <w:r w:rsidRPr="005271E3">
        <w:t>48 weeks</w:t>
      </w:r>
      <w:r w:rsidR="00C211E3">
        <w:t xml:space="preserve"> (n=81) or continued </w:t>
      </w:r>
      <w:r w:rsidRPr="005271E3">
        <w:t>2NRTIs</w:t>
      </w:r>
      <w:r w:rsidR="00C555CF">
        <w:t xml:space="preserve"> </w:t>
      </w:r>
      <w:r>
        <w:t>+</w:t>
      </w:r>
      <w:r w:rsidR="00C555CF">
        <w:t xml:space="preserve"> </w:t>
      </w:r>
      <w:r w:rsidRPr="005271E3">
        <w:t>PI/r for 24 weeks</w:t>
      </w:r>
      <w:r w:rsidR="00C211E3">
        <w:t xml:space="preserve"> (n=39)</w:t>
      </w:r>
      <w:r w:rsidRPr="005271E3">
        <w:t xml:space="preserve">. </w:t>
      </w:r>
      <w:r w:rsidR="00286C8E" w:rsidRPr="00823AE2">
        <w:t>Eligib</w:t>
      </w:r>
      <w:r w:rsidR="00257466" w:rsidRPr="00823AE2">
        <w:t xml:space="preserve">ility criteria comprised </w:t>
      </w:r>
      <w:r w:rsidR="00572458" w:rsidRPr="00823AE2">
        <w:t xml:space="preserve">receiving </w:t>
      </w:r>
      <w:r w:rsidR="00F21F04" w:rsidRPr="00823AE2">
        <w:t>2</w:t>
      </w:r>
      <w:r w:rsidR="006E3323" w:rsidRPr="00823AE2">
        <w:t>NRTIs</w:t>
      </w:r>
      <w:r w:rsidR="00C555CF">
        <w:t xml:space="preserve"> </w:t>
      </w:r>
      <w:r w:rsidR="002D44D3" w:rsidRPr="00823AE2">
        <w:t>+</w:t>
      </w:r>
      <w:r w:rsidR="00C555CF">
        <w:t xml:space="preserve"> </w:t>
      </w:r>
      <w:r w:rsidR="006E3323" w:rsidRPr="00823AE2">
        <w:t xml:space="preserve">PI/r for ≥12 </w:t>
      </w:r>
      <w:r>
        <w:t>weeks</w:t>
      </w:r>
      <w:r w:rsidR="006E3323" w:rsidRPr="00823AE2">
        <w:t>, CD4 count &gt;</w:t>
      </w:r>
      <w:r>
        <w:t>1</w:t>
      </w:r>
      <w:r w:rsidR="006E3323" w:rsidRPr="00823AE2">
        <w:t>00 cells/mm</w:t>
      </w:r>
      <w:r w:rsidR="006E3323" w:rsidRPr="00823AE2">
        <w:rPr>
          <w:vertAlign w:val="superscript"/>
        </w:rPr>
        <w:t>3</w:t>
      </w:r>
      <w:r w:rsidR="00D43044">
        <w:t xml:space="preserve">, </w:t>
      </w:r>
      <w:r w:rsidR="00286C8E" w:rsidRPr="00823AE2">
        <w:t>viral</w:t>
      </w:r>
      <w:r w:rsidR="006E3323" w:rsidRPr="00823AE2">
        <w:t xml:space="preserve"> load &lt;60 copies/</w:t>
      </w:r>
      <w:r w:rsidR="00E60DCC">
        <w:t>mL</w:t>
      </w:r>
      <w:r w:rsidR="006E3323" w:rsidRPr="00823AE2">
        <w:t xml:space="preserve"> </w:t>
      </w:r>
      <w:r w:rsidR="00590DB1" w:rsidRPr="00823AE2">
        <w:t>i</w:t>
      </w:r>
      <w:r w:rsidR="006E3323" w:rsidRPr="00823AE2">
        <w:t xml:space="preserve">n </w:t>
      </w:r>
      <w:r w:rsidR="002D2A49" w:rsidRPr="00823AE2">
        <w:t>2</w:t>
      </w:r>
      <w:r w:rsidR="006E3323" w:rsidRPr="00823AE2">
        <w:t xml:space="preserve"> measurements </w:t>
      </w:r>
      <w:r w:rsidR="00EB789E" w:rsidRPr="00823AE2">
        <w:t>4</w:t>
      </w:r>
      <w:r w:rsidR="00E54959" w:rsidRPr="00823AE2">
        <w:t>-</w:t>
      </w:r>
      <w:r w:rsidR="006E3323" w:rsidRPr="00823AE2">
        <w:t>1</w:t>
      </w:r>
      <w:r w:rsidR="002D69D1">
        <w:t>2</w:t>
      </w:r>
      <w:r w:rsidR="006E3323" w:rsidRPr="00823AE2">
        <w:t xml:space="preserve"> weeks apart</w:t>
      </w:r>
      <w:r w:rsidR="002E2EA5" w:rsidRPr="00823AE2">
        <w:t xml:space="preserve"> (median 7</w:t>
      </w:r>
      <w:r w:rsidR="002E66F7">
        <w:t xml:space="preserve"> weeks</w:t>
      </w:r>
      <w:r w:rsidR="002E2EA5" w:rsidRPr="00823AE2">
        <w:t>)</w:t>
      </w:r>
      <w:r w:rsidR="006E3323" w:rsidRPr="00823AE2">
        <w:t>, and hepatitis B surface antigen (HBsAg)</w:t>
      </w:r>
      <w:r w:rsidR="00257466" w:rsidRPr="00823AE2">
        <w:t>-negative</w:t>
      </w:r>
      <w:r w:rsidR="002D44D3" w:rsidRPr="00823AE2">
        <w:t xml:space="preserve">. </w:t>
      </w:r>
      <w:r w:rsidR="00AE333F" w:rsidRPr="00823AE2">
        <w:t>This analysis focused on p</w:t>
      </w:r>
      <w:r w:rsidR="006E3323" w:rsidRPr="00823AE2">
        <w:t xml:space="preserve">atients </w:t>
      </w:r>
      <w:r w:rsidR="002D69D1">
        <w:t>receiving</w:t>
      </w:r>
      <w:r w:rsidR="00011137" w:rsidRPr="00823AE2">
        <w:t xml:space="preserve"> </w:t>
      </w:r>
      <w:r w:rsidR="006E3323" w:rsidRPr="00823AE2">
        <w:t>monotherapy.</w:t>
      </w:r>
      <w:r w:rsidR="00F21F04" w:rsidRPr="00823AE2">
        <w:t xml:space="preserve"> </w:t>
      </w:r>
    </w:p>
    <w:p w14:paraId="47BF1324" w14:textId="77777777" w:rsidR="00B64FDC" w:rsidRPr="002E66F7" w:rsidRDefault="00B64FDC" w:rsidP="002E66F7">
      <w:pPr>
        <w:tabs>
          <w:tab w:val="left" w:pos="567"/>
        </w:tabs>
        <w:spacing w:line="360" w:lineRule="auto"/>
        <w:jc w:val="both"/>
      </w:pPr>
    </w:p>
    <w:p w14:paraId="1794B790" w14:textId="5DBFA408" w:rsidR="00B64FDC" w:rsidRPr="002E66F7" w:rsidRDefault="00B64FDC" w:rsidP="002E66F7">
      <w:pPr>
        <w:tabs>
          <w:tab w:val="left" w:pos="567"/>
        </w:tabs>
        <w:spacing w:line="360" w:lineRule="auto"/>
        <w:jc w:val="both"/>
        <w:rPr>
          <w:b/>
        </w:rPr>
      </w:pPr>
      <w:r w:rsidRPr="002E66F7">
        <w:rPr>
          <w:b/>
          <w:highlight w:val="yellow"/>
        </w:rPr>
        <w:t>Ethics</w:t>
      </w:r>
    </w:p>
    <w:p w14:paraId="551B69C0" w14:textId="246CE839" w:rsidR="006E3323" w:rsidRPr="002E66F7" w:rsidRDefault="005271E3" w:rsidP="002E66F7">
      <w:pPr>
        <w:tabs>
          <w:tab w:val="left" w:pos="567"/>
        </w:tabs>
        <w:spacing w:line="360" w:lineRule="auto"/>
        <w:jc w:val="both"/>
        <w:rPr>
          <w:rFonts w:ascii="Times New Roman" w:eastAsia="Times New Roman" w:hAnsi="Times New Roman" w:cs="Times New Roman"/>
        </w:rPr>
      </w:pPr>
      <w:r w:rsidRPr="00A64E9B">
        <w:t>Approval was granted by</w:t>
      </w:r>
      <w:r w:rsidR="002D44D3" w:rsidRPr="00A64E9B">
        <w:t xml:space="preserve"> the University of Liverpool Ethics Committee </w:t>
      </w:r>
      <w:r w:rsidR="00B64FDC" w:rsidRPr="00840673">
        <w:rPr>
          <w:highlight w:val="yellow"/>
        </w:rPr>
        <w:t>(RETH000605)</w:t>
      </w:r>
      <w:r w:rsidR="00B64FDC" w:rsidRPr="002E66F7">
        <w:t xml:space="preserve"> </w:t>
      </w:r>
      <w:r w:rsidR="002D44D3" w:rsidRPr="00A64E9B">
        <w:t>and the Cameroon National Ethics Committee</w:t>
      </w:r>
      <w:r w:rsidR="00B64FDC" w:rsidRPr="00A64E9B">
        <w:t xml:space="preserve"> </w:t>
      </w:r>
      <w:r w:rsidR="00B64FDC" w:rsidRPr="00482A19">
        <w:rPr>
          <w:highlight w:val="yellow"/>
        </w:rPr>
        <w:t>(2013/07/347)</w:t>
      </w:r>
      <w:r w:rsidRPr="00482A19">
        <w:rPr>
          <w:highlight w:val="yellow"/>
        </w:rPr>
        <w:t>.</w:t>
      </w:r>
      <w:r w:rsidR="009F00D1" w:rsidRPr="00A64E9B">
        <w:t xml:space="preserve"> </w:t>
      </w:r>
      <w:r w:rsidR="005F67A0" w:rsidRPr="00A64E9B">
        <w:t xml:space="preserve">Participants </w:t>
      </w:r>
      <w:r w:rsidR="001C62BD" w:rsidRPr="00A64E9B">
        <w:t xml:space="preserve">gave </w:t>
      </w:r>
      <w:r w:rsidR="005F67A0" w:rsidRPr="00A64E9B">
        <w:t>written informed consent.</w:t>
      </w:r>
      <w:r w:rsidR="005F67A0" w:rsidRPr="00823AE2">
        <w:t xml:space="preserve"> </w:t>
      </w:r>
    </w:p>
    <w:p w14:paraId="17B4BB87" w14:textId="77777777" w:rsidR="006E3323" w:rsidRPr="00823AE2" w:rsidRDefault="006E3323" w:rsidP="00991E7C">
      <w:pPr>
        <w:tabs>
          <w:tab w:val="left" w:pos="567"/>
        </w:tabs>
        <w:spacing w:line="360" w:lineRule="auto"/>
        <w:jc w:val="both"/>
        <w:outlineLvl w:val="0"/>
        <w:rPr>
          <w:b/>
          <w:i/>
        </w:rPr>
      </w:pPr>
      <w:r w:rsidRPr="00823AE2">
        <w:rPr>
          <w:b/>
          <w:i/>
        </w:rPr>
        <w:lastRenderedPageBreak/>
        <w:t>Adherence</w:t>
      </w:r>
    </w:p>
    <w:p w14:paraId="0B8AED2F" w14:textId="7389BB3A" w:rsidR="006E3323" w:rsidRPr="00823AE2" w:rsidRDefault="00840673" w:rsidP="00991E7C">
      <w:pPr>
        <w:tabs>
          <w:tab w:val="left" w:pos="567"/>
        </w:tabs>
        <w:spacing w:line="360" w:lineRule="auto"/>
        <w:jc w:val="both"/>
      </w:pPr>
      <w:r>
        <w:t>P</w:t>
      </w:r>
      <w:r w:rsidR="00BF2E65" w:rsidRPr="00823AE2">
        <w:t xml:space="preserve">articipants collected a prescription from pharmacy every 4 weeks and attended study visits at weeks 4, 12, 24, 36, and 48. </w:t>
      </w:r>
      <w:r w:rsidR="009F00D1" w:rsidRPr="00823AE2">
        <w:t xml:space="preserve">At each pharmacy visit, the number of left-over pills was counted to infer the percentage of pills taken. </w:t>
      </w:r>
      <w:r w:rsidR="006E3323" w:rsidRPr="00823AE2">
        <w:t>At each study visit, adherence was self-reported via a visual analogue scale (VAS)</w:t>
      </w:r>
      <w:r w:rsidR="00B63FDD" w:rsidRPr="00823AE2">
        <w:t xml:space="preserve"> </w:t>
      </w:r>
      <w:r w:rsidR="006E3323" w:rsidRPr="00823AE2">
        <w:t>graded from 0% (complete non-adherence) to 100% (complete adherence) in 10% increments</w:t>
      </w:r>
      <w:r w:rsidR="00634D37">
        <w:t>.</w:t>
      </w:r>
      <w:r w:rsidR="00634D37" w:rsidRPr="00634D37">
        <w:rPr>
          <w:vertAlign w:val="superscript"/>
        </w:rPr>
        <w:t>12</w:t>
      </w:r>
      <w:r w:rsidR="006E3323" w:rsidRPr="00823AE2">
        <w:t xml:space="preserve"> </w:t>
      </w:r>
    </w:p>
    <w:p w14:paraId="6BB9CDF5" w14:textId="77777777" w:rsidR="006E3323" w:rsidRPr="00823AE2" w:rsidRDefault="006E3323" w:rsidP="00991E7C">
      <w:pPr>
        <w:tabs>
          <w:tab w:val="left" w:pos="567"/>
        </w:tabs>
        <w:spacing w:line="360" w:lineRule="auto"/>
        <w:jc w:val="both"/>
        <w:outlineLvl w:val="0"/>
        <w:rPr>
          <w:rFonts w:cstheme="minorHAnsi"/>
          <w:b/>
        </w:rPr>
      </w:pPr>
    </w:p>
    <w:p w14:paraId="521F1E73" w14:textId="77777777" w:rsidR="006E3323" w:rsidRPr="00823AE2" w:rsidRDefault="006E3323" w:rsidP="00991E7C">
      <w:pPr>
        <w:tabs>
          <w:tab w:val="left" w:pos="567"/>
        </w:tabs>
        <w:spacing w:line="360" w:lineRule="auto"/>
        <w:jc w:val="both"/>
        <w:outlineLvl w:val="0"/>
        <w:rPr>
          <w:rFonts w:cstheme="minorHAnsi"/>
          <w:b/>
          <w:i/>
        </w:rPr>
      </w:pPr>
      <w:r w:rsidRPr="00823AE2">
        <w:rPr>
          <w:rFonts w:cstheme="minorHAnsi"/>
          <w:b/>
          <w:i/>
        </w:rPr>
        <w:t xml:space="preserve">Laboratory testing </w:t>
      </w:r>
    </w:p>
    <w:p w14:paraId="35013AEC" w14:textId="62092E1F" w:rsidR="006E3323" w:rsidRPr="00823AE2" w:rsidRDefault="009F00D1" w:rsidP="00991E7C">
      <w:pPr>
        <w:tabs>
          <w:tab w:val="left" w:pos="567"/>
        </w:tabs>
        <w:spacing w:line="360" w:lineRule="auto"/>
        <w:jc w:val="both"/>
        <w:rPr>
          <w:rFonts w:cstheme="minorHAnsi"/>
        </w:rPr>
      </w:pPr>
      <w:r w:rsidRPr="00823AE2">
        <w:rPr>
          <w:rFonts w:cstheme="minorHAnsi"/>
        </w:rPr>
        <w:t xml:space="preserve">Safety </w:t>
      </w:r>
      <w:r w:rsidR="00A05669" w:rsidRPr="00823AE2">
        <w:rPr>
          <w:rFonts w:cstheme="minorHAnsi"/>
        </w:rPr>
        <w:t>parameters</w:t>
      </w:r>
      <w:r w:rsidRPr="00823AE2">
        <w:rPr>
          <w:rFonts w:cstheme="minorHAnsi"/>
        </w:rPr>
        <w:t xml:space="preserve">, CD4 cell counts, and </w:t>
      </w:r>
      <w:r w:rsidR="00F21F04" w:rsidRPr="00823AE2">
        <w:rPr>
          <w:rFonts w:cstheme="minorHAnsi"/>
        </w:rPr>
        <w:t>viral</w:t>
      </w:r>
      <w:r w:rsidR="006E3323" w:rsidRPr="00823AE2">
        <w:rPr>
          <w:rFonts w:cstheme="minorHAnsi"/>
        </w:rPr>
        <w:t xml:space="preserve"> load </w:t>
      </w:r>
      <w:r w:rsidR="00572EAB">
        <w:rPr>
          <w:rFonts w:cstheme="minorHAnsi"/>
        </w:rPr>
        <w:t>(</w:t>
      </w:r>
      <w:r w:rsidR="00572EAB" w:rsidRPr="00823AE2">
        <w:rPr>
          <w:rFonts w:cstheme="minorHAnsi"/>
        </w:rPr>
        <w:t>Biocentric</w:t>
      </w:r>
      <w:r w:rsidR="00572EAB">
        <w:rPr>
          <w:rFonts w:cstheme="minorHAnsi"/>
        </w:rPr>
        <w:t xml:space="preserve">, </w:t>
      </w:r>
      <w:r w:rsidR="00572EAB" w:rsidRPr="00823AE2">
        <w:rPr>
          <w:rFonts w:cstheme="minorHAnsi"/>
        </w:rPr>
        <w:t>Bandol, Franc</w:t>
      </w:r>
      <w:r w:rsidR="00572EAB" w:rsidRPr="002E66F7">
        <w:rPr>
          <w:rFonts w:cstheme="minorHAnsi"/>
        </w:rPr>
        <w:t>e</w:t>
      </w:r>
      <w:r w:rsidR="00A753FC" w:rsidRPr="002E66F7">
        <w:rPr>
          <w:rFonts w:cstheme="minorHAnsi"/>
        </w:rPr>
        <w:t>;</w:t>
      </w:r>
      <w:r w:rsidR="001C1EE9" w:rsidRPr="002E66F7">
        <w:rPr>
          <w:rFonts w:cstheme="minorHAnsi"/>
        </w:rPr>
        <w:t xml:space="preserve"> </w:t>
      </w:r>
      <w:r w:rsidR="001C1EE9" w:rsidRPr="00276AD2">
        <w:rPr>
          <w:rFonts w:cstheme="minorHAnsi"/>
          <w:highlight w:val="yellow"/>
        </w:rPr>
        <w:t>lower limit of quantification 60 copies/</w:t>
      </w:r>
      <w:r w:rsidR="00E60DCC">
        <w:rPr>
          <w:rFonts w:cstheme="minorHAnsi"/>
          <w:highlight w:val="yellow"/>
        </w:rPr>
        <w:t>mL</w:t>
      </w:r>
      <w:r w:rsidR="00572EAB" w:rsidRPr="00276AD2">
        <w:rPr>
          <w:rFonts w:cstheme="minorHAnsi"/>
          <w:highlight w:val="yellow"/>
        </w:rPr>
        <w:t>)</w:t>
      </w:r>
      <w:r w:rsidR="00572EAB">
        <w:rPr>
          <w:rFonts w:cstheme="minorHAnsi"/>
        </w:rPr>
        <w:t xml:space="preserve"> </w:t>
      </w:r>
      <w:r w:rsidR="006E3323" w:rsidRPr="00823AE2">
        <w:rPr>
          <w:rFonts w:cstheme="minorHAnsi"/>
        </w:rPr>
        <w:t>were measured at the Centre Pasteur of Cameroon</w:t>
      </w:r>
      <w:r w:rsidR="00057D0A">
        <w:rPr>
          <w:rFonts w:cstheme="minorHAnsi"/>
        </w:rPr>
        <w:t xml:space="preserve"> in Yaoundé</w:t>
      </w:r>
      <w:r w:rsidR="00572EAB">
        <w:rPr>
          <w:rFonts w:cstheme="minorHAnsi"/>
        </w:rPr>
        <w:t>. In the United Kingdom, t</w:t>
      </w:r>
      <w:r w:rsidR="006E3323" w:rsidRPr="00823AE2">
        <w:rPr>
          <w:rFonts w:cstheme="minorHAnsi"/>
        </w:rPr>
        <w:t>otal HIV-1 DNA was quantified in PBMC as described</w:t>
      </w:r>
      <w:r w:rsidR="00634D37">
        <w:rPr>
          <w:rFonts w:cstheme="minorHAnsi"/>
        </w:rPr>
        <w:t>.</w:t>
      </w:r>
      <w:r w:rsidR="006E3323" w:rsidRPr="00823AE2">
        <w:rPr>
          <w:rFonts w:cstheme="minorHAnsi"/>
          <w:vertAlign w:val="superscript"/>
        </w:rPr>
        <w:t>1</w:t>
      </w:r>
      <w:r w:rsidR="00634D37">
        <w:rPr>
          <w:rFonts w:cstheme="minorHAnsi"/>
          <w:vertAlign w:val="superscript"/>
        </w:rPr>
        <w:t>2</w:t>
      </w:r>
      <w:r w:rsidR="006E3323" w:rsidRPr="00823AE2">
        <w:rPr>
          <w:rFonts w:cstheme="minorHAnsi"/>
        </w:rPr>
        <w:t xml:space="preserve"> RAMs </w:t>
      </w:r>
      <w:r w:rsidR="00A05669" w:rsidRPr="00823AE2">
        <w:rPr>
          <w:rFonts w:cstheme="minorHAnsi"/>
        </w:rPr>
        <w:t>were detected</w:t>
      </w:r>
      <w:r w:rsidR="006E3323" w:rsidRPr="00823AE2">
        <w:rPr>
          <w:rFonts w:cstheme="minorHAnsi"/>
        </w:rPr>
        <w:t xml:space="preserve"> by Sanger sequencing </w:t>
      </w:r>
      <w:r w:rsidR="001019E5" w:rsidRPr="00823AE2">
        <w:rPr>
          <w:rFonts w:cstheme="minorHAnsi"/>
        </w:rPr>
        <w:t xml:space="preserve">of protease (aa </w:t>
      </w:r>
      <w:r w:rsidR="00815E7A" w:rsidRPr="00823AE2">
        <w:rPr>
          <w:rFonts w:cstheme="minorHAnsi"/>
        </w:rPr>
        <w:t xml:space="preserve">1-99) and </w:t>
      </w:r>
      <w:r w:rsidR="001C62BD" w:rsidRPr="00823AE2">
        <w:rPr>
          <w:rFonts w:cstheme="minorHAnsi"/>
        </w:rPr>
        <w:t>reverse transcriptase</w:t>
      </w:r>
      <w:r w:rsidR="00815E7A" w:rsidRPr="00823AE2">
        <w:rPr>
          <w:rFonts w:cstheme="minorHAnsi"/>
        </w:rPr>
        <w:t xml:space="preserve"> (aa 1-</w:t>
      </w:r>
      <w:r w:rsidR="00A05669" w:rsidRPr="00823AE2">
        <w:rPr>
          <w:rFonts w:cstheme="minorHAnsi"/>
        </w:rPr>
        <w:t>335</w:t>
      </w:r>
      <w:r w:rsidR="00815E7A" w:rsidRPr="00823AE2">
        <w:rPr>
          <w:rFonts w:cstheme="minorHAnsi"/>
        </w:rPr>
        <w:t xml:space="preserve">) </w:t>
      </w:r>
      <w:r w:rsidR="00DC24C3" w:rsidRPr="00823AE2">
        <w:rPr>
          <w:rFonts w:cstheme="minorHAnsi"/>
        </w:rPr>
        <w:t>as</w:t>
      </w:r>
      <w:r w:rsidR="006E3323" w:rsidRPr="00823AE2">
        <w:rPr>
          <w:rFonts w:cstheme="minorHAnsi"/>
        </w:rPr>
        <w:t xml:space="preserve"> described</w:t>
      </w:r>
      <w:r w:rsidR="00634D37">
        <w:rPr>
          <w:rFonts w:cstheme="minorHAnsi"/>
        </w:rPr>
        <w:t>,</w:t>
      </w:r>
      <w:r w:rsidR="00095278" w:rsidRPr="00823AE2">
        <w:rPr>
          <w:rFonts w:cstheme="minorHAnsi"/>
          <w:vertAlign w:val="superscript"/>
        </w:rPr>
        <w:t>1</w:t>
      </w:r>
      <w:r w:rsidR="00634D37">
        <w:rPr>
          <w:rFonts w:cstheme="minorHAnsi"/>
          <w:vertAlign w:val="superscript"/>
        </w:rPr>
        <w:t>3</w:t>
      </w:r>
      <w:r w:rsidR="00D43044">
        <w:rPr>
          <w:rFonts w:cstheme="minorHAnsi"/>
        </w:rPr>
        <w:t xml:space="preserve"> and </w:t>
      </w:r>
      <w:r w:rsidR="00DC24C3" w:rsidRPr="00823AE2">
        <w:rPr>
          <w:rFonts w:eastAsia="Calibri,Times New Roman" w:cstheme="minorHAnsi"/>
        </w:rPr>
        <w:t xml:space="preserve">defined </w:t>
      </w:r>
      <w:r w:rsidR="00C211E3">
        <w:rPr>
          <w:rFonts w:eastAsia="Calibri,Times New Roman" w:cstheme="minorHAnsi"/>
        </w:rPr>
        <w:t>by</w:t>
      </w:r>
      <w:r w:rsidR="00DC24C3" w:rsidRPr="00823AE2">
        <w:rPr>
          <w:rFonts w:eastAsia="Calibri,Times New Roman" w:cstheme="minorHAnsi"/>
        </w:rPr>
        <w:t xml:space="preserve"> the </w:t>
      </w:r>
      <w:r w:rsidR="00DC24C3" w:rsidRPr="00823AE2">
        <w:rPr>
          <w:rFonts w:cstheme="minorHAnsi"/>
        </w:rPr>
        <w:t>Stanford HIV drug resistance algorithm (v8.4</w:t>
      </w:r>
      <w:r w:rsidR="006E3323" w:rsidRPr="00823AE2">
        <w:rPr>
          <w:rFonts w:eastAsia="Calibri,Times New Roman" w:cstheme="minorHAnsi"/>
        </w:rPr>
        <w:t xml:space="preserve">). </w:t>
      </w:r>
      <w:r w:rsidR="001C62BD" w:rsidRPr="00823AE2">
        <w:rPr>
          <w:rFonts w:cstheme="minorHAnsi"/>
        </w:rPr>
        <w:t>Darunavir RAMs</w:t>
      </w:r>
      <w:r w:rsidR="00890E6D">
        <w:rPr>
          <w:rFonts w:cstheme="minorHAnsi"/>
        </w:rPr>
        <w:t xml:space="preserve"> comprised</w:t>
      </w:r>
      <w:r w:rsidR="00C555CF">
        <w:rPr>
          <w:rFonts w:cstheme="minorHAnsi"/>
        </w:rPr>
        <w:t xml:space="preserve"> </w:t>
      </w:r>
      <w:r w:rsidR="001C62BD" w:rsidRPr="00823AE2">
        <w:rPr>
          <w:rFonts w:eastAsia="Calibri,Times New Roman" w:cstheme="minorHAnsi"/>
        </w:rPr>
        <w:t xml:space="preserve">V11I, V32I, L33F, I47V, I50V, I54L/M, T74P, L76V, I84V, L89V. </w:t>
      </w:r>
    </w:p>
    <w:p w14:paraId="0B3E3FFC" w14:textId="77777777" w:rsidR="006E3323" w:rsidRPr="00823AE2" w:rsidRDefault="006E3323" w:rsidP="00991E7C">
      <w:pPr>
        <w:tabs>
          <w:tab w:val="left" w:pos="567"/>
        </w:tabs>
        <w:spacing w:line="360" w:lineRule="auto"/>
        <w:jc w:val="both"/>
        <w:outlineLvl w:val="0"/>
        <w:rPr>
          <w:b/>
        </w:rPr>
      </w:pPr>
    </w:p>
    <w:p w14:paraId="6E296EA0" w14:textId="6F92118A" w:rsidR="006E3323" w:rsidRPr="00823AE2" w:rsidRDefault="00D43044" w:rsidP="00991E7C">
      <w:pPr>
        <w:tabs>
          <w:tab w:val="left" w:pos="567"/>
        </w:tabs>
        <w:spacing w:line="360" w:lineRule="auto"/>
        <w:jc w:val="both"/>
        <w:outlineLvl w:val="0"/>
        <w:rPr>
          <w:b/>
          <w:i/>
        </w:rPr>
      </w:pPr>
      <w:r>
        <w:rPr>
          <w:b/>
          <w:i/>
        </w:rPr>
        <w:t>A</w:t>
      </w:r>
      <w:r w:rsidR="006E3323" w:rsidRPr="00823AE2">
        <w:rPr>
          <w:b/>
          <w:i/>
        </w:rPr>
        <w:t>nalyses</w:t>
      </w:r>
    </w:p>
    <w:p w14:paraId="19E06998" w14:textId="32675B4C" w:rsidR="00800A20" w:rsidRPr="002D69D1" w:rsidRDefault="006E3323" w:rsidP="002D69D1">
      <w:pPr>
        <w:tabs>
          <w:tab w:val="left" w:pos="567"/>
        </w:tabs>
        <w:spacing w:line="360" w:lineRule="auto"/>
        <w:jc w:val="both"/>
      </w:pPr>
      <w:r w:rsidRPr="00823AE2">
        <w:rPr>
          <w:rFonts w:eastAsia="Calibri,Times New Roman" w:cstheme="minorHAnsi"/>
        </w:rPr>
        <w:t xml:space="preserve">The characteristics of patients with </w:t>
      </w:r>
      <w:r w:rsidR="001C62BD" w:rsidRPr="00823AE2">
        <w:rPr>
          <w:rFonts w:eastAsia="Calibri,Times New Roman" w:cstheme="minorHAnsi"/>
        </w:rPr>
        <w:t>or</w:t>
      </w:r>
      <w:r w:rsidRPr="00823AE2">
        <w:rPr>
          <w:rFonts w:eastAsia="Calibri,Times New Roman" w:cstheme="minorHAnsi"/>
        </w:rPr>
        <w:t xml:space="preserve"> without </w:t>
      </w:r>
      <w:r w:rsidR="001033A6" w:rsidRPr="00823AE2">
        <w:rPr>
          <w:rFonts w:eastAsia="Calibri,Times New Roman" w:cstheme="minorHAnsi"/>
        </w:rPr>
        <w:t xml:space="preserve">HIV-1 DNA </w:t>
      </w:r>
      <w:r w:rsidRPr="00823AE2">
        <w:rPr>
          <w:rFonts w:eastAsia="Calibri,Times New Roman" w:cstheme="minorHAnsi"/>
        </w:rPr>
        <w:t>sequencing results were compared using Wilcoxon rank-sum</w:t>
      </w:r>
      <w:r w:rsidR="00A05669" w:rsidRPr="00823AE2">
        <w:rPr>
          <w:rFonts w:eastAsia="Calibri,Times New Roman" w:cstheme="minorHAnsi"/>
        </w:rPr>
        <w:t xml:space="preserve"> test</w:t>
      </w:r>
      <w:r w:rsidR="00BF2E65" w:rsidRPr="00823AE2">
        <w:rPr>
          <w:rFonts w:eastAsia="Calibri,Times New Roman" w:cstheme="minorHAnsi"/>
        </w:rPr>
        <w:t xml:space="preserve">, </w:t>
      </w:r>
      <w:r w:rsidR="00D812AE" w:rsidRPr="00823AE2">
        <w:rPr>
          <w:rFonts w:ascii="Arial" w:hAnsi="Arial" w:cs="Arial"/>
          <w:i/>
          <w:iCs/>
          <w:color w:val="222222"/>
          <w:sz w:val="21"/>
          <w:szCs w:val="21"/>
          <w:shd w:val="clear" w:color="auto" w:fill="FFFFFF"/>
        </w:rPr>
        <w:t>t</w:t>
      </w:r>
      <w:r w:rsidR="00D812AE" w:rsidRPr="00823AE2">
        <w:rPr>
          <w:rFonts w:ascii="Arial" w:hAnsi="Arial" w:cs="Arial"/>
          <w:color w:val="222222"/>
          <w:sz w:val="21"/>
          <w:szCs w:val="21"/>
          <w:shd w:val="clear" w:color="auto" w:fill="FFFFFF"/>
        </w:rPr>
        <w:t>-test</w:t>
      </w:r>
      <w:r w:rsidR="00BF2E65" w:rsidRPr="00823AE2">
        <w:rPr>
          <w:rFonts w:ascii="Arial" w:hAnsi="Arial" w:cs="Arial"/>
          <w:color w:val="222222"/>
          <w:sz w:val="21"/>
          <w:szCs w:val="21"/>
          <w:shd w:val="clear" w:color="auto" w:fill="FFFFFF"/>
        </w:rPr>
        <w:t>,</w:t>
      </w:r>
      <w:r w:rsidR="00D812AE" w:rsidRPr="00823AE2">
        <w:rPr>
          <w:rFonts w:eastAsia="Calibri,Times New Roman" w:cstheme="minorHAnsi"/>
        </w:rPr>
        <w:t xml:space="preserve"> </w:t>
      </w:r>
      <w:r w:rsidR="00BF2E65" w:rsidRPr="00823AE2">
        <w:rPr>
          <w:rFonts w:eastAsia="Calibri,Times New Roman" w:cstheme="minorHAnsi"/>
        </w:rPr>
        <w:t xml:space="preserve">or </w:t>
      </w:r>
      <w:r w:rsidRPr="00823AE2">
        <w:rPr>
          <w:rFonts w:eastAsia="Calibri,Times New Roman" w:cstheme="minorHAnsi"/>
        </w:rPr>
        <w:t xml:space="preserve">Fisher’s exact test. </w:t>
      </w:r>
      <w:r w:rsidR="004B3E24" w:rsidRPr="00823AE2">
        <w:t>P</w:t>
      </w:r>
      <w:r w:rsidR="00BF2E65" w:rsidRPr="00823AE2">
        <w:t>ill count</w:t>
      </w:r>
      <w:r w:rsidR="00A753FC">
        <w:t>s</w:t>
      </w:r>
      <w:r w:rsidR="00BF2E65" w:rsidRPr="00823AE2">
        <w:t xml:space="preserve"> and VAS percentages were averaged in each patient </w:t>
      </w:r>
      <w:r w:rsidR="00AA6008">
        <w:t>over</w:t>
      </w:r>
      <w:r w:rsidR="00BF2E65" w:rsidRPr="00823AE2">
        <w:t xml:space="preserve"> the entire study period</w:t>
      </w:r>
      <w:r w:rsidR="003B4F5C" w:rsidRPr="00823AE2">
        <w:t xml:space="preserve">, and </w:t>
      </w:r>
      <w:r w:rsidR="001F1A9C" w:rsidRPr="00823AE2">
        <w:t>compared</w:t>
      </w:r>
      <w:r w:rsidR="00A05669" w:rsidRPr="00823AE2">
        <w:t xml:space="preserve"> by </w:t>
      </w:r>
      <w:r w:rsidR="00BF2E65" w:rsidRPr="00823AE2">
        <w:t xml:space="preserve">Spearman’s rank correlation. Patients </w:t>
      </w:r>
      <w:r w:rsidR="002865C6" w:rsidRPr="00823AE2">
        <w:t>with</w:t>
      </w:r>
      <w:r w:rsidR="00BF2E65" w:rsidRPr="00823AE2">
        <w:t xml:space="preserve"> virological rebound</w:t>
      </w:r>
      <w:r w:rsidR="004B3E24" w:rsidRPr="00823AE2">
        <w:t xml:space="preserve"> </w:t>
      </w:r>
      <w:r w:rsidR="00BF2E65" w:rsidRPr="00823AE2">
        <w:t xml:space="preserve">were recalled for adherence counselling, followed by repeat testing 4 weeks later. </w:t>
      </w:r>
      <w:r w:rsidR="00A05669" w:rsidRPr="00823AE2">
        <w:t xml:space="preserve">Mean adherence </w:t>
      </w:r>
      <w:r w:rsidR="00AA6008">
        <w:t xml:space="preserve">levels </w:t>
      </w:r>
      <w:r w:rsidR="00A05669" w:rsidRPr="00823AE2">
        <w:t xml:space="preserve">in the period before versus the period after the first counselling </w:t>
      </w:r>
      <w:r w:rsidR="001F1A9C" w:rsidRPr="00823AE2">
        <w:t xml:space="preserve">session </w:t>
      </w:r>
      <w:r w:rsidR="00A05669" w:rsidRPr="00823AE2">
        <w:t xml:space="preserve">were compared </w:t>
      </w:r>
      <w:r w:rsidR="00055A33">
        <w:t>by</w:t>
      </w:r>
      <w:r w:rsidR="00A05669" w:rsidRPr="00823AE2">
        <w:t xml:space="preserve"> </w:t>
      </w:r>
      <w:r w:rsidR="00A05669" w:rsidRPr="00823AE2">
        <w:rPr>
          <w:i/>
        </w:rPr>
        <w:t>t</w:t>
      </w:r>
      <w:r w:rsidR="00A05669" w:rsidRPr="00823AE2">
        <w:t xml:space="preserve">-test. </w:t>
      </w:r>
      <w:r w:rsidR="003B4F5C" w:rsidRPr="00823AE2">
        <w:t>Treatment failure compris</w:t>
      </w:r>
      <w:r w:rsidR="00E612DD" w:rsidRPr="00823AE2">
        <w:t>ed</w:t>
      </w:r>
      <w:r w:rsidR="003B4F5C" w:rsidRPr="00823AE2">
        <w:t xml:space="preserve"> </w:t>
      </w:r>
      <w:r w:rsidR="00BF2E65" w:rsidRPr="00823AE2">
        <w:t xml:space="preserve">virological failure </w:t>
      </w:r>
      <w:r w:rsidR="003B4F5C" w:rsidRPr="00823AE2">
        <w:t>(</w:t>
      </w:r>
      <w:r w:rsidR="00840673">
        <w:t xml:space="preserve">either </w:t>
      </w:r>
      <w:r w:rsidR="002E66F7" w:rsidRPr="00823AE2">
        <w:t xml:space="preserve">confirmed or last available </w:t>
      </w:r>
      <w:r w:rsidR="003B4F5C" w:rsidRPr="00823AE2">
        <w:t>viral load &gt;400 copies/</w:t>
      </w:r>
      <w:r w:rsidR="00E60DCC">
        <w:t>mL</w:t>
      </w:r>
      <w:r w:rsidR="003B4F5C" w:rsidRPr="00823AE2">
        <w:t>)</w:t>
      </w:r>
      <w:r w:rsidR="0076272E" w:rsidRPr="00823AE2">
        <w:t xml:space="preserve"> </w:t>
      </w:r>
      <w:r w:rsidR="00E612DD" w:rsidRPr="00823AE2">
        <w:t>or discontinuation of monotherapy prior to week 48 due to</w:t>
      </w:r>
      <w:r w:rsidR="00A05669" w:rsidRPr="00823AE2">
        <w:t xml:space="preserve"> a</w:t>
      </w:r>
      <w:r w:rsidR="00E612DD" w:rsidRPr="00823AE2">
        <w:t xml:space="preserve"> significant </w:t>
      </w:r>
      <w:r w:rsidR="0076272E" w:rsidRPr="00823AE2">
        <w:t>adverse event</w:t>
      </w:r>
      <w:r w:rsidR="00E612DD" w:rsidRPr="00823AE2">
        <w:t>, death, or loss to follow-up</w:t>
      </w:r>
      <w:r w:rsidR="00A05669" w:rsidRPr="00823AE2">
        <w:t xml:space="preserve">. </w:t>
      </w:r>
      <w:r w:rsidR="001033A6" w:rsidRPr="00823AE2">
        <w:t>Predictors of</w:t>
      </w:r>
      <w:r w:rsidRPr="00823AE2">
        <w:t xml:space="preserve"> virological failure were </w:t>
      </w:r>
      <w:r w:rsidR="001033A6" w:rsidRPr="00823AE2">
        <w:t>explored</w:t>
      </w:r>
      <w:r w:rsidRPr="00823AE2">
        <w:t xml:space="preserve"> by logistic regression analysis</w:t>
      </w:r>
      <w:r w:rsidR="00C77A0C" w:rsidRPr="00823AE2">
        <w:t xml:space="preserve">; </w:t>
      </w:r>
      <w:r w:rsidR="00B8310F" w:rsidRPr="00823AE2">
        <w:t xml:space="preserve">all available </w:t>
      </w:r>
      <w:r w:rsidR="00C77A0C" w:rsidRPr="00823AE2">
        <w:t>v</w:t>
      </w:r>
      <w:r w:rsidR="00E43A40" w:rsidRPr="00823AE2">
        <w:t>ariables</w:t>
      </w:r>
      <w:r w:rsidRPr="00823AE2">
        <w:t xml:space="preserve"> </w:t>
      </w:r>
      <w:r w:rsidR="00B8310F" w:rsidRPr="00823AE2">
        <w:t xml:space="preserve">were </w:t>
      </w:r>
      <w:r w:rsidR="00823AE2" w:rsidRPr="00823AE2">
        <w:t xml:space="preserve">considered for inclusion </w:t>
      </w:r>
      <w:r w:rsidR="00B8310F" w:rsidRPr="00823AE2">
        <w:t xml:space="preserve">and those with </w:t>
      </w:r>
      <w:r w:rsidR="003B4F5C" w:rsidRPr="00823AE2">
        <w:t xml:space="preserve">p≤0.2 </w:t>
      </w:r>
      <w:r w:rsidRPr="00823AE2">
        <w:t xml:space="preserve">in the univariate analysis were retained in the multivariable model. </w:t>
      </w:r>
    </w:p>
    <w:p w14:paraId="3F26A673" w14:textId="77777777" w:rsidR="00C211E3" w:rsidRDefault="00C211E3" w:rsidP="00991E7C">
      <w:pPr>
        <w:tabs>
          <w:tab w:val="left" w:pos="567"/>
        </w:tabs>
        <w:spacing w:line="360" w:lineRule="auto"/>
        <w:jc w:val="both"/>
        <w:outlineLvl w:val="0"/>
        <w:rPr>
          <w:rFonts w:cstheme="minorHAnsi"/>
          <w:b/>
          <w:color w:val="000000" w:themeColor="text1"/>
        </w:rPr>
      </w:pPr>
    </w:p>
    <w:p w14:paraId="141CFBF7" w14:textId="65A67D6D" w:rsidR="006E3323" w:rsidRPr="00823AE2" w:rsidRDefault="005970B5" w:rsidP="00991E7C">
      <w:pPr>
        <w:tabs>
          <w:tab w:val="left" w:pos="567"/>
        </w:tabs>
        <w:spacing w:line="360" w:lineRule="auto"/>
        <w:jc w:val="both"/>
        <w:outlineLvl w:val="0"/>
        <w:rPr>
          <w:rFonts w:cstheme="minorHAnsi"/>
          <w:b/>
          <w:color w:val="000000" w:themeColor="text1"/>
        </w:rPr>
      </w:pPr>
      <w:r w:rsidRPr="00823AE2">
        <w:rPr>
          <w:rFonts w:cstheme="minorHAnsi"/>
          <w:b/>
          <w:color w:val="000000" w:themeColor="text1"/>
        </w:rPr>
        <w:t>Results</w:t>
      </w:r>
    </w:p>
    <w:p w14:paraId="36FAE409" w14:textId="5BDCC49B" w:rsidR="006E3323" w:rsidRPr="00823AE2" w:rsidRDefault="002865C6" w:rsidP="00991E7C">
      <w:pPr>
        <w:tabs>
          <w:tab w:val="left" w:pos="567"/>
        </w:tabs>
        <w:spacing w:line="360" w:lineRule="auto"/>
        <w:jc w:val="both"/>
        <w:outlineLvl w:val="0"/>
        <w:rPr>
          <w:rFonts w:cstheme="minorHAnsi"/>
          <w:b/>
          <w:i/>
          <w:color w:val="000000" w:themeColor="text1"/>
        </w:rPr>
      </w:pPr>
      <w:r w:rsidRPr="00823AE2">
        <w:rPr>
          <w:rFonts w:cstheme="minorHAnsi"/>
          <w:b/>
          <w:i/>
          <w:color w:val="000000" w:themeColor="text1"/>
        </w:rPr>
        <w:t>HIV-1 DNA RAMs at study entry</w:t>
      </w:r>
    </w:p>
    <w:p w14:paraId="0EB12D45" w14:textId="10D33A2B" w:rsidR="006E3323" w:rsidRPr="00823AE2" w:rsidRDefault="00DC645A" w:rsidP="00991E7C">
      <w:pPr>
        <w:tabs>
          <w:tab w:val="left" w:pos="567"/>
        </w:tabs>
        <w:spacing w:line="360" w:lineRule="auto"/>
        <w:jc w:val="both"/>
        <w:rPr>
          <w:rFonts w:cstheme="minorHAnsi"/>
          <w:color w:val="000000" w:themeColor="text1"/>
        </w:rPr>
      </w:pPr>
      <w:r>
        <w:rPr>
          <w:rFonts w:cstheme="minorHAnsi"/>
          <w:color w:val="000000" w:themeColor="text1"/>
        </w:rPr>
        <w:t>T</w:t>
      </w:r>
      <w:r w:rsidR="002D69D1">
        <w:rPr>
          <w:rFonts w:cstheme="minorHAnsi"/>
          <w:color w:val="000000" w:themeColor="text1"/>
        </w:rPr>
        <w:t>he population</w:t>
      </w:r>
      <w:r>
        <w:rPr>
          <w:rFonts w:cstheme="minorHAnsi"/>
          <w:color w:val="000000" w:themeColor="text1"/>
        </w:rPr>
        <w:t xml:space="preserve"> is described </w:t>
      </w:r>
      <w:r w:rsidR="00603C09" w:rsidRPr="00823AE2">
        <w:rPr>
          <w:rFonts w:cstheme="minorHAnsi"/>
          <w:color w:val="000000" w:themeColor="text1"/>
        </w:rPr>
        <w:t xml:space="preserve">in </w:t>
      </w:r>
      <w:r w:rsidR="0031455B" w:rsidRPr="00823AE2">
        <w:rPr>
          <w:rFonts w:cstheme="minorHAnsi"/>
          <w:color w:val="000000" w:themeColor="text1"/>
          <w:highlight w:val="lightGray"/>
        </w:rPr>
        <w:t>Table 1.</w:t>
      </w:r>
      <w:r w:rsidR="0031455B" w:rsidRPr="00823AE2">
        <w:rPr>
          <w:rFonts w:cstheme="minorHAnsi"/>
          <w:color w:val="000000" w:themeColor="text1"/>
        </w:rPr>
        <w:t xml:space="preserve"> </w:t>
      </w:r>
      <w:r w:rsidR="00E43A40" w:rsidRPr="00823AE2">
        <w:rPr>
          <w:rFonts w:cstheme="minorHAnsi"/>
          <w:color w:val="000000" w:themeColor="text1"/>
        </w:rPr>
        <w:t xml:space="preserve">Of 76 patients with </w:t>
      </w:r>
      <w:r w:rsidR="006E3323" w:rsidRPr="00823AE2">
        <w:rPr>
          <w:rFonts w:cstheme="minorHAnsi"/>
          <w:color w:val="000000" w:themeColor="text1"/>
        </w:rPr>
        <w:t xml:space="preserve">PBMC </w:t>
      </w:r>
      <w:r w:rsidR="00E43A40" w:rsidRPr="00823AE2">
        <w:rPr>
          <w:rFonts w:cstheme="minorHAnsi"/>
          <w:color w:val="000000" w:themeColor="text1"/>
        </w:rPr>
        <w:t>sample</w:t>
      </w:r>
      <w:r w:rsidR="00D543D2">
        <w:rPr>
          <w:rFonts w:cstheme="minorHAnsi"/>
          <w:color w:val="000000" w:themeColor="text1"/>
        </w:rPr>
        <w:t>s</w:t>
      </w:r>
      <w:r w:rsidR="00E43A40" w:rsidRPr="00823AE2">
        <w:rPr>
          <w:rFonts w:cstheme="minorHAnsi"/>
          <w:color w:val="000000" w:themeColor="text1"/>
        </w:rPr>
        <w:t>,</w:t>
      </w:r>
      <w:r w:rsidR="002865C6" w:rsidRPr="00823AE2">
        <w:rPr>
          <w:rFonts w:cstheme="minorHAnsi"/>
          <w:color w:val="000000" w:themeColor="text1"/>
        </w:rPr>
        <w:t xml:space="preserve"> </w:t>
      </w:r>
      <w:r w:rsidR="006E3323" w:rsidRPr="00823AE2">
        <w:rPr>
          <w:rFonts w:cstheme="minorHAnsi"/>
          <w:color w:val="000000" w:themeColor="text1"/>
        </w:rPr>
        <w:t xml:space="preserve">60 (78.9%) yielded a </w:t>
      </w:r>
      <w:r w:rsidR="003B4F5C" w:rsidRPr="00823AE2">
        <w:rPr>
          <w:rFonts w:cstheme="minorHAnsi"/>
          <w:color w:val="000000" w:themeColor="text1"/>
        </w:rPr>
        <w:t xml:space="preserve">HIV-1 DNA </w:t>
      </w:r>
      <w:r w:rsidR="006E3323" w:rsidRPr="00823AE2">
        <w:rPr>
          <w:rFonts w:cstheme="minorHAnsi"/>
          <w:color w:val="000000" w:themeColor="text1"/>
        </w:rPr>
        <w:t>sequence</w:t>
      </w:r>
      <w:r w:rsidR="002865C6" w:rsidRPr="00823AE2">
        <w:rPr>
          <w:rFonts w:cstheme="minorHAnsi"/>
          <w:color w:val="000000" w:themeColor="text1"/>
        </w:rPr>
        <w:t xml:space="preserve">. </w:t>
      </w:r>
      <w:r w:rsidR="00603C09" w:rsidRPr="00823AE2">
        <w:rPr>
          <w:rFonts w:cstheme="minorHAnsi"/>
          <w:color w:val="000000" w:themeColor="text1"/>
        </w:rPr>
        <w:t>Relative to</w:t>
      </w:r>
      <w:r w:rsidR="006E3323" w:rsidRPr="00823AE2">
        <w:rPr>
          <w:rFonts w:cstheme="minorHAnsi"/>
          <w:color w:val="000000" w:themeColor="text1"/>
        </w:rPr>
        <w:t xml:space="preserve"> patients with sequencing result</w:t>
      </w:r>
      <w:r w:rsidR="000D0A3E" w:rsidRPr="00823AE2">
        <w:rPr>
          <w:rFonts w:cstheme="minorHAnsi"/>
          <w:color w:val="000000" w:themeColor="text1"/>
        </w:rPr>
        <w:t>s</w:t>
      </w:r>
      <w:r w:rsidR="006E3323" w:rsidRPr="00823AE2">
        <w:rPr>
          <w:rFonts w:cstheme="minorHAnsi"/>
          <w:color w:val="000000" w:themeColor="text1"/>
        </w:rPr>
        <w:t xml:space="preserve">, </w:t>
      </w:r>
      <w:r w:rsidR="00603C09" w:rsidRPr="00823AE2">
        <w:rPr>
          <w:rFonts w:cstheme="minorHAnsi"/>
          <w:color w:val="000000" w:themeColor="text1"/>
        </w:rPr>
        <w:t xml:space="preserve">those without </w:t>
      </w:r>
      <w:r w:rsidR="001033A6" w:rsidRPr="00823AE2">
        <w:rPr>
          <w:rFonts w:cstheme="minorHAnsi"/>
          <w:color w:val="000000" w:themeColor="text1"/>
        </w:rPr>
        <w:t xml:space="preserve">had </w:t>
      </w:r>
      <w:r w:rsidR="006E3323" w:rsidRPr="00823AE2">
        <w:rPr>
          <w:rFonts w:cstheme="minorHAnsi"/>
          <w:color w:val="000000" w:themeColor="text1"/>
        </w:rPr>
        <w:t xml:space="preserve">a lower </w:t>
      </w:r>
      <w:r w:rsidR="006E3323" w:rsidRPr="00823AE2">
        <w:rPr>
          <w:rFonts w:cstheme="minorHAnsi"/>
          <w:color w:val="000000" w:themeColor="text1"/>
        </w:rPr>
        <w:lastRenderedPageBreak/>
        <w:t xml:space="preserve">HIV-1 DNA load (p=0.0004) and a higher nadir CD4 cell count (p=0.05) </w:t>
      </w:r>
      <w:r w:rsidR="006E3323" w:rsidRPr="00823AE2">
        <w:rPr>
          <w:rFonts w:cstheme="minorHAnsi"/>
          <w:color w:val="000000" w:themeColor="text1"/>
          <w:highlight w:val="lightGray"/>
        </w:rPr>
        <w:t>(Supplementary Table 1)</w:t>
      </w:r>
      <w:r w:rsidR="006E3323" w:rsidRPr="00823AE2">
        <w:rPr>
          <w:rFonts w:cstheme="minorHAnsi"/>
          <w:color w:val="000000" w:themeColor="text1"/>
        </w:rPr>
        <w:t xml:space="preserve">. </w:t>
      </w:r>
      <w:r w:rsidR="002865C6" w:rsidRPr="00823AE2">
        <w:rPr>
          <w:rFonts w:cstheme="minorHAnsi"/>
          <w:color w:val="000000" w:themeColor="text1"/>
        </w:rPr>
        <w:t xml:space="preserve">NRTI and NNRTI RAMs </w:t>
      </w:r>
      <w:r w:rsidR="00E43A40" w:rsidRPr="00823AE2">
        <w:rPr>
          <w:rFonts w:cstheme="minorHAnsi"/>
          <w:color w:val="000000" w:themeColor="text1"/>
        </w:rPr>
        <w:t xml:space="preserve">occurred </w:t>
      </w:r>
      <w:r w:rsidR="002865C6" w:rsidRPr="00823AE2">
        <w:rPr>
          <w:rFonts w:cstheme="minorHAnsi"/>
          <w:color w:val="000000" w:themeColor="text1"/>
        </w:rPr>
        <w:t xml:space="preserve">in </w:t>
      </w:r>
      <w:r w:rsidR="006E3323" w:rsidRPr="00823AE2">
        <w:rPr>
          <w:rFonts w:cstheme="minorHAnsi"/>
          <w:color w:val="000000" w:themeColor="text1"/>
        </w:rPr>
        <w:t xml:space="preserve">39/60 (65.0%) and 41/60 (68.3%) </w:t>
      </w:r>
      <w:r w:rsidR="00E43A40" w:rsidRPr="00823AE2">
        <w:rPr>
          <w:rFonts w:cstheme="minorHAnsi"/>
          <w:color w:val="000000" w:themeColor="text1"/>
        </w:rPr>
        <w:t>samples</w:t>
      </w:r>
      <w:r w:rsidR="002E2EA5" w:rsidRPr="00823AE2">
        <w:rPr>
          <w:rFonts w:cstheme="minorHAnsi"/>
          <w:color w:val="000000" w:themeColor="text1"/>
        </w:rPr>
        <w:t xml:space="preserve">, </w:t>
      </w:r>
      <w:r w:rsidR="002865C6" w:rsidRPr="00823AE2">
        <w:rPr>
          <w:rFonts w:cstheme="minorHAnsi"/>
          <w:color w:val="000000" w:themeColor="text1"/>
        </w:rPr>
        <w:t>respectively</w:t>
      </w:r>
      <w:r w:rsidR="005E6E08" w:rsidRPr="00823AE2">
        <w:rPr>
          <w:rFonts w:cstheme="minorHAnsi"/>
          <w:color w:val="000000" w:themeColor="text1"/>
        </w:rPr>
        <w:t xml:space="preserve"> </w:t>
      </w:r>
      <w:r w:rsidR="005E6E08" w:rsidRPr="00823AE2">
        <w:rPr>
          <w:rFonts w:cstheme="minorHAnsi"/>
          <w:highlight w:val="lightGray"/>
        </w:rPr>
        <w:t xml:space="preserve">(Table </w:t>
      </w:r>
      <w:r w:rsidR="00603C09" w:rsidRPr="00823AE2">
        <w:rPr>
          <w:rFonts w:cstheme="minorHAnsi"/>
          <w:highlight w:val="lightGray"/>
        </w:rPr>
        <w:t>1</w:t>
      </w:r>
      <w:r w:rsidR="005E6E08" w:rsidRPr="00823AE2">
        <w:rPr>
          <w:rFonts w:cstheme="minorHAnsi"/>
          <w:highlight w:val="lightGray"/>
        </w:rPr>
        <w:t>)</w:t>
      </w:r>
      <w:r w:rsidR="002D69D1">
        <w:rPr>
          <w:rFonts w:cstheme="minorHAnsi"/>
          <w:color w:val="000000" w:themeColor="text1"/>
        </w:rPr>
        <w:t>;</w:t>
      </w:r>
      <w:r w:rsidR="005E6E08" w:rsidRPr="00823AE2">
        <w:rPr>
          <w:rFonts w:cstheme="minorHAnsi"/>
          <w:color w:val="000000" w:themeColor="text1"/>
        </w:rPr>
        <w:t xml:space="preserve"> </w:t>
      </w:r>
      <w:r w:rsidR="006E3323" w:rsidRPr="00823AE2">
        <w:rPr>
          <w:rFonts w:cstheme="minorHAnsi"/>
          <w:color w:val="000000" w:themeColor="text1"/>
        </w:rPr>
        <w:t xml:space="preserve">37/60 (61.6%) </w:t>
      </w:r>
      <w:r w:rsidR="00AD14F7">
        <w:rPr>
          <w:rFonts w:cstheme="minorHAnsi"/>
          <w:color w:val="000000" w:themeColor="text1"/>
        </w:rPr>
        <w:t xml:space="preserve">samples </w:t>
      </w:r>
      <w:r w:rsidR="002D69D1">
        <w:rPr>
          <w:rFonts w:cstheme="minorHAnsi"/>
          <w:color w:val="000000" w:themeColor="text1"/>
        </w:rPr>
        <w:t>had</w:t>
      </w:r>
      <w:r w:rsidR="006E3323" w:rsidRPr="00823AE2">
        <w:rPr>
          <w:rFonts w:cstheme="minorHAnsi"/>
          <w:color w:val="000000" w:themeColor="text1"/>
        </w:rPr>
        <w:t xml:space="preserve"> </w:t>
      </w:r>
      <w:r w:rsidR="00603C09" w:rsidRPr="00823AE2">
        <w:rPr>
          <w:rFonts w:cstheme="minorHAnsi"/>
          <w:color w:val="000000" w:themeColor="text1"/>
        </w:rPr>
        <w:t xml:space="preserve">dual-class </w:t>
      </w:r>
      <w:r w:rsidR="006E3323" w:rsidRPr="00823AE2">
        <w:rPr>
          <w:rFonts w:cstheme="minorHAnsi"/>
          <w:color w:val="000000" w:themeColor="text1"/>
        </w:rPr>
        <w:t>mutations</w:t>
      </w:r>
      <w:r w:rsidR="005E6E08" w:rsidRPr="00823AE2">
        <w:rPr>
          <w:rFonts w:cstheme="minorHAnsi"/>
          <w:color w:val="000000" w:themeColor="text1"/>
        </w:rPr>
        <w:t xml:space="preserve">. </w:t>
      </w:r>
    </w:p>
    <w:p w14:paraId="3E226BC9" w14:textId="77777777" w:rsidR="006E3323" w:rsidRPr="00823AE2" w:rsidRDefault="006E3323" w:rsidP="00991E7C">
      <w:pPr>
        <w:tabs>
          <w:tab w:val="left" w:pos="567"/>
        </w:tabs>
        <w:spacing w:line="360" w:lineRule="auto"/>
        <w:jc w:val="both"/>
        <w:outlineLvl w:val="0"/>
        <w:rPr>
          <w:rFonts w:cstheme="minorHAnsi"/>
          <w:b/>
          <w:color w:val="000000" w:themeColor="text1"/>
        </w:rPr>
      </w:pPr>
    </w:p>
    <w:p w14:paraId="498DCEF1" w14:textId="6DC6E248" w:rsidR="006E3323" w:rsidRPr="00823AE2" w:rsidRDefault="006E3323" w:rsidP="00991E7C">
      <w:pPr>
        <w:tabs>
          <w:tab w:val="left" w:pos="567"/>
        </w:tabs>
        <w:spacing w:line="360" w:lineRule="auto"/>
        <w:jc w:val="both"/>
        <w:outlineLvl w:val="0"/>
        <w:rPr>
          <w:rFonts w:cstheme="minorHAnsi"/>
          <w:b/>
          <w:i/>
          <w:color w:val="000000" w:themeColor="text1"/>
        </w:rPr>
      </w:pPr>
      <w:r w:rsidRPr="00823AE2">
        <w:rPr>
          <w:rFonts w:cstheme="minorHAnsi"/>
          <w:b/>
          <w:i/>
          <w:color w:val="000000" w:themeColor="text1"/>
        </w:rPr>
        <w:t>Outcome</w:t>
      </w:r>
      <w:r w:rsidR="00DA6A19" w:rsidRPr="00823AE2">
        <w:rPr>
          <w:rFonts w:cstheme="minorHAnsi"/>
          <w:b/>
          <w:i/>
          <w:color w:val="000000" w:themeColor="text1"/>
        </w:rPr>
        <w:t>s</w:t>
      </w:r>
      <w:r w:rsidRPr="00823AE2">
        <w:rPr>
          <w:rFonts w:cstheme="minorHAnsi"/>
          <w:b/>
          <w:i/>
          <w:color w:val="000000" w:themeColor="text1"/>
        </w:rPr>
        <w:t xml:space="preserve"> of </w:t>
      </w:r>
      <w:r w:rsidR="00DA6A19" w:rsidRPr="00823AE2">
        <w:rPr>
          <w:rFonts w:cstheme="minorHAnsi"/>
          <w:b/>
          <w:i/>
          <w:color w:val="000000" w:themeColor="text1"/>
        </w:rPr>
        <w:t>DRV/r</w:t>
      </w:r>
      <w:r w:rsidR="009951C2" w:rsidRPr="00823AE2">
        <w:rPr>
          <w:rFonts w:cstheme="minorHAnsi"/>
          <w:b/>
          <w:i/>
          <w:color w:val="000000" w:themeColor="text1"/>
        </w:rPr>
        <w:t xml:space="preserve"> </w:t>
      </w:r>
      <w:r w:rsidRPr="00823AE2">
        <w:rPr>
          <w:rFonts w:cstheme="minorHAnsi"/>
          <w:b/>
          <w:i/>
          <w:color w:val="000000" w:themeColor="text1"/>
        </w:rPr>
        <w:t>monotherapy</w:t>
      </w:r>
    </w:p>
    <w:p w14:paraId="12CC7602" w14:textId="2089C331" w:rsidR="002865C6" w:rsidRPr="00823AE2" w:rsidRDefault="00A70857" w:rsidP="00991E7C">
      <w:pPr>
        <w:tabs>
          <w:tab w:val="left" w:pos="567"/>
          <w:tab w:val="left" w:pos="5954"/>
        </w:tabs>
        <w:spacing w:line="360" w:lineRule="auto"/>
        <w:jc w:val="both"/>
        <w:rPr>
          <w:rFonts w:cstheme="minorHAnsi"/>
          <w:color w:val="000000" w:themeColor="text1"/>
        </w:rPr>
      </w:pPr>
      <w:r>
        <w:rPr>
          <w:rFonts w:cstheme="minorHAnsi"/>
          <w:color w:val="000000" w:themeColor="text1"/>
        </w:rPr>
        <w:t>B</w:t>
      </w:r>
      <w:r w:rsidR="004A5446" w:rsidRPr="00823AE2">
        <w:rPr>
          <w:rFonts w:cstheme="minorHAnsi"/>
          <w:color w:val="000000" w:themeColor="text1"/>
        </w:rPr>
        <w:t>etween week 12 and week 48</w:t>
      </w:r>
      <w:r w:rsidR="006E3323" w:rsidRPr="00823AE2">
        <w:rPr>
          <w:rFonts w:cstheme="minorHAnsi"/>
          <w:color w:val="000000" w:themeColor="text1"/>
        </w:rPr>
        <w:t xml:space="preserve"> (median week 24)</w:t>
      </w:r>
      <w:r w:rsidR="003B4F5C" w:rsidRPr="00823AE2">
        <w:rPr>
          <w:rFonts w:cstheme="minorHAnsi"/>
          <w:color w:val="000000" w:themeColor="text1"/>
        </w:rPr>
        <w:t xml:space="preserve">, </w:t>
      </w:r>
      <w:r w:rsidR="006E3323" w:rsidRPr="00823AE2">
        <w:rPr>
          <w:rFonts w:cstheme="minorHAnsi"/>
          <w:color w:val="000000" w:themeColor="text1"/>
        </w:rPr>
        <w:t xml:space="preserve">16/81 (19.8%) </w:t>
      </w:r>
      <w:r w:rsidR="003B4F5C" w:rsidRPr="00823AE2">
        <w:rPr>
          <w:rFonts w:cstheme="minorHAnsi"/>
          <w:color w:val="000000" w:themeColor="text1"/>
        </w:rPr>
        <w:t xml:space="preserve">patients </w:t>
      </w:r>
      <w:r>
        <w:rPr>
          <w:rFonts w:cstheme="minorHAnsi"/>
          <w:color w:val="000000" w:themeColor="text1"/>
        </w:rPr>
        <w:t xml:space="preserve">experienced </w:t>
      </w:r>
      <w:r w:rsidR="006E3323" w:rsidRPr="00823AE2">
        <w:rPr>
          <w:rFonts w:cstheme="minorHAnsi"/>
          <w:color w:val="000000" w:themeColor="text1"/>
        </w:rPr>
        <w:t>virological failure</w:t>
      </w:r>
      <w:r w:rsidR="00EA4F9C">
        <w:rPr>
          <w:rFonts w:cstheme="minorHAnsi"/>
          <w:color w:val="000000" w:themeColor="text1"/>
        </w:rPr>
        <w:t>. A</w:t>
      </w:r>
      <w:r>
        <w:rPr>
          <w:rFonts w:cstheme="minorHAnsi"/>
          <w:color w:val="000000" w:themeColor="text1"/>
        </w:rPr>
        <w:t xml:space="preserve"> further </w:t>
      </w:r>
      <w:r w:rsidR="00286C8E" w:rsidRPr="00823AE2">
        <w:rPr>
          <w:rFonts w:cstheme="minorHAnsi"/>
          <w:color w:val="000000" w:themeColor="text1"/>
        </w:rPr>
        <w:t xml:space="preserve">6/81 (7.4%) </w:t>
      </w:r>
      <w:r>
        <w:rPr>
          <w:rFonts w:cstheme="minorHAnsi"/>
          <w:color w:val="000000" w:themeColor="text1"/>
        </w:rPr>
        <w:t xml:space="preserve">prematurely </w:t>
      </w:r>
      <w:r w:rsidR="00286C8E" w:rsidRPr="00823AE2">
        <w:rPr>
          <w:rFonts w:cstheme="minorHAnsi"/>
          <w:color w:val="000000" w:themeColor="text1"/>
        </w:rPr>
        <w:t xml:space="preserve">discontinued </w:t>
      </w:r>
      <w:r>
        <w:rPr>
          <w:rFonts w:cstheme="minorHAnsi"/>
          <w:color w:val="000000" w:themeColor="text1"/>
        </w:rPr>
        <w:t>monotherapy</w:t>
      </w:r>
      <w:r w:rsidR="00286C8E" w:rsidRPr="00823AE2">
        <w:rPr>
          <w:rFonts w:cstheme="minorHAnsi"/>
          <w:color w:val="000000" w:themeColor="text1"/>
        </w:rPr>
        <w:t xml:space="preserve"> owing to </w:t>
      </w:r>
      <w:r w:rsidR="003B4F5C" w:rsidRPr="00823AE2">
        <w:rPr>
          <w:rFonts w:cstheme="minorHAnsi"/>
          <w:color w:val="000000" w:themeColor="text1"/>
        </w:rPr>
        <w:t>significant adverse</w:t>
      </w:r>
      <w:r w:rsidR="00286C8E" w:rsidRPr="00823AE2">
        <w:rPr>
          <w:rFonts w:cstheme="minorHAnsi"/>
          <w:color w:val="000000" w:themeColor="text1"/>
        </w:rPr>
        <w:t xml:space="preserve"> </w:t>
      </w:r>
      <w:r w:rsidR="003B4F5C" w:rsidRPr="00823AE2">
        <w:rPr>
          <w:rFonts w:cstheme="minorHAnsi"/>
          <w:color w:val="000000" w:themeColor="text1"/>
        </w:rPr>
        <w:t xml:space="preserve">events </w:t>
      </w:r>
      <w:r w:rsidR="00286C8E" w:rsidRPr="00823AE2">
        <w:rPr>
          <w:rFonts w:cstheme="minorHAnsi"/>
          <w:color w:val="000000" w:themeColor="text1"/>
        </w:rPr>
        <w:t>(n=</w:t>
      </w:r>
      <w:r>
        <w:rPr>
          <w:rFonts w:cstheme="minorHAnsi"/>
          <w:color w:val="000000" w:themeColor="text1"/>
        </w:rPr>
        <w:t>5</w:t>
      </w:r>
      <w:r w:rsidR="00286C8E" w:rsidRPr="00823AE2">
        <w:rPr>
          <w:rFonts w:cstheme="minorHAnsi"/>
          <w:color w:val="000000" w:themeColor="text1"/>
        </w:rPr>
        <w:t>)</w:t>
      </w:r>
      <w:r>
        <w:rPr>
          <w:rFonts w:cstheme="minorHAnsi"/>
          <w:color w:val="000000" w:themeColor="text1"/>
        </w:rPr>
        <w:t xml:space="preserve"> or</w:t>
      </w:r>
      <w:r w:rsidR="00286C8E" w:rsidRPr="00823AE2">
        <w:rPr>
          <w:rFonts w:cstheme="minorHAnsi"/>
          <w:color w:val="000000" w:themeColor="text1"/>
        </w:rPr>
        <w:t xml:space="preserve"> </w:t>
      </w:r>
      <w:r w:rsidR="00EA4F9C">
        <w:rPr>
          <w:rFonts w:cstheme="minorHAnsi"/>
          <w:color w:val="000000" w:themeColor="text1"/>
        </w:rPr>
        <w:t>loss to follow-up</w:t>
      </w:r>
      <w:r w:rsidR="00286C8E" w:rsidRPr="00823AE2">
        <w:rPr>
          <w:rFonts w:cstheme="minorHAnsi"/>
          <w:color w:val="000000" w:themeColor="text1"/>
        </w:rPr>
        <w:t xml:space="preserve"> (n=1) </w:t>
      </w:r>
      <w:r w:rsidR="00286C8E" w:rsidRPr="00823AE2">
        <w:rPr>
          <w:rFonts w:cstheme="minorHAnsi"/>
          <w:color w:val="000000" w:themeColor="text1"/>
          <w:highlight w:val="lightGray"/>
        </w:rPr>
        <w:t>(</w:t>
      </w:r>
      <w:r w:rsidR="003B4F5C" w:rsidRPr="00823AE2">
        <w:rPr>
          <w:rFonts w:cstheme="minorHAnsi"/>
          <w:color w:val="000000" w:themeColor="text1"/>
          <w:highlight w:val="lightGray"/>
        </w:rPr>
        <w:t xml:space="preserve">Supplementary </w:t>
      </w:r>
      <w:r w:rsidR="00286C8E" w:rsidRPr="00823AE2">
        <w:rPr>
          <w:rFonts w:cstheme="minorHAnsi"/>
          <w:color w:val="000000" w:themeColor="text1"/>
          <w:highlight w:val="lightGray"/>
        </w:rPr>
        <w:t xml:space="preserve">Table </w:t>
      </w:r>
      <w:r w:rsidR="003B4F5C" w:rsidRPr="00823AE2">
        <w:rPr>
          <w:rFonts w:cstheme="minorHAnsi"/>
          <w:color w:val="000000" w:themeColor="text1"/>
          <w:highlight w:val="lightGray"/>
        </w:rPr>
        <w:t>2</w:t>
      </w:r>
      <w:r w:rsidR="00286C8E" w:rsidRPr="00823AE2">
        <w:rPr>
          <w:rFonts w:cstheme="minorHAnsi"/>
          <w:color w:val="000000" w:themeColor="text1"/>
          <w:highlight w:val="lightGray"/>
        </w:rPr>
        <w:t>)</w:t>
      </w:r>
      <w:r w:rsidR="00A64E9B">
        <w:rPr>
          <w:rFonts w:cstheme="minorHAnsi"/>
          <w:color w:val="000000" w:themeColor="text1"/>
        </w:rPr>
        <w:t xml:space="preserve">.  </w:t>
      </w:r>
      <w:r w:rsidR="00A64E9B" w:rsidRPr="00A64E9B">
        <w:rPr>
          <w:rFonts w:cstheme="minorHAnsi"/>
          <w:color w:val="000000" w:themeColor="text1"/>
          <w:highlight w:val="yellow"/>
        </w:rPr>
        <w:t>A further 12/81</w:t>
      </w:r>
      <w:r w:rsidR="00D74024" w:rsidRPr="00A64E9B">
        <w:rPr>
          <w:rFonts w:cstheme="minorHAnsi"/>
          <w:color w:val="000000" w:themeColor="text1"/>
          <w:highlight w:val="yellow"/>
        </w:rPr>
        <w:t xml:space="preserve"> </w:t>
      </w:r>
      <w:r w:rsidR="00A64E9B" w:rsidRPr="00A64E9B">
        <w:rPr>
          <w:rFonts w:cstheme="minorHAnsi"/>
          <w:color w:val="000000" w:themeColor="text1"/>
          <w:highlight w:val="yellow"/>
        </w:rPr>
        <w:t xml:space="preserve">(14.8%) </w:t>
      </w:r>
      <w:r w:rsidR="00A64E9B" w:rsidRPr="00A64E9B">
        <w:rPr>
          <w:rFonts w:cstheme="minorHAnsi"/>
          <w:color w:val="000000" w:themeColor="text1"/>
          <w:highlight w:val="yellow"/>
        </w:rPr>
        <w:t xml:space="preserve">patients </w:t>
      </w:r>
      <w:r w:rsidR="00A64E9B" w:rsidRPr="00A64E9B">
        <w:rPr>
          <w:rFonts w:cstheme="minorHAnsi"/>
          <w:color w:val="000000" w:themeColor="text1"/>
          <w:highlight w:val="yellow"/>
        </w:rPr>
        <w:t>did not meet the definition of virological failure</w:t>
      </w:r>
      <w:r w:rsidR="00A64E9B" w:rsidRPr="00A64E9B">
        <w:rPr>
          <w:rFonts w:cstheme="minorHAnsi"/>
          <w:color w:val="000000" w:themeColor="text1"/>
          <w:highlight w:val="yellow"/>
        </w:rPr>
        <w:t xml:space="preserve"> but experienced</w:t>
      </w:r>
      <w:r w:rsidR="006E3323" w:rsidRPr="00A64E9B">
        <w:rPr>
          <w:rFonts w:cstheme="minorHAnsi"/>
          <w:color w:val="000000" w:themeColor="text1"/>
          <w:highlight w:val="yellow"/>
        </w:rPr>
        <w:t xml:space="preserve"> </w:t>
      </w:r>
      <m:oMath>
        <m:r>
          <w:rPr>
            <w:rFonts w:ascii="Cambria Math" w:hAnsi="Cambria Math" w:cstheme="minorHAnsi"/>
            <w:color w:val="000000" w:themeColor="text1"/>
            <w:highlight w:val="yellow"/>
          </w:rPr>
          <m:t>≥</m:t>
        </m:r>
      </m:oMath>
      <w:r w:rsidR="00D10886" w:rsidRPr="00A64E9B">
        <w:rPr>
          <w:rFonts w:cstheme="minorHAnsi"/>
          <w:color w:val="000000" w:themeColor="text1"/>
          <w:highlight w:val="yellow"/>
        </w:rPr>
        <w:t xml:space="preserve">1 </w:t>
      </w:r>
      <w:r w:rsidR="00AE333F" w:rsidRPr="00A64E9B">
        <w:rPr>
          <w:rFonts w:cstheme="minorHAnsi"/>
          <w:color w:val="000000" w:themeColor="text1"/>
          <w:highlight w:val="yellow"/>
        </w:rPr>
        <w:t xml:space="preserve">viraemic </w:t>
      </w:r>
      <w:r w:rsidR="006E3323" w:rsidRPr="00A64E9B">
        <w:rPr>
          <w:rFonts w:cstheme="minorHAnsi"/>
          <w:color w:val="000000" w:themeColor="text1"/>
          <w:highlight w:val="yellow"/>
        </w:rPr>
        <w:t>episode</w:t>
      </w:r>
      <w:r w:rsidR="006E3323" w:rsidRPr="00823AE2">
        <w:rPr>
          <w:rFonts w:cstheme="minorHAnsi"/>
          <w:color w:val="000000" w:themeColor="text1"/>
        </w:rPr>
        <w:t xml:space="preserve"> </w:t>
      </w:r>
      <w:r w:rsidR="00336BF6" w:rsidRPr="00823AE2">
        <w:rPr>
          <w:rFonts w:cstheme="minorHAnsi"/>
          <w:color w:val="000000" w:themeColor="text1"/>
        </w:rPr>
        <w:t>(</w:t>
      </w:r>
      <w:r w:rsidR="00A55930" w:rsidRPr="00823AE2">
        <w:rPr>
          <w:rFonts w:cstheme="minorHAnsi"/>
          <w:color w:val="000000" w:themeColor="text1"/>
        </w:rPr>
        <w:t>median 2.2</w:t>
      </w:r>
      <w:r w:rsidR="00A55930" w:rsidRPr="00823AE2">
        <w:rPr>
          <w:rFonts w:cstheme="minorHAnsi"/>
          <w:color w:val="000000" w:themeColor="text1"/>
          <w:vertAlign w:val="subscript"/>
        </w:rPr>
        <w:t xml:space="preserve"> </w:t>
      </w:r>
      <w:r w:rsidR="00A55930" w:rsidRPr="00823AE2">
        <w:rPr>
          <w:rFonts w:cstheme="minorHAnsi"/>
          <w:color w:val="000000" w:themeColor="text1"/>
        </w:rPr>
        <w:t>log</w:t>
      </w:r>
      <w:r w:rsidR="00A55930" w:rsidRPr="00823AE2">
        <w:rPr>
          <w:rFonts w:cstheme="minorHAnsi"/>
          <w:color w:val="000000" w:themeColor="text1"/>
          <w:vertAlign w:val="subscript"/>
        </w:rPr>
        <w:t xml:space="preserve">10 </w:t>
      </w:r>
      <w:r w:rsidR="00A55930" w:rsidRPr="00823AE2">
        <w:rPr>
          <w:rFonts w:cstheme="minorHAnsi"/>
          <w:color w:val="000000" w:themeColor="text1"/>
        </w:rPr>
        <w:t>copies/</w:t>
      </w:r>
      <w:r w:rsidR="00E60DCC">
        <w:rPr>
          <w:rFonts w:cstheme="minorHAnsi"/>
          <w:color w:val="000000" w:themeColor="text1"/>
        </w:rPr>
        <w:t>mL</w:t>
      </w:r>
      <w:r>
        <w:rPr>
          <w:rFonts w:cstheme="minorHAnsi"/>
          <w:color w:val="000000" w:themeColor="text1"/>
        </w:rPr>
        <w:t xml:space="preserve">; </w:t>
      </w:r>
      <w:r w:rsidR="00A55930" w:rsidRPr="00823AE2">
        <w:rPr>
          <w:rFonts w:cstheme="minorHAnsi"/>
          <w:color w:val="000000" w:themeColor="text1"/>
        </w:rPr>
        <w:t>range 1.9-2.9)</w:t>
      </w:r>
      <w:r w:rsidR="00B420B6" w:rsidRPr="00823AE2">
        <w:rPr>
          <w:rFonts w:cstheme="minorHAnsi"/>
          <w:color w:val="000000" w:themeColor="text1"/>
        </w:rPr>
        <w:t xml:space="preserve">, with </w:t>
      </w:r>
      <w:r w:rsidR="00336BF6" w:rsidRPr="00823AE2">
        <w:rPr>
          <w:rFonts w:cstheme="minorHAnsi"/>
          <w:color w:val="000000" w:themeColor="text1"/>
        </w:rPr>
        <w:t xml:space="preserve">9/12 </w:t>
      </w:r>
      <w:r w:rsidR="00B420B6" w:rsidRPr="00823AE2">
        <w:rPr>
          <w:rFonts w:cstheme="minorHAnsi"/>
          <w:color w:val="000000" w:themeColor="text1"/>
        </w:rPr>
        <w:t xml:space="preserve">experiencing </w:t>
      </w:r>
      <w:r w:rsidR="00336BF6" w:rsidRPr="00823AE2">
        <w:rPr>
          <w:rFonts w:cstheme="minorHAnsi"/>
          <w:color w:val="000000" w:themeColor="text1"/>
        </w:rPr>
        <w:t xml:space="preserve">a single </w:t>
      </w:r>
      <w:r w:rsidR="002D69D1">
        <w:rPr>
          <w:rFonts w:cstheme="minorHAnsi"/>
          <w:color w:val="000000" w:themeColor="text1"/>
        </w:rPr>
        <w:t>episode</w:t>
      </w:r>
      <w:r w:rsidR="00A55930" w:rsidRPr="00823AE2">
        <w:rPr>
          <w:rFonts w:cstheme="minorHAnsi"/>
          <w:color w:val="000000" w:themeColor="text1"/>
        </w:rPr>
        <w:t>.</w:t>
      </w:r>
      <w:r w:rsidR="006E3323" w:rsidRPr="00823AE2">
        <w:rPr>
          <w:rFonts w:cstheme="minorHAnsi"/>
          <w:color w:val="000000" w:themeColor="text1"/>
        </w:rPr>
        <w:t xml:space="preserve"> </w:t>
      </w:r>
      <w:r w:rsidR="00AA6008">
        <w:rPr>
          <w:rFonts w:cstheme="minorHAnsi"/>
          <w:color w:val="000000" w:themeColor="text1"/>
        </w:rPr>
        <w:t>B</w:t>
      </w:r>
      <w:r w:rsidR="00AA6008" w:rsidRPr="00823AE2">
        <w:rPr>
          <w:rFonts w:cstheme="minorHAnsi"/>
          <w:color w:val="000000" w:themeColor="text1"/>
        </w:rPr>
        <w:t>etween week 12 and week 48 (median week 36</w:t>
      </w:r>
      <w:r w:rsidR="00AA6008">
        <w:rPr>
          <w:rFonts w:cstheme="minorHAnsi"/>
          <w:color w:val="000000" w:themeColor="text1"/>
        </w:rPr>
        <w:t xml:space="preserve">), </w:t>
      </w:r>
      <w:r w:rsidR="001C62BD" w:rsidRPr="00276AD2">
        <w:rPr>
          <w:rFonts w:cstheme="minorHAnsi"/>
          <w:color w:val="000000" w:themeColor="text1"/>
          <w:highlight w:val="yellow"/>
        </w:rPr>
        <w:t>21/</w:t>
      </w:r>
      <w:r w:rsidR="00B243B3" w:rsidRPr="00276AD2">
        <w:rPr>
          <w:rFonts w:cstheme="minorHAnsi"/>
          <w:color w:val="000000" w:themeColor="text1"/>
          <w:highlight w:val="yellow"/>
        </w:rPr>
        <w:t>28</w:t>
      </w:r>
      <w:r w:rsidR="00B243B3" w:rsidRPr="00823AE2">
        <w:rPr>
          <w:rFonts w:cstheme="minorHAnsi"/>
          <w:color w:val="000000" w:themeColor="text1"/>
        </w:rPr>
        <w:t xml:space="preserve"> </w:t>
      </w:r>
      <w:r w:rsidR="00AE333F" w:rsidRPr="00823AE2">
        <w:rPr>
          <w:rFonts w:cstheme="minorHAnsi"/>
          <w:color w:val="000000" w:themeColor="text1"/>
        </w:rPr>
        <w:t xml:space="preserve">viraemic </w:t>
      </w:r>
      <w:r w:rsidR="00BB6549" w:rsidRPr="00823AE2">
        <w:rPr>
          <w:rFonts w:cstheme="minorHAnsi"/>
          <w:color w:val="000000" w:themeColor="text1"/>
        </w:rPr>
        <w:t xml:space="preserve">patients </w:t>
      </w:r>
      <w:r w:rsidR="0052337D">
        <w:rPr>
          <w:rFonts w:cstheme="minorHAnsi"/>
          <w:color w:val="000000" w:themeColor="text1"/>
        </w:rPr>
        <w:t>(</w:t>
      </w:r>
      <w:r w:rsidR="00AA6008" w:rsidRPr="00823AE2">
        <w:rPr>
          <w:rFonts w:cstheme="minorHAnsi"/>
          <w:color w:val="000000" w:themeColor="text1"/>
        </w:rPr>
        <w:t>median viral load 3.0 log</w:t>
      </w:r>
      <w:r w:rsidR="00AA6008" w:rsidRPr="00823AE2">
        <w:rPr>
          <w:rFonts w:cstheme="minorHAnsi"/>
          <w:color w:val="000000" w:themeColor="text1"/>
          <w:vertAlign w:val="subscript"/>
        </w:rPr>
        <w:t xml:space="preserve">10 </w:t>
      </w:r>
      <w:r w:rsidR="00AA6008" w:rsidRPr="00823AE2">
        <w:rPr>
          <w:rFonts w:cstheme="minorHAnsi"/>
          <w:color w:val="000000" w:themeColor="text1"/>
        </w:rPr>
        <w:t>copies/</w:t>
      </w:r>
      <w:r w:rsidR="00E60DCC">
        <w:rPr>
          <w:rFonts w:cstheme="minorHAnsi"/>
          <w:color w:val="000000" w:themeColor="text1"/>
        </w:rPr>
        <w:t>mL</w:t>
      </w:r>
      <w:r w:rsidR="0052337D">
        <w:rPr>
          <w:rFonts w:cstheme="minorHAnsi"/>
          <w:color w:val="000000" w:themeColor="text1"/>
        </w:rPr>
        <w:t xml:space="preserve">; </w:t>
      </w:r>
      <w:r w:rsidR="00AA6008" w:rsidRPr="00823AE2">
        <w:rPr>
          <w:rFonts w:cstheme="minorHAnsi"/>
          <w:color w:val="000000" w:themeColor="text1"/>
        </w:rPr>
        <w:t>range 2.0-4.1</w:t>
      </w:r>
      <w:r w:rsidR="00AA6008">
        <w:rPr>
          <w:rFonts w:cstheme="minorHAnsi"/>
          <w:color w:val="000000" w:themeColor="text1"/>
        </w:rPr>
        <w:t xml:space="preserve">) </w:t>
      </w:r>
      <w:r w:rsidR="00BB6549" w:rsidRPr="00823AE2">
        <w:rPr>
          <w:rFonts w:cstheme="minorHAnsi"/>
          <w:color w:val="000000" w:themeColor="text1"/>
        </w:rPr>
        <w:t xml:space="preserve">underwent resistance testing. </w:t>
      </w:r>
      <w:r w:rsidR="00885C54" w:rsidRPr="00823AE2">
        <w:rPr>
          <w:rFonts w:cstheme="minorHAnsi"/>
          <w:color w:val="000000" w:themeColor="text1"/>
        </w:rPr>
        <w:t xml:space="preserve">Largely reflecting </w:t>
      </w:r>
      <w:r w:rsidR="00C555CF">
        <w:rPr>
          <w:rFonts w:cstheme="minorHAnsi"/>
          <w:color w:val="000000" w:themeColor="text1"/>
        </w:rPr>
        <w:t xml:space="preserve">the </w:t>
      </w:r>
      <w:r w:rsidR="00890E6D">
        <w:rPr>
          <w:rFonts w:cstheme="minorHAnsi"/>
          <w:color w:val="000000" w:themeColor="text1"/>
        </w:rPr>
        <w:t xml:space="preserve">profiles of </w:t>
      </w:r>
      <w:r w:rsidR="0052337D">
        <w:rPr>
          <w:rFonts w:cstheme="minorHAnsi"/>
          <w:color w:val="000000" w:themeColor="text1"/>
        </w:rPr>
        <w:t>HIV-1 DNA</w:t>
      </w:r>
      <w:r w:rsidR="00885C54" w:rsidRPr="00823AE2">
        <w:rPr>
          <w:rFonts w:cstheme="minorHAnsi"/>
          <w:color w:val="000000" w:themeColor="text1"/>
        </w:rPr>
        <w:t xml:space="preserve">, </w:t>
      </w:r>
      <w:r w:rsidR="00AE333F" w:rsidRPr="00823AE2">
        <w:rPr>
          <w:rFonts w:cstheme="minorHAnsi"/>
          <w:color w:val="000000" w:themeColor="text1"/>
        </w:rPr>
        <w:t xml:space="preserve">NRTI and NNRTI RAMs occurred in </w:t>
      </w:r>
      <w:r w:rsidR="001C1EE9">
        <w:rPr>
          <w:rFonts w:cstheme="minorHAnsi"/>
          <w:color w:val="000000" w:themeColor="text1"/>
        </w:rPr>
        <w:t>7</w:t>
      </w:r>
      <w:r w:rsidR="00BB6549" w:rsidRPr="00823AE2">
        <w:rPr>
          <w:rFonts w:cstheme="minorHAnsi"/>
          <w:color w:val="000000" w:themeColor="text1"/>
        </w:rPr>
        <w:t>/21 (</w:t>
      </w:r>
      <w:r w:rsidR="001C1EE9">
        <w:rPr>
          <w:rFonts w:cstheme="minorHAnsi"/>
          <w:color w:val="000000" w:themeColor="text1"/>
        </w:rPr>
        <w:t>33</w:t>
      </w:r>
      <w:r w:rsidR="00BB6549" w:rsidRPr="00823AE2">
        <w:rPr>
          <w:rFonts w:cstheme="minorHAnsi"/>
          <w:color w:val="000000" w:themeColor="text1"/>
        </w:rPr>
        <w:t>.</w:t>
      </w:r>
      <w:r w:rsidR="001C1EE9">
        <w:rPr>
          <w:rFonts w:cstheme="minorHAnsi"/>
          <w:color w:val="000000" w:themeColor="text1"/>
        </w:rPr>
        <w:t>3</w:t>
      </w:r>
      <w:r w:rsidR="00BB6549" w:rsidRPr="00823AE2">
        <w:rPr>
          <w:rFonts w:cstheme="minorHAnsi"/>
          <w:color w:val="000000" w:themeColor="text1"/>
        </w:rPr>
        <w:t xml:space="preserve">%) </w:t>
      </w:r>
      <w:r w:rsidR="00AE333F" w:rsidRPr="00823AE2">
        <w:rPr>
          <w:rFonts w:cstheme="minorHAnsi"/>
          <w:color w:val="000000" w:themeColor="text1"/>
        </w:rPr>
        <w:t xml:space="preserve">and </w:t>
      </w:r>
      <w:r w:rsidR="001C1EE9">
        <w:rPr>
          <w:rFonts w:cstheme="minorHAnsi"/>
          <w:color w:val="000000" w:themeColor="text1"/>
        </w:rPr>
        <w:t>8</w:t>
      </w:r>
      <w:r w:rsidR="00BB6549" w:rsidRPr="00823AE2">
        <w:rPr>
          <w:rFonts w:cstheme="minorHAnsi"/>
          <w:color w:val="000000" w:themeColor="text1"/>
        </w:rPr>
        <w:t>/21 (</w:t>
      </w:r>
      <w:r w:rsidR="001C1EE9">
        <w:rPr>
          <w:rFonts w:cstheme="minorHAnsi"/>
          <w:color w:val="000000" w:themeColor="text1"/>
        </w:rPr>
        <w:t>38</w:t>
      </w:r>
      <w:r w:rsidR="00BB6549" w:rsidRPr="00823AE2">
        <w:rPr>
          <w:rFonts w:cstheme="minorHAnsi"/>
          <w:color w:val="000000" w:themeColor="text1"/>
        </w:rPr>
        <w:t>.</w:t>
      </w:r>
      <w:r w:rsidR="001C1EE9">
        <w:rPr>
          <w:rFonts w:cstheme="minorHAnsi"/>
          <w:color w:val="000000" w:themeColor="text1"/>
        </w:rPr>
        <w:t>1</w:t>
      </w:r>
      <w:r w:rsidR="00BB6549" w:rsidRPr="00823AE2">
        <w:rPr>
          <w:rFonts w:cstheme="minorHAnsi"/>
          <w:color w:val="000000" w:themeColor="text1"/>
        </w:rPr>
        <w:t xml:space="preserve">%) </w:t>
      </w:r>
      <w:r w:rsidR="00AE333F" w:rsidRPr="00823AE2">
        <w:rPr>
          <w:rFonts w:cstheme="minorHAnsi"/>
          <w:color w:val="000000" w:themeColor="text1"/>
        </w:rPr>
        <w:t>samples, respectively</w:t>
      </w:r>
      <w:r w:rsidR="002D69D1">
        <w:rPr>
          <w:rFonts w:cstheme="minorHAnsi"/>
          <w:color w:val="000000" w:themeColor="text1"/>
        </w:rPr>
        <w:t xml:space="preserve">; </w:t>
      </w:r>
      <w:r w:rsidR="001C1EE9">
        <w:rPr>
          <w:rFonts w:cstheme="minorHAnsi"/>
          <w:color w:val="000000" w:themeColor="text1"/>
        </w:rPr>
        <w:t>6</w:t>
      </w:r>
      <w:r w:rsidR="00BB6549" w:rsidRPr="00823AE2">
        <w:rPr>
          <w:rFonts w:cstheme="minorHAnsi"/>
          <w:color w:val="000000" w:themeColor="text1"/>
        </w:rPr>
        <w:t>/21 (</w:t>
      </w:r>
      <w:r w:rsidR="001C1EE9">
        <w:rPr>
          <w:rFonts w:cstheme="minorHAnsi"/>
          <w:color w:val="000000" w:themeColor="text1"/>
        </w:rPr>
        <w:t>28.6</w:t>
      </w:r>
      <w:r w:rsidR="00BB6549" w:rsidRPr="00823AE2">
        <w:rPr>
          <w:rFonts w:cstheme="minorHAnsi"/>
          <w:color w:val="000000" w:themeColor="text1"/>
        </w:rPr>
        <w:t xml:space="preserve">%) samples </w:t>
      </w:r>
      <w:r w:rsidR="002D69D1">
        <w:rPr>
          <w:rFonts w:cstheme="minorHAnsi"/>
          <w:color w:val="000000" w:themeColor="text1"/>
        </w:rPr>
        <w:t>had</w:t>
      </w:r>
      <w:r w:rsidR="00BB6549" w:rsidRPr="00823AE2">
        <w:rPr>
          <w:rFonts w:cstheme="minorHAnsi"/>
          <w:color w:val="000000" w:themeColor="text1"/>
        </w:rPr>
        <w:t xml:space="preserve"> </w:t>
      </w:r>
      <w:r w:rsidR="00AE333F" w:rsidRPr="00823AE2">
        <w:rPr>
          <w:rFonts w:cstheme="minorHAnsi"/>
          <w:color w:val="000000" w:themeColor="text1"/>
        </w:rPr>
        <w:t xml:space="preserve">dual-class </w:t>
      </w:r>
      <w:r w:rsidR="00BB6549" w:rsidRPr="00823AE2">
        <w:rPr>
          <w:rFonts w:cstheme="minorHAnsi"/>
          <w:color w:val="000000" w:themeColor="text1"/>
        </w:rPr>
        <w:t>mutations</w:t>
      </w:r>
      <w:r w:rsidR="001F1A9C" w:rsidRPr="00823AE2">
        <w:rPr>
          <w:rFonts w:cstheme="minorHAnsi"/>
          <w:color w:val="000000" w:themeColor="text1"/>
        </w:rPr>
        <w:t>. N</w:t>
      </w:r>
      <w:r w:rsidR="00BB6549" w:rsidRPr="00823AE2">
        <w:rPr>
          <w:rFonts w:cstheme="minorHAnsi"/>
          <w:color w:val="000000" w:themeColor="text1"/>
        </w:rPr>
        <w:t xml:space="preserve">o sample had darunavir RAMs. </w:t>
      </w:r>
    </w:p>
    <w:p w14:paraId="64FF9CE1" w14:textId="77777777" w:rsidR="0076272E" w:rsidRPr="00823AE2" w:rsidRDefault="0076272E" w:rsidP="00991E7C">
      <w:pPr>
        <w:tabs>
          <w:tab w:val="left" w:pos="567"/>
          <w:tab w:val="left" w:pos="5954"/>
        </w:tabs>
        <w:spacing w:line="360" w:lineRule="auto"/>
        <w:jc w:val="both"/>
        <w:rPr>
          <w:rFonts w:cstheme="minorHAnsi"/>
          <w:color w:val="000000" w:themeColor="text1"/>
        </w:rPr>
      </w:pPr>
    </w:p>
    <w:p w14:paraId="48710AC5" w14:textId="65D0B569" w:rsidR="006E3323" w:rsidRPr="00823AE2" w:rsidRDefault="006E3323" w:rsidP="00991E7C">
      <w:pPr>
        <w:tabs>
          <w:tab w:val="left" w:pos="567"/>
        </w:tabs>
        <w:spacing w:line="360" w:lineRule="auto"/>
        <w:jc w:val="both"/>
        <w:outlineLvl w:val="0"/>
        <w:rPr>
          <w:rFonts w:cstheme="minorHAnsi"/>
          <w:b/>
          <w:i/>
          <w:color w:val="000000" w:themeColor="text1"/>
        </w:rPr>
      </w:pPr>
      <w:r w:rsidRPr="00823AE2">
        <w:rPr>
          <w:rFonts w:cstheme="minorHAnsi"/>
          <w:b/>
          <w:i/>
          <w:color w:val="000000" w:themeColor="text1"/>
        </w:rPr>
        <w:t xml:space="preserve">Adherence </w:t>
      </w:r>
    </w:p>
    <w:p w14:paraId="1611BD2C" w14:textId="2C2DD7DC" w:rsidR="00254E1B" w:rsidRPr="00823AE2" w:rsidRDefault="00A03744" w:rsidP="00101BF3">
      <w:pPr>
        <w:tabs>
          <w:tab w:val="left" w:pos="567"/>
        </w:tabs>
        <w:spacing w:line="360" w:lineRule="auto"/>
        <w:jc w:val="both"/>
        <w:rPr>
          <w:rFonts w:cstheme="minorHAnsi"/>
          <w:color w:val="000000" w:themeColor="text1"/>
        </w:rPr>
      </w:pPr>
      <w:r w:rsidRPr="00823AE2">
        <w:rPr>
          <w:rFonts w:cstheme="minorHAnsi"/>
          <w:color w:val="000000" w:themeColor="text1"/>
        </w:rPr>
        <w:t>M</w:t>
      </w:r>
      <w:r w:rsidR="006E3323" w:rsidRPr="00823AE2">
        <w:rPr>
          <w:rFonts w:cstheme="minorHAnsi"/>
          <w:color w:val="000000" w:themeColor="text1"/>
        </w:rPr>
        <w:t xml:space="preserve">ean adherence </w:t>
      </w:r>
      <w:r w:rsidR="00AA6008">
        <w:rPr>
          <w:rFonts w:cstheme="minorHAnsi"/>
          <w:color w:val="000000" w:themeColor="text1"/>
        </w:rPr>
        <w:t xml:space="preserve">was </w:t>
      </w:r>
      <w:r w:rsidR="006E3323" w:rsidRPr="00823AE2">
        <w:rPr>
          <w:rFonts w:cstheme="minorHAnsi"/>
          <w:color w:val="000000" w:themeColor="text1"/>
        </w:rPr>
        <w:t>97.3% (±2.9) by pill count</w:t>
      </w:r>
      <w:r w:rsidR="00042B84" w:rsidRPr="00823AE2">
        <w:rPr>
          <w:rFonts w:cstheme="minorHAnsi"/>
          <w:color w:val="000000" w:themeColor="text1"/>
        </w:rPr>
        <w:t xml:space="preserve"> </w:t>
      </w:r>
      <w:r w:rsidR="007B175A" w:rsidRPr="00823AE2">
        <w:rPr>
          <w:rFonts w:cstheme="minorHAnsi"/>
          <w:color w:val="000000" w:themeColor="text1"/>
        </w:rPr>
        <w:t xml:space="preserve">and 97.3% (±3.5) by VAS overall, </w:t>
      </w:r>
      <w:r w:rsidR="00101BF3" w:rsidRPr="00823AE2">
        <w:rPr>
          <w:rFonts w:cstheme="minorHAnsi"/>
          <w:color w:val="000000" w:themeColor="text1"/>
        </w:rPr>
        <w:t xml:space="preserve">and </w:t>
      </w:r>
      <w:r w:rsidR="007B175A" w:rsidRPr="00823AE2">
        <w:rPr>
          <w:rFonts w:cstheme="minorHAnsi"/>
          <w:color w:val="000000" w:themeColor="text1"/>
        </w:rPr>
        <w:t>97.3% (±2.5) and 94.9% (±5.2) respectively i</w:t>
      </w:r>
      <w:r w:rsidR="0069511A" w:rsidRPr="00823AE2">
        <w:rPr>
          <w:rFonts w:cstheme="minorHAnsi"/>
          <w:color w:val="000000" w:themeColor="text1"/>
        </w:rPr>
        <w:t xml:space="preserve">n </w:t>
      </w:r>
      <w:r w:rsidR="00AA6008">
        <w:rPr>
          <w:rFonts w:cstheme="minorHAnsi"/>
          <w:color w:val="000000" w:themeColor="text1"/>
        </w:rPr>
        <w:t>the</w:t>
      </w:r>
      <w:r w:rsidR="0069511A" w:rsidRPr="00823AE2">
        <w:rPr>
          <w:rFonts w:cstheme="minorHAnsi"/>
          <w:color w:val="000000" w:themeColor="text1"/>
        </w:rPr>
        <w:t xml:space="preserve"> virological failure</w:t>
      </w:r>
      <w:r w:rsidR="00AA6008">
        <w:rPr>
          <w:rFonts w:cstheme="minorHAnsi"/>
          <w:color w:val="000000" w:themeColor="text1"/>
        </w:rPr>
        <w:t xml:space="preserve"> population</w:t>
      </w:r>
      <w:r w:rsidR="00101BF3" w:rsidRPr="00823AE2">
        <w:rPr>
          <w:rFonts w:cstheme="minorHAnsi"/>
          <w:color w:val="000000" w:themeColor="text1"/>
        </w:rPr>
        <w:t xml:space="preserve">. </w:t>
      </w:r>
      <w:r w:rsidR="009F7715" w:rsidRPr="00823AE2">
        <w:rPr>
          <w:rFonts w:cstheme="minorHAnsi"/>
          <w:color w:val="000000" w:themeColor="text1"/>
        </w:rPr>
        <w:t>T</w:t>
      </w:r>
      <w:r w:rsidR="0076272E" w:rsidRPr="00823AE2">
        <w:rPr>
          <w:rFonts w:cstheme="minorHAnsi"/>
          <w:color w:val="000000" w:themeColor="text1"/>
        </w:rPr>
        <w:t>he</w:t>
      </w:r>
      <w:r w:rsidRPr="00823AE2">
        <w:rPr>
          <w:rFonts w:cstheme="minorHAnsi"/>
          <w:color w:val="000000" w:themeColor="text1"/>
        </w:rPr>
        <w:t xml:space="preserve"> two adherence measures </w:t>
      </w:r>
      <w:r w:rsidR="0042589C">
        <w:rPr>
          <w:rFonts w:cstheme="minorHAnsi"/>
          <w:color w:val="000000" w:themeColor="text1"/>
        </w:rPr>
        <w:t>were</w:t>
      </w:r>
      <w:r w:rsidR="009F7715" w:rsidRPr="00823AE2">
        <w:rPr>
          <w:rFonts w:cstheme="minorHAnsi"/>
          <w:color w:val="000000" w:themeColor="text1"/>
        </w:rPr>
        <w:t xml:space="preserve"> weak</w:t>
      </w:r>
      <w:r w:rsidR="0042589C">
        <w:rPr>
          <w:rFonts w:cstheme="minorHAnsi"/>
          <w:color w:val="000000" w:themeColor="text1"/>
        </w:rPr>
        <w:t>ly</w:t>
      </w:r>
      <w:r w:rsidR="009F7715" w:rsidRPr="00823AE2">
        <w:rPr>
          <w:rFonts w:cstheme="minorHAnsi"/>
          <w:color w:val="000000" w:themeColor="text1"/>
        </w:rPr>
        <w:t xml:space="preserve"> correlat</w:t>
      </w:r>
      <w:r w:rsidR="0042589C">
        <w:rPr>
          <w:rFonts w:cstheme="minorHAnsi"/>
          <w:color w:val="000000" w:themeColor="text1"/>
        </w:rPr>
        <w:t>ed</w:t>
      </w:r>
      <w:r w:rsidR="009F7715" w:rsidRPr="00823AE2">
        <w:rPr>
          <w:rFonts w:cstheme="minorHAnsi"/>
          <w:color w:val="000000" w:themeColor="text1"/>
        </w:rPr>
        <w:t xml:space="preserve"> </w:t>
      </w:r>
      <w:r w:rsidRPr="00823AE2">
        <w:rPr>
          <w:rFonts w:cstheme="minorHAnsi"/>
          <w:color w:val="000000" w:themeColor="text1"/>
        </w:rPr>
        <w:t>(Spearman’s r=0.26; p=0.021)</w:t>
      </w:r>
      <w:r w:rsidR="00647D5E" w:rsidRPr="00823AE2">
        <w:rPr>
          <w:rFonts w:cstheme="minorHAnsi"/>
          <w:color w:val="000000" w:themeColor="text1"/>
        </w:rPr>
        <w:t xml:space="preserve"> </w:t>
      </w:r>
      <w:r w:rsidR="00647D5E" w:rsidRPr="00823AE2">
        <w:rPr>
          <w:rFonts w:cstheme="minorHAnsi"/>
          <w:color w:val="000000" w:themeColor="text1"/>
          <w:highlight w:val="lightGray"/>
        </w:rPr>
        <w:t>(Supplementary Figure 1)</w:t>
      </w:r>
      <w:r w:rsidR="007B175A" w:rsidRPr="00823AE2">
        <w:rPr>
          <w:rFonts w:cstheme="minorHAnsi"/>
          <w:color w:val="000000" w:themeColor="text1"/>
        </w:rPr>
        <w:t xml:space="preserve">. </w:t>
      </w:r>
      <w:r w:rsidR="0042589C">
        <w:rPr>
          <w:rFonts w:cstheme="minorHAnsi"/>
          <w:color w:val="000000" w:themeColor="text1"/>
        </w:rPr>
        <w:t xml:space="preserve">Among </w:t>
      </w:r>
      <w:r w:rsidR="00647D5E" w:rsidRPr="00823AE2">
        <w:rPr>
          <w:rFonts w:cstheme="minorHAnsi"/>
          <w:color w:val="000000" w:themeColor="text1"/>
        </w:rPr>
        <w:t xml:space="preserve">viraemic </w:t>
      </w:r>
      <w:r w:rsidR="00634C6F" w:rsidRPr="00823AE2">
        <w:rPr>
          <w:rFonts w:cstheme="minorHAnsi"/>
          <w:color w:val="000000" w:themeColor="text1"/>
        </w:rPr>
        <w:t>patients</w:t>
      </w:r>
      <w:r w:rsidR="0042589C">
        <w:rPr>
          <w:rFonts w:cstheme="minorHAnsi"/>
          <w:color w:val="000000" w:themeColor="text1"/>
        </w:rPr>
        <w:t>, m</w:t>
      </w:r>
      <w:r w:rsidR="00634C6F" w:rsidRPr="00823AE2">
        <w:rPr>
          <w:rFonts w:cstheme="minorHAnsi"/>
          <w:color w:val="000000" w:themeColor="text1"/>
        </w:rPr>
        <w:t xml:space="preserve">ean adherence levels in the period preceding </w:t>
      </w:r>
      <w:r w:rsidR="007B175A" w:rsidRPr="00823AE2">
        <w:rPr>
          <w:rFonts w:cstheme="minorHAnsi"/>
          <w:color w:val="000000" w:themeColor="text1"/>
        </w:rPr>
        <w:t>versus</w:t>
      </w:r>
      <w:r w:rsidR="00634C6F" w:rsidRPr="00823AE2">
        <w:rPr>
          <w:rFonts w:cstheme="minorHAnsi"/>
          <w:color w:val="000000" w:themeColor="text1"/>
        </w:rPr>
        <w:t xml:space="preserve"> </w:t>
      </w:r>
      <w:r w:rsidR="001033A6" w:rsidRPr="00823AE2">
        <w:rPr>
          <w:rFonts w:cstheme="minorHAnsi"/>
          <w:color w:val="000000" w:themeColor="text1"/>
        </w:rPr>
        <w:t xml:space="preserve">that </w:t>
      </w:r>
      <w:r w:rsidR="00634C6F" w:rsidRPr="00823AE2">
        <w:rPr>
          <w:rFonts w:cstheme="minorHAnsi"/>
          <w:color w:val="000000" w:themeColor="text1"/>
        </w:rPr>
        <w:t xml:space="preserve">following </w:t>
      </w:r>
      <w:r w:rsidR="0042589C">
        <w:rPr>
          <w:rFonts w:cstheme="minorHAnsi"/>
          <w:color w:val="000000" w:themeColor="text1"/>
        </w:rPr>
        <w:t xml:space="preserve">adherence </w:t>
      </w:r>
      <w:r w:rsidR="007B175A" w:rsidRPr="00823AE2">
        <w:rPr>
          <w:rFonts w:cstheme="minorHAnsi"/>
          <w:color w:val="000000" w:themeColor="text1"/>
        </w:rPr>
        <w:t>counselling were 97.6% v</w:t>
      </w:r>
      <w:r w:rsidR="00A64E9B">
        <w:rPr>
          <w:rFonts w:cstheme="minorHAnsi"/>
          <w:color w:val="000000" w:themeColor="text1"/>
        </w:rPr>
        <w:t>ersus</w:t>
      </w:r>
      <w:r w:rsidR="007B175A" w:rsidRPr="00823AE2">
        <w:rPr>
          <w:rFonts w:cstheme="minorHAnsi"/>
          <w:color w:val="000000" w:themeColor="text1"/>
        </w:rPr>
        <w:t xml:space="preserve"> 97.4% (p=0.677) by pill count and 96.5% </w:t>
      </w:r>
      <w:r w:rsidR="00A64E9B">
        <w:rPr>
          <w:rFonts w:cstheme="minorHAnsi"/>
          <w:color w:val="000000" w:themeColor="text1"/>
        </w:rPr>
        <w:t>versus</w:t>
      </w:r>
      <w:r w:rsidR="007B175A" w:rsidRPr="00823AE2">
        <w:rPr>
          <w:rFonts w:cstheme="minorHAnsi"/>
          <w:color w:val="000000" w:themeColor="text1"/>
        </w:rPr>
        <w:t xml:space="preserve"> 95.7% (p=0.264) </w:t>
      </w:r>
      <w:r w:rsidR="00634C6F" w:rsidRPr="00823AE2">
        <w:rPr>
          <w:rFonts w:cstheme="minorHAnsi"/>
          <w:color w:val="000000" w:themeColor="text1"/>
        </w:rPr>
        <w:t>by VAS</w:t>
      </w:r>
      <w:r w:rsidR="007B175A" w:rsidRPr="00823AE2">
        <w:rPr>
          <w:rFonts w:cstheme="minorHAnsi"/>
          <w:color w:val="000000" w:themeColor="text1"/>
        </w:rPr>
        <w:t>.</w:t>
      </w:r>
      <w:r w:rsidR="00634C6F" w:rsidRPr="00823AE2">
        <w:rPr>
          <w:rFonts w:cstheme="minorHAnsi"/>
          <w:color w:val="000000" w:themeColor="text1"/>
        </w:rPr>
        <w:t xml:space="preserve"> </w:t>
      </w:r>
    </w:p>
    <w:p w14:paraId="31E5A9D6" w14:textId="77777777" w:rsidR="00254E1B" w:rsidRPr="00823AE2" w:rsidRDefault="00254E1B" w:rsidP="00991E7C">
      <w:pPr>
        <w:tabs>
          <w:tab w:val="left" w:pos="567"/>
          <w:tab w:val="left" w:pos="5954"/>
        </w:tabs>
        <w:spacing w:line="360" w:lineRule="auto"/>
        <w:jc w:val="both"/>
        <w:rPr>
          <w:rFonts w:cstheme="minorHAnsi"/>
        </w:rPr>
      </w:pPr>
    </w:p>
    <w:p w14:paraId="58B68A59" w14:textId="43306028" w:rsidR="006E3323" w:rsidRPr="00823AE2" w:rsidRDefault="006E3323" w:rsidP="00991E7C">
      <w:pPr>
        <w:tabs>
          <w:tab w:val="left" w:pos="567"/>
          <w:tab w:val="left" w:pos="5954"/>
        </w:tabs>
        <w:spacing w:line="360" w:lineRule="auto"/>
        <w:jc w:val="both"/>
        <w:rPr>
          <w:rFonts w:cstheme="minorHAnsi"/>
          <w:b/>
          <w:i/>
          <w:color w:val="000000" w:themeColor="text1"/>
        </w:rPr>
      </w:pPr>
      <w:r w:rsidRPr="00823AE2">
        <w:rPr>
          <w:rFonts w:cstheme="minorHAnsi"/>
          <w:b/>
          <w:i/>
          <w:color w:val="000000" w:themeColor="text1"/>
        </w:rPr>
        <w:t xml:space="preserve">Predictors of virological failure </w:t>
      </w:r>
    </w:p>
    <w:p w14:paraId="6DE6649A" w14:textId="02059D4E" w:rsidR="006E3323" w:rsidRPr="00823AE2" w:rsidRDefault="00AA6008" w:rsidP="00991E7C">
      <w:pPr>
        <w:tabs>
          <w:tab w:val="left" w:pos="567"/>
          <w:tab w:val="left" w:pos="5954"/>
        </w:tabs>
        <w:spacing w:line="360" w:lineRule="auto"/>
        <w:jc w:val="both"/>
        <w:rPr>
          <w:rFonts w:cstheme="minorHAnsi"/>
          <w:color w:val="000000" w:themeColor="text1"/>
        </w:rPr>
      </w:pPr>
      <w:r>
        <w:rPr>
          <w:rFonts w:cstheme="minorHAnsi"/>
          <w:color w:val="000000" w:themeColor="text1"/>
        </w:rPr>
        <w:t>By</w:t>
      </w:r>
      <w:r w:rsidR="006E3323" w:rsidRPr="00823AE2">
        <w:rPr>
          <w:rFonts w:cstheme="minorHAnsi"/>
          <w:color w:val="000000" w:themeColor="text1"/>
        </w:rPr>
        <w:t xml:space="preserve"> univariate analysis, the </w:t>
      </w:r>
      <w:r>
        <w:rPr>
          <w:rFonts w:cstheme="minorHAnsi"/>
          <w:color w:val="000000" w:themeColor="text1"/>
        </w:rPr>
        <w:t>odds</w:t>
      </w:r>
      <w:r w:rsidR="006E3323" w:rsidRPr="00823AE2">
        <w:rPr>
          <w:rFonts w:cstheme="minorHAnsi"/>
          <w:color w:val="000000" w:themeColor="text1"/>
        </w:rPr>
        <w:t xml:space="preserve"> of virological failure </w:t>
      </w:r>
      <w:r>
        <w:rPr>
          <w:rFonts w:cstheme="minorHAnsi"/>
          <w:color w:val="000000" w:themeColor="text1"/>
        </w:rPr>
        <w:t>were</w:t>
      </w:r>
      <w:r w:rsidR="006E3323" w:rsidRPr="00823AE2">
        <w:rPr>
          <w:rFonts w:cstheme="minorHAnsi"/>
          <w:color w:val="000000" w:themeColor="text1"/>
        </w:rPr>
        <w:t xml:space="preserve"> lower in </w:t>
      </w:r>
      <w:r w:rsidR="007B175A" w:rsidRPr="00823AE2">
        <w:rPr>
          <w:rFonts w:cstheme="minorHAnsi"/>
          <w:color w:val="000000" w:themeColor="text1"/>
        </w:rPr>
        <w:t xml:space="preserve">older </w:t>
      </w:r>
      <w:r w:rsidR="006E3323" w:rsidRPr="00823AE2">
        <w:rPr>
          <w:rFonts w:cstheme="minorHAnsi"/>
          <w:color w:val="000000" w:themeColor="text1"/>
        </w:rPr>
        <w:t xml:space="preserve">patients and those </w:t>
      </w:r>
      <w:r w:rsidR="007B175A" w:rsidRPr="00823AE2">
        <w:rPr>
          <w:rFonts w:cstheme="minorHAnsi"/>
          <w:color w:val="000000" w:themeColor="text1"/>
        </w:rPr>
        <w:t xml:space="preserve">with </w:t>
      </w:r>
      <w:r w:rsidR="006E3323" w:rsidRPr="00823AE2">
        <w:rPr>
          <w:rFonts w:cstheme="minorHAnsi"/>
          <w:color w:val="000000" w:themeColor="text1"/>
        </w:rPr>
        <w:t>a lower HIV-1 DNA load, higher adherence</w:t>
      </w:r>
      <w:r w:rsidR="008F7B4D" w:rsidRPr="00823AE2">
        <w:rPr>
          <w:rFonts w:cstheme="minorHAnsi"/>
          <w:color w:val="000000" w:themeColor="text1"/>
        </w:rPr>
        <w:t xml:space="preserve"> by VAS</w:t>
      </w:r>
      <w:r w:rsidR="006E3323" w:rsidRPr="00823AE2">
        <w:rPr>
          <w:rFonts w:cstheme="minorHAnsi"/>
          <w:color w:val="000000" w:themeColor="text1"/>
        </w:rPr>
        <w:t>, and either detect</w:t>
      </w:r>
      <w:r>
        <w:rPr>
          <w:rFonts w:cstheme="minorHAnsi"/>
          <w:color w:val="000000" w:themeColor="text1"/>
        </w:rPr>
        <w:t xml:space="preserve">ed </w:t>
      </w:r>
      <w:r w:rsidR="006E3323" w:rsidRPr="00823AE2">
        <w:rPr>
          <w:rFonts w:cstheme="minorHAnsi"/>
          <w:color w:val="000000" w:themeColor="text1"/>
        </w:rPr>
        <w:t>HIV-1 DNA RAMs or unknown HIV-1 DNA RAM status (due to missing data)</w:t>
      </w:r>
      <w:r w:rsidR="006E3323" w:rsidRPr="00823AE2">
        <w:rPr>
          <w:rFonts w:cstheme="minorHAnsi"/>
        </w:rPr>
        <w:t xml:space="preserve"> </w:t>
      </w:r>
      <w:r w:rsidR="006E3323" w:rsidRPr="00823AE2">
        <w:rPr>
          <w:rFonts w:cstheme="minorHAnsi"/>
          <w:highlight w:val="lightGray"/>
        </w:rPr>
        <w:t xml:space="preserve">(Table </w:t>
      </w:r>
      <w:r w:rsidR="007B175A" w:rsidRPr="00823AE2">
        <w:rPr>
          <w:rFonts w:cstheme="minorHAnsi"/>
          <w:highlight w:val="lightGray"/>
        </w:rPr>
        <w:t>2</w:t>
      </w:r>
      <w:r w:rsidR="006E3323" w:rsidRPr="00823AE2">
        <w:rPr>
          <w:rFonts w:cstheme="minorHAnsi"/>
          <w:highlight w:val="lightGray"/>
        </w:rPr>
        <w:t>)</w:t>
      </w:r>
      <w:r w:rsidR="006E3323" w:rsidRPr="00823AE2">
        <w:rPr>
          <w:rFonts w:cstheme="minorHAnsi"/>
          <w:color w:val="000000" w:themeColor="text1"/>
        </w:rPr>
        <w:t xml:space="preserve">. After adjustment, higher </w:t>
      </w:r>
      <w:r w:rsidR="008F7B4D" w:rsidRPr="00823AE2">
        <w:rPr>
          <w:rFonts w:cstheme="minorHAnsi"/>
          <w:color w:val="000000" w:themeColor="text1"/>
        </w:rPr>
        <w:t xml:space="preserve">VAS-measured </w:t>
      </w:r>
      <w:r w:rsidR="006E3323" w:rsidRPr="00823AE2">
        <w:rPr>
          <w:rFonts w:cstheme="minorHAnsi"/>
          <w:color w:val="000000" w:themeColor="text1"/>
        </w:rPr>
        <w:t xml:space="preserve">adherence and </w:t>
      </w:r>
      <w:r w:rsidR="008B397B">
        <w:rPr>
          <w:rFonts w:cstheme="minorHAnsi"/>
          <w:color w:val="000000" w:themeColor="text1"/>
        </w:rPr>
        <w:t xml:space="preserve">detection of </w:t>
      </w:r>
      <w:r w:rsidR="006E3323" w:rsidRPr="00823AE2">
        <w:rPr>
          <w:rFonts w:cstheme="minorHAnsi"/>
          <w:color w:val="000000" w:themeColor="text1"/>
        </w:rPr>
        <w:t xml:space="preserve">HIV-1 DNA RAMs remained independently predictive of reduced </w:t>
      </w:r>
      <w:r>
        <w:rPr>
          <w:rFonts w:cstheme="minorHAnsi"/>
          <w:color w:val="000000" w:themeColor="text1"/>
        </w:rPr>
        <w:t xml:space="preserve">odds </w:t>
      </w:r>
      <w:r w:rsidR="006E3323" w:rsidRPr="00823AE2">
        <w:rPr>
          <w:rFonts w:cstheme="minorHAnsi"/>
          <w:color w:val="000000" w:themeColor="text1"/>
        </w:rPr>
        <w:t xml:space="preserve">of virological failure. </w:t>
      </w:r>
    </w:p>
    <w:p w14:paraId="31845F82" w14:textId="77777777" w:rsidR="00045948" w:rsidRPr="00823AE2" w:rsidRDefault="00045948" w:rsidP="00991E7C">
      <w:pPr>
        <w:tabs>
          <w:tab w:val="left" w:pos="567"/>
        </w:tabs>
        <w:spacing w:line="360" w:lineRule="auto"/>
        <w:jc w:val="both"/>
        <w:outlineLvl w:val="0"/>
        <w:rPr>
          <w:b/>
        </w:rPr>
      </w:pPr>
    </w:p>
    <w:p w14:paraId="581AA2B9" w14:textId="36C9C2BB" w:rsidR="006E3323" w:rsidRPr="00823AE2" w:rsidRDefault="00446E5E" w:rsidP="00991E7C">
      <w:pPr>
        <w:tabs>
          <w:tab w:val="left" w:pos="567"/>
        </w:tabs>
        <w:spacing w:line="360" w:lineRule="auto"/>
        <w:jc w:val="both"/>
        <w:outlineLvl w:val="0"/>
        <w:rPr>
          <w:b/>
        </w:rPr>
      </w:pPr>
      <w:r w:rsidRPr="00823AE2">
        <w:rPr>
          <w:b/>
        </w:rPr>
        <w:t>Discussion</w:t>
      </w:r>
    </w:p>
    <w:p w14:paraId="2C11EB63" w14:textId="64717975" w:rsidR="00E92F88" w:rsidRPr="00823AE2" w:rsidRDefault="00060A4D" w:rsidP="00991E7C">
      <w:pPr>
        <w:tabs>
          <w:tab w:val="left" w:pos="567"/>
        </w:tabs>
        <w:spacing w:line="360" w:lineRule="auto"/>
        <w:jc w:val="both"/>
      </w:pPr>
      <w:r>
        <w:lastRenderedPageBreak/>
        <w:t xml:space="preserve">Among </w:t>
      </w:r>
      <w:r w:rsidR="00D9366F" w:rsidRPr="00823AE2">
        <w:t>patients</w:t>
      </w:r>
      <w:r w:rsidR="00E37BF3" w:rsidRPr="00823AE2">
        <w:t xml:space="preserve"> who </w:t>
      </w:r>
      <w:r w:rsidR="006E3323" w:rsidRPr="00823AE2">
        <w:t>switch</w:t>
      </w:r>
      <w:r w:rsidR="003B3864" w:rsidRPr="00823AE2">
        <w:t>ed</w:t>
      </w:r>
      <w:r w:rsidR="006E3323" w:rsidRPr="00823AE2">
        <w:t xml:space="preserve"> </w:t>
      </w:r>
      <w:r w:rsidR="00057D0A">
        <w:t xml:space="preserve">from </w:t>
      </w:r>
      <w:r w:rsidR="006E3323" w:rsidRPr="00823AE2">
        <w:t xml:space="preserve">suppressive </w:t>
      </w:r>
      <w:r w:rsidR="00165A86" w:rsidRPr="00823AE2">
        <w:t xml:space="preserve">second-line </w:t>
      </w:r>
      <w:r w:rsidR="003B3864" w:rsidRPr="00823AE2">
        <w:t xml:space="preserve">ART with </w:t>
      </w:r>
      <w:r w:rsidR="00E3463D" w:rsidRPr="00823AE2">
        <w:t>2</w:t>
      </w:r>
      <w:r w:rsidR="003B3864" w:rsidRPr="00823AE2">
        <w:t>NRTIs</w:t>
      </w:r>
      <w:r w:rsidR="00C555CF">
        <w:t xml:space="preserve"> </w:t>
      </w:r>
      <w:r w:rsidR="00E92F88" w:rsidRPr="00823AE2">
        <w:t>+</w:t>
      </w:r>
      <w:r w:rsidR="00C555CF">
        <w:t xml:space="preserve"> </w:t>
      </w:r>
      <w:r w:rsidR="003B3864" w:rsidRPr="00823AE2">
        <w:t>PI/r</w:t>
      </w:r>
      <w:r w:rsidR="006E3323" w:rsidRPr="00823AE2">
        <w:t xml:space="preserve"> to </w:t>
      </w:r>
      <w:r w:rsidR="00A64E9B">
        <w:t xml:space="preserve">darunavir/ritonavir </w:t>
      </w:r>
      <w:r w:rsidR="006E3323" w:rsidRPr="00823AE2">
        <w:t>monotherapy</w:t>
      </w:r>
      <w:r w:rsidR="00286C8E" w:rsidRPr="00823AE2">
        <w:t>,</w:t>
      </w:r>
      <w:r w:rsidR="00A64E9B">
        <w:t xml:space="preserve"> </w:t>
      </w:r>
      <w:r>
        <w:t xml:space="preserve">19.8% experienced </w:t>
      </w:r>
      <w:r w:rsidR="0040454E" w:rsidRPr="00823AE2">
        <w:t>virological failure over 48 weeks</w:t>
      </w:r>
      <w:r w:rsidR="00D5334B" w:rsidRPr="00823AE2">
        <w:t xml:space="preserve">. </w:t>
      </w:r>
      <w:r w:rsidR="00C77A0C" w:rsidRPr="00823AE2">
        <w:t>D</w:t>
      </w:r>
      <w:r w:rsidR="00194FE7" w:rsidRPr="00823AE2">
        <w:t xml:space="preserve">etection of </w:t>
      </w:r>
      <w:r w:rsidR="00E92F88" w:rsidRPr="00823AE2">
        <w:t xml:space="preserve">HIV-1 DNA </w:t>
      </w:r>
      <w:r w:rsidR="00194FE7" w:rsidRPr="00823AE2">
        <w:t xml:space="preserve">RAMs at study entry and higher </w:t>
      </w:r>
      <w:r w:rsidR="00057D0A">
        <w:t>VAS-measured</w:t>
      </w:r>
      <w:r w:rsidR="003B5DBC" w:rsidRPr="00823AE2">
        <w:t xml:space="preserve"> </w:t>
      </w:r>
      <w:r w:rsidR="00194FE7" w:rsidRPr="00823AE2">
        <w:t xml:space="preserve">adherence during the study </w:t>
      </w:r>
      <w:r w:rsidR="00DC645A">
        <w:t xml:space="preserve">predicted reduced </w:t>
      </w:r>
      <w:r>
        <w:t xml:space="preserve">odds </w:t>
      </w:r>
      <w:r w:rsidR="00194FE7" w:rsidRPr="00823AE2">
        <w:t>of virological failure</w:t>
      </w:r>
      <w:r w:rsidR="00D5334B" w:rsidRPr="00823AE2">
        <w:t xml:space="preserve"> in this population.</w:t>
      </w:r>
      <w:r w:rsidR="0040454E" w:rsidRPr="00823AE2">
        <w:t xml:space="preserve"> </w:t>
      </w:r>
    </w:p>
    <w:p w14:paraId="1B37A9EC" w14:textId="77777777" w:rsidR="00BB6549" w:rsidRPr="00823AE2" w:rsidRDefault="00BB6549" w:rsidP="00991E7C">
      <w:pPr>
        <w:tabs>
          <w:tab w:val="left" w:pos="567"/>
        </w:tabs>
        <w:spacing w:line="360" w:lineRule="auto"/>
        <w:jc w:val="both"/>
      </w:pPr>
    </w:p>
    <w:p w14:paraId="38B27316" w14:textId="10070F35" w:rsidR="00204F9F" w:rsidRPr="00823AE2" w:rsidRDefault="0046135D" w:rsidP="00991E7C">
      <w:pPr>
        <w:tabs>
          <w:tab w:val="left" w:pos="567"/>
        </w:tabs>
        <w:spacing w:line="360" w:lineRule="auto"/>
        <w:jc w:val="both"/>
      </w:pPr>
      <w:r w:rsidRPr="00823AE2">
        <w:t xml:space="preserve">Previous randomised studies from Western Europe investigated </w:t>
      </w:r>
      <w:r w:rsidR="00A64E9B">
        <w:t xml:space="preserve">darunavir/ritonavir </w:t>
      </w:r>
      <w:r w:rsidRPr="00823AE2">
        <w:t xml:space="preserve">monotherapy in patients without a history of treatment failure, and reported </w:t>
      </w:r>
      <w:r w:rsidR="00DC645A">
        <w:t xml:space="preserve">frequent </w:t>
      </w:r>
      <w:r w:rsidRPr="00823AE2">
        <w:t>viraemia</w:t>
      </w:r>
      <w:r w:rsidR="00DC645A">
        <w:t xml:space="preserve"> </w:t>
      </w:r>
      <w:r w:rsidR="00D047DB">
        <w:t>but</w:t>
      </w:r>
      <w:r w:rsidR="00DC645A">
        <w:t xml:space="preserve"> a</w:t>
      </w:r>
      <w:r w:rsidRPr="00823AE2">
        <w:t xml:space="preserve"> </w:t>
      </w:r>
      <w:r w:rsidR="00E3463D" w:rsidRPr="00823AE2">
        <w:t>low risk</w:t>
      </w:r>
      <w:r w:rsidRPr="00823AE2">
        <w:t xml:space="preserve"> of darunavir </w:t>
      </w:r>
      <w:r w:rsidR="00E3463D" w:rsidRPr="00823AE2">
        <w:t>RAMs</w:t>
      </w:r>
      <w:r w:rsidR="00634D37">
        <w:t>.</w:t>
      </w:r>
      <w:r w:rsidR="00D5334B" w:rsidRPr="00823AE2">
        <w:rPr>
          <w:vertAlign w:val="superscript"/>
        </w:rPr>
        <w:t>1</w:t>
      </w:r>
      <w:r w:rsidR="00634D37">
        <w:rPr>
          <w:vertAlign w:val="superscript"/>
        </w:rPr>
        <w:t>4</w:t>
      </w:r>
      <w:r w:rsidRPr="00823AE2">
        <w:t xml:space="preserve"> </w:t>
      </w:r>
      <w:r w:rsidR="00833226" w:rsidRPr="00823AE2">
        <w:t>A</w:t>
      </w:r>
      <w:r w:rsidRPr="00823AE2">
        <w:t xml:space="preserve"> study from Burkina Faso, Cameroon, and Senegal evaluated patients who</w:t>
      </w:r>
      <w:r w:rsidR="00E15B82" w:rsidRPr="00823AE2">
        <w:t xml:space="preserve"> after failure of first-line ART with 2NRTIs</w:t>
      </w:r>
      <w:r w:rsidR="00C555CF">
        <w:t xml:space="preserve"> </w:t>
      </w:r>
      <w:r w:rsidR="00D5334B" w:rsidRPr="00823AE2">
        <w:t>+</w:t>
      </w:r>
      <w:r w:rsidR="00C555CF">
        <w:t xml:space="preserve"> </w:t>
      </w:r>
      <w:r w:rsidR="00E15B82" w:rsidRPr="00823AE2">
        <w:t>NNRTI had</w:t>
      </w:r>
      <w:r w:rsidRPr="00823AE2">
        <w:t xml:space="preserve"> achieved virological suppression on </w:t>
      </w:r>
      <w:r w:rsidR="00E3463D" w:rsidRPr="00823AE2">
        <w:t>2</w:t>
      </w:r>
      <w:r w:rsidRPr="00823AE2">
        <w:t>NRTIs</w:t>
      </w:r>
      <w:r w:rsidR="00C555CF">
        <w:t xml:space="preserve"> </w:t>
      </w:r>
      <w:r w:rsidR="00D5334B" w:rsidRPr="00823AE2">
        <w:t>+</w:t>
      </w:r>
      <w:r w:rsidR="00C555CF">
        <w:t xml:space="preserve"> </w:t>
      </w:r>
      <w:r w:rsidRPr="00823AE2">
        <w:t>PI/r</w:t>
      </w:r>
      <w:r w:rsidR="00634D37">
        <w:t>,</w:t>
      </w:r>
      <w:r w:rsidR="00373C47" w:rsidRPr="00823AE2">
        <w:rPr>
          <w:vertAlign w:val="superscript"/>
        </w:rPr>
        <w:t>1</w:t>
      </w:r>
      <w:r w:rsidR="00634D37">
        <w:rPr>
          <w:vertAlign w:val="superscript"/>
        </w:rPr>
        <w:t>5</w:t>
      </w:r>
      <w:r w:rsidR="00E15B82" w:rsidRPr="00823AE2">
        <w:t xml:space="preserve"> thus resembling the population of this study</w:t>
      </w:r>
      <w:r w:rsidRPr="00823AE2">
        <w:t xml:space="preserve">. </w:t>
      </w:r>
      <w:r w:rsidR="00634D37">
        <w:t>Of</w:t>
      </w:r>
      <w:r w:rsidRPr="00823AE2">
        <w:t xml:space="preserve"> 133 patients randomised to either </w:t>
      </w:r>
      <w:r w:rsidR="00A64E9B">
        <w:t xml:space="preserve">darunavir/ritonavir </w:t>
      </w:r>
      <w:r w:rsidR="00D5334B" w:rsidRPr="00823AE2">
        <w:t xml:space="preserve">(n=56) </w:t>
      </w:r>
      <w:r w:rsidRPr="00823AE2">
        <w:t xml:space="preserve">or </w:t>
      </w:r>
      <w:r w:rsidR="00A64E9B">
        <w:t xml:space="preserve">lopinavir/ritonavir </w:t>
      </w:r>
      <w:r w:rsidR="00D543D2">
        <w:t>monotherapy</w:t>
      </w:r>
      <w:r w:rsidR="00634D37">
        <w:t xml:space="preserve">, </w:t>
      </w:r>
      <w:r w:rsidR="00D5334B" w:rsidRPr="00823AE2">
        <w:t xml:space="preserve">21% experienced </w:t>
      </w:r>
      <w:r w:rsidRPr="00823AE2">
        <w:t>virological failure (viral load &gt;500 copies/</w:t>
      </w:r>
      <w:r w:rsidR="00E60DCC">
        <w:t>mL</w:t>
      </w:r>
      <w:r w:rsidRPr="00823AE2">
        <w:t>)</w:t>
      </w:r>
      <w:r w:rsidR="00634D37">
        <w:t xml:space="preserve"> o</w:t>
      </w:r>
      <w:r w:rsidR="00634D37" w:rsidRPr="00823AE2">
        <w:t>ver 48 weeks</w:t>
      </w:r>
      <w:r w:rsidR="00634D37">
        <w:t xml:space="preserve">. </w:t>
      </w:r>
      <w:r w:rsidR="00F0045B">
        <w:t>Similarly</w:t>
      </w:r>
      <w:r w:rsidR="00A64E9B">
        <w:t xml:space="preserve"> high</w:t>
      </w:r>
      <w:r w:rsidR="00DC645A">
        <w:t xml:space="preserve"> </w:t>
      </w:r>
      <w:r w:rsidRPr="00823AE2">
        <w:t xml:space="preserve">rates of </w:t>
      </w:r>
      <w:r w:rsidR="00E3463D" w:rsidRPr="00823AE2">
        <w:t xml:space="preserve">virological </w:t>
      </w:r>
      <w:r w:rsidR="00833226" w:rsidRPr="00823AE2">
        <w:t>failure</w:t>
      </w:r>
      <w:r w:rsidR="00E3463D" w:rsidRPr="00823AE2">
        <w:t xml:space="preserve"> </w:t>
      </w:r>
      <w:r w:rsidR="00D047DB">
        <w:t xml:space="preserve">were observed in this </w:t>
      </w:r>
      <w:r w:rsidR="00D047DB">
        <w:t>study</w:t>
      </w:r>
      <w:r w:rsidR="00FE554D" w:rsidRPr="00823AE2">
        <w:t xml:space="preserve">. </w:t>
      </w:r>
      <w:r w:rsidR="00060A4D">
        <w:t>Together,</w:t>
      </w:r>
      <w:r w:rsidR="00204F9F" w:rsidRPr="00823AE2">
        <w:t xml:space="preserve"> </w:t>
      </w:r>
      <w:r w:rsidR="00060A4D">
        <w:t xml:space="preserve">the </w:t>
      </w:r>
      <w:r w:rsidR="00204F9F" w:rsidRPr="00823AE2">
        <w:t xml:space="preserve">data indicate that </w:t>
      </w:r>
      <w:r w:rsidR="005052CE">
        <w:t>darunavir</w:t>
      </w:r>
      <w:r w:rsidR="00204F9F" w:rsidRPr="00823AE2">
        <w:t>/r</w:t>
      </w:r>
      <w:r w:rsidR="005052CE">
        <w:t>itonavir</w:t>
      </w:r>
      <w:r w:rsidR="00204F9F" w:rsidRPr="00823AE2">
        <w:t xml:space="preserve"> monotherapy is </w:t>
      </w:r>
      <w:r w:rsidR="00057D0A">
        <w:t xml:space="preserve">not </w:t>
      </w:r>
      <w:r w:rsidR="00204F9F" w:rsidRPr="00823AE2">
        <w:t xml:space="preserve">indicated for </w:t>
      </w:r>
      <w:r w:rsidR="00D543D2">
        <w:t xml:space="preserve">patients </w:t>
      </w:r>
      <w:r w:rsidR="00204F9F" w:rsidRPr="00276AD2">
        <w:rPr>
          <w:highlight w:val="yellow"/>
        </w:rPr>
        <w:t xml:space="preserve">in </w:t>
      </w:r>
      <w:r w:rsidR="00057D0A" w:rsidRPr="00276AD2">
        <w:rPr>
          <w:highlight w:val="yellow"/>
        </w:rPr>
        <w:t>sub-Saharan Africa</w:t>
      </w:r>
      <w:r w:rsidR="00332058" w:rsidRPr="00276AD2">
        <w:rPr>
          <w:highlight w:val="yellow"/>
        </w:rPr>
        <w:t xml:space="preserve"> due to the high risk of </w:t>
      </w:r>
      <w:r w:rsidR="00057D0A" w:rsidRPr="00276AD2">
        <w:rPr>
          <w:highlight w:val="yellow"/>
        </w:rPr>
        <w:t>viraemia</w:t>
      </w:r>
      <w:r w:rsidR="00634D37" w:rsidRPr="00276AD2">
        <w:rPr>
          <w:highlight w:val="yellow"/>
        </w:rPr>
        <w:t>.</w:t>
      </w:r>
      <w:r w:rsidR="00634D37">
        <w:rPr>
          <w:vertAlign w:val="superscript"/>
        </w:rPr>
        <w:t>16</w:t>
      </w:r>
      <w:r w:rsidR="00204F9F" w:rsidRPr="00823AE2">
        <w:t xml:space="preserve"> </w:t>
      </w:r>
      <w:r w:rsidR="00057D0A">
        <w:t>Adding</w:t>
      </w:r>
      <w:r w:rsidR="00204F9F" w:rsidRPr="00823AE2">
        <w:t xml:space="preserve"> a further dimension, we previously </w:t>
      </w:r>
      <w:r w:rsidR="00057D0A">
        <w:t>observed</w:t>
      </w:r>
      <w:r w:rsidR="00060A4D">
        <w:t xml:space="preserve"> </w:t>
      </w:r>
      <w:r w:rsidR="00D543D2">
        <w:t xml:space="preserve">a risk of </w:t>
      </w:r>
      <w:r w:rsidR="00060A4D">
        <w:t xml:space="preserve">both incident and reactivated hepatitis B virus (HBV) infection </w:t>
      </w:r>
      <w:r w:rsidR="00060A4D">
        <w:t>after discontinuation of</w:t>
      </w:r>
      <w:r w:rsidR="00204F9F" w:rsidRPr="00823AE2">
        <w:t xml:space="preserve"> NRTIs</w:t>
      </w:r>
      <w:r w:rsidR="00060A4D">
        <w:t xml:space="preserve"> that may exert prophylactic activity in a high </w:t>
      </w:r>
      <w:r w:rsidR="00057D0A">
        <w:t xml:space="preserve">HBV </w:t>
      </w:r>
      <w:r w:rsidR="00060A4D">
        <w:t>endemicity setting such as Cameroon</w:t>
      </w:r>
      <w:r w:rsidR="00634D37" w:rsidRPr="00634D37">
        <w:t>.</w:t>
      </w:r>
      <w:r w:rsidR="00111031" w:rsidRPr="00823AE2">
        <w:rPr>
          <w:vertAlign w:val="superscript"/>
        </w:rPr>
        <w:t>1</w:t>
      </w:r>
      <w:r w:rsidR="00634D37">
        <w:rPr>
          <w:vertAlign w:val="superscript"/>
        </w:rPr>
        <w:t>7</w:t>
      </w:r>
      <w:r w:rsidR="00204F9F" w:rsidRPr="00823AE2">
        <w:t xml:space="preserve"> </w:t>
      </w:r>
    </w:p>
    <w:p w14:paraId="39555731" w14:textId="65C07C71" w:rsidR="00572458" w:rsidRPr="00823AE2" w:rsidRDefault="00572458" w:rsidP="00991E7C">
      <w:pPr>
        <w:tabs>
          <w:tab w:val="left" w:pos="567"/>
        </w:tabs>
        <w:spacing w:line="360" w:lineRule="auto"/>
        <w:jc w:val="both"/>
      </w:pPr>
    </w:p>
    <w:p w14:paraId="2B138B63" w14:textId="5F617AB2" w:rsidR="00572458" w:rsidRPr="00823AE2" w:rsidRDefault="00057D0A" w:rsidP="00991E7C">
      <w:pPr>
        <w:tabs>
          <w:tab w:val="left" w:pos="567"/>
        </w:tabs>
        <w:spacing w:line="360" w:lineRule="auto"/>
        <w:jc w:val="both"/>
      </w:pPr>
      <w:r>
        <w:t xml:space="preserve">VAS-measured </w:t>
      </w:r>
      <w:r w:rsidR="00572458" w:rsidRPr="00823AE2">
        <w:t xml:space="preserve">adherence </w:t>
      </w:r>
      <w:r w:rsidR="00111031" w:rsidRPr="00823AE2">
        <w:t>was an</w:t>
      </w:r>
      <w:r w:rsidR="00572458" w:rsidRPr="00823AE2">
        <w:t xml:space="preserve"> independent predictor of virological outcomes</w:t>
      </w:r>
      <w:r w:rsidR="008E08FF" w:rsidRPr="00823AE2">
        <w:t xml:space="preserve">, </w:t>
      </w:r>
      <w:r w:rsidR="00111031" w:rsidRPr="00823AE2">
        <w:t xml:space="preserve">and </w:t>
      </w:r>
      <w:r w:rsidR="00572458" w:rsidRPr="00823AE2">
        <w:t>performed better than directly measured pill counts.</w:t>
      </w:r>
      <w:r w:rsidR="00111031" w:rsidRPr="00823AE2">
        <w:t xml:space="preserve"> </w:t>
      </w:r>
      <w:r w:rsidR="00572458" w:rsidRPr="00823AE2">
        <w:t xml:space="preserve">This is promising given that VAS </w:t>
      </w:r>
      <w:r w:rsidR="00111031" w:rsidRPr="00823AE2">
        <w:t>is an</w:t>
      </w:r>
      <w:r w:rsidR="00572458" w:rsidRPr="00823AE2">
        <w:t xml:space="preserve"> easy </w:t>
      </w:r>
      <w:r w:rsidR="00111031" w:rsidRPr="00823AE2">
        <w:t xml:space="preserve">tool </w:t>
      </w:r>
      <w:r w:rsidR="00572458" w:rsidRPr="00823AE2">
        <w:t xml:space="preserve">to implement in resource-limited settings. </w:t>
      </w:r>
      <w:r w:rsidR="00643B90">
        <w:t>Although</w:t>
      </w:r>
      <w:r w:rsidR="00643B90" w:rsidRPr="00823AE2">
        <w:t xml:space="preserve"> there exists conflicting evidence about the relative performance of self-reported versus directly assessed adherence measures in </w:t>
      </w:r>
      <w:r w:rsidR="00D543D2">
        <w:t>sub-Saharan Africa</w:t>
      </w:r>
      <w:r w:rsidR="00634D37">
        <w:t>,</w:t>
      </w:r>
      <w:r w:rsidR="00634D37">
        <w:rPr>
          <w:vertAlign w:val="superscript"/>
        </w:rPr>
        <w:t>18,19</w:t>
      </w:r>
      <w:r w:rsidR="00643B90">
        <w:t xml:space="preserve"> i</w:t>
      </w:r>
      <w:r w:rsidR="00572458" w:rsidRPr="00823AE2">
        <w:t>n the study from Burkina Faso, Cameroon, and Senegal, pill counts were also less likely to detect adherence problems relative to the use of questionnaires</w:t>
      </w:r>
      <w:r w:rsidR="00634D37">
        <w:t>.</w:t>
      </w:r>
      <w:r w:rsidR="00634D37" w:rsidRPr="00634D37">
        <w:rPr>
          <w:vertAlign w:val="superscript"/>
        </w:rPr>
        <w:t>15</w:t>
      </w:r>
      <w:r w:rsidR="00572458" w:rsidRPr="00823AE2">
        <w:t xml:space="preserve"> It is possible that the personal interaction required to administer a VAS (or a questionnaire) may bring benefit when assessing adherence in these settings. </w:t>
      </w:r>
    </w:p>
    <w:p w14:paraId="037C6B22" w14:textId="77777777" w:rsidR="0046135D" w:rsidRPr="00823AE2" w:rsidRDefault="0046135D" w:rsidP="00991E7C">
      <w:pPr>
        <w:tabs>
          <w:tab w:val="left" w:pos="567"/>
        </w:tabs>
        <w:spacing w:line="360" w:lineRule="auto"/>
        <w:jc w:val="both"/>
      </w:pPr>
    </w:p>
    <w:p w14:paraId="64AA1A08" w14:textId="29DE5822" w:rsidR="00257466" w:rsidRPr="00823AE2" w:rsidRDefault="00274042" w:rsidP="00991E7C">
      <w:pPr>
        <w:tabs>
          <w:tab w:val="left" w:pos="567"/>
        </w:tabs>
        <w:spacing w:line="360" w:lineRule="auto"/>
        <w:jc w:val="both"/>
      </w:pPr>
      <w:r w:rsidRPr="00823AE2">
        <w:t>T</w:t>
      </w:r>
      <w:r w:rsidR="00204F9F" w:rsidRPr="00823AE2">
        <w:t xml:space="preserve">he study provides </w:t>
      </w:r>
      <w:r w:rsidR="00111031" w:rsidRPr="00823AE2">
        <w:t>novel</w:t>
      </w:r>
      <w:r w:rsidR="00204F9F" w:rsidRPr="00823AE2">
        <w:t xml:space="preserve"> insights about the role of RAMs as predictors of </w:t>
      </w:r>
      <w:r w:rsidR="00111031" w:rsidRPr="00823AE2">
        <w:t xml:space="preserve">virological </w:t>
      </w:r>
      <w:r w:rsidR="00204F9F" w:rsidRPr="00823AE2">
        <w:t>outcomes</w:t>
      </w:r>
      <w:r w:rsidR="00111031" w:rsidRPr="00823AE2">
        <w:t xml:space="preserve"> in treat</w:t>
      </w:r>
      <w:r w:rsidR="00052144" w:rsidRPr="00823AE2">
        <w:t xml:space="preserve">ment-experienced </w:t>
      </w:r>
      <w:r w:rsidR="00111031" w:rsidRPr="00823AE2">
        <w:t xml:space="preserve">populations in </w:t>
      </w:r>
      <w:r w:rsidR="00057D0A">
        <w:t>sub-Saharan Africa</w:t>
      </w:r>
      <w:r w:rsidR="00204F9F" w:rsidRPr="00823AE2">
        <w:t xml:space="preserve">. </w:t>
      </w:r>
      <w:r w:rsidR="00572458" w:rsidRPr="00823AE2">
        <w:t xml:space="preserve">At study entry, </w:t>
      </w:r>
      <w:r w:rsidR="00C77A0C" w:rsidRPr="00823AE2">
        <w:t xml:space="preserve">the </w:t>
      </w:r>
      <w:r w:rsidR="007854B3" w:rsidRPr="00823AE2">
        <w:t xml:space="preserve">mutational patterns </w:t>
      </w:r>
      <w:r w:rsidR="008E08FF" w:rsidRPr="00823AE2">
        <w:t xml:space="preserve">in HIV-1 DNA were overall </w:t>
      </w:r>
      <w:r w:rsidR="007854B3" w:rsidRPr="00823AE2">
        <w:t>reflective of prolonged viraemia on first-line NNRTI-based ART</w:t>
      </w:r>
      <w:r w:rsidR="0046135D" w:rsidRPr="00823AE2">
        <w:t xml:space="preserve">. </w:t>
      </w:r>
      <w:r w:rsidR="00440DDF" w:rsidRPr="00823AE2">
        <w:t>Mutations</w:t>
      </w:r>
      <w:r w:rsidR="0046135D" w:rsidRPr="00823AE2">
        <w:t xml:space="preserve"> selected by lamivudine (M184V) and zidovudine or stavudine (TAMs) were </w:t>
      </w:r>
      <w:r w:rsidR="0046135D" w:rsidRPr="00823AE2">
        <w:t>common, as were the nevirapine and efavirenz RAMs K103N and Y181C</w:t>
      </w:r>
      <w:r w:rsidR="0046135D" w:rsidRPr="005052CE">
        <w:t>.</w:t>
      </w:r>
      <w:r w:rsidR="0046135D" w:rsidRPr="00276AD2">
        <w:rPr>
          <w:highlight w:val="yellow"/>
        </w:rPr>
        <w:t xml:space="preserve"> </w:t>
      </w:r>
      <w:r w:rsidR="00B76345" w:rsidRPr="00276AD2">
        <w:rPr>
          <w:highlight w:val="yellow"/>
        </w:rPr>
        <w:t xml:space="preserve">Further emergence of </w:t>
      </w:r>
      <w:r w:rsidR="00B76345" w:rsidRPr="00276AD2">
        <w:rPr>
          <w:highlight w:val="yellow"/>
        </w:rPr>
        <w:lastRenderedPageBreak/>
        <w:t xml:space="preserve">NRTI RAMs may have occurred during undocumented periods of viraemia on 2 NRTIs </w:t>
      </w:r>
      <w:r w:rsidR="00B76345" w:rsidRPr="00276AD2">
        <w:rPr>
          <w:highlight w:val="yellow"/>
        </w:rPr>
        <w:t>+ PI/r.</w:t>
      </w:r>
      <w:r w:rsidR="00B76345">
        <w:t xml:space="preserve"> </w:t>
      </w:r>
      <w:r w:rsidR="00C86554" w:rsidRPr="00823AE2">
        <w:t>O</w:t>
      </w:r>
      <w:r w:rsidR="0046135D" w:rsidRPr="00823AE2">
        <w:t>ur previous pooled analysis</w:t>
      </w:r>
      <w:r w:rsidR="00634D37">
        <w:t xml:space="preserve"> </w:t>
      </w:r>
      <w:r w:rsidR="00C86554" w:rsidRPr="00823AE2">
        <w:t>indicate</w:t>
      </w:r>
      <w:r w:rsidR="00C42B6C" w:rsidRPr="00823AE2">
        <w:t>d</w:t>
      </w:r>
      <w:r w:rsidR="0046135D" w:rsidRPr="00823AE2">
        <w:t xml:space="preserve"> that </w:t>
      </w:r>
      <w:r w:rsidR="00C86554" w:rsidRPr="00823AE2">
        <w:t xml:space="preserve">detecting </w:t>
      </w:r>
      <w:r w:rsidR="0046135D" w:rsidRPr="00823AE2">
        <w:t xml:space="preserve">RAMs </w:t>
      </w:r>
      <w:r w:rsidR="00C86554" w:rsidRPr="00823AE2">
        <w:t>at failure of first-line ART with 2NRTIs</w:t>
      </w:r>
      <w:r w:rsidR="00C555CF">
        <w:t xml:space="preserve"> </w:t>
      </w:r>
      <w:r w:rsidR="00111031" w:rsidRPr="00823AE2">
        <w:t>+</w:t>
      </w:r>
      <w:r w:rsidR="00C555CF">
        <w:t xml:space="preserve"> </w:t>
      </w:r>
      <w:r w:rsidR="00C86554" w:rsidRPr="00823AE2">
        <w:t xml:space="preserve">NNRTI </w:t>
      </w:r>
      <w:r w:rsidR="0046135D" w:rsidRPr="00823AE2">
        <w:t>predict</w:t>
      </w:r>
      <w:r w:rsidR="00C86554" w:rsidRPr="00823AE2">
        <w:t>ed</w:t>
      </w:r>
      <w:r w:rsidR="0046135D" w:rsidRPr="00823AE2">
        <w:t xml:space="preserve"> improved responses </w:t>
      </w:r>
      <w:r w:rsidR="00C86554" w:rsidRPr="00823AE2">
        <w:t xml:space="preserve">after starting </w:t>
      </w:r>
      <w:r w:rsidR="0046135D" w:rsidRPr="00823AE2">
        <w:t xml:space="preserve">second-line ART with </w:t>
      </w:r>
      <w:r w:rsidR="00C86554" w:rsidRPr="00823AE2">
        <w:t>2</w:t>
      </w:r>
      <w:r w:rsidR="0046135D" w:rsidRPr="00823AE2">
        <w:t>NRTIs</w:t>
      </w:r>
      <w:r w:rsidR="00C555CF">
        <w:t xml:space="preserve"> </w:t>
      </w:r>
      <w:r w:rsidR="00111031" w:rsidRPr="00823AE2">
        <w:t>+</w:t>
      </w:r>
      <w:r w:rsidR="00C555CF">
        <w:t xml:space="preserve"> </w:t>
      </w:r>
      <w:r w:rsidR="0046135D" w:rsidRPr="00823AE2">
        <w:t>PI/r.</w:t>
      </w:r>
      <w:r w:rsidR="00634D37" w:rsidRPr="00634D37">
        <w:rPr>
          <w:vertAlign w:val="superscript"/>
        </w:rPr>
        <w:t>5</w:t>
      </w:r>
      <w:r w:rsidR="0046135D" w:rsidRPr="00823AE2">
        <w:t xml:space="preserve"> </w:t>
      </w:r>
      <w:r w:rsidR="00C86554" w:rsidRPr="00823AE2">
        <w:t>Here</w:t>
      </w:r>
      <w:r w:rsidR="00572458" w:rsidRPr="00823AE2">
        <w:t xml:space="preserve">, </w:t>
      </w:r>
      <w:r w:rsidR="00C86554" w:rsidRPr="00823AE2">
        <w:t xml:space="preserve">detecting </w:t>
      </w:r>
      <w:r w:rsidR="00AD14F7">
        <w:t xml:space="preserve">NRTI and NNRTI </w:t>
      </w:r>
      <w:r w:rsidR="00C86554" w:rsidRPr="00823AE2">
        <w:t xml:space="preserve">RAMs in HIV-1 DNA of virologically suppressed patients </w:t>
      </w:r>
      <w:r w:rsidR="00380F00" w:rsidRPr="00823AE2">
        <w:t xml:space="preserve">receiving </w:t>
      </w:r>
      <w:r w:rsidR="00C86554" w:rsidRPr="00823AE2">
        <w:t>2NRTIs</w:t>
      </w:r>
      <w:r w:rsidR="00F0045B">
        <w:t xml:space="preserve"> </w:t>
      </w:r>
      <w:r w:rsidR="00111031" w:rsidRPr="00823AE2">
        <w:t>+</w:t>
      </w:r>
      <w:r w:rsidR="00F0045B">
        <w:t xml:space="preserve"> </w:t>
      </w:r>
      <w:r w:rsidR="00C86554" w:rsidRPr="00823AE2">
        <w:t xml:space="preserve">PI/r predicted a reduced risk of virological failure after switching to </w:t>
      </w:r>
      <w:r w:rsidR="0038104E">
        <w:t xml:space="preserve">darunavir/ritonavir </w:t>
      </w:r>
      <w:r w:rsidR="00C86554" w:rsidRPr="00823AE2">
        <w:t xml:space="preserve">monotherapy. </w:t>
      </w:r>
      <w:r w:rsidR="0046135D" w:rsidRPr="00823AE2">
        <w:t xml:space="preserve">The effect persisted after </w:t>
      </w:r>
      <w:r w:rsidR="001F1A9C" w:rsidRPr="00823AE2">
        <w:t>considering</w:t>
      </w:r>
      <w:r w:rsidR="0046135D" w:rsidRPr="00823AE2">
        <w:t xml:space="preserve"> other </w:t>
      </w:r>
      <w:r w:rsidR="00380F00" w:rsidRPr="00823AE2">
        <w:t xml:space="preserve">proposed </w:t>
      </w:r>
      <w:r w:rsidR="0046135D" w:rsidRPr="00823AE2">
        <w:t>predictors</w:t>
      </w:r>
      <w:r w:rsidR="00AD14F7">
        <w:t xml:space="preserve"> of responses to PI/r monotherapy</w:t>
      </w:r>
      <w:r w:rsidR="0046135D" w:rsidRPr="00823AE2">
        <w:t xml:space="preserve">, including </w:t>
      </w:r>
      <w:r w:rsidR="00643B90">
        <w:t xml:space="preserve">adherence, </w:t>
      </w:r>
      <w:r w:rsidR="00C77A0C" w:rsidRPr="00823AE2">
        <w:t>HIV-1 DNA load</w:t>
      </w:r>
      <w:r w:rsidR="00057D0A">
        <w:t>,</w:t>
      </w:r>
      <w:r w:rsidR="0039447D" w:rsidRPr="00823AE2">
        <w:t xml:space="preserve"> and</w:t>
      </w:r>
      <w:r w:rsidR="00C77A0C" w:rsidRPr="00823AE2">
        <w:t xml:space="preserve"> </w:t>
      </w:r>
      <w:r w:rsidR="001F1A9C" w:rsidRPr="00823AE2">
        <w:t>nadir CD4 cell counts</w:t>
      </w:r>
      <w:r w:rsidR="00634D37">
        <w:t>.</w:t>
      </w:r>
      <w:r w:rsidR="00634D37" w:rsidRPr="00634D37">
        <w:rPr>
          <w:vertAlign w:val="superscript"/>
        </w:rPr>
        <w:t>20</w:t>
      </w:r>
      <w:r w:rsidR="0039447D" w:rsidRPr="00823AE2">
        <w:t xml:space="preserve"> </w:t>
      </w:r>
      <w:r w:rsidR="00AD64CA" w:rsidRPr="005052CE">
        <w:rPr>
          <w:highlight w:val="yellow"/>
        </w:rPr>
        <w:t xml:space="preserve">Whereas NRTIs </w:t>
      </w:r>
      <w:r w:rsidR="00B243B3" w:rsidRPr="005052CE">
        <w:rPr>
          <w:highlight w:val="yellow"/>
        </w:rPr>
        <w:t xml:space="preserve">are expected to </w:t>
      </w:r>
      <w:r w:rsidR="00AD64CA" w:rsidRPr="005052CE">
        <w:rPr>
          <w:highlight w:val="yellow"/>
        </w:rPr>
        <w:t xml:space="preserve">retain </w:t>
      </w:r>
      <w:r w:rsidR="00B243B3" w:rsidRPr="005052CE">
        <w:rPr>
          <w:highlight w:val="yellow"/>
        </w:rPr>
        <w:t>partial antiviral</w:t>
      </w:r>
      <w:r w:rsidR="00AD64CA" w:rsidRPr="005052CE">
        <w:rPr>
          <w:highlight w:val="yellow"/>
        </w:rPr>
        <w:t xml:space="preserve"> activity </w:t>
      </w:r>
      <w:r w:rsidR="0086042C" w:rsidRPr="005052CE">
        <w:rPr>
          <w:highlight w:val="yellow"/>
        </w:rPr>
        <w:t>despite</w:t>
      </w:r>
      <w:r w:rsidR="00AD64CA" w:rsidRPr="005052CE">
        <w:rPr>
          <w:highlight w:val="yellow"/>
        </w:rPr>
        <w:t xml:space="preserve"> the presence of RAMs, the </w:t>
      </w:r>
      <w:r w:rsidR="00111031" w:rsidRPr="005052CE">
        <w:rPr>
          <w:highlight w:val="yellow"/>
        </w:rPr>
        <w:t>findings</w:t>
      </w:r>
      <w:r w:rsidR="00572458" w:rsidRPr="005052CE">
        <w:rPr>
          <w:highlight w:val="yellow"/>
        </w:rPr>
        <w:t xml:space="preserve"> impl</w:t>
      </w:r>
      <w:r w:rsidR="00111031" w:rsidRPr="005052CE">
        <w:rPr>
          <w:highlight w:val="yellow"/>
        </w:rPr>
        <w:t>y</w:t>
      </w:r>
      <w:r w:rsidR="00572458" w:rsidRPr="005052CE">
        <w:rPr>
          <w:highlight w:val="yellow"/>
        </w:rPr>
        <w:t xml:space="preserve"> </w:t>
      </w:r>
      <w:r w:rsidR="0038104E" w:rsidRPr="005052CE">
        <w:rPr>
          <w:highlight w:val="yellow"/>
        </w:rPr>
        <w:t xml:space="preserve">a </w:t>
      </w:r>
      <w:r w:rsidR="00572458" w:rsidRPr="005052CE">
        <w:rPr>
          <w:highlight w:val="yellow"/>
        </w:rPr>
        <w:t xml:space="preserve">predictive role </w:t>
      </w:r>
      <w:r w:rsidR="0038104E" w:rsidRPr="005052CE">
        <w:rPr>
          <w:highlight w:val="yellow"/>
        </w:rPr>
        <w:t>for</w:t>
      </w:r>
      <w:r w:rsidR="00572458" w:rsidRPr="005052CE">
        <w:rPr>
          <w:highlight w:val="yellow"/>
        </w:rPr>
        <w:t xml:space="preserve"> pre-existing </w:t>
      </w:r>
      <w:r w:rsidR="00AD14F7" w:rsidRPr="005052CE">
        <w:rPr>
          <w:highlight w:val="yellow"/>
        </w:rPr>
        <w:t xml:space="preserve">NRTI </w:t>
      </w:r>
      <w:r w:rsidR="00572458" w:rsidRPr="005052CE">
        <w:rPr>
          <w:highlight w:val="yellow"/>
        </w:rPr>
        <w:t xml:space="preserve">RAMs </w:t>
      </w:r>
      <w:r w:rsidR="0038104E" w:rsidRPr="005052CE">
        <w:rPr>
          <w:highlight w:val="yellow"/>
        </w:rPr>
        <w:t>that is</w:t>
      </w:r>
      <w:r w:rsidR="00572458" w:rsidRPr="005052CE">
        <w:rPr>
          <w:highlight w:val="yellow"/>
        </w:rPr>
        <w:t xml:space="preserve"> partially independent of residual </w:t>
      </w:r>
      <w:r w:rsidR="00643B90" w:rsidRPr="005052CE">
        <w:rPr>
          <w:highlight w:val="yellow"/>
        </w:rPr>
        <w:t xml:space="preserve">NRTI </w:t>
      </w:r>
      <w:r w:rsidR="00572458" w:rsidRPr="005052CE">
        <w:rPr>
          <w:highlight w:val="yellow"/>
        </w:rPr>
        <w:t>activity.</w:t>
      </w:r>
      <w:r w:rsidR="00572458" w:rsidRPr="00823AE2">
        <w:t xml:space="preserve"> </w:t>
      </w:r>
      <w:r w:rsidR="008E08FF" w:rsidRPr="00823AE2">
        <w:t>RAMs</w:t>
      </w:r>
      <w:r w:rsidR="0086042C">
        <w:t xml:space="preserve"> may be</w:t>
      </w:r>
      <w:r w:rsidR="00057D0A">
        <w:t xml:space="preserve"> a</w:t>
      </w:r>
      <w:r w:rsidR="008E08FF" w:rsidRPr="00823AE2">
        <w:t xml:space="preserve"> proxy for unknown co-variables</w:t>
      </w:r>
      <w:r w:rsidR="000177C8" w:rsidRPr="00823AE2">
        <w:t xml:space="preserve">. </w:t>
      </w:r>
      <w:r w:rsidR="0086042C" w:rsidRPr="0038104E">
        <w:rPr>
          <w:highlight w:val="yellow"/>
        </w:rPr>
        <w:t>I</w:t>
      </w:r>
      <w:r w:rsidR="0046135D" w:rsidRPr="0038104E">
        <w:rPr>
          <w:highlight w:val="yellow"/>
        </w:rPr>
        <w:t xml:space="preserve">t </w:t>
      </w:r>
      <w:r w:rsidR="008E08FF" w:rsidRPr="0038104E">
        <w:rPr>
          <w:highlight w:val="yellow"/>
        </w:rPr>
        <w:t xml:space="preserve">may </w:t>
      </w:r>
      <w:r w:rsidR="0086042C" w:rsidRPr="0038104E">
        <w:rPr>
          <w:highlight w:val="yellow"/>
        </w:rPr>
        <w:t xml:space="preserve">also </w:t>
      </w:r>
      <w:r w:rsidR="0046135D" w:rsidRPr="0038104E">
        <w:rPr>
          <w:highlight w:val="yellow"/>
        </w:rPr>
        <w:t>be proposed</w:t>
      </w:r>
      <w:r w:rsidR="0046135D" w:rsidRPr="0038104E">
        <w:t xml:space="preserve"> that </w:t>
      </w:r>
      <w:r w:rsidR="008E08FF" w:rsidRPr="0038104E">
        <w:rPr>
          <w:rFonts w:ascii="Calibri" w:eastAsia="Calibri,Times New Roman" w:hAnsi="Calibri" w:cs="Calibri,Times New Roman"/>
          <w:lang w:eastAsia="it-IT"/>
        </w:rPr>
        <w:t xml:space="preserve">patients who develop resistance </w:t>
      </w:r>
      <w:r w:rsidR="0086042C" w:rsidRPr="0038104E">
        <w:rPr>
          <w:rFonts w:ascii="Calibri" w:eastAsia="Calibri,Times New Roman" w:hAnsi="Calibri" w:cs="Calibri,Times New Roman"/>
          <w:lang w:eastAsia="it-IT"/>
        </w:rPr>
        <w:t>while receiving</w:t>
      </w:r>
      <w:r w:rsidR="008E08FF" w:rsidRPr="0038104E">
        <w:rPr>
          <w:rFonts w:ascii="Calibri" w:eastAsia="Calibri,Times New Roman" w:hAnsi="Calibri" w:cs="Calibri,Times New Roman"/>
          <w:lang w:eastAsia="it-IT"/>
        </w:rPr>
        <w:t xml:space="preserve"> ART have relatively higher levels of adherence (hence higher drug selective pressure) than patients who experience failure without resistance, and maintain higher adherence levels during </w:t>
      </w:r>
      <w:r w:rsidR="0086042C" w:rsidRPr="0038104E">
        <w:rPr>
          <w:rFonts w:ascii="Calibri" w:eastAsia="Calibri,Times New Roman" w:hAnsi="Calibri" w:cs="Calibri,Times New Roman"/>
          <w:lang w:eastAsia="it-IT"/>
        </w:rPr>
        <w:t>subsequent</w:t>
      </w:r>
      <w:r w:rsidR="008E08FF" w:rsidRPr="0038104E">
        <w:rPr>
          <w:rFonts w:ascii="Calibri" w:eastAsia="Calibri,Times New Roman" w:hAnsi="Calibri" w:cs="Calibri,Times New Roman"/>
          <w:lang w:eastAsia="it-IT"/>
        </w:rPr>
        <w:t xml:space="preserve"> </w:t>
      </w:r>
      <w:r w:rsidR="0086042C" w:rsidRPr="0038104E">
        <w:rPr>
          <w:rFonts w:ascii="Calibri" w:eastAsia="Calibri,Times New Roman" w:hAnsi="Calibri" w:cs="Calibri,Times New Roman"/>
          <w:lang w:eastAsia="it-IT"/>
        </w:rPr>
        <w:t>treatment</w:t>
      </w:r>
      <w:r w:rsidR="0086042C" w:rsidRPr="0038104E">
        <w:rPr>
          <w:rFonts w:ascii="Calibri" w:eastAsia="Calibri,Times New Roman" w:hAnsi="Calibri" w:cs="Calibri,Times New Roman"/>
          <w:lang w:eastAsia="it-IT"/>
        </w:rPr>
        <w:t xml:space="preserve"> lines</w:t>
      </w:r>
      <w:r w:rsidR="008E08FF" w:rsidRPr="0038104E">
        <w:rPr>
          <w:rFonts w:ascii="Calibri" w:eastAsia="Calibri,Times New Roman" w:hAnsi="Calibri" w:cs="Calibri,Times New Roman"/>
          <w:lang w:eastAsia="it-IT"/>
        </w:rPr>
        <w:t xml:space="preserve">. </w:t>
      </w:r>
      <w:r w:rsidR="00643B90" w:rsidRPr="0038104E">
        <w:rPr>
          <w:rFonts w:ascii="Calibri" w:eastAsia="Calibri,Times New Roman" w:hAnsi="Calibri" w:cs="Calibri,Times New Roman"/>
          <w:lang w:eastAsia="it-IT"/>
        </w:rPr>
        <w:t xml:space="preserve">Thus, </w:t>
      </w:r>
      <w:r w:rsidR="00643B90" w:rsidRPr="0038104E">
        <w:t xml:space="preserve">RAMs </w:t>
      </w:r>
      <w:r w:rsidR="00AD64CA" w:rsidRPr="0038104E">
        <w:t xml:space="preserve">may </w:t>
      </w:r>
      <w:r w:rsidR="00643B90" w:rsidRPr="0038104E">
        <w:t>act as an additional, sensitive indicator of overall compliance with treatment in these populations.</w:t>
      </w:r>
    </w:p>
    <w:p w14:paraId="7966BB82" w14:textId="77777777" w:rsidR="003E04C2" w:rsidRPr="00823AE2" w:rsidRDefault="003E04C2" w:rsidP="00991E7C">
      <w:pPr>
        <w:tabs>
          <w:tab w:val="left" w:pos="567"/>
        </w:tabs>
        <w:spacing w:line="360" w:lineRule="auto"/>
        <w:jc w:val="both"/>
        <w:rPr>
          <w:b/>
          <w:color w:val="000000" w:themeColor="text1"/>
        </w:rPr>
      </w:pPr>
    </w:p>
    <w:p w14:paraId="0278F02D" w14:textId="36C6B1A4" w:rsidR="00257466" w:rsidRPr="00823AE2" w:rsidRDefault="00257466" w:rsidP="00991E7C">
      <w:pPr>
        <w:tabs>
          <w:tab w:val="left" w:pos="567"/>
        </w:tabs>
        <w:spacing w:line="360" w:lineRule="auto"/>
        <w:jc w:val="both"/>
        <w:rPr>
          <w:b/>
          <w:color w:val="000000" w:themeColor="text1"/>
        </w:rPr>
      </w:pPr>
      <w:r w:rsidRPr="00823AE2">
        <w:rPr>
          <w:b/>
          <w:color w:val="000000" w:themeColor="text1"/>
        </w:rPr>
        <w:t>Acknowledgments</w:t>
      </w:r>
    </w:p>
    <w:p w14:paraId="6D5FEB39" w14:textId="06B13653" w:rsidR="00257466" w:rsidRPr="00823AE2" w:rsidRDefault="000177C8" w:rsidP="00991E7C">
      <w:pPr>
        <w:tabs>
          <w:tab w:val="left" w:pos="567"/>
        </w:tabs>
        <w:spacing w:line="360" w:lineRule="auto"/>
        <w:jc w:val="both"/>
        <w:rPr>
          <w:rFonts w:cstheme="minorHAnsi"/>
        </w:rPr>
      </w:pPr>
      <w:r w:rsidRPr="00823AE2">
        <w:rPr>
          <w:color w:val="000000" w:themeColor="text1"/>
        </w:rPr>
        <w:t xml:space="preserve">We are grateful to the patients and staff of </w:t>
      </w:r>
      <w:proofErr w:type="spellStart"/>
      <w:r w:rsidRPr="00823AE2">
        <w:t>Hôpital</w:t>
      </w:r>
      <w:proofErr w:type="spellEnd"/>
      <w:r w:rsidRPr="00823AE2">
        <w:t xml:space="preserve"> Central Yaoundé, and to the staff of </w:t>
      </w:r>
      <w:r w:rsidR="00A21F22" w:rsidRPr="00823AE2">
        <w:t xml:space="preserve">the University of Liverpool and the </w:t>
      </w:r>
      <w:r w:rsidRPr="00823AE2">
        <w:rPr>
          <w:rFonts w:cstheme="minorHAnsi"/>
        </w:rPr>
        <w:t>Centre Pasteur of Cameroon.</w:t>
      </w:r>
      <w:r w:rsidR="002E2C18" w:rsidRPr="00823AE2">
        <w:rPr>
          <w:rFonts w:cstheme="minorHAnsi"/>
        </w:rPr>
        <w:t xml:space="preserve"> </w:t>
      </w:r>
      <w:r w:rsidR="000140A4" w:rsidRPr="00823AE2">
        <w:rPr>
          <w:rFonts w:cstheme="minorHAnsi"/>
        </w:rPr>
        <w:t xml:space="preserve">Contributions made by each of the authors to the article: AMG, study design and oversight, data acquisition and analysis, preparation of the manuscript; AA, data acquisition and analysis; OMF, management of the study and data acquisition; </w:t>
      </w:r>
      <w:r w:rsidR="00C42B6C" w:rsidRPr="00823AE2">
        <w:rPr>
          <w:rFonts w:cstheme="minorHAnsi"/>
        </w:rPr>
        <w:t xml:space="preserve">LB, statistical support; </w:t>
      </w:r>
      <w:r w:rsidR="000140A4" w:rsidRPr="00823AE2">
        <w:rPr>
          <w:rFonts w:cstheme="minorHAnsi"/>
        </w:rPr>
        <w:t xml:space="preserve">VFD and SM, clinical data acquisition; JF, laboratory data acquisition; CK, study oversight at clinical site; JT, study oversight at laboratory site. </w:t>
      </w:r>
      <w:r w:rsidR="00DC7E68" w:rsidRPr="00823AE2">
        <w:rPr>
          <w:rFonts w:cstheme="minorHAnsi"/>
        </w:rPr>
        <w:t xml:space="preserve">All authors provided a critical review of the manuscript. </w:t>
      </w:r>
    </w:p>
    <w:p w14:paraId="2CDCC2FE" w14:textId="1AD50B5A" w:rsidR="000177C8" w:rsidRDefault="000177C8" w:rsidP="00991E7C">
      <w:pPr>
        <w:tabs>
          <w:tab w:val="left" w:pos="567"/>
        </w:tabs>
        <w:spacing w:line="360" w:lineRule="auto"/>
        <w:jc w:val="both"/>
        <w:rPr>
          <w:color w:val="000000" w:themeColor="text1"/>
        </w:rPr>
      </w:pPr>
    </w:p>
    <w:p w14:paraId="29B13B8D" w14:textId="77777777" w:rsidR="0038104E" w:rsidRDefault="007D677D" w:rsidP="007D677D">
      <w:pPr>
        <w:tabs>
          <w:tab w:val="left" w:pos="567"/>
        </w:tabs>
        <w:spacing w:line="360" w:lineRule="auto"/>
        <w:jc w:val="both"/>
        <w:rPr>
          <w:b/>
          <w:color w:val="000000" w:themeColor="text1"/>
        </w:rPr>
      </w:pPr>
      <w:r w:rsidRPr="00823AE2">
        <w:rPr>
          <w:b/>
          <w:color w:val="000000" w:themeColor="text1"/>
        </w:rPr>
        <w:t>Funding</w:t>
      </w:r>
    </w:p>
    <w:p w14:paraId="3B648D49" w14:textId="2481FC1A" w:rsidR="007D677D" w:rsidRPr="00823AE2" w:rsidRDefault="007D677D" w:rsidP="007D677D">
      <w:pPr>
        <w:tabs>
          <w:tab w:val="left" w:pos="567"/>
        </w:tabs>
        <w:spacing w:line="360" w:lineRule="auto"/>
        <w:jc w:val="both"/>
        <w:rPr>
          <w:b/>
          <w:color w:val="000000" w:themeColor="text1"/>
        </w:rPr>
      </w:pPr>
      <w:r w:rsidRPr="00823AE2">
        <w:rPr>
          <w:color w:val="000000" w:themeColor="text1"/>
        </w:rPr>
        <w:t>The study was funded jointly by Janssen, the University of Liverpool, and CIRCB, and was sponsored by the University of Liverpool. The funders had no role in the conduction of the study, the analysis of the data, and preparation and submission of the manuscript.</w:t>
      </w:r>
      <w:r w:rsidRPr="00823AE2">
        <w:rPr>
          <w:rFonts w:cs="Arial"/>
        </w:rPr>
        <w:t xml:space="preserve"> </w:t>
      </w:r>
    </w:p>
    <w:p w14:paraId="7A213816" w14:textId="77777777" w:rsidR="007D677D" w:rsidRPr="00823AE2" w:rsidRDefault="007D677D" w:rsidP="00991E7C">
      <w:pPr>
        <w:tabs>
          <w:tab w:val="left" w:pos="567"/>
        </w:tabs>
        <w:spacing w:line="360" w:lineRule="auto"/>
        <w:jc w:val="both"/>
        <w:rPr>
          <w:color w:val="000000" w:themeColor="text1"/>
        </w:rPr>
      </w:pPr>
    </w:p>
    <w:p w14:paraId="555E4DE0" w14:textId="64BA60EB" w:rsidR="000177C8" w:rsidRPr="00823AE2" w:rsidRDefault="0038104E" w:rsidP="00991E7C">
      <w:pPr>
        <w:tabs>
          <w:tab w:val="left" w:pos="567"/>
        </w:tabs>
        <w:spacing w:line="360" w:lineRule="auto"/>
        <w:jc w:val="both"/>
        <w:rPr>
          <w:b/>
          <w:color w:val="000000" w:themeColor="text1"/>
        </w:rPr>
      </w:pPr>
      <w:r>
        <w:rPr>
          <w:b/>
          <w:color w:val="000000" w:themeColor="text1"/>
        </w:rPr>
        <w:t>Transparency declaration</w:t>
      </w:r>
    </w:p>
    <w:p w14:paraId="29BB930B" w14:textId="77777777" w:rsidR="0038104E" w:rsidRDefault="000177C8" w:rsidP="00991E7C">
      <w:pPr>
        <w:tabs>
          <w:tab w:val="left" w:pos="567"/>
        </w:tabs>
        <w:spacing w:line="360" w:lineRule="auto"/>
        <w:jc w:val="both"/>
        <w:rPr>
          <w:color w:val="000000" w:themeColor="text1"/>
        </w:rPr>
      </w:pPr>
      <w:r w:rsidRPr="00823AE2">
        <w:rPr>
          <w:color w:val="000000" w:themeColor="text1"/>
        </w:rPr>
        <w:t xml:space="preserve">AMG reports honoraria from </w:t>
      </w:r>
      <w:r w:rsidR="00276AD2" w:rsidRPr="00823AE2">
        <w:rPr>
          <w:color w:val="000000" w:themeColor="text1"/>
        </w:rPr>
        <w:t>Cepheid</w:t>
      </w:r>
      <w:r w:rsidR="00276AD2">
        <w:rPr>
          <w:color w:val="000000" w:themeColor="text1"/>
        </w:rPr>
        <w:t>,</w:t>
      </w:r>
      <w:r w:rsidR="00276AD2" w:rsidRPr="00823AE2">
        <w:rPr>
          <w:color w:val="000000" w:themeColor="text1"/>
        </w:rPr>
        <w:t xml:space="preserve"> </w:t>
      </w:r>
      <w:r w:rsidR="00276AD2">
        <w:rPr>
          <w:color w:val="000000" w:themeColor="text1"/>
        </w:rPr>
        <w:t>Gilead</w:t>
      </w:r>
      <w:r w:rsidR="0038104E">
        <w:rPr>
          <w:color w:val="000000" w:themeColor="text1"/>
        </w:rPr>
        <w:t>,</w:t>
      </w:r>
      <w:r w:rsidR="00276AD2">
        <w:rPr>
          <w:color w:val="000000" w:themeColor="text1"/>
        </w:rPr>
        <w:t xml:space="preserve"> </w:t>
      </w:r>
      <w:r w:rsidR="0038104E" w:rsidRPr="00823AE2">
        <w:rPr>
          <w:color w:val="000000" w:themeColor="text1"/>
        </w:rPr>
        <w:t>Janssen</w:t>
      </w:r>
      <w:r w:rsidR="0038104E">
        <w:rPr>
          <w:color w:val="000000" w:themeColor="text1"/>
        </w:rPr>
        <w:t xml:space="preserve">, </w:t>
      </w:r>
      <w:r w:rsidR="0038104E">
        <w:rPr>
          <w:color w:val="000000" w:themeColor="text1"/>
        </w:rPr>
        <w:t xml:space="preserve">and </w:t>
      </w:r>
      <w:proofErr w:type="spellStart"/>
      <w:r w:rsidR="0038104E">
        <w:rPr>
          <w:color w:val="000000" w:themeColor="text1"/>
        </w:rPr>
        <w:t>ViiV</w:t>
      </w:r>
      <w:proofErr w:type="spellEnd"/>
      <w:r w:rsidR="0038104E">
        <w:rPr>
          <w:color w:val="000000" w:themeColor="text1"/>
        </w:rPr>
        <w:t>,</w:t>
      </w:r>
      <w:r w:rsidR="0038104E">
        <w:rPr>
          <w:color w:val="000000" w:themeColor="text1"/>
        </w:rPr>
        <w:t xml:space="preserve"> </w:t>
      </w:r>
      <w:r w:rsidRPr="00823AE2">
        <w:rPr>
          <w:color w:val="000000" w:themeColor="text1"/>
        </w:rPr>
        <w:t xml:space="preserve">outside </w:t>
      </w:r>
      <w:r w:rsidR="0038104E">
        <w:rPr>
          <w:color w:val="000000" w:themeColor="text1"/>
        </w:rPr>
        <w:t xml:space="preserve">the </w:t>
      </w:r>
      <w:r w:rsidRPr="00823AE2">
        <w:rPr>
          <w:color w:val="000000" w:themeColor="text1"/>
        </w:rPr>
        <w:t xml:space="preserve">submitted work, and </w:t>
      </w:r>
      <w:r w:rsidR="0039447D" w:rsidRPr="00823AE2">
        <w:rPr>
          <w:color w:val="000000" w:themeColor="text1"/>
        </w:rPr>
        <w:t>employ</w:t>
      </w:r>
      <w:r w:rsidR="0038104E">
        <w:rPr>
          <w:color w:val="000000" w:themeColor="text1"/>
        </w:rPr>
        <w:t>ment</w:t>
      </w:r>
      <w:r w:rsidR="0039447D" w:rsidRPr="00823AE2">
        <w:rPr>
          <w:color w:val="000000" w:themeColor="text1"/>
        </w:rPr>
        <w:t xml:space="preserve"> as expert scientist </w:t>
      </w:r>
      <w:r w:rsidR="0038104E">
        <w:rPr>
          <w:color w:val="000000" w:themeColor="text1"/>
        </w:rPr>
        <w:t>by</w:t>
      </w:r>
      <w:r w:rsidRPr="00823AE2">
        <w:rPr>
          <w:color w:val="000000" w:themeColor="text1"/>
        </w:rPr>
        <w:t xml:space="preserve"> Roche Pharma Research and Early Development</w:t>
      </w:r>
      <w:r w:rsidR="0038104E">
        <w:rPr>
          <w:color w:val="000000" w:themeColor="text1"/>
        </w:rPr>
        <w:t xml:space="preserve">, outside </w:t>
      </w:r>
      <w:r w:rsidR="0038104E">
        <w:rPr>
          <w:color w:val="000000" w:themeColor="text1"/>
        </w:rPr>
        <w:lastRenderedPageBreak/>
        <w:t>the submitted work</w:t>
      </w:r>
      <w:r w:rsidRPr="00823AE2">
        <w:rPr>
          <w:color w:val="000000" w:themeColor="text1"/>
        </w:rPr>
        <w:t>. The University of Liverpool is the recipient of research grants from BMS,</w:t>
      </w:r>
      <w:r w:rsidR="00276AD2">
        <w:rPr>
          <w:color w:val="000000" w:themeColor="text1"/>
        </w:rPr>
        <w:t xml:space="preserve"> </w:t>
      </w:r>
      <w:r w:rsidRPr="00823AE2">
        <w:rPr>
          <w:color w:val="000000" w:themeColor="text1"/>
        </w:rPr>
        <w:t>Gilead</w:t>
      </w:r>
      <w:r w:rsidR="00276AD2">
        <w:rPr>
          <w:color w:val="000000" w:themeColor="text1"/>
        </w:rPr>
        <w:t>,</w:t>
      </w:r>
      <w:r w:rsidRPr="00823AE2">
        <w:rPr>
          <w:color w:val="000000" w:themeColor="text1"/>
        </w:rPr>
        <w:t xml:space="preserve"> </w:t>
      </w:r>
      <w:r w:rsidR="00276AD2">
        <w:rPr>
          <w:color w:val="000000" w:themeColor="text1"/>
        </w:rPr>
        <w:t>Roche</w:t>
      </w:r>
      <w:r w:rsidR="00276AD2" w:rsidRPr="00823AE2">
        <w:rPr>
          <w:color w:val="000000" w:themeColor="text1"/>
        </w:rPr>
        <w:t xml:space="preserve"> </w:t>
      </w:r>
      <w:r w:rsidR="00276AD2">
        <w:rPr>
          <w:color w:val="000000" w:themeColor="text1"/>
        </w:rPr>
        <w:t xml:space="preserve">Pharma, </w:t>
      </w:r>
      <w:r w:rsidR="00276AD2" w:rsidRPr="00823AE2">
        <w:rPr>
          <w:color w:val="000000" w:themeColor="text1"/>
        </w:rPr>
        <w:t xml:space="preserve">and </w:t>
      </w:r>
      <w:proofErr w:type="spellStart"/>
      <w:r w:rsidR="00276AD2" w:rsidRPr="00823AE2">
        <w:rPr>
          <w:color w:val="000000" w:themeColor="text1"/>
        </w:rPr>
        <w:t>ViiV</w:t>
      </w:r>
      <w:proofErr w:type="spellEnd"/>
      <w:r w:rsidR="00276AD2" w:rsidRPr="00823AE2">
        <w:rPr>
          <w:color w:val="000000" w:themeColor="text1"/>
        </w:rPr>
        <w:t xml:space="preserve">, </w:t>
      </w:r>
      <w:r w:rsidRPr="00823AE2">
        <w:rPr>
          <w:color w:val="000000" w:themeColor="text1"/>
        </w:rPr>
        <w:t xml:space="preserve">of which AMG is the principal investigator. </w:t>
      </w:r>
      <w:r w:rsidR="0038104E">
        <w:rPr>
          <w:color w:val="000000" w:themeColor="text1"/>
        </w:rPr>
        <w:t xml:space="preserve"> </w:t>
      </w:r>
      <w:r w:rsidR="0038104E" w:rsidRPr="0038104E">
        <w:rPr>
          <w:color w:val="000000" w:themeColor="text1"/>
        </w:rPr>
        <w:t>All other authors</w:t>
      </w:r>
      <w:r w:rsidR="0038104E" w:rsidRPr="0038104E">
        <w:rPr>
          <w:color w:val="000000" w:themeColor="text1"/>
        </w:rPr>
        <w:t xml:space="preserve"> </w:t>
      </w:r>
      <w:r w:rsidR="0038104E">
        <w:rPr>
          <w:color w:val="000000" w:themeColor="text1"/>
        </w:rPr>
        <w:t xml:space="preserve">have no interest </w:t>
      </w:r>
      <w:r w:rsidR="0038104E" w:rsidRPr="0038104E">
        <w:rPr>
          <w:color w:val="000000" w:themeColor="text1"/>
        </w:rPr>
        <w:t>to declare.</w:t>
      </w:r>
      <w:r w:rsidR="0038104E">
        <w:rPr>
          <w:color w:val="000000" w:themeColor="text1"/>
        </w:rPr>
        <w:t xml:space="preserve"> </w:t>
      </w:r>
    </w:p>
    <w:p w14:paraId="7A20E4A2" w14:textId="77777777" w:rsidR="0038104E" w:rsidRDefault="0038104E" w:rsidP="00991E7C">
      <w:pPr>
        <w:tabs>
          <w:tab w:val="left" w:pos="567"/>
        </w:tabs>
        <w:spacing w:line="360" w:lineRule="auto"/>
        <w:jc w:val="both"/>
        <w:rPr>
          <w:color w:val="000000" w:themeColor="text1"/>
        </w:rPr>
      </w:pPr>
    </w:p>
    <w:p w14:paraId="3DAF4F50" w14:textId="6AECA8A4" w:rsidR="0038104E" w:rsidRPr="00E65670" w:rsidRDefault="0038104E" w:rsidP="00991E7C">
      <w:pPr>
        <w:tabs>
          <w:tab w:val="left" w:pos="567"/>
        </w:tabs>
        <w:spacing w:line="360" w:lineRule="auto"/>
        <w:jc w:val="both"/>
        <w:rPr>
          <w:i/>
          <w:color w:val="000000" w:themeColor="text1"/>
          <w:highlight w:val="yellow"/>
        </w:rPr>
      </w:pPr>
      <w:r w:rsidRPr="00E65670">
        <w:rPr>
          <w:i/>
          <w:color w:val="000000" w:themeColor="text1"/>
          <w:highlight w:val="yellow"/>
        </w:rPr>
        <w:t>Authors’ contribution</w:t>
      </w:r>
    </w:p>
    <w:p w14:paraId="735E549A" w14:textId="6898EE9B" w:rsidR="000177C8" w:rsidRPr="00823AE2" w:rsidRDefault="0038104E" w:rsidP="00991E7C">
      <w:pPr>
        <w:tabs>
          <w:tab w:val="left" w:pos="567"/>
        </w:tabs>
        <w:spacing w:line="360" w:lineRule="auto"/>
        <w:jc w:val="both"/>
        <w:rPr>
          <w:color w:val="000000" w:themeColor="text1"/>
        </w:rPr>
        <w:sectPr w:rsidR="000177C8" w:rsidRPr="00823AE2" w:rsidSect="009C69DE">
          <w:headerReference w:type="even" r:id="rId7"/>
          <w:headerReference w:type="default" r:id="rId8"/>
          <w:footerReference w:type="even" r:id="rId9"/>
          <w:footerReference w:type="default" r:id="rId10"/>
          <w:pgSz w:w="11900" w:h="16840"/>
          <w:pgMar w:top="1247" w:right="1247" w:bottom="1247" w:left="1247" w:header="708" w:footer="708" w:gutter="170"/>
          <w:lnNumType w:countBy="1" w:restart="continuous"/>
          <w:cols w:space="708"/>
          <w:docGrid w:linePitch="360"/>
        </w:sectPr>
      </w:pPr>
      <w:r w:rsidRPr="00E65670">
        <w:rPr>
          <w:color w:val="000000" w:themeColor="text1"/>
          <w:highlight w:val="yellow"/>
        </w:rPr>
        <w:t>AMG: Study design, data collection and analysis, preparation of the manuscript; AA:</w:t>
      </w:r>
      <w:r w:rsidR="00876499" w:rsidRPr="00E65670">
        <w:rPr>
          <w:color w:val="000000" w:themeColor="text1"/>
          <w:highlight w:val="yellow"/>
        </w:rPr>
        <w:t xml:space="preserve"> sequencing and data analysis; OMF: study coordination, samples and data </w:t>
      </w:r>
      <w:r w:rsidR="00DB090B" w:rsidRPr="00E65670">
        <w:rPr>
          <w:color w:val="000000" w:themeColor="text1"/>
          <w:highlight w:val="yellow"/>
        </w:rPr>
        <w:t>acquisition; LB: statistical analysis; VFD, SM, and CK: clinical supervision and data acquisition; JF: laboratory data acquisition; JT: laboratory supervision. All authors contributed to the preparation of the manuscript.</w:t>
      </w:r>
    </w:p>
    <w:p w14:paraId="34C053E4" w14:textId="196B3454" w:rsidR="006E3323" w:rsidRPr="00823AE2" w:rsidRDefault="006E3323" w:rsidP="00D921FA">
      <w:pPr>
        <w:tabs>
          <w:tab w:val="left" w:pos="567"/>
        </w:tabs>
        <w:spacing w:line="276" w:lineRule="auto"/>
        <w:jc w:val="both"/>
        <w:rPr>
          <w:sz w:val="22"/>
          <w:szCs w:val="22"/>
        </w:rPr>
      </w:pPr>
      <w:r w:rsidRPr="00823AE2">
        <w:rPr>
          <w:b/>
        </w:rPr>
        <w:lastRenderedPageBreak/>
        <w:t>REFERENCES</w:t>
      </w:r>
    </w:p>
    <w:p w14:paraId="2392E3E6" w14:textId="77777777" w:rsidR="00572EAB" w:rsidRDefault="006E3323" w:rsidP="00572EAB">
      <w:pPr>
        <w:pStyle w:val="ListParagraph"/>
        <w:numPr>
          <w:ilvl w:val="0"/>
          <w:numId w:val="2"/>
        </w:numPr>
        <w:tabs>
          <w:tab w:val="left" w:pos="0"/>
        </w:tabs>
        <w:spacing w:line="276" w:lineRule="auto"/>
        <w:jc w:val="both"/>
        <w:outlineLvl w:val="0"/>
        <w:rPr>
          <w:i/>
        </w:rPr>
      </w:pPr>
      <w:r w:rsidRPr="00823AE2">
        <w:t xml:space="preserve">World Health Organisation. </w:t>
      </w:r>
      <w:r w:rsidRPr="00572EAB">
        <w:t>Updated recommendations on first-line and second-line</w:t>
      </w:r>
      <w:r w:rsidR="004A6173" w:rsidRPr="00572EAB">
        <w:t xml:space="preserve"> </w:t>
      </w:r>
      <w:r w:rsidRPr="00572EAB">
        <w:t>antiretroviral regimens and post-exposure prophylaxis and recommendations on early infant diagnosis of HIV: Interim guidance.</w:t>
      </w:r>
      <w:r w:rsidRPr="00823AE2">
        <w:t xml:space="preserve"> July 2018. Available from: </w:t>
      </w:r>
      <w:hyperlink r:id="rId11" w:history="1">
        <w:r w:rsidRPr="00823AE2">
          <w:rPr>
            <w:i/>
          </w:rPr>
          <w:t>https://www.who.int/hiv/pub/guidelines/ARV2018update/en/</w:t>
        </w:r>
      </w:hyperlink>
    </w:p>
    <w:p w14:paraId="7DCE72B3" w14:textId="7D0284D2" w:rsidR="00572EAB" w:rsidRPr="00572EAB" w:rsidRDefault="00572EAB" w:rsidP="00572EAB">
      <w:pPr>
        <w:pStyle w:val="ListParagraph"/>
        <w:numPr>
          <w:ilvl w:val="0"/>
          <w:numId w:val="2"/>
        </w:numPr>
        <w:tabs>
          <w:tab w:val="left" w:pos="0"/>
        </w:tabs>
        <w:spacing w:line="276" w:lineRule="auto"/>
        <w:jc w:val="both"/>
        <w:outlineLvl w:val="0"/>
        <w:rPr>
          <w:i/>
        </w:rPr>
      </w:pPr>
      <w:r w:rsidRPr="00823AE2">
        <w:t xml:space="preserve">Mills EJ, </w:t>
      </w:r>
      <w:proofErr w:type="spellStart"/>
      <w:r w:rsidRPr="00823AE2">
        <w:t>Nachega</w:t>
      </w:r>
      <w:proofErr w:type="spellEnd"/>
      <w:r w:rsidRPr="00823AE2">
        <w:t xml:space="preserve"> JB, Buchan I, </w:t>
      </w:r>
      <w:proofErr w:type="spellStart"/>
      <w:r w:rsidRPr="00823AE2">
        <w:t>Orbinski</w:t>
      </w:r>
      <w:proofErr w:type="spellEnd"/>
      <w:r w:rsidRPr="00823AE2">
        <w:t xml:space="preserve"> J. </w:t>
      </w:r>
      <w:r w:rsidRPr="00572EAB">
        <w:t>Adherence to antiretroviral therapy in sub-Saharan Africa and North America.</w:t>
      </w:r>
      <w:r w:rsidRPr="00823AE2">
        <w:t xml:space="preserve"> </w:t>
      </w:r>
      <w:r w:rsidRPr="00572EAB">
        <w:rPr>
          <w:i/>
        </w:rPr>
        <w:t>JAMA</w:t>
      </w:r>
      <w:r w:rsidRPr="00823AE2">
        <w:t xml:space="preserve"> 2006; </w:t>
      </w:r>
      <w:r w:rsidRPr="00572EAB">
        <w:rPr>
          <w:b/>
        </w:rPr>
        <w:t>296:</w:t>
      </w:r>
      <w:r w:rsidR="00675112">
        <w:rPr>
          <w:b/>
        </w:rPr>
        <w:t xml:space="preserve"> </w:t>
      </w:r>
      <w:r w:rsidRPr="00823AE2">
        <w:t xml:space="preserve">679-90. </w:t>
      </w:r>
    </w:p>
    <w:p w14:paraId="7F3DB825" w14:textId="7EAFF151" w:rsidR="00572EAB" w:rsidRPr="00572EAB" w:rsidRDefault="00572EAB" w:rsidP="00572EAB">
      <w:pPr>
        <w:pStyle w:val="ListParagraph"/>
        <w:numPr>
          <w:ilvl w:val="0"/>
          <w:numId w:val="2"/>
        </w:numPr>
        <w:tabs>
          <w:tab w:val="left" w:pos="0"/>
        </w:tabs>
        <w:spacing w:line="276" w:lineRule="auto"/>
        <w:jc w:val="both"/>
        <w:outlineLvl w:val="0"/>
      </w:pPr>
      <w:r w:rsidRPr="00823AE2">
        <w:t xml:space="preserve">Ortego C, Javier TBH, Warren MR, </w:t>
      </w:r>
      <w:proofErr w:type="spellStart"/>
      <w:r w:rsidRPr="00823AE2">
        <w:t>Vejo</w:t>
      </w:r>
      <w:proofErr w:type="spellEnd"/>
      <w:r w:rsidRPr="00823AE2">
        <w:t xml:space="preserve"> J. </w:t>
      </w:r>
      <w:r w:rsidRPr="00572EAB">
        <w:t xml:space="preserve">Adherence to highly active antiretroviral therapy (HAART): a meta-analysis. </w:t>
      </w:r>
      <w:r w:rsidRPr="00823AE2">
        <w:rPr>
          <w:i/>
        </w:rPr>
        <w:t xml:space="preserve">AIDS </w:t>
      </w:r>
      <w:proofErr w:type="spellStart"/>
      <w:r w:rsidRPr="00823AE2">
        <w:rPr>
          <w:i/>
        </w:rPr>
        <w:t>Behav</w:t>
      </w:r>
      <w:proofErr w:type="spellEnd"/>
      <w:r w:rsidRPr="00823AE2">
        <w:t xml:space="preserve"> 2011; </w:t>
      </w:r>
      <w:r w:rsidRPr="00823AE2">
        <w:rPr>
          <w:b/>
        </w:rPr>
        <w:t>15:</w:t>
      </w:r>
      <w:r w:rsidR="00675112">
        <w:rPr>
          <w:b/>
        </w:rPr>
        <w:t xml:space="preserve"> </w:t>
      </w:r>
      <w:r w:rsidRPr="00823AE2">
        <w:t>1381-96.</w:t>
      </w:r>
    </w:p>
    <w:p w14:paraId="4D4327D0" w14:textId="3EC9A70A" w:rsidR="006E3323" w:rsidRPr="00823AE2" w:rsidRDefault="006E3323" w:rsidP="004F7BAC">
      <w:pPr>
        <w:pStyle w:val="ListParagraph"/>
        <w:numPr>
          <w:ilvl w:val="0"/>
          <w:numId w:val="2"/>
        </w:numPr>
        <w:tabs>
          <w:tab w:val="left" w:pos="0"/>
        </w:tabs>
        <w:spacing w:line="276" w:lineRule="auto"/>
        <w:jc w:val="both"/>
        <w:outlineLvl w:val="0"/>
      </w:pPr>
      <w:proofErr w:type="spellStart"/>
      <w:r w:rsidRPr="00823AE2">
        <w:t>Boender</w:t>
      </w:r>
      <w:proofErr w:type="spellEnd"/>
      <w:r w:rsidRPr="00823AE2">
        <w:t xml:space="preserve"> TS, </w:t>
      </w:r>
      <w:proofErr w:type="spellStart"/>
      <w:r w:rsidRPr="00823AE2">
        <w:t>Sigaloff</w:t>
      </w:r>
      <w:proofErr w:type="spellEnd"/>
      <w:r w:rsidRPr="00823AE2">
        <w:t xml:space="preserve"> KCE, </w:t>
      </w:r>
      <w:proofErr w:type="spellStart"/>
      <w:r w:rsidRPr="00823AE2">
        <w:t>Mcmahon</w:t>
      </w:r>
      <w:proofErr w:type="spellEnd"/>
      <w:r w:rsidRPr="00823AE2">
        <w:t xml:space="preserve"> JH, </w:t>
      </w:r>
      <w:r w:rsidR="004F7BAC" w:rsidRPr="00823AE2">
        <w:rPr>
          <w:i/>
        </w:rPr>
        <w:t>et a</w:t>
      </w:r>
      <w:r w:rsidRPr="00823AE2">
        <w:rPr>
          <w:i/>
        </w:rPr>
        <w:t>l</w:t>
      </w:r>
      <w:r w:rsidRPr="00823AE2">
        <w:t xml:space="preserve">. </w:t>
      </w:r>
      <w:r w:rsidRPr="00572EAB">
        <w:t xml:space="preserve">Long-term virological outcomes of first-line antiretroviral therapy for HIV-1 in low- and middle-income countries: a systematic review and meta-analysis. </w:t>
      </w:r>
      <w:proofErr w:type="spellStart"/>
      <w:r w:rsidRPr="00823AE2">
        <w:rPr>
          <w:i/>
        </w:rPr>
        <w:t>Clin</w:t>
      </w:r>
      <w:proofErr w:type="spellEnd"/>
      <w:r w:rsidRPr="00823AE2">
        <w:rPr>
          <w:i/>
        </w:rPr>
        <w:t xml:space="preserve"> Infect Dis</w:t>
      </w:r>
      <w:r w:rsidRPr="00823AE2">
        <w:t xml:space="preserve"> 2015;</w:t>
      </w:r>
      <w:r w:rsidR="004F7BAC" w:rsidRPr="00823AE2">
        <w:t xml:space="preserve"> </w:t>
      </w:r>
      <w:r w:rsidRPr="00823AE2">
        <w:rPr>
          <w:b/>
        </w:rPr>
        <w:t>61:</w:t>
      </w:r>
      <w:r w:rsidR="00675112">
        <w:rPr>
          <w:b/>
        </w:rPr>
        <w:t xml:space="preserve"> </w:t>
      </w:r>
      <w:r w:rsidRPr="00823AE2">
        <w:t xml:space="preserve">1453-61. </w:t>
      </w:r>
    </w:p>
    <w:p w14:paraId="245B3C78" w14:textId="5919F2CA" w:rsidR="006E3323" w:rsidRPr="00823AE2" w:rsidRDefault="006E3323" w:rsidP="00D921FA">
      <w:pPr>
        <w:pStyle w:val="ListParagraph"/>
        <w:numPr>
          <w:ilvl w:val="0"/>
          <w:numId w:val="2"/>
        </w:numPr>
        <w:tabs>
          <w:tab w:val="left" w:pos="0"/>
        </w:tabs>
        <w:spacing w:line="276" w:lineRule="auto"/>
        <w:jc w:val="both"/>
        <w:outlineLvl w:val="0"/>
      </w:pPr>
      <w:r w:rsidRPr="00823AE2">
        <w:t xml:space="preserve">Stockdale AJ, Saunders MJ, Boyd MA, </w:t>
      </w:r>
      <w:r w:rsidRPr="00823AE2">
        <w:rPr>
          <w:i/>
        </w:rPr>
        <w:t>et al.</w:t>
      </w:r>
      <w:r w:rsidRPr="00823AE2">
        <w:t xml:space="preserve"> </w:t>
      </w:r>
      <w:r w:rsidRPr="00572EAB">
        <w:t>Effectiveness of protease inhibitor/</w:t>
      </w:r>
      <w:proofErr w:type="spellStart"/>
      <w:r w:rsidRPr="00572EAB">
        <w:t>nucleos</w:t>
      </w:r>
      <w:proofErr w:type="spellEnd"/>
      <w:r w:rsidRPr="00572EAB">
        <w:t xml:space="preserve">(t)ide reverse transcriptase inhibitor–based second-line antiretroviral therapy for the treatment of HIV-1 infection in sub-Saharan Africa: a systematic review and meta-analysis. </w:t>
      </w:r>
      <w:proofErr w:type="spellStart"/>
      <w:r w:rsidRPr="00823AE2">
        <w:rPr>
          <w:i/>
        </w:rPr>
        <w:t>Clin</w:t>
      </w:r>
      <w:proofErr w:type="spellEnd"/>
      <w:r w:rsidRPr="00823AE2">
        <w:rPr>
          <w:i/>
        </w:rPr>
        <w:t xml:space="preserve"> Infect Dis</w:t>
      </w:r>
      <w:r w:rsidRPr="00823AE2">
        <w:t xml:space="preserve"> 2018;</w:t>
      </w:r>
      <w:r w:rsidR="004F7BAC" w:rsidRPr="00823AE2">
        <w:t xml:space="preserve"> </w:t>
      </w:r>
      <w:r w:rsidRPr="00823AE2">
        <w:rPr>
          <w:b/>
        </w:rPr>
        <w:t>66:</w:t>
      </w:r>
      <w:r w:rsidR="00675112">
        <w:rPr>
          <w:b/>
        </w:rPr>
        <w:t xml:space="preserve"> </w:t>
      </w:r>
      <w:r w:rsidRPr="00823AE2">
        <w:t>1846-57.</w:t>
      </w:r>
    </w:p>
    <w:p w14:paraId="4E82A9CA" w14:textId="1160C913" w:rsidR="003776A9" w:rsidRPr="00823AE2" w:rsidRDefault="003776A9" w:rsidP="00D921FA">
      <w:pPr>
        <w:pStyle w:val="ListParagraph"/>
        <w:numPr>
          <w:ilvl w:val="0"/>
          <w:numId w:val="2"/>
        </w:numPr>
        <w:tabs>
          <w:tab w:val="left" w:pos="0"/>
        </w:tabs>
        <w:spacing w:line="276" w:lineRule="auto"/>
        <w:jc w:val="both"/>
        <w:outlineLvl w:val="0"/>
      </w:pPr>
      <w:proofErr w:type="spellStart"/>
      <w:r w:rsidRPr="00823AE2">
        <w:t>Hamers</w:t>
      </w:r>
      <w:proofErr w:type="spellEnd"/>
      <w:r w:rsidRPr="00823AE2">
        <w:t xml:space="preserve"> RL, </w:t>
      </w:r>
      <w:proofErr w:type="spellStart"/>
      <w:r w:rsidRPr="00823AE2">
        <w:t>Sigaloff</w:t>
      </w:r>
      <w:proofErr w:type="spellEnd"/>
      <w:r w:rsidRPr="00823AE2">
        <w:t xml:space="preserve"> KCE, </w:t>
      </w:r>
      <w:proofErr w:type="spellStart"/>
      <w:r w:rsidRPr="00823AE2">
        <w:t>Wensing</w:t>
      </w:r>
      <w:proofErr w:type="spellEnd"/>
      <w:r w:rsidRPr="00823AE2">
        <w:t xml:space="preserve"> AM, </w:t>
      </w:r>
      <w:r w:rsidRPr="00823AE2">
        <w:rPr>
          <w:i/>
        </w:rPr>
        <w:t>et al.</w:t>
      </w:r>
      <w:r w:rsidRPr="00823AE2">
        <w:t xml:space="preserve"> </w:t>
      </w:r>
      <w:r w:rsidRPr="00572EAB">
        <w:t xml:space="preserve">Patterns of HIV-1 drug resistance after first-line antiretroviral therapy (ART) failure in 6 sub-Saharan African countries: Implications for second-line ART strategies. </w:t>
      </w:r>
      <w:proofErr w:type="spellStart"/>
      <w:r w:rsidRPr="00572EAB">
        <w:rPr>
          <w:i/>
        </w:rPr>
        <w:t>C</w:t>
      </w:r>
      <w:r w:rsidRPr="00823AE2">
        <w:rPr>
          <w:i/>
        </w:rPr>
        <w:t>lin</w:t>
      </w:r>
      <w:proofErr w:type="spellEnd"/>
      <w:r w:rsidRPr="00823AE2">
        <w:rPr>
          <w:i/>
        </w:rPr>
        <w:t xml:space="preserve"> Infect Dis</w:t>
      </w:r>
      <w:r w:rsidRPr="00823AE2">
        <w:t xml:space="preserve"> 2012;</w:t>
      </w:r>
      <w:r w:rsidR="004F7BAC" w:rsidRPr="00823AE2">
        <w:t xml:space="preserve"> </w:t>
      </w:r>
      <w:r w:rsidRPr="00823AE2">
        <w:rPr>
          <w:b/>
        </w:rPr>
        <w:t>54:</w:t>
      </w:r>
      <w:r w:rsidR="00E65670">
        <w:rPr>
          <w:b/>
        </w:rPr>
        <w:t xml:space="preserve"> </w:t>
      </w:r>
      <w:r w:rsidRPr="00823AE2">
        <w:t>1660-</w:t>
      </w:r>
      <w:r w:rsidR="004F7BAC" w:rsidRPr="00823AE2">
        <w:t>166</w:t>
      </w:r>
      <w:r w:rsidRPr="00823AE2">
        <w:t>9.</w:t>
      </w:r>
    </w:p>
    <w:p w14:paraId="08F098EB" w14:textId="0AECC6AF" w:rsidR="003776A9" w:rsidRPr="00823AE2" w:rsidRDefault="003776A9" w:rsidP="00D921FA">
      <w:pPr>
        <w:pStyle w:val="ListParagraph"/>
        <w:numPr>
          <w:ilvl w:val="0"/>
          <w:numId w:val="2"/>
        </w:numPr>
        <w:tabs>
          <w:tab w:val="left" w:pos="0"/>
        </w:tabs>
        <w:spacing w:line="276" w:lineRule="auto"/>
        <w:jc w:val="both"/>
        <w:outlineLvl w:val="0"/>
      </w:pPr>
      <w:r w:rsidRPr="00823AE2">
        <w:t xml:space="preserve">Lam EP, Moore CL, </w:t>
      </w:r>
      <w:proofErr w:type="spellStart"/>
      <w:r w:rsidRPr="00823AE2">
        <w:t>Gotuzzo</w:t>
      </w:r>
      <w:proofErr w:type="spellEnd"/>
      <w:r w:rsidRPr="00823AE2">
        <w:t xml:space="preserve"> E, </w:t>
      </w:r>
      <w:r w:rsidRPr="00823AE2">
        <w:rPr>
          <w:i/>
        </w:rPr>
        <w:t>et al.</w:t>
      </w:r>
      <w:r w:rsidRPr="00823AE2">
        <w:t xml:space="preserve"> </w:t>
      </w:r>
      <w:r w:rsidRPr="00572EAB">
        <w:t>Antiretroviral resistance after first-line antiretroviral therapy failure in diverse HIV-1 subtypes in the SECOND-LINE study.</w:t>
      </w:r>
      <w:r w:rsidRPr="00823AE2">
        <w:rPr>
          <w:i/>
        </w:rPr>
        <w:t xml:space="preserve"> AIDS Res Hum Retroviruses</w:t>
      </w:r>
      <w:r w:rsidRPr="00823AE2">
        <w:t xml:space="preserve"> 2016;</w:t>
      </w:r>
      <w:r w:rsidR="004F7BAC" w:rsidRPr="00823AE2">
        <w:t xml:space="preserve"> </w:t>
      </w:r>
      <w:r w:rsidRPr="00823AE2">
        <w:rPr>
          <w:b/>
        </w:rPr>
        <w:t>32:</w:t>
      </w:r>
      <w:r w:rsidR="00675112">
        <w:rPr>
          <w:b/>
        </w:rPr>
        <w:t xml:space="preserve"> </w:t>
      </w:r>
      <w:r w:rsidRPr="00823AE2">
        <w:t xml:space="preserve">841-50. </w:t>
      </w:r>
    </w:p>
    <w:p w14:paraId="38038B97" w14:textId="388EEA1C" w:rsidR="003776A9" w:rsidRPr="00823AE2" w:rsidRDefault="003776A9" w:rsidP="00D921FA">
      <w:pPr>
        <w:pStyle w:val="ListParagraph"/>
        <w:numPr>
          <w:ilvl w:val="0"/>
          <w:numId w:val="2"/>
        </w:numPr>
        <w:tabs>
          <w:tab w:val="left" w:pos="0"/>
        </w:tabs>
        <w:spacing w:line="276" w:lineRule="auto"/>
        <w:jc w:val="both"/>
        <w:outlineLvl w:val="0"/>
      </w:pPr>
      <w:proofErr w:type="spellStart"/>
      <w:r w:rsidRPr="00823AE2">
        <w:t>Tenores</w:t>
      </w:r>
      <w:proofErr w:type="spellEnd"/>
      <w:r w:rsidRPr="00823AE2">
        <w:t xml:space="preserve"> Study Group. </w:t>
      </w:r>
      <w:r w:rsidRPr="00572EAB">
        <w:t xml:space="preserve">Global epidemiology of drug resistance after failure of WHO recommended first-line regimens for adult HIV-1 infection: a multicentre retrospective cohort study. </w:t>
      </w:r>
      <w:r w:rsidRPr="00823AE2">
        <w:rPr>
          <w:i/>
        </w:rPr>
        <w:t>Lancet Infect Dis</w:t>
      </w:r>
      <w:r w:rsidRPr="00823AE2">
        <w:t xml:space="preserve"> 2016;</w:t>
      </w:r>
      <w:r w:rsidR="004E5DCE" w:rsidRPr="00823AE2">
        <w:t xml:space="preserve"> </w:t>
      </w:r>
      <w:r w:rsidRPr="00823AE2">
        <w:rPr>
          <w:b/>
        </w:rPr>
        <w:t>16:</w:t>
      </w:r>
      <w:r w:rsidR="00675112">
        <w:rPr>
          <w:b/>
        </w:rPr>
        <w:t xml:space="preserve"> </w:t>
      </w:r>
      <w:r w:rsidRPr="00823AE2">
        <w:t xml:space="preserve">565-75.  </w:t>
      </w:r>
    </w:p>
    <w:p w14:paraId="7EE237F6" w14:textId="7A4A9751" w:rsidR="003776A9" w:rsidRPr="00823AE2" w:rsidRDefault="003776A9" w:rsidP="00D921FA">
      <w:pPr>
        <w:pStyle w:val="ListParagraph"/>
        <w:numPr>
          <w:ilvl w:val="0"/>
          <w:numId w:val="2"/>
        </w:numPr>
        <w:tabs>
          <w:tab w:val="left" w:pos="0"/>
        </w:tabs>
        <w:spacing w:line="276" w:lineRule="auto"/>
        <w:jc w:val="both"/>
        <w:outlineLvl w:val="0"/>
      </w:pPr>
      <w:proofErr w:type="spellStart"/>
      <w:r w:rsidRPr="00823AE2">
        <w:t>Guichet</w:t>
      </w:r>
      <w:proofErr w:type="spellEnd"/>
      <w:r w:rsidRPr="00823AE2">
        <w:t xml:space="preserve"> E, </w:t>
      </w:r>
      <w:proofErr w:type="spellStart"/>
      <w:r w:rsidRPr="00823AE2">
        <w:t>Aghokeng</w:t>
      </w:r>
      <w:proofErr w:type="spellEnd"/>
      <w:r w:rsidRPr="00823AE2">
        <w:t xml:space="preserve"> A, Serrano L, </w:t>
      </w:r>
      <w:r w:rsidRPr="00823AE2">
        <w:rPr>
          <w:i/>
        </w:rPr>
        <w:t>et al.</w:t>
      </w:r>
      <w:r w:rsidRPr="00823AE2">
        <w:t xml:space="preserve"> </w:t>
      </w:r>
      <w:r w:rsidRPr="00572EAB">
        <w:t>High viral load and multidrug resistance due to late switch to second-line regimens could be a major obstacle to reach the 90-90-90 UNAIDS.</w:t>
      </w:r>
      <w:r w:rsidRPr="00823AE2">
        <w:t xml:space="preserve"> </w:t>
      </w:r>
      <w:r w:rsidRPr="00823AE2">
        <w:rPr>
          <w:i/>
        </w:rPr>
        <w:t>AIDS Res Hum Retroviruses</w:t>
      </w:r>
      <w:r w:rsidRPr="00823AE2">
        <w:t xml:space="preserve"> 2016;</w:t>
      </w:r>
      <w:r w:rsidR="004E5DCE" w:rsidRPr="00823AE2">
        <w:t xml:space="preserve"> </w:t>
      </w:r>
      <w:r w:rsidRPr="00823AE2">
        <w:rPr>
          <w:b/>
        </w:rPr>
        <w:t>32:</w:t>
      </w:r>
      <w:r w:rsidR="00675112">
        <w:rPr>
          <w:b/>
        </w:rPr>
        <w:t xml:space="preserve"> </w:t>
      </w:r>
      <w:r w:rsidRPr="00823AE2">
        <w:t xml:space="preserve">1159-62. </w:t>
      </w:r>
    </w:p>
    <w:p w14:paraId="7862E77A" w14:textId="5DB81966" w:rsidR="00634D37" w:rsidRDefault="00634D37" w:rsidP="00634D37">
      <w:pPr>
        <w:pStyle w:val="ListParagraph"/>
        <w:numPr>
          <w:ilvl w:val="0"/>
          <w:numId w:val="2"/>
        </w:numPr>
        <w:tabs>
          <w:tab w:val="left" w:pos="0"/>
        </w:tabs>
        <w:spacing w:line="276" w:lineRule="auto"/>
        <w:jc w:val="both"/>
        <w:outlineLvl w:val="0"/>
      </w:pPr>
      <w:r w:rsidRPr="00823AE2">
        <w:t xml:space="preserve">Villa G, Phillips RO, Smith C, </w:t>
      </w:r>
      <w:r w:rsidRPr="00823AE2">
        <w:rPr>
          <w:i/>
        </w:rPr>
        <w:t>et al.</w:t>
      </w:r>
      <w:r w:rsidRPr="00823AE2">
        <w:t xml:space="preserve"> </w:t>
      </w:r>
      <w:r w:rsidRPr="00572EAB">
        <w:t>Drug resistance outcomes of long-term ART with tenofovir disoproxil fumarate in the absence of virological monitoring.</w:t>
      </w:r>
      <w:r w:rsidRPr="00823AE2">
        <w:t xml:space="preserve"> </w:t>
      </w:r>
      <w:r w:rsidRPr="00823AE2">
        <w:rPr>
          <w:i/>
        </w:rPr>
        <w:t xml:space="preserve">J </w:t>
      </w:r>
      <w:proofErr w:type="spellStart"/>
      <w:r w:rsidRPr="00823AE2">
        <w:rPr>
          <w:i/>
        </w:rPr>
        <w:t>Antimicrob</w:t>
      </w:r>
      <w:proofErr w:type="spellEnd"/>
      <w:r w:rsidRPr="00823AE2">
        <w:rPr>
          <w:i/>
        </w:rPr>
        <w:t xml:space="preserve"> </w:t>
      </w:r>
      <w:proofErr w:type="spellStart"/>
      <w:r w:rsidRPr="00823AE2">
        <w:rPr>
          <w:i/>
        </w:rPr>
        <w:t>Chemother</w:t>
      </w:r>
      <w:proofErr w:type="spellEnd"/>
      <w:r w:rsidRPr="00823AE2">
        <w:t xml:space="preserve"> 2018; </w:t>
      </w:r>
      <w:r w:rsidRPr="00823AE2">
        <w:rPr>
          <w:b/>
        </w:rPr>
        <w:t>73:</w:t>
      </w:r>
      <w:r w:rsidR="00675112">
        <w:rPr>
          <w:b/>
        </w:rPr>
        <w:t xml:space="preserve"> </w:t>
      </w:r>
      <w:r w:rsidRPr="00823AE2">
        <w:t>3148-57.</w:t>
      </w:r>
    </w:p>
    <w:p w14:paraId="2D88D4FA" w14:textId="6C1FC845" w:rsidR="00572EAB" w:rsidRPr="00823AE2" w:rsidRDefault="00572EAB" w:rsidP="00572EAB">
      <w:pPr>
        <w:pStyle w:val="ListParagraph"/>
        <w:numPr>
          <w:ilvl w:val="0"/>
          <w:numId w:val="2"/>
        </w:numPr>
        <w:tabs>
          <w:tab w:val="left" w:pos="0"/>
        </w:tabs>
        <w:spacing w:line="276" w:lineRule="auto"/>
        <w:jc w:val="both"/>
        <w:outlineLvl w:val="0"/>
      </w:pPr>
      <w:proofErr w:type="spellStart"/>
      <w:r w:rsidRPr="00823AE2">
        <w:t>Villabona</w:t>
      </w:r>
      <w:proofErr w:type="spellEnd"/>
      <w:r w:rsidRPr="00823AE2">
        <w:t xml:space="preserve">-Arenas CJ, </w:t>
      </w:r>
      <w:proofErr w:type="spellStart"/>
      <w:r w:rsidRPr="00823AE2">
        <w:t>Eymard-Duvernay</w:t>
      </w:r>
      <w:proofErr w:type="spellEnd"/>
      <w:r w:rsidRPr="00823AE2">
        <w:t xml:space="preserve"> S, </w:t>
      </w:r>
      <w:proofErr w:type="spellStart"/>
      <w:r w:rsidRPr="00823AE2">
        <w:t>Aghokeng</w:t>
      </w:r>
      <w:proofErr w:type="spellEnd"/>
      <w:r w:rsidRPr="00823AE2">
        <w:t xml:space="preserve"> A, </w:t>
      </w:r>
      <w:r w:rsidRPr="00823AE2">
        <w:rPr>
          <w:i/>
        </w:rPr>
        <w:t>et al.</w:t>
      </w:r>
      <w:r w:rsidRPr="00823AE2">
        <w:t xml:space="preserve"> </w:t>
      </w:r>
      <w:r w:rsidRPr="00572EAB">
        <w:t xml:space="preserve">Nucleoside reverse transcriptase inhibitors with reduced predicted activity do not impair second-line therapy with lopinavir/ritonavir or darunavir/ritonavir. </w:t>
      </w:r>
      <w:r w:rsidRPr="00823AE2">
        <w:rPr>
          <w:i/>
        </w:rPr>
        <w:t>AIDS Res Hum Retroviruses</w:t>
      </w:r>
      <w:r w:rsidRPr="00823AE2">
        <w:t xml:space="preserve"> 2018; </w:t>
      </w:r>
      <w:r w:rsidRPr="00823AE2">
        <w:rPr>
          <w:b/>
        </w:rPr>
        <w:t>34:</w:t>
      </w:r>
      <w:r w:rsidR="00675112">
        <w:rPr>
          <w:b/>
        </w:rPr>
        <w:t xml:space="preserve"> </w:t>
      </w:r>
      <w:r w:rsidRPr="00823AE2">
        <w:t xml:space="preserve">477-80. </w:t>
      </w:r>
    </w:p>
    <w:p w14:paraId="532A13C0" w14:textId="1A52EBB7" w:rsidR="00634D37" w:rsidRPr="00823AE2" w:rsidRDefault="00634D37" w:rsidP="00634D37">
      <w:pPr>
        <w:pStyle w:val="ListParagraph"/>
        <w:numPr>
          <w:ilvl w:val="0"/>
          <w:numId w:val="2"/>
        </w:numPr>
        <w:tabs>
          <w:tab w:val="left" w:pos="0"/>
        </w:tabs>
        <w:spacing w:line="276" w:lineRule="auto"/>
        <w:jc w:val="both"/>
        <w:outlineLvl w:val="0"/>
      </w:pPr>
      <w:r w:rsidRPr="00823AE2">
        <w:t xml:space="preserve">Ruggiero A, De </w:t>
      </w:r>
      <w:proofErr w:type="spellStart"/>
      <w:r w:rsidRPr="00823AE2">
        <w:t>Spiegelaere</w:t>
      </w:r>
      <w:proofErr w:type="spellEnd"/>
      <w:r w:rsidRPr="00823AE2">
        <w:t xml:space="preserve"> W, </w:t>
      </w:r>
      <w:proofErr w:type="spellStart"/>
      <w:r w:rsidRPr="00823AE2">
        <w:t>Cozzi-Lepri</w:t>
      </w:r>
      <w:proofErr w:type="spellEnd"/>
      <w:r w:rsidRPr="00823AE2">
        <w:t xml:space="preserve"> A, </w:t>
      </w:r>
      <w:r w:rsidRPr="00823AE2">
        <w:rPr>
          <w:i/>
        </w:rPr>
        <w:t>et al.</w:t>
      </w:r>
      <w:r w:rsidRPr="00823AE2">
        <w:t xml:space="preserve"> </w:t>
      </w:r>
      <w:r w:rsidRPr="00634D37">
        <w:t>During stably suppressive antiretroviral therapy integrated HIV-1 DNA load in peripheral blood is associated with the frequency of CD8 cells expressing HLA-DR/DP/DQ.</w:t>
      </w:r>
      <w:r w:rsidRPr="00823AE2">
        <w:t xml:space="preserve"> </w:t>
      </w:r>
      <w:proofErr w:type="spellStart"/>
      <w:r w:rsidRPr="00823AE2">
        <w:rPr>
          <w:i/>
        </w:rPr>
        <w:t>EBioMedicine</w:t>
      </w:r>
      <w:proofErr w:type="spellEnd"/>
      <w:r w:rsidRPr="00823AE2">
        <w:t xml:space="preserve"> 2015; </w:t>
      </w:r>
      <w:r w:rsidRPr="00823AE2">
        <w:rPr>
          <w:b/>
        </w:rPr>
        <w:t>2:</w:t>
      </w:r>
      <w:r w:rsidR="00675112">
        <w:rPr>
          <w:b/>
        </w:rPr>
        <w:t xml:space="preserve"> </w:t>
      </w:r>
      <w:r w:rsidRPr="00823AE2">
        <w:t>1153-9.</w:t>
      </w:r>
    </w:p>
    <w:p w14:paraId="0C1F72EE" w14:textId="7AB3471A" w:rsidR="00572EAB" w:rsidRDefault="00634D37" w:rsidP="00634D37">
      <w:pPr>
        <w:pStyle w:val="ListParagraph"/>
        <w:numPr>
          <w:ilvl w:val="0"/>
          <w:numId w:val="2"/>
        </w:numPr>
        <w:tabs>
          <w:tab w:val="left" w:pos="0"/>
        </w:tabs>
        <w:spacing w:line="276" w:lineRule="auto"/>
        <w:jc w:val="both"/>
        <w:outlineLvl w:val="0"/>
      </w:pPr>
      <w:r w:rsidRPr="00823AE2">
        <w:t xml:space="preserve">Geretti AM, Conibear T, Hill A, </w:t>
      </w:r>
      <w:r w:rsidRPr="00823AE2">
        <w:rPr>
          <w:i/>
        </w:rPr>
        <w:t>et al.</w:t>
      </w:r>
      <w:r w:rsidRPr="00823AE2">
        <w:t xml:space="preserve"> </w:t>
      </w:r>
      <w:r w:rsidRPr="00634D37">
        <w:t>Sensitive testing of plasma HIV-1 RNA and Sanger sequencing of cellular HIV-1 DNA for the detection of drug resistance prior to starting first-line antiretroviral therapy with etravirine or efavirenz.</w:t>
      </w:r>
      <w:r w:rsidRPr="00823AE2">
        <w:t xml:space="preserve"> </w:t>
      </w:r>
      <w:r w:rsidRPr="00823AE2">
        <w:rPr>
          <w:i/>
        </w:rPr>
        <w:t xml:space="preserve">J </w:t>
      </w:r>
      <w:proofErr w:type="spellStart"/>
      <w:r w:rsidRPr="00823AE2">
        <w:rPr>
          <w:i/>
        </w:rPr>
        <w:t>Antimicrob</w:t>
      </w:r>
      <w:proofErr w:type="spellEnd"/>
      <w:r w:rsidRPr="00823AE2">
        <w:rPr>
          <w:i/>
        </w:rPr>
        <w:t xml:space="preserve"> </w:t>
      </w:r>
      <w:proofErr w:type="spellStart"/>
      <w:r w:rsidRPr="00823AE2">
        <w:rPr>
          <w:i/>
        </w:rPr>
        <w:t>Chemother</w:t>
      </w:r>
      <w:proofErr w:type="spellEnd"/>
      <w:r w:rsidRPr="00823AE2">
        <w:t xml:space="preserve"> 2014; </w:t>
      </w:r>
      <w:r w:rsidRPr="00823AE2">
        <w:rPr>
          <w:b/>
        </w:rPr>
        <w:t>69:</w:t>
      </w:r>
      <w:r w:rsidRPr="00823AE2">
        <w:t xml:space="preserve"> 1090-7. </w:t>
      </w:r>
    </w:p>
    <w:p w14:paraId="7BDFFA7A" w14:textId="4ABBA39C" w:rsidR="00634D37" w:rsidRPr="00823AE2" w:rsidRDefault="00634D37" w:rsidP="00634D37">
      <w:pPr>
        <w:pStyle w:val="ListParagraph"/>
        <w:numPr>
          <w:ilvl w:val="0"/>
          <w:numId w:val="2"/>
        </w:numPr>
        <w:tabs>
          <w:tab w:val="left" w:pos="0"/>
        </w:tabs>
        <w:spacing w:line="276" w:lineRule="auto"/>
        <w:jc w:val="both"/>
        <w:outlineLvl w:val="0"/>
      </w:pPr>
      <w:proofErr w:type="spellStart"/>
      <w:r w:rsidRPr="00823AE2">
        <w:lastRenderedPageBreak/>
        <w:t>Arribas</w:t>
      </w:r>
      <w:proofErr w:type="spellEnd"/>
      <w:r w:rsidRPr="00823AE2">
        <w:t xml:space="preserve"> JR, Girard PM, Paton N, </w:t>
      </w:r>
      <w:r w:rsidRPr="00823AE2">
        <w:rPr>
          <w:i/>
        </w:rPr>
        <w:t>et al.</w:t>
      </w:r>
      <w:r w:rsidRPr="00823AE2">
        <w:t xml:space="preserve"> </w:t>
      </w:r>
      <w:r w:rsidRPr="00634D37">
        <w:t xml:space="preserve">Efficacy of protease inhibitor monotherapy vs. triple therapy: meta-analysis of data from 2303 patients in 13 randomized trials. </w:t>
      </w:r>
      <w:r w:rsidRPr="00823AE2">
        <w:rPr>
          <w:i/>
        </w:rPr>
        <w:t xml:space="preserve">HIV Med </w:t>
      </w:r>
      <w:r w:rsidRPr="00823AE2">
        <w:t xml:space="preserve">2016; </w:t>
      </w:r>
      <w:r w:rsidRPr="00823AE2">
        <w:rPr>
          <w:b/>
        </w:rPr>
        <w:t>17:</w:t>
      </w:r>
      <w:r w:rsidR="00675112">
        <w:rPr>
          <w:b/>
        </w:rPr>
        <w:t xml:space="preserve"> </w:t>
      </w:r>
      <w:r w:rsidRPr="00823AE2">
        <w:t>358-67.</w:t>
      </w:r>
    </w:p>
    <w:p w14:paraId="3FB22AE3" w14:textId="490E9353" w:rsidR="007A3498" w:rsidRDefault="007A3498" w:rsidP="00D921FA">
      <w:pPr>
        <w:pStyle w:val="ListParagraph"/>
        <w:numPr>
          <w:ilvl w:val="0"/>
          <w:numId w:val="2"/>
        </w:numPr>
        <w:tabs>
          <w:tab w:val="left" w:pos="0"/>
        </w:tabs>
        <w:spacing w:line="276" w:lineRule="auto"/>
        <w:jc w:val="both"/>
        <w:outlineLvl w:val="0"/>
      </w:pPr>
      <w:proofErr w:type="spellStart"/>
      <w:r w:rsidRPr="00823AE2">
        <w:t>Ciaffi</w:t>
      </w:r>
      <w:proofErr w:type="spellEnd"/>
      <w:r w:rsidRPr="00823AE2">
        <w:t xml:space="preserve"> L, </w:t>
      </w:r>
      <w:proofErr w:type="spellStart"/>
      <w:r w:rsidRPr="00823AE2">
        <w:t>Koulla</w:t>
      </w:r>
      <w:proofErr w:type="spellEnd"/>
      <w:r w:rsidRPr="00823AE2">
        <w:t xml:space="preserve">-Shiro S, </w:t>
      </w:r>
      <w:proofErr w:type="spellStart"/>
      <w:r w:rsidRPr="00823AE2">
        <w:t>Sawadogo</w:t>
      </w:r>
      <w:proofErr w:type="spellEnd"/>
      <w:r w:rsidRPr="00823AE2">
        <w:t xml:space="preserve"> AB, </w:t>
      </w:r>
      <w:r w:rsidRPr="00823AE2">
        <w:rPr>
          <w:i/>
        </w:rPr>
        <w:t>et al.</w:t>
      </w:r>
      <w:r w:rsidRPr="00823AE2">
        <w:t xml:space="preserve"> </w:t>
      </w:r>
      <w:r w:rsidRPr="00634D37">
        <w:t>Boosted protease inhibitor monotherapy versus boosted protease inhibitor plus lamivudine dual therapy as second-line maintenance treatment for HIV-1-infected patients in sub-Saharan Africa (ANRS12 286/MOBIDIP): a multicentre, randomised, parallel, open-label, superiority trial.</w:t>
      </w:r>
      <w:r w:rsidRPr="00823AE2">
        <w:t xml:space="preserve"> </w:t>
      </w:r>
      <w:r w:rsidRPr="00823AE2">
        <w:rPr>
          <w:i/>
        </w:rPr>
        <w:t>Lancet HIV</w:t>
      </w:r>
      <w:r w:rsidRPr="00823AE2">
        <w:t xml:space="preserve"> 2017;</w:t>
      </w:r>
      <w:r w:rsidR="004E5DCE" w:rsidRPr="00823AE2">
        <w:t xml:space="preserve"> </w:t>
      </w:r>
      <w:r w:rsidRPr="00823AE2">
        <w:rPr>
          <w:b/>
        </w:rPr>
        <w:t>4:</w:t>
      </w:r>
      <w:r w:rsidR="00E65670">
        <w:rPr>
          <w:b/>
        </w:rPr>
        <w:t xml:space="preserve"> </w:t>
      </w:r>
      <w:r w:rsidRPr="00823AE2">
        <w:t>e</w:t>
      </w:r>
      <w:r w:rsidR="00675112">
        <w:t xml:space="preserve"> </w:t>
      </w:r>
      <w:r w:rsidRPr="00823AE2">
        <w:t xml:space="preserve">384-92. </w:t>
      </w:r>
    </w:p>
    <w:p w14:paraId="5ADF598C" w14:textId="0DBD518F" w:rsidR="00634D37" w:rsidRPr="00823AE2" w:rsidRDefault="00634D37" w:rsidP="00634D37">
      <w:pPr>
        <w:pStyle w:val="ListParagraph"/>
        <w:numPr>
          <w:ilvl w:val="0"/>
          <w:numId w:val="2"/>
        </w:numPr>
        <w:tabs>
          <w:tab w:val="left" w:pos="0"/>
        </w:tabs>
        <w:spacing w:line="276" w:lineRule="auto"/>
        <w:jc w:val="both"/>
        <w:outlineLvl w:val="0"/>
      </w:pPr>
      <w:r w:rsidRPr="00823AE2">
        <w:t xml:space="preserve">Thompson JA, </w:t>
      </w:r>
      <w:proofErr w:type="spellStart"/>
      <w:r w:rsidRPr="00823AE2">
        <w:t>Kityo</w:t>
      </w:r>
      <w:proofErr w:type="spellEnd"/>
      <w:r w:rsidRPr="00823AE2">
        <w:t xml:space="preserve"> C, Dunn D, </w:t>
      </w:r>
      <w:r w:rsidRPr="00823AE2">
        <w:rPr>
          <w:i/>
        </w:rPr>
        <w:t>et al.</w:t>
      </w:r>
      <w:r w:rsidRPr="00823AE2">
        <w:t xml:space="preserve"> </w:t>
      </w:r>
      <w:r w:rsidRPr="00634D37">
        <w:t xml:space="preserve">Evolution of protease inhibitor resistance in Human Immunodeficiency Virus type 1 infected patients failing protease inhibitor monotherapy as second-line therapy in low-income countries: an observational analysis within the EARNEST randomized trial.  </w:t>
      </w:r>
      <w:proofErr w:type="spellStart"/>
      <w:r w:rsidRPr="00823AE2">
        <w:rPr>
          <w:i/>
        </w:rPr>
        <w:t>Clin</w:t>
      </w:r>
      <w:proofErr w:type="spellEnd"/>
      <w:r w:rsidRPr="00823AE2">
        <w:rPr>
          <w:i/>
        </w:rPr>
        <w:t xml:space="preserve"> Infect Di</w:t>
      </w:r>
      <w:r w:rsidR="00E65670">
        <w:rPr>
          <w:i/>
        </w:rPr>
        <w:t>s</w:t>
      </w:r>
      <w:r w:rsidRPr="00823AE2">
        <w:rPr>
          <w:i/>
        </w:rPr>
        <w:t xml:space="preserve"> </w:t>
      </w:r>
      <w:r w:rsidRPr="00823AE2">
        <w:t>2018 Jul 28</w:t>
      </w:r>
      <w:r w:rsidR="00E65670">
        <w:t xml:space="preserve"> [</w:t>
      </w:r>
      <w:r w:rsidR="00E65670" w:rsidRPr="00E65670">
        <w:t>[</w:t>
      </w:r>
      <w:proofErr w:type="spellStart"/>
      <w:r w:rsidR="00E65670" w:rsidRPr="00E65670">
        <w:t>Epub</w:t>
      </w:r>
      <w:proofErr w:type="spellEnd"/>
      <w:r w:rsidR="00E65670" w:rsidRPr="00E65670">
        <w:t xml:space="preserve"> ahead of print]</w:t>
      </w:r>
      <w:r w:rsidR="00E65670">
        <w:t>.</w:t>
      </w:r>
    </w:p>
    <w:p w14:paraId="73B3C438" w14:textId="32EEA4D4" w:rsidR="00D55E4E" w:rsidRPr="00823AE2" w:rsidRDefault="00D55E4E" w:rsidP="00D921FA">
      <w:pPr>
        <w:pStyle w:val="ListParagraph"/>
        <w:numPr>
          <w:ilvl w:val="0"/>
          <w:numId w:val="2"/>
        </w:numPr>
        <w:tabs>
          <w:tab w:val="left" w:pos="0"/>
        </w:tabs>
        <w:spacing w:line="276" w:lineRule="auto"/>
        <w:jc w:val="both"/>
        <w:outlineLvl w:val="0"/>
      </w:pPr>
      <w:proofErr w:type="spellStart"/>
      <w:r w:rsidRPr="00823AE2">
        <w:t>Abdullahi</w:t>
      </w:r>
      <w:proofErr w:type="spellEnd"/>
      <w:r w:rsidRPr="00823AE2">
        <w:t xml:space="preserve"> A, </w:t>
      </w:r>
      <w:proofErr w:type="spellStart"/>
      <w:r w:rsidRPr="00823AE2">
        <w:t>Fopoussi</w:t>
      </w:r>
      <w:proofErr w:type="spellEnd"/>
      <w:r w:rsidRPr="00823AE2">
        <w:t xml:space="preserve"> OM, </w:t>
      </w:r>
      <w:proofErr w:type="spellStart"/>
      <w:r w:rsidRPr="00823AE2">
        <w:t>Torimiro</w:t>
      </w:r>
      <w:proofErr w:type="spellEnd"/>
      <w:r w:rsidRPr="00823AE2">
        <w:t xml:space="preserve"> J, </w:t>
      </w:r>
      <w:r w:rsidR="005453C0" w:rsidRPr="005453C0">
        <w:rPr>
          <w:i/>
        </w:rPr>
        <w:t>et al</w:t>
      </w:r>
      <w:r w:rsidRPr="00823AE2">
        <w:t xml:space="preserve">. </w:t>
      </w:r>
      <w:r w:rsidRPr="00634D37">
        <w:t xml:space="preserve">Hepatitis B Virus (HBV) infection and re-activation during </w:t>
      </w:r>
      <w:proofErr w:type="spellStart"/>
      <w:r w:rsidRPr="00634D37">
        <w:t>nucleos</w:t>
      </w:r>
      <w:proofErr w:type="spellEnd"/>
      <w:r w:rsidRPr="00634D37">
        <w:t xml:space="preserve">(t)ide reverse transcriptase inhibitor-sparing antiretroviral therapy in a high-HBV endemicity setting. </w:t>
      </w:r>
      <w:r w:rsidRPr="00823AE2">
        <w:rPr>
          <w:i/>
        </w:rPr>
        <w:t>Open Forum Infect Di</w:t>
      </w:r>
      <w:r w:rsidR="00E65670">
        <w:rPr>
          <w:i/>
        </w:rPr>
        <w:t>s</w:t>
      </w:r>
      <w:r w:rsidRPr="00823AE2">
        <w:t xml:space="preserve"> 2018;</w:t>
      </w:r>
      <w:r w:rsidR="004E5DCE" w:rsidRPr="00823AE2">
        <w:t xml:space="preserve"> </w:t>
      </w:r>
      <w:r w:rsidRPr="00823AE2">
        <w:rPr>
          <w:b/>
        </w:rPr>
        <w:t>5:</w:t>
      </w:r>
      <w:r w:rsidR="00E65670">
        <w:rPr>
          <w:b/>
        </w:rPr>
        <w:t xml:space="preserve"> </w:t>
      </w:r>
      <w:r w:rsidRPr="00823AE2">
        <w:t>ofy251.</w:t>
      </w:r>
    </w:p>
    <w:p w14:paraId="509DDD0F" w14:textId="0836369B" w:rsidR="00111031" w:rsidRPr="00823AE2" w:rsidRDefault="00111031" w:rsidP="00D921FA">
      <w:pPr>
        <w:pStyle w:val="ListParagraph"/>
        <w:numPr>
          <w:ilvl w:val="0"/>
          <w:numId w:val="2"/>
        </w:numPr>
        <w:tabs>
          <w:tab w:val="left" w:pos="0"/>
        </w:tabs>
        <w:spacing w:line="276" w:lineRule="auto"/>
        <w:jc w:val="both"/>
        <w:outlineLvl w:val="0"/>
      </w:pPr>
      <w:proofErr w:type="spellStart"/>
      <w:r w:rsidRPr="00823AE2">
        <w:t>Orrell</w:t>
      </w:r>
      <w:proofErr w:type="spellEnd"/>
      <w:r w:rsidRPr="00823AE2">
        <w:t xml:space="preserve"> C, Cohen K, </w:t>
      </w:r>
      <w:proofErr w:type="spellStart"/>
      <w:r w:rsidRPr="00823AE2">
        <w:t>Leisegang</w:t>
      </w:r>
      <w:proofErr w:type="spellEnd"/>
      <w:r w:rsidRPr="00823AE2">
        <w:t xml:space="preserve"> R, </w:t>
      </w:r>
      <w:r w:rsidR="00F87B55" w:rsidRPr="005453C0">
        <w:rPr>
          <w:i/>
        </w:rPr>
        <w:t>et al</w:t>
      </w:r>
      <w:r w:rsidRPr="00823AE2">
        <w:t xml:space="preserve">. </w:t>
      </w:r>
      <w:r w:rsidRPr="00634D37">
        <w:t xml:space="preserve">Comparison of six methods to estimate adherence in an ART-naive cohort in a resource-poor setting: which best predicts virological and resistance outcomes? </w:t>
      </w:r>
      <w:r w:rsidRPr="00823AE2">
        <w:rPr>
          <w:i/>
        </w:rPr>
        <w:t xml:space="preserve">AIDS Res </w:t>
      </w:r>
      <w:proofErr w:type="spellStart"/>
      <w:r w:rsidRPr="00823AE2">
        <w:rPr>
          <w:i/>
        </w:rPr>
        <w:t>The</w:t>
      </w:r>
      <w:r w:rsidR="00E65670">
        <w:rPr>
          <w:i/>
        </w:rPr>
        <w:t>r</w:t>
      </w:r>
      <w:proofErr w:type="spellEnd"/>
      <w:r w:rsidRPr="00823AE2">
        <w:t xml:space="preserve"> 2017;</w:t>
      </w:r>
      <w:r w:rsidR="00950FC1" w:rsidRPr="00823AE2">
        <w:t xml:space="preserve"> </w:t>
      </w:r>
      <w:r w:rsidRPr="00823AE2">
        <w:rPr>
          <w:b/>
        </w:rPr>
        <w:t>14:</w:t>
      </w:r>
      <w:r w:rsidR="00E65670">
        <w:rPr>
          <w:b/>
        </w:rPr>
        <w:t xml:space="preserve"> </w:t>
      </w:r>
      <w:r w:rsidRPr="00823AE2">
        <w:t>20.</w:t>
      </w:r>
    </w:p>
    <w:p w14:paraId="4E672F62" w14:textId="54354A78" w:rsidR="00111031" w:rsidRPr="00823AE2" w:rsidRDefault="00111031" w:rsidP="00D921FA">
      <w:pPr>
        <w:pStyle w:val="ListParagraph"/>
        <w:numPr>
          <w:ilvl w:val="0"/>
          <w:numId w:val="2"/>
        </w:numPr>
        <w:tabs>
          <w:tab w:val="left" w:pos="0"/>
        </w:tabs>
        <w:spacing w:line="276" w:lineRule="auto"/>
        <w:jc w:val="both"/>
        <w:outlineLvl w:val="0"/>
      </w:pPr>
      <w:proofErr w:type="spellStart"/>
      <w:r w:rsidRPr="00823AE2">
        <w:t>Stöhr</w:t>
      </w:r>
      <w:proofErr w:type="spellEnd"/>
      <w:r w:rsidRPr="00823AE2">
        <w:t xml:space="preserve"> W, Dunn DT, Arenas-Pinto A, </w:t>
      </w:r>
      <w:r w:rsidRPr="00823AE2">
        <w:rPr>
          <w:i/>
        </w:rPr>
        <w:t>et al</w:t>
      </w:r>
      <w:r w:rsidRPr="00823AE2">
        <w:t xml:space="preserve">. </w:t>
      </w:r>
      <w:r w:rsidRPr="00634D37">
        <w:t xml:space="preserve">Factors associated with virological rebound in HIV-infected patients receiving protease inhibitor monotherapy. </w:t>
      </w:r>
      <w:r w:rsidRPr="00823AE2">
        <w:rPr>
          <w:i/>
        </w:rPr>
        <w:t>AIDS</w:t>
      </w:r>
      <w:r w:rsidRPr="00823AE2">
        <w:t xml:space="preserve"> 2016;</w:t>
      </w:r>
      <w:r w:rsidR="006E79BA" w:rsidRPr="00823AE2">
        <w:t xml:space="preserve"> </w:t>
      </w:r>
      <w:r w:rsidRPr="00823AE2">
        <w:rPr>
          <w:b/>
        </w:rPr>
        <w:t>30:</w:t>
      </w:r>
      <w:r w:rsidR="00675112">
        <w:rPr>
          <w:b/>
        </w:rPr>
        <w:t xml:space="preserve"> </w:t>
      </w:r>
      <w:r w:rsidRPr="00823AE2">
        <w:t>2617-24.</w:t>
      </w:r>
    </w:p>
    <w:p w14:paraId="6791A3A2" w14:textId="22D2F07E" w:rsidR="00111031" w:rsidRPr="00823AE2" w:rsidRDefault="00111031" w:rsidP="00D921FA">
      <w:pPr>
        <w:pStyle w:val="ListParagraph"/>
        <w:numPr>
          <w:ilvl w:val="0"/>
          <w:numId w:val="2"/>
        </w:numPr>
        <w:tabs>
          <w:tab w:val="left" w:pos="0"/>
        </w:tabs>
        <w:spacing w:line="276" w:lineRule="auto"/>
        <w:jc w:val="both"/>
        <w:outlineLvl w:val="0"/>
      </w:pPr>
      <w:r w:rsidRPr="00823AE2">
        <w:t>Lambert-</w:t>
      </w:r>
      <w:proofErr w:type="spellStart"/>
      <w:r w:rsidRPr="00823AE2">
        <w:t>Niclot</w:t>
      </w:r>
      <w:proofErr w:type="spellEnd"/>
      <w:r w:rsidRPr="00823AE2">
        <w:t xml:space="preserve"> S, </w:t>
      </w:r>
      <w:proofErr w:type="spellStart"/>
      <w:r w:rsidRPr="00823AE2">
        <w:t>Flandre</w:t>
      </w:r>
      <w:proofErr w:type="spellEnd"/>
      <w:r w:rsidRPr="00823AE2">
        <w:t xml:space="preserve"> P, </w:t>
      </w:r>
      <w:proofErr w:type="spellStart"/>
      <w:r w:rsidRPr="00823AE2">
        <w:t>Valantin</w:t>
      </w:r>
      <w:proofErr w:type="spellEnd"/>
      <w:r w:rsidRPr="00823AE2">
        <w:t xml:space="preserve"> MA, </w:t>
      </w:r>
      <w:r w:rsidRPr="00823AE2">
        <w:rPr>
          <w:i/>
        </w:rPr>
        <w:t>et al.</w:t>
      </w:r>
      <w:r w:rsidRPr="00823AE2">
        <w:t xml:space="preserve"> </w:t>
      </w:r>
      <w:r w:rsidRPr="00634D37">
        <w:t>Factors associated with virological failure in HIV-1-infected patients receiving darunavir/ ritonavir monotherapy.</w:t>
      </w:r>
      <w:r w:rsidRPr="00823AE2">
        <w:t xml:space="preserve"> </w:t>
      </w:r>
      <w:r w:rsidRPr="00823AE2">
        <w:rPr>
          <w:i/>
        </w:rPr>
        <w:t>J Infect Dis</w:t>
      </w:r>
      <w:r w:rsidRPr="00823AE2">
        <w:t xml:space="preserve"> 2011;</w:t>
      </w:r>
      <w:r w:rsidR="006E79BA" w:rsidRPr="00823AE2">
        <w:t xml:space="preserve"> </w:t>
      </w:r>
      <w:r w:rsidRPr="00823AE2">
        <w:rPr>
          <w:b/>
        </w:rPr>
        <w:t>204:</w:t>
      </w:r>
      <w:r w:rsidR="00675112">
        <w:rPr>
          <w:b/>
        </w:rPr>
        <w:t xml:space="preserve"> </w:t>
      </w:r>
      <w:r w:rsidRPr="00823AE2">
        <w:t>1211-</w:t>
      </w:r>
      <w:r w:rsidR="006E79BA" w:rsidRPr="00823AE2">
        <w:t>1</w:t>
      </w:r>
      <w:r w:rsidRPr="00823AE2">
        <w:t>6.</w:t>
      </w:r>
    </w:p>
    <w:p w14:paraId="58665FFC" w14:textId="77777777" w:rsidR="006F5135" w:rsidRPr="006F5135" w:rsidRDefault="006F5135" w:rsidP="006F5135">
      <w:pPr>
        <w:tabs>
          <w:tab w:val="left" w:pos="567"/>
        </w:tabs>
        <w:jc w:val="both"/>
        <w:outlineLvl w:val="0"/>
        <w:rPr>
          <w:rFonts w:cstheme="minorHAnsi"/>
          <w:color w:val="000000" w:themeColor="text1"/>
          <w:sz w:val="22"/>
          <w:szCs w:val="22"/>
        </w:rPr>
      </w:pPr>
      <w:r>
        <w:br w:type="column"/>
      </w:r>
      <w:r w:rsidRPr="006F5135">
        <w:rPr>
          <w:rFonts w:cstheme="minorHAnsi"/>
          <w:b/>
          <w:color w:val="000000" w:themeColor="text1"/>
          <w:sz w:val="22"/>
          <w:szCs w:val="22"/>
        </w:rPr>
        <w:lastRenderedPageBreak/>
        <w:t>Table 1</w:t>
      </w:r>
      <w:r w:rsidRPr="006F5135">
        <w:rPr>
          <w:rFonts w:cstheme="minorHAnsi"/>
          <w:color w:val="000000" w:themeColor="text1"/>
          <w:sz w:val="22"/>
          <w:szCs w:val="22"/>
        </w:rPr>
        <w:t>. Characteristics of the study population at study entry (n=81)</w:t>
      </w:r>
    </w:p>
    <w:p w14:paraId="6A7D3656" w14:textId="77777777" w:rsidR="006F5135" w:rsidRPr="006F5135" w:rsidRDefault="006F5135" w:rsidP="006F5135">
      <w:pPr>
        <w:tabs>
          <w:tab w:val="left" w:pos="567"/>
        </w:tabs>
        <w:jc w:val="both"/>
        <w:outlineLvl w:val="0"/>
        <w:rPr>
          <w:rFonts w:cstheme="minorHAnsi"/>
          <w:color w:val="000000" w:themeColor="text1"/>
          <w:sz w:val="22"/>
          <w:szCs w:val="22"/>
        </w:rPr>
      </w:pPr>
    </w:p>
    <w:tbl>
      <w:tblPr>
        <w:tblpPr w:leftFromText="180" w:rightFromText="180" w:vertAnchor="text" w:tblpY="1"/>
        <w:tblOverlap w:val="never"/>
        <w:tblW w:w="7961"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263"/>
        <w:gridCol w:w="4138"/>
        <w:gridCol w:w="1560"/>
      </w:tblGrid>
      <w:tr w:rsidR="006F5135" w:rsidRPr="006F5135" w14:paraId="47DD00F2" w14:textId="77777777" w:rsidTr="00B147E6">
        <w:trPr>
          <w:trHeight w:val="137"/>
        </w:trPr>
        <w:tc>
          <w:tcPr>
            <w:tcW w:w="6401" w:type="dxa"/>
            <w:gridSpan w:val="2"/>
            <w:tcBorders>
              <w:bottom w:val="single" w:sz="4" w:space="0" w:color="auto"/>
            </w:tcBorders>
          </w:tcPr>
          <w:p w14:paraId="609A81B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Characteristic</w:t>
            </w:r>
          </w:p>
        </w:tc>
        <w:tc>
          <w:tcPr>
            <w:tcW w:w="1560" w:type="dxa"/>
            <w:tcBorders>
              <w:bottom w:val="single" w:sz="4" w:space="0" w:color="auto"/>
            </w:tcBorders>
            <w:shd w:val="clear" w:color="auto" w:fill="auto"/>
            <w:noWrap/>
            <w:hideMark/>
          </w:tcPr>
          <w:p w14:paraId="22704392" w14:textId="77777777" w:rsidR="006F5135" w:rsidRPr="006F5135" w:rsidRDefault="006F5135" w:rsidP="00B147E6">
            <w:pPr>
              <w:tabs>
                <w:tab w:val="left" w:pos="567"/>
              </w:tabs>
              <w:jc w:val="both"/>
              <w:rPr>
                <w:rFonts w:eastAsia="Times New Roman" w:cstheme="minorHAnsi"/>
                <w:color w:val="000000"/>
                <w:sz w:val="22"/>
                <w:szCs w:val="22"/>
                <w:lang w:eastAsia="en-GB"/>
              </w:rPr>
            </w:pPr>
          </w:p>
        </w:tc>
      </w:tr>
      <w:tr w:rsidR="006F5135" w:rsidRPr="006F5135" w14:paraId="528A8F2B" w14:textId="77777777" w:rsidTr="00B147E6">
        <w:trPr>
          <w:trHeight w:val="162"/>
        </w:trPr>
        <w:tc>
          <w:tcPr>
            <w:tcW w:w="6401" w:type="dxa"/>
            <w:gridSpan w:val="2"/>
            <w:tcBorders>
              <w:top w:val="single" w:sz="4" w:space="0" w:color="auto"/>
              <w:bottom w:val="nil"/>
            </w:tcBorders>
          </w:tcPr>
          <w:p w14:paraId="047A13A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Female, n (%)</w:t>
            </w:r>
          </w:p>
        </w:tc>
        <w:tc>
          <w:tcPr>
            <w:tcW w:w="1560" w:type="dxa"/>
            <w:tcBorders>
              <w:top w:val="single" w:sz="4" w:space="0" w:color="auto"/>
              <w:bottom w:val="nil"/>
            </w:tcBorders>
            <w:shd w:val="clear" w:color="auto" w:fill="auto"/>
            <w:noWrap/>
          </w:tcPr>
          <w:p w14:paraId="5A50383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61 (75.3)</w:t>
            </w:r>
          </w:p>
        </w:tc>
      </w:tr>
      <w:tr w:rsidR="006F5135" w:rsidRPr="006F5135" w14:paraId="3C83F450" w14:textId="77777777" w:rsidTr="00B147E6">
        <w:trPr>
          <w:trHeight w:val="228"/>
        </w:trPr>
        <w:tc>
          <w:tcPr>
            <w:tcW w:w="6401" w:type="dxa"/>
            <w:gridSpan w:val="2"/>
            <w:tcBorders>
              <w:top w:val="nil"/>
            </w:tcBorders>
          </w:tcPr>
          <w:p w14:paraId="28A34CF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Age, median years (IQR)</w:t>
            </w:r>
          </w:p>
        </w:tc>
        <w:tc>
          <w:tcPr>
            <w:tcW w:w="1560" w:type="dxa"/>
            <w:tcBorders>
              <w:top w:val="nil"/>
            </w:tcBorders>
            <w:shd w:val="clear" w:color="auto" w:fill="auto"/>
            <w:noWrap/>
            <w:hideMark/>
          </w:tcPr>
          <w:p w14:paraId="1BCDAD7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45 (38, 51)</w:t>
            </w:r>
          </w:p>
        </w:tc>
      </w:tr>
      <w:tr w:rsidR="006F5135" w:rsidRPr="006F5135" w14:paraId="260E2419" w14:textId="77777777" w:rsidTr="00B147E6">
        <w:trPr>
          <w:trHeight w:val="228"/>
        </w:trPr>
        <w:tc>
          <w:tcPr>
            <w:tcW w:w="6401" w:type="dxa"/>
            <w:gridSpan w:val="2"/>
          </w:tcPr>
          <w:p w14:paraId="2D406B3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Time since HIV diagnosis, median years (IQR)</w:t>
            </w:r>
          </w:p>
        </w:tc>
        <w:tc>
          <w:tcPr>
            <w:tcW w:w="1560" w:type="dxa"/>
            <w:shd w:val="clear" w:color="auto" w:fill="auto"/>
            <w:noWrap/>
          </w:tcPr>
          <w:p w14:paraId="1B5EFC9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8.8 (5.9, 11.1)</w:t>
            </w:r>
          </w:p>
        </w:tc>
      </w:tr>
      <w:tr w:rsidR="006F5135" w:rsidRPr="006F5135" w14:paraId="30D4C16A" w14:textId="77777777" w:rsidTr="00B147E6">
        <w:trPr>
          <w:trHeight w:val="228"/>
        </w:trPr>
        <w:tc>
          <w:tcPr>
            <w:tcW w:w="6401" w:type="dxa"/>
            <w:gridSpan w:val="2"/>
          </w:tcPr>
          <w:p w14:paraId="078B9FB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CD4 count, median cells/mm</w:t>
            </w:r>
            <w:r w:rsidRPr="006F5135">
              <w:rPr>
                <w:rFonts w:eastAsia="Times New Roman" w:cstheme="minorHAnsi"/>
                <w:color w:val="000000"/>
                <w:sz w:val="22"/>
                <w:szCs w:val="22"/>
                <w:vertAlign w:val="superscript"/>
                <w:lang w:eastAsia="en-GB"/>
              </w:rPr>
              <w:t>3</w:t>
            </w:r>
            <w:r w:rsidRPr="006F5135">
              <w:rPr>
                <w:rFonts w:eastAsia="Times New Roman" w:cstheme="minorHAnsi"/>
                <w:color w:val="000000"/>
                <w:sz w:val="22"/>
                <w:szCs w:val="22"/>
                <w:lang w:eastAsia="en-GB"/>
              </w:rPr>
              <w:t xml:space="preserve"> (IQR)</w:t>
            </w:r>
          </w:p>
        </w:tc>
        <w:tc>
          <w:tcPr>
            <w:tcW w:w="1560" w:type="dxa"/>
            <w:shd w:val="clear" w:color="auto" w:fill="auto"/>
            <w:noWrap/>
            <w:hideMark/>
          </w:tcPr>
          <w:p w14:paraId="127BC22C" w14:textId="77777777" w:rsidR="006F5135" w:rsidRPr="006F5135" w:rsidRDefault="006F5135" w:rsidP="00B147E6">
            <w:pPr>
              <w:tabs>
                <w:tab w:val="left" w:pos="567"/>
              </w:tabs>
              <w:jc w:val="both"/>
              <w:rPr>
                <w:rFonts w:cstheme="minorHAnsi"/>
                <w:sz w:val="22"/>
                <w:szCs w:val="22"/>
              </w:rPr>
            </w:pPr>
            <w:r w:rsidRPr="006F5135">
              <w:rPr>
                <w:rFonts w:cstheme="minorHAnsi"/>
                <w:sz w:val="22"/>
                <w:szCs w:val="22"/>
              </w:rPr>
              <w:t xml:space="preserve">466 (341, 615) </w:t>
            </w:r>
          </w:p>
        </w:tc>
      </w:tr>
      <w:tr w:rsidR="006F5135" w:rsidRPr="006F5135" w14:paraId="1AC25C08" w14:textId="77777777" w:rsidTr="00B147E6">
        <w:trPr>
          <w:trHeight w:val="228"/>
        </w:trPr>
        <w:tc>
          <w:tcPr>
            <w:tcW w:w="6401" w:type="dxa"/>
            <w:gridSpan w:val="2"/>
          </w:tcPr>
          <w:p w14:paraId="6D0CD885"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Nadir CD4 count, median cells/mm</w:t>
            </w:r>
            <w:r w:rsidRPr="006F5135">
              <w:rPr>
                <w:rFonts w:eastAsia="Times New Roman" w:cstheme="minorHAnsi"/>
                <w:color w:val="000000"/>
                <w:sz w:val="22"/>
                <w:szCs w:val="22"/>
                <w:vertAlign w:val="superscript"/>
                <w:lang w:eastAsia="en-GB"/>
              </w:rPr>
              <w:t>3</w:t>
            </w:r>
            <w:r w:rsidRPr="006F5135">
              <w:rPr>
                <w:rFonts w:eastAsia="Times New Roman" w:cstheme="minorHAnsi"/>
                <w:color w:val="000000"/>
                <w:sz w:val="22"/>
                <w:szCs w:val="22"/>
                <w:lang w:eastAsia="en-GB"/>
              </w:rPr>
              <w:t xml:space="preserve"> (IQR)</w:t>
            </w:r>
          </w:p>
        </w:tc>
        <w:tc>
          <w:tcPr>
            <w:tcW w:w="1560" w:type="dxa"/>
            <w:shd w:val="clear" w:color="auto" w:fill="auto"/>
            <w:noWrap/>
            <w:hideMark/>
          </w:tcPr>
          <w:p w14:paraId="20DB5E6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90 (37, 167) </w:t>
            </w:r>
          </w:p>
        </w:tc>
      </w:tr>
      <w:tr w:rsidR="006F5135" w:rsidRPr="006F5135" w14:paraId="7C43F8A1" w14:textId="77777777" w:rsidTr="00B147E6">
        <w:trPr>
          <w:trHeight w:val="228"/>
        </w:trPr>
        <w:tc>
          <w:tcPr>
            <w:tcW w:w="6401" w:type="dxa"/>
            <w:gridSpan w:val="2"/>
          </w:tcPr>
          <w:p w14:paraId="2D516FFB"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History of AIDS, n (%)</w:t>
            </w:r>
          </w:p>
        </w:tc>
        <w:tc>
          <w:tcPr>
            <w:tcW w:w="1560" w:type="dxa"/>
            <w:shd w:val="clear" w:color="auto" w:fill="auto"/>
            <w:noWrap/>
          </w:tcPr>
          <w:p w14:paraId="2841B83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12 (14.8)</w:t>
            </w:r>
          </w:p>
        </w:tc>
      </w:tr>
      <w:tr w:rsidR="006F5135" w:rsidRPr="006F5135" w14:paraId="208D4DA6" w14:textId="77777777" w:rsidTr="00B147E6">
        <w:trPr>
          <w:trHeight w:val="228"/>
        </w:trPr>
        <w:tc>
          <w:tcPr>
            <w:tcW w:w="6401" w:type="dxa"/>
            <w:gridSpan w:val="2"/>
          </w:tcPr>
          <w:p w14:paraId="56A6279B"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HIV-1 DNA, median log</w:t>
            </w:r>
            <w:r w:rsidRPr="006F5135">
              <w:rPr>
                <w:rFonts w:eastAsia="Times New Roman" w:cstheme="minorHAnsi"/>
                <w:color w:val="000000"/>
                <w:sz w:val="22"/>
                <w:szCs w:val="22"/>
                <w:vertAlign w:val="subscript"/>
                <w:lang w:eastAsia="en-GB"/>
              </w:rPr>
              <w:t xml:space="preserve">10 </w:t>
            </w:r>
            <w:r w:rsidRPr="006F5135">
              <w:rPr>
                <w:rFonts w:eastAsia="Times New Roman" w:cstheme="minorHAnsi"/>
                <w:color w:val="000000"/>
                <w:sz w:val="22"/>
                <w:szCs w:val="22"/>
                <w:lang w:eastAsia="en-GB"/>
              </w:rPr>
              <w:t>copies/10</w:t>
            </w:r>
            <w:r w:rsidRPr="006F5135">
              <w:rPr>
                <w:rFonts w:eastAsia="Times New Roman" w:cstheme="minorHAnsi"/>
                <w:color w:val="000000"/>
                <w:sz w:val="22"/>
                <w:szCs w:val="22"/>
                <w:vertAlign w:val="superscript"/>
                <w:lang w:eastAsia="en-GB"/>
              </w:rPr>
              <w:t xml:space="preserve">6 </w:t>
            </w:r>
            <w:r w:rsidRPr="006F5135">
              <w:rPr>
                <w:rFonts w:eastAsia="Times New Roman" w:cstheme="minorHAnsi"/>
                <w:color w:val="000000"/>
                <w:sz w:val="22"/>
                <w:szCs w:val="22"/>
                <w:lang w:eastAsia="en-GB"/>
              </w:rPr>
              <w:t>PBMC (IQR)</w:t>
            </w:r>
          </w:p>
        </w:tc>
        <w:tc>
          <w:tcPr>
            <w:tcW w:w="1560" w:type="dxa"/>
            <w:shd w:val="clear" w:color="auto" w:fill="auto"/>
            <w:noWrap/>
            <w:hideMark/>
          </w:tcPr>
          <w:p w14:paraId="3F4A4D8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2.9 (2.5, 3.3)</w:t>
            </w:r>
          </w:p>
        </w:tc>
      </w:tr>
      <w:tr w:rsidR="006F5135" w:rsidRPr="006F5135" w14:paraId="59FE8138" w14:textId="77777777" w:rsidTr="00B147E6">
        <w:trPr>
          <w:trHeight w:val="228"/>
        </w:trPr>
        <w:tc>
          <w:tcPr>
            <w:tcW w:w="2263" w:type="dxa"/>
            <w:vMerge w:val="restart"/>
          </w:tcPr>
          <w:p w14:paraId="67E89AB7"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Antiretroviral drugs </w:t>
            </w:r>
            <w:r w:rsidRPr="006F5135">
              <w:rPr>
                <w:rFonts w:eastAsia="Times New Roman" w:cstheme="minorHAnsi"/>
                <w:color w:val="000000"/>
                <w:sz w:val="22"/>
                <w:szCs w:val="22"/>
                <w:lang w:eastAsia="en-GB"/>
              </w:rPr>
              <w:br/>
              <w:t>ever experienced, n (%)</w:t>
            </w:r>
          </w:p>
        </w:tc>
        <w:tc>
          <w:tcPr>
            <w:tcW w:w="4138" w:type="dxa"/>
            <w:shd w:val="clear" w:color="auto" w:fill="auto"/>
            <w:noWrap/>
          </w:tcPr>
          <w:p w14:paraId="61844E46"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Lamivudine</w:t>
            </w:r>
          </w:p>
        </w:tc>
        <w:tc>
          <w:tcPr>
            <w:tcW w:w="1560" w:type="dxa"/>
            <w:shd w:val="clear" w:color="auto" w:fill="auto"/>
            <w:noWrap/>
          </w:tcPr>
          <w:p w14:paraId="2BBBAD9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81 (100)</w:t>
            </w:r>
          </w:p>
        </w:tc>
      </w:tr>
      <w:tr w:rsidR="006F5135" w:rsidRPr="006F5135" w14:paraId="18D91583" w14:textId="77777777" w:rsidTr="00B147E6">
        <w:trPr>
          <w:trHeight w:val="228"/>
        </w:trPr>
        <w:tc>
          <w:tcPr>
            <w:tcW w:w="2263" w:type="dxa"/>
            <w:vMerge/>
          </w:tcPr>
          <w:p w14:paraId="13B0309E"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6945C6C2"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Tenofovir</w:t>
            </w:r>
          </w:p>
        </w:tc>
        <w:tc>
          <w:tcPr>
            <w:tcW w:w="1560" w:type="dxa"/>
            <w:shd w:val="clear" w:color="auto" w:fill="auto"/>
            <w:noWrap/>
          </w:tcPr>
          <w:p w14:paraId="34E6E48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73 (90.1)</w:t>
            </w:r>
          </w:p>
        </w:tc>
      </w:tr>
      <w:tr w:rsidR="006F5135" w:rsidRPr="006F5135" w14:paraId="49C91945" w14:textId="77777777" w:rsidTr="00B147E6">
        <w:trPr>
          <w:trHeight w:val="228"/>
        </w:trPr>
        <w:tc>
          <w:tcPr>
            <w:tcW w:w="2263" w:type="dxa"/>
            <w:vMerge/>
          </w:tcPr>
          <w:p w14:paraId="5B1B049A"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368C62C2"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Zidovudine</w:t>
            </w:r>
          </w:p>
        </w:tc>
        <w:tc>
          <w:tcPr>
            <w:tcW w:w="1560" w:type="dxa"/>
            <w:shd w:val="clear" w:color="auto" w:fill="auto"/>
            <w:noWrap/>
          </w:tcPr>
          <w:p w14:paraId="42B58C0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72 (88.9)</w:t>
            </w:r>
          </w:p>
        </w:tc>
      </w:tr>
      <w:tr w:rsidR="006F5135" w:rsidRPr="006F5135" w14:paraId="4876A6F5" w14:textId="77777777" w:rsidTr="00B147E6">
        <w:trPr>
          <w:trHeight w:val="228"/>
        </w:trPr>
        <w:tc>
          <w:tcPr>
            <w:tcW w:w="2263" w:type="dxa"/>
            <w:vMerge/>
          </w:tcPr>
          <w:p w14:paraId="42DB3F29"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7012F297"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Stavudine</w:t>
            </w:r>
          </w:p>
        </w:tc>
        <w:tc>
          <w:tcPr>
            <w:tcW w:w="1560" w:type="dxa"/>
            <w:shd w:val="clear" w:color="auto" w:fill="auto"/>
            <w:noWrap/>
          </w:tcPr>
          <w:p w14:paraId="21F17DD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41 (50.6)</w:t>
            </w:r>
          </w:p>
        </w:tc>
      </w:tr>
      <w:tr w:rsidR="006F5135" w:rsidRPr="006F5135" w14:paraId="3F9D8DBA" w14:textId="77777777" w:rsidTr="00B147E6">
        <w:trPr>
          <w:trHeight w:val="228"/>
        </w:trPr>
        <w:tc>
          <w:tcPr>
            <w:tcW w:w="2263" w:type="dxa"/>
            <w:vMerge/>
          </w:tcPr>
          <w:p w14:paraId="0AEFE1C5"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2FB4F119"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Didanosine</w:t>
            </w:r>
          </w:p>
        </w:tc>
        <w:tc>
          <w:tcPr>
            <w:tcW w:w="1560" w:type="dxa"/>
            <w:shd w:val="clear" w:color="auto" w:fill="auto"/>
            <w:noWrap/>
          </w:tcPr>
          <w:p w14:paraId="4B921E3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13 (16.0)</w:t>
            </w:r>
          </w:p>
        </w:tc>
      </w:tr>
      <w:tr w:rsidR="006F5135" w:rsidRPr="006F5135" w14:paraId="38C57520" w14:textId="77777777" w:rsidTr="00B147E6">
        <w:trPr>
          <w:trHeight w:val="228"/>
        </w:trPr>
        <w:tc>
          <w:tcPr>
            <w:tcW w:w="2263" w:type="dxa"/>
            <w:vMerge/>
          </w:tcPr>
          <w:p w14:paraId="1A52F46F"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7B781452"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Abacavir</w:t>
            </w:r>
          </w:p>
        </w:tc>
        <w:tc>
          <w:tcPr>
            <w:tcW w:w="1560" w:type="dxa"/>
            <w:shd w:val="clear" w:color="auto" w:fill="auto"/>
            <w:noWrap/>
          </w:tcPr>
          <w:p w14:paraId="48B0915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9 (11.1)</w:t>
            </w:r>
          </w:p>
        </w:tc>
      </w:tr>
      <w:tr w:rsidR="006F5135" w:rsidRPr="006F5135" w14:paraId="0BB3B3F2" w14:textId="77777777" w:rsidTr="00B147E6">
        <w:trPr>
          <w:trHeight w:val="228"/>
        </w:trPr>
        <w:tc>
          <w:tcPr>
            <w:tcW w:w="2263" w:type="dxa"/>
            <w:vMerge/>
          </w:tcPr>
          <w:p w14:paraId="0A2B2C63"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35528AB0"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Nevirapine</w:t>
            </w:r>
          </w:p>
        </w:tc>
        <w:tc>
          <w:tcPr>
            <w:tcW w:w="1560" w:type="dxa"/>
            <w:shd w:val="clear" w:color="auto" w:fill="auto"/>
            <w:noWrap/>
          </w:tcPr>
          <w:p w14:paraId="3A9F48A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50 (61.7)</w:t>
            </w:r>
          </w:p>
        </w:tc>
      </w:tr>
      <w:tr w:rsidR="006F5135" w:rsidRPr="006F5135" w14:paraId="74AF6B17" w14:textId="77777777" w:rsidTr="00B147E6">
        <w:trPr>
          <w:trHeight w:val="228"/>
        </w:trPr>
        <w:tc>
          <w:tcPr>
            <w:tcW w:w="2263" w:type="dxa"/>
            <w:vMerge/>
          </w:tcPr>
          <w:p w14:paraId="080B0D01"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2AFE9AC8"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Efavirenz</w:t>
            </w:r>
          </w:p>
        </w:tc>
        <w:tc>
          <w:tcPr>
            <w:tcW w:w="1560" w:type="dxa"/>
            <w:shd w:val="clear" w:color="auto" w:fill="auto"/>
            <w:noWrap/>
          </w:tcPr>
          <w:p w14:paraId="0484C61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43 (53.1)</w:t>
            </w:r>
          </w:p>
        </w:tc>
      </w:tr>
      <w:tr w:rsidR="006F5135" w:rsidRPr="006F5135" w14:paraId="26D57366" w14:textId="77777777" w:rsidTr="00B147E6">
        <w:trPr>
          <w:trHeight w:val="228"/>
        </w:trPr>
        <w:tc>
          <w:tcPr>
            <w:tcW w:w="2263" w:type="dxa"/>
            <w:vMerge/>
          </w:tcPr>
          <w:p w14:paraId="08AC474C"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5437DE7D"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Lopinavir/ritonavir</w:t>
            </w:r>
          </w:p>
        </w:tc>
        <w:tc>
          <w:tcPr>
            <w:tcW w:w="1560" w:type="dxa"/>
            <w:shd w:val="clear" w:color="auto" w:fill="auto"/>
            <w:noWrap/>
          </w:tcPr>
          <w:p w14:paraId="7E5F3DD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79 (97.5)</w:t>
            </w:r>
          </w:p>
        </w:tc>
      </w:tr>
      <w:tr w:rsidR="006F5135" w:rsidRPr="006F5135" w14:paraId="39D04542" w14:textId="77777777" w:rsidTr="00B147E6">
        <w:trPr>
          <w:trHeight w:val="228"/>
        </w:trPr>
        <w:tc>
          <w:tcPr>
            <w:tcW w:w="2263" w:type="dxa"/>
            <w:vMerge/>
          </w:tcPr>
          <w:p w14:paraId="65B8CC5F"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7D853AD0"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Indinavir/ritonavir</w:t>
            </w:r>
          </w:p>
        </w:tc>
        <w:tc>
          <w:tcPr>
            <w:tcW w:w="1560" w:type="dxa"/>
            <w:shd w:val="clear" w:color="auto" w:fill="auto"/>
            <w:noWrap/>
          </w:tcPr>
          <w:p w14:paraId="7B2E49C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9 (11.1)</w:t>
            </w:r>
          </w:p>
        </w:tc>
      </w:tr>
      <w:tr w:rsidR="006F5135" w:rsidRPr="006F5135" w14:paraId="65960C22" w14:textId="77777777" w:rsidTr="00B147E6">
        <w:trPr>
          <w:trHeight w:val="228"/>
        </w:trPr>
        <w:tc>
          <w:tcPr>
            <w:tcW w:w="2263" w:type="dxa"/>
            <w:vMerge/>
          </w:tcPr>
          <w:p w14:paraId="05FDCE38"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74DCFAA1"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Atazanavir/ritonavir</w:t>
            </w:r>
          </w:p>
        </w:tc>
        <w:tc>
          <w:tcPr>
            <w:tcW w:w="1560" w:type="dxa"/>
            <w:shd w:val="clear" w:color="auto" w:fill="auto"/>
            <w:noWrap/>
          </w:tcPr>
          <w:p w14:paraId="5C87ECD8"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 (6.2)</w:t>
            </w:r>
          </w:p>
        </w:tc>
      </w:tr>
      <w:tr w:rsidR="006F5135" w:rsidRPr="006F5135" w14:paraId="14524264" w14:textId="77777777" w:rsidTr="00B147E6">
        <w:trPr>
          <w:trHeight w:val="228"/>
        </w:trPr>
        <w:tc>
          <w:tcPr>
            <w:tcW w:w="2263" w:type="dxa"/>
            <w:vMerge w:val="restart"/>
          </w:tcPr>
          <w:p w14:paraId="485C633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Duration of exposure,</w:t>
            </w:r>
          </w:p>
          <w:p w14:paraId="1B583B2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median years (IQR)</w:t>
            </w:r>
          </w:p>
        </w:tc>
        <w:tc>
          <w:tcPr>
            <w:tcW w:w="4138" w:type="dxa"/>
            <w:shd w:val="clear" w:color="auto" w:fill="auto"/>
            <w:noWrap/>
          </w:tcPr>
          <w:p w14:paraId="22E159A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Total ART </w:t>
            </w:r>
          </w:p>
        </w:tc>
        <w:tc>
          <w:tcPr>
            <w:tcW w:w="1560" w:type="dxa"/>
            <w:shd w:val="clear" w:color="auto" w:fill="auto"/>
            <w:noWrap/>
          </w:tcPr>
          <w:p w14:paraId="3A38138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7.6 (5.3, 9.8)</w:t>
            </w:r>
          </w:p>
        </w:tc>
      </w:tr>
      <w:tr w:rsidR="006F5135" w:rsidRPr="006F5135" w14:paraId="2E12866F" w14:textId="77777777" w:rsidTr="00B147E6">
        <w:trPr>
          <w:trHeight w:val="228"/>
        </w:trPr>
        <w:tc>
          <w:tcPr>
            <w:tcW w:w="2263" w:type="dxa"/>
            <w:vMerge/>
          </w:tcPr>
          <w:p w14:paraId="32C9C514"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019A667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Tenofovir</w:t>
            </w:r>
          </w:p>
        </w:tc>
        <w:tc>
          <w:tcPr>
            <w:tcW w:w="1560" w:type="dxa"/>
            <w:shd w:val="clear" w:color="auto" w:fill="auto"/>
            <w:noWrap/>
          </w:tcPr>
          <w:p w14:paraId="1B5885D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2.9 (1.3, 4.6)</w:t>
            </w:r>
          </w:p>
        </w:tc>
      </w:tr>
      <w:tr w:rsidR="006F5135" w:rsidRPr="006F5135" w14:paraId="196DA471" w14:textId="77777777" w:rsidTr="00B147E6">
        <w:trPr>
          <w:trHeight w:val="228"/>
        </w:trPr>
        <w:tc>
          <w:tcPr>
            <w:tcW w:w="2263" w:type="dxa"/>
            <w:vMerge/>
          </w:tcPr>
          <w:p w14:paraId="17BC17B2"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25E5CEC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Zidovudine </w:t>
            </w:r>
          </w:p>
        </w:tc>
        <w:tc>
          <w:tcPr>
            <w:tcW w:w="1560" w:type="dxa"/>
            <w:shd w:val="clear" w:color="auto" w:fill="auto"/>
            <w:noWrap/>
          </w:tcPr>
          <w:p w14:paraId="7C3BB3C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2.4 (1.5, 4.0)</w:t>
            </w:r>
          </w:p>
        </w:tc>
      </w:tr>
      <w:tr w:rsidR="006F5135" w:rsidRPr="006F5135" w14:paraId="6770BF68" w14:textId="77777777" w:rsidTr="00B147E6">
        <w:trPr>
          <w:trHeight w:val="228"/>
        </w:trPr>
        <w:tc>
          <w:tcPr>
            <w:tcW w:w="2263" w:type="dxa"/>
            <w:vMerge/>
          </w:tcPr>
          <w:p w14:paraId="1E4A4092"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219BD96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Stavudine </w:t>
            </w:r>
          </w:p>
        </w:tc>
        <w:tc>
          <w:tcPr>
            <w:tcW w:w="1560" w:type="dxa"/>
            <w:shd w:val="clear" w:color="auto" w:fill="auto"/>
            <w:noWrap/>
          </w:tcPr>
          <w:p w14:paraId="72EF7537"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2.6 (1.3, 4.0)</w:t>
            </w:r>
          </w:p>
        </w:tc>
      </w:tr>
      <w:tr w:rsidR="006F5135" w:rsidRPr="006F5135" w14:paraId="702D3352" w14:textId="77777777" w:rsidTr="00B147E6">
        <w:trPr>
          <w:trHeight w:val="228"/>
        </w:trPr>
        <w:tc>
          <w:tcPr>
            <w:tcW w:w="2263" w:type="dxa"/>
            <w:vMerge/>
          </w:tcPr>
          <w:p w14:paraId="6B6BDF81"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246A593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NNRTI </w:t>
            </w:r>
          </w:p>
        </w:tc>
        <w:tc>
          <w:tcPr>
            <w:tcW w:w="1560" w:type="dxa"/>
            <w:shd w:val="clear" w:color="auto" w:fill="auto"/>
            <w:noWrap/>
          </w:tcPr>
          <w:p w14:paraId="1EEC740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3.1 (1.6, 5.5)</w:t>
            </w:r>
          </w:p>
        </w:tc>
      </w:tr>
      <w:tr w:rsidR="006F5135" w:rsidRPr="006F5135" w14:paraId="23E2A3EE" w14:textId="77777777" w:rsidTr="00B147E6">
        <w:trPr>
          <w:trHeight w:val="228"/>
        </w:trPr>
        <w:tc>
          <w:tcPr>
            <w:tcW w:w="2263" w:type="dxa"/>
            <w:vMerge/>
          </w:tcPr>
          <w:p w14:paraId="1116C2C2"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313A4A98"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PI/r</w:t>
            </w:r>
          </w:p>
        </w:tc>
        <w:tc>
          <w:tcPr>
            <w:tcW w:w="1560" w:type="dxa"/>
            <w:shd w:val="clear" w:color="auto" w:fill="auto"/>
            <w:noWrap/>
          </w:tcPr>
          <w:p w14:paraId="244C72F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3.2 (1.3, 5.8)</w:t>
            </w:r>
          </w:p>
        </w:tc>
      </w:tr>
      <w:tr w:rsidR="006F5135" w:rsidRPr="006F5135" w14:paraId="0E25A381" w14:textId="77777777" w:rsidTr="00B147E6">
        <w:trPr>
          <w:trHeight w:val="252"/>
        </w:trPr>
        <w:tc>
          <w:tcPr>
            <w:tcW w:w="2263" w:type="dxa"/>
            <w:vMerge w:val="restart"/>
          </w:tcPr>
          <w:p w14:paraId="48B7982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ART regimen </w:t>
            </w:r>
          </w:p>
          <w:p w14:paraId="4655274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at study entry, n (%)</w:t>
            </w:r>
          </w:p>
        </w:tc>
        <w:tc>
          <w:tcPr>
            <w:tcW w:w="4138" w:type="dxa"/>
            <w:shd w:val="clear" w:color="auto" w:fill="auto"/>
            <w:noWrap/>
          </w:tcPr>
          <w:p w14:paraId="4BD1769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Tenofovir/lamivudine + lopinavir/ritonavir</w:t>
            </w:r>
          </w:p>
        </w:tc>
        <w:tc>
          <w:tcPr>
            <w:tcW w:w="1560" w:type="dxa"/>
            <w:shd w:val="clear" w:color="auto" w:fill="auto"/>
            <w:noWrap/>
          </w:tcPr>
          <w:p w14:paraId="3DC01D0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69 (85.2)</w:t>
            </w:r>
          </w:p>
        </w:tc>
      </w:tr>
      <w:tr w:rsidR="006F5135" w:rsidRPr="006F5135" w14:paraId="7E3488AA" w14:textId="77777777" w:rsidTr="00B147E6">
        <w:trPr>
          <w:trHeight w:val="252"/>
        </w:trPr>
        <w:tc>
          <w:tcPr>
            <w:tcW w:w="2263" w:type="dxa"/>
            <w:vMerge/>
          </w:tcPr>
          <w:p w14:paraId="54FE542B"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3BEFDA5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Tenofovir/lamivudine + atazanavir/ritonavir</w:t>
            </w:r>
          </w:p>
        </w:tc>
        <w:tc>
          <w:tcPr>
            <w:tcW w:w="1560" w:type="dxa"/>
            <w:shd w:val="clear" w:color="auto" w:fill="auto"/>
            <w:noWrap/>
          </w:tcPr>
          <w:p w14:paraId="7B9780C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 (2.5)</w:t>
            </w:r>
          </w:p>
        </w:tc>
      </w:tr>
      <w:tr w:rsidR="006F5135" w:rsidRPr="006F5135" w14:paraId="5ABC0B76" w14:textId="77777777" w:rsidTr="00B147E6">
        <w:trPr>
          <w:trHeight w:val="252"/>
        </w:trPr>
        <w:tc>
          <w:tcPr>
            <w:tcW w:w="2263" w:type="dxa"/>
            <w:vMerge/>
          </w:tcPr>
          <w:p w14:paraId="406BE675"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0674E45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Tenofovir + abacavir + lopinavir/ritonavir</w:t>
            </w:r>
          </w:p>
        </w:tc>
        <w:tc>
          <w:tcPr>
            <w:tcW w:w="1560" w:type="dxa"/>
            <w:shd w:val="clear" w:color="auto" w:fill="auto"/>
            <w:noWrap/>
          </w:tcPr>
          <w:p w14:paraId="4D694655"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 (1.2)</w:t>
            </w:r>
          </w:p>
        </w:tc>
      </w:tr>
      <w:tr w:rsidR="006F5135" w:rsidRPr="006F5135" w14:paraId="6148C7FF" w14:textId="77777777" w:rsidTr="00B147E6">
        <w:trPr>
          <w:trHeight w:val="252"/>
        </w:trPr>
        <w:tc>
          <w:tcPr>
            <w:tcW w:w="2263" w:type="dxa"/>
            <w:vMerge/>
          </w:tcPr>
          <w:p w14:paraId="7B108CDF"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44F9538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Abacavir + didanosine + lopinavir/ritonavir </w:t>
            </w:r>
          </w:p>
        </w:tc>
        <w:tc>
          <w:tcPr>
            <w:tcW w:w="1560" w:type="dxa"/>
            <w:shd w:val="clear" w:color="auto" w:fill="auto"/>
            <w:noWrap/>
          </w:tcPr>
          <w:p w14:paraId="2C054585"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 (6.2)</w:t>
            </w:r>
          </w:p>
        </w:tc>
      </w:tr>
      <w:tr w:rsidR="006F5135" w:rsidRPr="006F5135" w14:paraId="674C08DA" w14:textId="77777777" w:rsidTr="00B147E6">
        <w:trPr>
          <w:trHeight w:val="252"/>
        </w:trPr>
        <w:tc>
          <w:tcPr>
            <w:tcW w:w="2263" w:type="dxa"/>
            <w:vMerge/>
          </w:tcPr>
          <w:p w14:paraId="402D62D2"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tcPr>
          <w:p w14:paraId="2834DC5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Zidovudine/lamivudine + lopinavir/ritonavir</w:t>
            </w:r>
          </w:p>
        </w:tc>
        <w:tc>
          <w:tcPr>
            <w:tcW w:w="1560" w:type="dxa"/>
            <w:shd w:val="clear" w:color="auto" w:fill="auto"/>
            <w:noWrap/>
          </w:tcPr>
          <w:p w14:paraId="0EF4FAF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 (4.9)</w:t>
            </w:r>
          </w:p>
        </w:tc>
      </w:tr>
      <w:tr w:rsidR="006F5135" w:rsidRPr="006F5135" w14:paraId="1FE386F4" w14:textId="77777777" w:rsidTr="00B147E6">
        <w:trPr>
          <w:trHeight w:val="252"/>
        </w:trPr>
        <w:tc>
          <w:tcPr>
            <w:tcW w:w="2263" w:type="dxa"/>
            <w:vMerge w:val="restart"/>
          </w:tcPr>
          <w:p w14:paraId="6AFC8575"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GSS of ART regimen </w:t>
            </w:r>
            <w:r w:rsidRPr="006F5135">
              <w:rPr>
                <w:rFonts w:eastAsia="Times New Roman" w:cstheme="minorHAnsi"/>
                <w:color w:val="000000"/>
                <w:sz w:val="22"/>
                <w:szCs w:val="22"/>
                <w:lang w:eastAsia="en-GB"/>
              </w:rPr>
              <w:br/>
              <w:t>at study entry, n (%)</w:t>
            </w:r>
            <w:r w:rsidRPr="006F5135">
              <w:rPr>
                <w:rFonts w:eastAsia="Times New Roman" w:cstheme="minorHAnsi"/>
                <w:color w:val="000000"/>
                <w:sz w:val="22"/>
                <w:szCs w:val="22"/>
                <w:vertAlign w:val="superscript"/>
                <w:lang w:eastAsia="en-GB"/>
              </w:rPr>
              <w:t>a</w:t>
            </w:r>
          </w:p>
        </w:tc>
        <w:tc>
          <w:tcPr>
            <w:tcW w:w="4138" w:type="dxa"/>
            <w:shd w:val="clear" w:color="auto" w:fill="auto"/>
            <w:noWrap/>
            <w:vAlign w:val="bottom"/>
          </w:tcPr>
          <w:p w14:paraId="7498D9C7"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3</w:t>
            </w:r>
          </w:p>
        </w:tc>
        <w:tc>
          <w:tcPr>
            <w:tcW w:w="1560" w:type="dxa"/>
            <w:shd w:val="clear" w:color="auto" w:fill="auto"/>
            <w:noWrap/>
          </w:tcPr>
          <w:p w14:paraId="26E7A64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22 (27.2)</w:t>
            </w:r>
          </w:p>
        </w:tc>
      </w:tr>
      <w:tr w:rsidR="006F5135" w:rsidRPr="006F5135" w14:paraId="1864D251" w14:textId="77777777" w:rsidTr="00B147E6">
        <w:trPr>
          <w:trHeight w:val="252"/>
        </w:trPr>
        <w:tc>
          <w:tcPr>
            <w:tcW w:w="2263" w:type="dxa"/>
            <w:vMerge/>
          </w:tcPr>
          <w:p w14:paraId="76BD1435"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4EBD1FBA"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w:t>
            </w:r>
          </w:p>
        </w:tc>
        <w:tc>
          <w:tcPr>
            <w:tcW w:w="1560" w:type="dxa"/>
            <w:shd w:val="clear" w:color="auto" w:fill="auto"/>
            <w:noWrap/>
          </w:tcPr>
          <w:p w14:paraId="487700C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22 (27.2)</w:t>
            </w:r>
          </w:p>
        </w:tc>
      </w:tr>
      <w:tr w:rsidR="006F5135" w:rsidRPr="006F5135" w14:paraId="746FA699" w14:textId="77777777" w:rsidTr="00B147E6">
        <w:trPr>
          <w:trHeight w:val="252"/>
        </w:trPr>
        <w:tc>
          <w:tcPr>
            <w:tcW w:w="2263" w:type="dxa"/>
            <w:vMerge/>
          </w:tcPr>
          <w:p w14:paraId="6EE53DF9"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6B875D6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1.5</w:t>
            </w:r>
          </w:p>
        </w:tc>
        <w:tc>
          <w:tcPr>
            <w:tcW w:w="1560" w:type="dxa"/>
            <w:shd w:val="clear" w:color="auto" w:fill="auto"/>
            <w:noWrap/>
          </w:tcPr>
          <w:p w14:paraId="43176AF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 (1.2)</w:t>
            </w:r>
          </w:p>
        </w:tc>
      </w:tr>
      <w:tr w:rsidR="006F5135" w:rsidRPr="006F5135" w14:paraId="5222506D" w14:textId="77777777" w:rsidTr="00B147E6">
        <w:trPr>
          <w:trHeight w:val="252"/>
        </w:trPr>
        <w:tc>
          <w:tcPr>
            <w:tcW w:w="2263" w:type="dxa"/>
            <w:vMerge/>
          </w:tcPr>
          <w:p w14:paraId="7A573B1B"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7F83810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1.25</w:t>
            </w:r>
          </w:p>
        </w:tc>
        <w:tc>
          <w:tcPr>
            <w:tcW w:w="1560" w:type="dxa"/>
            <w:shd w:val="clear" w:color="auto" w:fill="auto"/>
            <w:noWrap/>
          </w:tcPr>
          <w:p w14:paraId="72F8E97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10 (12.3)</w:t>
            </w:r>
          </w:p>
        </w:tc>
      </w:tr>
      <w:tr w:rsidR="006F5135" w:rsidRPr="006F5135" w14:paraId="08FAF261" w14:textId="77777777" w:rsidTr="00B147E6">
        <w:trPr>
          <w:trHeight w:val="252"/>
        </w:trPr>
        <w:tc>
          <w:tcPr>
            <w:tcW w:w="2263" w:type="dxa"/>
            <w:vMerge/>
          </w:tcPr>
          <w:p w14:paraId="097454B8"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4EE2D8A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w:t>
            </w:r>
          </w:p>
        </w:tc>
        <w:tc>
          <w:tcPr>
            <w:tcW w:w="1560" w:type="dxa"/>
            <w:shd w:val="clear" w:color="auto" w:fill="auto"/>
            <w:noWrap/>
          </w:tcPr>
          <w:p w14:paraId="6F9D84C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 (6.2)</w:t>
            </w:r>
          </w:p>
        </w:tc>
      </w:tr>
      <w:tr w:rsidR="006F5135" w:rsidRPr="006F5135" w14:paraId="6D70C7C1" w14:textId="77777777" w:rsidTr="00B147E6">
        <w:trPr>
          <w:trHeight w:val="252"/>
        </w:trPr>
        <w:tc>
          <w:tcPr>
            <w:tcW w:w="2263" w:type="dxa"/>
          </w:tcPr>
          <w:p w14:paraId="1E3115EF"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5C23291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Not </w:t>
            </w:r>
            <w:proofErr w:type="spellStart"/>
            <w:r w:rsidRPr="006F5135">
              <w:rPr>
                <w:rFonts w:eastAsia="Times New Roman" w:cstheme="minorHAnsi"/>
                <w:color w:val="000000"/>
                <w:sz w:val="22"/>
                <w:szCs w:val="22"/>
                <w:lang w:eastAsia="en-GB"/>
              </w:rPr>
              <w:t>available</w:t>
            </w:r>
            <w:r w:rsidRPr="006F5135">
              <w:rPr>
                <w:rFonts w:eastAsia="Times New Roman" w:cstheme="minorHAnsi"/>
                <w:color w:val="000000"/>
                <w:sz w:val="22"/>
                <w:szCs w:val="22"/>
                <w:vertAlign w:val="superscript"/>
                <w:lang w:eastAsia="en-GB"/>
              </w:rPr>
              <w:t>b</w:t>
            </w:r>
            <w:proofErr w:type="spellEnd"/>
          </w:p>
        </w:tc>
        <w:tc>
          <w:tcPr>
            <w:tcW w:w="1560" w:type="dxa"/>
            <w:shd w:val="clear" w:color="auto" w:fill="auto"/>
            <w:noWrap/>
          </w:tcPr>
          <w:p w14:paraId="4BED660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21 (25.9%)</w:t>
            </w:r>
          </w:p>
        </w:tc>
      </w:tr>
      <w:tr w:rsidR="006F5135" w:rsidRPr="006F5135" w14:paraId="69F9EE88" w14:textId="77777777" w:rsidTr="00B147E6">
        <w:trPr>
          <w:trHeight w:val="252"/>
        </w:trPr>
        <w:tc>
          <w:tcPr>
            <w:tcW w:w="2263" w:type="dxa"/>
            <w:vMerge w:val="restart"/>
          </w:tcPr>
          <w:p w14:paraId="1AAC1873"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HIV-1 subtype, n (%)</w:t>
            </w:r>
            <w:r w:rsidRPr="006F5135">
              <w:rPr>
                <w:rFonts w:eastAsia="Times New Roman" w:cstheme="minorHAnsi"/>
                <w:color w:val="000000"/>
                <w:sz w:val="22"/>
                <w:szCs w:val="22"/>
                <w:vertAlign w:val="superscript"/>
                <w:lang w:eastAsia="en-GB"/>
              </w:rPr>
              <w:t>c</w:t>
            </w:r>
          </w:p>
        </w:tc>
        <w:tc>
          <w:tcPr>
            <w:tcW w:w="4138" w:type="dxa"/>
            <w:shd w:val="clear" w:color="auto" w:fill="auto"/>
            <w:noWrap/>
            <w:vAlign w:val="bottom"/>
          </w:tcPr>
          <w:p w14:paraId="5732A57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CRF02_AG</w:t>
            </w:r>
          </w:p>
        </w:tc>
        <w:tc>
          <w:tcPr>
            <w:tcW w:w="1560" w:type="dxa"/>
            <w:shd w:val="clear" w:color="auto" w:fill="auto"/>
            <w:noWrap/>
          </w:tcPr>
          <w:p w14:paraId="4D023D63"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35 (43.2)</w:t>
            </w:r>
          </w:p>
        </w:tc>
      </w:tr>
      <w:tr w:rsidR="006F5135" w:rsidRPr="006F5135" w14:paraId="7E7D29E2" w14:textId="77777777" w:rsidTr="00B147E6">
        <w:trPr>
          <w:trHeight w:val="252"/>
        </w:trPr>
        <w:tc>
          <w:tcPr>
            <w:tcW w:w="2263" w:type="dxa"/>
            <w:vMerge/>
          </w:tcPr>
          <w:p w14:paraId="3440C301"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3385D0E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A1</w:t>
            </w:r>
          </w:p>
        </w:tc>
        <w:tc>
          <w:tcPr>
            <w:tcW w:w="1560" w:type="dxa"/>
            <w:shd w:val="clear" w:color="auto" w:fill="auto"/>
            <w:noWrap/>
          </w:tcPr>
          <w:p w14:paraId="2FAC426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10 (12.3) </w:t>
            </w:r>
          </w:p>
        </w:tc>
      </w:tr>
      <w:tr w:rsidR="006F5135" w:rsidRPr="006F5135" w14:paraId="4DF43F59" w14:textId="77777777" w:rsidTr="00B147E6">
        <w:trPr>
          <w:trHeight w:val="252"/>
        </w:trPr>
        <w:tc>
          <w:tcPr>
            <w:tcW w:w="2263" w:type="dxa"/>
            <w:vMerge/>
          </w:tcPr>
          <w:p w14:paraId="22BCBE96"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3DE84128"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G</w:t>
            </w:r>
          </w:p>
        </w:tc>
        <w:tc>
          <w:tcPr>
            <w:tcW w:w="1560" w:type="dxa"/>
            <w:shd w:val="clear" w:color="auto" w:fill="auto"/>
            <w:noWrap/>
          </w:tcPr>
          <w:p w14:paraId="12186C0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 (6.2)</w:t>
            </w:r>
          </w:p>
        </w:tc>
      </w:tr>
      <w:tr w:rsidR="006F5135" w:rsidRPr="006F5135" w14:paraId="1FD5B6A7" w14:textId="77777777" w:rsidTr="00B147E6">
        <w:trPr>
          <w:trHeight w:val="252"/>
        </w:trPr>
        <w:tc>
          <w:tcPr>
            <w:tcW w:w="2263" w:type="dxa"/>
            <w:vMerge/>
          </w:tcPr>
          <w:p w14:paraId="2E2F2322"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6163951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cstheme="minorHAnsi"/>
                <w:color w:val="000000" w:themeColor="text1"/>
                <w:sz w:val="22"/>
                <w:szCs w:val="22"/>
              </w:rPr>
              <w:t>Other</w:t>
            </w:r>
          </w:p>
        </w:tc>
        <w:tc>
          <w:tcPr>
            <w:tcW w:w="1560" w:type="dxa"/>
            <w:shd w:val="clear" w:color="auto" w:fill="auto"/>
            <w:noWrap/>
          </w:tcPr>
          <w:p w14:paraId="445C3122"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cstheme="minorHAnsi"/>
                <w:color w:val="000000" w:themeColor="text1"/>
                <w:sz w:val="22"/>
                <w:szCs w:val="22"/>
              </w:rPr>
              <w:t>10 (12.3)</w:t>
            </w:r>
          </w:p>
        </w:tc>
      </w:tr>
      <w:tr w:rsidR="006F5135" w:rsidRPr="006F5135" w14:paraId="40C234A3" w14:textId="77777777" w:rsidTr="00B147E6">
        <w:trPr>
          <w:trHeight w:val="252"/>
        </w:trPr>
        <w:tc>
          <w:tcPr>
            <w:tcW w:w="2263" w:type="dxa"/>
          </w:tcPr>
          <w:p w14:paraId="64CCDB37"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vAlign w:val="bottom"/>
          </w:tcPr>
          <w:p w14:paraId="2202AFD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Not </w:t>
            </w:r>
            <w:proofErr w:type="spellStart"/>
            <w:r w:rsidRPr="006F5135">
              <w:rPr>
                <w:rFonts w:eastAsia="Times New Roman" w:cstheme="minorHAnsi"/>
                <w:color w:val="000000"/>
                <w:sz w:val="22"/>
                <w:szCs w:val="22"/>
                <w:lang w:eastAsia="en-GB"/>
              </w:rPr>
              <w:t>available</w:t>
            </w:r>
            <w:r w:rsidRPr="006F5135">
              <w:rPr>
                <w:rFonts w:eastAsia="Times New Roman" w:cstheme="minorHAnsi"/>
                <w:color w:val="000000"/>
                <w:sz w:val="22"/>
                <w:szCs w:val="22"/>
                <w:vertAlign w:val="superscript"/>
                <w:lang w:eastAsia="en-GB"/>
              </w:rPr>
              <w:t>b</w:t>
            </w:r>
            <w:proofErr w:type="spellEnd"/>
          </w:p>
        </w:tc>
        <w:tc>
          <w:tcPr>
            <w:tcW w:w="1560" w:type="dxa"/>
            <w:shd w:val="clear" w:color="auto" w:fill="auto"/>
            <w:noWrap/>
          </w:tcPr>
          <w:p w14:paraId="5C1F887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21 (25.9%)</w:t>
            </w:r>
          </w:p>
        </w:tc>
      </w:tr>
      <w:tr w:rsidR="006F5135" w:rsidRPr="006F5135" w14:paraId="5A76E528" w14:textId="77777777" w:rsidTr="00B147E6">
        <w:trPr>
          <w:trHeight w:val="252"/>
        </w:trPr>
        <w:tc>
          <w:tcPr>
            <w:tcW w:w="2263" w:type="dxa"/>
            <w:vMerge w:val="restart"/>
          </w:tcPr>
          <w:p w14:paraId="756A2608" w14:textId="77777777" w:rsidR="006F5135" w:rsidRPr="006F5135" w:rsidRDefault="006F5135" w:rsidP="00B147E6">
            <w:pPr>
              <w:tabs>
                <w:tab w:val="left" w:pos="567"/>
              </w:tabs>
              <w:rPr>
                <w:rFonts w:eastAsia="Times New Roman" w:cstheme="minorHAnsi"/>
                <w:color w:val="000000"/>
                <w:sz w:val="22"/>
                <w:szCs w:val="22"/>
                <w:lang w:eastAsia="en-GB"/>
              </w:rPr>
            </w:pPr>
            <w:r w:rsidRPr="006F5135">
              <w:rPr>
                <w:rFonts w:eastAsia="Times New Roman" w:cstheme="minorHAnsi"/>
                <w:color w:val="000000"/>
                <w:sz w:val="22"/>
                <w:szCs w:val="22"/>
                <w:lang w:eastAsia="en-GB"/>
              </w:rPr>
              <w:t xml:space="preserve">RAMs in HIV-1 DNA, </w:t>
            </w:r>
            <w:r w:rsidRPr="006F5135">
              <w:rPr>
                <w:rFonts w:eastAsia="Times New Roman" w:cstheme="minorHAnsi"/>
                <w:color w:val="000000"/>
                <w:sz w:val="22"/>
                <w:szCs w:val="22"/>
                <w:lang w:eastAsia="en-GB"/>
              </w:rPr>
              <w:br/>
              <w:t>n (%)</w:t>
            </w:r>
            <w:r w:rsidRPr="006F5135">
              <w:rPr>
                <w:rFonts w:eastAsia="Times New Roman" w:cstheme="minorHAnsi"/>
                <w:color w:val="000000"/>
                <w:sz w:val="22"/>
                <w:szCs w:val="22"/>
                <w:vertAlign w:val="superscript"/>
                <w:lang w:eastAsia="en-GB"/>
              </w:rPr>
              <w:t>d</w:t>
            </w:r>
          </w:p>
        </w:tc>
        <w:tc>
          <w:tcPr>
            <w:tcW w:w="4138" w:type="dxa"/>
            <w:shd w:val="clear" w:color="auto" w:fill="auto"/>
            <w:noWrap/>
          </w:tcPr>
          <w:p w14:paraId="0441F26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Any</w:t>
            </w:r>
          </w:p>
        </w:tc>
        <w:tc>
          <w:tcPr>
            <w:tcW w:w="1560" w:type="dxa"/>
            <w:shd w:val="clear" w:color="auto" w:fill="auto"/>
            <w:noWrap/>
          </w:tcPr>
          <w:p w14:paraId="70FDFA4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44 (54.3)</w:t>
            </w:r>
          </w:p>
        </w:tc>
      </w:tr>
      <w:tr w:rsidR="006F5135" w:rsidRPr="006F5135" w14:paraId="2DD3A905" w14:textId="77777777" w:rsidTr="00B147E6">
        <w:trPr>
          <w:trHeight w:val="252"/>
        </w:trPr>
        <w:tc>
          <w:tcPr>
            <w:tcW w:w="2263" w:type="dxa"/>
            <w:vMerge/>
          </w:tcPr>
          <w:p w14:paraId="1E422373"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6A56A62D"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None</w:t>
            </w:r>
          </w:p>
        </w:tc>
        <w:tc>
          <w:tcPr>
            <w:tcW w:w="1560" w:type="dxa"/>
            <w:shd w:val="clear" w:color="auto" w:fill="auto"/>
            <w:noWrap/>
          </w:tcPr>
          <w:p w14:paraId="1931FD6B"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16 (19.8)</w:t>
            </w:r>
          </w:p>
        </w:tc>
      </w:tr>
      <w:tr w:rsidR="006F5135" w:rsidRPr="006F5135" w14:paraId="260E5471" w14:textId="77777777" w:rsidTr="00B147E6">
        <w:trPr>
          <w:trHeight w:val="252"/>
        </w:trPr>
        <w:tc>
          <w:tcPr>
            <w:tcW w:w="2263" w:type="dxa"/>
            <w:vMerge/>
          </w:tcPr>
          <w:p w14:paraId="2C07F2AB" w14:textId="77777777" w:rsidR="006F5135" w:rsidRPr="006F5135" w:rsidRDefault="006F5135" w:rsidP="00B147E6">
            <w:pPr>
              <w:tabs>
                <w:tab w:val="left" w:pos="567"/>
              </w:tabs>
              <w:rPr>
                <w:rFonts w:eastAsia="Times New Roman" w:cstheme="minorHAnsi"/>
                <w:color w:val="000000"/>
                <w:sz w:val="22"/>
                <w:szCs w:val="22"/>
                <w:lang w:eastAsia="en-GB"/>
              </w:rPr>
            </w:pPr>
          </w:p>
        </w:tc>
        <w:tc>
          <w:tcPr>
            <w:tcW w:w="4138" w:type="dxa"/>
            <w:shd w:val="clear" w:color="auto" w:fill="auto"/>
            <w:noWrap/>
          </w:tcPr>
          <w:p w14:paraId="47F55965"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Not available</w:t>
            </w:r>
          </w:p>
        </w:tc>
        <w:tc>
          <w:tcPr>
            <w:tcW w:w="1560" w:type="dxa"/>
            <w:shd w:val="clear" w:color="auto" w:fill="auto"/>
            <w:noWrap/>
          </w:tcPr>
          <w:p w14:paraId="2A735847"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21 (25.9%)</w:t>
            </w:r>
          </w:p>
        </w:tc>
      </w:tr>
      <w:tr w:rsidR="006F5135" w:rsidRPr="006F5135" w14:paraId="4061D591" w14:textId="77777777" w:rsidTr="00B147E6">
        <w:trPr>
          <w:trHeight w:val="252"/>
        </w:trPr>
        <w:tc>
          <w:tcPr>
            <w:tcW w:w="2263" w:type="dxa"/>
            <w:vMerge/>
          </w:tcPr>
          <w:p w14:paraId="0ECA32D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7E0C458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 xml:space="preserve">Any NRTI </w:t>
            </w:r>
          </w:p>
        </w:tc>
        <w:tc>
          <w:tcPr>
            <w:tcW w:w="1560" w:type="dxa"/>
            <w:shd w:val="clear" w:color="auto" w:fill="auto"/>
            <w:noWrap/>
          </w:tcPr>
          <w:p w14:paraId="37D34DF1"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39 (48.1)</w:t>
            </w:r>
          </w:p>
        </w:tc>
      </w:tr>
      <w:tr w:rsidR="006F5135" w:rsidRPr="006F5135" w14:paraId="71949E3C" w14:textId="77777777" w:rsidTr="00B147E6">
        <w:trPr>
          <w:trHeight w:val="252"/>
        </w:trPr>
        <w:tc>
          <w:tcPr>
            <w:tcW w:w="2263" w:type="dxa"/>
            <w:vMerge/>
          </w:tcPr>
          <w:p w14:paraId="044AEC4D"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49580A88"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1 TAM</w:t>
            </w:r>
            <w:r w:rsidRPr="006F5135">
              <w:rPr>
                <w:rFonts w:eastAsia="Times New Roman" w:cstheme="minorHAnsi"/>
                <w:color w:val="000000"/>
                <w:sz w:val="22"/>
                <w:szCs w:val="22"/>
                <w:vertAlign w:val="superscript"/>
                <w:lang w:eastAsia="en-GB"/>
              </w:rPr>
              <w:t xml:space="preserve"> </w:t>
            </w:r>
          </w:p>
        </w:tc>
        <w:tc>
          <w:tcPr>
            <w:tcW w:w="1560" w:type="dxa"/>
            <w:shd w:val="clear" w:color="auto" w:fill="auto"/>
            <w:noWrap/>
            <w:vAlign w:val="bottom"/>
          </w:tcPr>
          <w:p w14:paraId="5198E4F6"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13 (16.0)</w:t>
            </w:r>
          </w:p>
        </w:tc>
      </w:tr>
      <w:tr w:rsidR="006F5135" w:rsidRPr="006F5135" w14:paraId="2B54D7A4" w14:textId="77777777" w:rsidTr="00B147E6">
        <w:trPr>
          <w:trHeight w:val="252"/>
        </w:trPr>
        <w:tc>
          <w:tcPr>
            <w:tcW w:w="2263" w:type="dxa"/>
            <w:vMerge/>
          </w:tcPr>
          <w:p w14:paraId="6D876113" w14:textId="77777777" w:rsidR="006F5135" w:rsidRPr="006F5135" w:rsidRDefault="006F5135" w:rsidP="00B147E6">
            <w:pPr>
              <w:tabs>
                <w:tab w:val="left" w:pos="567"/>
              </w:tabs>
              <w:jc w:val="both"/>
              <w:rPr>
                <w:rFonts w:eastAsia="Times New Roman" w:cstheme="minorHAnsi"/>
                <w:color w:val="000000"/>
                <w:sz w:val="22"/>
                <w:szCs w:val="22"/>
                <w:vertAlign w:val="superscript"/>
                <w:lang w:eastAsia="en-GB"/>
              </w:rPr>
            </w:pPr>
          </w:p>
        </w:tc>
        <w:tc>
          <w:tcPr>
            <w:tcW w:w="4138" w:type="dxa"/>
            <w:shd w:val="clear" w:color="auto" w:fill="auto"/>
            <w:noWrap/>
            <w:vAlign w:val="bottom"/>
          </w:tcPr>
          <w:p w14:paraId="7DA40AB6" w14:textId="77777777" w:rsidR="006F5135" w:rsidRPr="006F5135" w:rsidRDefault="006F5135" w:rsidP="00B147E6">
            <w:pPr>
              <w:tabs>
                <w:tab w:val="left" w:pos="567"/>
              </w:tabs>
              <w:jc w:val="both"/>
              <w:rPr>
                <w:rFonts w:eastAsia="Times New Roman" w:cstheme="minorHAnsi"/>
                <w:color w:val="000000"/>
                <w:sz w:val="22"/>
                <w:szCs w:val="22"/>
                <w:vertAlign w:val="superscript"/>
                <w:lang w:eastAsia="en-GB"/>
              </w:rPr>
            </w:pPr>
            <w:r w:rsidRPr="006F5135">
              <w:rPr>
                <w:rFonts w:eastAsia="Times New Roman" w:cstheme="minorHAnsi"/>
                <w:color w:val="000000" w:themeColor="text1"/>
                <w:sz w:val="22"/>
                <w:szCs w:val="22"/>
                <w:lang w:eastAsia="en-GB"/>
              </w:rPr>
              <w:t>2 TAMs</w:t>
            </w:r>
          </w:p>
        </w:tc>
        <w:tc>
          <w:tcPr>
            <w:tcW w:w="1560" w:type="dxa"/>
            <w:shd w:val="clear" w:color="auto" w:fill="auto"/>
            <w:noWrap/>
            <w:vAlign w:val="bottom"/>
          </w:tcPr>
          <w:p w14:paraId="193BEF37"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5 (6.2)</w:t>
            </w:r>
          </w:p>
        </w:tc>
      </w:tr>
      <w:tr w:rsidR="006F5135" w:rsidRPr="006F5135" w14:paraId="7D8E038C" w14:textId="77777777" w:rsidTr="00B147E6">
        <w:trPr>
          <w:trHeight w:val="252"/>
        </w:trPr>
        <w:tc>
          <w:tcPr>
            <w:tcW w:w="2263" w:type="dxa"/>
            <w:vMerge/>
          </w:tcPr>
          <w:p w14:paraId="70E16D11"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132211C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≥3 TAMs</w:t>
            </w:r>
          </w:p>
        </w:tc>
        <w:tc>
          <w:tcPr>
            <w:tcW w:w="1560" w:type="dxa"/>
            <w:shd w:val="clear" w:color="auto" w:fill="auto"/>
            <w:noWrap/>
            <w:vAlign w:val="bottom"/>
          </w:tcPr>
          <w:p w14:paraId="1D0FADD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11 (13.6)</w:t>
            </w:r>
          </w:p>
        </w:tc>
      </w:tr>
      <w:tr w:rsidR="006F5135" w:rsidRPr="006F5135" w14:paraId="3F5C830C" w14:textId="77777777" w:rsidTr="00B147E6">
        <w:trPr>
          <w:trHeight w:val="252"/>
        </w:trPr>
        <w:tc>
          <w:tcPr>
            <w:tcW w:w="2263" w:type="dxa"/>
            <w:vMerge/>
          </w:tcPr>
          <w:p w14:paraId="4C2B1343"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2B8EBF7E"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TAM-1 profile</w:t>
            </w:r>
          </w:p>
        </w:tc>
        <w:tc>
          <w:tcPr>
            <w:tcW w:w="1560" w:type="dxa"/>
            <w:shd w:val="clear" w:color="auto" w:fill="auto"/>
            <w:noWrap/>
            <w:vAlign w:val="bottom"/>
            <w:hideMark/>
          </w:tcPr>
          <w:p w14:paraId="1E55098F"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10 (12.3)</w:t>
            </w:r>
          </w:p>
        </w:tc>
      </w:tr>
      <w:tr w:rsidR="006F5135" w:rsidRPr="006F5135" w14:paraId="281B27A5" w14:textId="77777777" w:rsidTr="00B147E6">
        <w:trPr>
          <w:trHeight w:val="252"/>
        </w:trPr>
        <w:tc>
          <w:tcPr>
            <w:tcW w:w="2263" w:type="dxa"/>
            <w:vMerge/>
          </w:tcPr>
          <w:p w14:paraId="5B1C43DE"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666473B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TAM-2 profile</w:t>
            </w:r>
          </w:p>
        </w:tc>
        <w:tc>
          <w:tcPr>
            <w:tcW w:w="1560" w:type="dxa"/>
            <w:shd w:val="clear" w:color="auto" w:fill="auto"/>
            <w:noWrap/>
            <w:vAlign w:val="bottom"/>
          </w:tcPr>
          <w:p w14:paraId="36B71130"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15 (18.5)</w:t>
            </w:r>
          </w:p>
        </w:tc>
      </w:tr>
      <w:tr w:rsidR="006F5135" w:rsidRPr="006F5135" w14:paraId="67170DBE" w14:textId="77777777" w:rsidTr="00B147E6">
        <w:trPr>
          <w:trHeight w:val="252"/>
        </w:trPr>
        <w:tc>
          <w:tcPr>
            <w:tcW w:w="2263" w:type="dxa"/>
            <w:vMerge/>
          </w:tcPr>
          <w:p w14:paraId="34CCAA2D"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2AA953E5"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Mixed/other TAM profile</w:t>
            </w:r>
          </w:p>
        </w:tc>
        <w:tc>
          <w:tcPr>
            <w:tcW w:w="1560" w:type="dxa"/>
            <w:shd w:val="clear" w:color="auto" w:fill="auto"/>
            <w:noWrap/>
            <w:vAlign w:val="bottom"/>
          </w:tcPr>
          <w:p w14:paraId="3D043FF9"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sz w:val="22"/>
                <w:szCs w:val="22"/>
                <w:lang w:eastAsia="en-GB"/>
              </w:rPr>
              <w:t>4 (4.9)</w:t>
            </w:r>
          </w:p>
        </w:tc>
      </w:tr>
      <w:tr w:rsidR="006F5135" w:rsidRPr="006F5135" w14:paraId="27C7A9D5" w14:textId="77777777" w:rsidTr="00B147E6">
        <w:trPr>
          <w:trHeight w:val="252"/>
        </w:trPr>
        <w:tc>
          <w:tcPr>
            <w:tcW w:w="2263" w:type="dxa"/>
            <w:vMerge/>
          </w:tcPr>
          <w:p w14:paraId="7A772D81"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491994E4"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K65R</w:t>
            </w:r>
          </w:p>
        </w:tc>
        <w:tc>
          <w:tcPr>
            <w:tcW w:w="1560" w:type="dxa"/>
            <w:shd w:val="clear" w:color="auto" w:fill="auto"/>
            <w:noWrap/>
            <w:vAlign w:val="bottom"/>
          </w:tcPr>
          <w:p w14:paraId="7571BF60" w14:textId="77777777" w:rsidR="006F5135" w:rsidRPr="006F5135" w:rsidRDefault="006F5135" w:rsidP="00B147E6">
            <w:pPr>
              <w:tabs>
                <w:tab w:val="left" w:pos="567"/>
              </w:tabs>
              <w:jc w:val="both"/>
              <w:rPr>
                <w:rFonts w:eastAsia="Times New Roman" w:cstheme="minorHAnsi"/>
                <w:color w:val="000000"/>
                <w:sz w:val="22"/>
                <w:szCs w:val="22"/>
                <w:highlight w:val="yellow"/>
                <w:lang w:eastAsia="en-GB"/>
              </w:rPr>
            </w:pPr>
            <w:r w:rsidRPr="006F5135">
              <w:rPr>
                <w:rFonts w:eastAsia="Times New Roman" w:cstheme="minorHAnsi"/>
                <w:color w:val="000000" w:themeColor="text1"/>
                <w:sz w:val="22"/>
                <w:szCs w:val="22"/>
                <w:lang w:eastAsia="en-GB"/>
              </w:rPr>
              <w:t>2 (2.5)</w:t>
            </w:r>
          </w:p>
        </w:tc>
      </w:tr>
      <w:tr w:rsidR="006F5135" w:rsidRPr="006F5135" w14:paraId="6B5A8751" w14:textId="77777777" w:rsidTr="00B147E6">
        <w:trPr>
          <w:trHeight w:val="252"/>
        </w:trPr>
        <w:tc>
          <w:tcPr>
            <w:tcW w:w="2263" w:type="dxa"/>
            <w:vMerge/>
          </w:tcPr>
          <w:p w14:paraId="31CB0FD8"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562BA58A"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L74V/I</w:t>
            </w:r>
          </w:p>
        </w:tc>
        <w:tc>
          <w:tcPr>
            <w:tcW w:w="1560" w:type="dxa"/>
            <w:shd w:val="clear" w:color="auto" w:fill="auto"/>
            <w:noWrap/>
            <w:vAlign w:val="bottom"/>
          </w:tcPr>
          <w:p w14:paraId="637A7154" w14:textId="77777777" w:rsidR="006F5135" w:rsidRPr="006F5135" w:rsidRDefault="006F5135" w:rsidP="00B147E6">
            <w:pPr>
              <w:tabs>
                <w:tab w:val="left" w:pos="567"/>
              </w:tabs>
              <w:jc w:val="both"/>
              <w:rPr>
                <w:rFonts w:eastAsia="Times New Roman" w:cstheme="minorHAnsi"/>
                <w:color w:val="000000"/>
                <w:sz w:val="22"/>
                <w:szCs w:val="22"/>
                <w:highlight w:val="yellow"/>
                <w:lang w:eastAsia="en-GB"/>
              </w:rPr>
            </w:pPr>
            <w:r w:rsidRPr="006F5135">
              <w:rPr>
                <w:rFonts w:eastAsia="Times New Roman" w:cstheme="minorHAnsi"/>
                <w:color w:val="000000" w:themeColor="text1"/>
                <w:sz w:val="22"/>
                <w:szCs w:val="22"/>
                <w:lang w:eastAsia="en-GB"/>
              </w:rPr>
              <w:t>5 (6.2)</w:t>
            </w:r>
          </w:p>
        </w:tc>
      </w:tr>
      <w:tr w:rsidR="006F5135" w:rsidRPr="006F5135" w14:paraId="6E5A90F5" w14:textId="77777777" w:rsidTr="00B147E6">
        <w:trPr>
          <w:trHeight w:val="252"/>
        </w:trPr>
        <w:tc>
          <w:tcPr>
            <w:tcW w:w="2263" w:type="dxa"/>
            <w:vMerge/>
          </w:tcPr>
          <w:p w14:paraId="0B062C89" w14:textId="77777777" w:rsidR="006F5135" w:rsidRPr="006F5135" w:rsidRDefault="006F5135" w:rsidP="00B147E6">
            <w:pPr>
              <w:tabs>
                <w:tab w:val="left" w:pos="567"/>
              </w:tabs>
              <w:jc w:val="both"/>
              <w:rPr>
                <w:rFonts w:eastAsia="Times New Roman" w:cstheme="minorHAnsi"/>
                <w:color w:val="000000"/>
                <w:sz w:val="22"/>
                <w:szCs w:val="22"/>
                <w:lang w:eastAsia="en-GB"/>
              </w:rPr>
            </w:pPr>
          </w:p>
        </w:tc>
        <w:tc>
          <w:tcPr>
            <w:tcW w:w="4138" w:type="dxa"/>
            <w:shd w:val="clear" w:color="auto" w:fill="auto"/>
            <w:noWrap/>
            <w:vAlign w:val="bottom"/>
          </w:tcPr>
          <w:p w14:paraId="06E72BDC" w14:textId="77777777" w:rsidR="006F5135" w:rsidRPr="006F5135" w:rsidRDefault="006F5135" w:rsidP="00B147E6">
            <w:pPr>
              <w:tabs>
                <w:tab w:val="left" w:pos="567"/>
              </w:tabs>
              <w:jc w:val="both"/>
              <w:rPr>
                <w:rFonts w:eastAsia="Times New Roman" w:cstheme="minorHAnsi"/>
                <w:color w:val="000000"/>
                <w:sz w:val="22"/>
                <w:szCs w:val="22"/>
                <w:lang w:eastAsia="en-GB"/>
              </w:rPr>
            </w:pPr>
            <w:r w:rsidRPr="006F5135">
              <w:rPr>
                <w:rFonts w:eastAsia="Times New Roman" w:cstheme="minorHAnsi"/>
                <w:color w:val="000000" w:themeColor="text1"/>
                <w:sz w:val="22"/>
                <w:szCs w:val="22"/>
                <w:lang w:eastAsia="en-GB"/>
              </w:rPr>
              <w:t>M184I/V</w:t>
            </w:r>
          </w:p>
        </w:tc>
        <w:tc>
          <w:tcPr>
            <w:tcW w:w="1560" w:type="dxa"/>
            <w:shd w:val="clear" w:color="auto" w:fill="auto"/>
            <w:noWrap/>
            <w:vAlign w:val="bottom"/>
          </w:tcPr>
          <w:p w14:paraId="6D8A5137" w14:textId="77777777" w:rsidR="006F5135" w:rsidRPr="006F5135" w:rsidRDefault="006F5135" w:rsidP="00B147E6">
            <w:pPr>
              <w:tabs>
                <w:tab w:val="left" w:pos="567"/>
              </w:tabs>
              <w:jc w:val="both"/>
              <w:rPr>
                <w:rFonts w:eastAsia="Times New Roman" w:cstheme="minorHAnsi"/>
                <w:color w:val="000000"/>
                <w:sz w:val="22"/>
                <w:szCs w:val="22"/>
                <w:highlight w:val="yellow"/>
                <w:lang w:eastAsia="en-GB"/>
              </w:rPr>
            </w:pPr>
            <w:r w:rsidRPr="006F5135">
              <w:rPr>
                <w:rFonts w:eastAsia="Times New Roman" w:cstheme="minorHAnsi"/>
                <w:color w:val="000000" w:themeColor="text1"/>
                <w:sz w:val="22"/>
                <w:szCs w:val="22"/>
                <w:lang w:eastAsia="en-GB"/>
              </w:rPr>
              <w:t>35 (43.2)</w:t>
            </w:r>
          </w:p>
        </w:tc>
      </w:tr>
      <w:tr w:rsidR="006F5135" w:rsidRPr="006F5135" w14:paraId="7A464003" w14:textId="77777777" w:rsidTr="00B147E6">
        <w:trPr>
          <w:trHeight w:val="252"/>
        </w:trPr>
        <w:tc>
          <w:tcPr>
            <w:tcW w:w="2263" w:type="dxa"/>
            <w:vMerge/>
          </w:tcPr>
          <w:p w14:paraId="2377E916"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4A35C1FD"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Q151M/L</w:t>
            </w:r>
          </w:p>
        </w:tc>
        <w:tc>
          <w:tcPr>
            <w:tcW w:w="1560" w:type="dxa"/>
            <w:shd w:val="clear" w:color="auto" w:fill="auto"/>
            <w:noWrap/>
            <w:vAlign w:val="bottom"/>
          </w:tcPr>
          <w:p w14:paraId="0B5FEE5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3 (3.7)</w:t>
            </w:r>
          </w:p>
        </w:tc>
      </w:tr>
      <w:tr w:rsidR="006F5135" w:rsidRPr="006F5135" w14:paraId="5D890879" w14:textId="77777777" w:rsidTr="00B147E6">
        <w:trPr>
          <w:trHeight w:val="252"/>
        </w:trPr>
        <w:tc>
          <w:tcPr>
            <w:tcW w:w="2263" w:type="dxa"/>
            <w:vMerge/>
          </w:tcPr>
          <w:p w14:paraId="7412A1D5"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09D75434"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T69ins</w:t>
            </w:r>
          </w:p>
        </w:tc>
        <w:tc>
          <w:tcPr>
            <w:tcW w:w="1560" w:type="dxa"/>
            <w:shd w:val="clear" w:color="auto" w:fill="auto"/>
            <w:noWrap/>
            <w:vAlign w:val="bottom"/>
          </w:tcPr>
          <w:p w14:paraId="24C6110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1 (1.2)</w:t>
            </w:r>
          </w:p>
        </w:tc>
      </w:tr>
      <w:tr w:rsidR="006F5135" w:rsidRPr="006F5135" w14:paraId="3A9867B1" w14:textId="77777777" w:rsidTr="00B147E6">
        <w:trPr>
          <w:trHeight w:val="252"/>
        </w:trPr>
        <w:tc>
          <w:tcPr>
            <w:tcW w:w="2263" w:type="dxa"/>
            <w:vMerge/>
          </w:tcPr>
          <w:p w14:paraId="6D16E13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21CC1F2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T69D/N</w:t>
            </w:r>
          </w:p>
        </w:tc>
        <w:tc>
          <w:tcPr>
            <w:tcW w:w="1560" w:type="dxa"/>
            <w:shd w:val="clear" w:color="auto" w:fill="auto"/>
            <w:noWrap/>
            <w:vAlign w:val="bottom"/>
          </w:tcPr>
          <w:p w14:paraId="2ED4F3C4"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1 (1.2)</w:t>
            </w:r>
          </w:p>
        </w:tc>
      </w:tr>
      <w:tr w:rsidR="006F5135" w:rsidRPr="006F5135" w14:paraId="7707D9C0" w14:textId="77777777" w:rsidTr="00B147E6">
        <w:trPr>
          <w:trHeight w:val="252"/>
        </w:trPr>
        <w:tc>
          <w:tcPr>
            <w:tcW w:w="2263" w:type="dxa"/>
            <w:vMerge/>
          </w:tcPr>
          <w:p w14:paraId="03CEC1B4"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2DE9C60C"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 xml:space="preserve">Any NNRTI </w:t>
            </w:r>
          </w:p>
        </w:tc>
        <w:tc>
          <w:tcPr>
            <w:tcW w:w="1560" w:type="dxa"/>
            <w:shd w:val="clear" w:color="auto" w:fill="auto"/>
            <w:noWrap/>
            <w:vAlign w:val="bottom"/>
          </w:tcPr>
          <w:p w14:paraId="7C5F81EA"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41 (50.6)</w:t>
            </w:r>
          </w:p>
        </w:tc>
      </w:tr>
      <w:tr w:rsidR="006F5135" w:rsidRPr="006F5135" w14:paraId="53BEF859" w14:textId="77777777" w:rsidTr="00B147E6">
        <w:trPr>
          <w:trHeight w:val="252"/>
        </w:trPr>
        <w:tc>
          <w:tcPr>
            <w:tcW w:w="2263" w:type="dxa"/>
            <w:vMerge/>
          </w:tcPr>
          <w:p w14:paraId="0339A2C0"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552546F0"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A98G</w:t>
            </w:r>
          </w:p>
        </w:tc>
        <w:tc>
          <w:tcPr>
            <w:tcW w:w="1560" w:type="dxa"/>
            <w:shd w:val="clear" w:color="auto" w:fill="auto"/>
            <w:noWrap/>
            <w:vAlign w:val="bottom"/>
          </w:tcPr>
          <w:p w14:paraId="121F3EF5"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9 (11.1)</w:t>
            </w:r>
          </w:p>
        </w:tc>
      </w:tr>
      <w:tr w:rsidR="006F5135" w:rsidRPr="006F5135" w14:paraId="5ED075DC" w14:textId="77777777" w:rsidTr="00B147E6">
        <w:trPr>
          <w:trHeight w:val="252"/>
        </w:trPr>
        <w:tc>
          <w:tcPr>
            <w:tcW w:w="2263" w:type="dxa"/>
            <w:vMerge/>
          </w:tcPr>
          <w:p w14:paraId="604A42C6"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1BF09AF8"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L100I</w:t>
            </w:r>
          </w:p>
        </w:tc>
        <w:tc>
          <w:tcPr>
            <w:tcW w:w="1560" w:type="dxa"/>
            <w:shd w:val="clear" w:color="auto" w:fill="auto"/>
            <w:noWrap/>
            <w:vAlign w:val="bottom"/>
          </w:tcPr>
          <w:p w14:paraId="7875EB4A"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1 (1.2)</w:t>
            </w:r>
          </w:p>
        </w:tc>
      </w:tr>
      <w:tr w:rsidR="006F5135" w:rsidRPr="006F5135" w14:paraId="31EACA5F" w14:textId="77777777" w:rsidTr="00B147E6">
        <w:trPr>
          <w:trHeight w:val="252"/>
        </w:trPr>
        <w:tc>
          <w:tcPr>
            <w:tcW w:w="2263" w:type="dxa"/>
            <w:vMerge/>
          </w:tcPr>
          <w:p w14:paraId="7E465C0C"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6C464479"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K101E/H/P/T</w:t>
            </w:r>
          </w:p>
        </w:tc>
        <w:tc>
          <w:tcPr>
            <w:tcW w:w="1560" w:type="dxa"/>
            <w:shd w:val="clear" w:color="auto" w:fill="auto"/>
            <w:noWrap/>
            <w:vAlign w:val="bottom"/>
          </w:tcPr>
          <w:p w14:paraId="5EBDC99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6 (7.4)</w:t>
            </w:r>
          </w:p>
        </w:tc>
      </w:tr>
      <w:tr w:rsidR="006F5135" w:rsidRPr="006F5135" w14:paraId="78C4440C" w14:textId="77777777" w:rsidTr="00B147E6">
        <w:trPr>
          <w:trHeight w:val="252"/>
        </w:trPr>
        <w:tc>
          <w:tcPr>
            <w:tcW w:w="2263" w:type="dxa"/>
            <w:vMerge/>
          </w:tcPr>
          <w:p w14:paraId="17625A4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332F3A3A"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K103N</w:t>
            </w:r>
          </w:p>
        </w:tc>
        <w:tc>
          <w:tcPr>
            <w:tcW w:w="1560" w:type="dxa"/>
            <w:shd w:val="clear" w:color="auto" w:fill="auto"/>
            <w:noWrap/>
            <w:vAlign w:val="bottom"/>
          </w:tcPr>
          <w:p w14:paraId="35D99F6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20 (24.7)</w:t>
            </w:r>
          </w:p>
        </w:tc>
      </w:tr>
      <w:tr w:rsidR="006F5135" w:rsidRPr="006F5135" w14:paraId="0826C869" w14:textId="77777777" w:rsidTr="00B147E6">
        <w:trPr>
          <w:trHeight w:val="252"/>
        </w:trPr>
        <w:tc>
          <w:tcPr>
            <w:tcW w:w="2263" w:type="dxa"/>
            <w:vMerge/>
          </w:tcPr>
          <w:p w14:paraId="1C736B36"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12E4AAF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V106A</w:t>
            </w:r>
          </w:p>
        </w:tc>
        <w:tc>
          <w:tcPr>
            <w:tcW w:w="1560" w:type="dxa"/>
            <w:shd w:val="clear" w:color="auto" w:fill="auto"/>
            <w:noWrap/>
            <w:vAlign w:val="bottom"/>
          </w:tcPr>
          <w:p w14:paraId="6980AAD6"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3 (3.7)</w:t>
            </w:r>
          </w:p>
        </w:tc>
      </w:tr>
      <w:tr w:rsidR="006F5135" w:rsidRPr="006F5135" w14:paraId="11CC2699" w14:textId="77777777" w:rsidTr="00B147E6">
        <w:trPr>
          <w:trHeight w:val="252"/>
        </w:trPr>
        <w:tc>
          <w:tcPr>
            <w:tcW w:w="2263" w:type="dxa"/>
            <w:vMerge/>
          </w:tcPr>
          <w:p w14:paraId="52E31080"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6BFCECB8"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V108I</w:t>
            </w:r>
          </w:p>
        </w:tc>
        <w:tc>
          <w:tcPr>
            <w:tcW w:w="1560" w:type="dxa"/>
            <w:shd w:val="clear" w:color="auto" w:fill="auto"/>
            <w:noWrap/>
            <w:vAlign w:val="bottom"/>
          </w:tcPr>
          <w:p w14:paraId="61123019"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6 (7.4)</w:t>
            </w:r>
          </w:p>
        </w:tc>
      </w:tr>
      <w:tr w:rsidR="006F5135" w:rsidRPr="006F5135" w14:paraId="33CBB17E" w14:textId="77777777" w:rsidTr="00B147E6">
        <w:trPr>
          <w:trHeight w:val="252"/>
        </w:trPr>
        <w:tc>
          <w:tcPr>
            <w:tcW w:w="2263" w:type="dxa"/>
            <w:vMerge/>
          </w:tcPr>
          <w:p w14:paraId="5FF1643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4A9D96D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E138G/K</w:t>
            </w:r>
          </w:p>
        </w:tc>
        <w:tc>
          <w:tcPr>
            <w:tcW w:w="1560" w:type="dxa"/>
            <w:shd w:val="clear" w:color="auto" w:fill="auto"/>
            <w:noWrap/>
            <w:vAlign w:val="bottom"/>
          </w:tcPr>
          <w:p w14:paraId="1AB1D88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3 (3.7)</w:t>
            </w:r>
          </w:p>
        </w:tc>
      </w:tr>
      <w:tr w:rsidR="006F5135" w:rsidRPr="006F5135" w14:paraId="24A2F8CA" w14:textId="77777777" w:rsidTr="00B147E6">
        <w:trPr>
          <w:trHeight w:val="252"/>
        </w:trPr>
        <w:tc>
          <w:tcPr>
            <w:tcW w:w="2263" w:type="dxa"/>
            <w:vMerge/>
          </w:tcPr>
          <w:p w14:paraId="2865067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46B4E475"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Y181C</w:t>
            </w:r>
          </w:p>
        </w:tc>
        <w:tc>
          <w:tcPr>
            <w:tcW w:w="1560" w:type="dxa"/>
            <w:shd w:val="clear" w:color="auto" w:fill="auto"/>
            <w:noWrap/>
            <w:vAlign w:val="bottom"/>
          </w:tcPr>
          <w:p w14:paraId="24AD3A5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14 (17.3)</w:t>
            </w:r>
          </w:p>
        </w:tc>
      </w:tr>
      <w:tr w:rsidR="006F5135" w:rsidRPr="006F5135" w14:paraId="4A9BBE84" w14:textId="77777777" w:rsidTr="00B147E6">
        <w:trPr>
          <w:trHeight w:val="252"/>
        </w:trPr>
        <w:tc>
          <w:tcPr>
            <w:tcW w:w="2263" w:type="dxa"/>
            <w:vMerge/>
          </w:tcPr>
          <w:p w14:paraId="1B2F1C2D"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7958A610"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Y188L/C/F/H/L</w:t>
            </w:r>
          </w:p>
        </w:tc>
        <w:tc>
          <w:tcPr>
            <w:tcW w:w="1560" w:type="dxa"/>
            <w:shd w:val="clear" w:color="auto" w:fill="auto"/>
            <w:noWrap/>
            <w:vAlign w:val="bottom"/>
          </w:tcPr>
          <w:p w14:paraId="58E7AB19"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4 (4.9)</w:t>
            </w:r>
          </w:p>
        </w:tc>
      </w:tr>
      <w:tr w:rsidR="006F5135" w:rsidRPr="006F5135" w14:paraId="0B3F72D8" w14:textId="77777777" w:rsidTr="00B147E6">
        <w:trPr>
          <w:trHeight w:val="252"/>
        </w:trPr>
        <w:tc>
          <w:tcPr>
            <w:tcW w:w="2263" w:type="dxa"/>
            <w:vMerge/>
          </w:tcPr>
          <w:p w14:paraId="53E89F06"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1E29978D"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G190A</w:t>
            </w:r>
          </w:p>
        </w:tc>
        <w:tc>
          <w:tcPr>
            <w:tcW w:w="1560" w:type="dxa"/>
            <w:shd w:val="clear" w:color="auto" w:fill="auto"/>
            <w:noWrap/>
            <w:vAlign w:val="bottom"/>
          </w:tcPr>
          <w:p w14:paraId="3CA7C50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9 (11.1)</w:t>
            </w:r>
          </w:p>
        </w:tc>
      </w:tr>
      <w:tr w:rsidR="006F5135" w:rsidRPr="006F5135" w14:paraId="22238E0F" w14:textId="77777777" w:rsidTr="00B147E6">
        <w:trPr>
          <w:trHeight w:val="252"/>
        </w:trPr>
        <w:tc>
          <w:tcPr>
            <w:tcW w:w="2263" w:type="dxa"/>
            <w:vMerge/>
          </w:tcPr>
          <w:p w14:paraId="1C258A4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6735CBE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H221Y</w:t>
            </w:r>
          </w:p>
        </w:tc>
        <w:tc>
          <w:tcPr>
            <w:tcW w:w="1560" w:type="dxa"/>
            <w:shd w:val="clear" w:color="auto" w:fill="auto"/>
            <w:noWrap/>
            <w:vAlign w:val="bottom"/>
          </w:tcPr>
          <w:p w14:paraId="15DB8900"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5 (6.2)</w:t>
            </w:r>
          </w:p>
        </w:tc>
      </w:tr>
      <w:tr w:rsidR="006F5135" w:rsidRPr="006F5135" w14:paraId="75F50A91" w14:textId="77777777" w:rsidTr="00B147E6">
        <w:trPr>
          <w:trHeight w:val="252"/>
        </w:trPr>
        <w:tc>
          <w:tcPr>
            <w:tcW w:w="2263" w:type="dxa"/>
            <w:vMerge/>
          </w:tcPr>
          <w:p w14:paraId="490D8CB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27DD572D"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P225H</w:t>
            </w:r>
          </w:p>
        </w:tc>
        <w:tc>
          <w:tcPr>
            <w:tcW w:w="1560" w:type="dxa"/>
            <w:shd w:val="clear" w:color="auto" w:fill="auto"/>
            <w:noWrap/>
            <w:vAlign w:val="bottom"/>
          </w:tcPr>
          <w:p w14:paraId="71662061"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2 (2.5)</w:t>
            </w:r>
          </w:p>
        </w:tc>
      </w:tr>
      <w:tr w:rsidR="006F5135" w:rsidRPr="006F5135" w14:paraId="567FB905" w14:textId="77777777" w:rsidTr="00B147E6">
        <w:trPr>
          <w:trHeight w:val="252"/>
        </w:trPr>
        <w:tc>
          <w:tcPr>
            <w:tcW w:w="2263" w:type="dxa"/>
            <w:vMerge/>
          </w:tcPr>
          <w:p w14:paraId="54A35B14"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19E9F897"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F227L</w:t>
            </w:r>
          </w:p>
        </w:tc>
        <w:tc>
          <w:tcPr>
            <w:tcW w:w="1560" w:type="dxa"/>
            <w:shd w:val="clear" w:color="auto" w:fill="auto"/>
            <w:noWrap/>
            <w:vAlign w:val="bottom"/>
          </w:tcPr>
          <w:p w14:paraId="3FF28907"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3 (3.7)</w:t>
            </w:r>
          </w:p>
        </w:tc>
      </w:tr>
      <w:tr w:rsidR="006F5135" w:rsidRPr="006F5135" w14:paraId="201FA4BC" w14:textId="77777777" w:rsidTr="00B147E6">
        <w:trPr>
          <w:trHeight w:val="252"/>
        </w:trPr>
        <w:tc>
          <w:tcPr>
            <w:tcW w:w="2263" w:type="dxa"/>
            <w:vMerge/>
          </w:tcPr>
          <w:p w14:paraId="7CE9C8BC"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2FC6BEEC"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M230I/L</w:t>
            </w:r>
          </w:p>
        </w:tc>
        <w:tc>
          <w:tcPr>
            <w:tcW w:w="1560" w:type="dxa"/>
            <w:shd w:val="clear" w:color="auto" w:fill="auto"/>
            <w:noWrap/>
            <w:vAlign w:val="bottom"/>
          </w:tcPr>
          <w:p w14:paraId="7697297D"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4 (4.9)</w:t>
            </w:r>
          </w:p>
        </w:tc>
      </w:tr>
      <w:tr w:rsidR="006F5135" w:rsidRPr="006F5135" w14:paraId="21123F64" w14:textId="77777777" w:rsidTr="00B147E6">
        <w:trPr>
          <w:trHeight w:val="252"/>
        </w:trPr>
        <w:tc>
          <w:tcPr>
            <w:tcW w:w="2263" w:type="dxa"/>
            <w:vMerge/>
          </w:tcPr>
          <w:p w14:paraId="78FF91B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7F8710D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K238T</w:t>
            </w:r>
          </w:p>
        </w:tc>
        <w:tc>
          <w:tcPr>
            <w:tcW w:w="1560" w:type="dxa"/>
            <w:shd w:val="clear" w:color="auto" w:fill="auto"/>
            <w:noWrap/>
            <w:vAlign w:val="bottom"/>
          </w:tcPr>
          <w:p w14:paraId="7B9F15BF"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4 (4.9)</w:t>
            </w:r>
          </w:p>
        </w:tc>
      </w:tr>
      <w:tr w:rsidR="006F5135" w:rsidRPr="006F5135" w14:paraId="17D6A547" w14:textId="77777777" w:rsidTr="00B147E6">
        <w:trPr>
          <w:trHeight w:val="252"/>
        </w:trPr>
        <w:tc>
          <w:tcPr>
            <w:tcW w:w="2263" w:type="dxa"/>
            <w:vMerge/>
          </w:tcPr>
          <w:p w14:paraId="5416B4AC"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p>
        </w:tc>
        <w:tc>
          <w:tcPr>
            <w:tcW w:w="4138" w:type="dxa"/>
            <w:shd w:val="clear" w:color="auto" w:fill="auto"/>
            <w:noWrap/>
            <w:vAlign w:val="bottom"/>
          </w:tcPr>
          <w:p w14:paraId="061E000E"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Y318F</w:t>
            </w:r>
          </w:p>
        </w:tc>
        <w:tc>
          <w:tcPr>
            <w:tcW w:w="1560" w:type="dxa"/>
            <w:shd w:val="clear" w:color="auto" w:fill="auto"/>
            <w:noWrap/>
            <w:vAlign w:val="bottom"/>
          </w:tcPr>
          <w:p w14:paraId="47F4DD32" w14:textId="77777777" w:rsidR="006F5135" w:rsidRPr="006F5135" w:rsidRDefault="006F5135" w:rsidP="00B147E6">
            <w:pPr>
              <w:tabs>
                <w:tab w:val="left" w:pos="567"/>
              </w:tabs>
              <w:jc w:val="both"/>
              <w:rPr>
                <w:rFonts w:eastAsia="Times New Roman" w:cstheme="minorHAnsi"/>
                <w:color w:val="000000" w:themeColor="text1"/>
                <w:sz w:val="22"/>
                <w:szCs w:val="22"/>
                <w:lang w:eastAsia="en-GB"/>
              </w:rPr>
            </w:pPr>
            <w:r w:rsidRPr="006F5135">
              <w:rPr>
                <w:rFonts w:eastAsia="Times New Roman" w:cstheme="minorHAnsi"/>
                <w:color w:val="000000" w:themeColor="text1"/>
                <w:sz w:val="22"/>
                <w:szCs w:val="22"/>
                <w:lang w:eastAsia="en-GB"/>
              </w:rPr>
              <w:t>1 (1.2)</w:t>
            </w:r>
          </w:p>
        </w:tc>
      </w:tr>
    </w:tbl>
    <w:p w14:paraId="208F4DAA" w14:textId="77777777" w:rsidR="006F5135" w:rsidRDefault="006F5135" w:rsidP="006F5135">
      <w:pPr>
        <w:tabs>
          <w:tab w:val="left" w:pos="567"/>
        </w:tabs>
        <w:jc w:val="both"/>
        <w:rPr>
          <w:color w:val="000000" w:themeColor="text1"/>
          <w:sz w:val="22"/>
          <w:szCs w:val="22"/>
          <w:vertAlign w:val="superscript"/>
        </w:rPr>
      </w:pPr>
      <w:r w:rsidRPr="004A6173">
        <w:rPr>
          <w:color w:val="000000" w:themeColor="text1"/>
          <w:vertAlign w:val="superscript"/>
        </w:rPr>
        <w:br w:type="textWrapping" w:clear="all"/>
      </w:r>
    </w:p>
    <w:p w14:paraId="34A3476E" w14:textId="6CCACCD6" w:rsidR="006F5135" w:rsidRPr="00027F18" w:rsidRDefault="006F5135" w:rsidP="006F5135">
      <w:pPr>
        <w:tabs>
          <w:tab w:val="left" w:pos="567"/>
        </w:tabs>
        <w:spacing w:line="276" w:lineRule="auto"/>
        <w:jc w:val="both"/>
        <w:rPr>
          <w:sz w:val="22"/>
          <w:szCs w:val="22"/>
        </w:rPr>
      </w:pPr>
      <w:proofErr w:type="spellStart"/>
      <w:r>
        <w:rPr>
          <w:color w:val="000000" w:themeColor="text1"/>
          <w:sz w:val="22"/>
          <w:szCs w:val="22"/>
          <w:vertAlign w:val="superscript"/>
        </w:rPr>
        <w:t>a</w:t>
      </w:r>
      <w:r w:rsidRPr="00762E64">
        <w:rPr>
          <w:color w:val="000000" w:themeColor="text1"/>
          <w:sz w:val="22"/>
          <w:szCs w:val="22"/>
        </w:rPr>
        <w:t>GSS</w:t>
      </w:r>
      <w:proofErr w:type="spellEnd"/>
      <w:r w:rsidRPr="00762E64">
        <w:rPr>
          <w:color w:val="000000" w:themeColor="text1"/>
          <w:sz w:val="22"/>
          <w:szCs w:val="22"/>
        </w:rPr>
        <w:t xml:space="preserve"> </w:t>
      </w:r>
      <w:r>
        <w:rPr>
          <w:color w:val="000000" w:themeColor="text1"/>
          <w:sz w:val="22"/>
          <w:szCs w:val="22"/>
        </w:rPr>
        <w:t xml:space="preserve">were determined from HIV-1 DNA sequencing results </w:t>
      </w:r>
      <w:r w:rsidRPr="00762E64">
        <w:rPr>
          <w:color w:val="000000" w:themeColor="text1"/>
          <w:sz w:val="22"/>
          <w:szCs w:val="22"/>
        </w:rPr>
        <w:t xml:space="preserve">using </w:t>
      </w:r>
      <w:r>
        <w:rPr>
          <w:color w:val="000000" w:themeColor="text1"/>
          <w:sz w:val="22"/>
          <w:szCs w:val="22"/>
        </w:rPr>
        <w:t xml:space="preserve">the </w:t>
      </w:r>
      <w:r w:rsidRPr="00762E64">
        <w:rPr>
          <w:color w:val="000000" w:themeColor="text1"/>
          <w:sz w:val="22"/>
          <w:szCs w:val="22"/>
        </w:rPr>
        <w:t>Stanford HIV drug resistance algorithm (v8.4)</w:t>
      </w:r>
      <w:r>
        <w:rPr>
          <w:color w:val="000000" w:themeColor="text1"/>
          <w:sz w:val="22"/>
          <w:szCs w:val="22"/>
        </w:rPr>
        <w:t xml:space="preserve"> and assigning to each drug in the regimen </w:t>
      </w:r>
      <w:r w:rsidRPr="00762E64">
        <w:rPr>
          <w:color w:val="000000" w:themeColor="text1"/>
          <w:sz w:val="22"/>
          <w:szCs w:val="22"/>
        </w:rPr>
        <w:t xml:space="preserve">0 for high-level resistance, 0.25 for intermediate resistance, 0.5 for low-level resistance, and 1 for potential low-level resistance/full susceptibility. </w:t>
      </w:r>
      <w:proofErr w:type="spellStart"/>
      <w:r>
        <w:rPr>
          <w:color w:val="000000" w:themeColor="text1"/>
          <w:sz w:val="22"/>
          <w:szCs w:val="22"/>
          <w:vertAlign w:val="superscript"/>
        </w:rPr>
        <w:t>b</w:t>
      </w:r>
      <w:r>
        <w:rPr>
          <w:rFonts w:eastAsia="Calibri,Times New Roman" w:cs="Calibri,Times New Roman"/>
          <w:sz w:val="22"/>
          <w:szCs w:val="22"/>
        </w:rPr>
        <w:t>Five</w:t>
      </w:r>
      <w:proofErr w:type="spellEnd"/>
      <w:r>
        <w:rPr>
          <w:rFonts w:eastAsia="Calibri,Times New Roman" w:cs="Calibri,Times New Roman"/>
          <w:sz w:val="22"/>
          <w:szCs w:val="22"/>
        </w:rPr>
        <w:t xml:space="preserve"> </w:t>
      </w:r>
      <w:r w:rsidRPr="00B42FAB">
        <w:rPr>
          <w:color w:val="000000" w:themeColor="text1"/>
          <w:sz w:val="22"/>
          <w:szCs w:val="22"/>
        </w:rPr>
        <w:t>patients did not have a PBMC sample</w:t>
      </w:r>
      <w:r>
        <w:rPr>
          <w:color w:val="000000" w:themeColor="text1"/>
          <w:sz w:val="22"/>
          <w:szCs w:val="22"/>
        </w:rPr>
        <w:t xml:space="preserve"> for sequencing; </w:t>
      </w:r>
      <w:r w:rsidRPr="00B42FAB">
        <w:rPr>
          <w:color w:val="000000" w:themeColor="text1"/>
          <w:sz w:val="22"/>
          <w:szCs w:val="22"/>
        </w:rPr>
        <w:t xml:space="preserve">16 </w:t>
      </w:r>
      <w:r>
        <w:rPr>
          <w:color w:val="000000" w:themeColor="text1"/>
          <w:sz w:val="22"/>
          <w:szCs w:val="22"/>
        </w:rPr>
        <w:t xml:space="preserve">samples </w:t>
      </w:r>
      <w:r w:rsidRPr="00B42FAB">
        <w:rPr>
          <w:color w:val="000000" w:themeColor="text1"/>
          <w:sz w:val="22"/>
          <w:szCs w:val="22"/>
        </w:rPr>
        <w:t xml:space="preserve">did not yield a </w:t>
      </w:r>
      <w:r>
        <w:rPr>
          <w:color w:val="000000" w:themeColor="text1"/>
          <w:sz w:val="22"/>
          <w:szCs w:val="22"/>
        </w:rPr>
        <w:t xml:space="preserve">HIV-1 DNA </w:t>
      </w:r>
      <w:r w:rsidRPr="00B42FAB">
        <w:rPr>
          <w:color w:val="000000" w:themeColor="text1"/>
          <w:sz w:val="22"/>
          <w:szCs w:val="22"/>
        </w:rPr>
        <w:t xml:space="preserve">sequence in </w:t>
      </w:r>
      <w:r w:rsidRPr="00B42FAB">
        <w:rPr>
          <w:rFonts w:ascii="Calibri" w:eastAsia="Times New Roman" w:hAnsi="Calibri" w:cs="Calibri"/>
          <w:color w:val="000000" w:themeColor="text1"/>
          <w:sz w:val="22"/>
          <w:szCs w:val="22"/>
          <w:lang w:eastAsia="en-GB"/>
        </w:rPr>
        <w:t>≥2 attempts and no further attempts were possible due to limited sample volume</w:t>
      </w:r>
      <w:r>
        <w:rPr>
          <w:color w:val="000000" w:themeColor="text1"/>
          <w:sz w:val="22"/>
          <w:szCs w:val="22"/>
        </w:rPr>
        <w:t xml:space="preserve">. </w:t>
      </w:r>
      <w:r w:rsidRPr="00762E64">
        <w:rPr>
          <w:color w:val="000000" w:themeColor="text1"/>
          <w:sz w:val="22"/>
          <w:szCs w:val="22"/>
          <w:vertAlign w:val="superscript"/>
        </w:rPr>
        <w:t>c</w:t>
      </w:r>
      <w:r>
        <w:rPr>
          <w:color w:val="000000" w:themeColor="text1"/>
          <w:sz w:val="22"/>
          <w:szCs w:val="22"/>
        </w:rPr>
        <w:t>HIV-</w:t>
      </w:r>
      <w:r w:rsidRPr="00B42FAB">
        <w:rPr>
          <w:rFonts w:eastAsia="Calibri,Times New Roman" w:cs="Calibri,Times New Roman"/>
          <w:sz w:val="22"/>
          <w:szCs w:val="22"/>
        </w:rPr>
        <w:t>1 subtypes were determined phylogenetically</w:t>
      </w:r>
      <w:r>
        <w:rPr>
          <w:rFonts w:eastAsia="Calibri,Times New Roman" w:cs="Calibri,Times New Roman"/>
          <w:sz w:val="22"/>
          <w:szCs w:val="22"/>
        </w:rPr>
        <w:t xml:space="preserve"> from HIV-1 DNA sequences;</w:t>
      </w:r>
      <w:r>
        <w:rPr>
          <w:color w:val="000000" w:themeColor="text1"/>
          <w:sz w:val="22"/>
          <w:szCs w:val="22"/>
        </w:rPr>
        <w:t xml:space="preserve"> o</w:t>
      </w:r>
      <w:r w:rsidRPr="00FE52C9">
        <w:rPr>
          <w:color w:val="000000" w:themeColor="text1"/>
          <w:sz w:val="22"/>
          <w:szCs w:val="22"/>
        </w:rPr>
        <w:t xml:space="preserve">ther subtypes comprised CRF11_cpx (n=3), </w:t>
      </w:r>
      <w:r>
        <w:rPr>
          <w:color w:val="000000" w:themeColor="text1"/>
          <w:sz w:val="22"/>
          <w:szCs w:val="22"/>
        </w:rPr>
        <w:t xml:space="preserve">and </w:t>
      </w:r>
      <w:r w:rsidRPr="00FE52C9">
        <w:rPr>
          <w:color w:val="000000" w:themeColor="text1"/>
          <w:sz w:val="22"/>
          <w:szCs w:val="22"/>
        </w:rPr>
        <w:t>subtypes D, H, F1</w:t>
      </w:r>
      <w:r>
        <w:rPr>
          <w:color w:val="000000" w:themeColor="text1"/>
          <w:sz w:val="22"/>
          <w:szCs w:val="22"/>
        </w:rPr>
        <w:t xml:space="preserve">, </w:t>
      </w:r>
      <w:r w:rsidRPr="00FE52C9">
        <w:rPr>
          <w:color w:val="000000" w:themeColor="text1"/>
          <w:sz w:val="22"/>
          <w:szCs w:val="22"/>
        </w:rPr>
        <w:t>CRF01_AE, CRF37_cpx, CRF06_cpx, and CRF18_cpx</w:t>
      </w:r>
      <w:r>
        <w:rPr>
          <w:color w:val="000000" w:themeColor="text1"/>
          <w:sz w:val="22"/>
          <w:szCs w:val="22"/>
        </w:rPr>
        <w:t xml:space="preserve"> (one of each)</w:t>
      </w:r>
      <w:r w:rsidRPr="00FE52C9">
        <w:rPr>
          <w:rFonts w:eastAsia="Calibri,Times New Roman" w:cs="Calibri,Times New Roman"/>
          <w:sz w:val="22"/>
          <w:szCs w:val="22"/>
        </w:rPr>
        <w:t>.</w:t>
      </w:r>
      <w:r w:rsidRPr="00B42FAB">
        <w:rPr>
          <w:rFonts w:cstheme="minorHAnsi"/>
          <w:sz w:val="22"/>
          <w:szCs w:val="22"/>
        </w:rPr>
        <w:t xml:space="preserve"> </w:t>
      </w:r>
      <w:proofErr w:type="spellStart"/>
      <w:r>
        <w:rPr>
          <w:rFonts w:cstheme="minorHAnsi"/>
          <w:sz w:val="22"/>
          <w:szCs w:val="22"/>
          <w:vertAlign w:val="superscript"/>
        </w:rPr>
        <w:t>d</w:t>
      </w:r>
      <w:r>
        <w:rPr>
          <w:rFonts w:cstheme="minorHAnsi"/>
          <w:color w:val="000000" w:themeColor="text1"/>
          <w:sz w:val="22"/>
          <w:szCs w:val="22"/>
        </w:rPr>
        <w:t>NRTI</w:t>
      </w:r>
      <w:proofErr w:type="spellEnd"/>
      <w:r>
        <w:rPr>
          <w:rFonts w:cstheme="minorHAnsi"/>
          <w:color w:val="000000" w:themeColor="text1"/>
          <w:sz w:val="22"/>
          <w:szCs w:val="22"/>
        </w:rPr>
        <w:t xml:space="preserve"> and </w:t>
      </w:r>
      <w:proofErr w:type="spellStart"/>
      <w:r>
        <w:rPr>
          <w:rFonts w:cstheme="minorHAnsi"/>
          <w:color w:val="000000" w:themeColor="text1"/>
          <w:sz w:val="22"/>
          <w:szCs w:val="22"/>
        </w:rPr>
        <w:t>NNRTi</w:t>
      </w:r>
      <w:proofErr w:type="spellEnd"/>
      <w:r>
        <w:rPr>
          <w:rFonts w:cstheme="minorHAnsi"/>
          <w:color w:val="000000" w:themeColor="text1"/>
          <w:sz w:val="22"/>
          <w:szCs w:val="22"/>
        </w:rPr>
        <w:t xml:space="preserve"> RAMs of 60 patients with HIV-1 DNA sequencing results are detailed;</w:t>
      </w:r>
      <w:r w:rsidRPr="00027F18">
        <w:rPr>
          <w:color w:val="000000" w:themeColor="text1"/>
          <w:sz w:val="22"/>
          <w:szCs w:val="22"/>
        </w:rPr>
        <w:t xml:space="preserve"> </w:t>
      </w:r>
      <w:r>
        <w:rPr>
          <w:color w:val="000000" w:themeColor="text1"/>
          <w:sz w:val="22"/>
          <w:szCs w:val="22"/>
        </w:rPr>
        <w:t>3</w:t>
      </w:r>
      <w:r w:rsidRPr="00B42FAB">
        <w:rPr>
          <w:rFonts w:cstheme="minorHAnsi"/>
          <w:sz w:val="22"/>
          <w:szCs w:val="22"/>
        </w:rPr>
        <w:t xml:space="preserve"> </w:t>
      </w:r>
      <w:r>
        <w:rPr>
          <w:rFonts w:cstheme="minorHAnsi"/>
          <w:sz w:val="22"/>
          <w:szCs w:val="22"/>
        </w:rPr>
        <w:t xml:space="preserve">patients had </w:t>
      </w:r>
      <w:r w:rsidRPr="00B42FAB">
        <w:rPr>
          <w:rFonts w:cstheme="minorHAnsi"/>
          <w:sz w:val="22"/>
          <w:szCs w:val="22"/>
        </w:rPr>
        <w:t xml:space="preserve">D30N </w:t>
      </w:r>
      <w:r>
        <w:rPr>
          <w:rFonts w:cstheme="minorHAnsi"/>
          <w:sz w:val="22"/>
          <w:szCs w:val="22"/>
        </w:rPr>
        <w:t xml:space="preserve">in protease but </w:t>
      </w:r>
      <w:r w:rsidRPr="00B42FAB">
        <w:rPr>
          <w:rFonts w:cstheme="minorHAnsi"/>
          <w:sz w:val="22"/>
          <w:szCs w:val="22"/>
        </w:rPr>
        <w:t xml:space="preserve">no record of exposure to a PI/r other than </w:t>
      </w:r>
      <w:r>
        <w:rPr>
          <w:rFonts w:cstheme="minorHAnsi"/>
          <w:sz w:val="22"/>
          <w:szCs w:val="22"/>
        </w:rPr>
        <w:t xml:space="preserve">lopinavir/ritonavir and including nelfinavir; </w:t>
      </w:r>
      <w:r w:rsidRPr="00652158">
        <w:rPr>
          <w:rFonts w:cstheme="minorHAnsi"/>
          <w:sz w:val="22"/>
          <w:szCs w:val="22"/>
        </w:rPr>
        <w:t>11</w:t>
      </w:r>
      <w:r>
        <w:rPr>
          <w:rFonts w:cstheme="minorHAnsi"/>
          <w:sz w:val="22"/>
          <w:szCs w:val="22"/>
        </w:rPr>
        <w:t xml:space="preserve"> RT sequences showed stop codons (</w:t>
      </w:r>
      <w:r w:rsidRPr="00B42FAB">
        <w:rPr>
          <w:rFonts w:cstheme="minorHAnsi"/>
          <w:sz w:val="22"/>
          <w:szCs w:val="22"/>
        </w:rPr>
        <w:t>positions 24, 42, 48, 71, 88, 120, 153, 212, 219, 229, 239</w:t>
      </w:r>
      <w:r>
        <w:rPr>
          <w:rFonts w:cstheme="minorHAnsi"/>
          <w:sz w:val="22"/>
          <w:szCs w:val="22"/>
        </w:rPr>
        <w:t>) suggestive of defective proviruses; a</w:t>
      </w:r>
      <w:r>
        <w:rPr>
          <w:rFonts w:cstheme="minorHAnsi"/>
          <w:color w:val="000000" w:themeColor="text1"/>
          <w:sz w:val="22"/>
          <w:szCs w:val="22"/>
        </w:rPr>
        <w:t xml:space="preserve">mong </w:t>
      </w:r>
      <w:r w:rsidRPr="00027F18">
        <w:rPr>
          <w:rFonts w:cstheme="minorHAnsi"/>
          <w:color w:val="000000" w:themeColor="text1"/>
          <w:sz w:val="22"/>
          <w:szCs w:val="22"/>
        </w:rPr>
        <w:t>29</w:t>
      </w:r>
      <w:r>
        <w:rPr>
          <w:rFonts w:cstheme="minorHAnsi"/>
          <w:color w:val="000000" w:themeColor="text1"/>
          <w:sz w:val="22"/>
          <w:szCs w:val="22"/>
        </w:rPr>
        <w:t xml:space="preserve"> </w:t>
      </w:r>
      <w:r w:rsidRPr="00027F18">
        <w:rPr>
          <w:rFonts w:cstheme="minorHAnsi"/>
          <w:color w:val="000000" w:themeColor="text1"/>
          <w:sz w:val="22"/>
          <w:szCs w:val="22"/>
        </w:rPr>
        <w:t>patients with ≥1 TAM,</w:t>
      </w:r>
      <w:r>
        <w:rPr>
          <w:rFonts w:cstheme="minorHAnsi"/>
          <w:color w:val="000000" w:themeColor="text1"/>
          <w:sz w:val="22"/>
          <w:szCs w:val="22"/>
        </w:rPr>
        <w:t xml:space="preserve"> the median number of TAMs was </w:t>
      </w:r>
      <w:r w:rsidRPr="00027F18">
        <w:rPr>
          <w:rFonts w:cstheme="minorHAnsi"/>
          <w:color w:val="000000" w:themeColor="text1"/>
          <w:sz w:val="22"/>
          <w:szCs w:val="22"/>
        </w:rPr>
        <w:t>2 (range 1-5)</w:t>
      </w:r>
      <w:r>
        <w:rPr>
          <w:rFonts w:cstheme="minorHAnsi"/>
          <w:color w:val="000000" w:themeColor="text1"/>
          <w:sz w:val="22"/>
          <w:szCs w:val="22"/>
        </w:rPr>
        <w:t xml:space="preserve">; </w:t>
      </w:r>
      <w:r w:rsidRPr="004A6173">
        <w:rPr>
          <w:color w:val="000000" w:themeColor="text1"/>
          <w:sz w:val="22"/>
          <w:szCs w:val="22"/>
        </w:rPr>
        <w:t>TAM-1 profile comprised</w:t>
      </w:r>
      <w:r w:rsidRPr="004A6173">
        <w:rPr>
          <w:sz w:val="22"/>
          <w:szCs w:val="22"/>
        </w:rPr>
        <w:t xml:space="preserve"> </w:t>
      </w:r>
      <m:oMath>
        <m:r>
          <w:rPr>
            <w:rFonts w:ascii="Cambria Math" w:hAnsi="Cambria Math"/>
            <w:sz w:val="22"/>
            <w:szCs w:val="22"/>
          </w:rPr>
          <m:t>≥</m:t>
        </m:r>
      </m:oMath>
      <w:r w:rsidRPr="004A6173">
        <w:rPr>
          <w:sz w:val="22"/>
          <w:szCs w:val="22"/>
        </w:rPr>
        <w:t xml:space="preserve">1 of </w:t>
      </w:r>
      <w:r>
        <w:rPr>
          <w:sz w:val="22"/>
          <w:szCs w:val="22"/>
        </w:rPr>
        <w:t>[</w:t>
      </w:r>
      <w:r w:rsidRPr="004A6173">
        <w:rPr>
          <w:sz w:val="22"/>
          <w:szCs w:val="22"/>
        </w:rPr>
        <w:t>M41L, L210W, T215Y</w:t>
      </w:r>
      <w:r>
        <w:rPr>
          <w:sz w:val="22"/>
          <w:szCs w:val="22"/>
        </w:rPr>
        <w:t>]</w:t>
      </w:r>
      <w:r w:rsidRPr="004A6173">
        <w:rPr>
          <w:sz w:val="22"/>
          <w:szCs w:val="22"/>
        </w:rPr>
        <w:t xml:space="preserve">; TAM-2 profile comprised  </w:t>
      </w:r>
      <m:oMath>
        <m:r>
          <w:rPr>
            <w:rFonts w:ascii="Cambria Math" w:hAnsi="Cambria Math"/>
            <w:sz w:val="22"/>
            <w:szCs w:val="22"/>
          </w:rPr>
          <m:t>≥</m:t>
        </m:r>
      </m:oMath>
      <w:r w:rsidRPr="004A6173">
        <w:rPr>
          <w:sz w:val="22"/>
          <w:szCs w:val="22"/>
        </w:rPr>
        <w:t xml:space="preserve">1 of </w:t>
      </w:r>
      <w:r>
        <w:rPr>
          <w:sz w:val="22"/>
          <w:szCs w:val="22"/>
        </w:rPr>
        <w:t>[</w:t>
      </w:r>
      <w:r w:rsidRPr="004A6173">
        <w:rPr>
          <w:sz w:val="22"/>
          <w:szCs w:val="22"/>
        </w:rPr>
        <w:t>D67N/G, K70R, T215F (or T215I/V occurring with other TAM-2 RAMs), K219 Q/E/R</w:t>
      </w:r>
      <w:r>
        <w:rPr>
          <w:sz w:val="22"/>
          <w:szCs w:val="22"/>
        </w:rPr>
        <w:t>]</w:t>
      </w:r>
      <w:r w:rsidRPr="004A6173">
        <w:rPr>
          <w:sz w:val="22"/>
          <w:szCs w:val="22"/>
        </w:rPr>
        <w:t>; mixed/other TAM profile comprised mixtures of TAM-1 and TAM-2 RAMs or occurrence of T215S as the sole TAM.</w:t>
      </w:r>
      <w:r>
        <w:rPr>
          <w:sz w:val="22"/>
          <w:szCs w:val="22"/>
        </w:rPr>
        <w:t xml:space="preserve"> </w:t>
      </w:r>
    </w:p>
    <w:p w14:paraId="76F8042D" w14:textId="77777777" w:rsidR="006F5135" w:rsidRPr="00B42FAB" w:rsidRDefault="006F5135" w:rsidP="006F5135">
      <w:pPr>
        <w:tabs>
          <w:tab w:val="left" w:pos="567"/>
        </w:tabs>
        <w:spacing w:line="276" w:lineRule="auto"/>
        <w:jc w:val="both"/>
        <w:rPr>
          <w:color w:val="000000" w:themeColor="text1"/>
          <w:sz w:val="22"/>
          <w:szCs w:val="22"/>
        </w:rPr>
      </w:pPr>
    </w:p>
    <w:p w14:paraId="23C51B8D" w14:textId="3880C606" w:rsidR="006F5135" w:rsidRPr="00BB6549" w:rsidRDefault="006F5135" w:rsidP="006F5135">
      <w:pPr>
        <w:tabs>
          <w:tab w:val="left" w:pos="567"/>
        </w:tabs>
        <w:spacing w:line="276" w:lineRule="auto"/>
        <w:jc w:val="both"/>
        <w:rPr>
          <w:rFonts w:cstheme="minorHAnsi"/>
        </w:rPr>
      </w:pPr>
      <w:r w:rsidRPr="004A6173">
        <w:rPr>
          <w:color w:val="000000" w:themeColor="text1"/>
          <w:sz w:val="22"/>
          <w:szCs w:val="22"/>
        </w:rPr>
        <w:t>Abbreviations: IQR= interquartile range; PI</w:t>
      </w:r>
      <w:r>
        <w:rPr>
          <w:color w:val="000000" w:themeColor="text1"/>
          <w:sz w:val="22"/>
          <w:szCs w:val="22"/>
        </w:rPr>
        <w:t>/</w:t>
      </w:r>
      <w:r w:rsidR="002A2C5B">
        <w:rPr>
          <w:color w:val="000000" w:themeColor="text1"/>
          <w:sz w:val="22"/>
          <w:szCs w:val="22"/>
        </w:rPr>
        <w:t>r</w:t>
      </w:r>
      <w:r w:rsidRPr="004A6173">
        <w:rPr>
          <w:color w:val="000000" w:themeColor="text1"/>
          <w:sz w:val="22"/>
          <w:szCs w:val="22"/>
        </w:rPr>
        <w:t xml:space="preserve">= </w:t>
      </w:r>
      <w:r>
        <w:rPr>
          <w:color w:val="000000" w:themeColor="text1"/>
          <w:sz w:val="22"/>
          <w:szCs w:val="22"/>
        </w:rPr>
        <w:t xml:space="preserve">ritonavir-boosted </w:t>
      </w:r>
      <w:r w:rsidR="002A2C5B">
        <w:rPr>
          <w:color w:val="000000" w:themeColor="text1"/>
          <w:sz w:val="22"/>
          <w:szCs w:val="22"/>
        </w:rPr>
        <w:t>PI</w:t>
      </w:r>
      <w:r w:rsidRPr="004A6173">
        <w:rPr>
          <w:color w:val="000000" w:themeColor="text1"/>
          <w:sz w:val="22"/>
          <w:szCs w:val="22"/>
        </w:rPr>
        <w:t>;</w:t>
      </w:r>
      <w:r>
        <w:rPr>
          <w:color w:val="000000" w:themeColor="text1"/>
          <w:sz w:val="22"/>
          <w:szCs w:val="22"/>
        </w:rPr>
        <w:t xml:space="preserve"> GSS= </w:t>
      </w:r>
      <w:r w:rsidRPr="00762E64">
        <w:rPr>
          <w:color w:val="000000" w:themeColor="text1"/>
          <w:sz w:val="22"/>
          <w:szCs w:val="22"/>
        </w:rPr>
        <w:t xml:space="preserve">genotypic susceptibility score; </w:t>
      </w:r>
      <w:r w:rsidRPr="00762E64">
        <w:rPr>
          <w:rFonts w:cstheme="minorHAnsi"/>
          <w:sz w:val="22"/>
          <w:szCs w:val="22"/>
        </w:rPr>
        <w:t>RAMs= resistance associated mutations</w:t>
      </w:r>
      <w:r w:rsidRPr="00762E64">
        <w:rPr>
          <w:rFonts w:cstheme="minorHAnsi"/>
          <w:color w:val="000000" w:themeColor="text1"/>
          <w:sz w:val="22"/>
          <w:szCs w:val="22"/>
        </w:rPr>
        <w:t>; TAM= thymidine analogue mutation; RT= reverse transcriptase.</w:t>
      </w:r>
    </w:p>
    <w:p w14:paraId="5BBEA499" w14:textId="77777777" w:rsidR="006F5135" w:rsidRPr="00027F18" w:rsidRDefault="006F5135" w:rsidP="006F5135">
      <w:pPr>
        <w:tabs>
          <w:tab w:val="left" w:pos="567"/>
        </w:tabs>
        <w:jc w:val="both"/>
        <w:outlineLvl w:val="0"/>
        <w:rPr>
          <w:rFonts w:cstheme="minorHAnsi"/>
          <w:color w:val="000000" w:themeColor="text1"/>
        </w:rPr>
      </w:pPr>
    </w:p>
    <w:p w14:paraId="3BBD5A26" w14:textId="77777777" w:rsidR="006F5135" w:rsidRPr="004A6173" w:rsidRDefault="006F5135" w:rsidP="006F5135">
      <w:pPr>
        <w:tabs>
          <w:tab w:val="left" w:pos="567"/>
        </w:tabs>
        <w:jc w:val="both"/>
        <w:rPr>
          <w:rFonts w:eastAsia="Times New Roman" w:cs="Times New Roman"/>
          <w:lang w:eastAsia="en-GB"/>
        </w:rPr>
      </w:pPr>
      <w:r w:rsidRPr="004A6173">
        <w:rPr>
          <w:color w:val="000000" w:themeColor="text1"/>
          <w:sz w:val="22"/>
          <w:szCs w:val="22"/>
        </w:rPr>
        <w:br w:type="column"/>
      </w:r>
    </w:p>
    <w:p w14:paraId="6A38321A" w14:textId="4630A55A" w:rsidR="006F5135" w:rsidRPr="0076040C" w:rsidRDefault="006F5135" w:rsidP="006F5135">
      <w:pPr>
        <w:tabs>
          <w:tab w:val="left" w:pos="567"/>
        </w:tabs>
        <w:jc w:val="both"/>
        <w:rPr>
          <w:rFonts w:ascii="Calibri" w:eastAsia="Times New Roman" w:hAnsi="Calibri" w:cs="Calibri"/>
          <w:color w:val="000000"/>
          <w:sz w:val="22"/>
          <w:szCs w:val="22"/>
        </w:rPr>
      </w:pPr>
      <w:r w:rsidRPr="0076040C">
        <w:rPr>
          <w:rFonts w:ascii="Calibri" w:eastAsia="Times New Roman" w:hAnsi="Calibri" w:cs="Calibri"/>
          <w:b/>
          <w:color w:val="000000"/>
          <w:sz w:val="22"/>
          <w:szCs w:val="22"/>
        </w:rPr>
        <w:t xml:space="preserve">Table 2. </w:t>
      </w:r>
      <w:r w:rsidRPr="0076040C">
        <w:rPr>
          <w:rFonts w:ascii="Calibri" w:eastAsia="Times New Roman" w:hAnsi="Calibri" w:cs="Calibri"/>
          <w:color w:val="000000"/>
          <w:sz w:val="22"/>
          <w:szCs w:val="22"/>
        </w:rPr>
        <w:t>Factors associated with virological failure (confirmed or last available viral load &gt;400 copies/</w:t>
      </w:r>
      <w:r w:rsidR="00E60DCC">
        <w:rPr>
          <w:rFonts w:ascii="Calibri" w:eastAsia="Times New Roman" w:hAnsi="Calibri" w:cs="Calibri"/>
          <w:color w:val="000000"/>
          <w:sz w:val="22"/>
          <w:szCs w:val="22"/>
        </w:rPr>
        <w:t>mL</w:t>
      </w:r>
      <w:r w:rsidRPr="0076040C">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p>
    <w:p w14:paraId="08E70888" w14:textId="77777777" w:rsidR="006F5135" w:rsidRDefault="006F5135" w:rsidP="006F5135">
      <w:pPr>
        <w:tabs>
          <w:tab w:val="left" w:pos="567"/>
        </w:tabs>
        <w:spacing w:line="276" w:lineRule="auto"/>
        <w:jc w:val="both"/>
        <w:rPr>
          <w:rFonts w:ascii="Calibri" w:eastAsia="Times New Roman" w:hAnsi="Calibri" w:cs="Calibri"/>
          <w:color w:val="000000"/>
          <w:sz w:val="22"/>
          <w:szCs w:val="22"/>
        </w:rPr>
      </w:pPr>
    </w:p>
    <w:p w14:paraId="223F1144" w14:textId="5A9B1C5F" w:rsidR="006F5135" w:rsidRPr="004A6173" w:rsidRDefault="006F5135" w:rsidP="006F5135">
      <w:pPr>
        <w:tabs>
          <w:tab w:val="left" w:pos="567"/>
        </w:tabs>
        <w:spacing w:line="276" w:lineRule="auto"/>
        <w:jc w:val="both"/>
        <w:rPr>
          <w:sz w:val="22"/>
          <w:szCs w:val="22"/>
        </w:rPr>
      </w:pPr>
      <w:r w:rsidRPr="004A6173">
        <w:rPr>
          <w:rFonts w:cstheme="minorHAnsi"/>
          <w:sz w:val="22"/>
          <w:szCs w:val="22"/>
        </w:rPr>
        <w:t xml:space="preserve">Abbreviations: OR= </w:t>
      </w:r>
      <w:r>
        <w:rPr>
          <w:rFonts w:cstheme="minorHAnsi"/>
          <w:sz w:val="22"/>
          <w:szCs w:val="22"/>
        </w:rPr>
        <w:t>o</w:t>
      </w:r>
      <w:r w:rsidRPr="004A6173">
        <w:rPr>
          <w:rFonts w:cstheme="minorHAnsi"/>
          <w:sz w:val="22"/>
          <w:szCs w:val="22"/>
        </w:rPr>
        <w:t xml:space="preserve">dds ratio; AOR= </w:t>
      </w:r>
      <w:r>
        <w:rPr>
          <w:rFonts w:cstheme="minorHAnsi"/>
          <w:sz w:val="22"/>
          <w:szCs w:val="22"/>
        </w:rPr>
        <w:t>a</w:t>
      </w:r>
      <w:r w:rsidRPr="004A6173">
        <w:rPr>
          <w:rFonts w:cstheme="minorHAnsi"/>
          <w:sz w:val="22"/>
          <w:szCs w:val="22"/>
        </w:rPr>
        <w:t xml:space="preserve">djusted odds ratio; </w:t>
      </w:r>
      <w:r>
        <w:rPr>
          <w:rFonts w:cstheme="minorHAnsi"/>
          <w:sz w:val="22"/>
          <w:szCs w:val="22"/>
        </w:rPr>
        <w:t xml:space="preserve">PI/r= ritonavir-boosted </w:t>
      </w:r>
      <w:r w:rsidR="002A2C5B">
        <w:rPr>
          <w:rFonts w:cstheme="minorHAnsi"/>
          <w:sz w:val="22"/>
          <w:szCs w:val="22"/>
        </w:rPr>
        <w:t>PI</w:t>
      </w:r>
      <w:r>
        <w:rPr>
          <w:rFonts w:cstheme="minorHAnsi"/>
          <w:sz w:val="22"/>
          <w:szCs w:val="22"/>
        </w:rPr>
        <w:t xml:space="preserve">; </w:t>
      </w:r>
      <w:r w:rsidRPr="004A6173">
        <w:rPr>
          <w:rFonts w:cstheme="minorHAnsi"/>
          <w:sz w:val="22"/>
          <w:szCs w:val="22"/>
        </w:rPr>
        <w:t xml:space="preserve">RAM= Resistance associated mutation; VAS= Visual analogue scale. </w:t>
      </w:r>
    </w:p>
    <w:p w14:paraId="68861898" w14:textId="77777777" w:rsidR="006F5135" w:rsidRPr="004A6173" w:rsidRDefault="006F5135" w:rsidP="006F5135">
      <w:pPr>
        <w:tabs>
          <w:tab w:val="left" w:pos="567"/>
        </w:tabs>
        <w:spacing w:line="276" w:lineRule="auto"/>
        <w:jc w:val="both"/>
        <w:rPr>
          <w:rFonts w:ascii="Calibri" w:eastAsia="Times New Roman" w:hAnsi="Calibri" w:cs="Calibri"/>
          <w:color w:val="000000"/>
          <w:sz w:val="22"/>
          <w:szCs w:val="22"/>
        </w:rPr>
      </w:pPr>
    </w:p>
    <w:tbl>
      <w:tblPr>
        <w:tblpPr w:leftFromText="180" w:rightFromText="180" w:vertAnchor="page" w:horzAnchor="margin" w:tblpXSpec="center" w:tblpY="20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 w:type="dxa"/>
        </w:tblCellMar>
        <w:tblLook w:val="04A0" w:firstRow="1" w:lastRow="0" w:firstColumn="1" w:lastColumn="0" w:noHBand="0" w:noVBand="1"/>
      </w:tblPr>
      <w:tblGrid>
        <w:gridCol w:w="2405"/>
        <w:gridCol w:w="3119"/>
        <w:gridCol w:w="1701"/>
        <w:gridCol w:w="708"/>
        <w:gridCol w:w="1701"/>
        <w:gridCol w:w="851"/>
      </w:tblGrid>
      <w:tr w:rsidR="006F5135" w:rsidRPr="004A6173" w14:paraId="70E78453" w14:textId="77777777" w:rsidTr="00B147E6">
        <w:trPr>
          <w:trHeight w:val="259"/>
        </w:trPr>
        <w:tc>
          <w:tcPr>
            <w:tcW w:w="2405" w:type="dxa"/>
            <w:tcBorders>
              <w:bottom w:val="nil"/>
              <w:right w:val="nil"/>
            </w:tcBorders>
            <w:shd w:val="clear" w:color="auto" w:fill="auto"/>
            <w:noWrap/>
            <w:hideMark/>
          </w:tcPr>
          <w:p w14:paraId="7B6A7694" w14:textId="77777777" w:rsidR="006F5135" w:rsidRPr="004A6173" w:rsidRDefault="006F5135" w:rsidP="00B147E6">
            <w:pPr>
              <w:tabs>
                <w:tab w:val="left" w:pos="567"/>
              </w:tabs>
              <w:ind w:left="-396"/>
              <w:jc w:val="both"/>
              <w:rPr>
                <w:rFonts w:ascii="Calibri" w:eastAsia="Times New Roman" w:hAnsi="Calibri" w:cs="Calibri"/>
                <w:sz w:val="22"/>
                <w:szCs w:val="22"/>
                <w:lang w:eastAsia="en-GB"/>
              </w:rPr>
            </w:pPr>
          </w:p>
        </w:tc>
        <w:tc>
          <w:tcPr>
            <w:tcW w:w="3119" w:type="dxa"/>
            <w:tcBorders>
              <w:left w:val="nil"/>
              <w:bottom w:val="nil"/>
              <w:right w:val="nil"/>
            </w:tcBorders>
            <w:shd w:val="clear" w:color="auto" w:fill="auto"/>
            <w:noWrap/>
            <w:vAlign w:val="bottom"/>
            <w:hideMark/>
          </w:tcPr>
          <w:p w14:paraId="3E53F32B"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p>
        </w:tc>
        <w:tc>
          <w:tcPr>
            <w:tcW w:w="2409" w:type="dxa"/>
            <w:gridSpan w:val="2"/>
            <w:tcBorders>
              <w:left w:val="nil"/>
              <w:right w:val="nil"/>
            </w:tcBorders>
            <w:shd w:val="clear" w:color="auto" w:fill="auto"/>
            <w:noWrap/>
            <w:vAlign w:val="bottom"/>
            <w:hideMark/>
          </w:tcPr>
          <w:p w14:paraId="35A48593"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Univariate analysis</w:t>
            </w:r>
          </w:p>
        </w:tc>
        <w:tc>
          <w:tcPr>
            <w:tcW w:w="2552" w:type="dxa"/>
            <w:gridSpan w:val="2"/>
            <w:tcBorders>
              <w:left w:val="nil"/>
            </w:tcBorders>
            <w:shd w:val="clear" w:color="auto" w:fill="auto"/>
            <w:noWrap/>
            <w:vAlign w:val="bottom"/>
            <w:hideMark/>
          </w:tcPr>
          <w:p w14:paraId="03A520C9"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Multivaria</w:t>
            </w:r>
            <w:r>
              <w:rPr>
                <w:rFonts w:ascii="Calibri" w:eastAsia="Times New Roman" w:hAnsi="Calibri" w:cs="Calibri"/>
                <w:sz w:val="22"/>
                <w:szCs w:val="22"/>
                <w:lang w:eastAsia="en-GB"/>
              </w:rPr>
              <w:t>ble</w:t>
            </w:r>
            <w:r w:rsidRPr="004A6173">
              <w:rPr>
                <w:rFonts w:ascii="Calibri" w:eastAsia="Times New Roman" w:hAnsi="Calibri" w:cs="Calibri"/>
                <w:sz w:val="22"/>
                <w:szCs w:val="22"/>
                <w:lang w:eastAsia="en-GB"/>
              </w:rPr>
              <w:t xml:space="preserve"> analysis</w:t>
            </w:r>
          </w:p>
        </w:tc>
      </w:tr>
      <w:tr w:rsidR="006F5135" w:rsidRPr="004A6173" w14:paraId="6EF55DE4" w14:textId="77777777" w:rsidTr="00B147E6">
        <w:trPr>
          <w:trHeight w:val="259"/>
        </w:trPr>
        <w:tc>
          <w:tcPr>
            <w:tcW w:w="2405" w:type="dxa"/>
            <w:tcBorders>
              <w:top w:val="nil"/>
              <w:bottom w:val="single" w:sz="4" w:space="0" w:color="auto"/>
              <w:right w:val="nil"/>
            </w:tcBorders>
            <w:shd w:val="clear" w:color="auto" w:fill="auto"/>
            <w:noWrap/>
            <w:hideMark/>
          </w:tcPr>
          <w:p w14:paraId="7CCC6507"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Characteristic</w:t>
            </w:r>
          </w:p>
        </w:tc>
        <w:tc>
          <w:tcPr>
            <w:tcW w:w="3119" w:type="dxa"/>
            <w:tcBorders>
              <w:top w:val="nil"/>
              <w:left w:val="nil"/>
              <w:bottom w:val="single" w:sz="4" w:space="0" w:color="auto"/>
              <w:right w:val="nil"/>
            </w:tcBorders>
            <w:shd w:val="clear" w:color="auto" w:fill="auto"/>
            <w:noWrap/>
            <w:vAlign w:val="center"/>
            <w:hideMark/>
          </w:tcPr>
          <w:p w14:paraId="484CA791"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 </w:t>
            </w:r>
          </w:p>
        </w:tc>
        <w:tc>
          <w:tcPr>
            <w:tcW w:w="1701" w:type="dxa"/>
            <w:tcBorders>
              <w:left w:val="nil"/>
              <w:bottom w:val="single" w:sz="4" w:space="0" w:color="auto"/>
              <w:right w:val="nil"/>
            </w:tcBorders>
            <w:shd w:val="clear" w:color="auto" w:fill="auto"/>
            <w:noWrap/>
            <w:vAlign w:val="center"/>
            <w:hideMark/>
          </w:tcPr>
          <w:p w14:paraId="3FC5406A"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 xml:space="preserve">OR (95% CI) </w:t>
            </w:r>
          </w:p>
        </w:tc>
        <w:tc>
          <w:tcPr>
            <w:tcW w:w="708" w:type="dxa"/>
            <w:tcBorders>
              <w:left w:val="nil"/>
              <w:bottom w:val="single" w:sz="4" w:space="0" w:color="auto"/>
              <w:right w:val="nil"/>
            </w:tcBorders>
            <w:shd w:val="clear" w:color="auto" w:fill="auto"/>
            <w:noWrap/>
            <w:vAlign w:val="center"/>
            <w:hideMark/>
          </w:tcPr>
          <w:p w14:paraId="0D44FB14"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i/>
                <w:iCs/>
                <w:sz w:val="22"/>
                <w:szCs w:val="22"/>
                <w:lang w:eastAsia="en-GB"/>
              </w:rPr>
              <w:t>P</w:t>
            </w:r>
            <w:r w:rsidRPr="004A6173">
              <w:rPr>
                <w:rFonts w:ascii="Calibri" w:eastAsia="Times New Roman" w:hAnsi="Calibri" w:cs="Calibri"/>
                <w:sz w:val="22"/>
                <w:szCs w:val="22"/>
                <w:lang w:eastAsia="en-GB"/>
              </w:rPr>
              <w:t xml:space="preserve"> value</w:t>
            </w:r>
          </w:p>
        </w:tc>
        <w:tc>
          <w:tcPr>
            <w:tcW w:w="1701" w:type="dxa"/>
            <w:tcBorders>
              <w:left w:val="nil"/>
              <w:bottom w:val="single" w:sz="4" w:space="0" w:color="auto"/>
              <w:right w:val="nil"/>
            </w:tcBorders>
            <w:shd w:val="clear" w:color="auto" w:fill="auto"/>
            <w:vAlign w:val="center"/>
            <w:hideMark/>
          </w:tcPr>
          <w:p w14:paraId="2A60D634"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 xml:space="preserve"> AOR (95% CI) </w:t>
            </w:r>
          </w:p>
        </w:tc>
        <w:tc>
          <w:tcPr>
            <w:tcW w:w="851" w:type="dxa"/>
            <w:tcBorders>
              <w:left w:val="nil"/>
              <w:bottom w:val="single" w:sz="4" w:space="0" w:color="auto"/>
            </w:tcBorders>
            <w:shd w:val="clear" w:color="auto" w:fill="auto"/>
            <w:noWrap/>
            <w:vAlign w:val="center"/>
            <w:hideMark/>
          </w:tcPr>
          <w:p w14:paraId="60065B9C"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i/>
                <w:iCs/>
                <w:sz w:val="22"/>
                <w:szCs w:val="22"/>
                <w:lang w:eastAsia="en-GB"/>
              </w:rPr>
              <w:t xml:space="preserve">P </w:t>
            </w:r>
            <w:r w:rsidRPr="004A6173">
              <w:rPr>
                <w:rFonts w:ascii="Calibri" w:eastAsia="Times New Roman" w:hAnsi="Calibri" w:cs="Calibri"/>
                <w:sz w:val="22"/>
                <w:szCs w:val="22"/>
                <w:lang w:eastAsia="en-GB"/>
              </w:rPr>
              <w:t>value</w:t>
            </w:r>
          </w:p>
        </w:tc>
      </w:tr>
      <w:tr w:rsidR="006F5135" w:rsidRPr="004A6173" w14:paraId="33B2E30D" w14:textId="77777777" w:rsidTr="00B147E6">
        <w:trPr>
          <w:trHeight w:val="247"/>
        </w:trPr>
        <w:tc>
          <w:tcPr>
            <w:tcW w:w="2405" w:type="dxa"/>
            <w:tcBorders>
              <w:bottom w:val="nil"/>
              <w:right w:val="nil"/>
            </w:tcBorders>
            <w:shd w:val="clear" w:color="auto" w:fill="auto"/>
            <w:noWrap/>
            <w:hideMark/>
          </w:tcPr>
          <w:p w14:paraId="561FD516"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 xml:space="preserve">Gender </w:t>
            </w:r>
          </w:p>
        </w:tc>
        <w:tc>
          <w:tcPr>
            <w:tcW w:w="3119" w:type="dxa"/>
            <w:tcBorders>
              <w:left w:val="nil"/>
              <w:bottom w:val="nil"/>
              <w:right w:val="nil"/>
            </w:tcBorders>
            <w:shd w:val="clear" w:color="auto" w:fill="auto"/>
            <w:noWrap/>
            <w:vAlign w:val="center"/>
            <w:hideMark/>
          </w:tcPr>
          <w:p w14:paraId="1E3E7E24"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female versus male</w:t>
            </w:r>
          </w:p>
        </w:tc>
        <w:tc>
          <w:tcPr>
            <w:tcW w:w="1701" w:type="dxa"/>
            <w:tcBorders>
              <w:left w:val="nil"/>
              <w:bottom w:val="nil"/>
              <w:right w:val="nil"/>
            </w:tcBorders>
            <w:shd w:val="clear" w:color="auto" w:fill="auto"/>
            <w:noWrap/>
            <w:vAlign w:val="center"/>
            <w:hideMark/>
          </w:tcPr>
          <w:p w14:paraId="5E79FA0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0.66 (0.20-2.20)</w:t>
            </w:r>
          </w:p>
        </w:tc>
        <w:tc>
          <w:tcPr>
            <w:tcW w:w="708" w:type="dxa"/>
            <w:tcBorders>
              <w:left w:val="nil"/>
              <w:bottom w:val="nil"/>
              <w:right w:val="nil"/>
            </w:tcBorders>
            <w:shd w:val="clear" w:color="auto" w:fill="auto"/>
            <w:noWrap/>
            <w:vAlign w:val="center"/>
            <w:hideMark/>
          </w:tcPr>
          <w:p w14:paraId="087AAFC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0.500</w:t>
            </w:r>
          </w:p>
        </w:tc>
        <w:tc>
          <w:tcPr>
            <w:tcW w:w="1701" w:type="dxa"/>
            <w:tcBorders>
              <w:left w:val="nil"/>
              <w:bottom w:val="nil"/>
              <w:right w:val="nil"/>
            </w:tcBorders>
            <w:shd w:val="clear" w:color="auto" w:fill="auto"/>
            <w:noWrap/>
            <w:vAlign w:val="bottom"/>
            <w:hideMark/>
          </w:tcPr>
          <w:p w14:paraId="65B6EE3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left w:val="nil"/>
              <w:bottom w:val="nil"/>
            </w:tcBorders>
            <w:shd w:val="clear" w:color="auto" w:fill="auto"/>
            <w:noWrap/>
            <w:vAlign w:val="bottom"/>
            <w:hideMark/>
          </w:tcPr>
          <w:p w14:paraId="35DE7ECA"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p>
        </w:tc>
      </w:tr>
      <w:tr w:rsidR="006F5135" w:rsidRPr="004A6173" w14:paraId="0912FB51" w14:textId="77777777" w:rsidTr="00B147E6">
        <w:trPr>
          <w:trHeight w:val="247"/>
        </w:trPr>
        <w:tc>
          <w:tcPr>
            <w:tcW w:w="2405" w:type="dxa"/>
            <w:tcBorders>
              <w:top w:val="nil"/>
              <w:bottom w:val="nil"/>
              <w:right w:val="nil"/>
            </w:tcBorders>
            <w:shd w:val="clear" w:color="auto" w:fill="auto"/>
            <w:noWrap/>
            <w:hideMark/>
          </w:tcPr>
          <w:p w14:paraId="70BD3120"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Age</w:t>
            </w:r>
          </w:p>
        </w:tc>
        <w:tc>
          <w:tcPr>
            <w:tcW w:w="3119" w:type="dxa"/>
            <w:tcBorders>
              <w:top w:val="nil"/>
              <w:left w:val="nil"/>
              <w:bottom w:val="nil"/>
              <w:right w:val="nil"/>
            </w:tcBorders>
            <w:shd w:val="clear" w:color="auto" w:fill="auto"/>
            <w:noWrap/>
            <w:vAlign w:val="center"/>
            <w:hideMark/>
          </w:tcPr>
          <w:p w14:paraId="25129CCD"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5 year older</w:t>
            </w:r>
          </w:p>
        </w:tc>
        <w:tc>
          <w:tcPr>
            <w:tcW w:w="1701" w:type="dxa"/>
            <w:tcBorders>
              <w:top w:val="nil"/>
              <w:left w:val="nil"/>
              <w:bottom w:val="nil"/>
              <w:right w:val="nil"/>
            </w:tcBorders>
            <w:shd w:val="clear" w:color="auto" w:fill="auto"/>
            <w:noWrap/>
            <w:vAlign w:val="center"/>
            <w:hideMark/>
          </w:tcPr>
          <w:p w14:paraId="561627D5"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0.75 (0.54-1.04)</w:t>
            </w:r>
          </w:p>
        </w:tc>
        <w:tc>
          <w:tcPr>
            <w:tcW w:w="708" w:type="dxa"/>
            <w:tcBorders>
              <w:top w:val="nil"/>
              <w:left w:val="nil"/>
              <w:bottom w:val="nil"/>
              <w:right w:val="nil"/>
            </w:tcBorders>
            <w:shd w:val="clear" w:color="auto" w:fill="auto"/>
            <w:noWrap/>
            <w:vAlign w:val="center"/>
            <w:hideMark/>
          </w:tcPr>
          <w:p w14:paraId="2B02FB89"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0.087</w:t>
            </w:r>
          </w:p>
        </w:tc>
        <w:tc>
          <w:tcPr>
            <w:tcW w:w="1701" w:type="dxa"/>
            <w:tcBorders>
              <w:top w:val="nil"/>
              <w:left w:val="nil"/>
              <w:bottom w:val="nil"/>
              <w:right w:val="nil"/>
            </w:tcBorders>
            <w:shd w:val="clear" w:color="auto" w:fill="auto"/>
            <w:noWrap/>
            <w:vAlign w:val="bottom"/>
          </w:tcPr>
          <w:p w14:paraId="2C78727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0.94 (0.87-1.01)</w:t>
            </w:r>
          </w:p>
        </w:tc>
        <w:tc>
          <w:tcPr>
            <w:tcW w:w="851" w:type="dxa"/>
            <w:tcBorders>
              <w:top w:val="nil"/>
              <w:left w:val="nil"/>
              <w:bottom w:val="nil"/>
            </w:tcBorders>
            <w:shd w:val="clear" w:color="auto" w:fill="auto"/>
            <w:noWrap/>
            <w:vAlign w:val="bottom"/>
          </w:tcPr>
          <w:p w14:paraId="23CCF656"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0.119</w:t>
            </w:r>
          </w:p>
        </w:tc>
      </w:tr>
      <w:tr w:rsidR="006F5135" w:rsidRPr="004A6173" w14:paraId="136679BC" w14:textId="77777777" w:rsidTr="00B147E6">
        <w:trPr>
          <w:trHeight w:val="68"/>
        </w:trPr>
        <w:tc>
          <w:tcPr>
            <w:tcW w:w="2405" w:type="dxa"/>
            <w:tcBorders>
              <w:top w:val="nil"/>
              <w:bottom w:val="nil"/>
              <w:right w:val="nil"/>
            </w:tcBorders>
            <w:shd w:val="clear" w:color="auto" w:fill="auto"/>
            <w:noWrap/>
          </w:tcPr>
          <w:p w14:paraId="383FFD23"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 xml:space="preserve">Time since HIV diagnosis </w:t>
            </w:r>
          </w:p>
        </w:tc>
        <w:tc>
          <w:tcPr>
            <w:tcW w:w="3119" w:type="dxa"/>
            <w:tcBorders>
              <w:top w:val="nil"/>
              <w:left w:val="nil"/>
              <w:bottom w:val="nil"/>
              <w:right w:val="nil"/>
            </w:tcBorders>
            <w:shd w:val="clear" w:color="auto" w:fill="auto"/>
            <w:noWrap/>
            <w:vAlign w:val="center"/>
          </w:tcPr>
          <w:p w14:paraId="09DEEFB9" w14:textId="77777777" w:rsidR="006F5135" w:rsidRPr="004A6173" w:rsidRDefault="006F5135" w:rsidP="00B147E6">
            <w:pPr>
              <w:tabs>
                <w:tab w:val="left" w:pos="567"/>
              </w:tabs>
              <w:rPr>
                <w:rFonts w:ascii="Calibri" w:eastAsia="Times New Roman" w:hAnsi="Calibri" w:cs="Times New Roman"/>
                <w:color w:val="000000"/>
                <w:sz w:val="22"/>
                <w:szCs w:val="22"/>
                <w:lang w:eastAsia="en-GB"/>
              </w:rPr>
            </w:pPr>
            <w:r w:rsidRPr="004A6173">
              <w:rPr>
                <w:rFonts w:ascii="Calibri" w:eastAsia="Times New Roman" w:hAnsi="Calibri" w:cs="Times New Roman"/>
                <w:color w:val="000000"/>
                <w:sz w:val="22"/>
                <w:szCs w:val="22"/>
                <w:lang w:eastAsia="en-GB"/>
              </w:rPr>
              <w:t>per year longer</w:t>
            </w:r>
          </w:p>
        </w:tc>
        <w:tc>
          <w:tcPr>
            <w:tcW w:w="1701" w:type="dxa"/>
            <w:tcBorders>
              <w:top w:val="nil"/>
              <w:left w:val="nil"/>
              <w:bottom w:val="nil"/>
              <w:right w:val="nil"/>
            </w:tcBorders>
            <w:shd w:val="clear" w:color="auto" w:fill="auto"/>
            <w:noWrap/>
            <w:vAlign w:val="center"/>
          </w:tcPr>
          <w:p w14:paraId="489F550A"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0.92 (0.78-1.09)</w:t>
            </w:r>
          </w:p>
        </w:tc>
        <w:tc>
          <w:tcPr>
            <w:tcW w:w="708" w:type="dxa"/>
            <w:tcBorders>
              <w:top w:val="nil"/>
              <w:left w:val="nil"/>
              <w:bottom w:val="nil"/>
              <w:right w:val="nil"/>
            </w:tcBorders>
            <w:shd w:val="clear" w:color="auto" w:fill="auto"/>
            <w:noWrap/>
            <w:vAlign w:val="center"/>
          </w:tcPr>
          <w:p w14:paraId="238E2964"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0.348</w:t>
            </w:r>
          </w:p>
        </w:tc>
        <w:tc>
          <w:tcPr>
            <w:tcW w:w="1701" w:type="dxa"/>
            <w:tcBorders>
              <w:top w:val="nil"/>
              <w:left w:val="nil"/>
              <w:bottom w:val="nil"/>
              <w:right w:val="nil"/>
            </w:tcBorders>
            <w:shd w:val="clear" w:color="auto" w:fill="auto"/>
            <w:noWrap/>
            <w:vAlign w:val="bottom"/>
          </w:tcPr>
          <w:p w14:paraId="1FD6A31E"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top w:val="nil"/>
              <w:left w:val="nil"/>
              <w:bottom w:val="nil"/>
            </w:tcBorders>
            <w:shd w:val="clear" w:color="auto" w:fill="auto"/>
            <w:noWrap/>
            <w:vAlign w:val="bottom"/>
          </w:tcPr>
          <w:p w14:paraId="083C7BCF"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r>
      <w:tr w:rsidR="006F5135" w:rsidRPr="004A6173" w14:paraId="4099BBF0" w14:textId="77777777" w:rsidTr="00B147E6">
        <w:trPr>
          <w:trHeight w:val="247"/>
        </w:trPr>
        <w:tc>
          <w:tcPr>
            <w:tcW w:w="2405" w:type="dxa"/>
            <w:tcBorders>
              <w:top w:val="nil"/>
              <w:bottom w:val="nil"/>
              <w:right w:val="nil"/>
            </w:tcBorders>
            <w:shd w:val="clear" w:color="auto" w:fill="auto"/>
            <w:noWrap/>
            <w:hideMark/>
          </w:tcPr>
          <w:p w14:paraId="5D58EA5A"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 xml:space="preserve">CD4 count  </w:t>
            </w:r>
          </w:p>
        </w:tc>
        <w:tc>
          <w:tcPr>
            <w:tcW w:w="3119" w:type="dxa"/>
            <w:tcBorders>
              <w:top w:val="nil"/>
              <w:left w:val="nil"/>
              <w:bottom w:val="nil"/>
              <w:right w:val="nil"/>
            </w:tcBorders>
            <w:shd w:val="clear" w:color="auto" w:fill="auto"/>
            <w:noWrap/>
            <w:vAlign w:val="center"/>
            <w:hideMark/>
          </w:tcPr>
          <w:p w14:paraId="37235C5B"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50 cells/mm</w:t>
            </w:r>
            <w:r w:rsidRPr="004A6173">
              <w:rPr>
                <w:rFonts w:ascii="Calibri" w:eastAsia="Times New Roman" w:hAnsi="Calibri" w:cs="Times New Roman"/>
                <w:color w:val="000000"/>
                <w:sz w:val="22"/>
                <w:szCs w:val="22"/>
                <w:vertAlign w:val="superscript"/>
                <w:lang w:eastAsia="en-GB"/>
              </w:rPr>
              <w:t>3</w:t>
            </w:r>
            <w:r w:rsidRPr="004A6173">
              <w:rPr>
                <w:rFonts w:ascii="Calibri" w:eastAsia="Times New Roman" w:hAnsi="Calibri" w:cs="Times New Roman"/>
                <w:color w:val="000000"/>
                <w:sz w:val="22"/>
                <w:szCs w:val="22"/>
                <w:lang w:eastAsia="en-GB"/>
              </w:rPr>
              <w:t xml:space="preserve"> higher</w:t>
            </w:r>
          </w:p>
        </w:tc>
        <w:tc>
          <w:tcPr>
            <w:tcW w:w="1701" w:type="dxa"/>
            <w:tcBorders>
              <w:top w:val="nil"/>
              <w:left w:val="nil"/>
              <w:bottom w:val="nil"/>
              <w:right w:val="nil"/>
            </w:tcBorders>
            <w:shd w:val="clear" w:color="auto" w:fill="auto"/>
            <w:noWrap/>
            <w:vAlign w:val="center"/>
            <w:hideMark/>
          </w:tcPr>
          <w:p w14:paraId="629AEAD8"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1.04 (0.94-1.14)</w:t>
            </w:r>
          </w:p>
        </w:tc>
        <w:tc>
          <w:tcPr>
            <w:tcW w:w="708" w:type="dxa"/>
            <w:tcBorders>
              <w:top w:val="nil"/>
              <w:left w:val="nil"/>
              <w:bottom w:val="nil"/>
              <w:right w:val="nil"/>
            </w:tcBorders>
            <w:shd w:val="clear" w:color="auto" w:fill="auto"/>
            <w:noWrap/>
            <w:vAlign w:val="center"/>
            <w:hideMark/>
          </w:tcPr>
          <w:p w14:paraId="6C304DD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0.496</w:t>
            </w:r>
          </w:p>
        </w:tc>
        <w:tc>
          <w:tcPr>
            <w:tcW w:w="1701" w:type="dxa"/>
            <w:tcBorders>
              <w:top w:val="nil"/>
              <w:left w:val="nil"/>
              <w:bottom w:val="nil"/>
              <w:right w:val="nil"/>
            </w:tcBorders>
            <w:shd w:val="clear" w:color="auto" w:fill="auto"/>
            <w:noWrap/>
            <w:vAlign w:val="bottom"/>
          </w:tcPr>
          <w:p w14:paraId="1427F89F"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top w:val="nil"/>
              <w:left w:val="nil"/>
              <w:bottom w:val="nil"/>
            </w:tcBorders>
            <w:shd w:val="clear" w:color="auto" w:fill="auto"/>
            <w:noWrap/>
            <w:vAlign w:val="bottom"/>
          </w:tcPr>
          <w:p w14:paraId="5C799D70"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r>
      <w:tr w:rsidR="006F5135" w:rsidRPr="004A6173" w14:paraId="2EAF26D8" w14:textId="77777777" w:rsidTr="00B147E6">
        <w:trPr>
          <w:trHeight w:val="247"/>
        </w:trPr>
        <w:tc>
          <w:tcPr>
            <w:tcW w:w="2405" w:type="dxa"/>
            <w:tcBorders>
              <w:top w:val="nil"/>
              <w:bottom w:val="nil"/>
              <w:right w:val="nil"/>
            </w:tcBorders>
            <w:shd w:val="clear" w:color="auto" w:fill="auto"/>
            <w:noWrap/>
            <w:hideMark/>
          </w:tcPr>
          <w:p w14:paraId="64CBAF64"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Nadir CD4 count</w:t>
            </w:r>
          </w:p>
        </w:tc>
        <w:tc>
          <w:tcPr>
            <w:tcW w:w="3119" w:type="dxa"/>
            <w:tcBorders>
              <w:top w:val="nil"/>
              <w:left w:val="nil"/>
              <w:bottom w:val="nil"/>
              <w:right w:val="nil"/>
            </w:tcBorders>
            <w:shd w:val="clear" w:color="auto" w:fill="auto"/>
            <w:noWrap/>
            <w:vAlign w:val="center"/>
            <w:hideMark/>
          </w:tcPr>
          <w:p w14:paraId="75147AEC"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50 cells/mm</w:t>
            </w:r>
            <w:r w:rsidRPr="004A6173">
              <w:rPr>
                <w:rFonts w:ascii="Calibri" w:eastAsia="Times New Roman" w:hAnsi="Calibri" w:cs="Times New Roman"/>
                <w:color w:val="000000"/>
                <w:sz w:val="22"/>
                <w:szCs w:val="22"/>
                <w:vertAlign w:val="superscript"/>
                <w:lang w:eastAsia="en-GB"/>
              </w:rPr>
              <w:t>3</w:t>
            </w:r>
            <w:r w:rsidRPr="004A6173">
              <w:rPr>
                <w:rFonts w:ascii="Calibri" w:eastAsia="Times New Roman" w:hAnsi="Calibri" w:cs="Times New Roman"/>
                <w:color w:val="000000"/>
                <w:sz w:val="22"/>
                <w:szCs w:val="22"/>
                <w:lang w:eastAsia="en-GB"/>
              </w:rPr>
              <w:t xml:space="preserve"> higher</w:t>
            </w:r>
          </w:p>
        </w:tc>
        <w:tc>
          <w:tcPr>
            <w:tcW w:w="1701" w:type="dxa"/>
            <w:tcBorders>
              <w:top w:val="nil"/>
              <w:left w:val="nil"/>
              <w:bottom w:val="nil"/>
              <w:right w:val="nil"/>
            </w:tcBorders>
            <w:shd w:val="clear" w:color="auto" w:fill="auto"/>
            <w:noWrap/>
            <w:vAlign w:val="center"/>
            <w:hideMark/>
          </w:tcPr>
          <w:p w14:paraId="2DBCA9A5"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0.92 (0.64-1.31)</w:t>
            </w:r>
          </w:p>
        </w:tc>
        <w:tc>
          <w:tcPr>
            <w:tcW w:w="708" w:type="dxa"/>
            <w:tcBorders>
              <w:top w:val="nil"/>
              <w:left w:val="nil"/>
              <w:bottom w:val="nil"/>
              <w:right w:val="nil"/>
            </w:tcBorders>
            <w:shd w:val="clear" w:color="auto" w:fill="auto"/>
            <w:noWrap/>
            <w:vAlign w:val="center"/>
            <w:hideMark/>
          </w:tcPr>
          <w:p w14:paraId="39C4E6CC"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0.867</w:t>
            </w:r>
          </w:p>
        </w:tc>
        <w:tc>
          <w:tcPr>
            <w:tcW w:w="1701" w:type="dxa"/>
            <w:tcBorders>
              <w:top w:val="nil"/>
              <w:left w:val="nil"/>
              <w:bottom w:val="nil"/>
              <w:right w:val="nil"/>
            </w:tcBorders>
            <w:shd w:val="clear" w:color="auto" w:fill="auto"/>
            <w:noWrap/>
            <w:vAlign w:val="bottom"/>
            <w:hideMark/>
          </w:tcPr>
          <w:p w14:paraId="51D7015E"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top w:val="nil"/>
              <w:left w:val="nil"/>
              <w:bottom w:val="nil"/>
            </w:tcBorders>
            <w:shd w:val="clear" w:color="auto" w:fill="auto"/>
            <w:noWrap/>
            <w:vAlign w:val="bottom"/>
            <w:hideMark/>
          </w:tcPr>
          <w:p w14:paraId="405C4425"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p>
        </w:tc>
      </w:tr>
      <w:tr w:rsidR="006F5135" w:rsidRPr="004A6173" w14:paraId="787C0B98" w14:textId="77777777" w:rsidTr="00B147E6">
        <w:trPr>
          <w:trHeight w:val="247"/>
        </w:trPr>
        <w:tc>
          <w:tcPr>
            <w:tcW w:w="2405" w:type="dxa"/>
            <w:tcBorders>
              <w:top w:val="nil"/>
              <w:bottom w:val="nil"/>
              <w:right w:val="nil"/>
            </w:tcBorders>
            <w:shd w:val="clear" w:color="auto" w:fill="auto"/>
            <w:noWrap/>
          </w:tcPr>
          <w:p w14:paraId="1071F96C"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 xml:space="preserve">History of AIDS </w:t>
            </w:r>
          </w:p>
        </w:tc>
        <w:tc>
          <w:tcPr>
            <w:tcW w:w="3119" w:type="dxa"/>
            <w:tcBorders>
              <w:top w:val="nil"/>
              <w:left w:val="nil"/>
              <w:bottom w:val="nil"/>
              <w:right w:val="nil"/>
            </w:tcBorders>
            <w:shd w:val="clear" w:color="auto" w:fill="auto"/>
            <w:noWrap/>
            <w:vAlign w:val="center"/>
          </w:tcPr>
          <w:p w14:paraId="7F7A6C9D" w14:textId="77777777" w:rsidR="006F5135" w:rsidRPr="004A6173" w:rsidRDefault="006F5135" w:rsidP="00B147E6">
            <w:pPr>
              <w:tabs>
                <w:tab w:val="left" w:pos="567"/>
              </w:tabs>
              <w:rPr>
                <w:rFonts w:ascii="Calibri" w:eastAsia="Times New Roman" w:hAnsi="Calibri" w:cs="Times New Roman"/>
                <w:color w:val="000000"/>
                <w:sz w:val="22"/>
                <w:szCs w:val="22"/>
                <w:lang w:eastAsia="en-GB"/>
              </w:rPr>
            </w:pPr>
            <w:proofErr w:type="gramStart"/>
            <w:r w:rsidRPr="004A6173">
              <w:rPr>
                <w:rFonts w:ascii="Calibri" w:eastAsia="Times New Roman" w:hAnsi="Calibri" w:cs="Times New Roman"/>
                <w:color w:val="000000"/>
                <w:sz w:val="22"/>
                <w:szCs w:val="22"/>
                <w:lang w:eastAsia="en-GB"/>
              </w:rPr>
              <w:t>yes</w:t>
            </w:r>
            <w:proofErr w:type="gramEnd"/>
            <w:r w:rsidRPr="004A6173">
              <w:rPr>
                <w:rFonts w:ascii="Calibri" w:eastAsia="Times New Roman" w:hAnsi="Calibri" w:cs="Times New Roman"/>
                <w:color w:val="000000"/>
                <w:sz w:val="22"/>
                <w:szCs w:val="22"/>
                <w:lang w:eastAsia="en-GB"/>
              </w:rPr>
              <w:t xml:space="preserve"> versus no</w:t>
            </w:r>
          </w:p>
        </w:tc>
        <w:tc>
          <w:tcPr>
            <w:tcW w:w="1701" w:type="dxa"/>
            <w:tcBorders>
              <w:top w:val="nil"/>
              <w:left w:val="nil"/>
              <w:bottom w:val="nil"/>
              <w:right w:val="nil"/>
            </w:tcBorders>
            <w:shd w:val="clear" w:color="auto" w:fill="auto"/>
            <w:noWrap/>
            <w:vAlign w:val="center"/>
          </w:tcPr>
          <w:p w14:paraId="16A5AEB6"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1.44 (0.34-6.06)</w:t>
            </w:r>
          </w:p>
        </w:tc>
        <w:tc>
          <w:tcPr>
            <w:tcW w:w="708" w:type="dxa"/>
            <w:tcBorders>
              <w:top w:val="nil"/>
              <w:left w:val="nil"/>
              <w:bottom w:val="nil"/>
              <w:right w:val="nil"/>
            </w:tcBorders>
            <w:shd w:val="clear" w:color="auto" w:fill="auto"/>
            <w:noWrap/>
            <w:vAlign w:val="center"/>
          </w:tcPr>
          <w:p w14:paraId="6D2C3057"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0.622</w:t>
            </w:r>
          </w:p>
        </w:tc>
        <w:tc>
          <w:tcPr>
            <w:tcW w:w="1701" w:type="dxa"/>
            <w:tcBorders>
              <w:top w:val="nil"/>
              <w:left w:val="nil"/>
              <w:bottom w:val="nil"/>
              <w:right w:val="nil"/>
            </w:tcBorders>
            <w:shd w:val="clear" w:color="auto" w:fill="auto"/>
            <w:noWrap/>
            <w:vAlign w:val="bottom"/>
          </w:tcPr>
          <w:p w14:paraId="53476A99"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top w:val="nil"/>
              <w:left w:val="nil"/>
              <w:bottom w:val="nil"/>
            </w:tcBorders>
            <w:shd w:val="clear" w:color="auto" w:fill="auto"/>
            <w:noWrap/>
            <w:vAlign w:val="bottom"/>
          </w:tcPr>
          <w:p w14:paraId="75D1461F"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r>
      <w:tr w:rsidR="006F5135" w:rsidRPr="004A6173" w14:paraId="45C15575" w14:textId="77777777" w:rsidTr="00B147E6">
        <w:trPr>
          <w:trHeight w:val="247"/>
        </w:trPr>
        <w:tc>
          <w:tcPr>
            <w:tcW w:w="2405" w:type="dxa"/>
            <w:tcBorders>
              <w:top w:val="nil"/>
              <w:bottom w:val="nil"/>
              <w:right w:val="nil"/>
            </w:tcBorders>
            <w:shd w:val="clear" w:color="auto" w:fill="auto"/>
            <w:noWrap/>
            <w:hideMark/>
          </w:tcPr>
          <w:p w14:paraId="49D5BBA2"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HIV-1 DNA</w:t>
            </w:r>
          </w:p>
        </w:tc>
        <w:tc>
          <w:tcPr>
            <w:tcW w:w="3119" w:type="dxa"/>
            <w:tcBorders>
              <w:top w:val="nil"/>
              <w:left w:val="nil"/>
              <w:bottom w:val="nil"/>
              <w:right w:val="nil"/>
            </w:tcBorders>
            <w:shd w:val="clear" w:color="auto" w:fill="auto"/>
            <w:noWrap/>
            <w:vAlign w:val="center"/>
            <w:hideMark/>
          </w:tcPr>
          <w:p w14:paraId="278C019B"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log</w:t>
            </w:r>
            <w:r w:rsidRPr="004A6173">
              <w:rPr>
                <w:rFonts w:ascii="Calibri" w:eastAsia="Times New Roman" w:hAnsi="Calibri" w:cs="Times New Roman"/>
                <w:color w:val="000000"/>
                <w:sz w:val="22"/>
                <w:szCs w:val="22"/>
                <w:vertAlign w:val="subscript"/>
                <w:lang w:eastAsia="en-GB"/>
              </w:rPr>
              <w:t>10</w:t>
            </w:r>
            <w:r w:rsidRPr="004A6173">
              <w:rPr>
                <w:rFonts w:ascii="Calibri" w:eastAsia="Times New Roman" w:hAnsi="Calibri" w:cs="Times New Roman"/>
                <w:color w:val="000000"/>
                <w:sz w:val="22"/>
                <w:szCs w:val="22"/>
                <w:lang w:eastAsia="en-GB"/>
              </w:rPr>
              <w:t xml:space="preserve"> copies/10</w:t>
            </w:r>
            <w:r w:rsidRPr="004A6173">
              <w:rPr>
                <w:rFonts w:ascii="Calibri" w:eastAsia="Times New Roman" w:hAnsi="Calibri" w:cs="Times New Roman"/>
                <w:color w:val="000000"/>
                <w:sz w:val="22"/>
                <w:szCs w:val="22"/>
                <w:vertAlign w:val="superscript"/>
                <w:lang w:eastAsia="en-GB"/>
              </w:rPr>
              <w:t xml:space="preserve">6 </w:t>
            </w:r>
            <w:r w:rsidRPr="004A6173">
              <w:rPr>
                <w:rFonts w:ascii="Calibri" w:eastAsia="Times New Roman" w:hAnsi="Calibri" w:cs="Times New Roman"/>
                <w:color w:val="000000"/>
                <w:sz w:val="22"/>
                <w:szCs w:val="22"/>
                <w:lang w:eastAsia="en-GB"/>
              </w:rPr>
              <w:t>PBMC higher</w:t>
            </w:r>
          </w:p>
        </w:tc>
        <w:tc>
          <w:tcPr>
            <w:tcW w:w="1701" w:type="dxa"/>
            <w:tcBorders>
              <w:top w:val="nil"/>
              <w:left w:val="nil"/>
              <w:bottom w:val="nil"/>
              <w:right w:val="nil"/>
            </w:tcBorders>
            <w:shd w:val="clear" w:color="auto" w:fill="auto"/>
            <w:noWrap/>
            <w:vAlign w:val="center"/>
            <w:hideMark/>
          </w:tcPr>
          <w:p w14:paraId="41266349"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1.80 (0.72-4.50)</w:t>
            </w:r>
          </w:p>
        </w:tc>
        <w:tc>
          <w:tcPr>
            <w:tcW w:w="708" w:type="dxa"/>
            <w:tcBorders>
              <w:top w:val="nil"/>
              <w:left w:val="nil"/>
              <w:bottom w:val="nil"/>
              <w:right w:val="nil"/>
            </w:tcBorders>
            <w:shd w:val="clear" w:color="auto" w:fill="auto"/>
            <w:noWrap/>
            <w:vAlign w:val="center"/>
            <w:hideMark/>
          </w:tcPr>
          <w:p w14:paraId="78BBC866"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0.211</w:t>
            </w:r>
          </w:p>
        </w:tc>
        <w:tc>
          <w:tcPr>
            <w:tcW w:w="1701" w:type="dxa"/>
            <w:tcBorders>
              <w:top w:val="nil"/>
              <w:left w:val="nil"/>
              <w:bottom w:val="nil"/>
              <w:right w:val="nil"/>
            </w:tcBorders>
            <w:shd w:val="clear" w:color="auto" w:fill="auto"/>
            <w:noWrap/>
            <w:vAlign w:val="bottom"/>
          </w:tcPr>
          <w:p w14:paraId="5703EBF0"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2.80 (0.80-9.99)</w:t>
            </w:r>
          </w:p>
        </w:tc>
        <w:tc>
          <w:tcPr>
            <w:tcW w:w="851" w:type="dxa"/>
            <w:tcBorders>
              <w:top w:val="nil"/>
              <w:left w:val="nil"/>
              <w:bottom w:val="nil"/>
            </w:tcBorders>
            <w:shd w:val="clear" w:color="auto" w:fill="auto"/>
            <w:noWrap/>
            <w:vAlign w:val="bottom"/>
          </w:tcPr>
          <w:p w14:paraId="4C7F2BD5"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r w:rsidRPr="004A6173">
              <w:rPr>
                <w:rFonts w:ascii="Calibri" w:eastAsia="Times New Roman" w:hAnsi="Calibri" w:cs="Calibri"/>
                <w:color w:val="000000"/>
                <w:sz w:val="22"/>
                <w:szCs w:val="22"/>
                <w:lang w:eastAsia="en-GB"/>
              </w:rPr>
              <w:t>0.109</w:t>
            </w:r>
          </w:p>
        </w:tc>
      </w:tr>
      <w:tr w:rsidR="006F5135" w:rsidRPr="004A6173" w14:paraId="6E376FED" w14:textId="77777777" w:rsidTr="00B147E6">
        <w:trPr>
          <w:trHeight w:val="247"/>
        </w:trPr>
        <w:tc>
          <w:tcPr>
            <w:tcW w:w="2405" w:type="dxa"/>
            <w:tcBorders>
              <w:top w:val="nil"/>
              <w:bottom w:val="nil"/>
              <w:right w:val="nil"/>
            </w:tcBorders>
            <w:shd w:val="clear" w:color="auto" w:fill="auto"/>
            <w:noWrap/>
          </w:tcPr>
          <w:p w14:paraId="24F8437F"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ART duration</w:t>
            </w:r>
          </w:p>
        </w:tc>
        <w:tc>
          <w:tcPr>
            <w:tcW w:w="3119" w:type="dxa"/>
            <w:tcBorders>
              <w:top w:val="nil"/>
              <w:left w:val="nil"/>
              <w:bottom w:val="nil"/>
              <w:right w:val="nil"/>
            </w:tcBorders>
            <w:shd w:val="clear" w:color="auto" w:fill="auto"/>
            <w:noWrap/>
            <w:vAlign w:val="center"/>
          </w:tcPr>
          <w:p w14:paraId="63421861"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year longer</w:t>
            </w:r>
          </w:p>
        </w:tc>
        <w:tc>
          <w:tcPr>
            <w:tcW w:w="1701" w:type="dxa"/>
            <w:tcBorders>
              <w:top w:val="nil"/>
              <w:left w:val="nil"/>
              <w:bottom w:val="nil"/>
              <w:right w:val="nil"/>
            </w:tcBorders>
            <w:shd w:val="clear" w:color="auto" w:fill="auto"/>
            <w:noWrap/>
            <w:vAlign w:val="center"/>
          </w:tcPr>
          <w:p w14:paraId="79AE38BF"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0.91 (0.76-1.09)</w:t>
            </w:r>
          </w:p>
        </w:tc>
        <w:tc>
          <w:tcPr>
            <w:tcW w:w="708" w:type="dxa"/>
            <w:tcBorders>
              <w:top w:val="nil"/>
              <w:left w:val="nil"/>
              <w:bottom w:val="nil"/>
              <w:right w:val="nil"/>
            </w:tcBorders>
            <w:shd w:val="clear" w:color="auto" w:fill="auto"/>
            <w:noWrap/>
            <w:vAlign w:val="center"/>
          </w:tcPr>
          <w:p w14:paraId="2BC3ECBA"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0.325</w:t>
            </w:r>
          </w:p>
        </w:tc>
        <w:tc>
          <w:tcPr>
            <w:tcW w:w="1701" w:type="dxa"/>
            <w:tcBorders>
              <w:top w:val="nil"/>
              <w:left w:val="nil"/>
              <w:bottom w:val="nil"/>
              <w:right w:val="nil"/>
            </w:tcBorders>
            <w:shd w:val="clear" w:color="auto" w:fill="auto"/>
            <w:noWrap/>
            <w:vAlign w:val="bottom"/>
          </w:tcPr>
          <w:p w14:paraId="165D606F"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p>
        </w:tc>
        <w:tc>
          <w:tcPr>
            <w:tcW w:w="851" w:type="dxa"/>
            <w:tcBorders>
              <w:top w:val="nil"/>
              <w:left w:val="nil"/>
              <w:bottom w:val="nil"/>
            </w:tcBorders>
            <w:shd w:val="clear" w:color="auto" w:fill="auto"/>
            <w:noWrap/>
            <w:vAlign w:val="bottom"/>
            <w:hideMark/>
          </w:tcPr>
          <w:p w14:paraId="17493308"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p>
        </w:tc>
      </w:tr>
      <w:tr w:rsidR="006F5135" w:rsidRPr="004A6173" w14:paraId="4F316647" w14:textId="77777777" w:rsidTr="00B147E6">
        <w:trPr>
          <w:trHeight w:val="247"/>
        </w:trPr>
        <w:tc>
          <w:tcPr>
            <w:tcW w:w="2405" w:type="dxa"/>
            <w:tcBorders>
              <w:top w:val="nil"/>
              <w:bottom w:val="nil"/>
              <w:right w:val="nil"/>
            </w:tcBorders>
            <w:shd w:val="clear" w:color="auto" w:fill="auto"/>
            <w:noWrap/>
            <w:hideMark/>
          </w:tcPr>
          <w:p w14:paraId="5FCDD5E0"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PI</w:t>
            </w:r>
            <w:r>
              <w:rPr>
                <w:rFonts w:ascii="Calibri" w:eastAsia="Times New Roman" w:hAnsi="Calibri" w:cs="Calibri"/>
                <w:color w:val="000000"/>
                <w:sz w:val="22"/>
                <w:szCs w:val="22"/>
                <w:lang w:eastAsia="en-GB"/>
              </w:rPr>
              <w:t xml:space="preserve">/r </w:t>
            </w:r>
            <w:r w:rsidRPr="004A6173">
              <w:rPr>
                <w:rFonts w:ascii="Calibri" w:eastAsia="Times New Roman" w:hAnsi="Calibri" w:cs="Calibri"/>
                <w:color w:val="000000"/>
                <w:sz w:val="22"/>
                <w:szCs w:val="22"/>
                <w:lang w:eastAsia="en-GB"/>
              </w:rPr>
              <w:t xml:space="preserve">duration </w:t>
            </w:r>
          </w:p>
        </w:tc>
        <w:tc>
          <w:tcPr>
            <w:tcW w:w="3119" w:type="dxa"/>
            <w:tcBorders>
              <w:top w:val="nil"/>
              <w:left w:val="nil"/>
              <w:bottom w:val="nil"/>
              <w:right w:val="nil"/>
            </w:tcBorders>
            <w:shd w:val="clear" w:color="auto" w:fill="auto"/>
            <w:noWrap/>
            <w:vAlign w:val="center"/>
            <w:hideMark/>
          </w:tcPr>
          <w:p w14:paraId="7692D919"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year longer</w:t>
            </w:r>
          </w:p>
        </w:tc>
        <w:tc>
          <w:tcPr>
            <w:tcW w:w="1701" w:type="dxa"/>
            <w:tcBorders>
              <w:top w:val="nil"/>
              <w:left w:val="nil"/>
              <w:bottom w:val="nil"/>
              <w:right w:val="nil"/>
            </w:tcBorders>
            <w:shd w:val="clear" w:color="auto" w:fill="auto"/>
            <w:noWrap/>
            <w:vAlign w:val="center"/>
            <w:hideMark/>
          </w:tcPr>
          <w:p w14:paraId="7A9F9568"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0.96 (0.79-1.16)</w:t>
            </w:r>
          </w:p>
        </w:tc>
        <w:tc>
          <w:tcPr>
            <w:tcW w:w="708" w:type="dxa"/>
            <w:tcBorders>
              <w:top w:val="nil"/>
              <w:left w:val="nil"/>
              <w:bottom w:val="nil"/>
              <w:right w:val="nil"/>
            </w:tcBorders>
            <w:shd w:val="clear" w:color="auto" w:fill="auto"/>
            <w:noWrap/>
            <w:vAlign w:val="center"/>
            <w:hideMark/>
          </w:tcPr>
          <w:p w14:paraId="5733A466"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0.667</w:t>
            </w:r>
          </w:p>
        </w:tc>
        <w:tc>
          <w:tcPr>
            <w:tcW w:w="1701" w:type="dxa"/>
            <w:tcBorders>
              <w:top w:val="nil"/>
              <w:left w:val="nil"/>
              <w:bottom w:val="nil"/>
              <w:right w:val="nil"/>
            </w:tcBorders>
            <w:shd w:val="clear" w:color="auto" w:fill="auto"/>
            <w:noWrap/>
            <w:vAlign w:val="bottom"/>
            <w:hideMark/>
          </w:tcPr>
          <w:p w14:paraId="7336D35D" w14:textId="77777777" w:rsidR="006F5135" w:rsidRPr="004A6173" w:rsidRDefault="006F5135" w:rsidP="00B147E6">
            <w:pPr>
              <w:tabs>
                <w:tab w:val="left" w:pos="567"/>
              </w:tabs>
              <w:jc w:val="both"/>
              <w:rPr>
                <w:rFonts w:ascii="Calibri" w:eastAsia="Times New Roman" w:hAnsi="Calibri" w:cs="Calibri"/>
                <w:sz w:val="22"/>
                <w:szCs w:val="22"/>
                <w:lang w:eastAsia="en-GB"/>
              </w:rPr>
            </w:pPr>
          </w:p>
        </w:tc>
        <w:tc>
          <w:tcPr>
            <w:tcW w:w="851" w:type="dxa"/>
            <w:tcBorders>
              <w:top w:val="nil"/>
              <w:left w:val="nil"/>
              <w:bottom w:val="nil"/>
            </w:tcBorders>
            <w:shd w:val="clear" w:color="auto" w:fill="auto"/>
            <w:noWrap/>
            <w:vAlign w:val="bottom"/>
            <w:hideMark/>
          </w:tcPr>
          <w:p w14:paraId="19578FB9"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p>
        </w:tc>
      </w:tr>
      <w:tr w:rsidR="006F5135" w:rsidRPr="004A6173" w14:paraId="416778FF" w14:textId="77777777" w:rsidTr="00B147E6">
        <w:trPr>
          <w:trHeight w:val="247"/>
        </w:trPr>
        <w:tc>
          <w:tcPr>
            <w:tcW w:w="2405" w:type="dxa"/>
            <w:tcBorders>
              <w:top w:val="nil"/>
              <w:bottom w:val="nil"/>
              <w:right w:val="nil"/>
            </w:tcBorders>
            <w:shd w:val="clear" w:color="auto" w:fill="auto"/>
            <w:noWrap/>
          </w:tcPr>
          <w:p w14:paraId="352D82DE" w14:textId="77777777" w:rsidR="006F5135" w:rsidRPr="004A6173" w:rsidRDefault="006F5135" w:rsidP="00B147E6">
            <w:pPr>
              <w:tabs>
                <w:tab w:val="left" w:pos="567"/>
              </w:tabs>
              <w:rPr>
                <w:rFonts w:ascii="Calibri" w:eastAsia="Times New Roman" w:hAnsi="Calibri" w:cs="Calibri"/>
                <w:color w:val="000000"/>
                <w:sz w:val="22"/>
                <w:szCs w:val="22"/>
                <w:lang w:eastAsia="en-GB"/>
              </w:rPr>
            </w:pPr>
            <m:oMath>
              <m:r>
                <w:rPr>
                  <w:rFonts w:ascii="Cambria Math" w:eastAsia="Times New Roman" w:hAnsi="Cambria Math" w:cs="Calibri"/>
                  <w:color w:val="000000"/>
                  <w:sz w:val="22"/>
                  <w:szCs w:val="22"/>
                  <w:lang w:eastAsia="en-GB"/>
                </w:rPr>
                <m:t>≥</m:t>
              </m:r>
            </m:oMath>
            <w:r w:rsidRPr="004A6173">
              <w:rPr>
                <w:rFonts w:ascii="Calibri" w:eastAsia="Times New Roman" w:hAnsi="Calibri" w:cs="Calibri"/>
                <w:color w:val="000000"/>
                <w:sz w:val="22"/>
                <w:szCs w:val="22"/>
                <w:lang w:eastAsia="en-GB"/>
              </w:rPr>
              <w:t xml:space="preserve">1 RAM in HIV-1 DNA </w:t>
            </w:r>
          </w:p>
        </w:tc>
        <w:tc>
          <w:tcPr>
            <w:tcW w:w="3119" w:type="dxa"/>
            <w:tcBorders>
              <w:top w:val="nil"/>
              <w:left w:val="nil"/>
              <w:bottom w:val="nil"/>
              <w:right w:val="nil"/>
            </w:tcBorders>
            <w:shd w:val="clear" w:color="auto" w:fill="auto"/>
            <w:noWrap/>
            <w:vAlign w:val="center"/>
          </w:tcPr>
          <w:p w14:paraId="2E0246A8" w14:textId="77777777" w:rsidR="006F5135" w:rsidRPr="004A6173" w:rsidRDefault="006F5135" w:rsidP="00B147E6">
            <w:pPr>
              <w:tabs>
                <w:tab w:val="left" w:pos="567"/>
              </w:tabs>
              <w:rPr>
                <w:rFonts w:ascii="Calibri" w:eastAsia="Times New Roman" w:hAnsi="Calibri" w:cs="Calibri"/>
                <w:color w:val="000000" w:themeColor="text1"/>
                <w:sz w:val="22"/>
                <w:szCs w:val="22"/>
                <w:lang w:eastAsia="en-GB"/>
              </w:rPr>
            </w:pPr>
            <w:proofErr w:type="gramStart"/>
            <w:r w:rsidRPr="004A6173">
              <w:rPr>
                <w:rFonts w:ascii="Calibri" w:eastAsia="Times New Roman" w:hAnsi="Calibri" w:cs="Times New Roman"/>
                <w:color w:val="000000" w:themeColor="text1"/>
                <w:sz w:val="22"/>
                <w:szCs w:val="22"/>
                <w:lang w:eastAsia="en-GB"/>
              </w:rPr>
              <w:t>yes</w:t>
            </w:r>
            <w:proofErr w:type="gramEnd"/>
            <w:r w:rsidRPr="004A6173">
              <w:rPr>
                <w:rFonts w:ascii="Calibri" w:eastAsia="Times New Roman" w:hAnsi="Calibri" w:cs="Times New Roman"/>
                <w:color w:val="000000" w:themeColor="text1"/>
                <w:sz w:val="22"/>
                <w:szCs w:val="22"/>
                <w:lang w:eastAsia="en-GB"/>
              </w:rPr>
              <w:t xml:space="preserve"> versus no </w:t>
            </w:r>
          </w:p>
        </w:tc>
        <w:tc>
          <w:tcPr>
            <w:tcW w:w="1701" w:type="dxa"/>
            <w:tcBorders>
              <w:top w:val="nil"/>
              <w:left w:val="nil"/>
              <w:bottom w:val="nil"/>
              <w:right w:val="nil"/>
            </w:tcBorders>
            <w:shd w:val="clear" w:color="auto" w:fill="auto"/>
            <w:noWrap/>
            <w:vAlign w:val="center"/>
          </w:tcPr>
          <w:p w14:paraId="285D63DD"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0.31 (0.09-1.09)</w:t>
            </w:r>
          </w:p>
        </w:tc>
        <w:tc>
          <w:tcPr>
            <w:tcW w:w="708" w:type="dxa"/>
            <w:tcBorders>
              <w:top w:val="nil"/>
              <w:left w:val="nil"/>
              <w:bottom w:val="nil"/>
              <w:right w:val="nil"/>
            </w:tcBorders>
            <w:shd w:val="clear" w:color="auto" w:fill="auto"/>
            <w:noWrap/>
            <w:vAlign w:val="center"/>
          </w:tcPr>
          <w:p w14:paraId="21CCDE0B"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0.069</w:t>
            </w:r>
          </w:p>
        </w:tc>
        <w:tc>
          <w:tcPr>
            <w:tcW w:w="1701" w:type="dxa"/>
            <w:tcBorders>
              <w:top w:val="nil"/>
              <w:left w:val="nil"/>
              <w:bottom w:val="nil"/>
              <w:right w:val="nil"/>
            </w:tcBorders>
            <w:shd w:val="clear" w:color="auto" w:fill="auto"/>
            <w:noWrap/>
            <w:vAlign w:val="bottom"/>
          </w:tcPr>
          <w:p w14:paraId="4B6F0DC8"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0.15 (0.03-0.82)</w:t>
            </w:r>
          </w:p>
        </w:tc>
        <w:tc>
          <w:tcPr>
            <w:tcW w:w="851" w:type="dxa"/>
            <w:tcBorders>
              <w:top w:val="nil"/>
              <w:left w:val="nil"/>
              <w:bottom w:val="nil"/>
            </w:tcBorders>
            <w:shd w:val="clear" w:color="auto" w:fill="auto"/>
            <w:noWrap/>
            <w:vAlign w:val="bottom"/>
          </w:tcPr>
          <w:p w14:paraId="7E709DED"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r w:rsidRPr="004A6173">
              <w:rPr>
                <w:rFonts w:ascii="Calibri" w:eastAsia="Times New Roman" w:hAnsi="Calibri" w:cs="Calibri"/>
                <w:sz w:val="22"/>
                <w:szCs w:val="22"/>
                <w:lang w:eastAsia="en-GB"/>
              </w:rPr>
              <w:t>0.028</w:t>
            </w:r>
          </w:p>
        </w:tc>
      </w:tr>
      <w:tr w:rsidR="006F5135" w:rsidRPr="004A6173" w14:paraId="31F17990" w14:textId="77777777" w:rsidTr="00B147E6">
        <w:trPr>
          <w:trHeight w:val="120"/>
        </w:trPr>
        <w:tc>
          <w:tcPr>
            <w:tcW w:w="2405" w:type="dxa"/>
            <w:tcBorders>
              <w:top w:val="nil"/>
              <w:bottom w:val="nil"/>
              <w:right w:val="nil"/>
            </w:tcBorders>
            <w:shd w:val="clear" w:color="auto" w:fill="auto"/>
            <w:noWrap/>
          </w:tcPr>
          <w:p w14:paraId="399997B1" w14:textId="77777777" w:rsidR="006F5135" w:rsidRPr="004A6173" w:rsidRDefault="006F5135" w:rsidP="00B147E6">
            <w:pPr>
              <w:tabs>
                <w:tab w:val="left" w:pos="567"/>
              </w:tabs>
              <w:rPr>
                <w:rFonts w:ascii="Calibri" w:eastAsia="Times New Roman" w:hAnsi="Calibri" w:cs="Calibri"/>
                <w:color w:val="000000"/>
                <w:sz w:val="22"/>
                <w:szCs w:val="22"/>
                <w:lang w:eastAsia="en-GB"/>
              </w:rPr>
            </w:pPr>
          </w:p>
        </w:tc>
        <w:tc>
          <w:tcPr>
            <w:tcW w:w="3119" w:type="dxa"/>
            <w:tcBorders>
              <w:top w:val="nil"/>
              <w:left w:val="nil"/>
              <w:bottom w:val="nil"/>
              <w:right w:val="nil"/>
            </w:tcBorders>
            <w:shd w:val="clear" w:color="auto" w:fill="auto"/>
            <w:noWrap/>
            <w:vAlign w:val="center"/>
          </w:tcPr>
          <w:p w14:paraId="545D3EF6" w14:textId="77777777" w:rsidR="006F5135" w:rsidRPr="004A6173" w:rsidRDefault="006F5135" w:rsidP="00B147E6">
            <w:pPr>
              <w:tabs>
                <w:tab w:val="left" w:pos="567"/>
              </w:tabs>
              <w:rPr>
                <w:rFonts w:ascii="Calibri" w:eastAsia="Times New Roman" w:hAnsi="Calibri" w:cs="Calibri"/>
                <w:color w:val="000000" w:themeColor="text1"/>
                <w:sz w:val="22"/>
                <w:szCs w:val="22"/>
                <w:lang w:eastAsia="en-GB"/>
              </w:rPr>
            </w:pPr>
            <w:r w:rsidRPr="004A6173">
              <w:rPr>
                <w:rFonts w:ascii="Calibri" w:eastAsia="Times New Roman" w:hAnsi="Calibri" w:cs="Times New Roman"/>
                <w:color w:val="000000" w:themeColor="text1"/>
                <w:sz w:val="22"/>
                <w:szCs w:val="22"/>
                <w:lang w:eastAsia="en-GB"/>
              </w:rPr>
              <w:t>unknown versus no</w:t>
            </w:r>
          </w:p>
        </w:tc>
        <w:tc>
          <w:tcPr>
            <w:tcW w:w="1701" w:type="dxa"/>
            <w:tcBorders>
              <w:top w:val="nil"/>
              <w:left w:val="nil"/>
              <w:bottom w:val="nil"/>
              <w:right w:val="nil"/>
            </w:tcBorders>
            <w:shd w:val="clear" w:color="auto" w:fill="auto"/>
            <w:noWrap/>
            <w:vAlign w:val="center"/>
          </w:tcPr>
          <w:p w14:paraId="18453F28"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0.17 (0.03-0.94)</w:t>
            </w:r>
          </w:p>
        </w:tc>
        <w:tc>
          <w:tcPr>
            <w:tcW w:w="708" w:type="dxa"/>
            <w:tcBorders>
              <w:top w:val="nil"/>
              <w:left w:val="nil"/>
              <w:bottom w:val="nil"/>
              <w:right w:val="nil"/>
            </w:tcBorders>
            <w:shd w:val="clear" w:color="auto" w:fill="auto"/>
            <w:noWrap/>
            <w:vAlign w:val="center"/>
          </w:tcPr>
          <w:p w14:paraId="3394A890"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sz w:val="22"/>
                <w:szCs w:val="22"/>
                <w:lang w:eastAsia="en-GB"/>
              </w:rPr>
              <w:t>0.042</w:t>
            </w:r>
          </w:p>
        </w:tc>
        <w:tc>
          <w:tcPr>
            <w:tcW w:w="1701" w:type="dxa"/>
            <w:tcBorders>
              <w:top w:val="nil"/>
              <w:left w:val="nil"/>
              <w:bottom w:val="nil"/>
              <w:right w:val="nil"/>
            </w:tcBorders>
            <w:shd w:val="clear" w:color="auto" w:fill="auto"/>
            <w:noWrap/>
            <w:vAlign w:val="bottom"/>
          </w:tcPr>
          <w:p w14:paraId="69137DA4"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0.29 (0.04-2.06)</w:t>
            </w:r>
          </w:p>
        </w:tc>
        <w:tc>
          <w:tcPr>
            <w:tcW w:w="851" w:type="dxa"/>
            <w:tcBorders>
              <w:top w:val="nil"/>
              <w:left w:val="nil"/>
              <w:bottom w:val="nil"/>
            </w:tcBorders>
            <w:shd w:val="clear" w:color="auto" w:fill="auto"/>
            <w:noWrap/>
            <w:vAlign w:val="bottom"/>
          </w:tcPr>
          <w:p w14:paraId="2BC7FAE9"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r w:rsidRPr="004A6173">
              <w:rPr>
                <w:rFonts w:ascii="Calibri" w:eastAsia="Times New Roman" w:hAnsi="Calibri" w:cs="Calibri"/>
                <w:sz w:val="22"/>
                <w:szCs w:val="22"/>
                <w:lang w:eastAsia="en-GB"/>
              </w:rPr>
              <w:t>0.218</w:t>
            </w:r>
          </w:p>
        </w:tc>
      </w:tr>
      <w:tr w:rsidR="006F5135" w:rsidRPr="004A6173" w14:paraId="5AD57726" w14:textId="77777777" w:rsidTr="00B147E6">
        <w:trPr>
          <w:trHeight w:val="262"/>
        </w:trPr>
        <w:tc>
          <w:tcPr>
            <w:tcW w:w="2405" w:type="dxa"/>
            <w:tcBorders>
              <w:top w:val="nil"/>
              <w:bottom w:val="nil"/>
              <w:right w:val="nil"/>
            </w:tcBorders>
            <w:shd w:val="clear" w:color="auto" w:fill="auto"/>
            <w:noWrap/>
            <w:hideMark/>
          </w:tcPr>
          <w:p w14:paraId="17D156A4"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 xml:space="preserve">Pill count </w:t>
            </w:r>
          </w:p>
        </w:tc>
        <w:tc>
          <w:tcPr>
            <w:tcW w:w="3119" w:type="dxa"/>
            <w:tcBorders>
              <w:top w:val="nil"/>
              <w:left w:val="nil"/>
              <w:bottom w:val="nil"/>
              <w:right w:val="nil"/>
            </w:tcBorders>
            <w:shd w:val="clear" w:color="auto" w:fill="auto"/>
            <w:noWrap/>
            <w:vAlign w:val="center"/>
            <w:hideMark/>
          </w:tcPr>
          <w:p w14:paraId="54F59670" w14:textId="77777777" w:rsidR="006F5135" w:rsidRPr="004A6173" w:rsidRDefault="006F5135" w:rsidP="00B147E6">
            <w:pPr>
              <w:tabs>
                <w:tab w:val="left" w:pos="567"/>
              </w:tabs>
              <w:rPr>
                <w:rFonts w:ascii="Calibri" w:eastAsia="Times New Roman" w:hAnsi="Calibri" w:cs="Calibri"/>
                <w:color w:val="000000" w:themeColor="text1"/>
                <w:sz w:val="22"/>
                <w:szCs w:val="22"/>
                <w:lang w:eastAsia="en-GB"/>
              </w:rPr>
            </w:pPr>
            <w:r w:rsidRPr="004A6173">
              <w:rPr>
                <w:rFonts w:ascii="Calibri" w:eastAsia="Times New Roman" w:hAnsi="Calibri" w:cs="Times New Roman"/>
                <w:color w:val="000000" w:themeColor="text1"/>
                <w:sz w:val="22"/>
                <w:szCs w:val="22"/>
                <w:lang w:eastAsia="en-GB"/>
              </w:rPr>
              <w:t xml:space="preserve">Per 10% increment </w:t>
            </w:r>
          </w:p>
        </w:tc>
        <w:tc>
          <w:tcPr>
            <w:tcW w:w="1701" w:type="dxa"/>
            <w:tcBorders>
              <w:top w:val="nil"/>
              <w:left w:val="nil"/>
              <w:bottom w:val="nil"/>
              <w:right w:val="nil"/>
            </w:tcBorders>
            <w:shd w:val="clear" w:color="auto" w:fill="auto"/>
            <w:noWrap/>
            <w:vAlign w:val="center"/>
            <w:hideMark/>
          </w:tcPr>
          <w:p w14:paraId="6C991DC0"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0.55 (0.15-2.03)</w:t>
            </w:r>
          </w:p>
        </w:tc>
        <w:tc>
          <w:tcPr>
            <w:tcW w:w="708" w:type="dxa"/>
            <w:tcBorders>
              <w:top w:val="nil"/>
              <w:left w:val="nil"/>
              <w:bottom w:val="nil"/>
              <w:right w:val="nil"/>
            </w:tcBorders>
            <w:shd w:val="clear" w:color="auto" w:fill="auto"/>
            <w:noWrap/>
            <w:vAlign w:val="center"/>
            <w:hideMark/>
          </w:tcPr>
          <w:p w14:paraId="49175180"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color w:val="000000"/>
                <w:sz w:val="22"/>
                <w:szCs w:val="22"/>
                <w:lang w:eastAsia="en-GB"/>
              </w:rPr>
              <w:t>0.367</w:t>
            </w:r>
          </w:p>
        </w:tc>
        <w:tc>
          <w:tcPr>
            <w:tcW w:w="1701" w:type="dxa"/>
            <w:tcBorders>
              <w:top w:val="nil"/>
              <w:left w:val="nil"/>
              <w:bottom w:val="nil"/>
              <w:right w:val="nil"/>
            </w:tcBorders>
            <w:shd w:val="clear" w:color="auto" w:fill="auto"/>
            <w:noWrap/>
            <w:vAlign w:val="bottom"/>
          </w:tcPr>
          <w:p w14:paraId="1E9E73FE" w14:textId="77777777" w:rsidR="006F5135" w:rsidRPr="004A6173" w:rsidRDefault="006F5135" w:rsidP="00B147E6">
            <w:pPr>
              <w:tabs>
                <w:tab w:val="left" w:pos="567"/>
              </w:tabs>
              <w:jc w:val="both"/>
              <w:rPr>
                <w:rFonts w:ascii="Calibri" w:eastAsia="Times New Roman" w:hAnsi="Calibri" w:cs="Calibri"/>
                <w:sz w:val="22"/>
                <w:szCs w:val="22"/>
                <w:lang w:eastAsia="en-GB"/>
              </w:rPr>
            </w:pPr>
          </w:p>
        </w:tc>
        <w:tc>
          <w:tcPr>
            <w:tcW w:w="851" w:type="dxa"/>
            <w:tcBorders>
              <w:top w:val="nil"/>
              <w:left w:val="nil"/>
              <w:bottom w:val="nil"/>
            </w:tcBorders>
            <w:shd w:val="clear" w:color="auto" w:fill="auto"/>
            <w:noWrap/>
            <w:vAlign w:val="bottom"/>
          </w:tcPr>
          <w:p w14:paraId="3FD49E9B" w14:textId="77777777" w:rsidR="006F5135" w:rsidRPr="004A6173" w:rsidRDefault="006F5135" w:rsidP="00B147E6">
            <w:pPr>
              <w:tabs>
                <w:tab w:val="left" w:pos="567"/>
              </w:tabs>
              <w:jc w:val="both"/>
              <w:rPr>
                <w:rFonts w:ascii="Calibri" w:eastAsia="Times New Roman" w:hAnsi="Calibri" w:cs="Calibri"/>
                <w:sz w:val="22"/>
                <w:szCs w:val="22"/>
                <w:lang w:eastAsia="en-GB"/>
              </w:rPr>
            </w:pPr>
          </w:p>
        </w:tc>
      </w:tr>
      <w:tr w:rsidR="006F5135" w:rsidRPr="004A6173" w14:paraId="1CB1E79A" w14:textId="77777777" w:rsidTr="00B147E6">
        <w:trPr>
          <w:trHeight w:val="132"/>
        </w:trPr>
        <w:tc>
          <w:tcPr>
            <w:tcW w:w="2405" w:type="dxa"/>
            <w:tcBorders>
              <w:top w:val="nil"/>
              <w:right w:val="nil"/>
            </w:tcBorders>
            <w:shd w:val="clear" w:color="auto" w:fill="auto"/>
            <w:noWrap/>
            <w:hideMark/>
          </w:tcPr>
          <w:p w14:paraId="4A48DAA6"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VA</w:t>
            </w:r>
            <w:r>
              <w:rPr>
                <w:rFonts w:ascii="Calibri" w:eastAsia="Times New Roman" w:hAnsi="Calibri" w:cs="Calibri"/>
                <w:color w:val="000000"/>
                <w:sz w:val="22"/>
                <w:szCs w:val="22"/>
                <w:lang w:eastAsia="en-GB"/>
              </w:rPr>
              <w:t>S</w:t>
            </w:r>
            <w:r w:rsidRPr="004A6173">
              <w:rPr>
                <w:rFonts w:ascii="Calibri" w:eastAsia="Times New Roman" w:hAnsi="Calibri" w:cs="Calibri"/>
                <w:color w:val="000000"/>
                <w:sz w:val="22"/>
                <w:szCs w:val="22"/>
                <w:lang w:eastAsia="en-GB"/>
              </w:rPr>
              <w:t xml:space="preserve"> </w:t>
            </w:r>
          </w:p>
        </w:tc>
        <w:tc>
          <w:tcPr>
            <w:tcW w:w="3119" w:type="dxa"/>
            <w:tcBorders>
              <w:top w:val="nil"/>
              <w:left w:val="nil"/>
              <w:right w:val="nil"/>
            </w:tcBorders>
            <w:shd w:val="clear" w:color="auto" w:fill="auto"/>
            <w:noWrap/>
            <w:vAlign w:val="center"/>
            <w:hideMark/>
          </w:tcPr>
          <w:p w14:paraId="67F8F715" w14:textId="77777777" w:rsidR="006F5135" w:rsidRPr="004A6173" w:rsidRDefault="006F5135" w:rsidP="00B147E6">
            <w:pPr>
              <w:tabs>
                <w:tab w:val="left" w:pos="567"/>
              </w:tabs>
              <w:rPr>
                <w:rFonts w:ascii="Calibri" w:eastAsia="Times New Roman" w:hAnsi="Calibri" w:cs="Calibri"/>
                <w:color w:val="000000"/>
                <w:sz w:val="22"/>
                <w:szCs w:val="22"/>
                <w:lang w:eastAsia="en-GB"/>
              </w:rPr>
            </w:pPr>
            <w:r w:rsidRPr="004A6173">
              <w:rPr>
                <w:rFonts w:ascii="Calibri" w:eastAsia="Times New Roman" w:hAnsi="Calibri" w:cs="Times New Roman"/>
                <w:color w:val="000000"/>
                <w:sz w:val="22"/>
                <w:szCs w:val="22"/>
                <w:lang w:eastAsia="en-GB"/>
              </w:rPr>
              <w:t>Per 10% increment</w:t>
            </w:r>
          </w:p>
        </w:tc>
        <w:tc>
          <w:tcPr>
            <w:tcW w:w="1701" w:type="dxa"/>
            <w:tcBorders>
              <w:top w:val="nil"/>
              <w:left w:val="nil"/>
              <w:right w:val="nil"/>
            </w:tcBorders>
            <w:shd w:val="clear" w:color="auto" w:fill="auto"/>
            <w:noWrap/>
            <w:vAlign w:val="center"/>
            <w:hideMark/>
          </w:tcPr>
          <w:p w14:paraId="552BC63B"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0.21 (0.06-0.69)</w:t>
            </w:r>
          </w:p>
        </w:tc>
        <w:tc>
          <w:tcPr>
            <w:tcW w:w="708" w:type="dxa"/>
            <w:tcBorders>
              <w:top w:val="nil"/>
              <w:left w:val="nil"/>
              <w:right w:val="nil"/>
            </w:tcBorders>
            <w:shd w:val="clear" w:color="auto" w:fill="auto"/>
            <w:noWrap/>
            <w:vAlign w:val="center"/>
            <w:hideMark/>
          </w:tcPr>
          <w:p w14:paraId="0B60AAF7" w14:textId="77777777" w:rsidR="006F5135" w:rsidRPr="004A6173" w:rsidRDefault="006F5135" w:rsidP="00B147E6">
            <w:pPr>
              <w:tabs>
                <w:tab w:val="left" w:pos="567"/>
              </w:tabs>
              <w:jc w:val="both"/>
              <w:rPr>
                <w:rFonts w:ascii="Calibri" w:eastAsia="Times New Roman" w:hAnsi="Calibri" w:cs="Calibri"/>
                <w:color w:val="000000"/>
                <w:sz w:val="22"/>
                <w:szCs w:val="22"/>
                <w:lang w:eastAsia="en-GB"/>
              </w:rPr>
            </w:pPr>
            <w:r w:rsidRPr="004A6173">
              <w:rPr>
                <w:rFonts w:ascii="Calibri" w:eastAsia="Times New Roman" w:hAnsi="Calibri" w:cs="Calibri"/>
                <w:color w:val="000000"/>
                <w:sz w:val="22"/>
                <w:szCs w:val="22"/>
                <w:lang w:eastAsia="en-GB"/>
              </w:rPr>
              <w:t>0.011</w:t>
            </w:r>
          </w:p>
        </w:tc>
        <w:tc>
          <w:tcPr>
            <w:tcW w:w="1701" w:type="dxa"/>
            <w:tcBorders>
              <w:top w:val="nil"/>
              <w:left w:val="nil"/>
              <w:right w:val="nil"/>
            </w:tcBorders>
            <w:shd w:val="clear" w:color="auto" w:fill="auto"/>
            <w:noWrap/>
            <w:vAlign w:val="bottom"/>
            <w:hideMark/>
          </w:tcPr>
          <w:p w14:paraId="168B7DEE" w14:textId="77777777" w:rsidR="006F5135" w:rsidRPr="004A6173" w:rsidRDefault="006F5135" w:rsidP="00B147E6">
            <w:pPr>
              <w:tabs>
                <w:tab w:val="left" w:pos="567"/>
              </w:tabs>
              <w:jc w:val="both"/>
              <w:rPr>
                <w:rFonts w:ascii="Calibri" w:eastAsia="Times New Roman" w:hAnsi="Calibri" w:cs="Calibri"/>
                <w:sz w:val="22"/>
                <w:szCs w:val="22"/>
                <w:lang w:eastAsia="en-GB"/>
              </w:rPr>
            </w:pPr>
            <w:r w:rsidRPr="004A6173">
              <w:rPr>
                <w:rFonts w:ascii="Calibri" w:eastAsia="Times New Roman" w:hAnsi="Calibri" w:cs="Calibri"/>
                <w:sz w:val="22"/>
                <w:szCs w:val="22"/>
                <w:lang w:eastAsia="en-GB"/>
              </w:rPr>
              <w:t>0.04 (0.01-0.37)</w:t>
            </w:r>
          </w:p>
        </w:tc>
        <w:tc>
          <w:tcPr>
            <w:tcW w:w="851" w:type="dxa"/>
            <w:tcBorders>
              <w:top w:val="nil"/>
              <w:left w:val="nil"/>
            </w:tcBorders>
            <w:shd w:val="clear" w:color="auto" w:fill="auto"/>
            <w:noWrap/>
            <w:vAlign w:val="bottom"/>
            <w:hideMark/>
          </w:tcPr>
          <w:p w14:paraId="006ACFC8" w14:textId="77777777" w:rsidR="006F5135" w:rsidRPr="004A6173" w:rsidRDefault="006F5135" w:rsidP="00B147E6">
            <w:pPr>
              <w:tabs>
                <w:tab w:val="left" w:pos="567"/>
              </w:tabs>
              <w:jc w:val="both"/>
              <w:rPr>
                <w:rFonts w:ascii="Times New Roman" w:eastAsia="Times New Roman" w:hAnsi="Times New Roman" w:cs="Times New Roman"/>
                <w:sz w:val="22"/>
                <w:szCs w:val="22"/>
                <w:lang w:eastAsia="en-GB"/>
              </w:rPr>
            </w:pPr>
            <w:r w:rsidRPr="004A6173">
              <w:rPr>
                <w:rFonts w:ascii="Calibri" w:eastAsia="Times New Roman" w:hAnsi="Calibri" w:cs="Calibri"/>
                <w:sz w:val="22"/>
                <w:szCs w:val="22"/>
                <w:lang w:eastAsia="en-GB"/>
              </w:rPr>
              <w:t>0.004</w:t>
            </w:r>
          </w:p>
        </w:tc>
      </w:tr>
    </w:tbl>
    <w:p w14:paraId="700EBE68" w14:textId="77777777" w:rsidR="006F5135" w:rsidRPr="004A6173" w:rsidRDefault="006F5135" w:rsidP="006F5135">
      <w:pPr>
        <w:tabs>
          <w:tab w:val="left" w:pos="567"/>
        </w:tabs>
        <w:jc w:val="both"/>
        <w:outlineLvl w:val="0"/>
      </w:pPr>
    </w:p>
    <w:p w14:paraId="79D6B42F" w14:textId="1CDCA9AF" w:rsidR="00101BF3" w:rsidRPr="00823AE2" w:rsidRDefault="00101BF3" w:rsidP="00634D37">
      <w:pPr>
        <w:tabs>
          <w:tab w:val="left" w:pos="0"/>
        </w:tabs>
        <w:spacing w:line="276" w:lineRule="auto"/>
        <w:jc w:val="both"/>
        <w:outlineLvl w:val="0"/>
      </w:pPr>
    </w:p>
    <w:sectPr w:rsidR="00101BF3" w:rsidRPr="00823AE2" w:rsidSect="009C69DE">
      <w:footerReference w:type="even" r:id="rId12"/>
      <w:footerReference w:type="default" r:id="rId13"/>
      <w:pgSz w:w="11900" w:h="16840"/>
      <w:pgMar w:top="1247" w:right="1247" w:bottom="1247" w:left="1247"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2F92" w14:textId="77777777" w:rsidR="00CE5D04" w:rsidRDefault="00CE5D04">
      <w:r>
        <w:separator/>
      </w:r>
    </w:p>
  </w:endnote>
  <w:endnote w:type="continuationSeparator" w:id="0">
    <w:p w14:paraId="3C34CC63" w14:textId="77777777" w:rsidR="00CE5D04" w:rsidRDefault="00CE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604532"/>
      <w:docPartObj>
        <w:docPartGallery w:val="Page Numbers (Bottom of Page)"/>
        <w:docPartUnique/>
      </w:docPartObj>
    </w:sdtPr>
    <w:sdtContent>
      <w:p w14:paraId="714A3F6A" w14:textId="77777777" w:rsidR="00482A19" w:rsidRDefault="00482A19" w:rsidP="00A75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FC782" w14:textId="77777777" w:rsidR="00482A19" w:rsidRDefault="00482A19" w:rsidP="009C69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923059"/>
      <w:docPartObj>
        <w:docPartGallery w:val="Page Numbers (Bottom of Page)"/>
        <w:docPartUnique/>
      </w:docPartObj>
    </w:sdtPr>
    <w:sdtContent>
      <w:p w14:paraId="21F4F405" w14:textId="77777777" w:rsidR="00482A19" w:rsidRDefault="00482A19" w:rsidP="00A75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4236EA" w14:textId="77777777" w:rsidR="00482A19" w:rsidRDefault="00482A19" w:rsidP="009C69DE">
    <w:pPr>
      <w:ind w:right="360"/>
      <w:jc w:val="center"/>
    </w:pPr>
  </w:p>
  <w:p w14:paraId="00418A5A" w14:textId="77777777" w:rsidR="00482A19" w:rsidRDefault="00482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9242008"/>
      <w:docPartObj>
        <w:docPartGallery w:val="Page Numbers (Bottom of Page)"/>
        <w:docPartUnique/>
      </w:docPartObj>
    </w:sdtPr>
    <w:sdtContent>
      <w:p w14:paraId="3DB2A09E" w14:textId="1588180A" w:rsidR="00482A19" w:rsidRDefault="00482A19" w:rsidP="00A75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79CAE" w14:textId="77777777" w:rsidR="00482A19" w:rsidRDefault="00482A19" w:rsidP="009C69D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5404181"/>
      <w:docPartObj>
        <w:docPartGallery w:val="Page Numbers (Bottom of Page)"/>
        <w:docPartUnique/>
      </w:docPartObj>
    </w:sdtPr>
    <w:sdtContent>
      <w:p w14:paraId="3E8A6E46" w14:textId="35D4AFD4" w:rsidR="00482A19" w:rsidRDefault="00482A19" w:rsidP="00A75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68B7DB5" w14:textId="4FA8BC8E" w:rsidR="00482A19" w:rsidRDefault="00482A19" w:rsidP="009C69DE">
    <w:pPr>
      <w:ind w:right="360"/>
      <w:jc w:val="center"/>
    </w:pPr>
  </w:p>
  <w:p w14:paraId="60628DC0" w14:textId="77777777" w:rsidR="00482A19" w:rsidRDefault="00482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BF339" w14:textId="77777777" w:rsidR="00CE5D04" w:rsidRDefault="00CE5D04">
      <w:r>
        <w:separator/>
      </w:r>
    </w:p>
  </w:footnote>
  <w:footnote w:type="continuationSeparator" w:id="0">
    <w:p w14:paraId="0617908A" w14:textId="77777777" w:rsidR="00CE5D04" w:rsidRDefault="00CE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1518065"/>
      <w:docPartObj>
        <w:docPartGallery w:val="Page Numbers (Top of Page)"/>
        <w:docPartUnique/>
      </w:docPartObj>
    </w:sdtPr>
    <w:sdtContent>
      <w:p w14:paraId="2AC87B36" w14:textId="68818AAC" w:rsidR="00482A19" w:rsidRDefault="00482A19" w:rsidP="00E847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CB1A9B" w14:textId="77777777" w:rsidR="00482A19" w:rsidRDefault="00482A19" w:rsidP="00F622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5094574"/>
      <w:docPartObj>
        <w:docPartGallery w:val="Page Numbers (Top of Page)"/>
        <w:docPartUnique/>
      </w:docPartObj>
    </w:sdtPr>
    <w:sdtContent>
      <w:p w14:paraId="17D849C1" w14:textId="0C2A1BD0" w:rsidR="00482A19" w:rsidRDefault="00482A19" w:rsidP="00E847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4F6B69" w14:textId="77777777" w:rsidR="00482A19" w:rsidRDefault="00482A19" w:rsidP="00F622B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276D"/>
    <w:multiLevelType w:val="multilevel"/>
    <w:tmpl w:val="776A7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3C2E48"/>
    <w:multiLevelType w:val="hybridMultilevel"/>
    <w:tmpl w:val="551C7C6C"/>
    <w:lvl w:ilvl="0" w:tplc="FE8CFE3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67042"/>
    <w:multiLevelType w:val="hybridMultilevel"/>
    <w:tmpl w:val="E19E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B223A"/>
    <w:multiLevelType w:val="multilevel"/>
    <w:tmpl w:val="672A1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9745FB8"/>
    <w:multiLevelType w:val="hybridMultilevel"/>
    <w:tmpl w:val="C6F66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23"/>
    <w:rsid w:val="00003F6B"/>
    <w:rsid w:val="00004415"/>
    <w:rsid w:val="000059E0"/>
    <w:rsid w:val="00006039"/>
    <w:rsid w:val="00011137"/>
    <w:rsid w:val="0001143C"/>
    <w:rsid w:val="0001335B"/>
    <w:rsid w:val="00013511"/>
    <w:rsid w:val="00013D31"/>
    <w:rsid w:val="000140A4"/>
    <w:rsid w:val="00016E21"/>
    <w:rsid w:val="000177C8"/>
    <w:rsid w:val="0002022D"/>
    <w:rsid w:val="00022F43"/>
    <w:rsid w:val="000238A9"/>
    <w:rsid w:val="0002494A"/>
    <w:rsid w:val="00024F52"/>
    <w:rsid w:val="00027F18"/>
    <w:rsid w:val="00042B84"/>
    <w:rsid w:val="00042BF1"/>
    <w:rsid w:val="00045948"/>
    <w:rsid w:val="000469BF"/>
    <w:rsid w:val="00052144"/>
    <w:rsid w:val="00052D96"/>
    <w:rsid w:val="000530EB"/>
    <w:rsid w:val="00055A33"/>
    <w:rsid w:val="000560D1"/>
    <w:rsid w:val="00057016"/>
    <w:rsid w:val="00057D0A"/>
    <w:rsid w:val="00060A4D"/>
    <w:rsid w:val="000705D4"/>
    <w:rsid w:val="0007263E"/>
    <w:rsid w:val="00076722"/>
    <w:rsid w:val="000814F9"/>
    <w:rsid w:val="00083016"/>
    <w:rsid w:val="00086C8B"/>
    <w:rsid w:val="00086F1B"/>
    <w:rsid w:val="00094EDF"/>
    <w:rsid w:val="00095278"/>
    <w:rsid w:val="000A0027"/>
    <w:rsid w:val="000A6B67"/>
    <w:rsid w:val="000A762A"/>
    <w:rsid w:val="000B1CE0"/>
    <w:rsid w:val="000C49E2"/>
    <w:rsid w:val="000C5B11"/>
    <w:rsid w:val="000C6930"/>
    <w:rsid w:val="000C6D19"/>
    <w:rsid w:val="000D0A3E"/>
    <w:rsid w:val="000D662C"/>
    <w:rsid w:val="000E04AC"/>
    <w:rsid w:val="000E6710"/>
    <w:rsid w:val="000E71A5"/>
    <w:rsid w:val="001019E5"/>
    <w:rsid w:val="00101BF3"/>
    <w:rsid w:val="00102FC4"/>
    <w:rsid w:val="001033A6"/>
    <w:rsid w:val="00111031"/>
    <w:rsid w:val="00111DDA"/>
    <w:rsid w:val="0011459C"/>
    <w:rsid w:val="00125E5A"/>
    <w:rsid w:val="00130FE9"/>
    <w:rsid w:val="00136B2A"/>
    <w:rsid w:val="00143D07"/>
    <w:rsid w:val="00145066"/>
    <w:rsid w:val="00165A86"/>
    <w:rsid w:val="00182A6F"/>
    <w:rsid w:val="001914C8"/>
    <w:rsid w:val="00194FE7"/>
    <w:rsid w:val="001A4928"/>
    <w:rsid w:val="001B46D0"/>
    <w:rsid w:val="001B5B01"/>
    <w:rsid w:val="001C1EE9"/>
    <w:rsid w:val="001C4C48"/>
    <w:rsid w:val="001C62A2"/>
    <w:rsid w:val="001C62BD"/>
    <w:rsid w:val="001F1A9C"/>
    <w:rsid w:val="001F209E"/>
    <w:rsid w:val="001F30FB"/>
    <w:rsid w:val="001F56FD"/>
    <w:rsid w:val="00202A77"/>
    <w:rsid w:val="002040E4"/>
    <w:rsid w:val="00204F9F"/>
    <w:rsid w:val="0020776A"/>
    <w:rsid w:val="00207D90"/>
    <w:rsid w:val="00214BC1"/>
    <w:rsid w:val="00223F77"/>
    <w:rsid w:val="00232A1A"/>
    <w:rsid w:val="00234F81"/>
    <w:rsid w:val="002446B7"/>
    <w:rsid w:val="00252D9D"/>
    <w:rsid w:val="00254E1B"/>
    <w:rsid w:val="00257466"/>
    <w:rsid w:val="002611AC"/>
    <w:rsid w:val="00267DAA"/>
    <w:rsid w:val="00267EE5"/>
    <w:rsid w:val="00274042"/>
    <w:rsid w:val="00276AD2"/>
    <w:rsid w:val="00281AC3"/>
    <w:rsid w:val="002865C6"/>
    <w:rsid w:val="00286C8E"/>
    <w:rsid w:val="002A1213"/>
    <w:rsid w:val="002A2C5B"/>
    <w:rsid w:val="002A30D3"/>
    <w:rsid w:val="002A56C6"/>
    <w:rsid w:val="002A61BD"/>
    <w:rsid w:val="002B07F8"/>
    <w:rsid w:val="002B3735"/>
    <w:rsid w:val="002B58A7"/>
    <w:rsid w:val="002C033C"/>
    <w:rsid w:val="002C06FB"/>
    <w:rsid w:val="002D04BC"/>
    <w:rsid w:val="002D2A49"/>
    <w:rsid w:val="002D2D99"/>
    <w:rsid w:val="002D3E0A"/>
    <w:rsid w:val="002D42CC"/>
    <w:rsid w:val="002D44D3"/>
    <w:rsid w:val="002D69D1"/>
    <w:rsid w:val="002D786C"/>
    <w:rsid w:val="002E2C18"/>
    <w:rsid w:val="002E2EA5"/>
    <w:rsid w:val="002E5493"/>
    <w:rsid w:val="002E66F7"/>
    <w:rsid w:val="002F79BC"/>
    <w:rsid w:val="00304D91"/>
    <w:rsid w:val="00304FFE"/>
    <w:rsid w:val="00306EF1"/>
    <w:rsid w:val="0031455B"/>
    <w:rsid w:val="0032198D"/>
    <w:rsid w:val="003272F7"/>
    <w:rsid w:val="00331F50"/>
    <w:rsid w:val="00331FB4"/>
    <w:rsid w:val="00332058"/>
    <w:rsid w:val="0033330C"/>
    <w:rsid w:val="00334DDF"/>
    <w:rsid w:val="00336461"/>
    <w:rsid w:val="003369EB"/>
    <w:rsid w:val="00336BF6"/>
    <w:rsid w:val="00343A59"/>
    <w:rsid w:val="00344D2B"/>
    <w:rsid w:val="00354433"/>
    <w:rsid w:val="00355229"/>
    <w:rsid w:val="003577E7"/>
    <w:rsid w:val="003659DB"/>
    <w:rsid w:val="00367A28"/>
    <w:rsid w:val="00373C47"/>
    <w:rsid w:val="003770B5"/>
    <w:rsid w:val="003776A9"/>
    <w:rsid w:val="00380F00"/>
    <w:rsid w:val="0038104E"/>
    <w:rsid w:val="00383145"/>
    <w:rsid w:val="0039447D"/>
    <w:rsid w:val="00395C4D"/>
    <w:rsid w:val="003A52FB"/>
    <w:rsid w:val="003A6666"/>
    <w:rsid w:val="003B1050"/>
    <w:rsid w:val="003B3864"/>
    <w:rsid w:val="003B4F5C"/>
    <w:rsid w:val="003B5DBC"/>
    <w:rsid w:val="003B6EF0"/>
    <w:rsid w:val="003D01AF"/>
    <w:rsid w:val="003D0335"/>
    <w:rsid w:val="003D5DE4"/>
    <w:rsid w:val="003E04C2"/>
    <w:rsid w:val="003E3358"/>
    <w:rsid w:val="003E6B26"/>
    <w:rsid w:val="0040454E"/>
    <w:rsid w:val="00413BC5"/>
    <w:rsid w:val="00416AE7"/>
    <w:rsid w:val="0042589C"/>
    <w:rsid w:val="00425930"/>
    <w:rsid w:val="00426984"/>
    <w:rsid w:val="00432324"/>
    <w:rsid w:val="00436C0C"/>
    <w:rsid w:val="00440DDF"/>
    <w:rsid w:val="00440F16"/>
    <w:rsid w:val="004415FB"/>
    <w:rsid w:val="00441DA5"/>
    <w:rsid w:val="00443316"/>
    <w:rsid w:val="00446E5E"/>
    <w:rsid w:val="004525F3"/>
    <w:rsid w:val="00455E60"/>
    <w:rsid w:val="004611C6"/>
    <w:rsid w:val="0046135D"/>
    <w:rsid w:val="0046187C"/>
    <w:rsid w:val="00464C35"/>
    <w:rsid w:val="00466171"/>
    <w:rsid w:val="00482A19"/>
    <w:rsid w:val="00483965"/>
    <w:rsid w:val="004A0BE5"/>
    <w:rsid w:val="004A5446"/>
    <w:rsid w:val="004A54E5"/>
    <w:rsid w:val="004A6173"/>
    <w:rsid w:val="004B1175"/>
    <w:rsid w:val="004B3E24"/>
    <w:rsid w:val="004B4FC2"/>
    <w:rsid w:val="004D4990"/>
    <w:rsid w:val="004D5FB3"/>
    <w:rsid w:val="004E0C42"/>
    <w:rsid w:val="004E5DCE"/>
    <w:rsid w:val="004F7459"/>
    <w:rsid w:val="004F7BAC"/>
    <w:rsid w:val="005008AE"/>
    <w:rsid w:val="00503B81"/>
    <w:rsid w:val="005052CE"/>
    <w:rsid w:val="00506957"/>
    <w:rsid w:val="00510FF3"/>
    <w:rsid w:val="0051173E"/>
    <w:rsid w:val="005209CA"/>
    <w:rsid w:val="005209DC"/>
    <w:rsid w:val="0052337D"/>
    <w:rsid w:val="005242B7"/>
    <w:rsid w:val="005271E3"/>
    <w:rsid w:val="0053062E"/>
    <w:rsid w:val="00536CC1"/>
    <w:rsid w:val="005431DF"/>
    <w:rsid w:val="005453C0"/>
    <w:rsid w:val="00557FB1"/>
    <w:rsid w:val="00561DF4"/>
    <w:rsid w:val="005636D0"/>
    <w:rsid w:val="0057224F"/>
    <w:rsid w:val="00572458"/>
    <w:rsid w:val="00572EAB"/>
    <w:rsid w:val="005743C8"/>
    <w:rsid w:val="00574C86"/>
    <w:rsid w:val="00580DF3"/>
    <w:rsid w:val="00583411"/>
    <w:rsid w:val="00583B33"/>
    <w:rsid w:val="00590DB1"/>
    <w:rsid w:val="0059442F"/>
    <w:rsid w:val="005970B5"/>
    <w:rsid w:val="005B3254"/>
    <w:rsid w:val="005B3D7A"/>
    <w:rsid w:val="005B3E33"/>
    <w:rsid w:val="005B4A27"/>
    <w:rsid w:val="005C4F22"/>
    <w:rsid w:val="005C5864"/>
    <w:rsid w:val="005D016C"/>
    <w:rsid w:val="005D3055"/>
    <w:rsid w:val="005D58B3"/>
    <w:rsid w:val="005D7900"/>
    <w:rsid w:val="005E4B04"/>
    <w:rsid w:val="005E6E08"/>
    <w:rsid w:val="005F653A"/>
    <w:rsid w:val="005F67A0"/>
    <w:rsid w:val="00603C09"/>
    <w:rsid w:val="00615BE8"/>
    <w:rsid w:val="00617560"/>
    <w:rsid w:val="006263C3"/>
    <w:rsid w:val="00626B53"/>
    <w:rsid w:val="0062734E"/>
    <w:rsid w:val="00634C6F"/>
    <w:rsid w:val="00634D37"/>
    <w:rsid w:val="00643B90"/>
    <w:rsid w:val="006445F4"/>
    <w:rsid w:val="006467E6"/>
    <w:rsid w:val="00647903"/>
    <w:rsid w:val="00647D5E"/>
    <w:rsid w:val="00652158"/>
    <w:rsid w:val="006557FA"/>
    <w:rsid w:val="006607C1"/>
    <w:rsid w:val="00661048"/>
    <w:rsid w:val="00661195"/>
    <w:rsid w:val="00663726"/>
    <w:rsid w:val="00667812"/>
    <w:rsid w:val="00671F99"/>
    <w:rsid w:val="00673055"/>
    <w:rsid w:val="00675112"/>
    <w:rsid w:val="00691988"/>
    <w:rsid w:val="0069511A"/>
    <w:rsid w:val="006B6F1B"/>
    <w:rsid w:val="006B755A"/>
    <w:rsid w:val="006C58B3"/>
    <w:rsid w:val="006C61F7"/>
    <w:rsid w:val="006C7AB8"/>
    <w:rsid w:val="006D1228"/>
    <w:rsid w:val="006D3B94"/>
    <w:rsid w:val="006D50CD"/>
    <w:rsid w:val="006D7FAD"/>
    <w:rsid w:val="006E1016"/>
    <w:rsid w:val="006E3323"/>
    <w:rsid w:val="006E51FC"/>
    <w:rsid w:val="006E79BA"/>
    <w:rsid w:val="006F0A57"/>
    <w:rsid w:val="006F251E"/>
    <w:rsid w:val="006F5135"/>
    <w:rsid w:val="00703172"/>
    <w:rsid w:val="007059F4"/>
    <w:rsid w:val="00723196"/>
    <w:rsid w:val="00741C09"/>
    <w:rsid w:val="00745432"/>
    <w:rsid w:val="007462FA"/>
    <w:rsid w:val="0075595F"/>
    <w:rsid w:val="0076040C"/>
    <w:rsid w:val="0076272E"/>
    <w:rsid w:val="00762987"/>
    <w:rsid w:val="00765CFD"/>
    <w:rsid w:val="007730E2"/>
    <w:rsid w:val="00776186"/>
    <w:rsid w:val="0077742B"/>
    <w:rsid w:val="0078041E"/>
    <w:rsid w:val="007854B3"/>
    <w:rsid w:val="00786010"/>
    <w:rsid w:val="00786472"/>
    <w:rsid w:val="0079740F"/>
    <w:rsid w:val="007A2D7B"/>
    <w:rsid w:val="007A3498"/>
    <w:rsid w:val="007A3D28"/>
    <w:rsid w:val="007A42C5"/>
    <w:rsid w:val="007A4AA6"/>
    <w:rsid w:val="007B175A"/>
    <w:rsid w:val="007B5E44"/>
    <w:rsid w:val="007C108D"/>
    <w:rsid w:val="007D5D35"/>
    <w:rsid w:val="007D669F"/>
    <w:rsid w:val="007D677D"/>
    <w:rsid w:val="007D7B2A"/>
    <w:rsid w:val="007E23AC"/>
    <w:rsid w:val="00800A20"/>
    <w:rsid w:val="00815E7A"/>
    <w:rsid w:val="00821130"/>
    <w:rsid w:val="00821730"/>
    <w:rsid w:val="00823AE2"/>
    <w:rsid w:val="00830523"/>
    <w:rsid w:val="00833226"/>
    <w:rsid w:val="008367B8"/>
    <w:rsid w:val="00840673"/>
    <w:rsid w:val="008418C0"/>
    <w:rsid w:val="00845A12"/>
    <w:rsid w:val="0085485D"/>
    <w:rsid w:val="00855B63"/>
    <w:rsid w:val="00855CC4"/>
    <w:rsid w:val="00857CB2"/>
    <w:rsid w:val="0086042C"/>
    <w:rsid w:val="008656C6"/>
    <w:rsid w:val="00870B4E"/>
    <w:rsid w:val="00871605"/>
    <w:rsid w:val="0087292C"/>
    <w:rsid w:val="00874A2B"/>
    <w:rsid w:val="00875B05"/>
    <w:rsid w:val="00876499"/>
    <w:rsid w:val="00880A2B"/>
    <w:rsid w:val="008817F1"/>
    <w:rsid w:val="00885C54"/>
    <w:rsid w:val="00890E6D"/>
    <w:rsid w:val="00893EDF"/>
    <w:rsid w:val="0089468A"/>
    <w:rsid w:val="008A3DD8"/>
    <w:rsid w:val="008B397B"/>
    <w:rsid w:val="008B619D"/>
    <w:rsid w:val="008C452A"/>
    <w:rsid w:val="008C7FAE"/>
    <w:rsid w:val="008D6EC9"/>
    <w:rsid w:val="008E08FF"/>
    <w:rsid w:val="008F7985"/>
    <w:rsid w:val="008F7B4D"/>
    <w:rsid w:val="009009ED"/>
    <w:rsid w:val="00905EAE"/>
    <w:rsid w:val="009157E3"/>
    <w:rsid w:val="00916AB8"/>
    <w:rsid w:val="00920ACB"/>
    <w:rsid w:val="00927A22"/>
    <w:rsid w:val="009411AD"/>
    <w:rsid w:val="00942000"/>
    <w:rsid w:val="00950FC1"/>
    <w:rsid w:val="0095208A"/>
    <w:rsid w:val="00957E61"/>
    <w:rsid w:val="00962E04"/>
    <w:rsid w:val="00966410"/>
    <w:rsid w:val="009715F9"/>
    <w:rsid w:val="00991CF4"/>
    <w:rsid w:val="00991E7C"/>
    <w:rsid w:val="009951C2"/>
    <w:rsid w:val="009977DD"/>
    <w:rsid w:val="009A258D"/>
    <w:rsid w:val="009B2E2B"/>
    <w:rsid w:val="009B3D1E"/>
    <w:rsid w:val="009B419A"/>
    <w:rsid w:val="009B7DD7"/>
    <w:rsid w:val="009C69DE"/>
    <w:rsid w:val="009D01E7"/>
    <w:rsid w:val="009D26CB"/>
    <w:rsid w:val="009D5E3E"/>
    <w:rsid w:val="009E1392"/>
    <w:rsid w:val="009E2551"/>
    <w:rsid w:val="009E77BB"/>
    <w:rsid w:val="009F00D1"/>
    <w:rsid w:val="009F13A3"/>
    <w:rsid w:val="009F7714"/>
    <w:rsid w:val="009F7715"/>
    <w:rsid w:val="00A03744"/>
    <w:rsid w:val="00A05669"/>
    <w:rsid w:val="00A10762"/>
    <w:rsid w:val="00A21F22"/>
    <w:rsid w:val="00A236B3"/>
    <w:rsid w:val="00A25131"/>
    <w:rsid w:val="00A47D70"/>
    <w:rsid w:val="00A55930"/>
    <w:rsid w:val="00A6367D"/>
    <w:rsid w:val="00A64E9B"/>
    <w:rsid w:val="00A7073E"/>
    <w:rsid w:val="00A70857"/>
    <w:rsid w:val="00A753FC"/>
    <w:rsid w:val="00A75B65"/>
    <w:rsid w:val="00A771E1"/>
    <w:rsid w:val="00AA0DE8"/>
    <w:rsid w:val="00AA5419"/>
    <w:rsid w:val="00AA6008"/>
    <w:rsid w:val="00AB61C3"/>
    <w:rsid w:val="00AC5DB2"/>
    <w:rsid w:val="00AD0F6A"/>
    <w:rsid w:val="00AD14F7"/>
    <w:rsid w:val="00AD64CA"/>
    <w:rsid w:val="00AE2967"/>
    <w:rsid w:val="00AE333F"/>
    <w:rsid w:val="00AE6325"/>
    <w:rsid w:val="00AE701D"/>
    <w:rsid w:val="00AE7B1D"/>
    <w:rsid w:val="00AF14C8"/>
    <w:rsid w:val="00AF4EFC"/>
    <w:rsid w:val="00AF704B"/>
    <w:rsid w:val="00B03C6C"/>
    <w:rsid w:val="00B13C6F"/>
    <w:rsid w:val="00B147E6"/>
    <w:rsid w:val="00B243B3"/>
    <w:rsid w:val="00B309E6"/>
    <w:rsid w:val="00B420B6"/>
    <w:rsid w:val="00B42FAB"/>
    <w:rsid w:val="00B43B08"/>
    <w:rsid w:val="00B544CC"/>
    <w:rsid w:val="00B550EE"/>
    <w:rsid w:val="00B63FDD"/>
    <w:rsid w:val="00B64FDC"/>
    <w:rsid w:val="00B76345"/>
    <w:rsid w:val="00B8310F"/>
    <w:rsid w:val="00B92EDD"/>
    <w:rsid w:val="00BB14E5"/>
    <w:rsid w:val="00BB2F48"/>
    <w:rsid w:val="00BB34B0"/>
    <w:rsid w:val="00BB6549"/>
    <w:rsid w:val="00BC139F"/>
    <w:rsid w:val="00BC3AE0"/>
    <w:rsid w:val="00BD2A66"/>
    <w:rsid w:val="00BD46C9"/>
    <w:rsid w:val="00BE2B9A"/>
    <w:rsid w:val="00BE3D18"/>
    <w:rsid w:val="00BF2E65"/>
    <w:rsid w:val="00C011D0"/>
    <w:rsid w:val="00C051C0"/>
    <w:rsid w:val="00C07936"/>
    <w:rsid w:val="00C13908"/>
    <w:rsid w:val="00C211E3"/>
    <w:rsid w:val="00C27F46"/>
    <w:rsid w:val="00C30A3C"/>
    <w:rsid w:val="00C3270C"/>
    <w:rsid w:val="00C405CC"/>
    <w:rsid w:val="00C42B6C"/>
    <w:rsid w:val="00C453DE"/>
    <w:rsid w:val="00C555CF"/>
    <w:rsid w:val="00C60E4E"/>
    <w:rsid w:val="00C64741"/>
    <w:rsid w:val="00C71B1D"/>
    <w:rsid w:val="00C72910"/>
    <w:rsid w:val="00C77A0C"/>
    <w:rsid w:val="00C86554"/>
    <w:rsid w:val="00C86E30"/>
    <w:rsid w:val="00C870AB"/>
    <w:rsid w:val="00C92043"/>
    <w:rsid w:val="00C962F1"/>
    <w:rsid w:val="00C9778E"/>
    <w:rsid w:val="00CA0D2E"/>
    <w:rsid w:val="00CA0D7F"/>
    <w:rsid w:val="00CA56EC"/>
    <w:rsid w:val="00CA5F28"/>
    <w:rsid w:val="00CB141D"/>
    <w:rsid w:val="00CB2300"/>
    <w:rsid w:val="00CB5771"/>
    <w:rsid w:val="00CC28C1"/>
    <w:rsid w:val="00CC5690"/>
    <w:rsid w:val="00CD1568"/>
    <w:rsid w:val="00CD284D"/>
    <w:rsid w:val="00CD314B"/>
    <w:rsid w:val="00CE041F"/>
    <w:rsid w:val="00CE3237"/>
    <w:rsid w:val="00CE5D04"/>
    <w:rsid w:val="00CE7287"/>
    <w:rsid w:val="00CE774A"/>
    <w:rsid w:val="00CF5E35"/>
    <w:rsid w:val="00D041CF"/>
    <w:rsid w:val="00D047DB"/>
    <w:rsid w:val="00D10886"/>
    <w:rsid w:val="00D32361"/>
    <w:rsid w:val="00D325F3"/>
    <w:rsid w:val="00D43044"/>
    <w:rsid w:val="00D454F3"/>
    <w:rsid w:val="00D464AF"/>
    <w:rsid w:val="00D5334B"/>
    <w:rsid w:val="00D543D2"/>
    <w:rsid w:val="00D55E4E"/>
    <w:rsid w:val="00D60D0E"/>
    <w:rsid w:val="00D627DC"/>
    <w:rsid w:val="00D6522F"/>
    <w:rsid w:val="00D74024"/>
    <w:rsid w:val="00D80E47"/>
    <w:rsid w:val="00D812AE"/>
    <w:rsid w:val="00D8497F"/>
    <w:rsid w:val="00D921FA"/>
    <w:rsid w:val="00D9366F"/>
    <w:rsid w:val="00DA1CD3"/>
    <w:rsid w:val="00DA52B9"/>
    <w:rsid w:val="00DA68A0"/>
    <w:rsid w:val="00DA69FD"/>
    <w:rsid w:val="00DA6A19"/>
    <w:rsid w:val="00DA78D9"/>
    <w:rsid w:val="00DB090B"/>
    <w:rsid w:val="00DC24C3"/>
    <w:rsid w:val="00DC34A7"/>
    <w:rsid w:val="00DC4A5E"/>
    <w:rsid w:val="00DC645A"/>
    <w:rsid w:val="00DC6A32"/>
    <w:rsid w:val="00DC7E68"/>
    <w:rsid w:val="00DD1673"/>
    <w:rsid w:val="00DD4FFB"/>
    <w:rsid w:val="00DE579D"/>
    <w:rsid w:val="00DE7187"/>
    <w:rsid w:val="00DF3B0E"/>
    <w:rsid w:val="00DF5F98"/>
    <w:rsid w:val="00DF6A39"/>
    <w:rsid w:val="00E03841"/>
    <w:rsid w:val="00E07C46"/>
    <w:rsid w:val="00E14C59"/>
    <w:rsid w:val="00E15B82"/>
    <w:rsid w:val="00E15EE4"/>
    <w:rsid w:val="00E16911"/>
    <w:rsid w:val="00E205D4"/>
    <w:rsid w:val="00E20A10"/>
    <w:rsid w:val="00E32959"/>
    <w:rsid w:val="00E3463D"/>
    <w:rsid w:val="00E3543B"/>
    <w:rsid w:val="00E37BF3"/>
    <w:rsid w:val="00E41A95"/>
    <w:rsid w:val="00E43A40"/>
    <w:rsid w:val="00E54959"/>
    <w:rsid w:val="00E565BE"/>
    <w:rsid w:val="00E60DCC"/>
    <w:rsid w:val="00E612DD"/>
    <w:rsid w:val="00E65670"/>
    <w:rsid w:val="00E65CC2"/>
    <w:rsid w:val="00E725D4"/>
    <w:rsid w:val="00E80295"/>
    <w:rsid w:val="00E8474E"/>
    <w:rsid w:val="00E87037"/>
    <w:rsid w:val="00E90367"/>
    <w:rsid w:val="00E90975"/>
    <w:rsid w:val="00E911F2"/>
    <w:rsid w:val="00E9242D"/>
    <w:rsid w:val="00E92F88"/>
    <w:rsid w:val="00E95542"/>
    <w:rsid w:val="00E9735E"/>
    <w:rsid w:val="00E97732"/>
    <w:rsid w:val="00EA329F"/>
    <w:rsid w:val="00EA4F9C"/>
    <w:rsid w:val="00EB4B8E"/>
    <w:rsid w:val="00EB789E"/>
    <w:rsid w:val="00EC415A"/>
    <w:rsid w:val="00ED3EFF"/>
    <w:rsid w:val="00EF0324"/>
    <w:rsid w:val="00EF364D"/>
    <w:rsid w:val="00EF3CA9"/>
    <w:rsid w:val="00F0045B"/>
    <w:rsid w:val="00F010B4"/>
    <w:rsid w:val="00F03216"/>
    <w:rsid w:val="00F04C53"/>
    <w:rsid w:val="00F04C94"/>
    <w:rsid w:val="00F07008"/>
    <w:rsid w:val="00F12630"/>
    <w:rsid w:val="00F12E41"/>
    <w:rsid w:val="00F21F04"/>
    <w:rsid w:val="00F44154"/>
    <w:rsid w:val="00F442E5"/>
    <w:rsid w:val="00F44A50"/>
    <w:rsid w:val="00F60D0F"/>
    <w:rsid w:val="00F622B3"/>
    <w:rsid w:val="00F653DD"/>
    <w:rsid w:val="00F73AE1"/>
    <w:rsid w:val="00F83A71"/>
    <w:rsid w:val="00F87B55"/>
    <w:rsid w:val="00FB0FE5"/>
    <w:rsid w:val="00FB2168"/>
    <w:rsid w:val="00FC0E9F"/>
    <w:rsid w:val="00FC1B67"/>
    <w:rsid w:val="00FC4576"/>
    <w:rsid w:val="00FC5951"/>
    <w:rsid w:val="00FD1635"/>
    <w:rsid w:val="00FD539B"/>
    <w:rsid w:val="00FD711F"/>
    <w:rsid w:val="00FE52C9"/>
    <w:rsid w:val="00FE554D"/>
    <w:rsid w:val="00FF3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2D989"/>
  <w15:docId w15:val="{C5050D1A-A459-3A44-BC4D-41D2939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7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6E3323"/>
  </w:style>
  <w:style w:type="paragraph" w:styleId="BalloonText">
    <w:name w:val="Balloon Text"/>
    <w:basedOn w:val="Normal"/>
    <w:link w:val="BalloonTextChar"/>
    <w:uiPriority w:val="99"/>
    <w:semiHidden/>
    <w:unhideWhenUsed/>
    <w:rsid w:val="006E33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332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D3B94"/>
    <w:rPr>
      <w:b/>
      <w:bCs/>
    </w:rPr>
  </w:style>
  <w:style w:type="character" w:customStyle="1" w:styleId="CommentSubjectChar">
    <w:name w:val="Comment Subject Char"/>
    <w:basedOn w:val="CommentTextChar"/>
    <w:link w:val="CommentSubject"/>
    <w:uiPriority w:val="99"/>
    <w:semiHidden/>
    <w:rsid w:val="006D3B94"/>
    <w:rPr>
      <w:b/>
      <w:bCs/>
      <w:sz w:val="20"/>
      <w:szCs w:val="20"/>
    </w:rPr>
  </w:style>
  <w:style w:type="character" w:styleId="PlaceholderText">
    <w:name w:val="Placeholder Text"/>
    <w:basedOn w:val="DefaultParagraphFont"/>
    <w:uiPriority w:val="99"/>
    <w:semiHidden/>
    <w:rsid w:val="003272F7"/>
    <w:rPr>
      <w:color w:val="808080"/>
    </w:rPr>
  </w:style>
  <w:style w:type="paragraph" w:styleId="Revision">
    <w:name w:val="Revision"/>
    <w:hidden/>
    <w:uiPriority w:val="99"/>
    <w:semiHidden/>
    <w:rsid w:val="003E3358"/>
  </w:style>
  <w:style w:type="paragraph" w:styleId="Header">
    <w:name w:val="header"/>
    <w:basedOn w:val="Normal"/>
    <w:link w:val="HeaderChar"/>
    <w:uiPriority w:val="99"/>
    <w:unhideWhenUsed/>
    <w:rsid w:val="00D6522F"/>
    <w:pPr>
      <w:tabs>
        <w:tab w:val="center" w:pos="4680"/>
        <w:tab w:val="right" w:pos="9360"/>
      </w:tabs>
    </w:pPr>
  </w:style>
  <w:style w:type="character" w:customStyle="1" w:styleId="HeaderChar">
    <w:name w:val="Header Char"/>
    <w:basedOn w:val="DefaultParagraphFont"/>
    <w:link w:val="Header"/>
    <w:uiPriority w:val="99"/>
    <w:rsid w:val="00D6522F"/>
  </w:style>
  <w:style w:type="paragraph" w:styleId="Footer">
    <w:name w:val="footer"/>
    <w:basedOn w:val="Normal"/>
    <w:link w:val="FooterChar"/>
    <w:uiPriority w:val="99"/>
    <w:unhideWhenUsed/>
    <w:rsid w:val="00D6522F"/>
    <w:pPr>
      <w:tabs>
        <w:tab w:val="center" w:pos="4680"/>
        <w:tab w:val="right" w:pos="9360"/>
      </w:tabs>
    </w:pPr>
  </w:style>
  <w:style w:type="character" w:customStyle="1" w:styleId="FooterChar">
    <w:name w:val="Footer Char"/>
    <w:basedOn w:val="DefaultParagraphFont"/>
    <w:link w:val="Footer"/>
    <w:uiPriority w:val="99"/>
    <w:rsid w:val="00D6522F"/>
  </w:style>
  <w:style w:type="paragraph" w:customStyle="1" w:styleId="EndNoteBibliography">
    <w:name w:val="EndNote Bibliography"/>
    <w:basedOn w:val="Normal"/>
    <w:link w:val="EndNoteBibliographyChar"/>
    <w:rsid w:val="00076722"/>
    <w:pPr>
      <w:spacing w:after="160" w:line="480" w:lineRule="auto"/>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076722"/>
    <w:rPr>
      <w:rFonts w:ascii="Calibri" w:eastAsiaTheme="minorHAnsi" w:hAnsi="Calibri" w:cs="Calibri"/>
      <w:noProof/>
      <w:sz w:val="22"/>
      <w:szCs w:val="22"/>
      <w:lang w:val="en-US"/>
    </w:rPr>
  </w:style>
  <w:style w:type="paragraph" w:customStyle="1" w:styleId="Title1">
    <w:name w:val="Title1"/>
    <w:basedOn w:val="Normal"/>
    <w:rsid w:val="00CE7287"/>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CE7287"/>
    <w:rPr>
      <w:color w:val="0000FF"/>
      <w:u w:val="single"/>
    </w:rPr>
  </w:style>
  <w:style w:type="paragraph" w:customStyle="1" w:styleId="desc">
    <w:name w:val="desc"/>
    <w:basedOn w:val="Normal"/>
    <w:rsid w:val="00CE7287"/>
    <w:pPr>
      <w:spacing w:before="100" w:beforeAutospacing="1" w:after="100" w:afterAutospacing="1"/>
    </w:pPr>
    <w:rPr>
      <w:rFonts w:ascii="Times New Roman" w:eastAsia="Times New Roman" w:hAnsi="Times New Roman" w:cs="Times New Roman"/>
      <w:lang w:val="en-US"/>
    </w:rPr>
  </w:style>
  <w:style w:type="paragraph" w:customStyle="1" w:styleId="details">
    <w:name w:val="details"/>
    <w:basedOn w:val="Normal"/>
    <w:rsid w:val="00CE7287"/>
    <w:pPr>
      <w:spacing w:before="100" w:beforeAutospacing="1" w:after="100" w:afterAutospacing="1"/>
    </w:pPr>
    <w:rPr>
      <w:rFonts w:ascii="Times New Roman" w:eastAsia="Times New Roman" w:hAnsi="Times New Roman" w:cs="Times New Roman"/>
      <w:lang w:val="en-US"/>
    </w:rPr>
  </w:style>
  <w:style w:type="character" w:customStyle="1" w:styleId="jrnl">
    <w:name w:val="jrnl"/>
    <w:basedOn w:val="DefaultParagraphFont"/>
    <w:rsid w:val="00CE7287"/>
  </w:style>
  <w:style w:type="character" w:styleId="PageNumber">
    <w:name w:val="page number"/>
    <w:basedOn w:val="DefaultParagraphFont"/>
    <w:uiPriority w:val="99"/>
    <w:semiHidden/>
    <w:unhideWhenUsed/>
    <w:rsid w:val="009C69DE"/>
  </w:style>
  <w:style w:type="paragraph" w:styleId="ListParagraph">
    <w:name w:val="List Paragraph"/>
    <w:basedOn w:val="Normal"/>
    <w:uiPriority w:val="34"/>
    <w:qFormat/>
    <w:rsid w:val="004A6173"/>
    <w:pPr>
      <w:ind w:left="720"/>
      <w:contextualSpacing/>
    </w:pPr>
  </w:style>
  <w:style w:type="paragraph" w:customStyle="1" w:styleId="Normal1">
    <w:name w:val="Normal1"/>
    <w:rsid w:val="000177C8"/>
    <w:pPr>
      <w:spacing w:after="160" w:line="259" w:lineRule="auto"/>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4F7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2282">
      <w:bodyDiv w:val="1"/>
      <w:marLeft w:val="0"/>
      <w:marRight w:val="0"/>
      <w:marTop w:val="0"/>
      <w:marBottom w:val="0"/>
      <w:divBdr>
        <w:top w:val="none" w:sz="0" w:space="0" w:color="auto"/>
        <w:left w:val="none" w:sz="0" w:space="0" w:color="auto"/>
        <w:bottom w:val="none" w:sz="0" w:space="0" w:color="auto"/>
        <w:right w:val="none" w:sz="0" w:space="0" w:color="auto"/>
      </w:divBdr>
    </w:div>
    <w:div w:id="58291191">
      <w:bodyDiv w:val="1"/>
      <w:marLeft w:val="0"/>
      <w:marRight w:val="0"/>
      <w:marTop w:val="0"/>
      <w:marBottom w:val="0"/>
      <w:divBdr>
        <w:top w:val="none" w:sz="0" w:space="0" w:color="auto"/>
        <w:left w:val="none" w:sz="0" w:space="0" w:color="auto"/>
        <w:bottom w:val="none" w:sz="0" w:space="0" w:color="auto"/>
        <w:right w:val="none" w:sz="0" w:space="0" w:color="auto"/>
      </w:divBdr>
    </w:div>
    <w:div w:id="192153367">
      <w:bodyDiv w:val="1"/>
      <w:marLeft w:val="0"/>
      <w:marRight w:val="0"/>
      <w:marTop w:val="0"/>
      <w:marBottom w:val="0"/>
      <w:divBdr>
        <w:top w:val="none" w:sz="0" w:space="0" w:color="auto"/>
        <w:left w:val="none" w:sz="0" w:space="0" w:color="auto"/>
        <w:bottom w:val="none" w:sz="0" w:space="0" w:color="auto"/>
        <w:right w:val="none" w:sz="0" w:space="0" w:color="auto"/>
      </w:divBdr>
    </w:div>
    <w:div w:id="244073358">
      <w:bodyDiv w:val="1"/>
      <w:marLeft w:val="0"/>
      <w:marRight w:val="0"/>
      <w:marTop w:val="0"/>
      <w:marBottom w:val="0"/>
      <w:divBdr>
        <w:top w:val="none" w:sz="0" w:space="0" w:color="auto"/>
        <w:left w:val="none" w:sz="0" w:space="0" w:color="auto"/>
        <w:bottom w:val="none" w:sz="0" w:space="0" w:color="auto"/>
        <w:right w:val="none" w:sz="0" w:space="0" w:color="auto"/>
      </w:divBdr>
    </w:div>
    <w:div w:id="260527508">
      <w:bodyDiv w:val="1"/>
      <w:marLeft w:val="0"/>
      <w:marRight w:val="0"/>
      <w:marTop w:val="0"/>
      <w:marBottom w:val="0"/>
      <w:divBdr>
        <w:top w:val="none" w:sz="0" w:space="0" w:color="auto"/>
        <w:left w:val="none" w:sz="0" w:space="0" w:color="auto"/>
        <w:bottom w:val="none" w:sz="0" w:space="0" w:color="auto"/>
        <w:right w:val="none" w:sz="0" w:space="0" w:color="auto"/>
      </w:divBdr>
      <w:divsChild>
        <w:div w:id="1754232140">
          <w:marLeft w:val="0"/>
          <w:marRight w:val="0"/>
          <w:marTop w:val="34"/>
          <w:marBottom w:val="34"/>
          <w:divBdr>
            <w:top w:val="none" w:sz="0" w:space="0" w:color="auto"/>
            <w:left w:val="none" w:sz="0" w:space="0" w:color="auto"/>
            <w:bottom w:val="none" w:sz="0" w:space="0" w:color="auto"/>
            <w:right w:val="none" w:sz="0" w:space="0" w:color="auto"/>
          </w:divBdr>
        </w:div>
      </w:divsChild>
    </w:div>
    <w:div w:id="475144229">
      <w:bodyDiv w:val="1"/>
      <w:marLeft w:val="0"/>
      <w:marRight w:val="0"/>
      <w:marTop w:val="0"/>
      <w:marBottom w:val="0"/>
      <w:divBdr>
        <w:top w:val="none" w:sz="0" w:space="0" w:color="auto"/>
        <w:left w:val="none" w:sz="0" w:space="0" w:color="auto"/>
        <w:bottom w:val="none" w:sz="0" w:space="0" w:color="auto"/>
        <w:right w:val="none" w:sz="0" w:space="0" w:color="auto"/>
      </w:divBdr>
    </w:div>
    <w:div w:id="545021569">
      <w:bodyDiv w:val="1"/>
      <w:marLeft w:val="0"/>
      <w:marRight w:val="0"/>
      <w:marTop w:val="0"/>
      <w:marBottom w:val="0"/>
      <w:divBdr>
        <w:top w:val="none" w:sz="0" w:space="0" w:color="auto"/>
        <w:left w:val="none" w:sz="0" w:space="0" w:color="auto"/>
        <w:bottom w:val="none" w:sz="0" w:space="0" w:color="auto"/>
        <w:right w:val="none" w:sz="0" w:space="0" w:color="auto"/>
      </w:divBdr>
    </w:div>
    <w:div w:id="546600709">
      <w:bodyDiv w:val="1"/>
      <w:marLeft w:val="0"/>
      <w:marRight w:val="0"/>
      <w:marTop w:val="0"/>
      <w:marBottom w:val="0"/>
      <w:divBdr>
        <w:top w:val="none" w:sz="0" w:space="0" w:color="auto"/>
        <w:left w:val="none" w:sz="0" w:space="0" w:color="auto"/>
        <w:bottom w:val="none" w:sz="0" w:space="0" w:color="auto"/>
        <w:right w:val="none" w:sz="0" w:space="0" w:color="auto"/>
      </w:divBdr>
    </w:div>
    <w:div w:id="607275906">
      <w:bodyDiv w:val="1"/>
      <w:marLeft w:val="0"/>
      <w:marRight w:val="0"/>
      <w:marTop w:val="0"/>
      <w:marBottom w:val="0"/>
      <w:divBdr>
        <w:top w:val="none" w:sz="0" w:space="0" w:color="auto"/>
        <w:left w:val="none" w:sz="0" w:space="0" w:color="auto"/>
        <w:bottom w:val="none" w:sz="0" w:space="0" w:color="auto"/>
        <w:right w:val="none" w:sz="0" w:space="0" w:color="auto"/>
      </w:divBdr>
    </w:div>
    <w:div w:id="609045657">
      <w:bodyDiv w:val="1"/>
      <w:marLeft w:val="0"/>
      <w:marRight w:val="0"/>
      <w:marTop w:val="0"/>
      <w:marBottom w:val="0"/>
      <w:divBdr>
        <w:top w:val="none" w:sz="0" w:space="0" w:color="auto"/>
        <w:left w:val="none" w:sz="0" w:space="0" w:color="auto"/>
        <w:bottom w:val="none" w:sz="0" w:space="0" w:color="auto"/>
        <w:right w:val="none" w:sz="0" w:space="0" w:color="auto"/>
      </w:divBdr>
    </w:div>
    <w:div w:id="613483870">
      <w:bodyDiv w:val="1"/>
      <w:marLeft w:val="0"/>
      <w:marRight w:val="0"/>
      <w:marTop w:val="0"/>
      <w:marBottom w:val="0"/>
      <w:divBdr>
        <w:top w:val="none" w:sz="0" w:space="0" w:color="auto"/>
        <w:left w:val="none" w:sz="0" w:space="0" w:color="auto"/>
        <w:bottom w:val="none" w:sz="0" w:space="0" w:color="auto"/>
        <w:right w:val="none" w:sz="0" w:space="0" w:color="auto"/>
      </w:divBdr>
    </w:div>
    <w:div w:id="622539828">
      <w:bodyDiv w:val="1"/>
      <w:marLeft w:val="0"/>
      <w:marRight w:val="0"/>
      <w:marTop w:val="0"/>
      <w:marBottom w:val="0"/>
      <w:divBdr>
        <w:top w:val="none" w:sz="0" w:space="0" w:color="auto"/>
        <w:left w:val="none" w:sz="0" w:space="0" w:color="auto"/>
        <w:bottom w:val="none" w:sz="0" w:space="0" w:color="auto"/>
        <w:right w:val="none" w:sz="0" w:space="0" w:color="auto"/>
      </w:divBdr>
    </w:div>
    <w:div w:id="623735538">
      <w:bodyDiv w:val="1"/>
      <w:marLeft w:val="0"/>
      <w:marRight w:val="0"/>
      <w:marTop w:val="0"/>
      <w:marBottom w:val="0"/>
      <w:divBdr>
        <w:top w:val="none" w:sz="0" w:space="0" w:color="auto"/>
        <w:left w:val="none" w:sz="0" w:space="0" w:color="auto"/>
        <w:bottom w:val="none" w:sz="0" w:space="0" w:color="auto"/>
        <w:right w:val="none" w:sz="0" w:space="0" w:color="auto"/>
      </w:divBdr>
    </w:div>
    <w:div w:id="728651928">
      <w:bodyDiv w:val="1"/>
      <w:marLeft w:val="0"/>
      <w:marRight w:val="0"/>
      <w:marTop w:val="0"/>
      <w:marBottom w:val="0"/>
      <w:divBdr>
        <w:top w:val="none" w:sz="0" w:space="0" w:color="auto"/>
        <w:left w:val="none" w:sz="0" w:space="0" w:color="auto"/>
        <w:bottom w:val="none" w:sz="0" w:space="0" w:color="auto"/>
        <w:right w:val="none" w:sz="0" w:space="0" w:color="auto"/>
      </w:divBdr>
    </w:div>
    <w:div w:id="1025447559">
      <w:bodyDiv w:val="1"/>
      <w:marLeft w:val="0"/>
      <w:marRight w:val="0"/>
      <w:marTop w:val="0"/>
      <w:marBottom w:val="0"/>
      <w:divBdr>
        <w:top w:val="none" w:sz="0" w:space="0" w:color="auto"/>
        <w:left w:val="none" w:sz="0" w:space="0" w:color="auto"/>
        <w:bottom w:val="none" w:sz="0" w:space="0" w:color="auto"/>
        <w:right w:val="none" w:sz="0" w:space="0" w:color="auto"/>
      </w:divBdr>
      <w:divsChild>
        <w:div w:id="1610236921">
          <w:marLeft w:val="0"/>
          <w:marRight w:val="0"/>
          <w:marTop w:val="34"/>
          <w:marBottom w:val="34"/>
          <w:divBdr>
            <w:top w:val="none" w:sz="0" w:space="0" w:color="auto"/>
            <w:left w:val="none" w:sz="0" w:space="0" w:color="auto"/>
            <w:bottom w:val="none" w:sz="0" w:space="0" w:color="auto"/>
            <w:right w:val="none" w:sz="0" w:space="0" w:color="auto"/>
          </w:divBdr>
        </w:div>
      </w:divsChild>
    </w:div>
    <w:div w:id="1040671359">
      <w:bodyDiv w:val="1"/>
      <w:marLeft w:val="0"/>
      <w:marRight w:val="0"/>
      <w:marTop w:val="0"/>
      <w:marBottom w:val="0"/>
      <w:divBdr>
        <w:top w:val="none" w:sz="0" w:space="0" w:color="auto"/>
        <w:left w:val="none" w:sz="0" w:space="0" w:color="auto"/>
        <w:bottom w:val="none" w:sz="0" w:space="0" w:color="auto"/>
        <w:right w:val="none" w:sz="0" w:space="0" w:color="auto"/>
      </w:divBdr>
    </w:div>
    <w:div w:id="1054039845">
      <w:bodyDiv w:val="1"/>
      <w:marLeft w:val="0"/>
      <w:marRight w:val="0"/>
      <w:marTop w:val="0"/>
      <w:marBottom w:val="0"/>
      <w:divBdr>
        <w:top w:val="none" w:sz="0" w:space="0" w:color="auto"/>
        <w:left w:val="none" w:sz="0" w:space="0" w:color="auto"/>
        <w:bottom w:val="none" w:sz="0" w:space="0" w:color="auto"/>
        <w:right w:val="none" w:sz="0" w:space="0" w:color="auto"/>
      </w:divBdr>
    </w:div>
    <w:div w:id="1112894586">
      <w:bodyDiv w:val="1"/>
      <w:marLeft w:val="0"/>
      <w:marRight w:val="0"/>
      <w:marTop w:val="0"/>
      <w:marBottom w:val="0"/>
      <w:divBdr>
        <w:top w:val="none" w:sz="0" w:space="0" w:color="auto"/>
        <w:left w:val="none" w:sz="0" w:space="0" w:color="auto"/>
        <w:bottom w:val="none" w:sz="0" w:space="0" w:color="auto"/>
        <w:right w:val="none" w:sz="0" w:space="0" w:color="auto"/>
      </w:divBdr>
    </w:div>
    <w:div w:id="1122649598">
      <w:bodyDiv w:val="1"/>
      <w:marLeft w:val="0"/>
      <w:marRight w:val="0"/>
      <w:marTop w:val="0"/>
      <w:marBottom w:val="0"/>
      <w:divBdr>
        <w:top w:val="none" w:sz="0" w:space="0" w:color="auto"/>
        <w:left w:val="none" w:sz="0" w:space="0" w:color="auto"/>
        <w:bottom w:val="none" w:sz="0" w:space="0" w:color="auto"/>
        <w:right w:val="none" w:sz="0" w:space="0" w:color="auto"/>
      </w:divBdr>
    </w:div>
    <w:div w:id="1235504394">
      <w:bodyDiv w:val="1"/>
      <w:marLeft w:val="0"/>
      <w:marRight w:val="0"/>
      <w:marTop w:val="0"/>
      <w:marBottom w:val="0"/>
      <w:divBdr>
        <w:top w:val="none" w:sz="0" w:space="0" w:color="auto"/>
        <w:left w:val="none" w:sz="0" w:space="0" w:color="auto"/>
        <w:bottom w:val="none" w:sz="0" w:space="0" w:color="auto"/>
        <w:right w:val="none" w:sz="0" w:space="0" w:color="auto"/>
      </w:divBdr>
    </w:div>
    <w:div w:id="1244602977">
      <w:bodyDiv w:val="1"/>
      <w:marLeft w:val="0"/>
      <w:marRight w:val="0"/>
      <w:marTop w:val="0"/>
      <w:marBottom w:val="0"/>
      <w:divBdr>
        <w:top w:val="none" w:sz="0" w:space="0" w:color="auto"/>
        <w:left w:val="none" w:sz="0" w:space="0" w:color="auto"/>
        <w:bottom w:val="none" w:sz="0" w:space="0" w:color="auto"/>
        <w:right w:val="none" w:sz="0" w:space="0" w:color="auto"/>
      </w:divBdr>
    </w:div>
    <w:div w:id="1323394209">
      <w:bodyDiv w:val="1"/>
      <w:marLeft w:val="0"/>
      <w:marRight w:val="0"/>
      <w:marTop w:val="0"/>
      <w:marBottom w:val="0"/>
      <w:divBdr>
        <w:top w:val="none" w:sz="0" w:space="0" w:color="auto"/>
        <w:left w:val="none" w:sz="0" w:space="0" w:color="auto"/>
        <w:bottom w:val="none" w:sz="0" w:space="0" w:color="auto"/>
        <w:right w:val="none" w:sz="0" w:space="0" w:color="auto"/>
      </w:divBdr>
    </w:div>
    <w:div w:id="1420984134">
      <w:bodyDiv w:val="1"/>
      <w:marLeft w:val="0"/>
      <w:marRight w:val="0"/>
      <w:marTop w:val="0"/>
      <w:marBottom w:val="0"/>
      <w:divBdr>
        <w:top w:val="none" w:sz="0" w:space="0" w:color="auto"/>
        <w:left w:val="none" w:sz="0" w:space="0" w:color="auto"/>
        <w:bottom w:val="none" w:sz="0" w:space="0" w:color="auto"/>
        <w:right w:val="none" w:sz="0" w:space="0" w:color="auto"/>
      </w:divBdr>
    </w:div>
    <w:div w:id="1429934832">
      <w:bodyDiv w:val="1"/>
      <w:marLeft w:val="0"/>
      <w:marRight w:val="0"/>
      <w:marTop w:val="0"/>
      <w:marBottom w:val="0"/>
      <w:divBdr>
        <w:top w:val="none" w:sz="0" w:space="0" w:color="auto"/>
        <w:left w:val="none" w:sz="0" w:space="0" w:color="auto"/>
        <w:bottom w:val="none" w:sz="0" w:space="0" w:color="auto"/>
        <w:right w:val="none" w:sz="0" w:space="0" w:color="auto"/>
      </w:divBdr>
    </w:div>
    <w:div w:id="1449660407">
      <w:bodyDiv w:val="1"/>
      <w:marLeft w:val="0"/>
      <w:marRight w:val="0"/>
      <w:marTop w:val="0"/>
      <w:marBottom w:val="0"/>
      <w:divBdr>
        <w:top w:val="none" w:sz="0" w:space="0" w:color="auto"/>
        <w:left w:val="none" w:sz="0" w:space="0" w:color="auto"/>
        <w:bottom w:val="none" w:sz="0" w:space="0" w:color="auto"/>
        <w:right w:val="none" w:sz="0" w:space="0" w:color="auto"/>
      </w:divBdr>
    </w:div>
    <w:div w:id="1579173187">
      <w:bodyDiv w:val="1"/>
      <w:marLeft w:val="0"/>
      <w:marRight w:val="0"/>
      <w:marTop w:val="0"/>
      <w:marBottom w:val="0"/>
      <w:divBdr>
        <w:top w:val="none" w:sz="0" w:space="0" w:color="auto"/>
        <w:left w:val="none" w:sz="0" w:space="0" w:color="auto"/>
        <w:bottom w:val="none" w:sz="0" w:space="0" w:color="auto"/>
        <w:right w:val="none" w:sz="0" w:space="0" w:color="auto"/>
      </w:divBdr>
    </w:div>
    <w:div w:id="1696037676">
      <w:bodyDiv w:val="1"/>
      <w:marLeft w:val="0"/>
      <w:marRight w:val="0"/>
      <w:marTop w:val="0"/>
      <w:marBottom w:val="0"/>
      <w:divBdr>
        <w:top w:val="none" w:sz="0" w:space="0" w:color="auto"/>
        <w:left w:val="none" w:sz="0" w:space="0" w:color="auto"/>
        <w:bottom w:val="none" w:sz="0" w:space="0" w:color="auto"/>
        <w:right w:val="none" w:sz="0" w:space="0" w:color="auto"/>
      </w:divBdr>
    </w:div>
    <w:div w:id="1789396483">
      <w:bodyDiv w:val="1"/>
      <w:marLeft w:val="0"/>
      <w:marRight w:val="0"/>
      <w:marTop w:val="0"/>
      <w:marBottom w:val="0"/>
      <w:divBdr>
        <w:top w:val="none" w:sz="0" w:space="0" w:color="auto"/>
        <w:left w:val="none" w:sz="0" w:space="0" w:color="auto"/>
        <w:bottom w:val="none" w:sz="0" w:space="0" w:color="auto"/>
        <w:right w:val="none" w:sz="0" w:space="0" w:color="auto"/>
      </w:divBdr>
    </w:div>
    <w:div w:id="1798643165">
      <w:bodyDiv w:val="1"/>
      <w:marLeft w:val="0"/>
      <w:marRight w:val="0"/>
      <w:marTop w:val="0"/>
      <w:marBottom w:val="0"/>
      <w:divBdr>
        <w:top w:val="none" w:sz="0" w:space="0" w:color="auto"/>
        <w:left w:val="none" w:sz="0" w:space="0" w:color="auto"/>
        <w:bottom w:val="none" w:sz="0" w:space="0" w:color="auto"/>
        <w:right w:val="none" w:sz="0" w:space="0" w:color="auto"/>
      </w:divBdr>
    </w:div>
    <w:div w:id="1817334674">
      <w:bodyDiv w:val="1"/>
      <w:marLeft w:val="0"/>
      <w:marRight w:val="0"/>
      <w:marTop w:val="0"/>
      <w:marBottom w:val="0"/>
      <w:divBdr>
        <w:top w:val="none" w:sz="0" w:space="0" w:color="auto"/>
        <w:left w:val="none" w:sz="0" w:space="0" w:color="auto"/>
        <w:bottom w:val="none" w:sz="0" w:space="0" w:color="auto"/>
        <w:right w:val="none" w:sz="0" w:space="0" w:color="auto"/>
      </w:divBdr>
    </w:div>
    <w:div w:id="1854565570">
      <w:bodyDiv w:val="1"/>
      <w:marLeft w:val="0"/>
      <w:marRight w:val="0"/>
      <w:marTop w:val="0"/>
      <w:marBottom w:val="0"/>
      <w:divBdr>
        <w:top w:val="none" w:sz="0" w:space="0" w:color="auto"/>
        <w:left w:val="none" w:sz="0" w:space="0" w:color="auto"/>
        <w:bottom w:val="none" w:sz="0" w:space="0" w:color="auto"/>
        <w:right w:val="none" w:sz="0" w:space="0" w:color="auto"/>
      </w:divBdr>
    </w:div>
    <w:div w:id="1932817124">
      <w:bodyDiv w:val="1"/>
      <w:marLeft w:val="0"/>
      <w:marRight w:val="0"/>
      <w:marTop w:val="0"/>
      <w:marBottom w:val="0"/>
      <w:divBdr>
        <w:top w:val="none" w:sz="0" w:space="0" w:color="auto"/>
        <w:left w:val="none" w:sz="0" w:space="0" w:color="auto"/>
        <w:bottom w:val="none" w:sz="0" w:space="0" w:color="auto"/>
        <w:right w:val="none" w:sz="0" w:space="0" w:color="auto"/>
      </w:divBdr>
    </w:div>
    <w:div w:id="1940062274">
      <w:bodyDiv w:val="1"/>
      <w:marLeft w:val="0"/>
      <w:marRight w:val="0"/>
      <w:marTop w:val="0"/>
      <w:marBottom w:val="0"/>
      <w:divBdr>
        <w:top w:val="none" w:sz="0" w:space="0" w:color="auto"/>
        <w:left w:val="none" w:sz="0" w:space="0" w:color="auto"/>
        <w:bottom w:val="none" w:sz="0" w:space="0" w:color="auto"/>
        <w:right w:val="none" w:sz="0" w:space="0" w:color="auto"/>
      </w:divBdr>
    </w:div>
    <w:div w:id="1942177477">
      <w:bodyDiv w:val="1"/>
      <w:marLeft w:val="0"/>
      <w:marRight w:val="0"/>
      <w:marTop w:val="0"/>
      <w:marBottom w:val="0"/>
      <w:divBdr>
        <w:top w:val="none" w:sz="0" w:space="0" w:color="auto"/>
        <w:left w:val="none" w:sz="0" w:space="0" w:color="auto"/>
        <w:bottom w:val="none" w:sz="0" w:space="0" w:color="auto"/>
        <w:right w:val="none" w:sz="0" w:space="0" w:color="auto"/>
      </w:divBdr>
    </w:div>
    <w:div w:id="2045909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hiv/pub/guidelines/ARV2018update/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ABDULLAHI</dc:creator>
  <cp:lastModifiedBy>Anna Maria Geretti</cp:lastModifiedBy>
  <cp:revision>4</cp:revision>
  <dcterms:created xsi:type="dcterms:W3CDTF">2019-05-21T17:58:00Z</dcterms:created>
  <dcterms:modified xsi:type="dcterms:W3CDTF">2019-05-21T18:22:00Z</dcterms:modified>
</cp:coreProperties>
</file>