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475" w:rsidRDefault="00BE1C12" w:rsidP="00B17475">
      <w:pPr>
        <w:jc w:val="center"/>
        <w:rPr>
          <w:rFonts w:ascii="Times New Roman" w:eastAsia="Times New Roman" w:hAnsi="Times New Roman" w:cs="Times New Roman"/>
          <w:b/>
          <w:bCs/>
          <w:kern w:val="36"/>
          <w:sz w:val="24"/>
          <w:szCs w:val="24"/>
          <w:lang w:val="en" w:eastAsia="en-GB"/>
        </w:rPr>
      </w:pPr>
      <w:r>
        <w:rPr>
          <w:rFonts w:ascii="Times New Roman" w:eastAsia="Times New Roman" w:hAnsi="Times New Roman" w:cs="Times New Roman"/>
          <w:b/>
          <w:bCs/>
          <w:kern w:val="36"/>
          <w:sz w:val="24"/>
          <w:szCs w:val="24"/>
          <w:lang w:val="en" w:eastAsia="en-GB"/>
        </w:rPr>
        <w:t>T</w:t>
      </w:r>
      <w:r w:rsidR="00B17475">
        <w:rPr>
          <w:rFonts w:ascii="Times New Roman" w:eastAsia="Times New Roman" w:hAnsi="Times New Roman" w:cs="Times New Roman"/>
          <w:b/>
          <w:bCs/>
          <w:kern w:val="36"/>
          <w:sz w:val="24"/>
          <w:szCs w:val="24"/>
          <w:lang w:val="en" w:eastAsia="en-GB"/>
        </w:rPr>
        <w:t>itle Page</w:t>
      </w:r>
    </w:p>
    <w:p w:rsidR="00B50C24" w:rsidRDefault="00B50C24" w:rsidP="00B17475">
      <w:pPr>
        <w:rPr>
          <w:rFonts w:ascii="Times New Roman" w:eastAsia="Times New Roman" w:hAnsi="Times New Roman" w:cs="Times New Roman"/>
          <w:b/>
          <w:bCs/>
          <w:kern w:val="36"/>
          <w:sz w:val="24"/>
          <w:szCs w:val="24"/>
          <w:lang w:val="en" w:eastAsia="en-GB"/>
        </w:rPr>
      </w:pPr>
    </w:p>
    <w:p w:rsidR="00B17475" w:rsidRDefault="00B17475" w:rsidP="00B17475">
      <w:pPr>
        <w:rPr>
          <w:rFonts w:ascii="Times New Roman" w:eastAsia="Times New Roman" w:hAnsi="Times New Roman" w:cs="Times New Roman"/>
          <w:b/>
          <w:bCs/>
          <w:kern w:val="36"/>
          <w:sz w:val="24"/>
          <w:szCs w:val="24"/>
          <w:lang w:val="en" w:eastAsia="en-GB"/>
        </w:rPr>
      </w:pPr>
      <w:r>
        <w:rPr>
          <w:rFonts w:ascii="Times New Roman" w:eastAsia="Times New Roman" w:hAnsi="Times New Roman" w:cs="Times New Roman"/>
          <w:b/>
          <w:bCs/>
          <w:kern w:val="36"/>
          <w:sz w:val="24"/>
          <w:szCs w:val="24"/>
          <w:lang w:val="en" w:eastAsia="en-GB"/>
        </w:rPr>
        <w:t>Dental RECUR clinical trial to prevent re-occurrence of caries in children</w:t>
      </w:r>
    </w:p>
    <w:p w:rsidR="00B17475" w:rsidRDefault="00B17475" w:rsidP="00B50C24">
      <w:pPr>
        <w:rPr>
          <w:rFonts w:ascii="Times New Roman" w:eastAsia="Times New Roman" w:hAnsi="Times New Roman" w:cs="Times New Roman"/>
          <w:sz w:val="24"/>
          <w:szCs w:val="24"/>
          <w:lang w:eastAsia="en-GB"/>
        </w:rPr>
      </w:pPr>
      <w:r>
        <w:rPr>
          <w:rFonts w:ascii="Times New Roman" w:eastAsia="Times New Roman" w:hAnsi="Times New Roman" w:cs="Times New Roman"/>
          <w:b/>
          <w:bCs/>
          <w:kern w:val="36"/>
          <w:sz w:val="24"/>
          <w:szCs w:val="24"/>
          <w:lang w:val="en" w:eastAsia="en-GB"/>
        </w:rPr>
        <w:t xml:space="preserve"> </w:t>
      </w:r>
      <w:r w:rsidRPr="00B1476E">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.M. </w:t>
      </w:r>
      <w:r w:rsidRPr="00B1476E">
        <w:rPr>
          <w:rFonts w:ascii="Times New Roman" w:eastAsia="Times New Roman" w:hAnsi="Times New Roman" w:cs="Times New Roman"/>
          <w:sz w:val="24"/>
          <w:szCs w:val="24"/>
          <w:lang w:eastAsia="en-GB"/>
        </w:rPr>
        <w:t>Pine</w:t>
      </w:r>
      <w:r w:rsidRPr="00120DE0">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,2</w:t>
      </w:r>
      <w:r w:rsidRPr="00B1476E">
        <w:rPr>
          <w:rFonts w:ascii="Times New Roman" w:eastAsia="Times New Roman" w:hAnsi="Times New Roman" w:cs="Times New Roman"/>
          <w:sz w:val="24"/>
          <w:szCs w:val="24"/>
          <w:lang w:eastAsia="en-GB"/>
        </w:rPr>
        <w:t>, P</w:t>
      </w:r>
      <w:r>
        <w:rPr>
          <w:rFonts w:ascii="Times New Roman" w:eastAsia="Times New Roman" w:hAnsi="Times New Roman" w:cs="Times New Roman"/>
          <w:sz w:val="24"/>
          <w:szCs w:val="24"/>
          <w:lang w:eastAsia="en-GB"/>
        </w:rPr>
        <w:t xml:space="preserve">.M. </w:t>
      </w:r>
      <w:r w:rsidRPr="00B1476E">
        <w:rPr>
          <w:rFonts w:ascii="Times New Roman" w:eastAsia="Times New Roman" w:hAnsi="Times New Roman" w:cs="Times New Roman"/>
          <w:sz w:val="24"/>
          <w:szCs w:val="24"/>
          <w:lang w:eastAsia="en-GB"/>
        </w:rPr>
        <w:t>Adair</w:t>
      </w:r>
      <w:r>
        <w:rPr>
          <w:rFonts w:ascii="Times New Roman" w:eastAsia="Times New Roman" w:hAnsi="Times New Roman" w:cs="Times New Roman"/>
          <w:sz w:val="24"/>
          <w:szCs w:val="24"/>
          <w:vertAlign w:val="superscript"/>
          <w:lang w:eastAsia="en-GB"/>
        </w:rPr>
        <w:t>3</w:t>
      </w:r>
      <w:r w:rsidRPr="00B1476E">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G. </w:t>
      </w:r>
      <w:r w:rsidRPr="00B1476E">
        <w:rPr>
          <w:rFonts w:ascii="Times New Roman" w:eastAsia="Times New Roman" w:hAnsi="Times New Roman" w:cs="Times New Roman"/>
          <w:sz w:val="24"/>
          <w:szCs w:val="24"/>
          <w:lang w:eastAsia="en-GB"/>
        </w:rPr>
        <w:t>Burnside</w:t>
      </w:r>
      <w:r>
        <w:rPr>
          <w:rFonts w:ascii="Times New Roman" w:eastAsia="Times New Roman" w:hAnsi="Times New Roman" w:cs="Times New Roman"/>
          <w:sz w:val="24"/>
          <w:szCs w:val="24"/>
          <w:vertAlign w:val="superscript"/>
          <w:lang w:eastAsia="en-GB"/>
        </w:rPr>
        <w:t>4</w:t>
      </w:r>
      <w:r w:rsidRPr="00B1476E">
        <w:rPr>
          <w:rFonts w:ascii="Times New Roman" w:eastAsia="Times New Roman" w:hAnsi="Times New Roman" w:cs="Times New Roman"/>
          <w:sz w:val="24"/>
          <w:szCs w:val="24"/>
          <w:lang w:eastAsia="en-GB"/>
        </w:rPr>
        <w:t>, L</w:t>
      </w:r>
      <w:r>
        <w:rPr>
          <w:rFonts w:ascii="Times New Roman" w:eastAsia="Times New Roman" w:hAnsi="Times New Roman" w:cs="Times New Roman"/>
          <w:sz w:val="24"/>
          <w:szCs w:val="24"/>
          <w:lang w:eastAsia="en-GB"/>
        </w:rPr>
        <w:t>.</w:t>
      </w:r>
      <w:r w:rsidRPr="00B1476E">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Brennan</w:t>
      </w:r>
      <w:r>
        <w:rPr>
          <w:rFonts w:ascii="Times New Roman" w:eastAsia="Times New Roman" w:hAnsi="Times New Roman" w:cs="Times New Roman"/>
          <w:sz w:val="24"/>
          <w:szCs w:val="24"/>
          <w:vertAlign w:val="superscript"/>
          <w:lang w:eastAsia="en-GB"/>
        </w:rPr>
        <w:t>5</w:t>
      </w:r>
      <w:r w:rsidRPr="00B1476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L. Sutton</w:t>
      </w:r>
      <w:r>
        <w:rPr>
          <w:rFonts w:ascii="Times New Roman" w:eastAsia="Times New Roman" w:hAnsi="Times New Roman" w:cs="Times New Roman"/>
          <w:sz w:val="24"/>
          <w:szCs w:val="24"/>
          <w:vertAlign w:val="superscript"/>
          <w:lang w:eastAsia="en-GB"/>
        </w:rPr>
        <w:t>4</w:t>
      </w:r>
      <w:r>
        <w:rPr>
          <w:rFonts w:ascii="Times New Roman" w:eastAsia="Times New Roman" w:hAnsi="Times New Roman" w:cs="Times New Roman"/>
          <w:sz w:val="24"/>
          <w:szCs w:val="24"/>
          <w:lang w:eastAsia="en-GB"/>
        </w:rPr>
        <w:t xml:space="preserve">, </w:t>
      </w:r>
      <w:r w:rsidRPr="005660B7">
        <w:rPr>
          <w:rFonts w:ascii="Times New Roman" w:eastAsia="Times New Roman" w:hAnsi="Times New Roman" w:cs="Times New Roman"/>
          <w:sz w:val="24"/>
          <w:szCs w:val="24"/>
          <w:lang w:eastAsia="en-GB"/>
        </w:rPr>
        <w:t>R. T. Edwards</w:t>
      </w:r>
      <w:r>
        <w:rPr>
          <w:rFonts w:ascii="Times New Roman" w:eastAsia="Times New Roman" w:hAnsi="Times New Roman" w:cs="Times New Roman"/>
          <w:sz w:val="24"/>
          <w:szCs w:val="24"/>
          <w:vertAlign w:val="superscript"/>
          <w:lang w:eastAsia="en-GB"/>
        </w:rPr>
        <w:t>6</w:t>
      </w:r>
      <w:r w:rsidRPr="00184906">
        <w:rPr>
          <w:rFonts w:ascii="Times New Roman" w:eastAsia="Times New Roman" w:hAnsi="Times New Roman" w:cs="Times New Roman"/>
          <w:sz w:val="24"/>
          <w:szCs w:val="24"/>
          <w:lang w:eastAsia="en-GB"/>
        </w:rPr>
        <w:t xml:space="preserve">, </w:t>
      </w:r>
      <w:r w:rsidRPr="005660B7">
        <w:rPr>
          <w:rFonts w:ascii="Times New Roman" w:eastAsia="Times New Roman" w:hAnsi="Times New Roman" w:cs="Times New Roman"/>
          <w:sz w:val="24"/>
          <w:szCs w:val="24"/>
          <w:lang w:eastAsia="en-GB"/>
        </w:rPr>
        <w:t>V. Ezeofor</w:t>
      </w:r>
      <w:r>
        <w:rPr>
          <w:rFonts w:ascii="Times New Roman" w:eastAsia="Times New Roman" w:hAnsi="Times New Roman" w:cs="Times New Roman"/>
          <w:sz w:val="24"/>
          <w:szCs w:val="24"/>
          <w:vertAlign w:val="superscript"/>
          <w:lang w:eastAsia="en-GB"/>
        </w:rPr>
        <w:t xml:space="preserve">6 </w:t>
      </w:r>
      <w:r w:rsidRPr="007C568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w:t>
      </w:r>
      <w:r w:rsidRPr="007C5689">
        <w:rPr>
          <w:rFonts w:ascii="Times New Roman" w:eastAsia="Times New Roman" w:hAnsi="Times New Roman" w:cs="Times New Roman"/>
          <w:sz w:val="24"/>
          <w:szCs w:val="24"/>
          <w:lang w:eastAsia="en-GB"/>
        </w:rPr>
        <w:t> Albadri</w:t>
      </w:r>
      <w:r>
        <w:rPr>
          <w:rFonts w:ascii="Times New Roman" w:eastAsia="Times New Roman" w:hAnsi="Times New Roman" w:cs="Times New Roman"/>
          <w:sz w:val="24"/>
          <w:szCs w:val="24"/>
          <w:vertAlign w:val="superscript"/>
          <w:lang w:eastAsia="en-GB"/>
        </w:rPr>
        <w:t>7</w:t>
      </w:r>
      <w:r w:rsidRPr="007C568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M.M.</w:t>
      </w:r>
      <w:r w:rsidRPr="007C5689">
        <w:rPr>
          <w:rFonts w:ascii="Times New Roman" w:eastAsia="Times New Roman" w:hAnsi="Times New Roman" w:cs="Times New Roman"/>
          <w:sz w:val="24"/>
          <w:szCs w:val="24"/>
          <w:lang w:eastAsia="en-GB"/>
        </w:rPr>
        <w:t> Curnow</w:t>
      </w:r>
      <w:r>
        <w:rPr>
          <w:rFonts w:ascii="Times New Roman" w:eastAsia="Times New Roman" w:hAnsi="Times New Roman" w:cs="Times New Roman"/>
          <w:sz w:val="24"/>
          <w:szCs w:val="24"/>
          <w:vertAlign w:val="superscript"/>
          <w:lang w:eastAsia="en-GB"/>
        </w:rPr>
        <w:t>8</w:t>
      </w:r>
      <w:r w:rsidRPr="007C568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 Deery</w:t>
      </w:r>
      <w:r>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 M.T. Hosey</w:t>
      </w:r>
      <w:r>
        <w:rPr>
          <w:rFonts w:ascii="Times New Roman" w:eastAsia="Times New Roman" w:hAnsi="Times New Roman" w:cs="Times New Roman"/>
          <w:sz w:val="24"/>
          <w:szCs w:val="24"/>
          <w:vertAlign w:val="superscript"/>
          <w:lang w:eastAsia="en-GB"/>
        </w:rPr>
        <w:t>10</w:t>
      </w:r>
      <w:r>
        <w:rPr>
          <w:rFonts w:ascii="Times New Roman" w:eastAsia="Times New Roman" w:hAnsi="Times New Roman" w:cs="Times New Roman"/>
          <w:sz w:val="24"/>
          <w:szCs w:val="24"/>
          <w:lang w:eastAsia="en-GB"/>
        </w:rPr>
        <w:t>, J. Willis-Lake</w:t>
      </w:r>
      <w:r>
        <w:rPr>
          <w:rFonts w:ascii="Times New Roman" w:eastAsia="Times New Roman" w:hAnsi="Times New Roman" w:cs="Times New Roman"/>
          <w:sz w:val="24"/>
          <w:szCs w:val="24"/>
          <w:vertAlign w:val="superscript"/>
          <w:lang w:eastAsia="en-GB"/>
        </w:rPr>
        <w:t>11</w:t>
      </w:r>
      <w:r>
        <w:rPr>
          <w:rFonts w:ascii="Times New Roman" w:eastAsia="Times New Roman" w:hAnsi="Times New Roman" w:cs="Times New Roman"/>
          <w:sz w:val="24"/>
          <w:szCs w:val="24"/>
          <w:lang w:eastAsia="en-GB"/>
        </w:rPr>
        <w:t>, J. Lynn</w:t>
      </w:r>
      <w:r w:rsidRPr="00120DE0">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J. Parry</w:t>
      </w:r>
      <w:r w:rsidRPr="00120DE0">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3,14</w:t>
      </w:r>
      <w:r>
        <w:rPr>
          <w:rFonts w:ascii="Times New Roman" w:eastAsia="Times New Roman" w:hAnsi="Times New Roman" w:cs="Times New Roman"/>
          <w:sz w:val="24"/>
          <w:szCs w:val="24"/>
          <w:lang w:eastAsia="en-GB"/>
        </w:rPr>
        <w:t xml:space="preserve">, </w:t>
      </w:r>
      <w:r w:rsidRPr="007C5689">
        <w:rPr>
          <w:rFonts w:ascii="Times New Roman" w:eastAsia="Times New Roman" w:hAnsi="Times New Roman" w:cs="Times New Roman"/>
          <w:sz w:val="24"/>
          <w:szCs w:val="24"/>
          <w:lang w:eastAsia="en-GB"/>
        </w:rPr>
        <w:t>F</w:t>
      </w:r>
      <w:r>
        <w:rPr>
          <w:rFonts w:ascii="Times New Roman" w:eastAsia="Times New Roman" w:hAnsi="Times New Roman" w:cs="Times New Roman"/>
          <w:sz w:val="24"/>
          <w:szCs w:val="24"/>
          <w:lang w:eastAsia="en-GB"/>
        </w:rPr>
        <w:t>.S.L. Wong</w:t>
      </w:r>
      <w:r>
        <w:rPr>
          <w:rFonts w:ascii="Times New Roman" w:eastAsia="Times New Roman" w:hAnsi="Times New Roman" w:cs="Times New Roman"/>
          <w:sz w:val="24"/>
          <w:szCs w:val="24"/>
          <w:vertAlign w:val="superscript"/>
          <w:lang w:eastAsia="en-GB"/>
        </w:rPr>
        <w:t>2</w:t>
      </w:r>
      <w:r w:rsidRPr="007C5689">
        <w:rPr>
          <w:rFonts w:ascii="Times New Roman" w:eastAsia="Times New Roman" w:hAnsi="Times New Roman" w:cs="Times New Roman"/>
          <w:sz w:val="24"/>
          <w:szCs w:val="24"/>
          <w:lang w:eastAsia="en-GB"/>
        </w:rPr>
        <w:t xml:space="preserve"> </w:t>
      </w:r>
    </w:p>
    <w:p w:rsidR="00B50C24" w:rsidRDefault="00B17475" w:rsidP="00B50C24">
      <w:pPr>
        <w:rPr>
          <w:rFonts w:ascii="Times New Roman" w:eastAsia="Times New Roman" w:hAnsi="Times New Roman" w:cs="Times New Roman"/>
          <w:sz w:val="24"/>
          <w:szCs w:val="24"/>
          <w:lang w:eastAsia="en-GB"/>
        </w:rPr>
      </w:pPr>
      <w:r w:rsidRPr="00875FEF">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Research &amp; Innovation, </w:t>
      </w:r>
      <w:r w:rsidRPr="00875FEF">
        <w:rPr>
          <w:rFonts w:ascii="Times New Roman" w:eastAsia="Times New Roman" w:hAnsi="Times New Roman" w:cs="Times New Roman"/>
          <w:sz w:val="24"/>
          <w:szCs w:val="24"/>
          <w:lang w:eastAsia="en-GB"/>
        </w:rPr>
        <w:t>Salford Royal NHS Foundation Trust</w:t>
      </w:r>
      <w:r>
        <w:rPr>
          <w:rFonts w:ascii="Times New Roman" w:eastAsia="Times New Roman" w:hAnsi="Times New Roman" w:cs="Times New Roman"/>
          <w:sz w:val="24"/>
          <w:szCs w:val="24"/>
          <w:lang w:eastAsia="en-GB"/>
        </w:rPr>
        <w:t xml:space="preserve">, Northern Care Alliance NHS Group, Summerfield House, Salford M5 5AP, England; </w:t>
      </w:r>
      <w:r>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Barts and The London Schools of Medicine and Dentistry, Institute of Dentistry, Queen Mary University of London, Turner St, Whitechapel, London E1 2AD, England</w:t>
      </w:r>
      <w:r w:rsidR="00B50C24">
        <w:rPr>
          <w:rFonts w:ascii="Times New Roman" w:eastAsia="Times New Roman" w:hAnsi="Times New Roman" w:cs="Times New Roman"/>
          <w:sz w:val="24"/>
          <w:szCs w:val="24"/>
          <w:lang w:eastAsia="en-GB"/>
        </w:rPr>
        <w:t xml:space="preserve">; c.m.pine@qmul.ac.uk </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School of Psychology, Queen’s University, Belfast, Northern Ireland</w:t>
      </w:r>
      <w:r w:rsidR="00B50C24">
        <w:rPr>
          <w:rFonts w:ascii="Times New Roman" w:eastAsia="Times New Roman" w:hAnsi="Times New Roman" w:cs="Times New Roman"/>
          <w:sz w:val="24"/>
          <w:szCs w:val="24"/>
          <w:lang w:eastAsia="en-GB"/>
        </w:rPr>
        <w:t>; p.adair@qub.ac.uk</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4</w:t>
      </w:r>
      <w:r>
        <w:rPr>
          <w:rFonts w:ascii="Times New Roman" w:eastAsia="Times New Roman" w:hAnsi="Times New Roman" w:cs="Times New Roman"/>
          <w:sz w:val="24"/>
          <w:szCs w:val="24"/>
          <w:lang w:eastAsia="en-GB"/>
        </w:rPr>
        <w:t>Department of Biostatistics, University of Liverpool, Liverpool, England</w:t>
      </w:r>
      <w:r w:rsidR="00B50C24">
        <w:rPr>
          <w:rFonts w:ascii="Times New Roman" w:eastAsia="Times New Roman" w:hAnsi="Times New Roman" w:cs="Times New Roman"/>
          <w:sz w:val="24"/>
          <w:szCs w:val="24"/>
          <w:lang w:eastAsia="en-GB"/>
        </w:rPr>
        <w:t xml:space="preserve">; </w:t>
      </w:r>
      <w:hyperlink r:id="rId8" w:history="1">
        <w:r w:rsidR="00B50C24" w:rsidRPr="00C968DE">
          <w:rPr>
            <w:rStyle w:val="Hyperlink"/>
            <w:rFonts w:ascii="Times New Roman" w:eastAsia="Times New Roman" w:hAnsi="Times New Roman" w:cs="Times New Roman"/>
            <w:sz w:val="24"/>
            <w:szCs w:val="24"/>
            <w:lang w:eastAsia="en-GB"/>
          </w:rPr>
          <w:t>g.burnside@liv.ac.uk</w:t>
        </w:r>
      </w:hyperlink>
      <w:r w:rsidR="00B50C24">
        <w:rPr>
          <w:rFonts w:ascii="Times New Roman" w:eastAsia="Times New Roman" w:hAnsi="Times New Roman" w:cs="Times New Roman"/>
          <w:sz w:val="24"/>
          <w:szCs w:val="24"/>
          <w:lang w:eastAsia="en-GB"/>
        </w:rPr>
        <w:t>; l.j.sutton@sheffield.ac.uk</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5</w:t>
      </w:r>
      <w:r>
        <w:rPr>
          <w:rFonts w:ascii="Times New Roman" w:eastAsia="Times New Roman" w:hAnsi="Times New Roman" w:cs="Times New Roman"/>
          <w:sz w:val="24"/>
          <w:szCs w:val="24"/>
          <w:lang w:eastAsia="en-GB"/>
        </w:rPr>
        <w:t>Health Education North West, Regatta Place, Liverpool, England</w:t>
      </w:r>
      <w:r w:rsidR="00B50C24">
        <w:rPr>
          <w:rFonts w:ascii="Times New Roman" w:eastAsia="Times New Roman" w:hAnsi="Times New Roman" w:cs="Times New Roman"/>
          <w:sz w:val="24"/>
          <w:szCs w:val="24"/>
          <w:lang w:eastAsia="en-GB"/>
        </w:rPr>
        <w:t>; louise.brennan8@mhs.net</w:t>
      </w:r>
      <w:r>
        <w:rPr>
          <w:rFonts w:ascii="Times New Roman" w:eastAsia="Times New Roman" w:hAnsi="Times New Roman" w:cs="Times New Roman"/>
          <w:sz w:val="24"/>
          <w:szCs w:val="24"/>
          <w:lang w:eastAsia="en-GB"/>
        </w:rPr>
        <w:t xml:space="preserve"> </w:t>
      </w:r>
    </w:p>
    <w:p w:rsidR="00B17475" w:rsidRPr="00184906"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6 </w:t>
      </w:r>
      <w:r>
        <w:rPr>
          <w:rFonts w:ascii="Times New Roman" w:eastAsia="Times New Roman" w:hAnsi="Times New Roman" w:cs="Times New Roman"/>
          <w:sz w:val="24"/>
          <w:szCs w:val="24"/>
          <w:lang w:eastAsia="en-GB"/>
        </w:rPr>
        <w:t>Centre for Health Economics and Medicines Evaluation, Bangor University, Wales</w:t>
      </w:r>
      <w:r w:rsidR="00B50C24">
        <w:rPr>
          <w:rFonts w:ascii="Times New Roman" w:eastAsia="Times New Roman" w:hAnsi="Times New Roman" w:cs="Times New Roman"/>
          <w:sz w:val="24"/>
          <w:szCs w:val="24"/>
          <w:lang w:eastAsia="en-GB"/>
        </w:rPr>
        <w:t xml:space="preserve">; </w:t>
      </w:r>
      <w:hyperlink r:id="rId9" w:history="1">
        <w:r w:rsidR="00B50C24" w:rsidRPr="00C968DE">
          <w:rPr>
            <w:rStyle w:val="Hyperlink"/>
            <w:rFonts w:ascii="Times New Roman" w:eastAsia="Times New Roman" w:hAnsi="Times New Roman" w:cs="Times New Roman"/>
            <w:sz w:val="24"/>
            <w:szCs w:val="24"/>
            <w:lang w:eastAsia="en-GB"/>
          </w:rPr>
          <w:t>r.t.edwards@bangor.ac.uk</w:t>
        </w:r>
      </w:hyperlink>
      <w:r w:rsidR="00B50C24">
        <w:rPr>
          <w:rFonts w:ascii="Times New Roman" w:eastAsia="Times New Roman" w:hAnsi="Times New Roman" w:cs="Times New Roman"/>
          <w:sz w:val="24"/>
          <w:szCs w:val="24"/>
          <w:lang w:eastAsia="en-GB"/>
        </w:rPr>
        <w:t>; v.ezeofor@bangor.ac.uk</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7</w:t>
      </w:r>
      <w:r>
        <w:rPr>
          <w:rFonts w:ascii="Times New Roman" w:eastAsia="Times New Roman" w:hAnsi="Times New Roman" w:cs="Times New Roman"/>
          <w:sz w:val="24"/>
          <w:szCs w:val="24"/>
          <w:lang w:eastAsia="en-GB"/>
        </w:rPr>
        <w:t>Paediatric Dentistry, School of Dentistry, University of Liverpool, Liverpool, England</w:t>
      </w:r>
      <w:r w:rsidR="00B50C24">
        <w:rPr>
          <w:rFonts w:ascii="Times New Roman" w:eastAsia="Times New Roman" w:hAnsi="Times New Roman" w:cs="Times New Roman"/>
          <w:sz w:val="24"/>
          <w:szCs w:val="24"/>
          <w:lang w:eastAsia="en-GB"/>
        </w:rPr>
        <w:t>; sondos.albadri@liverpool.ac.uk</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8 </w:t>
      </w:r>
      <w:r>
        <w:rPr>
          <w:rFonts w:ascii="Times New Roman" w:eastAsia="Times New Roman" w:hAnsi="Times New Roman" w:cs="Times New Roman"/>
          <w:sz w:val="24"/>
          <w:szCs w:val="24"/>
          <w:lang w:eastAsia="en-GB"/>
        </w:rPr>
        <w:t>Public Dental Service, Broxden Dental Centre, NHS Tayside, Tweed Place, Perth, Scotland</w:t>
      </w:r>
      <w:r w:rsidR="00B50C24">
        <w:rPr>
          <w:rFonts w:ascii="Times New Roman" w:eastAsia="Times New Roman" w:hAnsi="Times New Roman" w:cs="Times New Roman"/>
          <w:sz w:val="24"/>
          <w:szCs w:val="24"/>
          <w:lang w:eastAsia="en-GB"/>
        </w:rPr>
        <w:t>; morag.curnow@nhs.net</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School of Clinical Dentistry, University of Sheffield, Sheffield S10 2TA, England</w:t>
      </w:r>
      <w:r w:rsidR="00B50C24">
        <w:rPr>
          <w:rFonts w:ascii="Times New Roman" w:eastAsia="Times New Roman" w:hAnsi="Times New Roman" w:cs="Times New Roman"/>
          <w:sz w:val="24"/>
          <w:szCs w:val="24"/>
          <w:lang w:eastAsia="en-GB"/>
        </w:rPr>
        <w:t>; c.deery@sheffield.ac.uk</w:t>
      </w:r>
    </w:p>
    <w:p w:rsidR="00B50C24"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10</w:t>
      </w:r>
      <w:r>
        <w:rPr>
          <w:rFonts w:ascii="Times New Roman" w:eastAsia="Times New Roman" w:hAnsi="Times New Roman" w:cs="Times New Roman"/>
          <w:sz w:val="24"/>
          <w:szCs w:val="24"/>
          <w:lang w:eastAsia="en-GB"/>
        </w:rPr>
        <w:t>Paediatric Dentistry, Centre of Oral, Clinical and Translational Science, Faculty of Dentistry, Oral and Craniofacial Sciences, Kings College London, England</w:t>
      </w:r>
      <w:r w:rsidR="00B50C24">
        <w:rPr>
          <w:rFonts w:ascii="Times New Roman" w:eastAsia="Times New Roman" w:hAnsi="Times New Roman" w:cs="Times New Roman"/>
          <w:sz w:val="24"/>
          <w:szCs w:val="24"/>
          <w:lang w:eastAsia="en-GB"/>
        </w:rPr>
        <w:t xml:space="preserve">; </w:t>
      </w:r>
      <w:hyperlink r:id="rId10" w:history="1">
        <w:r w:rsidR="00B50C24" w:rsidRPr="00C968DE">
          <w:rPr>
            <w:rStyle w:val="Hyperlink"/>
            <w:rFonts w:ascii="Times New Roman" w:eastAsia="Times New Roman" w:hAnsi="Times New Roman" w:cs="Times New Roman"/>
            <w:sz w:val="24"/>
            <w:szCs w:val="24"/>
            <w:lang w:eastAsia="en-GB"/>
          </w:rPr>
          <w:t>m.t.hosey@kcl.ac.uk</w:t>
        </w:r>
      </w:hyperlink>
    </w:p>
    <w:p w:rsidR="00B17475" w:rsidRDefault="00B17475" w:rsidP="00B17475">
      <w:pPr>
        <w:rPr>
          <w:rFonts w:ascii="Times New Roman" w:eastAsia="Times New Roman" w:hAnsi="Times New Roman" w:cs="Times New Roman"/>
          <w:sz w:val="24"/>
          <w:szCs w:val="24"/>
          <w:lang w:eastAsia="en-GB"/>
        </w:rPr>
      </w:pPr>
      <w:r w:rsidRPr="006C7D86">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Kent Community Health NHS Foundation Trust, England</w:t>
      </w:r>
      <w:r w:rsidR="00B50C24">
        <w:rPr>
          <w:rFonts w:ascii="Times New Roman" w:eastAsia="Times New Roman" w:hAnsi="Times New Roman" w:cs="Times New Roman"/>
          <w:sz w:val="24"/>
          <w:szCs w:val="24"/>
          <w:lang w:eastAsia="en-GB"/>
        </w:rPr>
        <w:t>; june.willis-lake@nhs.net</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12 </w:t>
      </w:r>
      <w:r w:rsidRPr="00A21B2C">
        <w:rPr>
          <w:rFonts w:ascii="Times New Roman" w:hAnsi="Times New Roman" w:cs="Times New Roman"/>
          <w:bCs/>
          <w:sz w:val="24"/>
          <w:szCs w:val="24"/>
        </w:rPr>
        <w:t>Community Dental Service, Arches Health and Care Centre, Belfast Health and Social Care Trust, Belfast, BT4 1NS,</w:t>
      </w:r>
      <w:r w:rsidRPr="00A21B2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Northern Ireland</w:t>
      </w:r>
      <w:r w:rsidR="00B50C24">
        <w:rPr>
          <w:rFonts w:ascii="Times New Roman" w:eastAsia="Times New Roman" w:hAnsi="Times New Roman" w:cs="Times New Roman"/>
          <w:sz w:val="24"/>
          <w:szCs w:val="24"/>
          <w:lang w:eastAsia="en-GB"/>
        </w:rPr>
        <w:t>; jim.lynn@belfasttrust.hscni.net</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 xml:space="preserve">13 </w:t>
      </w:r>
      <w:r w:rsidRPr="00691182">
        <w:rPr>
          <w:rFonts w:ascii="Times New Roman" w:eastAsia="Times New Roman" w:hAnsi="Times New Roman" w:cs="Times New Roman"/>
          <w:sz w:val="24"/>
          <w:szCs w:val="24"/>
          <w:lang w:eastAsia="en-GB"/>
        </w:rPr>
        <w:t>Special Care Dental Service,</w:t>
      </w:r>
      <w:r>
        <w:rPr>
          <w:rFonts w:ascii="Times New Roman" w:eastAsia="Times New Roman" w:hAnsi="Times New Roman" w:cs="Times New Roman"/>
          <w:sz w:val="24"/>
          <w:szCs w:val="24"/>
          <w:vertAlign w:val="superscript"/>
          <w:lang w:eastAsia="en-GB"/>
        </w:rPr>
        <w:t xml:space="preserve"> </w:t>
      </w:r>
      <w:r>
        <w:rPr>
          <w:rFonts w:ascii="Times New Roman" w:eastAsia="Times New Roman" w:hAnsi="Times New Roman" w:cs="Times New Roman"/>
          <w:sz w:val="24"/>
          <w:szCs w:val="24"/>
          <w:lang w:eastAsia="en-GB"/>
        </w:rPr>
        <w:t>Sussex Community NHS Foundation Trust</w:t>
      </w:r>
      <w:r w:rsidR="00B50C24">
        <w:rPr>
          <w:rFonts w:ascii="Times New Roman" w:eastAsia="Times New Roman" w:hAnsi="Times New Roman" w:cs="Times New Roman"/>
          <w:sz w:val="24"/>
          <w:szCs w:val="24"/>
          <w:lang w:eastAsia="en-GB"/>
        </w:rPr>
        <w:t>, Englan</w:t>
      </w:r>
      <w:r>
        <w:rPr>
          <w:rFonts w:ascii="Times New Roman" w:eastAsia="Times New Roman" w:hAnsi="Times New Roman" w:cs="Times New Roman"/>
          <w:sz w:val="24"/>
          <w:szCs w:val="24"/>
          <w:lang w:eastAsia="en-GB"/>
        </w:rPr>
        <w:t>d</w:t>
      </w:r>
      <w:r w:rsidR="00B50C2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vertAlign w:val="superscript"/>
          <w:lang w:eastAsia="en-GB"/>
        </w:rPr>
        <w:t>14</w:t>
      </w:r>
      <w:r>
        <w:rPr>
          <w:rFonts w:ascii="Times New Roman" w:eastAsia="Times New Roman" w:hAnsi="Times New Roman" w:cs="Times New Roman"/>
          <w:sz w:val="24"/>
          <w:szCs w:val="24"/>
          <w:lang w:eastAsia="en-GB"/>
        </w:rPr>
        <w:t>Paediatric Dentistry, University College Cork, Ireland</w:t>
      </w:r>
      <w:r w:rsidR="00B50C24">
        <w:rPr>
          <w:rFonts w:ascii="Times New Roman" w:eastAsia="Times New Roman" w:hAnsi="Times New Roman" w:cs="Times New Roman"/>
          <w:sz w:val="24"/>
          <w:szCs w:val="24"/>
          <w:lang w:eastAsia="en-GB"/>
        </w:rPr>
        <w:t>, jennifer.parry@ucc.ie</w:t>
      </w:r>
    </w:p>
    <w:p w:rsidR="00B17475" w:rsidRDefault="00B17475" w:rsidP="00B17475">
      <w:pPr>
        <w:rPr>
          <w:rFonts w:ascii="Times New Roman" w:eastAsia="Times New Roman" w:hAnsi="Times New Roman" w:cs="Times New Roman"/>
          <w:b/>
          <w:bCs/>
          <w:kern w:val="36"/>
          <w:sz w:val="24"/>
          <w:szCs w:val="24"/>
          <w:lang w:val="en" w:eastAsia="en-GB"/>
        </w:rPr>
      </w:pPr>
      <w:r w:rsidRPr="00B17475">
        <w:rPr>
          <w:rFonts w:ascii="Times New Roman" w:hAnsi="Times New Roman" w:cs="Times New Roman"/>
          <w:b/>
          <w:sz w:val="24"/>
          <w:szCs w:val="24"/>
        </w:rPr>
        <w:t>Keywords</w:t>
      </w:r>
      <w:r w:rsidRPr="00A0471C">
        <w:rPr>
          <w:rFonts w:ascii="Times New Roman" w:hAnsi="Times New Roman" w:cs="Times New Roman"/>
          <w:sz w:val="24"/>
          <w:szCs w:val="24"/>
        </w:rPr>
        <w:t>:</w:t>
      </w:r>
      <w:r>
        <w:rPr>
          <w:rFonts w:ascii="Times New Roman" w:hAnsi="Times New Roman" w:cs="Times New Roman"/>
          <w:sz w:val="24"/>
          <w:szCs w:val="24"/>
        </w:rPr>
        <w:t xml:space="preserve"> Caries detection/diagnosis/prevention, caries treatment, child dentistry, clinical studies/trials, health services research.</w:t>
      </w:r>
    </w:p>
    <w:p w:rsidR="00B17475" w:rsidRPr="00A0471C" w:rsidRDefault="00B17475" w:rsidP="00B17475">
      <w:pPr>
        <w:rPr>
          <w:rFonts w:ascii="Times New Roman" w:eastAsia="Times New Roman" w:hAnsi="Times New Roman" w:cs="Times New Roman"/>
          <w:bCs/>
          <w:kern w:val="36"/>
          <w:sz w:val="24"/>
          <w:szCs w:val="24"/>
          <w:lang w:val="en" w:eastAsia="en-GB"/>
        </w:rPr>
      </w:pPr>
      <w:r w:rsidRPr="00B17475">
        <w:rPr>
          <w:rFonts w:ascii="Times New Roman" w:eastAsia="Times New Roman" w:hAnsi="Times New Roman" w:cs="Times New Roman"/>
          <w:b/>
          <w:bCs/>
          <w:kern w:val="36"/>
          <w:sz w:val="24"/>
          <w:szCs w:val="24"/>
          <w:lang w:val="en" w:eastAsia="en-GB"/>
        </w:rPr>
        <w:t>Manuscript details</w:t>
      </w:r>
      <w:r>
        <w:rPr>
          <w:rFonts w:ascii="Times New Roman" w:eastAsia="Times New Roman" w:hAnsi="Times New Roman" w:cs="Times New Roman"/>
          <w:bCs/>
          <w:kern w:val="36"/>
          <w:sz w:val="24"/>
          <w:szCs w:val="24"/>
          <w:lang w:val="en" w:eastAsia="en-GB"/>
        </w:rPr>
        <w:t xml:space="preserve">: </w:t>
      </w:r>
      <w:r w:rsidRPr="00A0471C">
        <w:rPr>
          <w:rFonts w:ascii="Times New Roman" w:eastAsia="Times New Roman" w:hAnsi="Times New Roman" w:cs="Times New Roman"/>
          <w:bCs/>
          <w:kern w:val="36"/>
          <w:sz w:val="24"/>
          <w:szCs w:val="24"/>
          <w:lang w:val="en" w:eastAsia="en-GB"/>
        </w:rPr>
        <w:t>Abstract word count: 299 words</w:t>
      </w:r>
      <w:r>
        <w:rPr>
          <w:rFonts w:ascii="Times New Roman" w:eastAsia="Times New Roman" w:hAnsi="Times New Roman" w:cs="Times New Roman"/>
          <w:bCs/>
          <w:kern w:val="36"/>
          <w:sz w:val="24"/>
          <w:szCs w:val="24"/>
          <w:lang w:val="en" w:eastAsia="en-GB"/>
        </w:rPr>
        <w:t xml:space="preserve">; </w:t>
      </w:r>
      <w:r w:rsidRPr="00A0471C">
        <w:rPr>
          <w:rFonts w:ascii="Times New Roman" w:eastAsia="Times New Roman" w:hAnsi="Times New Roman" w:cs="Times New Roman"/>
          <w:bCs/>
          <w:kern w:val="36"/>
          <w:sz w:val="24"/>
          <w:szCs w:val="24"/>
          <w:lang w:val="en" w:eastAsia="en-GB"/>
        </w:rPr>
        <w:t>Total word count: 3,1</w:t>
      </w:r>
      <w:r w:rsidR="00986F4B">
        <w:rPr>
          <w:rFonts w:ascii="Times New Roman" w:eastAsia="Times New Roman" w:hAnsi="Times New Roman" w:cs="Times New Roman"/>
          <w:bCs/>
          <w:kern w:val="36"/>
          <w:sz w:val="24"/>
          <w:szCs w:val="24"/>
          <w:lang w:val="en" w:eastAsia="en-GB"/>
        </w:rPr>
        <w:t>89</w:t>
      </w:r>
      <w:r w:rsidRPr="00A0471C">
        <w:rPr>
          <w:rFonts w:ascii="Times New Roman" w:eastAsia="Times New Roman" w:hAnsi="Times New Roman" w:cs="Times New Roman"/>
          <w:bCs/>
          <w:kern w:val="36"/>
          <w:sz w:val="24"/>
          <w:szCs w:val="24"/>
          <w:lang w:val="en" w:eastAsia="en-GB"/>
        </w:rPr>
        <w:t xml:space="preserve"> (Abstract to Acknowledgements, excluding legends on Tables and </w:t>
      </w:r>
      <w:r>
        <w:rPr>
          <w:rFonts w:ascii="Times New Roman" w:eastAsia="Times New Roman" w:hAnsi="Times New Roman" w:cs="Times New Roman"/>
          <w:bCs/>
          <w:kern w:val="36"/>
          <w:sz w:val="24"/>
          <w:szCs w:val="24"/>
          <w:lang w:val="en" w:eastAsia="en-GB"/>
        </w:rPr>
        <w:t>F</w:t>
      </w:r>
      <w:r w:rsidRPr="00A0471C">
        <w:rPr>
          <w:rFonts w:ascii="Times New Roman" w:eastAsia="Times New Roman" w:hAnsi="Times New Roman" w:cs="Times New Roman"/>
          <w:bCs/>
          <w:kern w:val="36"/>
          <w:sz w:val="24"/>
          <w:szCs w:val="24"/>
          <w:lang w:val="en" w:eastAsia="en-GB"/>
        </w:rPr>
        <w:t>igures)</w:t>
      </w:r>
      <w:r>
        <w:rPr>
          <w:rFonts w:ascii="Times New Roman" w:eastAsia="Times New Roman" w:hAnsi="Times New Roman" w:cs="Times New Roman"/>
          <w:bCs/>
          <w:kern w:val="36"/>
          <w:sz w:val="24"/>
          <w:szCs w:val="24"/>
          <w:lang w:val="en" w:eastAsia="en-GB"/>
        </w:rPr>
        <w:t>; Total number of Tables/Figures: 5; Number of references: 2</w:t>
      </w:r>
      <w:r w:rsidR="00986F4B">
        <w:rPr>
          <w:rFonts w:ascii="Times New Roman" w:eastAsia="Times New Roman" w:hAnsi="Times New Roman" w:cs="Times New Roman"/>
          <w:bCs/>
          <w:kern w:val="36"/>
          <w:sz w:val="24"/>
          <w:szCs w:val="24"/>
          <w:lang w:val="en" w:eastAsia="en-GB"/>
        </w:rPr>
        <w:t>4</w:t>
      </w:r>
      <w:r w:rsidR="00CD5130">
        <w:rPr>
          <w:rFonts w:ascii="Times New Roman" w:eastAsia="Times New Roman" w:hAnsi="Times New Roman" w:cs="Times New Roman"/>
          <w:bCs/>
          <w:kern w:val="36"/>
          <w:sz w:val="24"/>
          <w:szCs w:val="24"/>
          <w:lang w:val="en" w:eastAsia="en-GB"/>
        </w:rPr>
        <w:t>.</w:t>
      </w:r>
    </w:p>
    <w:p w:rsidR="00B17475" w:rsidRDefault="00B17475" w:rsidP="00B174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17475" w:rsidRDefault="00B17475" w:rsidP="00397E96">
      <w:pPr>
        <w:tabs>
          <w:tab w:val="left" w:pos="3008"/>
        </w:tabs>
        <w:rPr>
          <w:rFonts w:ascii="Times New Roman" w:hAnsi="Times New Roman" w:cs="Times New Roman"/>
          <w:b/>
          <w:sz w:val="24"/>
          <w:szCs w:val="24"/>
        </w:rPr>
      </w:pPr>
      <w:r>
        <w:rPr>
          <w:rFonts w:ascii="Times New Roman" w:hAnsi="Times New Roman" w:cs="Times New Roman"/>
          <w:b/>
          <w:sz w:val="24"/>
          <w:szCs w:val="24"/>
        </w:rPr>
        <w:lastRenderedPageBreak/>
        <w:t>Abstract</w:t>
      </w:r>
      <w:r w:rsidR="00397E96">
        <w:rPr>
          <w:rFonts w:ascii="Times New Roman" w:hAnsi="Times New Roman" w:cs="Times New Roman"/>
          <w:b/>
          <w:sz w:val="24"/>
          <w:szCs w:val="24"/>
        </w:rPr>
        <w:tab/>
      </w:r>
    </w:p>
    <w:p w:rsidR="00B17475" w:rsidRDefault="00397E96" w:rsidP="00B17475">
      <w:pPr>
        <w:pStyle w:val="para"/>
        <w:spacing w:line="360" w:lineRule="auto"/>
        <w:jc w:val="both"/>
      </w:pPr>
      <w:r w:rsidRPr="00397E96">
        <w:rPr>
          <w:b/>
        </w:rPr>
        <w:t>OBJECTIVES</w:t>
      </w:r>
      <w:r w:rsidR="00B17475" w:rsidRPr="007044A0">
        <w:t xml:space="preserve">: </w:t>
      </w:r>
      <w:r w:rsidR="00B17475">
        <w:t>to determine</w:t>
      </w:r>
      <w:r w:rsidR="00B17475" w:rsidRPr="007044A0">
        <w:t xml:space="preserve"> </w:t>
      </w:r>
      <w:r w:rsidR="00B17475">
        <w:t xml:space="preserve">the </w:t>
      </w:r>
      <w:r w:rsidR="00B17475" w:rsidRPr="007044A0">
        <w:t xml:space="preserve">efficacy of a dental nurse-delivered intervention, the Dental Recur Brief Negotiated Interview for Oral Health (DR-BNI), in reducing the re-occurrence of dental caries in children who had a primary tooth extracted two years previously. </w:t>
      </w:r>
      <w:r w:rsidRPr="00397E96">
        <w:rPr>
          <w:b/>
        </w:rPr>
        <w:t>METHOD</w:t>
      </w:r>
      <w:r w:rsidR="00B17475" w:rsidRPr="007044A0">
        <w:t xml:space="preserve">: Two-arm, multi-centre randomised controlled trial (RCT), with blinded outcome assessment. </w:t>
      </w:r>
      <w:r w:rsidR="00B17475">
        <w:t xml:space="preserve">12 Centres in the UK; n=241, </w:t>
      </w:r>
      <w:r w:rsidR="00B17475" w:rsidRPr="007044A0">
        <w:t>5-7 year-old children scheduled to have primary teeth extracted</w:t>
      </w:r>
      <w:r w:rsidR="00B17475">
        <w:t xml:space="preserve">. </w:t>
      </w:r>
      <w:r w:rsidR="00B17475" w:rsidRPr="007044A0">
        <w:t>Test intervention</w:t>
      </w:r>
      <w:r w:rsidR="00B17475">
        <w:t xml:space="preserve"> (n=119)</w:t>
      </w:r>
      <w:r w:rsidR="00B17475" w:rsidRPr="007044A0">
        <w:t>: DR-BNI informed by motivational</w:t>
      </w:r>
      <w:r w:rsidR="00B17475">
        <w:t xml:space="preserve"> interviewing (MI). </w:t>
      </w:r>
      <w:r w:rsidR="00B17475" w:rsidRPr="007044A0">
        <w:t>30-minute structured conversation with</w:t>
      </w:r>
      <w:r w:rsidR="00B17475">
        <w:t xml:space="preserve"> parents</w:t>
      </w:r>
      <w:r w:rsidR="00B17475" w:rsidRPr="007044A0">
        <w:t xml:space="preserve"> led by</w:t>
      </w:r>
      <w:r w:rsidR="00B17475">
        <w:t xml:space="preserve"> trained</w:t>
      </w:r>
      <w:r w:rsidR="00B17475" w:rsidRPr="007044A0">
        <w:t xml:space="preserve"> dental nurse</w:t>
      </w:r>
      <w:r w:rsidR="00B17475">
        <w:t>s</w:t>
      </w:r>
      <w:r w:rsidR="00B17475" w:rsidRPr="007044A0">
        <w:t xml:space="preserve">. Forward focus to prevent caries in future. Preventive goals agreed, </w:t>
      </w:r>
      <w:r w:rsidR="00B17475">
        <w:t xml:space="preserve">review </w:t>
      </w:r>
      <w:r w:rsidR="00B17475" w:rsidRPr="007044A0">
        <w:t xml:space="preserve">appointment made with general dental practice (GDP). </w:t>
      </w:r>
      <w:r w:rsidR="00B17475">
        <w:t xml:space="preserve">GDP advised to treat child as high caries-risk. </w:t>
      </w:r>
      <w:r w:rsidR="00B17475" w:rsidRPr="007044A0">
        <w:t>Control intervention</w:t>
      </w:r>
      <w:r w:rsidR="00B17475">
        <w:t xml:space="preserve"> (n=122)</w:t>
      </w:r>
      <w:r w:rsidR="00B17475" w:rsidRPr="007044A0">
        <w:t xml:space="preserve">: </w:t>
      </w:r>
      <w:r w:rsidR="00B17475">
        <w:t xml:space="preserve">conversation </w:t>
      </w:r>
      <w:r w:rsidR="00B17475" w:rsidRPr="007044A0">
        <w:t>about future eruption of permanent teeth</w:t>
      </w:r>
      <w:r w:rsidR="00B17475">
        <w:t>, advised attend GDP as usual</w:t>
      </w:r>
      <w:r w:rsidR="00B17475" w:rsidRPr="007044A0">
        <w:t>.</w:t>
      </w:r>
      <w:r w:rsidR="00B17475">
        <w:t xml:space="preserve"> Baseline: mean dmft 6.8 in DR-BNI group, 6.3 in control, median 5 teeth extracted, mainly under general anaesthesia. </w:t>
      </w:r>
      <w:r w:rsidRPr="00397E96">
        <w:rPr>
          <w:b/>
        </w:rPr>
        <w:t>RESULTS</w:t>
      </w:r>
      <w:r w:rsidR="00B17475">
        <w:t xml:space="preserve">: </w:t>
      </w:r>
      <w:r w:rsidR="00B17475" w:rsidRPr="007044A0">
        <w:t xml:space="preserve">Final dental </w:t>
      </w:r>
      <w:r w:rsidR="00B17475">
        <w:t>assessment</w:t>
      </w:r>
      <w:r w:rsidR="00B17475" w:rsidRPr="007044A0">
        <w:t>s by a single examiner visiting 189 schools</w:t>
      </w:r>
      <w:r w:rsidR="00B17475">
        <w:t xml:space="preserve"> </w:t>
      </w:r>
      <w:r w:rsidR="00B17475" w:rsidRPr="007044A0">
        <w:t>two years after intervention</w:t>
      </w:r>
      <w:r w:rsidR="00B17475">
        <w:t>; 193 (80%) of 241 children examined</w:t>
      </w:r>
      <w:r w:rsidR="00B17475" w:rsidRPr="007044A0">
        <w:t xml:space="preserve">. 62% in control group developed new </w:t>
      </w:r>
      <w:r w:rsidR="00323653" w:rsidRPr="00322718">
        <w:t>caries</w:t>
      </w:r>
      <w:r w:rsidR="00B17475" w:rsidRPr="007044A0">
        <w:t xml:space="preserve"> in teeth that were caries free or </w:t>
      </w:r>
      <w:r w:rsidR="00B17475" w:rsidRPr="00322718">
        <w:t>unerupted</w:t>
      </w:r>
      <w:r w:rsidR="00323653" w:rsidRPr="00322718">
        <w:t xml:space="preserve"> at baseline</w:t>
      </w:r>
      <w:r w:rsidR="00B17475" w:rsidRPr="007044A0">
        <w:t>. In the test group, this was 44%, a significant reduction (p=0.021). The odds of new caries experience occurring were reduced by 51% in the DR-BNI group compared to control. Relative risk: 29% decrease in the risk of new caries experience in the DR-BNI group compared to control.</w:t>
      </w:r>
      <w:r w:rsidR="00B17475">
        <w:t xml:space="preserve"> </w:t>
      </w:r>
      <w:r w:rsidR="00B17475" w:rsidRPr="00314E36">
        <w:t xml:space="preserve">In a wide range of high caries risk children, this single, low cost, low </w:t>
      </w:r>
      <w:r w:rsidR="00B17475">
        <w:t>intensity</w:t>
      </w:r>
      <w:r w:rsidR="00B17475" w:rsidRPr="00314E36">
        <w:t xml:space="preserve"> intervention was successful in significantly reducing the risk of new caries experience. </w:t>
      </w:r>
      <w:r w:rsidRPr="00397E96">
        <w:rPr>
          <w:b/>
        </w:rPr>
        <w:t>CONCLUSION</w:t>
      </w:r>
      <w:r w:rsidR="00B17475">
        <w:t>: t</w:t>
      </w:r>
      <w:r w:rsidR="00B17475" w:rsidRPr="00314E36">
        <w:t xml:space="preserve">his trial has implications for changing </w:t>
      </w:r>
      <w:r w:rsidR="00B17475">
        <w:t>paediatric</w:t>
      </w:r>
      <w:r w:rsidR="00B17475" w:rsidRPr="00314E36">
        <w:t xml:space="preserve"> </w:t>
      </w:r>
      <w:r w:rsidR="00B17475">
        <w:t xml:space="preserve">dental </w:t>
      </w:r>
      <w:r w:rsidR="00B17475" w:rsidRPr="00314E36">
        <w:t>practice internationally. Training in</w:t>
      </w:r>
      <w:r w:rsidR="00B17475">
        <w:t>, and implementation of, an MI-</w:t>
      </w:r>
      <w:r w:rsidR="00B17475" w:rsidRPr="00314E36">
        <w:t>informed brief intervention provides opportunities for dental nurses to go beyond clinical prevention to facilitate behaviour change, and to support oral health</w:t>
      </w:r>
      <w:r w:rsidR="00B17475">
        <w:t xml:space="preserve"> </w:t>
      </w:r>
      <w:r w:rsidR="00B17475" w:rsidRPr="00314E36">
        <w:t>improvements for high caries risk children</w:t>
      </w:r>
      <w:r w:rsidR="00B17475">
        <w:t>.</w:t>
      </w:r>
    </w:p>
    <w:p w:rsidR="00B17475" w:rsidRDefault="00B17475" w:rsidP="0024249B">
      <w:pPr>
        <w:spacing w:line="360" w:lineRule="auto"/>
        <w:jc w:val="both"/>
        <w:rPr>
          <w:rFonts w:ascii="Times New Roman" w:hAnsi="Times New Roman" w:cs="Times New Roman"/>
          <w:b/>
          <w:sz w:val="24"/>
          <w:szCs w:val="24"/>
        </w:rPr>
      </w:pPr>
    </w:p>
    <w:p w:rsidR="00B17475" w:rsidRPr="001B60F5" w:rsidRDefault="00021260" w:rsidP="001B60F5">
      <w:pPr>
        <w:spacing w:line="360" w:lineRule="auto"/>
        <w:rPr>
          <w:rFonts w:ascii="Times New Roman" w:hAnsi="Times New Roman" w:cs="Times New Roman"/>
          <w:b/>
          <w:sz w:val="24"/>
          <w:szCs w:val="24"/>
        </w:rPr>
      </w:pPr>
      <w:r>
        <w:rPr>
          <w:rFonts w:ascii="Times New Roman" w:eastAsia="Calibri" w:hAnsi="Times New Roman" w:cs="Times New Roman"/>
          <w:sz w:val="24"/>
          <w:szCs w:val="24"/>
        </w:rPr>
        <w:t>Clinical t</w:t>
      </w:r>
      <w:r w:rsidRPr="00016693">
        <w:rPr>
          <w:rFonts w:ascii="Times New Roman" w:eastAsia="Calibri" w:hAnsi="Times New Roman" w:cs="Times New Roman"/>
          <w:sz w:val="24"/>
          <w:szCs w:val="24"/>
        </w:rPr>
        <w:t>rial registration</w:t>
      </w:r>
      <w:r>
        <w:rPr>
          <w:rFonts w:ascii="Times New Roman" w:eastAsia="Calibri" w:hAnsi="Times New Roman" w:cs="Times New Roman"/>
          <w:sz w:val="24"/>
          <w:szCs w:val="24"/>
        </w:rPr>
        <w:t xml:space="preserve"> number</w:t>
      </w:r>
      <w:r w:rsidRPr="00016693">
        <w:rPr>
          <w:rFonts w:ascii="Times New Roman" w:eastAsia="Calibri" w:hAnsi="Times New Roman" w:cs="Times New Roman"/>
          <w:sz w:val="24"/>
          <w:szCs w:val="24"/>
        </w:rPr>
        <w:t xml:space="preserve">: </w:t>
      </w:r>
      <w:hyperlink r:id="rId11">
        <w:r w:rsidRPr="00016693">
          <w:rPr>
            <w:rFonts w:ascii="Times New Roman" w:eastAsia="Calibri" w:hAnsi="Times New Roman" w:cs="Times New Roman"/>
            <w:sz w:val="24"/>
            <w:szCs w:val="24"/>
          </w:rPr>
          <w:t>ISRCTN24958829</w:t>
        </w:r>
      </w:hyperlink>
      <w:r>
        <w:rPr>
          <w:rFonts w:ascii="Times New Roman" w:eastAsia="Calibri" w:hAnsi="Times New Roman" w:cs="Times New Roman"/>
          <w:sz w:val="24"/>
          <w:szCs w:val="24"/>
        </w:rPr>
        <w:t>; Registry:</w:t>
      </w:r>
      <w:r w:rsidR="001B60F5">
        <w:rPr>
          <w:rFonts w:ascii="Times New Roman" w:eastAsia="Calibri" w:hAnsi="Times New Roman" w:cs="Times New Roman"/>
          <w:sz w:val="24"/>
          <w:szCs w:val="24"/>
        </w:rPr>
        <w:t xml:space="preserve"> ISCRTN; </w:t>
      </w:r>
      <w:hyperlink r:id="rId12" w:history="1">
        <w:r w:rsidR="001B60F5" w:rsidRPr="001B60F5">
          <w:rPr>
            <w:rStyle w:val="Hyperlink"/>
            <w:rFonts w:ascii="Times New Roman" w:hAnsi="Times New Roman" w:cs="Times New Roman"/>
            <w:color w:val="auto"/>
            <w:sz w:val="23"/>
            <w:szCs w:val="23"/>
            <w:u w:val="none"/>
          </w:rPr>
          <w:t>https://doi.org/10.1186/ISRCTN24958829</w:t>
        </w:r>
      </w:hyperlink>
    </w:p>
    <w:p w:rsidR="00B17475" w:rsidRDefault="00B17475" w:rsidP="0024249B">
      <w:pPr>
        <w:spacing w:line="360" w:lineRule="auto"/>
        <w:jc w:val="both"/>
        <w:rPr>
          <w:rFonts w:ascii="Times New Roman" w:hAnsi="Times New Roman" w:cs="Times New Roman"/>
          <w:b/>
          <w:sz w:val="24"/>
          <w:szCs w:val="24"/>
        </w:rPr>
      </w:pPr>
    </w:p>
    <w:p w:rsidR="00B17475" w:rsidRDefault="00B17475" w:rsidP="0024249B">
      <w:pPr>
        <w:spacing w:line="360" w:lineRule="auto"/>
        <w:jc w:val="both"/>
        <w:rPr>
          <w:rFonts w:ascii="Times New Roman" w:hAnsi="Times New Roman" w:cs="Times New Roman"/>
          <w:b/>
          <w:sz w:val="24"/>
          <w:szCs w:val="24"/>
        </w:rPr>
      </w:pPr>
    </w:p>
    <w:p w:rsidR="00B17475" w:rsidRDefault="00B17475" w:rsidP="0024249B">
      <w:pPr>
        <w:spacing w:line="360" w:lineRule="auto"/>
        <w:jc w:val="both"/>
        <w:rPr>
          <w:rFonts w:ascii="Times New Roman" w:hAnsi="Times New Roman" w:cs="Times New Roman"/>
          <w:b/>
          <w:sz w:val="24"/>
          <w:szCs w:val="24"/>
        </w:rPr>
      </w:pPr>
    </w:p>
    <w:p w:rsidR="00B17475" w:rsidRDefault="00B17475" w:rsidP="0024249B">
      <w:pPr>
        <w:spacing w:line="360" w:lineRule="auto"/>
        <w:jc w:val="both"/>
        <w:rPr>
          <w:rFonts w:ascii="Times New Roman" w:hAnsi="Times New Roman" w:cs="Times New Roman"/>
          <w:b/>
          <w:sz w:val="24"/>
          <w:szCs w:val="24"/>
        </w:rPr>
      </w:pPr>
    </w:p>
    <w:p w:rsidR="0024249B" w:rsidRDefault="0024249B" w:rsidP="0024249B">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24249B" w:rsidRPr="00322718" w:rsidRDefault="007A2AD3" w:rsidP="0024249B">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24249B">
        <w:rPr>
          <w:rFonts w:ascii="Times New Roman" w:hAnsi="Times New Roman" w:cs="Times New Roman"/>
          <w:sz w:val="24"/>
          <w:szCs w:val="24"/>
        </w:rPr>
        <w:t>ental extraction is the single highest cause of planned admission to hospital for</w:t>
      </w:r>
      <w:r w:rsidR="009C5E7D">
        <w:rPr>
          <w:rFonts w:ascii="Times New Roman" w:hAnsi="Times New Roman" w:cs="Times New Roman"/>
          <w:sz w:val="24"/>
          <w:szCs w:val="24"/>
        </w:rPr>
        <w:t xml:space="preserve"> children under 11 years of age in England and Scotland </w:t>
      </w:r>
      <w:r w:rsidR="0024249B">
        <w:rPr>
          <w:rFonts w:ascii="Times New Roman" w:hAnsi="Times New Roman" w:cs="Times New Roman"/>
          <w:sz w:val="24"/>
          <w:szCs w:val="24"/>
        </w:rPr>
        <w:t>(</w:t>
      </w:r>
      <w:r w:rsidR="0026543C">
        <w:rPr>
          <w:rFonts w:ascii="Times New Roman" w:hAnsi="Times New Roman" w:cs="Times New Roman"/>
          <w:sz w:val="24"/>
          <w:szCs w:val="24"/>
        </w:rPr>
        <w:t>RCS 2015</w:t>
      </w:r>
      <w:r w:rsidR="009C5E7D">
        <w:rPr>
          <w:rFonts w:ascii="Times New Roman" w:hAnsi="Times New Roman" w:cs="Times New Roman"/>
          <w:sz w:val="24"/>
          <w:szCs w:val="24"/>
        </w:rPr>
        <w:t>, ISD, 2016</w:t>
      </w:r>
      <w:r w:rsidR="0024249B">
        <w:rPr>
          <w:rFonts w:ascii="Times New Roman" w:hAnsi="Times New Roman" w:cs="Times New Roman"/>
          <w:sz w:val="24"/>
          <w:szCs w:val="24"/>
        </w:rPr>
        <w:t xml:space="preserve">). </w:t>
      </w:r>
      <w:r w:rsidR="001C1B3A">
        <w:rPr>
          <w:rFonts w:ascii="Times New Roman" w:hAnsi="Times New Roman" w:cs="Times New Roman"/>
          <w:sz w:val="24"/>
          <w:szCs w:val="24"/>
        </w:rPr>
        <w:t>S</w:t>
      </w:r>
      <w:r w:rsidR="0024249B">
        <w:rPr>
          <w:rFonts w:ascii="Times New Roman" w:hAnsi="Times New Roman" w:cs="Times New Roman"/>
          <w:sz w:val="24"/>
          <w:szCs w:val="24"/>
        </w:rPr>
        <w:t>urg</w:t>
      </w:r>
      <w:r w:rsidR="00D05294">
        <w:rPr>
          <w:rFonts w:ascii="Times New Roman" w:hAnsi="Times New Roman" w:cs="Times New Roman"/>
          <w:sz w:val="24"/>
          <w:szCs w:val="24"/>
        </w:rPr>
        <w:t>ery</w:t>
      </w:r>
      <w:r w:rsidR="0024249B">
        <w:rPr>
          <w:rFonts w:ascii="Times New Roman" w:hAnsi="Times New Roman" w:cs="Times New Roman"/>
          <w:sz w:val="24"/>
          <w:szCs w:val="24"/>
        </w:rPr>
        <w:t xml:space="preserve"> cannot prevent fu</w:t>
      </w:r>
      <w:r w:rsidR="001C1B3A">
        <w:rPr>
          <w:rFonts w:ascii="Times New Roman" w:hAnsi="Times New Roman" w:cs="Times New Roman"/>
          <w:sz w:val="24"/>
          <w:szCs w:val="24"/>
        </w:rPr>
        <w:t>ture</w:t>
      </w:r>
      <w:r w:rsidR="0024249B">
        <w:rPr>
          <w:rFonts w:ascii="Times New Roman" w:hAnsi="Times New Roman" w:cs="Times New Roman"/>
          <w:sz w:val="24"/>
          <w:szCs w:val="24"/>
        </w:rPr>
        <w:t xml:space="preserve"> decay because underlying aetiological factors</w:t>
      </w:r>
      <w:r w:rsidR="00D96014">
        <w:rPr>
          <w:rFonts w:ascii="Times New Roman" w:hAnsi="Times New Roman" w:cs="Times New Roman"/>
          <w:sz w:val="24"/>
          <w:szCs w:val="24"/>
        </w:rPr>
        <w:t>:</w:t>
      </w:r>
      <w:r w:rsidR="00D35CD6">
        <w:rPr>
          <w:rFonts w:ascii="Times New Roman" w:hAnsi="Times New Roman" w:cs="Times New Roman"/>
          <w:sz w:val="24"/>
          <w:szCs w:val="24"/>
        </w:rPr>
        <w:t xml:space="preserve"> </w:t>
      </w:r>
      <w:r w:rsidR="0024249B">
        <w:rPr>
          <w:rFonts w:ascii="Times New Roman" w:hAnsi="Times New Roman" w:cs="Times New Roman"/>
          <w:sz w:val="24"/>
          <w:szCs w:val="24"/>
        </w:rPr>
        <w:t>high sugar intake</w:t>
      </w:r>
      <w:r w:rsidR="00D96014">
        <w:rPr>
          <w:rFonts w:ascii="Times New Roman" w:hAnsi="Times New Roman" w:cs="Times New Roman"/>
          <w:sz w:val="24"/>
          <w:szCs w:val="24"/>
        </w:rPr>
        <w:t>;</w:t>
      </w:r>
      <w:r w:rsidR="0024249B">
        <w:rPr>
          <w:rFonts w:ascii="Times New Roman" w:hAnsi="Times New Roman" w:cs="Times New Roman"/>
          <w:sz w:val="24"/>
          <w:szCs w:val="24"/>
        </w:rPr>
        <w:t xml:space="preserve"> irregular toothbrushing with fluoride toothpaste</w:t>
      </w:r>
      <w:r w:rsidR="00D96014">
        <w:rPr>
          <w:rFonts w:ascii="Times New Roman" w:hAnsi="Times New Roman" w:cs="Times New Roman"/>
          <w:sz w:val="24"/>
          <w:szCs w:val="24"/>
        </w:rPr>
        <w:t>;</w:t>
      </w:r>
      <w:r w:rsidR="0024249B">
        <w:rPr>
          <w:rFonts w:ascii="Times New Roman" w:hAnsi="Times New Roman" w:cs="Times New Roman"/>
          <w:sz w:val="24"/>
          <w:szCs w:val="24"/>
        </w:rPr>
        <w:t xml:space="preserve"> and</w:t>
      </w:r>
      <w:r w:rsidR="00D96014">
        <w:rPr>
          <w:rFonts w:ascii="Times New Roman" w:hAnsi="Times New Roman" w:cs="Times New Roman"/>
          <w:sz w:val="24"/>
          <w:szCs w:val="24"/>
        </w:rPr>
        <w:t>,</w:t>
      </w:r>
      <w:r w:rsidR="0024249B">
        <w:rPr>
          <w:rFonts w:ascii="Times New Roman" w:hAnsi="Times New Roman" w:cs="Times New Roman"/>
          <w:sz w:val="24"/>
          <w:szCs w:val="24"/>
        </w:rPr>
        <w:t xml:space="preserve"> symptomatic dental attendance (</w:t>
      </w:r>
      <w:r w:rsidR="0026543C">
        <w:rPr>
          <w:rFonts w:ascii="Times New Roman" w:hAnsi="Times New Roman" w:cs="Times New Roman"/>
          <w:sz w:val="24"/>
          <w:szCs w:val="24"/>
        </w:rPr>
        <w:t>Public Health England 2017</w:t>
      </w:r>
      <w:r w:rsidR="0024249B">
        <w:rPr>
          <w:rFonts w:ascii="Times New Roman" w:hAnsi="Times New Roman" w:cs="Times New Roman"/>
          <w:sz w:val="24"/>
          <w:szCs w:val="24"/>
        </w:rPr>
        <w:t>)</w:t>
      </w:r>
      <w:r w:rsidR="001C1B3A">
        <w:rPr>
          <w:rFonts w:ascii="Times New Roman" w:hAnsi="Times New Roman" w:cs="Times New Roman"/>
          <w:sz w:val="24"/>
          <w:szCs w:val="24"/>
        </w:rPr>
        <w:t xml:space="preserve"> are unchanged</w:t>
      </w:r>
      <w:r w:rsidR="0024249B">
        <w:rPr>
          <w:rFonts w:ascii="Times New Roman" w:hAnsi="Times New Roman" w:cs="Times New Roman"/>
          <w:sz w:val="24"/>
          <w:szCs w:val="24"/>
        </w:rPr>
        <w:t xml:space="preserve">. </w:t>
      </w:r>
      <w:r w:rsidR="00672A6D">
        <w:rPr>
          <w:rFonts w:ascii="Times New Roman" w:hAnsi="Times New Roman" w:cs="Times New Roman"/>
          <w:sz w:val="24"/>
          <w:szCs w:val="24"/>
        </w:rPr>
        <w:t>A r</w:t>
      </w:r>
      <w:r w:rsidR="0024249B" w:rsidRPr="00672A6D">
        <w:rPr>
          <w:rFonts w:ascii="Times New Roman" w:hAnsi="Times New Roman" w:cs="Times New Roman"/>
          <w:sz w:val="24"/>
          <w:szCs w:val="24"/>
        </w:rPr>
        <w:t>eview</w:t>
      </w:r>
      <w:r w:rsidR="00672A6D">
        <w:rPr>
          <w:rFonts w:ascii="Times New Roman" w:hAnsi="Times New Roman" w:cs="Times New Roman"/>
          <w:sz w:val="24"/>
          <w:szCs w:val="24"/>
        </w:rPr>
        <w:t xml:space="preserve"> of</w:t>
      </w:r>
      <w:r w:rsidR="0024249B">
        <w:rPr>
          <w:rFonts w:ascii="Times New Roman" w:hAnsi="Times New Roman" w:cs="Times New Roman"/>
          <w:sz w:val="24"/>
          <w:szCs w:val="24"/>
        </w:rPr>
        <w:t xml:space="preserve"> children having first permanent </w:t>
      </w:r>
      <w:r w:rsidR="0024249B" w:rsidRPr="00322718">
        <w:rPr>
          <w:rFonts w:ascii="Times New Roman" w:hAnsi="Times New Roman" w:cs="Times New Roman"/>
          <w:sz w:val="24"/>
          <w:szCs w:val="24"/>
        </w:rPr>
        <w:t>molar</w:t>
      </w:r>
      <w:r w:rsidR="001C67DD" w:rsidRPr="00322718">
        <w:rPr>
          <w:rFonts w:ascii="Times New Roman" w:hAnsi="Times New Roman" w:cs="Times New Roman"/>
          <w:sz w:val="24"/>
          <w:szCs w:val="24"/>
        </w:rPr>
        <w:t>s</w:t>
      </w:r>
      <w:r w:rsidR="0024249B" w:rsidRPr="00322718">
        <w:rPr>
          <w:rFonts w:ascii="Times New Roman" w:hAnsi="Times New Roman" w:cs="Times New Roman"/>
          <w:sz w:val="24"/>
          <w:szCs w:val="24"/>
        </w:rPr>
        <w:t xml:space="preserve"> extracted found 40% had previous extractions of primary teeth (</w:t>
      </w:r>
      <w:r w:rsidR="0026543C" w:rsidRPr="00322718">
        <w:rPr>
          <w:rFonts w:ascii="Times New Roman" w:hAnsi="Times New Roman" w:cs="Times New Roman"/>
          <w:sz w:val="24"/>
          <w:szCs w:val="24"/>
        </w:rPr>
        <w:t>Albadri et al. 2007</w:t>
      </w:r>
      <w:r w:rsidR="001C1B3A" w:rsidRPr="00322718">
        <w:rPr>
          <w:rFonts w:ascii="Times New Roman" w:hAnsi="Times New Roman" w:cs="Times New Roman"/>
          <w:sz w:val="24"/>
          <w:szCs w:val="24"/>
        </w:rPr>
        <w:t xml:space="preserve">). </w:t>
      </w:r>
      <w:r w:rsidR="0024249B" w:rsidRPr="00322718">
        <w:rPr>
          <w:rFonts w:ascii="Times New Roman" w:hAnsi="Times New Roman" w:cs="Times New Roman"/>
          <w:sz w:val="24"/>
          <w:szCs w:val="24"/>
        </w:rPr>
        <w:t xml:space="preserve">Parents whose children develop new decay post-extraction </w:t>
      </w:r>
      <w:r w:rsidR="00D96014" w:rsidRPr="00322718">
        <w:rPr>
          <w:rFonts w:ascii="Times New Roman" w:hAnsi="Times New Roman" w:cs="Times New Roman"/>
          <w:sz w:val="24"/>
          <w:szCs w:val="24"/>
        </w:rPr>
        <w:t xml:space="preserve">may have struggled to accept health advice or feel unable to change previous </w:t>
      </w:r>
      <w:r w:rsidR="001C1B3A" w:rsidRPr="00322718">
        <w:rPr>
          <w:rFonts w:ascii="Times New Roman" w:hAnsi="Times New Roman" w:cs="Times New Roman"/>
          <w:sz w:val="24"/>
          <w:szCs w:val="24"/>
        </w:rPr>
        <w:t xml:space="preserve">unhealthy </w:t>
      </w:r>
      <w:r w:rsidR="00D96014" w:rsidRPr="00322718">
        <w:rPr>
          <w:rFonts w:ascii="Times New Roman" w:hAnsi="Times New Roman" w:cs="Times New Roman"/>
          <w:sz w:val="24"/>
          <w:szCs w:val="24"/>
        </w:rPr>
        <w:t>behaviour</w:t>
      </w:r>
      <w:r w:rsidR="001C1B3A" w:rsidRPr="00322718">
        <w:rPr>
          <w:rFonts w:ascii="Times New Roman" w:hAnsi="Times New Roman" w:cs="Times New Roman"/>
          <w:sz w:val="24"/>
          <w:szCs w:val="24"/>
        </w:rPr>
        <w:t>s</w:t>
      </w:r>
      <w:r w:rsidR="00D96014" w:rsidRPr="00322718">
        <w:rPr>
          <w:rFonts w:ascii="Times New Roman" w:hAnsi="Times New Roman" w:cs="Times New Roman"/>
          <w:sz w:val="24"/>
          <w:szCs w:val="24"/>
        </w:rPr>
        <w:t xml:space="preserve"> </w:t>
      </w:r>
      <w:r w:rsidR="0024249B" w:rsidRPr="00322718">
        <w:rPr>
          <w:rFonts w:ascii="Times New Roman" w:hAnsi="Times New Roman" w:cs="Times New Roman"/>
          <w:sz w:val="24"/>
          <w:szCs w:val="24"/>
        </w:rPr>
        <w:t>(</w:t>
      </w:r>
      <w:r w:rsidR="00252C48" w:rsidRPr="00322718">
        <w:rPr>
          <w:rFonts w:ascii="Times New Roman" w:hAnsi="Times New Roman" w:cs="Times New Roman"/>
          <w:sz w:val="24"/>
          <w:szCs w:val="24"/>
        </w:rPr>
        <w:t>Amin and Harrison 2007</w:t>
      </w:r>
      <w:r w:rsidR="0024249B" w:rsidRPr="00322718">
        <w:rPr>
          <w:rFonts w:ascii="Times New Roman" w:hAnsi="Times New Roman" w:cs="Times New Roman"/>
          <w:sz w:val="24"/>
          <w:szCs w:val="24"/>
        </w:rPr>
        <w:t xml:space="preserve">). </w:t>
      </w:r>
    </w:p>
    <w:p w:rsidR="000E305A" w:rsidRPr="00322718" w:rsidRDefault="0024249B" w:rsidP="0024249B">
      <w:pPr>
        <w:spacing w:line="360" w:lineRule="auto"/>
        <w:jc w:val="both"/>
        <w:rPr>
          <w:rFonts w:ascii="Times New Roman" w:hAnsi="Times New Roman" w:cs="Times New Roman"/>
          <w:sz w:val="24"/>
          <w:szCs w:val="24"/>
        </w:rPr>
      </w:pPr>
      <w:r w:rsidRPr="00322718">
        <w:rPr>
          <w:rFonts w:ascii="Times New Roman" w:hAnsi="Times New Roman" w:cs="Times New Roman"/>
          <w:sz w:val="24"/>
          <w:szCs w:val="24"/>
        </w:rPr>
        <w:t xml:space="preserve">In other </w:t>
      </w:r>
      <w:r w:rsidR="00976FE2" w:rsidRPr="00322718">
        <w:rPr>
          <w:rFonts w:ascii="Times New Roman" w:hAnsi="Times New Roman" w:cs="Times New Roman"/>
          <w:sz w:val="24"/>
          <w:szCs w:val="24"/>
        </w:rPr>
        <w:t>habitual</w:t>
      </w:r>
      <w:r w:rsidRPr="00322718">
        <w:rPr>
          <w:rFonts w:ascii="Times New Roman" w:hAnsi="Times New Roman" w:cs="Times New Roman"/>
          <w:sz w:val="24"/>
          <w:szCs w:val="24"/>
        </w:rPr>
        <w:t xml:space="preserve"> behaviours, </w:t>
      </w:r>
      <w:r w:rsidR="00D05294" w:rsidRPr="00322718">
        <w:rPr>
          <w:rFonts w:ascii="Times New Roman" w:hAnsi="Times New Roman" w:cs="Times New Roman"/>
          <w:sz w:val="24"/>
          <w:szCs w:val="24"/>
        </w:rPr>
        <w:t xml:space="preserve">like smoking, </w:t>
      </w:r>
      <w:r w:rsidRPr="00322718">
        <w:rPr>
          <w:rFonts w:ascii="Times New Roman" w:hAnsi="Times New Roman" w:cs="Times New Roman"/>
          <w:sz w:val="24"/>
          <w:szCs w:val="24"/>
        </w:rPr>
        <w:t xml:space="preserve">motivational </w:t>
      </w:r>
      <w:r w:rsidR="001C67DD" w:rsidRPr="00322718">
        <w:rPr>
          <w:rFonts w:ascii="Times New Roman" w:hAnsi="Times New Roman" w:cs="Times New Roman"/>
          <w:sz w:val="24"/>
          <w:szCs w:val="24"/>
        </w:rPr>
        <w:t xml:space="preserve">interviewing (MI) </w:t>
      </w:r>
      <w:r w:rsidRPr="00322718">
        <w:rPr>
          <w:rFonts w:ascii="Times New Roman" w:hAnsi="Times New Roman" w:cs="Times New Roman"/>
          <w:sz w:val="24"/>
          <w:szCs w:val="24"/>
        </w:rPr>
        <w:t>approaches have move</w:t>
      </w:r>
      <w:r w:rsidR="001C1B3A" w:rsidRPr="00322718">
        <w:rPr>
          <w:rFonts w:ascii="Times New Roman" w:hAnsi="Times New Roman" w:cs="Times New Roman"/>
          <w:sz w:val="24"/>
          <w:szCs w:val="24"/>
        </w:rPr>
        <w:t>d</w:t>
      </w:r>
      <w:r w:rsidRPr="00322718">
        <w:rPr>
          <w:rFonts w:ascii="Times New Roman" w:hAnsi="Times New Roman" w:cs="Times New Roman"/>
          <w:sz w:val="24"/>
          <w:szCs w:val="24"/>
        </w:rPr>
        <w:t xml:space="preserve"> people from inaction to action</w:t>
      </w:r>
      <w:r w:rsidR="007B6600" w:rsidRPr="00322718">
        <w:rPr>
          <w:rFonts w:ascii="Times New Roman" w:hAnsi="Times New Roman" w:cs="Times New Roman"/>
          <w:sz w:val="24"/>
          <w:szCs w:val="24"/>
        </w:rPr>
        <w:t>,</w:t>
      </w:r>
      <w:r w:rsidRPr="00322718">
        <w:rPr>
          <w:rFonts w:ascii="Times New Roman" w:hAnsi="Times New Roman" w:cs="Times New Roman"/>
          <w:sz w:val="24"/>
          <w:szCs w:val="24"/>
        </w:rPr>
        <w:t xml:space="preserve"> (</w:t>
      </w:r>
      <w:r w:rsidR="00252C48" w:rsidRPr="00322718">
        <w:rPr>
          <w:rFonts w:ascii="Times New Roman" w:hAnsi="Times New Roman" w:cs="Times New Roman"/>
          <w:sz w:val="24"/>
          <w:szCs w:val="24"/>
        </w:rPr>
        <w:t>Prochaska et al</w:t>
      </w:r>
      <w:r w:rsidR="001C33DC" w:rsidRPr="00322718">
        <w:rPr>
          <w:rFonts w:ascii="Times New Roman" w:hAnsi="Times New Roman" w:cs="Times New Roman"/>
          <w:sz w:val="24"/>
          <w:szCs w:val="24"/>
        </w:rPr>
        <w:t>.</w:t>
      </w:r>
      <w:r w:rsidR="00252C48" w:rsidRPr="00322718">
        <w:rPr>
          <w:rFonts w:ascii="Times New Roman" w:hAnsi="Times New Roman" w:cs="Times New Roman"/>
          <w:sz w:val="24"/>
          <w:szCs w:val="24"/>
        </w:rPr>
        <w:t xml:space="preserve"> 2008</w:t>
      </w:r>
      <w:r w:rsidRPr="00322718">
        <w:rPr>
          <w:rFonts w:ascii="Times New Roman" w:hAnsi="Times New Roman" w:cs="Times New Roman"/>
          <w:sz w:val="24"/>
          <w:szCs w:val="24"/>
        </w:rPr>
        <w:t>)</w:t>
      </w:r>
      <w:r w:rsidR="00D05294" w:rsidRPr="00322718">
        <w:rPr>
          <w:rFonts w:ascii="Times New Roman" w:hAnsi="Times New Roman" w:cs="Times New Roman"/>
          <w:sz w:val="24"/>
          <w:szCs w:val="24"/>
        </w:rPr>
        <w:t xml:space="preserve">. </w:t>
      </w:r>
      <w:r w:rsidR="001C67DD" w:rsidRPr="00322718">
        <w:rPr>
          <w:rFonts w:ascii="Times New Roman" w:hAnsi="Times New Roman" w:cs="Times New Roman"/>
          <w:sz w:val="24"/>
          <w:szCs w:val="24"/>
        </w:rPr>
        <w:t>MI</w:t>
      </w:r>
      <w:r w:rsidRPr="00322718">
        <w:rPr>
          <w:rFonts w:ascii="Times New Roman" w:hAnsi="Times New Roman" w:cs="Times New Roman"/>
          <w:sz w:val="24"/>
          <w:szCs w:val="24"/>
        </w:rPr>
        <w:t xml:space="preserve"> has been used </w:t>
      </w:r>
      <w:r w:rsidR="00D05294" w:rsidRPr="00322718">
        <w:rPr>
          <w:rFonts w:ascii="Times New Roman" w:hAnsi="Times New Roman" w:cs="Times New Roman"/>
          <w:sz w:val="24"/>
          <w:szCs w:val="24"/>
        </w:rPr>
        <w:t>in</w:t>
      </w:r>
      <w:r w:rsidRPr="00322718">
        <w:rPr>
          <w:rFonts w:ascii="Times New Roman" w:hAnsi="Times New Roman" w:cs="Times New Roman"/>
          <w:sz w:val="24"/>
          <w:szCs w:val="24"/>
        </w:rPr>
        <w:t xml:space="preserve"> successful interventions influenc</w:t>
      </w:r>
      <w:r w:rsidR="00D05294" w:rsidRPr="00322718">
        <w:rPr>
          <w:rFonts w:ascii="Times New Roman" w:hAnsi="Times New Roman" w:cs="Times New Roman"/>
          <w:sz w:val="24"/>
          <w:szCs w:val="24"/>
        </w:rPr>
        <w:t>ing</w:t>
      </w:r>
      <w:r w:rsidRPr="00322718">
        <w:rPr>
          <w:rFonts w:ascii="Times New Roman" w:hAnsi="Times New Roman" w:cs="Times New Roman"/>
          <w:sz w:val="24"/>
          <w:szCs w:val="24"/>
        </w:rPr>
        <w:t xml:space="preserve"> parents to adopt and maintain preventive </w:t>
      </w:r>
      <w:r w:rsidR="00D05294" w:rsidRPr="00322718">
        <w:rPr>
          <w:rFonts w:ascii="Times New Roman" w:hAnsi="Times New Roman" w:cs="Times New Roman"/>
          <w:sz w:val="24"/>
          <w:szCs w:val="24"/>
        </w:rPr>
        <w:t xml:space="preserve">child </w:t>
      </w:r>
      <w:r w:rsidRPr="00322718">
        <w:rPr>
          <w:rFonts w:ascii="Times New Roman" w:hAnsi="Times New Roman" w:cs="Times New Roman"/>
          <w:sz w:val="24"/>
          <w:szCs w:val="24"/>
        </w:rPr>
        <w:t>oral health behaviours (</w:t>
      </w:r>
      <w:r w:rsidR="001C33DC" w:rsidRPr="00322718">
        <w:rPr>
          <w:rFonts w:ascii="Times New Roman" w:eastAsia="Calibri" w:hAnsi="Times New Roman" w:cs="Times New Roman"/>
          <w:sz w:val="24"/>
          <w:szCs w:val="24"/>
        </w:rPr>
        <w:t>Weinstein et al. 2006</w:t>
      </w:r>
      <w:r w:rsidRPr="00322718">
        <w:rPr>
          <w:rFonts w:ascii="Times New Roman" w:hAnsi="Times New Roman" w:cs="Times New Roman"/>
          <w:sz w:val="24"/>
          <w:szCs w:val="24"/>
        </w:rPr>
        <w:t>,</w:t>
      </w:r>
      <w:r w:rsidR="001C33DC" w:rsidRPr="00322718">
        <w:rPr>
          <w:rFonts w:ascii="Times New Roman" w:eastAsia="Calibri" w:hAnsi="Times New Roman" w:cs="Times New Roman"/>
          <w:sz w:val="24"/>
          <w:szCs w:val="24"/>
        </w:rPr>
        <w:t xml:space="preserve"> Freudenthal and Bowen</w:t>
      </w:r>
      <w:r w:rsidR="001C33DC" w:rsidRPr="00322718">
        <w:rPr>
          <w:rFonts w:ascii="Times New Roman" w:hAnsi="Times New Roman" w:cs="Times New Roman"/>
          <w:sz w:val="24"/>
          <w:szCs w:val="24"/>
        </w:rPr>
        <w:t xml:space="preserve"> 2010, Weinstein et al. 2004</w:t>
      </w:r>
      <w:r w:rsidRPr="00322718">
        <w:rPr>
          <w:rFonts w:ascii="Times New Roman" w:hAnsi="Times New Roman" w:cs="Times New Roman"/>
          <w:sz w:val="24"/>
          <w:szCs w:val="24"/>
        </w:rPr>
        <w:t xml:space="preserve">). MI </w:t>
      </w:r>
      <w:r w:rsidR="00D05294" w:rsidRPr="00322718">
        <w:rPr>
          <w:rFonts w:ascii="Times New Roman" w:hAnsi="Times New Roman" w:cs="Times New Roman"/>
          <w:sz w:val="24"/>
          <w:szCs w:val="24"/>
        </w:rPr>
        <w:t>within</w:t>
      </w:r>
      <w:r w:rsidRPr="00322718">
        <w:rPr>
          <w:rFonts w:ascii="Times New Roman" w:hAnsi="Times New Roman" w:cs="Times New Roman"/>
          <w:sz w:val="24"/>
          <w:szCs w:val="24"/>
        </w:rPr>
        <w:t xml:space="preserve"> a brief intervention in thirty minutes in a medical setting, using a structured framework taught to practitioners in a short training programme (</w:t>
      </w:r>
      <w:r w:rsidR="001C33DC" w:rsidRPr="00322718">
        <w:rPr>
          <w:rFonts w:ascii="Times New Roman" w:eastAsia="Calibri" w:hAnsi="Times New Roman" w:cs="Times New Roman"/>
          <w:sz w:val="24"/>
          <w:szCs w:val="24"/>
        </w:rPr>
        <w:t>Emmons and Rollnick 2001</w:t>
      </w:r>
      <w:r w:rsidRPr="00322718">
        <w:rPr>
          <w:rFonts w:ascii="Times New Roman" w:hAnsi="Times New Roman" w:cs="Times New Roman"/>
          <w:sz w:val="24"/>
          <w:szCs w:val="24"/>
        </w:rPr>
        <w:t>)</w:t>
      </w:r>
      <w:r w:rsidR="00227379" w:rsidRPr="00322718">
        <w:rPr>
          <w:rFonts w:ascii="Times New Roman" w:hAnsi="Times New Roman" w:cs="Times New Roman"/>
          <w:sz w:val="24"/>
          <w:szCs w:val="24"/>
        </w:rPr>
        <w:t>,</w:t>
      </w:r>
      <w:r w:rsidR="00D05294" w:rsidRPr="00322718">
        <w:rPr>
          <w:rFonts w:ascii="Times New Roman" w:hAnsi="Times New Roman" w:cs="Times New Roman"/>
          <w:sz w:val="24"/>
          <w:szCs w:val="24"/>
        </w:rPr>
        <w:t xml:space="preserve"> c</w:t>
      </w:r>
      <w:r w:rsidRPr="00322718">
        <w:rPr>
          <w:rFonts w:ascii="Times New Roman" w:hAnsi="Times New Roman" w:cs="Times New Roman"/>
          <w:sz w:val="24"/>
          <w:szCs w:val="24"/>
        </w:rPr>
        <w:t>hang</w:t>
      </w:r>
      <w:r w:rsidR="00D05294" w:rsidRPr="00322718">
        <w:rPr>
          <w:rFonts w:ascii="Times New Roman" w:hAnsi="Times New Roman" w:cs="Times New Roman"/>
          <w:sz w:val="24"/>
          <w:szCs w:val="24"/>
        </w:rPr>
        <w:t>ed</w:t>
      </w:r>
      <w:r w:rsidRPr="00322718">
        <w:rPr>
          <w:rFonts w:ascii="Times New Roman" w:hAnsi="Times New Roman" w:cs="Times New Roman"/>
          <w:sz w:val="24"/>
          <w:szCs w:val="24"/>
        </w:rPr>
        <w:t xml:space="preserve"> negative attitudes, beliefs and behaviours</w:t>
      </w:r>
      <w:r w:rsidR="00227379" w:rsidRPr="00322718">
        <w:rPr>
          <w:rFonts w:ascii="Times New Roman" w:hAnsi="Times New Roman" w:cs="Times New Roman"/>
          <w:sz w:val="24"/>
          <w:szCs w:val="24"/>
        </w:rPr>
        <w:t>;</w:t>
      </w:r>
      <w:r w:rsidRPr="00322718">
        <w:rPr>
          <w:rFonts w:ascii="Times New Roman" w:hAnsi="Times New Roman" w:cs="Times New Roman"/>
          <w:sz w:val="24"/>
          <w:szCs w:val="24"/>
        </w:rPr>
        <w:t xml:space="preserve"> to-date, no dental studies have been conducted. </w:t>
      </w:r>
    </w:p>
    <w:p w:rsidR="0024249B" w:rsidRPr="00322718" w:rsidRDefault="004570E2" w:rsidP="0024249B">
      <w:pPr>
        <w:spacing w:line="360" w:lineRule="auto"/>
        <w:jc w:val="both"/>
        <w:rPr>
          <w:rFonts w:ascii="Times New Roman" w:hAnsi="Times New Roman" w:cs="Times New Roman"/>
          <w:sz w:val="24"/>
          <w:szCs w:val="24"/>
        </w:rPr>
      </w:pPr>
      <w:r w:rsidRPr="00322718">
        <w:rPr>
          <w:rFonts w:ascii="Times New Roman" w:hAnsi="Times New Roman" w:cs="Times New Roman"/>
          <w:sz w:val="24"/>
          <w:szCs w:val="24"/>
        </w:rPr>
        <w:t>W</w:t>
      </w:r>
      <w:r w:rsidR="0024249B" w:rsidRPr="00322718">
        <w:rPr>
          <w:rFonts w:ascii="Times New Roman" w:hAnsi="Times New Roman" w:cs="Times New Roman"/>
          <w:sz w:val="24"/>
          <w:szCs w:val="24"/>
        </w:rPr>
        <w:t xml:space="preserve">e developed a psycho-social intervention, the Dental Recur Brief Negotiated Interview (DR-BNI) to </w:t>
      </w:r>
      <w:r w:rsidR="007B6600" w:rsidRPr="00322718">
        <w:rPr>
          <w:rFonts w:ascii="Times New Roman" w:hAnsi="Times New Roman" w:cs="Times New Roman"/>
          <w:sz w:val="24"/>
          <w:szCs w:val="24"/>
        </w:rPr>
        <w:t xml:space="preserve">be </w:t>
      </w:r>
      <w:r w:rsidR="0024249B" w:rsidRPr="00322718">
        <w:rPr>
          <w:rFonts w:ascii="Times New Roman" w:hAnsi="Times New Roman" w:cs="Times New Roman"/>
          <w:sz w:val="24"/>
          <w:szCs w:val="24"/>
        </w:rPr>
        <w:t>deliver</w:t>
      </w:r>
      <w:r w:rsidR="007B6600" w:rsidRPr="00322718">
        <w:rPr>
          <w:rFonts w:ascii="Times New Roman" w:hAnsi="Times New Roman" w:cs="Times New Roman"/>
          <w:sz w:val="24"/>
          <w:szCs w:val="24"/>
        </w:rPr>
        <w:t>ed</w:t>
      </w:r>
      <w:r w:rsidR="0024249B" w:rsidRPr="00322718">
        <w:rPr>
          <w:rFonts w:ascii="Times New Roman" w:hAnsi="Times New Roman" w:cs="Times New Roman"/>
          <w:sz w:val="24"/>
          <w:szCs w:val="24"/>
        </w:rPr>
        <w:t xml:space="preserve"> to parents of children who have had a dental extraction of primary teeth (</w:t>
      </w:r>
      <w:r w:rsidR="00A32E5C" w:rsidRPr="00322718">
        <w:rPr>
          <w:rFonts w:ascii="Times New Roman" w:hAnsi="Times New Roman" w:cs="Times New Roman"/>
          <w:sz w:val="24"/>
          <w:szCs w:val="24"/>
        </w:rPr>
        <w:t>Pine et al. 20</w:t>
      </w:r>
      <w:r w:rsidR="00016693" w:rsidRPr="00322718">
        <w:rPr>
          <w:rFonts w:ascii="Times New Roman" w:hAnsi="Times New Roman" w:cs="Times New Roman"/>
          <w:sz w:val="24"/>
          <w:szCs w:val="24"/>
        </w:rPr>
        <w:t>15</w:t>
      </w:r>
      <w:r w:rsidR="0024249B" w:rsidRPr="00322718">
        <w:rPr>
          <w:rFonts w:ascii="Times New Roman" w:hAnsi="Times New Roman" w:cs="Times New Roman"/>
          <w:sz w:val="24"/>
          <w:szCs w:val="24"/>
        </w:rPr>
        <w:t>). DR-BNI can be delivered by dental nurses (assistants)</w:t>
      </w:r>
      <w:r w:rsidR="00D05294" w:rsidRPr="00322718">
        <w:rPr>
          <w:rFonts w:ascii="Times New Roman" w:hAnsi="Times New Roman" w:cs="Times New Roman"/>
          <w:sz w:val="24"/>
          <w:szCs w:val="24"/>
        </w:rPr>
        <w:t>. It</w:t>
      </w:r>
      <w:r w:rsidR="0024249B" w:rsidRPr="00322718">
        <w:rPr>
          <w:rFonts w:ascii="Times New Roman" w:hAnsi="Times New Roman" w:cs="Times New Roman"/>
          <w:sz w:val="24"/>
          <w:szCs w:val="24"/>
        </w:rPr>
        <w:t xml:space="preserve"> is designed to develop shared understanding with parents through </w:t>
      </w:r>
      <w:r w:rsidR="000A27B0" w:rsidRPr="00322718">
        <w:rPr>
          <w:rFonts w:ascii="Times New Roman" w:hAnsi="Times New Roman" w:cs="Times New Roman"/>
          <w:sz w:val="24"/>
          <w:szCs w:val="24"/>
        </w:rPr>
        <w:t>communication about</w:t>
      </w:r>
      <w:r w:rsidR="0024249B" w:rsidRPr="00322718">
        <w:rPr>
          <w:rFonts w:ascii="Times New Roman" w:hAnsi="Times New Roman" w:cs="Times New Roman"/>
          <w:sz w:val="24"/>
          <w:szCs w:val="24"/>
        </w:rPr>
        <w:t xml:space="preserve"> </w:t>
      </w:r>
      <w:r w:rsidR="000A27B0" w:rsidRPr="00322718">
        <w:rPr>
          <w:rFonts w:ascii="Times New Roman" w:hAnsi="Times New Roman" w:cs="Times New Roman"/>
          <w:sz w:val="24"/>
          <w:szCs w:val="24"/>
        </w:rPr>
        <w:t>adopting</w:t>
      </w:r>
      <w:r w:rsidR="0024249B" w:rsidRPr="00322718">
        <w:rPr>
          <w:rFonts w:ascii="Times New Roman" w:hAnsi="Times New Roman" w:cs="Times New Roman"/>
          <w:sz w:val="24"/>
          <w:szCs w:val="24"/>
        </w:rPr>
        <w:t xml:space="preserve"> health</w:t>
      </w:r>
      <w:r w:rsidR="007B6600" w:rsidRPr="00322718">
        <w:rPr>
          <w:rFonts w:ascii="Times New Roman" w:hAnsi="Times New Roman" w:cs="Times New Roman"/>
          <w:sz w:val="24"/>
          <w:szCs w:val="24"/>
        </w:rPr>
        <w:t>ier</w:t>
      </w:r>
      <w:r w:rsidR="0024249B" w:rsidRPr="00322718">
        <w:rPr>
          <w:rFonts w:ascii="Times New Roman" w:hAnsi="Times New Roman" w:cs="Times New Roman"/>
          <w:sz w:val="24"/>
          <w:szCs w:val="24"/>
        </w:rPr>
        <w:t xml:space="preserve"> behaviours to reduce re-occurrence of caries in </w:t>
      </w:r>
      <w:r w:rsidR="000120ED" w:rsidRPr="00322718">
        <w:rPr>
          <w:rFonts w:ascii="Times New Roman" w:hAnsi="Times New Roman" w:cs="Times New Roman"/>
          <w:sz w:val="24"/>
          <w:szCs w:val="24"/>
        </w:rPr>
        <w:t xml:space="preserve">their </w:t>
      </w:r>
      <w:r w:rsidR="0024249B" w:rsidRPr="00322718">
        <w:rPr>
          <w:rFonts w:ascii="Times New Roman" w:hAnsi="Times New Roman" w:cs="Times New Roman"/>
          <w:sz w:val="24"/>
          <w:szCs w:val="24"/>
        </w:rPr>
        <w:t>children.</w:t>
      </w:r>
    </w:p>
    <w:p w:rsidR="0024249B" w:rsidRPr="00322718" w:rsidRDefault="0024249B" w:rsidP="0024249B">
      <w:pPr>
        <w:spacing w:line="360" w:lineRule="auto"/>
        <w:jc w:val="both"/>
        <w:rPr>
          <w:rFonts w:ascii="Times New Roman" w:hAnsi="Times New Roman" w:cs="Times New Roman"/>
          <w:b/>
          <w:sz w:val="24"/>
          <w:szCs w:val="24"/>
        </w:rPr>
      </w:pPr>
      <w:r w:rsidRPr="00322718">
        <w:rPr>
          <w:rFonts w:ascii="Times New Roman" w:hAnsi="Times New Roman" w:cs="Times New Roman"/>
          <w:b/>
          <w:sz w:val="24"/>
          <w:szCs w:val="24"/>
        </w:rPr>
        <w:t>Aim</w:t>
      </w:r>
    </w:p>
    <w:p w:rsidR="0024249B" w:rsidRPr="00322718" w:rsidRDefault="0024249B" w:rsidP="0024249B">
      <w:pPr>
        <w:pStyle w:val="para"/>
        <w:spacing w:line="360" w:lineRule="auto"/>
        <w:jc w:val="both"/>
      </w:pPr>
      <w:r w:rsidRPr="00322718">
        <w:t>To test the efficacy of a dental nurse-delivered intervention, the Dental Recur Brief Negotiated Interview for Oral Health (DR-BNI)</w:t>
      </w:r>
      <w:r w:rsidR="007B6600" w:rsidRPr="00322718">
        <w:t>,</w:t>
      </w:r>
      <w:r w:rsidRPr="00322718">
        <w:t xml:space="preserve"> in reducing the re-occurrence of dental caries in children who had a primary tooth extracted two years previously.</w:t>
      </w:r>
    </w:p>
    <w:p w:rsidR="000120ED" w:rsidRPr="00322718" w:rsidRDefault="0024249B" w:rsidP="0024249B">
      <w:pPr>
        <w:pStyle w:val="para"/>
        <w:spacing w:line="360" w:lineRule="auto"/>
        <w:jc w:val="both"/>
        <w:rPr>
          <w:b/>
        </w:rPr>
      </w:pPr>
      <w:r w:rsidRPr="00322718">
        <w:rPr>
          <w:b/>
        </w:rPr>
        <w:t>Methods</w:t>
      </w:r>
    </w:p>
    <w:p w:rsidR="0024249B" w:rsidRPr="00322718" w:rsidRDefault="0024249B" w:rsidP="0024249B">
      <w:pPr>
        <w:pStyle w:val="para"/>
        <w:spacing w:line="360" w:lineRule="auto"/>
        <w:jc w:val="both"/>
      </w:pPr>
      <w:r w:rsidRPr="00322718">
        <w:rPr>
          <w:b/>
        </w:rPr>
        <w:t xml:space="preserve">Study design: </w:t>
      </w:r>
      <w:r w:rsidR="00143828" w:rsidRPr="00322718">
        <w:t>T</w:t>
      </w:r>
      <w:r w:rsidRPr="00322718">
        <w:t>wo-arm, multi-centre randomised controlled trial (RCT), with blinded outcome assessment. (Full protocol</w:t>
      </w:r>
      <w:r w:rsidR="004570E2" w:rsidRPr="00322718">
        <w:t xml:space="preserve">: </w:t>
      </w:r>
      <w:r w:rsidR="00A32E5C" w:rsidRPr="00322718">
        <w:t>Pine et al. 2015</w:t>
      </w:r>
      <w:r w:rsidR="004570E2" w:rsidRPr="00322718">
        <w:t>)</w:t>
      </w:r>
      <w:r w:rsidRPr="00322718">
        <w:t>.</w:t>
      </w:r>
    </w:p>
    <w:p w:rsidR="00191B50" w:rsidRPr="00322718" w:rsidRDefault="00191B50" w:rsidP="0024249B">
      <w:pPr>
        <w:pStyle w:val="para"/>
        <w:spacing w:line="360" w:lineRule="auto"/>
        <w:jc w:val="both"/>
      </w:pPr>
      <w:r w:rsidRPr="00322718">
        <w:rPr>
          <w:b/>
        </w:rPr>
        <w:lastRenderedPageBreak/>
        <w:t>Primary outcome</w:t>
      </w:r>
      <w:r w:rsidRPr="00322718">
        <w:t xml:space="preserve">: </w:t>
      </w:r>
      <w:r w:rsidR="00143828" w:rsidRPr="00322718">
        <w:t>D</w:t>
      </w:r>
      <w:r w:rsidRPr="00322718">
        <w:t>ental caries experienced in the 2 years post-intervention on any tooth in either dentition at the dentinal level of involvement, which had been caries free at baseline.</w:t>
      </w:r>
    </w:p>
    <w:p w:rsidR="0024249B" w:rsidRPr="00322718" w:rsidRDefault="0024249B" w:rsidP="0024249B">
      <w:pPr>
        <w:pStyle w:val="para"/>
        <w:spacing w:line="360" w:lineRule="auto"/>
        <w:jc w:val="both"/>
      </w:pPr>
      <w:r w:rsidRPr="00322718">
        <w:rPr>
          <w:b/>
        </w:rPr>
        <w:t>Sample Size</w:t>
      </w:r>
      <w:r w:rsidRPr="00322718">
        <w:t xml:space="preserve">: </w:t>
      </w:r>
      <w:r w:rsidR="00DD37BB" w:rsidRPr="00322718">
        <w:t>P</w:t>
      </w:r>
      <w:r w:rsidRPr="00322718">
        <w:t xml:space="preserve">rimary outcome variable is binary, taking the value 1 where a child had caries experience after 2 years, on any tooth in either primary or permanent dentition, which was caries free (or unerupted) at baseline; and, 0 otherwise. </w:t>
      </w:r>
      <w:r w:rsidR="004570E2" w:rsidRPr="00322718">
        <w:t>Fr</w:t>
      </w:r>
      <w:r w:rsidRPr="00322718">
        <w:t>om a previous clinical trial of 5-7</w:t>
      </w:r>
      <w:r w:rsidR="006B7469" w:rsidRPr="00322718">
        <w:t xml:space="preserve"> year olds who had extractions (</w:t>
      </w:r>
      <w:r w:rsidR="00A32E5C" w:rsidRPr="00322718">
        <w:t>Curnow et al. 2010</w:t>
      </w:r>
      <w:r w:rsidR="006B7469" w:rsidRPr="00322718">
        <w:t>)</w:t>
      </w:r>
      <w:r w:rsidR="004570E2" w:rsidRPr="00322718">
        <w:t xml:space="preserve">, </w:t>
      </w:r>
      <w:r w:rsidRPr="00322718">
        <w:t xml:space="preserve">87% developed new carious teeth 2 years later. Setting the minimum clinically significant difference to 20% (67 % in test group), 80% power and significance level 0.05, gave minimum sample size: 78 per group; allowing 30% </w:t>
      </w:r>
      <w:r w:rsidR="00564228" w:rsidRPr="00322718">
        <w:t>with incomplete final assessments</w:t>
      </w:r>
      <w:r w:rsidRPr="00322718">
        <w:t>; final sample size required 112 per group.</w:t>
      </w:r>
    </w:p>
    <w:p w:rsidR="0024249B" w:rsidRPr="00322718" w:rsidRDefault="0024249B" w:rsidP="0024249B">
      <w:pPr>
        <w:pStyle w:val="para"/>
        <w:spacing w:line="360" w:lineRule="auto"/>
        <w:jc w:val="both"/>
      </w:pPr>
      <w:r w:rsidRPr="00322718">
        <w:rPr>
          <w:b/>
        </w:rPr>
        <w:t>Governance</w:t>
      </w:r>
      <w:r w:rsidRPr="00322718">
        <w:t>: Research ethics and UK</w:t>
      </w:r>
      <w:r w:rsidR="00F66F07" w:rsidRPr="00322718">
        <w:t xml:space="preserve"> NHS</w:t>
      </w:r>
      <w:r w:rsidRPr="00322718">
        <w:t xml:space="preserve"> approval. Participants identified in 12 UK Centres: University Dental Hospital clinics, Secondary Care Centres, providers of extraction services. Principal Investigators are paediatric dentists head</w:t>
      </w:r>
      <w:r w:rsidR="004570E2" w:rsidRPr="00322718">
        <w:t>ing</w:t>
      </w:r>
      <w:r w:rsidRPr="00322718">
        <w:t xml:space="preserve"> Centre</w:t>
      </w:r>
      <w:r w:rsidR="004570E2" w:rsidRPr="00322718">
        <w:t>s</w:t>
      </w:r>
      <w:r w:rsidRPr="00322718">
        <w:t xml:space="preserve">; all staff </w:t>
      </w:r>
      <w:r w:rsidR="00F66F07" w:rsidRPr="00322718">
        <w:t xml:space="preserve">received </w:t>
      </w:r>
      <w:r w:rsidR="00B05B97" w:rsidRPr="00322718">
        <w:t xml:space="preserve">training in </w:t>
      </w:r>
      <w:r w:rsidRPr="00322718">
        <w:t>GCP</w:t>
      </w:r>
      <w:r w:rsidR="004570E2" w:rsidRPr="00322718">
        <w:t>,</w:t>
      </w:r>
      <w:r w:rsidRPr="00322718">
        <w:t xml:space="preserve"> trial protocol</w:t>
      </w:r>
      <w:r w:rsidR="000E305A" w:rsidRPr="00322718">
        <w:t xml:space="preserve">, </w:t>
      </w:r>
      <w:r w:rsidRPr="00322718">
        <w:t>description of diagnostic criteria for baseline caries assessments. Each site had Investigator Site Files, and participant CRF</w:t>
      </w:r>
      <w:r w:rsidR="000E305A" w:rsidRPr="00322718">
        <w:t>s</w:t>
      </w:r>
      <w:r w:rsidRPr="00322718">
        <w:t>.</w:t>
      </w:r>
    </w:p>
    <w:p w:rsidR="0024249B" w:rsidRPr="00322718" w:rsidRDefault="00276BD9" w:rsidP="0024249B">
      <w:pPr>
        <w:pStyle w:val="para"/>
        <w:spacing w:line="360" w:lineRule="auto"/>
        <w:jc w:val="both"/>
      </w:pPr>
      <w:r w:rsidRPr="00322718">
        <w:rPr>
          <w:b/>
        </w:rPr>
        <w:t>Re</w:t>
      </w:r>
      <w:r w:rsidR="0024249B" w:rsidRPr="00322718">
        <w:rPr>
          <w:b/>
        </w:rPr>
        <w:t>cruitment</w:t>
      </w:r>
      <w:r w:rsidR="0024249B" w:rsidRPr="00322718">
        <w:t xml:space="preserve">: Inclusion criteria: </w:t>
      </w:r>
      <w:r w:rsidR="00B43AE3" w:rsidRPr="00322718">
        <w:t xml:space="preserve">written </w:t>
      </w:r>
      <w:r w:rsidR="0024249B" w:rsidRPr="00322718">
        <w:t xml:space="preserve">consent from parents/legal guardians of patients, aged 5 to 7 years, scheduled to have one or more primary teeth extracted for dental caries under general anaesthesia (GA), </w:t>
      </w:r>
      <w:r w:rsidR="00771922" w:rsidRPr="00322718">
        <w:t>inhalation sedation</w:t>
      </w:r>
      <w:r w:rsidR="0024249B" w:rsidRPr="00322718">
        <w:t xml:space="preserve"> (</w:t>
      </w:r>
      <w:r w:rsidR="00771922" w:rsidRPr="00322718">
        <w:t>IS</w:t>
      </w:r>
      <w:r w:rsidR="004570E2" w:rsidRPr="00322718">
        <w:t>)</w:t>
      </w:r>
      <w:r w:rsidR="0024249B" w:rsidRPr="00322718">
        <w:t xml:space="preserve"> or local anaesthesia (LA). Exclusion criteria: hav</w:t>
      </w:r>
      <w:r w:rsidR="00B05B97" w:rsidRPr="00322718">
        <w:t>ing</w:t>
      </w:r>
      <w:r w:rsidR="0024249B" w:rsidRPr="00322718">
        <w:t xml:space="preserve"> all first permanent molar teeth extracted; participating in another trial, or done so in previous 3 months; severely disabled; no informed consent.</w:t>
      </w:r>
    </w:p>
    <w:p w:rsidR="00E365AD" w:rsidRPr="00E365AD" w:rsidRDefault="0024249B" w:rsidP="00E365AD">
      <w:pPr>
        <w:spacing w:line="360" w:lineRule="auto"/>
        <w:rPr>
          <w:rFonts w:ascii="Times New Roman" w:hAnsi="Times New Roman" w:cs="Times New Roman"/>
          <w:sz w:val="24"/>
          <w:szCs w:val="24"/>
        </w:rPr>
      </w:pPr>
      <w:r w:rsidRPr="00322718">
        <w:rPr>
          <w:rFonts w:ascii="Times New Roman" w:hAnsi="Times New Roman" w:cs="Times New Roman"/>
          <w:b/>
          <w:sz w:val="24"/>
          <w:szCs w:val="24"/>
        </w:rPr>
        <w:t>Randomisation and intervention delivery</w:t>
      </w:r>
      <w:r w:rsidRPr="00322718">
        <w:rPr>
          <w:rFonts w:ascii="Times New Roman" w:hAnsi="Times New Roman" w:cs="Times New Roman"/>
          <w:sz w:val="24"/>
          <w:szCs w:val="24"/>
        </w:rPr>
        <w:t>: after enrolment up to 6 weeks’ post-extraction. (</w:t>
      </w:r>
      <w:r w:rsidR="00191B50" w:rsidRPr="00322718">
        <w:rPr>
          <w:rFonts w:ascii="Times New Roman" w:hAnsi="Times New Roman" w:cs="Times New Roman"/>
          <w:sz w:val="24"/>
          <w:szCs w:val="24"/>
        </w:rPr>
        <w:t>Appendix 1</w:t>
      </w:r>
      <w:r w:rsidR="00DD37BB" w:rsidRPr="00322718">
        <w:rPr>
          <w:rFonts w:ascii="Times New Roman" w:hAnsi="Times New Roman" w:cs="Times New Roman"/>
          <w:sz w:val="24"/>
          <w:szCs w:val="24"/>
        </w:rPr>
        <w:t xml:space="preserve">; </w:t>
      </w:r>
      <w:r w:rsidRPr="00322718">
        <w:rPr>
          <w:rFonts w:ascii="Times New Roman" w:eastAsia="Times New Roman" w:hAnsi="Times New Roman" w:cs="Times New Roman"/>
          <w:sz w:val="24"/>
          <w:szCs w:val="24"/>
          <w:lang w:eastAsia="en-GB"/>
        </w:rPr>
        <w:t>Figure 1).</w:t>
      </w:r>
      <w:r w:rsidR="00E365AD" w:rsidRPr="00322718">
        <w:rPr>
          <w:rFonts w:ascii="Times New Roman" w:eastAsia="Times New Roman" w:hAnsi="Times New Roman" w:cs="Times New Roman"/>
          <w:sz w:val="24"/>
          <w:szCs w:val="24"/>
          <w:lang w:eastAsia="en-GB"/>
        </w:rPr>
        <w:t xml:space="preserve"> </w:t>
      </w:r>
      <w:r w:rsidR="00E365AD" w:rsidRPr="00322718">
        <w:rPr>
          <w:rFonts w:ascii="Times New Roman" w:hAnsi="Times New Roman" w:cs="Times New Roman"/>
          <w:sz w:val="24"/>
          <w:szCs w:val="24"/>
        </w:rPr>
        <w:t>Randomisation was stratified by site, and participants were randomised using sequentially numbered sealed envelopes.</w:t>
      </w:r>
      <w:r w:rsidR="00E365AD" w:rsidRPr="00E365AD">
        <w:rPr>
          <w:rFonts w:ascii="Times New Roman" w:hAnsi="Times New Roman" w:cs="Times New Roman"/>
          <w:sz w:val="24"/>
          <w:szCs w:val="24"/>
        </w:rPr>
        <w:t xml:space="preserve"> </w:t>
      </w:r>
    </w:p>
    <w:p w:rsidR="0024249B" w:rsidRPr="00322718" w:rsidRDefault="0024249B" w:rsidP="0024249B">
      <w:pPr>
        <w:pStyle w:val="para"/>
        <w:spacing w:line="360" w:lineRule="auto"/>
        <w:jc w:val="both"/>
      </w:pPr>
      <w:r>
        <w:rPr>
          <w:b/>
        </w:rPr>
        <w:t>Test i</w:t>
      </w:r>
      <w:r w:rsidRPr="00B34248">
        <w:rPr>
          <w:b/>
        </w:rPr>
        <w:t>ntervention</w:t>
      </w:r>
      <w:r>
        <w:t xml:space="preserve">: DR-BNI is a “talking” intervention, a 30-minute </w:t>
      </w:r>
      <w:r w:rsidR="00630926">
        <w:t xml:space="preserve">therapeutic </w:t>
      </w:r>
      <w:r>
        <w:t xml:space="preserve">conversation between dental nurse (assistant) and parent/caregiver, structured in six segments (Build Rapport, Ask about Pros and Cons, Feedback, Readiness to Change, Action Plan, Dental Appointment and Thanks). The intervention, developed by a clinical and health psychologist (PA), is informed by motivational interviewing (MI) techniques. </w:t>
      </w:r>
      <w:r w:rsidR="004570E2">
        <w:t>F</w:t>
      </w:r>
      <w:r>
        <w:t xml:space="preserve">ocus is forward-looking, to </w:t>
      </w:r>
      <w:r w:rsidR="007B6600">
        <w:t>maintain the health of</w:t>
      </w:r>
      <w:r>
        <w:t xml:space="preserve"> the new dentition that will erupt. </w:t>
      </w:r>
      <w:r w:rsidR="004570E2">
        <w:t>I</w:t>
      </w:r>
      <w:r>
        <w:t>ntervention is designed to increase parental self-efficacy for three child oral health-related behaviours</w:t>
      </w:r>
      <w:r w:rsidR="004570E2">
        <w:t>:</w:t>
      </w:r>
      <w:r>
        <w:t xml:space="preserve"> twice-daily toothbrushing </w:t>
      </w:r>
      <w:r w:rsidRPr="00322718">
        <w:lastRenderedPageBreak/>
        <w:t xml:space="preserve">with </w:t>
      </w:r>
      <w:r w:rsidR="004570E2" w:rsidRPr="00322718">
        <w:t>f</w:t>
      </w:r>
      <w:r w:rsidRPr="00322718">
        <w:t xml:space="preserve">luoride toothpaste; controlling free sugars intake, especially at bedtime; and, attending a dentist regularly for preventive care rather than symptomatically. </w:t>
      </w:r>
    </w:p>
    <w:p w:rsidR="0024249B" w:rsidRPr="00322718" w:rsidRDefault="0024249B" w:rsidP="0024249B">
      <w:pPr>
        <w:pStyle w:val="para"/>
        <w:spacing w:line="360" w:lineRule="auto"/>
        <w:jc w:val="both"/>
      </w:pPr>
      <w:r w:rsidRPr="00322718">
        <w:t xml:space="preserve">Dental nurses attended one-day </w:t>
      </w:r>
      <w:r w:rsidR="00630926" w:rsidRPr="00322718">
        <w:t xml:space="preserve">of </w:t>
      </w:r>
      <w:r w:rsidRPr="00322718">
        <w:t xml:space="preserve">training by PA in DR-BNI. Training followed MI principles combined with health behaviour change techniques </w:t>
      </w:r>
      <w:r w:rsidR="006B7469" w:rsidRPr="00322718">
        <w:t>(</w:t>
      </w:r>
      <w:r w:rsidR="00A32E5C" w:rsidRPr="00322718">
        <w:rPr>
          <w:rFonts w:eastAsia="Calibri"/>
        </w:rPr>
        <w:t xml:space="preserve">Miller and Moyers </w:t>
      </w:r>
      <w:r w:rsidR="00A32E5C" w:rsidRPr="00322718">
        <w:t>2006</w:t>
      </w:r>
      <w:r w:rsidR="006B7469" w:rsidRPr="00322718">
        <w:t xml:space="preserve">) </w:t>
      </w:r>
      <w:r w:rsidRPr="00322718">
        <w:t xml:space="preserve">for promoting oral health. The aim </w:t>
      </w:r>
      <w:r w:rsidR="007B6600" w:rsidRPr="00322718">
        <w:t>wa</w:t>
      </w:r>
      <w:r w:rsidRPr="00322718">
        <w:t>s to explore opportunities with parent</w:t>
      </w:r>
      <w:r w:rsidR="00B05B97" w:rsidRPr="00322718">
        <w:t>s</w:t>
      </w:r>
      <w:r w:rsidRPr="00322718">
        <w:t xml:space="preserve"> that might lead to change in past behaviours rather than telling them what to do. </w:t>
      </w:r>
      <w:r w:rsidR="00BE3448" w:rsidRPr="00322718">
        <w:t>N</w:t>
      </w:r>
      <w:r w:rsidRPr="00322718">
        <w:t xml:space="preserve">urses advised to try, if appropriate, </w:t>
      </w:r>
      <w:r w:rsidR="00437510" w:rsidRPr="00322718">
        <w:t>to</w:t>
      </w:r>
      <w:r w:rsidRPr="00322718">
        <w:t xml:space="preserve"> agree two goals with the participant using the behaviours described in a modified dental contemplation ladder </w:t>
      </w:r>
      <w:r w:rsidR="0079385F" w:rsidRPr="00322718">
        <w:t>(</w:t>
      </w:r>
      <w:r w:rsidR="00CF3F82" w:rsidRPr="00322718">
        <w:t>Coolidge et al. 2011</w:t>
      </w:r>
      <w:r w:rsidR="00437510" w:rsidRPr="00322718">
        <w:t>, Appendix 1</w:t>
      </w:r>
      <w:r w:rsidR="0079385F" w:rsidRPr="00322718">
        <w:t>)</w:t>
      </w:r>
      <w:r w:rsidRPr="00322718">
        <w:t>. Nurses were trained in change talk, developing a change plan</w:t>
      </w:r>
      <w:r w:rsidR="00B05B97" w:rsidRPr="00322718">
        <w:t xml:space="preserve"> and</w:t>
      </w:r>
      <w:r w:rsidRPr="00322718">
        <w:t xml:space="preserve"> consolidating commitment</w:t>
      </w:r>
      <w:r w:rsidR="00B05B97" w:rsidRPr="00322718">
        <w:t>.</w:t>
      </w:r>
      <w:r w:rsidRPr="00322718">
        <w:t xml:space="preserve"> </w:t>
      </w:r>
      <w:r w:rsidR="00B05B97" w:rsidRPr="00322718">
        <w:t>After</w:t>
      </w:r>
      <w:r w:rsidRPr="00322718">
        <w:t xml:space="preserve"> training </w:t>
      </w:r>
      <w:r w:rsidR="00B05B97" w:rsidRPr="00322718">
        <w:t>nurses</w:t>
      </w:r>
      <w:r w:rsidRPr="00322718">
        <w:t xml:space="preserve"> practis</w:t>
      </w:r>
      <w:r w:rsidR="00B05B97" w:rsidRPr="00322718">
        <w:t>ed</w:t>
      </w:r>
      <w:r w:rsidRPr="00322718">
        <w:t xml:space="preserve"> in their clinics</w:t>
      </w:r>
      <w:r w:rsidR="000120ED" w:rsidRPr="00322718">
        <w:t xml:space="preserve"> (Appendix 1)</w:t>
      </w:r>
      <w:r w:rsidRPr="00322718">
        <w:t>.</w:t>
      </w:r>
    </w:p>
    <w:p w:rsidR="0024249B" w:rsidRPr="00322718" w:rsidRDefault="0024249B" w:rsidP="0024249B">
      <w:pPr>
        <w:pStyle w:val="para"/>
        <w:spacing w:line="360" w:lineRule="auto"/>
        <w:jc w:val="both"/>
      </w:pPr>
      <w:r w:rsidRPr="00322718">
        <w:t xml:space="preserve">The agreed-upon goals </w:t>
      </w:r>
      <w:r w:rsidR="00022C19" w:rsidRPr="00322718">
        <w:t>are tailored</w:t>
      </w:r>
      <w:r w:rsidRPr="00322718">
        <w:t xml:space="preserve"> for each family, committing to </w:t>
      </w:r>
      <w:r w:rsidR="00BE3448" w:rsidRPr="00322718">
        <w:t>a</w:t>
      </w:r>
      <w:r w:rsidRPr="00322718">
        <w:t xml:space="preserve"> specific dental health-related behaviour for their child, </w:t>
      </w:r>
      <w:r w:rsidR="00BE3448" w:rsidRPr="00322718">
        <w:t>e.g.</w:t>
      </w:r>
      <w:r w:rsidRPr="00322718">
        <w:t xml:space="preserve"> changing from sugar-containing drinks to sugar-free; brushing their child’s teeth at bedtime with fluoridated toothpaste. At intervention end, the nurse assisted parent</w:t>
      </w:r>
      <w:r w:rsidR="00BE3448" w:rsidRPr="00322718">
        <w:t>s</w:t>
      </w:r>
      <w:r w:rsidRPr="00322718">
        <w:t xml:space="preserve"> to make a</w:t>
      </w:r>
      <w:r w:rsidR="00672A6D" w:rsidRPr="00322718">
        <w:t xml:space="preserve"> recall</w:t>
      </w:r>
      <w:r w:rsidRPr="00322718">
        <w:t xml:space="preserve"> appointment with their general dental practitioner (GDP)</w:t>
      </w:r>
      <w:r w:rsidR="00DD37BB" w:rsidRPr="00322718">
        <w:t>,</w:t>
      </w:r>
      <w:r w:rsidRPr="00322718">
        <w:t xml:space="preserve"> 3</w:t>
      </w:r>
      <w:r w:rsidR="00165302" w:rsidRPr="00322718">
        <w:t>-4</w:t>
      </w:r>
      <w:r w:rsidRPr="00322718">
        <w:t xml:space="preserve"> months </w:t>
      </w:r>
      <w:r w:rsidR="00672A6D" w:rsidRPr="00322718">
        <w:t>of the</w:t>
      </w:r>
      <w:r w:rsidRPr="00322718">
        <w:t xml:space="preserve"> intervention; </w:t>
      </w:r>
      <w:r w:rsidR="00672A6D" w:rsidRPr="00322718">
        <w:t xml:space="preserve">date was noted and a </w:t>
      </w:r>
      <w:r w:rsidR="004A1987" w:rsidRPr="00322718">
        <w:t xml:space="preserve">text </w:t>
      </w:r>
      <w:r w:rsidRPr="00322718">
        <w:t xml:space="preserve">reminder sent. Parents left </w:t>
      </w:r>
      <w:r w:rsidR="00672A6D" w:rsidRPr="00322718">
        <w:t xml:space="preserve">the </w:t>
      </w:r>
      <w:r w:rsidR="007B6600" w:rsidRPr="00322718">
        <w:t>clinic</w:t>
      </w:r>
      <w:r w:rsidR="00DD37BB" w:rsidRPr="00322718">
        <w:t>s</w:t>
      </w:r>
      <w:r w:rsidR="007B6600" w:rsidRPr="00322718">
        <w:t xml:space="preserve"> </w:t>
      </w:r>
      <w:r w:rsidRPr="00322718">
        <w:t xml:space="preserve">with </w:t>
      </w:r>
      <w:r w:rsidR="00672A6D" w:rsidRPr="00322718">
        <w:t xml:space="preserve">a </w:t>
      </w:r>
      <w:r w:rsidRPr="00322718">
        <w:t xml:space="preserve">copy of </w:t>
      </w:r>
      <w:r w:rsidR="00672A6D" w:rsidRPr="00322718">
        <w:t xml:space="preserve">their </w:t>
      </w:r>
      <w:r w:rsidRPr="00322718">
        <w:t>agreed goals, and dental appointment</w:t>
      </w:r>
      <w:r w:rsidR="000120ED" w:rsidRPr="00322718">
        <w:t xml:space="preserve"> (</w:t>
      </w:r>
      <w:r w:rsidR="00191B50" w:rsidRPr="00322718">
        <w:t xml:space="preserve">Appendix </w:t>
      </w:r>
      <w:r w:rsidR="000120ED" w:rsidRPr="00322718">
        <w:t>2)</w:t>
      </w:r>
      <w:r w:rsidR="00191B50" w:rsidRPr="00322718">
        <w:t>.</w:t>
      </w:r>
    </w:p>
    <w:p w:rsidR="0024249B" w:rsidRPr="00322718" w:rsidRDefault="0024249B" w:rsidP="0024249B">
      <w:pPr>
        <w:pStyle w:val="para"/>
        <w:spacing w:line="360" w:lineRule="auto"/>
        <w:jc w:val="both"/>
      </w:pPr>
      <w:r w:rsidRPr="00322718">
        <w:rPr>
          <w:b/>
        </w:rPr>
        <w:t>Placebo Control intervention</w:t>
      </w:r>
      <w:r w:rsidRPr="00322718">
        <w:t>: developed by CP</w:t>
      </w:r>
      <w:r w:rsidR="00BE3448" w:rsidRPr="00322718">
        <w:t>,</w:t>
      </w:r>
      <w:r w:rsidRPr="00322718">
        <w:t xml:space="preserve"> same structure as DR-BNI, but delivery mode is educational</w:t>
      </w:r>
      <w:r w:rsidR="00BE3448" w:rsidRPr="00322718">
        <w:t>, giving</w:t>
      </w:r>
      <w:r w:rsidRPr="00322718">
        <w:t xml:space="preserve"> information on dental development and eruption between 6 and 14 years. Information was structured around concepts of growing up, shedding and growing new teeth, descriptions and illustrations</w:t>
      </w:r>
      <w:r w:rsidR="00BE3448" w:rsidRPr="00322718">
        <w:t>; excluded</w:t>
      </w:r>
      <w:r w:rsidRPr="00322718">
        <w:t xml:space="preserve"> discussion on prevention </w:t>
      </w:r>
      <w:r w:rsidR="002C0C04" w:rsidRPr="00322718">
        <w:t>of dental caries</w:t>
      </w:r>
      <w:r w:rsidR="004A1987" w:rsidRPr="00322718">
        <w:t xml:space="preserve">. </w:t>
      </w:r>
      <w:r w:rsidRPr="00322718">
        <w:t>At intervention</w:t>
      </w:r>
      <w:r w:rsidR="00BE3448" w:rsidRPr="00322718">
        <w:t xml:space="preserve"> end</w:t>
      </w:r>
      <w:r w:rsidRPr="00322718">
        <w:t xml:space="preserve">, participants advised to attend </w:t>
      </w:r>
      <w:r w:rsidR="009C7A28" w:rsidRPr="00322718">
        <w:t xml:space="preserve">their </w:t>
      </w:r>
      <w:r w:rsidRPr="00322718">
        <w:t>child’s dental practice as usual.</w:t>
      </w:r>
    </w:p>
    <w:p w:rsidR="0024249B" w:rsidRPr="00322718" w:rsidRDefault="0024249B" w:rsidP="0024249B">
      <w:pPr>
        <w:spacing w:before="100" w:beforeAutospacing="1" w:after="100" w:afterAutospacing="1" w:line="360" w:lineRule="auto"/>
        <w:jc w:val="both"/>
        <w:rPr>
          <w:rFonts w:ascii="Times New Roman" w:eastAsia="Times New Roman" w:hAnsi="Times New Roman" w:cs="Times New Roman"/>
          <w:sz w:val="24"/>
          <w:szCs w:val="24"/>
          <w:lang w:eastAsia="en-GB"/>
        </w:rPr>
      </w:pPr>
      <w:r w:rsidRPr="00322718">
        <w:rPr>
          <w:rFonts w:ascii="Times New Roman" w:eastAsia="Times New Roman" w:hAnsi="Times New Roman" w:cs="Times New Roman"/>
          <w:sz w:val="24"/>
          <w:szCs w:val="24"/>
          <w:lang w:eastAsia="en-GB"/>
        </w:rPr>
        <w:t xml:space="preserve">All families in both groups received the same leaflet on dental development to take home. </w:t>
      </w:r>
    </w:p>
    <w:p w:rsidR="0024249B" w:rsidRPr="00322718" w:rsidRDefault="0024249B" w:rsidP="0024249B">
      <w:pPr>
        <w:pStyle w:val="para"/>
        <w:spacing w:line="360" w:lineRule="auto"/>
        <w:jc w:val="both"/>
      </w:pPr>
      <w:r w:rsidRPr="00322718">
        <w:rPr>
          <w:b/>
        </w:rPr>
        <w:t xml:space="preserve">Intervention delivery: </w:t>
      </w:r>
      <w:r w:rsidR="00BE3448" w:rsidRPr="00322718">
        <w:t>Most</w:t>
      </w:r>
      <w:r w:rsidR="007B7AD6" w:rsidRPr="00322718">
        <w:t xml:space="preserve"> p</w:t>
      </w:r>
      <w:r w:rsidRPr="00322718">
        <w:t>arents received the intervention whilst attending a routine appointment (at assessment, pre-extraction or extraction)</w:t>
      </w:r>
      <w:r w:rsidR="007B7AD6" w:rsidRPr="00322718">
        <w:t>,</w:t>
      </w:r>
      <w:r w:rsidRPr="00322718">
        <w:t xml:space="preserve"> </w:t>
      </w:r>
      <w:r w:rsidR="003A6A52" w:rsidRPr="00322718">
        <w:t>if</w:t>
      </w:r>
      <w:r w:rsidRPr="00322718">
        <w:t xml:space="preserve"> not possible, at a</w:t>
      </w:r>
      <w:r w:rsidR="00BE3448" w:rsidRPr="00322718">
        <w:t>n</w:t>
      </w:r>
      <w:r w:rsidR="003A6A52" w:rsidRPr="00322718">
        <w:t>other</w:t>
      </w:r>
      <w:r w:rsidRPr="00322718">
        <w:t xml:space="preserve"> appointment between enrolment and 6-week</w:t>
      </w:r>
      <w:r w:rsidR="00165302" w:rsidRPr="00322718">
        <w:t>s</w:t>
      </w:r>
      <w:r w:rsidRPr="00322718">
        <w:t xml:space="preserve"> post-operative</w:t>
      </w:r>
      <w:r w:rsidR="003A6A52" w:rsidRPr="00322718">
        <w:t>ly</w:t>
      </w:r>
      <w:r w:rsidRPr="00322718">
        <w:t>. Where possible, with parental permission, an audio recording was made of the intervention conversation</w:t>
      </w:r>
      <w:r w:rsidR="000120ED" w:rsidRPr="00322718">
        <w:t xml:space="preserve"> (Appendix 1)</w:t>
      </w:r>
      <w:r w:rsidRPr="00322718">
        <w:t>.</w:t>
      </w:r>
      <w:r w:rsidR="00E365AD" w:rsidRPr="00322718">
        <w:t xml:space="preserve"> </w:t>
      </w:r>
    </w:p>
    <w:p w:rsidR="0024249B" w:rsidRPr="00322718" w:rsidRDefault="0024249B" w:rsidP="0024249B">
      <w:pPr>
        <w:pStyle w:val="para"/>
        <w:spacing w:line="360" w:lineRule="auto"/>
        <w:jc w:val="both"/>
      </w:pPr>
      <w:r w:rsidRPr="00322718">
        <w:rPr>
          <w:b/>
        </w:rPr>
        <w:t xml:space="preserve">Contacts with dentists: </w:t>
      </w:r>
      <w:r w:rsidRPr="00322718">
        <w:t xml:space="preserve">Letters to GDPs of DR-BNI participants </w:t>
      </w:r>
      <w:r w:rsidR="00191C5A" w:rsidRPr="00322718">
        <w:t>noted</w:t>
      </w:r>
      <w:r w:rsidRPr="00322718">
        <w:t xml:space="preserve"> </w:t>
      </w:r>
      <w:r w:rsidR="009C7A28" w:rsidRPr="00322718">
        <w:t xml:space="preserve">the </w:t>
      </w:r>
      <w:r w:rsidRPr="00322718">
        <w:t>agreed preventive goals</w:t>
      </w:r>
      <w:r w:rsidR="00191C5A" w:rsidRPr="00322718">
        <w:t xml:space="preserve"> and d</w:t>
      </w:r>
      <w:r w:rsidRPr="00322718">
        <w:t xml:space="preserve">entists were </w:t>
      </w:r>
      <w:r w:rsidR="00191C5A" w:rsidRPr="00322718">
        <w:t>sent</w:t>
      </w:r>
      <w:r w:rsidR="00B43AE3" w:rsidRPr="00322718">
        <w:t xml:space="preserve"> a booklet </w:t>
      </w:r>
      <w:r w:rsidR="00FF132A" w:rsidRPr="00322718">
        <w:t xml:space="preserve">containing </w:t>
      </w:r>
      <w:r w:rsidRPr="00322718">
        <w:t>adv</w:t>
      </w:r>
      <w:r w:rsidR="00FF132A" w:rsidRPr="00322718">
        <w:t>ice</w:t>
      </w:r>
      <w:r w:rsidRPr="00322718">
        <w:t xml:space="preserve"> </w:t>
      </w:r>
      <w:r w:rsidR="00191C5A" w:rsidRPr="00322718">
        <w:t>on</w:t>
      </w:r>
      <w:r w:rsidR="00FF132A" w:rsidRPr="00322718">
        <w:t xml:space="preserve"> </w:t>
      </w:r>
      <w:r w:rsidR="000120ED" w:rsidRPr="00322718">
        <w:t xml:space="preserve">recall </w:t>
      </w:r>
      <w:r w:rsidR="00DD37BB" w:rsidRPr="00322718">
        <w:t>frequency</w:t>
      </w:r>
      <w:r w:rsidR="00FF132A" w:rsidRPr="00322718">
        <w:t xml:space="preserve"> and preventive care advise</w:t>
      </w:r>
      <w:r w:rsidR="00114F17" w:rsidRPr="00322718">
        <w:t xml:space="preserve">d </w:t>
      </w:r>
      <w:r w:rsidR="00FF132A" w:rsidRPr="00322718">
        <w:t>for</w:t>
      </w:r>
      <w:r w:rsidRPr="00322718">
        <w:t xml:space="preserve"> high</w:t>
      </w:r>
      <w:r w:rsidR="00191C5A" w:rsidRPr="00322718">
        <w:t>-c</w:t>
      </w:r>
      <w:r w:rsidRPr="00322718">
        <w:t>aries</w:t>
      </w:r>
      <w:r w:rsidR="00191C5A" w:rsidRPr="00322718">
        <w:t>-</w:t>
      </w:r>
      <w:r w:rsidRPr="00322718">
        <w:t xml:space="preserve">risk </w:t>
      </w:r>
      <w:r w:rsidR="00191C5A" w:rsidRPr="00322718">
        <w:t>children</w:t>
      </w:r>
      <w:r w:rsidR="0079385F" w:rsidRPr="00322718">
        <w:t xml:space="preserve"> (</w:t>
      </w:r>
      <w:r w:rsidR="00CF3F82" w:rsidRPr="00322718">
        <w:t>Public Health England 2017</w:t>
      </w:r>
      <w:r w:rsidR="0079385F" w:rsidRPr="00322718">
        <w:t>,</w:t>
      </w:r>
      <w:r w:rsidR="00CF3F82" w:rsidRPr="00322718">
        <w:rPr>
          <w:rFonts w:eastAsia="Calibri"/>
        </w:rPr>
        <w:t xml:space="preserve"> SIGN 2014</w:t>
      </w:r>
      <w:r w:rsidR="00191C5A" w:rsidRPr="00322718">
        <w:rPr>
          <w:rFonts w:eastAsia="Calibri"/>
        </w:rPr>
        <w:t xml:space="preserve">) </w:t>
      </w:r>
      <w:r w:rsidR="00191C5A" w:rsidRPr="00322718">
        <w:t>including</w:t>
      </w:r>
      <w:r w:rsidR="00DD37BB" w:rsidRPr="00322718">
        <w:t xml:space="preserve"> </w:t>
      </w:r>
      <w:r w:rsidR="00DD37BB" w:rsidRPr="00322718">
        <w:lastRenderedPageBreak/>
        <w:t>three-</w:t>
      </w:r>
      <w:r w:rsidRPr="00322718">
        <w:t>month</w:t>
      </w:r>
      <w:r w:rsidR="00191C5A" w:rsidRPr="00322718">
        <w:t xml:space="preserve">ly recalls. </w:t>
      </w:r>
      <w:r w:rsidR="00FF132A" w:rsidRPr="00322718">
        <w:t xml:space="preserve">Booklets contained </w:t>
      </w:r>
      <w:r w:rsidRPr="00322718">
        <w:t>case report form</w:t>
      </w:r>
      <w:r w:rsidR="00FF132A" w:rsidRPr="00322718">
        <w:t>s</w:t>
      </w:r>
      <w:r w:rsidRPr="00322718">
        <w:t xml:space="preserve"> (CRF) </w:t>
      </w:r>
      <w:r w:rsidR="00FF132A" w:rsidRPr="00322718">
        <w:t xml:space="preserve">to be completed </w:t>
      </w:r>
      <w:r w:rsidR="00227379" w:rsidRPr="00322718">
        <w:t xml:space="preserve">and returned </w:t>
      </w:r>
      <w:r w:rsidR="00FF132A" w:rsidRPr="00322718">
        <w:t xml:space="preserve">by GDPs </w:t>
      </w:r>
      <w:r w:rsidR="00D4025D" w:rsidRPr="00322718">
        <w:t>when</w:t>
      </w:r>
      <w:r w:rsidRPr="00322718">
        <w:t xml:space="preserve"> participant</w:t>
      </w:r>
      <w:r w:rsidR="00191C5A" w:rsidRPr="00322718">
        <w:t>s</w:t>
      </w:r>
      <w:r w:rsidRPr="00322718">
        <w:t xml:space="preserve"> attended in the first year. At end of second year we contact</w:t>
      </w:r>
      <w:r w:rsidR="00227379" w:rsidRPr="00322718">
        <w:t>ed</w:t>
      </w:r>
      <w:r w:rsidRPr="00322718">
        <w:t xml:space="preserve"> GDP</w:t>
      </w:r>
      <w:r w:rsidR="00227379" w:rsidRPr="00322718">
        <w:t>s</w:t>
      </w:r>
      <w:r w:rsidRPr="00322718">
        <w:t xml:space="preserve"> </w:t>
      </w:r>
      <w:r w:rsidR="00191C5A" w:rsidRPr="00322718">
        <w:t>about</w:t>
      </w:r>
      <w:r w:rsidRPr="00322718">
        <w:t xml:space="preserve"> appointments attended, failure to attend and any preventive advice or treatment given. </w:t>
      </w:r>
      <w:r w:rsidR="00F753CA" w:rsidRPr="00322718">
        <w:t>Similarly, w</w:t>
      </w:r>
      <w:r w:rsidRPr="00322718">
        <w:t>e contacted control group participants’ GDPs at 1 and 2 years (+/−3 months) post-enrolment. GDPs were to receive additional payment</w:t>
      </w:r>
      <w:r w:rsidR="00191C5A" w:rsidRPr="00322718">
        <w:t>s</w:t>
      </w:r>
      <w:r w:rsidRPr="00322718">
        <w:t xml:space="preserve"> from research funds </w:t>
      </w:r>
      <w:r w:rsidR="00191C5A" w:rsidRPr="00322718">
        <w:t>to</w:t>
      </w:r>
      <w:r w:rsidRPr="00322718">
        <w:t xml:space="preserve"> contribut</w:t>
      </w:r>
      <w:r w:rsidR="00191C5A" w:rsidRPr="00322718">
        <w:t>e</w:t>
      </w:r>
      <w:r w:rsidRPr="00322718">
        <w:t xml:space="preserve"> to costs</w:t>
      </w:r>
      <w:r w:rsidR="009C7A28" w:rsidRPr="00322718">
        <w:t xml:space="preserve"> </w:t>
      </w:r>
      <w:r w:rsidRPr="00322718">
        <w:t>of completing CRFs.</w:t>
      </w:r>
    </w:p>
    <w:p w:rsidR="0024249B" w:rsidRPr="00322718" w:rsidRDefault="0024249B" w:rsidP="00952CCF">
      <w:pPr>
        <w:pStyle w:val="para"/>
        <w:spacing w:line="360" w:lineRule="auto"/>
        <w:jc w:val="both"/>
      </w:pPr>
      <w:r w:rsidRPr="00322718">
        <w:rPr>
          <w:b/>
        </w:rPr>
        <w:t xml:space="preserve">Measures: </w:t>
      </w:r>
      <w:r w:rsidRPr="00322718">
        <w:t>Oral Health Behaviours Questionnaire (OHBQ) explores parental attitudes and behavi</w:t>
      </w:r>
      <w:r w:rsidR="009E3735" w:rsidRPr="00322718">
        <w:t>ours to child tooth</w:t>
      </w:r>
      <w:r w:rsidRPr="00322718">
        <w:t>brushing, dietary sugar, dental attendance</w:t>
      </w:r>
      <w:r w:rsidR="009E3735" w:rsidRPr="00322718">
        <w:t>;</w:t>
      </w:r>
      <w:r w:rsidRPr="00322718">
        <w:t xml:space="preserve"> and measures parenta</w:t>
      </w:r>
      <w:r w:rsidR="009E3735" w:rsidRPr="00322718">
        <w:t>l self-efficacy for child tooth</w:t>
      </w:r>
      <w:r w:rsidRPr="00322718">
        <w:t xml:space="preserve">brushing and dietary sugar </w:t>
      </w:r>
      <w:r w:rsidR="00114F17" w:rsidRPr="00322718">
        <w:t>(</w:t>
      </w:r>
      <w:r w:rsidR="00CF3F82" w:rsidRPr="00322718">
        <w:t>Adair et al. 2004)</w:t>
      </w:r>
      <w:r w:rsidR="00114F17" w:rsidRPr="00322718">
        <w:t xml:space="preserve">. </w:t>
      </w:r>
      <w:r w:rsidRPr="00322718">
        <w:t>Contemplation Ladder</w:t>
      </w:r>
      <w:r w:rsidR="007B7AD6" w:rsidRPr="00322718">
        <w:t xml:space="preserve"> </w:t>
      </w:r>
      <w:r w:rsidRPr="00322718">
        <w:t>measures readiness to change behaviour (</w:t>
      </w:r>
      <w:r w:rsidR="00CF3F82" w:rsidRPr="00322718">
        <w:t>Coolidge et al. 2011</w:t>
      </w:r>
      <w:r w:rsidRPr="00322718">
        <w:t>)</w:t>
      </w:r>
      <w:r w:rsidR="00821106" w:rsidRPr="00322718">
        <w:t>, modified (Appendix 1)</w:t>
      </w:r>
      <w:r w:rsidRPr="00322718">
        <w:t xml:space="preserve">. A </w:t>
      </w:r>
      <w:r w:rsidR="00DB265F" w:rsidRPr="00322718">
        <w:t xml:space="preserve">general </w:t>
      </w:r>
      <w:r w:rsidRPr="00322718">
        <w:t>parental self-efficacy scale (</w:t>
      </w:r>
      <w:r w:rsidR="00CF3F82" w:rsidRPr="00322718">
        <w:t>Prochaska et al. 2008</w:t>
      </w:r>
      <w:r w:rsidRPr="00322718">
        <w:t xml:space="preserve">) and parental self-efficacy related to oral health behaviours </w:t>
      </w:r>
      <w:r w:rsidR="00114F17" w:rsidRPr="00322718">
        <w:t>(</w:t>
      </w:r>
      <w:r w:rsidR="00CF3F82" w:rsidRPr="00322718">
        <w:t>Adair et al. 2004</w:t>
      </w:r>
      <w:r w:rsidR="00114F17" w:rsidRPr="00322718">
        <w:t>).</w:t>
      </w:r>
      <w:r w:rsidR="00952CCF" w:rsidRPr="00322718">
        <w:t xml:space="preserve"> </w:t>
      </w:r>
      <w:r w:rsidRPr="00322718">
        <w:t>Measures were completed at intervention appointment, and dental examinations undertaken by the paediatric dentists at Centre</w:t>
      </w:r>
      <w:r w:rsidR="00F753CA" w:rsidRPr="00322718">
        <w:t>s</w:t>
      </w:r>
      <w:r w:rsidRPr="00322718">
        <w:t xml:space="preserve"> prior to extractions; condition of all teeth </w:t>
      </w:r>
      <w:r w:rsidR="00323653" w:rsidRPr="00322718">
        <w:t xml:space="preserve">with caries into </w:t>
      </w:r>
      <w:r w:rsidRPr="00322718">
        <w:t>dentine w</w:t>
      </w:r>
      <w:r w:rsidR="00C70A8B" w:rsidRPr="00322718">
        <w:t>as</w:t>
      </w:r>
      <w:r w:rsidRPr="00322718">
        <w:t xml:space="preserve"> recorded and teeth to be extracted. Dentists were blind to group assignments.</w:t>
      </w:r>
    </w:p>
    <w:p w:rsidR="0024249B" w:rsidRPr="00322718" w:rsidRDefault="0024249B" w:rsidP="0024249B">
      <w:pPr>
        <w:spacing w:before="100" w:beforeAutospacing="1" w:after="100" w:afterAutospacing="1" w:line="360" w:lineRule="auto"/>
        <w:jc w:val="both"/>
        <w:rPr>
          <w:rFonts w:ascii="Times New Roman" w:eastAsia="Times New Roman" w:hAnsi="Times New Roman" w:cs="Times New Roman"/>
          <w:sz w:val="24"/>
          <w:szCs w:val="24"/>
          <w:u w:val="single"/>
          <w:lang w:eastAsia="en-GB"/>
        </w:rPr>
      </w:pPr>
      <w:r w:rsidRPr="00322718">
        <w:rPr>
          <w:rFonts w:ascii="Times New Roman" w:eastAsia="Times New Roman" w:hAnsi="Times New Roman" w:cs="Times New Roman"/>
          <w:sz w:val="24"/>
          <w:szCs w:val="24"/>
          <w:lang w:eastAsia="en-GB"/>
        </w:rPr>
        <w:t xml:space="preserve">A single examiner (CP) undertook the final clinical assessments in </w:t>
      </w:r>
      <w:r w:rsidR="00857E3F" w:rsidRPr="00322718">
        <w:rPr>
          <w:rFonts w:ascii="Times New Roman" w:eastAsia="Times New Roman" w:hAnsi="Times New Roman" w:cs="Times New Roman"/>
          <w:sz w:val="24"/>
          <w:szCs w:val="24"/>
          <w:lang w:eastAsia="en-GB"/>
        </w:rPr>
        <w:t xml:space="preserve">participants’ </w:t>
      </w:r>
      <w:r w:rsidRPr="00322718">
        <w:rPr>
          <w:rFonts w:ascii="Times New Roman" w:eastAsia="Times New Roman" w:hAnsi="Times New Roman" w:cs="Times New Roman"/>
          <w:sz w:val="24"/>
          <w:szCs w:val="24"/>
          <w:lang w:eastAsia="en-GB"/>
        </w:rPr>
        <w:t>primary school</w:t>
      </w:r>
      <w:r w:rsidR="00857E3F" w:rsidRPr="00322718">
        <w:rPr>
          <w:rFonts w:ascii="Times New Roman" w:eastAsia="Times New Roman" w:hAnsi="Times New Roman" w:cs="Times New Roman"/>
          <w:sz w:val="24"/>
          <w:szCs w:val="24"/>
          <w:lang w:eastAsia="en-GB"/>
        </w:rPr>
        <w:t>s</w:t>
      </w:r>
      <w:r w:rsidR="00971B46" w:rsidRPr="00322718">
        <w:rPr>
          <w:rFonts w:ascii="Times New Roman" w:eastAsia="Times New Roman" w:hAnsi="Times New Roman" w:cs="Times New Roman"/>
          <w:sz w:val="24"/>
          <w:szCs w:val="24"/>
          <w:lang w:eastAsia="en-GB"/>
        </w:rPr>
        <w:t>,</w:t>
      </w:r>
      <w:r w:rsidRPr="00322718">
        <w:rPr>
          <w:rFonts w:ascii="Times New Roman" w:eastAsia="Times New Roman" w:hAnsi="Times New Roman" w:cs="Times New Roman"/>
          <w:sz w:val="24"/>
          <w:szCs w:val="24"/>
          <w:lang w:eastAsia="en-GB"/>
        </w:rPr>
        <w:t xml:space="preserve"> or at </w:t>
      </w:r>
      <w:r w:rsidR="00857E3F" w:rsidRPr="00322718">
        <w:rPr>
          <w:rFonts w:ascii="Times New Roman" w:eastAsia="Times New Roman" w:hAnsi="Times New Roman" w:cs="Times New Roman"/>
          <w:sz w:val="24"/>
          <w:szCs w:val="24"/>
          <w:lang w:eastAsia="en-GB"/>
        </w:rPr>
        <w:t>home</w:t>
      </w:r>
      <w:r w:rsidR="00971B46" w:rsidRPr="00322718">
        <w:rPr>
          <w:rFonts w:ascii="Times New Roman" w:eastAsia="Times New Roman" w:hAnsi="Times New Roman" w:cs="Times New Roman"/>
          <w:sz w:val="24"/>
          <w:szCs w:val="24"/>
          <w:lang w:eastAsia="en-GB"/>
        </w:rPr>
        <w:t>,</w:t>
      </w:r>
      <w:r w:rsidRPr="00322718">
        <w:rPr>
          <w:rFonts w:ascii="Times New Roman" w:eastAsia="Times New Roman" w:hAnsi="Times New Roman" w:cs="Times New Roman"/>
          <w:sz w:val="24"/>
          <w:szCs w:val="24"/>
          <w:lang w:eastAsia="en-GB"/>
        </w:rPr>
        <w:t xml:space="preserve"> two years after the children received the intervention, </w:t>
      </w:r>
      <w:r w:rsidR="00857E3F" w:rsidRPr="00322718">
        <w:rPr>
          <w:rFonts w:ascii="Times New Roman" w:eastAsia="Times New Roman" w:hAnsi="Times New Roman" w:cs="Times New Roman"/>
          <w:sz w:val="24"/>
          <w:szCs w:val="24"/>
          <w:lang w:eastAsia="en-GB"/>
        </w:rPr>
        <w:t>plus/minus</w:t>
      </w:r>
      <w:r w:rsidR="00541C90" w:rsidRPr="00322718">
        <w:rPr>
          <w:rFonts w:ascii="Times New Roman" w:eastAsia="Times New Roman" w:hAnsi="Times New Roman" w:cs="Times New Roman"/>
          <w:sz w:val="24"/>
          <w:szCs w:val="24"/>
          <w:lang w:eastAsia="en-GB"/>
        </w:rPr>
        <w:t xml:space="preserve"> three months</w:t>
      </w:r>
      <w:r w:rsidRPr="00322718">
        <w:rPr>
          <w:rFonts w:ascii="Times New Roman" w:eastAsia="Times New Roman" w:hAnsi="Times New Roman" w:cs="Times New Roman"/>
          <w:sz w:val="24"/>
          <w:szCs w:val="24"/>
          <w:lang w:eastAsia="en-GB"/>
        </w:rPr>
        <w:t xml:space="preserve">. The examiner was blind to group assignment. </w:t>
      </w:r>
      <w:r w:rsidR="00857E3F" w:rsidRPr="00322718">
        <w:rPr>
          <w:rFonts w:ascii="Times New Roman" w:eastAsia="Times New Roman" w:hAnsi="Times New Roman" w:cs="Times New Roman"/>
          <w:sz w:val="24"/>
          <w:szCs w:val="24"/>
          <w:lang w:eastAsia="en-GB"/>
        </w:rPr>
        <w:t>C</w:t>
      </w:r>
      <w:r w:rsidRPr="00322718">
        <w:rPr>
          <w:rFonts w:ascii="Times New Roman" w:eastAsia="Times New Roman" w:hAnsi="Times New Roman" w:cs="Times New Roman"/>
          <w:sz w:val="24"/>
          <w:szCs w:val="24"/>
          <w:lang w:eastAsia="en-GB"/>
        </w:rPr>
        <w:t>hildren were examined supine with a single use plane mouth mirror</w:t>
      </w:r>
      <w:r w:rsidR="00857E3F" w:rsidRPr="00322718">
        <w:rPr>
          <w:rFonts w:ascii="Times New Roman" w:eastAsia="Times New Roman" w:hAnsi="Times New Roman" w:cs="Times New Roman"/>
          <w:sz w:val="24"/>
          <w:szCs w:val="24"/>
          <w:lang w:eastAsia="en-GB"/>
        </w:rPr>
        <w:t>,</w:t>
      </w:r>
      <w:r w:rsidRPr="00322718">
        <w:rPr>
          <w:rFonts w:ascii="Times New Roman" w:eastAsia="Times New Roman" w:hAnsi="Times New Roman" w:cs="Times New Roman"/>
          <w:sz w:val="24"/>
          <w:szCs w:val="24"/>
          <w:lang w:eastAsia="en-GB"/>
        </w:rPr>
        <w:t xml:space="preserve"> teeth illuminated by Daray light of 2,000 lux. </w:t>
      </w:r>
      <w:r w:rsidR="00857E3F" w:rsidRPr="00322718">
        <w:rPr>
          <w:rFonts w:ascii="Times New Roman" w:eastAsia="Times New Roman" w:hAnsi="Times New Roman" w:cs="Times New Roman"/>
          <w:sz w:val="24"/>
          <w:szCs w:val="24"/>
          <w:lang w:eastAsia="en-GB"/>
        </w:rPr>
        <w:t>P</w:t>
      </w:r>
      <w:r w:rsidRPr="00322718">
        <w:rPr>
          <w:rFonts w:ascii="Times New Roman" w:eastAsia="Times New Roman" w:hAnsi="Times New Roman" w:cs="Times New Roman"/>
          <w:sz w:val="24"/>
          <w:szCs w:val="24"/>
          <w:lang w:eastAsia="en-GB"/>
        </w:rPr>
        <w:t>resence of plaque on buccal surfaces of upper anterior</w:t>
      </w:r>
      <w:r w:rsidR="00857E3F" w:rsidRPr="00322718">
        <w:rPr>
          <w:rFonts w:ascii="Times New Roman" w:eastAsia="Times New Roman" w:hAnsi="Times New Roman" w:cs="Times New Roman"/>
          <w:sz w:val="24"/>
          <w:szCs w:val="24"/>
          <w:lang w:eastAsia="en-GB"/>
        </w:rPr>
        <w:t>s</w:t>
      </w:r>
      <w:r w:rsidRPr="00322718">
        <w:rPr>
          <w:rFonts w:ascii="Times New Roman" w:eastAsia="Times New Roman" w:hAnsi="Times New Roman" w:cs="Times New Roman"/>
          <w:sz w:val="24"/>
          <w:szCs w:val="24"/>
          <w:lang w:eastAsia="en-GB"/>
        </w:rPr>
        <w:t xml:space="preserve"> recorded as indicator of oral cleanliness. Each tooth was examined to determine teeth present, untreated caries into dentine; restorations, fissure sealants (</w:t>
      </w:r>
      <w:r w:rsidR="009E3735" w:rsidRPr="00322718">
        <w:rPr>
          <w:rFonts w:ascii="Times New Roman" w:eastAsia="Times New Roman" w:hAnsi="Times New Roman" w:cs="Times New Roman"/>
          <w:sz w:val="24"/>
          <w:szCs w:val="24"/>
          <w:lang w:eastAsia="en-GB"/>
        </w:rPr>
        <w:t>Pitts et al. 1997</w:t>
      </w:r>
      <w:r w:rsidRPr="00322718">
        <w:rPr>
          <w:rFonts w:ascii="Times New Roman" w:eastAsia="Times New Roman" w:hAnsi="Times New Roman" w:cs="Times New Roman"/>
          <w:sz w:val="24"/>
          <w:szCs w:val="24"/>
          <w:lang w:eastAsia="en-GB"/>
        </w:rPr>
        <w:t>)</w:t>
      </w:r>
      <w:r w:rsidR="00114F17" w:rsidRPr="00322718">
        <w:rPr>
          <w:rFonts w:ascii="Times New Roman" w:eastAsia="Times New Roman" w:hAnsi="Times New Roman" w:cs="Times New Roman"/>
          <w:sz w:val="24"/>
          <w:szCs w:val="24"/>
          <w:lang w:eastAsia="en-GB"/>
        </w:rPr>
        <w:t>.</w:t>
      </w:r>
      <w:r w:rsidRPr="00322718">
        <w:rPr>
          <w:rFonts w:ascii="Times New Roman" w:eastAsia="Times New Roman" w:hAnsi="Times New Roman" w:cs="Times New Roman"/>
          <w:sz w:val="24"/>
          <w:szCs w:val="24"/>
          <w:lang w:eastAsia="en-GB"/>
        </w:rPr>
        <w:t xml:space="preserve"> Cotton wool rol</w:t>
      </w:r>
      <w:r w:rsidR="00681B23" w:rsidRPr="00322718">
        <w:rPr>
          <w:rFonts w:ascii="Times New Roman" w:eastAsia="Times New Roman" w:hAnsi="Times New Roman" w:cs="Times New Roman"/>
          <w:sz w:val="24"/>
          <w:szCs w:val="24"/>
          <w:lang w:eastAsia="en-GB"/>
        </w:rPr>
        <w:t xml:space="preserve">ls used to dry teeth; </w:t>
      </w:r>
      <w:r w:rsidRPr="00322718">
        <w:rPr>
          <w:rFonts w:ascii="Times New Roman" w:eastAsia="Times New Roman" w:hAnsi="Times New Roman" w:cs="Times New Roman"/>
          <w:sz w:val="24"/>
          <w:szCs w:val="24"/>
          <w:lang w:eastAsia="en-GB"/>
        </w:rPr>
        <w:t>a probe was available to remove debris; check integrity of restorations and presence of sealants</w:t>
      </w:r>
      <w:r w:rsidR="00F753CA" w:rsidRPr="00322718">
        <w:rPr>
          <w:rFonts w:ascii="Times New Roman" w:eastAsia="Times New Roman" w:hAnsi="Times New Roman" w:cs="Times New Roman"/>
          <w:sz w:val="24"/>
          <w:szCs w:val="24"/>
          <w:lang w:eastAsia="en-GB"/>
        </w:rPr>
        <w:t xml:space="preserve"> (</w:t>
      </w:r>
      <w:r w:rsidR="00191B50" w:rsidRPr="00322718">
        <w:rPr>
          <w:rFonts w:ascii="Times New Roman" w:eastAsia="Times New Roman" w:hAnsi="Times New Roman" w:cs="Times New Roman"/>
          <w:sz w:val="24"/>
          <w:szCs w:val="24"/>
          <w:lang w:eastAsia="en-GB"/>
        </w:rPr>
        <w:t>Appendix 1</w:t>
      </w:r>
      <w:r w:rsidR="00F753CA" w:rsidRPr="00322718">
        <w:rPr>
          <w:rFonts w:ascii="Times New Roman" w:eastAsia="Times New Roman" w:hAnsi="Times New Roman" w:cs="Times New Roman"/>
          <w:sz w:val="24"/>
          <w:szCs w:val="24"/>
          <w:lang w:eastAsia="en-GB"/>
        </w:rPr>
        <w:t>)</w:t>
      </w:r>
      <w:r w:rsidR="00191B50" w:rsidRPr="00322718">
        <w:rPr>
          <w:rFonts w:ascii="Times New Roman" w:eastAsia="Times New Roman" w:hAnsi="Times New Roman" w:cs="Times New Roman"/>
          <w:sz w:val="24"/>
          <w:szCs w:val="24"/>
          <w:lang w:eastAsia="en-GB"/>
        </w:rPr>
        <w:t>.</w:t>
      </w:r>
    </w:p>
    <w:p w:rsidR="0024249B" w:rsidRPr="00894C4D" w:rsidRDefault="0024249B" w:rsidP="00894C4D">
      <w:pPr>
        <w:spacing w:line="360" w:lineRule="auto"/>
        <w:jc w:val="both"/>
        <w:rPr>
          <w:rFonts w:ascii="Times New Roman" w:hAnsi="Times New Roman" w:cs="Times New Roman"/>
          <w:sz w:val="24"/>
          <w:szCs w:val="24"/>
        </w:rPr>
      </w:pPr>
      <w:r w:rsidRPr="00322718">
        <w:rPr>
          <w:rFonts w:ascii="Times New Roman" w:eastAsiaTheme="majorEastAsia" w:hAnsi="Times New Roman" w:cs="Times New Roman"/>
          <w:b/>
          <w:sz w:val="24"/>
          <w:szCs w:val="24"/>
        </w:rPr>
        <w:t xml:space="preserve">Statistical Analysis: </w:t>
      </w:r>
      <w:r w:rsidR="00894C4D" w:rsidRPr="00322718">
        <w:rPr>
          <w:rFonts w:ascii="Times New Roman" w:hAnsi="Times New Roman" w:cs="Times New Roman"/>
          <w:sz w:val="24"/>
          <w:szCs w:val="24"/>
        </w:rPr>
        <w:t>A</w:t>
      </w:r>
      <w:r w:rsidRPr="00322718">
        <w:rPr>
          <w:rFonts w:ascii="Times New Roman" w:hAnsi="Times New Roman" w:cs="Times New Roman"/>
          <w:sz w:val="24"/>
          <w:szCs w:val="24"/>
        </w:rPr>
        <w:t>nalysis of the primary outcome variable used logistic regression, adjusted for the stratification variable centre</w:t>
      </w:r>
      <w:r w:rsidR="00382CD4" w:rsidRPr="00322718">
        <w:rPr>
          <w:rFonts w:ascii="Times New Roman" w:hAnsi="Times New Roman" w:cs="Times New Roman"/>
          <w:sz w:val="24"/>
          <w:szCs w:val="24"/>
        </w:rPr>
        <w:t>, and baseline dmft</w:t>
      </w:r>
      <w:r w:rsidRPr="00322718">
        <w:rPr>
          <w:rFonts w:ascii="Times New Roman" w:hAnsi="Times New Roman" w:cs="Times New Roman"/>
          <w:sz w:val="24"/>
          <w:szCs w:val="24"/>
        </w:rPr>
        <w:t xml:space="preserve">. </w:t>
      </w:r>
      <w:r w:rsidR="00382CD4" w:rsidRPr="00322718">
        <w:rPr>
          <w:rFonts w:ascii="Times New Roman" w:hAnsi="Times New Roman" w:cs="Times New Roman"/>
          <w:sz w:val="24"/>
          <w:szCs w:val="24"/>
        </w:rPr>
        <w:t xml:space="preserve">Unadjusted relative risk estimates were calculated. </w:t>
      </w:r>
      <w:r w:rsidR="007117F0" w:rsidRPr="00322718">
        <w:rPr>
          <w:rFonts w:ascii="Times New Roman" w:hAnsi="Times New Roman" w:cs="Times New Roman"/>
          <w:sz w:val="24"/>
          <w:szCs w:val="24"/>
        </w:rPr>
        <w:t xml:space="preserve">The primary outcome was analysed using the full analysis set, using the intention-to-treat principle as far as possible, with participants only excluded where outcome data was unavailable. </w:t>
      </w:r>
      <w:r w:rsidR="00F05684" w:rsidRPr="00322718">
        <w:rPr>
          <w:rFonts w:ascii="Times New Roman" w:hAnsi="Times New Roman" w:cs="Times New Roman"/>
          <w:i/>
          <w:sz w:val="24"/>
          <w:szCs w:val="24"/>
        </w:rPr>
        <w:t>P</w:t>
      </w:r>
      <w:r w:rsidR="00600001" w:rsidRPr="00322718">
        <w:rPr>
          <w:rFonts w:ascii="Times New Roman" w:hAnsi="Times New Roman" w:cs="Times New Roman"/>
          <w:i/>
          <w:sz w:val="24"/>
          <w:szCs w:val="24"/>
        </w:rPr>
        <w:t xml:space="preserve">er </w:t>
      </w:r>
      <w:r w:rsidRPr="00322718">
        <w:rPr>
          <w:rFonts w:ascii="Times New Roman" w:hAnsi="Times New Roman" w:cs="Times New Roman"/>
          <w:i/>
          <w:sz w:val="24"/>
          <w:szCs w:val="24"/>
        </w:rPr>
        <w:t>protocol</w:t>
      </w:r>
      <w:r w:rsidRPr="00322718">
        <w:rPr>
          <w:rFonts w:ascii="Times New Roman" w:hAnsi="Times New Roman" w:cs="Times New Roman"/>
          <w:sz w:val="24"/>
          <w:szCs w:val="24"/>
        </w:rPr>
        <w:t xml:space="preserve"> analysis </w:t>
      </w:r>
      <w:r w:rsidR="00F05684" w:rsidRPr="00322718">
        <w:rPr>
          <w:rFonts w:ascii="Times New Roman" w:hAnsi="Times New Roman" w:cs="Times New Roman"/>
          <w:sz w:val="24"/>
          <w:szCs w:val="24"/>
        </w:rPr>
        <w:t>conducted</w:t>
      </w:r>
      <w:r w:rsidRPr="00322718">
        <w:rPr>
          <w:rFonts w:ascii="Times New Roman" w:hAnsi="Times New Roman" w:cs="Times New Roman"/>
          <w:sz w:val="24"/>
          <w:szCs w:val="24"/>
        </w:rPr>
        <w:t xml:space="preserve"> to test robustness of main results to departures from ITT. Sensitivity analyses </w:t>
      </w:r>
      <w:r w:rsidR="00F05684" w:rsidRPr="00322718">
        <w:rPr>
          <w:rFonts w:ascii="Times New Roman" w:hAnsi="Times New Roman" w:cs="Times New Roman"/>
          <w:sz w:val="24"/>
          <w:szCs w:val="24"/>
        </w:rPr>
        <w:t>conducted</w:t>
      </w:r>
      <w:r w:rsidRPr="00322718">
        <w:rPr>
          <w:rFonts w:ascii="Times New Roman" w:hAnsi="Times New Roman" w:cs="Times New Roman"/>
          <w:sz w:val="24"/>
          <w:szCs w:val="24"/>
        </w:rPr>
        <w:t xml:space="preserve"> using multiple imputation to investigate robustness of analysis to missing primary outcome data.</w:t>
      </w:r>
    </w:p>
    <w:p w:rsidR="0024249B" w:rsidRPr="0036415A" w:rsidRDefault="0024249B" w:rsidP="0024249B">
      <w:pPr>
        <w:spacing w:line="360" w:lineRule="auto"/>
        <w:jc w:val="both"/>
        <w:rPr>
          <w:rFonts w:ascii="Times New Roman" w:hAnsi="Times New Roman" w:cs="Times New Roman"/>
          <w:b/>
          <w:sz w:val="24"/>
          <w:szCs w:val="24"/>
        </w:rPr>
      </w:pPr>
      <w:r w:rsidRPr="0036415A">
        <w:rPr>
          <w:rFonts w:ascii="Times New Roman" w:hAnsi="Times New Roman" w:cs="Times New Roman"/>
          <w:b/>
          <w:sz w:val="24"/>
          <w:szCs w:val="24"/>
        </w:rPr>
        <w:t>Results</w:t>
      </w:r>
    </w:p>
    <w:p w:rsidR="00F96AEB" w:rsidRPr="00322718" w:rsidRDefault="0024249B" w:rsidP="0024249B">
      <w:pPr>
        <w:spacing w:line="360" w:lineRule="auto"/>
        <w:jc w:val="both"/>
        <w:rPr>
          <w:rFonts w:ascii="Times New Roman" w:hAnsi="Times New Roman" w:cs="Times New Roman"/>
          <w:sz w:val="24"/>
          <w:szCs w:val="24"/>
        </w:rPr>
      </w:pPr>
      <w:r w:rsidRPr="00322718">
        <w:rPr>
          <w:rFonts w:ascii="Times New Roman" w:hAnsi="Times New Roman" w:cs="Times New Roman"/>
          <w:sz w:val="24"/>
          <w:szCs w:val="24"/>
        </w:rPr>
        <w:lastRenderedPageBreak/>
        <w:t>The first patient was randomised in April 2015; more Centres entered</w:t>
      </w:r>
      <w:r w:rsidR="002E00EA" w:rsidRPr="00322718">
        <w:rPr>
          <w:rFonts w:ascii="Times New Roman" w:hAnsi="Times New Roman" w:cs="Times New Roman"/>
          <w:sz w:val="24"/>
          <w:szCs w:val="24"/>
        </w:rPr>
        <w:t>,</w:t>
      </w:r>
      <w:r w:rsidRPr="00322718">
        <w:rPr>
          <w:rFonts w:ascii="Times New Roman" w:hAnsi="Times New Roman" w:cs="Times New Roman"/>
          <w:sz w:val="24"/>
          <w:szCs w:val="24"/>
        </w:rPr>
        <w:t xml:space="preserve"> last patient </w:t>
      </w:r>
      <w:r w:rsidR="00085908" w:rsidRPr="00322718">
        <w:rPr>
          <w:rFonts w:ascii="Times New Roman" w:hAnsi="Times New Roman" w:cs="Times New Roman"/>
          <w:sz w:val="24"/>
          <w:szCs w:val="24"/>
        </w:rPr>
        <w:t xml:space="preserve">was </w:t>
      </w:r>
      <w:r w:rsidRPr="00322718">
        <w:rPr>
          <w:rFonts w:ascii="Times New Roman" w:hAnsi="Times New Roman" w:cs="Times New Roman"/>
          <w:sz w:val="24"/>
          <w:szCs w:val="24"/>
        </w:rPr>
        <w:t>randomised in November 2016. Ten Centres were in England, one in Scotland</w:t>
      </w:r>
      <w:r w:rsidR="002E00EA" w:rsidRPr="00322718">
        <w:rPr>
          <w:rFonts w:ascii="Times New Roman" w:hAnsi="Times New Roman" w:cs="Times New Roman"/>
          <w:sz w:val="24"/>
          <w:szCs w:val="24"/>
        </w:rPr>
        <w:t>,</w:t>
      </w:r>
      <w:r w:rsidRPr="00322718">
        <w:rPr>
          <w:rFonts w:ascii="Times New Roman" w:hAnsi="Times New Roman" w:cs="Times New Roman"/>
          <w:sz w:val="24"/>
          <w:szCs w:val="24"/>
        </w:rPr>
        <w:t xml:space="preserve"> one in Northern Ireland. Final dental examinations were conducted two years (plus/minus three months) after the intervention was delivered. 119 children were randomised to DR-BNI group</w:t>
      </w:r>
      <w:r w:rsidR="00551F36" w:rsidRPr="00322718">
        <w:rPr>
          <w:rFonts w:ascii="Times New Roman" w:hAnsi="Times New Roman" w:cs="Times New Roman"/>
          <w:sz w:val="24"/>
          <w:szCs w:val="24"/>
        </w:rPr>
        <w:t>,</w:t>
      </w:r>
      <w:r w:rsidRPr="00322718">
        <w:rPr>
          <w:rFonts w:ascii="Times New Roman" w:hAnsi="Times New Roman" w:cs="Times New Roman"/>
          <w:sz w:val="24"/>
          <w:szCs w:val="24"/>
        </w:rPr>
        <w:t xml:space="preserve"> 122 to placebo control</w:t>
      </w:r>
      <w:r w:rsidR="00551F36" w:rsidRPr="00322718">
        <w:rPr>
          <w:rFonts w:ascii="Times New Roman" w:hAnsi="Times New Roman" w:cs="Times New Roman"/>
          <w:sz w:val="24"/>
          <w:szCs w:val="24"/>
        </w:rPr>
        <w:t xml:space="preserve"> (Figure </w:t>
      </w:r>
      <w:r w:rsidR="00F05684" w:rsidRPr="00322718">
        <w:rPr>
          <w:rFonts w:ascii="Times New Roman" w:hAnsi="Times New Roman" w:cs="Times New Roman"/>
          <w:sz w:val="24"/>
          <w:szCs w:val="24"/>
        </w:rPr>
        <w:t>1</w:t>
      </w:r>
      <w:r w:rsidR="00551F36" w:rsidRPr="00322718">
        <w:rPr>
          <w:rFonts w:ascii="Times New Roman" w:hAnsi="Times New Roman" w:cs="Times New Roman"/>
          <w:sz w:val="24"/>
          <w:szCs w:val="24"/>
        </w:rPr>
        <w:t>).</w:t>
      </w:r>
      <w:r w:rsidRPr="00322718">
        <w:rPr>
          <w:rFonts w:ascii="Times New Roman" w:hAnsi="Times New Roman" w:cs="Times New Roman"/>
          <w:sz w:val="24"/>
          <w:szCs w:val="24"/>
        </w:rPr>
        <w:t xml:space="preserve"> Of these 241 children, 235 (98%) received the interventions. </w:t>
      </w:r>
    </w:p>
    <w:p w:rsidR="0024249B" w:rsidRPr="00322718" w:rsidRDefault="0024249B" w:rsidP="0024249B">
      <w:pPr>
        <w:spacing w:line="360" w:lineRule="auto"/>
        <w:jc w:val="both"/>
        <w:rPr>
          <w:rFonts w:ascii="Times New Roman" w:hAnsi="Times New Roman" w:cs="Times New Roman"/>
          <w:sz w:val="24"/>
          <w:szCs w:val="24"/>
        </w:rPr>
      </w:pPr>
      <w:r w:rsidRPr="00322718">
        <w:rPr>
          <w:rFonts w:ascii="Times New Roman" w:hAnsi="Times New Roman" w:cs="Times New Roman"/>
          <w:sz w:val="24"/>
          <w:szCs w:val="24"/>
        </w:rPr>
        <w:t>Baseline characteristics (Table 1) were similar</w:t>
      </w:r>
      <w:r w:rsidR="00BE767E" w:rsidRPr="00322718">
        <w:rPr>
          <w:rFonts w:ascii="Times New Roman" w:hAnsi="Times New Roman" w:cs="Times New Roman"/>
          <w:sz w:val="24"/>
          <w:szCs w:val="24"/>
        </w:rPr>
        <w:t>. C</w:t>
      </w:r>
      <w:r w:rsidRPr="00322718">
        <w:rPr>
          <w:rFonts w:ascii="Times New Roman" w:hAnsi="Times New Roman" w:cs="Times New Roman"/>
          <w:sz w:val="24"/>
          <w:szCs w:val="24"/>
        </w:rPr>
        <w:t>hildren were, on average</w:t>
      </w:r>
      <w:r w:rsidR="00A84A46" w:rsidRPr="00322718">
        <w:rPr>
          <w:rFonts w:ascii="Times New Roman" w:hAnsi="Times New Roman" w:cs="Times New Roman"/>
          <w:sz w:val="24"/>
          <w:szCs w:val="24"/>
        </w:rPr>
        <w:t>,</w:t>
      </w:r>
      <w:r w:rsidRPr="00322718">
        <w:rPr>
          <w:rFonts w:ascii="Times New Roman" w:hAnsi="Times New Roman" w:cs="Times New Roman"/>
          <w:sz w:val="24"/>
          <w:szCs w:val="24"/>
        </w:rPr>
        <w:t xml:space="preserve"> six years old; </w:t>
      </w:r>
      <w:r w:rsidR="00551F36" w:rsidRPr="00322718">
        <w:rPr>
          <w:rFonts w:ascii="Times New Roman" w:hAnsi="Times New Roman" w:cs="Times New Roman"/>
          <w:sz w:val="24"/>
          <w:szCs w:val="24"/>
        </w:rPr>
        <w:t>similar</w:t>
      </w:r>
      <w:r w:rsidRPr="00322718">
        <w:rPr>
          <w:rFonts w:ascii="Times New Roman" w:hAnsi="Times New Roman" w:cs="Times New Roman"/>
          <w:sz w:val="24"/>
          <w:szCs w:val="24"/>
        </w:rPr>
        <w:t xml:space="preserve"> numbers of boys and girls; a third of mothers completed education at secondary school or earlier. Over half of parents reported children had sweets every day or most days, over a third having sugary drinks frequently (Table 1).</w:t>
      </w:r>
      <w:r w:rsidR="007C7DEC" w:rsidRPr="00322718">
        <w:rPr>
          <w:rFonts w:ascii="Times New Roman" w:hAnsi="Times New Roman" w:cs="Times New Roman"/>
          <w:sz w:val="24"/>
          <w:szCs w:val="24"/>
        </w:rPr>
        <w:t xml:space="preserve"> H</w:t>
      </w:r>
      <w:r w:rsidRPr="00322718">
        <w:rPr>
          <w:rFonts w:ascii="Times New Roman" w:hAnsi="Times New Roman" w:cs="Times New Roman"/>
          <w:sz w:val="24"/>
          <w:szCs w:val="24"/>
        </w:rPr>
        <w:t>igh levels of deciduous caries experience: mean dmft 6.8 in DR-BNI group</w:t>
      </w:r>
      <w:r w:rsidR="002E00EA" w:rsidRPr="00322718">
        <w:rPr>
          <w:rFonts w:ascii="Times New Roman" w:hAnsi="Times New Roman" w:cs="Times New Roman"/>
          <w:sz w:val="24"/>
          <w:szCs w:val="24"/>
        </w:rPr>
        <w:t>,</w:t>
      </w:r>
      <w:r w:rsidRPr="00322718">
        <w:rPr>
          <w:rFonts w:ascii="Times New Roman" w:hAnsi="Times New Roman" w:cs="Times New Roman"/>
          <w:sz w:val="24"/>
          <w:szCs w:val="24"/>
        </w:rPr>
        <w:t xml:space="preserve"> 6.3 in control. At recruitment, they had </w:t>
      </w:r>
      <w:r w:rsidR="007C7DEC" w:rsidRPr="00322718">
        <w:rPr>
          <w:rFonts w:ascii="Times New Roman" w:hAnsi="Times New Roman" w:cs="Times New Roman"/>
          <w:sz w:val="24"/>
          <w:szCs w:val="24"/>
        </w:rPr>
        <w:t>a</w:t>
      </w:r>
      <w:r w:rsidRPr="00322718">
        <w:rPr>
          <w:rFonts w:ascii="Times New Roman" w:hAnsi="Times New Roman" w:cs="Times New Roman"/>
          <w:sz w:val="24"/>
          <w:szCs w:val="24"/>
        </w:rPr>
        <w:t xml:space="preserve"> median of 5 teeth</w:t>
      </w:r>
      <w:r w:rsidR="007C7DEC" w:rsidRPr="00322718">
        <w:rPr>
          <w:rFonts w:ascii="Times New Roman" w:hAnsi="Times New Roman" w:cs="Times New Roman"/>
          <w:sz w:val="24"/>
          <w:szCs w:val="24"/>
        </w:rPr>
        <w:t xml:space="preserve"> extracted</w:t>
      </w:r>
      <w:r w:rsidRPr="00322718">
        <w:rPr>
          <w:rFonts w:ascii="Times New Roman" w:hAnsi="Times New Roman" w:cs="Times New Roman"/>
          <w:sz w:val="24"/>
          <w:szCs w:val="24"/>
        </w:rPr>
        <w:t>, almost all under general anaesthe</w:t>
      </w:r>
      <w:r w:rsidR="007C7DEC" w:rsidRPr="00322718">
        <w:rPr>
          <w:rFonts w:ascii="Times New Roman" w:hAnsi="Times New Roman" w:cs="Times New Roman"/>
          <w:sz w:val="24"/>
          <w:szCs w:val="24"/>
        </w:rPr>
        <w:t>sia</w:t>
      </w:r>
      <w:r w:rsidRPr="00322718">
        <w:rPr>
          <w:rFonts w:ascii="Times New Roman" w:hAnsi="Times New Roman" w:cs="Times New Roman"/>
          <w:sz w:val="24"/>
          <w:szCs w:val="24"/>
        </w:rPr>
        <w:t xml:space="preserve">. </w:t>
      </w:r>
      <w:r w:rsidR="007C7DEC" w:rsidRPr="00322718">
        <w:rPr>
          <w:rFonts w:ascii="Times New Roman" w:hAnsi="Times New Roman" w:cs="Times New Roman"/>
          <w:sz w:val="24"/>
          <w:szCs w:val="24"/>
        </w:rPr>
        <w:t>N</w:t>
      </w:r>
      <w:r w:rsidRPr="00322718">
        <w:rPr>
          <w:rFonts w:ascii="Times New Roman" w:hAnsi="Times New Roman" w:cs="Times New Roman"/>
          <w:sz w:val="24"/>
          <w:szCs w:val="24"/>
        </w:rPr>
        <w:t>ot all first permanent molars were erupted; mean DMFT 0.1 in DR-BNI group</w:t>
      </w:r>
      <w:r w:rsidR="00F753CA" w:rsidRPr="00322718">
        <w:rPr>
          <w:rFonts w:ascii="Times New Roman" w:hAnsi="Times New Roman" w:cs="Times New Roman"/>
          <w:sz w:val="24"/>
          <w:szCs w:val="24"/>
        </w:rPr>
        <w:t>;</w:t>
      </w:r>
      <w:r w:rsidRPr="00322718">
        <w:rPr>
          <w:rFonts w:ascii="Times New Roman" w:hAnsi="Times New Roman" w:cs="Times New Roman"/>
          <w:sz w:val="24"/>
          <w:szCs w:val="24"/>
        </w:rPr>
        <w:t xml:space="preserve"> 0.0 in control.</w:t>
      </w:r>
    </w:p>
    <w:p w:rsidR="0024249B" w:rsidRPr="00322718" w:rsidRDefault="0024249B" w:rsidP="0024249B">
      <w:pPr>
        <w:spacing w:line="360" w:lineRule="auto"/>
        <w:jc w:val="both"/>
        <w:rPr>
          <w:rFonts w:ascii="Times New Roman" w:hAnsi="Times New Roman" w:cs="Times New Roman"/>
          <w:sz w:val="24"/>
          <w:szCs w:val="24"/>
        </w:rPr>
      </w:pPr>
      <w:r w:rsidRPr="00322718">
        <w:rPr>
          <w:rFonts w:ascii="Times New Roman" w:hAnsi="Times New Roman" w:cs="Times New Roman"/>
          <w:sz w:val="24"/>
          <w:szCs w:val="24"/>
        </w:rPr>
        <w:t>Intervention compliance was over 95% for both groups with 96% of parents agreeing preventive goals, e.g. to reduce specific sugar behaviours and/or improve toothbrushing frequency</w:t>
      </w:r>
      <w:r w:rsidR="00BA44D9" w:rsidRPr="00322718">
        <w:rPr>
          <w:rFonts w:ascii="Times New Roman" w:hAnsi="Times New Roman" w:cs="Times New Roman"/>
          <w:sz w:val="24"/>
          <w:szCs w:val="24"/>
        </w:rPr>
        <w:t xml:space="preserve"> (</w:t>
      </w:r>
      <w:r w:rsidR="00F4000B" w:rsidRPr="00322718">
        <w:rPr>
          <w:rFonts w:ascii="Times New Roman" w:hAnsi="Times New Roman" w:cs="Times New Roman"/>
          <w:sz w:val="24"/>
          <w:szCs w:val="24"/>
        </w:rPr>
        <w:t>Appendix 2</w:t>
      </w:r>
      <w:r w:rsidR="00BA44D9" w:rsidRPr="00322718">
        <w:rPr>
          <w:rFonts w:ascii="Times New Roman" w:hAnsi="Times New Roman" w:cs="Times New Roman"/>
          <w:sz w:val="24"/>
          <w:szCs w:val="24"/>
        </w:rPr>
        <w:t>)</w:t>
      </w:r>
      <w:r w:rsidR="00F4000B" w:rsidRPr="00322718">
        <w:rPr>
          <w:rFonts w:ascii="Times New Roman" w:hAnsi="Times New Roman" w:cs="Times New Roman"/>
          <w:sz w:val="24"/>
          <w:szCs w:val="24"/>
        </w:rPr>
        <w:t>.</w:t>
      </w:r>
    </w:p>
    <w:p w:rsidR="00F96AEB" w:rsidRPr="00322718" w:rsidRDefault="0024249B" w:rsidP="0024249B">
      <w:pPr>
        <w:pStyle w:val="para"/>
        <w:spacing w:line="360" w:lineRule="auto"/>
        <w:jc w:val="both"/>
      </w:pPr>
      <w:r w:rsidRPr="00322718">
        <w:t xml:space="preserve">Final dental examinations were undertaken </w:t>
      </w:r>
      <w:r w:rsidR="007C7DEC" w:rsidRPr="00322718">
        <w:t xml:space="preserve">two years after intervention </w:t>
      </w:r>
      <w:r w:rsidRPr="00322718">
        <w:t xml:space="preserve">across the UK by a single examiner (CP); visiting 189 schools and two children </w:t>
      </w:r>
      <w:r w:rsidR="007C7DEC" w:rsidRPr="00322718">
        <w:t>at home</w:t>
      </w:r>
      <w:r w:rsidRPr="00322718">
        <w:t>. 193 (8</w:t>
      </w:r>
      <w:r w:rsidR="00D4025D" w:rsidRPr="00322718">
        <w:t>0</w:t>
      </w:r>
      <w:r w:rsidRPr="00322718">
        <w:t>%) of 2</w:t>
      </w:r>
      <w:r w:rsidR="00D4025D" w:rsidRPr="00322718">
        <w:t>4</w:t>
      </w:r>
      <w:r w:rsidRPr="00322718">
        <w:t xml:space="preserve">1 </w:t>
      </w:r>
      <w:r w:rsidR="00600001" w:rsidRPr="00322718">
        <w:t xml:space="preserve">children </w:t>
      </w:r>
      <w:r w:rsidRPr="00322718">
        <w:t xml:space="preserve">were examined, </w:t>
      </w:r>
      <w:r w:rsidR="007C7DEC" w:rsidRPr="00322718">
        <w:t xml:space="preserve">for </w:t>
      </w:r>
      <w:r w:rsidRPr="00322718">
        <w:t>two, baseline assessments had not been completed, therefore, 191(</w:t>
      </w:r>
      <w:r w:rsidR="00D4025D" w:rsidRPr="00322718">
        <w:t>79</w:t>
      </w:r>
      <w:r w:rsidRPr="00322718">
        <w:t>%) of 2</w:t>
      </w:r>
      <w:r w:rsidR="00D4025D" w:rsidRPr="00322718">
        <w:t>4</w:t>
      </w:r>
      <w:r w:rsidRPr="00322718">
        <w:t>1 were analysed</w:t>
      </w:r>
      <w:r w:rsidR="00117467" w:rsidRPr="00322718">
        <w:t>; 88 (74%) in DR-BNI group and 103 (84%) in control</w:t>
      </w:r>
      <w:r w:rsidRPr="00322718">
        <w:t xml:space="preserve">. </w:t>
      </w:r>
    </w:p>
    <w:p w:rsidR="0024249B" w:rsidRPr="00322718" w:rsidRDefault="0024249B" w:rsidP="0024249B">
      <w:pPr>
        <w:pStyle w:val="para"/>
        <w:spacing w:line="360" w:lineRule="auto"/>
        <w:jc w:val="both"/>
      </w:pPr>
      <w:r w:rsidRPr="00322718">
        <w:t xml:space="preserve">Table 2 shows 62% of children in the control group developed new </w:t>
      </w:r>
      <w:r w:rsidR="00BA44D9" w:rsidRPr="00322718">
        <w:t>caries</w:t>
      </w:r>
      <w:r w:rsidR="00A84A46" w:rsidRPr="00322718">
        <w:t xml:space="preserve"> in</w:t>
      </w:r>
      <w:r w:rsidRPr="00322718">
        <w:t xml:space="preserve"> teeth that were </w:t>
      </w:r>
      <w:r w:rsidR="00A84A46" w:rsidRPr="00322718">
        <w:t xml:space="preserve">previously </w:t>
      </w:r>
      <w:r w:rsidRPr="00322718">
        <w:t>caries free or unerupted. In the test group, this was 44%</w:t>
      </w:r>
      <w:r w:rsidR="00A84A46" w:rsidRPr="00322718">
        <w:t xml:space="preserve"> of children</w:t>
      </w:r>
      <w:r w:rsidRPr="00322718">
        <w:t xml:space="preserve">, a significant reduction (p=0.021). </w:t>
      </w:r>
      <w:r w:rsidR="00F4000B" w:rsidRPr="00322718">
        <w:t xml:space="preserve">Figure 2 gives the distribution of new caries in teeth, providing a measure of severity. </w:t>
      </w:r>
      <w:r w:rsidRPr="00322718">
        <w:rPr>
          <w:szCs w:val="22"/>
        </w:rPr>
        <w:t>The odds of new caries experience occurring w</w:t>
      </w:r>
      <w:r w:rsidR="006D7CB4" w:rsidRPr="00322718">
        <w:rPr>
          <w:szCs w:val="22"/>
        </w:rPr>
        <w:t>ere</w:t>
      </w:r>
      <w:r w:rsidRPr="00322718">
        <w:rPr>
          <w:szCs w:val="22"/>
        </w:rPr>
        <w:t xml:space="preserve"> reduced by 51% in the DR-BNI group compared to control. Relative risk: </w:t>
      </w:r>
      <w:r w:rsidRPr="00322718">
        <w:t xml:space="preserve">29% decrease in the risk of new caries experience in the DR-BNI group compared to the control. Similar significant differences were found in </w:t>
      </w:r>
      <w:r w:rsidR="008805BB" w:rsidRPr="00322718">
        <w:t>two sensitivity analyses, one using the</w:t>
      </w:r>
      <w:r w:rsidRPr="00322718">
        <w:t xml:space="preserve"> </w:t>
      </w:r>
      <w:r w:rsidRPr="00322718">
        <w:rPr>
          <w:i/>
        </w:rPr>
        <w:t>per protocol</w:t>
      </w:r>
      <w:r w:rsidRPr="00322718">
        <w:t xml:space="preserve"> </w:t>
      </w:r>
      <w:r w:rsidR="008805BB" w:rsidRPr="00322718">
        <w:t>data set, and one using multiple imputation to replace missing outcome data</w:t>
      </w:r>
      <w:r w:rsidR="00F4000B" w:rsidRPr="00322718">
        <w:t xml:space="preserve"> (Table 2)</w:t>
      </w:r>
      <w:r w:rsidR="008805BB" w:rsidRPr="00322718">
        <w:t>.</w:t>
      </w:r>
    </w:p>
    <w:p w:rsidR="009809A9" w:rsidRPr="00322718" w:rsidRDefault="007B6600" w:rsidP="0024249B">
      <w:pPr>
        <w:pStyle w:val="para"/>
        <w:spacing w:line="360" w:lineRule="auto"/>
        <w:jc w:val="both"/>
      </w:pPr>
      <w:r w:rsidRPr="00322718">
        <w:t>To</w:t>
      </w:r>
      <w:r w:rsidR="0024249B" w:rsidRPr="00322718">
        <w:t xml:space="preserve"> explore whether the differences arose from a single Centre, perhaps due to a particularly effective nurse intervention, the direction of differences in proportions for all Centres was analysed (Table 2). Sufficient numbers were available </w:t>
      </w:r>
      <w:r w:rsidR="000763C7" w:rsidRPr="00322718">
        <w:t>in</w:t>
      </w:r>
      <w:r w:rsidR="0024249B" w:rsidRPr="00322718">
        <w:t xml:space="preserve"> 9 Centres; and, in 8 of the 9, the direction was the same, showing consistency in benefit to the DR-BNI group. </w:t>
      </w:r>
    </w:p>
    <w:p w:rsidR="0024249B" w:rsidRPr="00322718" w:rsidRDefault="002E00EA" w:rsidP="0024249B">
      <w:pPr>
        <w:pStyle w:val="para"/>
        <w:spacing w:line="360" w:lineRule="auto"/>
        <w:jc w:val="both"/>
      </w:pPr>
      <w:r w:rsidRPr="00322718">
        <w:lastRenderedPageBreak/>
        <w:t>R</w:t>
      </w:r>
      <w:r w:rsidR="0024249B" w:rsidRPr="00322718">
        <w:t>esults from the ninth Centre, L, w</w:t>
      </w:r>
      <w:r w:rsidRPr="00322718">
        <w:t>ere</w:t>
      </w:r>
      <w:r w:rsidR="0024249B" w:rsidRPr="00322718">
        <w:t xml:space="preserve"> in the opposite direction. Families were almost entirely of Bangladeshi heritage, </w:t>
      </w:r>
      <w:r w:rsidR="00F549AF" w:rsidRPr="00322718">
        <w:t xml:space="preserve">with very high levels of childhood caries (Public Health England 2018). </w:t>
      </w:r>
      <w:r w:rsidR="009809A9" w:rsidRPr="00322718">
        <w:t>Although</w:t>
      </w:r>
      <w:r w:rsidR="009E7466" w:rsidRPr="00322718">
        <w:t xml:space="preserve"> </w:t>
      </w:r>
      <w:r w:rsidR="0024249B" w:rsidRPr="00322718">
        <w:t>one of the two dental nurses delivering the interventions was bilingual in English a</w:t>
      </w:r>
      <w:r w:rsidR="00143828" w:rsidRPr="00322718">
        <w:t>n</w:t>
      </w:r>
      <w:r w:rsidR="0024249B" w:rsidRPr="00322718">
        <w:t>d Sylhet</w:t>
      </w:r>
      <w:r w:rsidR="009809A9" w:rsidRPr="00322718">
        <w:t>, i</w:t>
      </w:r>
      <w:r w:rsidR="00F549AF" w:rsidRPr="00322718">
        <w:t>t is likely that additional interventions may be needed to facilitate changes in cultural norms in this community.</w:t>
      </w:r>
    </w:p>
    <w:p w:rsidR="0024249B" w:rsidRPr="00322718" w:rsidRDefault="0024249B" w:rsidP="0024249B">
      <w:pPr>
        <w:pStyle w:val="para"/>
        <w:spacing w:line="360" w:lineRule="auto"/>
        <w:jc w:val="both"/>
      </w:pPr>
      <w:r w:rsidRPr="00322718">
        <w:t xml:space="preserve">Over two years, </w:t>
      </w:r>
      <w:r w:rsidR="00571E40" w:rsidRPr="00322718">
        <w:t>around</w:t>
      </w:r>
      <w:r w:rsidRPr="00322718">
        <w:t xml:space="preserve"> 60% of children returned to the same dental practice that had referred them for extractions (Table 3). </w:t>
      </w:r>
      <w:r w:rsidR="00571E40" w:rsidRPr="00322718">
        <w:t>T</w:t>
      </w:r>
      <w:r w:rsidRPr="00322718">
        <w:t xml:space="preserve">here was a non-significant trend for </w:t>
      </w:r>
      <w:r w:rsidR="00571E40" w:rsidRPr="00322718">
        <w:t xml:space="preserve">DR-BNI children </w:t>
      </w:r>
      <w:r w:rsidRPr="00322718">
        <w:t xml:space="preserve">to return sooner, 3-4 months </w:t>
      </w:r>
      <w:r w:rsidR="00571E40" w:rsidRPr="00322718">
        <w:t>after</w:t>
      </w:r>
      <w:r w:rsidRPr="00322718">
        <w:t xml:space="preserve"> extractions. </w:t>
      </w:r>
      <w:r w:rsidR="00206478" w:rsidRPr="00322718">
        <w:t xml:space="preserve">At the practices, </w:t>
      </w:r>
      <w:r w:rsidR="00571E40" w:rsidRPr="00322718">
        <w:t>similar proportions</w:t>
      </w:r>
      <w:r w:rsidRPr="00322718">
        <w:t xml:space="preserve"> of </w:t>
      </w:r>
      <w:r w:rsidR="0004241B" w:rsidRPr="00322718">
        <w:t xml:space="preserve">children were given </w:t>
      </w:r>
      <w:r w:rsidRPr="00322718">
        <w:t>fluoride varnish applications (</w:t>
      </w:r>
      <w:r w:rsidR="009E7466" w:rsidRPr="00322718">
        <w:t xml:space="preserve">around </w:t>
      </w:r>
      <w:r w:rsidRPr="00322718">
        <w:t>80%)</w:t>
      </w:r>
      <w:r w:rsidR="00F464A7" w:rsidRPr="00322718">
        <w:t xml:space="preserve">; </w:t>
      </w:r>
      <w:r w:rsidR="00DE1AB2" w:rsidRPr="00322718">
        <w:t>and</w:t>
      </w:r>
      <w:r w:rsidR="00F464A7" w:rsidRPr="00322718">
        <w:t xml:space="preserve"> </w:t>
      </w:r>
      <w:r w:rsidR="00DE1AB2" w:rsidRPr="00322718">
        <w:t xml:space="preserve">had </w:t>
      </w:r>
      <w:r w:rsidR="00F464A7" w:rsidRPr="00322718">
        <w:t xml:space="preserve">fissure sealants </w:t>
      </w:r>
      <w:r w:rsidR="00DE1AB2" w:rsidRPr="00322718">
        <w:t xml:space="preserve">placed </w:t>
      </w:r>
      <w:r w:rsidR="00F464A7" w:rsidRPr="00322718">
        <w:t>(</w:t>
      </w:r>
      <w:r w:rsidR="00571E40" w:rsidRPr="00322718">
        <w:t>around</w:t>
      </w:r>
      <w:r w:rsidR="00F464A7" w:rsidRPr="00322718">
        <w:t xml:space="preserve"> 3</w:t>
      </w:r>
      <w:r w:rsidR="00571E40" w:rsidRPr="00322718">
        <w:t>0</w:t>
      </w:r>
      <w:r w:rsidR="00F464A7" w:rsidRPr="00322718">
        <w:t>%)</w:t>
      </w:r>
      <w:r w:rsidRPr="00322718">
        <w:t xml:space="preserve">. </w:t>
      </w:r>
      <w:r w:rsidR="00F464A7" w:rsidRPr="00322718">
        <w:t>The difference between the group</w:t>
      </w:r>
      <w:r w:rsidR="00FE7CB2" w:rsidRPr="00322718">
        <w:t>s</w:t>
      </w:r>
      <w:r w:rsidR="00F464A7" w:rsidRPr="00322718">
        <w:t xml:space="preserve"> </w:t>
      </w:r>
      <w:r w:rsidR="00105140" w:rsidRPr="00322718">
        <w:t xml:space="preserve">was in the </w:t>
      </w:r>
      <w:r w:rsidR="00FE7CB2" w:rsidRPr="00322718">
        <w:t>proportion of children</w:t>
      </w:r>
      <w:r w:rsidR="009E7466" w:rsidRPr="00322718">
        <w:t xml:space="preserve"> </w:t>
      </w:r>
      <w:r w:rsidR="002E00EA" w:rsidRPr="00322718">
        <w:t>who had</w:t>
      </w:r>
      <w:r w:rsidR="009E7466" w:rsidRPr="00322718">
        <w:t xml:space="preserve"> fillings </w:t>
      </w:r>
      <w:r w:rsidRPr="00322718">
        <w:t>placed</w:t>
      </w:r>
      <w:r w:rsidR="00FE7CB2" w:rsidRPr="00322718">
        <w:t xml:space="preserve">: </w:t>
      </w:r>
      <w:r w:rsidR="00105140" w:rsidRPr="00322718">
        <w:t>22%</w:t>
      </w:r>
      <w:r w:rsidR="00FE7CB2" w:rsidRPr="00322718">
        <w:t xml:space="preserve"> in DR-BNI</w:t>
      </w:r>
      <w:r w:rsidR="00105140" w:rsidRPr="00322718">
        <w:t xml:space="preserve"> group</w:t>
      </w:r>
      <w:r w:rsidR="00F464A7" w:rsidRPr="00322718">
        <w:t xml:space="preserve"> compared to </w:t>
      </w:r>
      <w:r w:rsidR="00105140" w:rsidRPr="00322718">
        <w:t>40%</w:t>
      </w:r>
      <w:r w:rsidR="00F464A7" w:rsidRPr="00322718">
        <w:t xml:space="preserve"> </w:t>
      </w:r>
      <w:r w:rsidR="00FE7CB2" w:rsidRPr="00322718">
        <w:t>in</w:t>
      </w:r>
      <w:r w:rsidRPr="00322718">
        <w:t xml:space="preserve"> control</w:t>
      </w:r>
      <w:r w:rsidR="00234CDE" w:rsidRPr="00322718">
        <w:t>;</w:t>
      </w:r>
      <w:r w:rsidR="00FE7CB2" w:rsidRPr="00322718">
        <w:t xml:space="preserve"> directly </w:t>
      </w:r>
      <w:r w:rsidRPr="00322718">
        <w:t>reflecting the higher caries experience found in the independent final dental examinations.</w:t>
      </w:r>
    </w:p>
    <w:p w:rsidR="0024249B" w:rsidRPr="00322718" w:rsidRDefault="0024249B" w:rsidP="0024249B">
      <w:pPr>
        <w:spacing w:line="360" w:lineRule="auto"/>
        <w:jc w:val="both"/>
        <w:rPr>
          <w:rFonts w:ascii="Times New Roman" w:hAnsi="Times New Roman" w:cs="Times New Roman"/>
          <w:b/>
          <w:sz w:val="24"/>
          <w:szCs w:val="24"/>
        </w:rPr>
      </w:pPr>
      <w:r w:rsidRPr="00322718">
        <w:rPr>
          <w:rFonts w:ascii="Times New Roman" w:hAnsi="Times New Roman" w:cs="Times New Roman"/>
          <w:b/>
          <w:sz w:val="24"/>
          <w:szCs w:val="24"/>
        </w:rPr>
        <w:t>Discussion</w:t>
      </w:r>
    </w:p>
    <w:p w:rsidR="0024249B" w:rsidRPr="00322718" w:rsidRDefault="0024249B" w:rsidP="0024249B">
      <w:pPr>
        <w:pStyle w:val="para"/>
        <w:spacing w:line="360" w:lineRule="auto"/>
        <w:jc w:val="both"/>
      </w:pPr>
      <w:r w:rsidRPr="00322718">
        <w:t>This trial tested the efficacy of a brief negotiated interview informed by motivational interviewing, a single conversation changing how dental teams traditionally talk to their patients, moving from uni-directional advice of don’ts, to a</w:t>
      </w:r>
      <w:r w:rsidR="009D1399" w:rsidRPr="00322718">
        <w:t xml:space="preserve"> structured</w:t>
      </w:r>
      <w:r w:rsidRPr="00322718">
        <w:t xml:space="preserve"> conversation </w:t>
      </w:r>
      <w:r w:rsidR="00023116" w:rsidRPr="00322718">
        <w:t>to support</w:t>
      </w:r>
      <w:r w:rsidRPr="00322718">
        <w:t xml:space="preserve"> families </w:t>
      </w:r>
      <w:r w:rsidR="00023116" w:rsidRPr="00322718">
        <w:t>to</w:t>
      </w:r>
      <w:r w:rsidRPr="00322718">
        <w:t xml:space="preserve"> make their child’s dental future better. The intervention was theory-driven and targeted to children at the highest risk of developing new caries. The decision to extract multiple teeth is a “</w:t>
      </w:r>
      <w:r w:rsidR="00023116" w:rsidRPr="00322718">
        <w:t>teachable</w:t>
      </w:r>
      <w:r w:rsidRPr="00322718">
        <w:t xml:space="preserve"> moment” for many families whe</w:t>
      </w:r>
      <w:r w:rsidR="00AF1319" w:rsidRPr="00322718">
        <w:t>n</w:t>
      </w:r>
      <w:r w:rsidRPr="00322718">
        <w:t xml:space="preserve"> they may be more receptive to consider</w:t>
      </w:r>
      <w:r w:rsidR="00AF1319" w:rsidRPr="00322718">
        <w:t>ing</w:t>
      </w:r>
      <w:r w:rsidRPr="00322718">
        <w:t xml:space="preserve"> mak</w:t>
      </w:r>
      <w:r w:rsidR="006D7CB4" w:rsidRPr="00322718">
        <w:t>ing things better in the future</w:t>
      </w:r>
      <w:r w:rsidRPr="00322718">
        <w:t xml:space="preserve"> (</w:t>
      </w:r>
      <w:r w:rsidR="00CF3F82" w:rsidRPr="00322718">
        <w:rPr>
          <w:rStyle w:val="authors"/>
        </w:rPr>
        <w:t xml:space="preserve">Papies </w:t>
      </w:r>
      <w:r w:rsidR="006D7CB4" w:rsidRPr="00322718">
        <w:t>2</w:t>
      </w:r>
      <w:r w:rsidR="00CF3F82" w:rsidRPr="00322718">
        <w:t>0</w:t>
      </w:r>
      <w:r w:rsidR="006D7CB4" w:rsidRPr="00322718">
        <w:t>1</w:t>
      </w:r>
      <w:r w:rsidR="00CF3F82" w:rsidRPr="00322718">
        <w:t>6</w:t>
      </w:r>
      <w:r w:rsidRPr="00322718">
        <w:t>).</w:t>
      </w:r>
    </w:p>
    <w:p w:rsidR="0024249B" w:rsidRPr="00314E36" w:rsidRDefault="0024249B" w:rsidP="0024249B">
      <w:pPr>
        <w:pStyle w:val="para"/>
        <w:spacing w:line="360" w:lineRule="auto"/>
        <w:jc w:val="both"/>
      </w:pPr>
      <w:r w:rsidRPr="00322718">
        <w:t xml:space="preserve">Formal training for nurses took one day, </w:t>
      </w:r>
      <w:r w:rsidR="00A31481" w:rsidRPr="00322718">
        <w:t>with</w:t>
      </w:r>
      <w:r w:rsidR="009D1399" w:rsidRPr="00322718">
        <w:t xml:space="preserve"> post-</w:t>
      </w:r>
      <w:r w:rsidRPr="00322718">
        <w:t xml:space="preserve">training practice in their </w:t>
      </w:r>
      <w:r w:rsidR="00D757EC" w:rsidRPr="00322718">
        <w:t>clinics</w:t>
      </w:r>
      <w:r w:rsidRPr="00322718">
        <w:t xml:space="preserve"> to develop conversational skills. </w:t>
      </w:r>
      <w:r w:rsidR="00D757EC" w:rsidRPr="00322718">
        <w:t>During</w:t>
      </w:r>
      <w:r w:rsidRPr="00322718">
        <w:t xml:space="preserve"> training, we challenge</w:t>
      </w:r>
      <w:r w:rsidR="00A31481" w:rsidRPr="00322718">
        <w:t>d</w:t>
      </w:r>
      <w:r w:rsidRPr="00322718">
        <w:t xml:space="preserve"> some</w:t>
      </w:r>
      <w:r w:rsidRPr="00314E36">
        <w:t xml:space="preserve"> nurses’ critic</w:t>
      </w:r>
      <w:r w:rsidR="00A31481">
        <w:t>ism of</w:t>
      </w:r>
      <w:r w:rsidRPr="00314E36">
        <w:t xml:space="preserve"> parent</w:t>
      </w:r>
      <w:r w:rsidR="00A31481">
        <w:t>s’</w:t>
      </w:r>
      <w:r w:rsidRPr="00314E36">
        <w:t xml:space="preserve"> behaviours that had led to so much </w:t>
      </w:r>
      <w:r w:rsidR="00A31481">
        <w:t>caries</w:t>
      </w:r>
      <w:r w:rsidRPr="00314E36">
        <w:t xml:space="preserve">. </w:t>
      </w:r>
      <w:r w:rsidR="00A31481">
        <w:t>We</w:t>
      </w:r>
      <w:r w:rsidR="00BB2AAF">
        <w:t xml:space="preserve"> focus</w:t>
      </w:r>
      <w:r w:rsidR="00A31481">
        <w:t>sed</w:t>
      </w:r>
      <w:r w:rsidR="00BB2AAF">
        <w:t xml:space="preserve"> on</w:t>
      </w:r>
      <w:r w:rsidRPr="00314E36">
        <w:t xml:space="preserve"> </w:t>
      </w:r>
      <w:r w:rsidR="00023116">
        <w:t>empathic communication</w:t>
      </w:r>
      <w:r w:rsidRPr="00314E36">
        <w:t xml:space="preserve"> </w:t>
      </w:r>
      <w:r w:rsidR="00A31481">
        <w:t xml:space="preserve">to </w:t>
      </w:r>
      <w:r w:rsidRPr="00314E36">
        <w:t xml:space="preserve">support development of </w:t>
      </w:r>
      <w:r w:rsidR="00023116">
        <w:t>healthier routines</w:t>
      </w:r>
      <w:r w:rsidRPr="00314E36">
        <w:t xml:space="preserve"> for families. </w:t>
      </w:r>
    </w:p>
    <w:p w:rsidR="0024249B" w:rsidRPr="00322718" w:rsidRDefault="0024249B" w:rsidP="0024249B">
      <w:pPr>
        <w:pStyle w:val="para"/>
        <w:spacing w:line="360" w:lineRule="auto"/>
        <w:jc w:val="both"/>
      </w:pPr>
      <w:r w:rsidRPr="00314E36">
        <w:t>Recruitment took over eighteen months</w:t>
      </w:r>
      <w:r w:rsidR="00AF1319">
        <w:t xml:space="preserve"> as participants were a hard-to-</w:t>
      </w:r>
      <w:r w:rsidRPr="00314E36">
        <w:t>reach group intermittent</w:t>
      </w:r>
      <w:r w:rsidR="00A31481">
        <w:t>ly</w:t>
      </w:r>
      <w:r w:rsidRPr="00314E36">
        <w:t xml:space="preserve"> engag</w:t>
      </w:r>
      <w:r w:rsidR="00A31481">
        <w:t>ing</w:t>
      </w:r>
      <w:r w:rsidRPr="00314E36">
        <w:t xml:space="preserve"> with dental care</w:t>
      </w:r>
      <w:r w:rsidR="00201E4C">
        <w:t xml:space="preserve"> (</w:t>
      </w:r>
      <w:r w:rsidR="00EA1D48" w:rsidRPr="00602F28">
        <w:t>Huntington</w:t>
      </w:r>
      <w:r w:rsidR="00EA1D48">
        <w:t xml:space="preserve"> et al. </w:t>
      </w:r>
      <w:r w:rsidR="006D7CB4">
        <w:t>2</w:t>
      </w:r>
      <w:r w:rsidR="00EA1D48">
        <w:t>017</w:t>
      </w:r>
      <w:r w:rsidR="00201E4C">
        <w:t>)</w:t>
      </w:r>
      <w:r w:rsidRPr="00314E36">
        <w:t>. Some families were very disadvantaged and known to Social Services, families came from many countries with diverse cultures. The importance of family environment (</w:t>
      </w:r>
      <w:r w:rsidR="00EA1D48" w:rsidRPr="00602F28">
        <w:rPr>
          <w:rFonts w:eastAsia="Calibri"/>
        </w:rPr>
        <w:t xml:space="preserve">Mattila </w:t>
      </w:r>
      <w:r w:rsidR="00EA1D48">
        <w:rPr>
          <w:rFonts w:eastAsia="Calibri"/>
        </w:rPr>
        <w:t xml:space="preserve">et al. </w:t>
      </w:r>
      <w:r w:rsidRPr="00314E36">
        <w:t>2</w:t>
      </w:r>
      <w:r w:rsidR="00EA1D48">
        <w:t>000</w:t>
      </w:r>
      <w:r w:rsidRPr="00314E36">
        <w:t xml:space="preserve">) and social determinants of health </w:t>
      </w:r>
      <w:r w:rsidR="00A0136A">
        <w:t xml:space="preserve">underpin </w:t>
      </w:r>
      <w:r w:rsidRPr="00314E36">
        <w:t>barriers to healthy behaviours (</w:t>
      </w:r>
      <w:r w:rsidR="00891B61">
        <w:t>WHO 2008</w:t>
      </w:r>
      <w:r w:rsidRPr="00314E36">
        <w:t xml:space="preserve">). Taking a non-judgemental </w:t>
      </w:r>
      <w:r w:rsidRPr="00322718">
        <w:lastRenderedPageBreak/>
        <w:t>approach in the DR-BNI led families to eng</w:t>
      </w:r>
      <w:r w:rsidR="00A84A46" w:rsidRPr="00322718">
        <w:t>age in considering changes that they identified as possible</w:t>
      </w:r>
      <w:r w:rsidRPr="00322718">
        <w:t xml:space="preserve"> to undertake for their children in their day-to-day life.</w:t>
      </w:r>
    </w:p>
    <w:p w:rsidR="00FF54CE" w:rsidRPr="00322718" w:rsidRDefault="0024249B" w:rsidP="00FF54CE">
      <w:pPr>
        <w:pStyle w:val="para"/>
        <w:spacing w:line="360" w:lineRule="auto"/>
        <w:jc w:val="both"/>
      </w:pPr>
      <w:r w:rsidRPr="00322718">
        <w:t>Nearly two thirds of children return</w:t>
      </w:r>
      <w:r w:rsidR="00A0136A" w:rsidRPr="00322718">
        <w:t>ed</w:t>
      </w:r>
      <w:r w:rsidRPr="00322718">
        <w:t xml:space="preserve"> to their referring dental practice, higher numbers did not return in the DR-BNI group. </w:t>
      </w:r>
      <w:r w:rsidR="007D1251" w:rsidRPr="00322718">
        <w:t>As s</w:t>
      </w:r>
      <w:r w:rsidRPr="00322718">
        <w:t xml:space="preserve">imilar </w:t>
      </w:r>
      <w:r w:rsidR="007117A5" w:rsidRPr="00322718">
        <w:t>proportions</w:t>
      </w:r>
      <w:r w:rsidRPr="00322718">
        <w:t xml:space="preserve"> of </w:t>
      </w:r>
      <w:r w:rsidR="007117A5" w:rsidRPr="00322718">
        <w:t xml:space="preserve">children </w:t>
      </w:r>
      <w:r w:rsidR="007D1251" w:rsidRPr="00322718">
        <w:t xml:space="preserve">in both groups </w:t>
      </w:r>
      <w:r w:rsidR="007117A5" w:rsidRPr="00322718">
        <w:t xml:space="preserve">had </w:t>
      </w:r>
      <w:r w:rsidRPr="00322718">
        <w:t xml:space="preserve">fluoride varnish </w:t>
      </w:r>
      <w:r w:rsidR="007D1251" w:rsidRPr="00322718">
        <w:t>and fissure sealants, this does not explain the</w:t>
      </w:r>
      <w:r w:rsidRPr="00322718">
        <w:t xml:space="preserve"> reduced caries levels in the DR-BNI</w:t>
      </w:r>
      <w:r w:rsidR="00E27BF3" w:rsidRPr="00322718">
        <w:t xml:space="preserve"> group</w:t>
      </w:r>
      <w:r w:rsidRPr="00322718">
        <w:t xml:space="preserve">. </w:t>
      </w:r>
      <w:r w:rsidR="00FF54CE" w:rsidRPr="00322718">
        <w:t>Therefore, it appears that it was the nurses’ intervention with parents addressing underlying aetiological factors, potentially reinforced in dental practices, that was critical to achieving significant benefit for children in the DR-BNI group.</w:t>
      </w:r>
    </w:p>
    <w:p w:rsidR="0024249B" w:rsidRPr="00322718" w:rsidRDefault="00F549AF" w:rsidP="0024249B">
      <w:pPr>
        <w:pStyle w:val="para"/>
        <w:spacing w:line="360" w:lineRule="auto"/>
        <w:jc w:val="both"/>
      </w:pPr>
      <w:r w:rsidRPr="00322718">
        <w:t>Undertaking final dental assessments in schools was a major endeavour as children attended 189 schools across the UK.  Nevertheless, it was worthwhile as 8</w:t>
      </w:r>
      <w:r w:rsidR="00085908" w:rsidRPr="00322718">
        <w:t>0</w:t>
      </w:r>
      <w:r w:rsidRPr="00322718">
        <w:t xml:space="preserve">% of children were examined, far more than if parents had been asked to bring children to clinics. </w:t>
      </w:r>
      <w:r w:rsidR="0024249B" w:rsidRPr="00322718">
        <w:t xml:space="preserve">Critically, this comprehensive data collection allowed demonstration of the consistency in the direction of benefit across 8 of the 9 Centres. This supports the conclusion that the effect was not dependent on a single outperforming Centre or individual nurse, but demonstrated that positive outcomes were general and attainable. </w:t>
      </w:r>
    </w:p>
    <w:p w:rsidR="0024249B" w:rsidRPr="00322718" w:rsidRDefault="0024249B" w:rsidP="0024249B">
      <w:pPr>
        <w:pStyle w:val="para"/>
        <w:spacing w:line="360" w:lineRule="auto"/>
        <w:jc w:val="both"/>
      </w:pPr>
      <w:r w:rsidRPr="00322718">
        <w:t xml:space="preserve">In a wide range of high caries risk children, this single, low cost, low </w:t>
      </w:r>
      <w:r w:rsidR="00085908" w:rsidRPr="00322718">
        <w:t>intensity</w:t>
      </w:r>
      <w:r w:rsidRPr="00322718">
        <w:t xml:space="preserve"> intervention was successful in significantly reducing the risk of new caries experience. </w:t>
      </w:r>
    </w:p>
    <w:p w:rsidR="0024249B" w:rsidRPr="00322718" w:rsidRDefault="0024249B" w:rsidP="0024249B">
      <w:pPr>
        <w:spacing w:line="360" w:lineRule="auto"/>
        <w:jc w:val="both"/>
        <w:rPr>
          <w:rFonts w:ascii="Times New Roman" w:hAnsi="Times New Roman" w:cs="Times New Roman"/>
          <w:b/>
          <w:sz w:val="24"/>
          <w:szCs w:val="24"/>
        </w:rPr>
      </w:pPr>
      <w:r w:rsidRPr="00322718">
        <w:rPr>
          <w:rFonts w:ascii="Times New Roman" w:hAnsi="Times New Roman" w:cs="Times New Roman"/>
          <w:b/>
          <w:sz w:val="24"/>
          <w:szCs w:val="24"/>
        </w:rPr>
        <w:t>Conclusion</w:t>
      </w:r>
      <w:r w:rsidR="00673CD4" w:rsidRPr="00322718">
        <w:rPr>
          <w:rFonts w:ascii="Times New Roman" w:hAnsi="Times New Roman" w:cs="Times New Roman"/>
          <w:b/>
          <w:sz w:val="24"/>
          <w:szCs w:val="24"/>
        </w:rPr>
        <w:t>s</w:t>
      </w:r>
      <w:r w:rsidRPr="00322718">
        <w:rPr>
          <w:rFonts w:ascii="Times New Roman" w:hAnsi="Times New Roman" w:cs="Times New Roman"/>
          <w:b/>
          <w:sz w:val="24"/>
          <w:szCs w:val="24"/>
        </w:rPr>
        <w:t xml:space="preserve"> and Implications for Clinical Practice</w:t>
      </w:r>
    </w:p>
    <w:p w:rsidR="00314E36" w:rsidRPr="00322718" w:rsidRDefault="0024249B" w:rsidP="0024249B">
      <w:pPr>
        <w:pStyle w:val="para"/>
        <w:spacing w:line="360" w:lineRule="auto"/>
        <w:jc w:val="both"/>
      </w:pPr>
      <w:r w:rsidRPr="00322718">
        <w:t xml:space="preserve">This trial has implications for changing </w:t>
      </w:r>
      <w:r w:rsidR="00A848F8" w:rsidRPr="00322718">
        <w:t>paediatric</w:t>
      </w:r>
      <w:r w:rsidRPr="00322718">
        <w:t xml:space="preserve"> </w:t>
      </w:r>
      <w:r w:rsidR="00673CD4" w:rsidRPr="00322718">
        <w:t xml:space="preserve">dental </w:t>
      </w:r>
      <w:r w:rsidRPr="00322718">
        <w:t xml:space="preserve">practice internationally. Training in, and </w:t>
      </w:r>
      <w:r w:rsidR="007C6B6E" w:rsidRPr="00322718">
        <w:t>implementation of, an MI-</w:t>
      </w:r>
      <w:r w:rsidRPr="00322718">
        <w:t>informed brief intervention provides opportunities for dental nurses to go beyond clinical prevention to facilitate behaviour change, and to support oral health improvements for high caries risk children.</w:t>
      </w:r>
      <w:r w:rsidR="009809A9" w:rsidRPr="00322718">
        <w:t xml:space="preserve"> </w:t>
      </w:r>
      <w:r w:rsidR="00314E36" w:rsidRPr="00322718">
        <w:t>The lead research team ha</w:t>
      </w:r>
      <w:r w:rsidR="00EA2EFC" w:rsidRPr="00322718">
        <w:t>s been</w:t>
      </w:r>
      <w:r w:rsidR="00314E36" w:rsidRPr="00322718">
        <w:t xml:space="preserve"> invit</w:t>
      </w:r>
      <w:r w:rsidR="00EA2EFC" w:rsidRPr="00322718">
        <w:t>ed</w:t>
      </w:r>
      <w:r w:rsidR="00314E36" w:rsidRPr="00322718">
        <w:t xml:space="preserve"> </w:t>
      </w:r>
      <w:r w:rsidR="00EA2EFC" w:rsidRPr="00322718">
        <w:t>by</w:t>
      </w:r>
      <w:r w:rsidR="00314E36" w:rsidRPr="00322718">
        <w:t xml:space="preserve"> Health Education England (North West) to develop the DR-BNI into a training programme for dental nurses in the NHS.</w:t>
      </w:r>
    </w:p>
    <w:p w:rsidR="00016693" w:rsidRPr="00322718" w:rsidRDefault="0027568B" w:rsidP="00016693">
      <w:pPr>
        <w:rPr>
          <w:rFonts w:ascii="Times New Roman" w:hAnsi="Times New Roman" w:cs="Times New Roman"/>
          <w:b/>
        </w:rPr>
      </w:pPr>
      <w:r w:rsidRPr="00322718">
        <w:rPr>
          <w:rFonts w:ascii="Times New Roman" w:hAnsi="Times New Roman" w:cs="Times New Roman"/>
          <w:b/>
          <w:sz w:val="24"/>
          <w:szCs w:val="24"/>
        </w:rPr>
        <w:br w:type="page"/>
      </w:r>
    </w:p>
    <w:p w:rsidR="00016693" w:rsidRPr="00322718" w:rsidRDefault="00016693" w:rsidP="00016693">
      <w:pPr>
        <w:rPr>
          <w:rFonts w:ascii="Times New Roman" w:hAnsi="Times New Roman" w:cs="Times New Roman"/>
          <w:b/>
          <w:sz w:val="24"/>
          <w:szCs w:val="24"/>
        </w:rPr>
      </w:pPr>
      <w:r w:rsidRPr="00322718">
        <w:rPr>
          <w:rFonts w:ascii="Times New Roman" w:hAnsi="Times New Roman" w:cs="Times New Roman"/>
          <w:b/>
          <w:sz w:val="24"/>
          <w:szCs w:val="24"/>
        </w:rPr>
        <w:lastRenderedPageBreak/>
        <w:t>Acknowledgements</w:t>
      </w:r>
    </w:p>
    <w:p w:rsidR="00520B8A" w:rsidRPr="00322718" w:rsidRDefault="00520B8A" w:rsidP="00520B8A">
      <w:pPr>
        <w:spacing w:line="360" w:lineRule="auto"/>
        <w:jc w:val="both"/>
        <w:rPr>
          <w:rFonts w:ascii="Times New Roman" w:hAnsi="Times New Roman" w:cs="Times New Roman"/>
          <w:sz w:val="24"/>
          <w:szCs w:val="24"/>
        </w:rPr>
      </w:pPr>
      <w:r w:rsidRPr="00322718">
        <w:rPr>
          <w:rFonts w:ascii="Times New Roman" w:eastAsia="Calibri" w:hAnsi="Times New Roman" w:cs="Times New Roman"/>
          <w:b/>
          <w:sz w:val="24"/>
          <w:szCs w:val="24"/>
        </w:rPr>
        <w:t>Funding</w:t>
      </w:r>
      <w:r w:rsidRPr="00322718">
        <w:rPr>
          <w:rFonts w:ascii="Times New Roman" w:eastAsia="Calibri" w:hAnsi="Times New Roman" w:cs="Times New Roman"/>
          <w:sz w:val="24"/>
          <w:szCs w:val="24"/>
        </w:rPr>
        <w:t xml:space="preserve">: This </w:t>
      </w:r>
      <w:r w:rsidR="00093968" w:rsidRPr="00322718">
        <w:rPr>
          <w:rFonts w:ascii="Times New Roman" w:eastAsia="Calibri" w:hAnsi="Times New Roman" w:cs="Times New Roman"/>
          <w:sz w:val="24"/>
          <w:szCs w:val="24"/>
        </w:rPr>
        <w:t xml:space="preserve">paper reports independent </w:t>
      </w:r>
      <w:r w:rsidRPr="00322718">
        <w:rPr>
          <w:rFonts w:ascii="Times New Roman" w:eastAsia="Calibri" w:hAnsi="Times New Roman" w:cs="Times New Roman"/>
          <w:sz w:val="24"/>
          <w:szCs w:val="24"/>
        </w:rPr>
        <w:t xml:space="preserve">research funded by the UK National Institute for Health Research (NIHR) under the Research for Patient Benefit (RfPB) Programme </w:t>
      </w:r>
      <w:r w:rsidR="00BB1DE4" w:rsidRPr="00322718">
        <w:rPr>
          <w:rFonts w:ascii="Times New Roman" w:eastAsia="Calibri" w:hAnsi="Times New Roman" w:cs="Times New Roman"/>
          <w:sz w:val="24"/>
          <w:szCs w:val="24"/>
        </w:rPr>
        <w:t>[</w:t>
      </w:r>
      <w:r w:rsidRPr="00322718">
        <w:rPr>
          <w:rFonts w:ascii="Times New Roman" w:eastAsia="Calibri" w:hAnsi="Times New Roman" w:cs="Times New Roman"/>
          <w:sz w:val="24"/>
          <w:szCs w:val="24"/>
        </w:rPr>
        <w:t>Grant Referenc</w:t>
      </w:r>
      <w:r w:rsidR="00BB1DE4" w:rsidRPr="00322718">
        <w:rPr>
          <w:rFonts w:ascii="Times New Roman" w:eastAsia="Calibri" w:hAnsi="Times New Roman" w:cs="Times New Roman"/>
          <w:sz w:val="24"/>
          <w:szCs w:val="24"/>
        </w:rPr>
        <w:t>e Number</w:t>
      </w:r>
      <w:r w:rsidR="00622632" w:rsidRPr="00322718">
        <w:rPr>
          <w:rFonts w:ascii="Times New Roman" w:eastAsia="Calibri" w:hAnsi="Times New Roman" w:cs="Times New Roman"/>
          <w:sz w:val="24"/>
          <w:szCs w:val="24"/>
        </w:rPr>
        <w:t>:</w:t>
      </w:r>
      <w:r w:rsidR="00BB1DE4" w:rsidRPr="00322718">
        <w:rPr>
          <w:rFonts w:ascii="Times New Roman" w:eastAsia="Calibri" w:hAnsi="Times New Roman" w:cs="Times New Roman"/>
          <w:sz w:val="24"/>
          <w:szCs w:val="24"/>
        </w:rPr>
        <w:t xml:space="preserve"> PB-PG-0610-22310]</w:t>
      </w:r>
      <w:r w:rsidRPr="00322718">
        <w:rPr>
          <w:rFonts w:ascii="Times New Roman" w:eastAsia="Calibri" w:hAnsi="Times New Roman" w:cs="Times New Roman"/>
          <w:sz w:val="24"/>
          <w:szCs w:val="24"/>
        </w:rPr>
        <w:t>.</w:t>
      </w:r>
      <w:r w:rsidRPr="00322718">
        <w:rPr>
          <w:rFonts w:ascii="Times New Roman" w:hAnsi="Times New Roman" w:cs="Times New Roman"/>
          <w:sz w:val="24"/>
          <w:szCs w:val="24"/>
        </w:rPr>
        <w:t xml:space="preserve"> </w:t>
      </w:r>
      <w:r w:rsidR="00434743" w:rsidRPr="00322718">
        <w:rPr>
          <w:rFonts w:ascii="Times New Roman" w:hAnsi="Times New Roman" w:cs="Times New Roman"/>
          <w:sz w:val="24"/>
          <w:szCs w:val="24"/>
        </w:rPr>
        <w:t xml:space="preserve">The views expressed in this publication are those of the authors and not necessarily those of NIHR or the Department of Health and Social Care. </w:t>
      </w:r>
      <w:r w:rsidRPr="00322718">
        <w:rPr>
          <w:rFonts w:ascii="Times New Roman" w:hAnsi="Times New Roman" w:cs="Times New Roman"/>
          <w:sz w:val="24"/>
          <w:szCs w:val="24"/>
        </w:rPr>
        <w:t xml:space="preserve">The grant was awarded to Salford Royal NHS Foundation Trust with Professor Cynthia Pine as Chief Investigator. </w:t>
      </w:r>
      <w:r w:rsidRPr="00322718">
        <w:rPr>
          <w:rFonts w:ascii="Times New Roman" w:eastAsia="Calibri" w:hAnsi="Times New Roman" w:cs="Times New Roman"/>
          <w:sz w:val="24"/>
          <w:szCs w:val="24"/>
        </w:rPr>
        <w:t xml:space="preserve">Trial registration: </w:t>
      </w:r>
      <w:hyperlink r:id="rId13">
        <w:r w:rsidRPr="00322718">
          <w:rPr>
            <w:rFonts w:ascii="Times New Roman" w:eastAsia="Calibri" w:hAnsi="Times New Roman" w:cs="Times New Roman"/>
            <w:sz w:val="24"/>
            <w:szCs w:val="24"/>
          </w:rPr>
          <w:t>ISRCTN24958829</w:t>
        </w:r>
      </w:hyperlink>
      <w:r w:rsidRPr="00322718">
        <w:rPr>
          <w:rFonts w:ascii="Times New Roman" w:eastAsia="Calibri" w:hAnsi="Times New Roman" w:cs="Times New Roman"/>
          <w:sz w:val="24"/>
          <w:szCs w:val="24"/>
        </w:rPr>
        <w:t xml:space="preserve"> (date of registration: 27 September 2013). </w:t>
      </w:r>
      <w:r w:rsidRPr="00322718">
        <w:rPr>
          <w:rFonts w:ascii="Times New Roman" w:hAnsi="Times New Roman" w:cs="Times New Roman"/>
          <w:sz w:val="24"/>
          <w:szCs w:val="24"/>
        </w:rPr>
        <w:t>NOCLOR NHS Research Support Services provided research support costs to the Barts Health NHS Trust site for recruitment costs.</w:t>
      </w:r>
    </w:p>
    <w:p w:rsidR="001236CE" w:rsidRPr="00322718" w:rsidRDefault="001236CE" w:rsidP="007F6C4B">
      <w:pPr>
        <w:spacing w:line="360" w:lineRule="auto"/>
        <w:jc w:val="both"/>
        <w:rPr>
          <w:rFonts w:ascii="Times New Roman" w:hAnsi="Times New Roman" w:cs="Times New Roman"/>
          <w:sz w:val="24"/>
          <w:szCs w:val="24"/>
        </w:rPr>
      </w:pPr>
      <w:r w:rsidRPr="00322718">
        <w:rPr>
          <w:rFonts w:ascii="Times New Roman" w:hAnsi="Times New Roman" w:cs="Times New Roman"/>
          <w:b/>
          <w:sz w:val="24"/>
          <w:szCs w:val="24"/>
        </w:rPr>
        <w:t>Authors</w:t>
      </w:r>
      <w:r w:rsidR="00C908B9" w:rsidRPr="00322718">
        <w:rPr>
          <w:rFonts w:ascii="Times New Roman" w:hAnsi="Times New Roman" w:cs="Times New Roman"/>
          <w:b/>
          <w:sz w:val="24"/>
          <w:szCs w:val="24"/>
        </w:rPr>
        <w:t>’</w:t>
      </w:r>
      <w:r w:rsidRPr="00322718">
        <w:rPr>
          <w:rFonts w:ascii="Times New Roman" w:hAnsi="Times New Roman" w:cs="Times New Roman"/>
          <w:b/>
          <w:sz w:val="24"/>
          <w:szCs w:val="24"/>
        </w:rPr>
        <w:t xml:space="preserve"> contributions</w:t>
      </w:r>
      <w:r w:rsidRPr="00322718">
        <w:rPr>
          <w:rFonts w:ascii="Times New Roman" w:hAnsi="Times New Roman" w:cs="Times New Roman"/>
          <w:sz w:val="24"/>
          <w:szCs w:val="24"/>
        </w:rPr>
        <w:t>:</w:t>
      </w:r>
      <w:r w:rsidR="00D16E91" w:rsidRPr="00322718">
        <w:rPr>
          <w:rFonts w:ascii="Times New Roman" w:hAnsi="Times New Roman" w:cs="Times New Roman"/>
          <w:sz w:val="24"/>
          <w:szCs w:val="24"/>
        </w:rPr>
        <w:t xml:space="preserve"> Cynthia Pine is the Chief Investigator </w:t>
      </w:r>
      <w:r w:rsidR="00434743" w:rsidRPr="00322718">
        <w:rPr>
          <w:rFonts w:ascii="Times New Roman" w:hAnsi="Times New Roman" w:cs="Times New Roman"/>
          <w:sz w:val="24"/>
          <w:szCs w:val="24"/>
        </w:rPr>
        <w:t>and led on the conception and design of the work; supported the acquisition, analysis and interpretation of data, led on drafting and revising the paper</w:t>
      </w:r>
      <w:r w:rsidR="00D16E91" w:rsidRPr="00322718">
        <w:rPr>
          <w:rFonts w:ascii="Times New Roman" w:hAnsi="Times New Roman" w:cs="Times New Roman"/>
          <w:sz w:val="24"/>
          <w:szCs w:val="24"/>
        </w:rPr>
        <w:t xml:space="preserve">. </w:t>
      </w:r>
      <w:r w:rsidR="00434743" w:rsidRPr="00322718">
        <w:rPr>
          <w:rFonts w:ascii="Times New Roman" w:hAnsi="Times New Roman" w:cs="Times New Roman"/>
          <w:sz w:val="24"/>
          <w:szCs w:val="24"/>
        </w:rPr>
        <w:t xml:space="preserve">The following authors made substantial contributions: </w:t>
      </w:r>
      <w:r w:rsidR="00D16E91" w:rsidRPr="00322718">
        <w:rPr>
          <w:rFonts w:ascii="Times New Roman" w:hAnsi="Times New Roman" w:cs="Times New Roman"/>
          <w:sz w:val="24"/>
          <w:szCs w:val="24"/>
        </w:rPr>
        <w:t xml:space="preserve">Pauline Adair </w:t>
      </w:r>
      <w:r w:rsidR="00434743" w:rsidRPr="00322718">
        <w:rPr>
          <w:rFonts w:ascii="Times New Roman" w:hAnsi="Times New Roman" w:cs="Times New Roman"/>
          <w:sz w:val="24"/>
          <w:szCs w:val="24"/>
        </w:rPr>
        <w:t>to design and development and supported acquisition and interpretation of data;</w:t>
      </w:r>
      <w:r w:rsidR="00D16E91" w:rsidRPr="00322718">
        <w:rPr>
          <w:rFonts w:ascii="Times New Roman" w:hAnsi="Times New Roman" w:cs="Times New Roman"/>
          <w:sz w:val="24"/>
          <w:szCs w:val="24"/>
        </w:rPr>
        <w:t xml:space="preserve"> Girvan Burnside </w:t>
      </w:r>
      <w:r w:rsidR="00434743" w:rsidRPr="00322718">
        <w:rPr>
          <w:rFonts w:ascii="Times New Roman" w:hAnsi="Times New Roman" w:cs="Times New Roman"/>
          <w:sz w:val="24"/>
          <w:szCs w:val="24"/>
        </w:rPr>
        <w:t>on design and led on statistical analysis and interpretation;</w:t>
      </w:r>
      <w:r w:rsidR="00D16E91" w:rsidRPr="00322718">
        <w:rPr>
          <w:rFonts w:ascii="Times New Roman" w:hAnsi="Times New Roman" w:cs="Times New Roman"/>
          <w:sz w:val="24"/>
          <w:szCs w:val="24"/>
        </w:rPr>
        <w:t xml:space="preserve"> Laura S</w:t>
      </w:r>
      <w:r w:rsidR="001A2777" w:rsidRPr="00322718">
        <w:rPr>
          <w:rFonts w:ascii="Times New Roman" w:hAnsi="Times New Roman" w:cs="Times New Roman"/>
          <w:sz w:val="24"/>
          <w:szCs w:val="24"/>
        </w:rPr>
        <w:t>utton</w:t>
      </w:r>
      <w:r w:rsidR="00D16E91" w:rsidRPr="00322718">
        <w:rPr>
          <w:rFonts w:ascii="Times New Roman" w:hAnsi="Times New Roman" w:cs="Times New Roman"/>
          <w:sz w:val="24"/>
          <w:szCs w:val="24"/>
        </w:rPr>
        <w:t xml:space="preserve">, </w:t>
      </w:r>
      <w:r w:rsidR="00434743" w:rsidRPr="00322718">
        <w:rPr>
          <w:rFonts w:ascii="Times New Roman" w:hAnsi="Times New Roman" w:cs="Times New Roman"/>
          <w:sz w:val="24"/>
          <w:szCs w:val="24"/>
        </w:rPr>
        <w:t>on s</w:t>
      </w:r>
      <w:r w:rsidR="00D16E91" w:rsidRPr="00322718">
        <w:rPr>
          <w:rFonts w:ascii="Times New Roman" w:hAnsi="Times New Roman" w:cs="Times New Roman"/>
          <w:sz w:val="24"/>
          <w:szCs w:val="24"/>
        </w:rPr>
        <w:t xml:space="preserve">tatistical </w:t>
      </w:r>
      <w:r w:rsidR="00434743" w:rsidRPr="00322718">
        <w:rPr>
          <w:rFonts w:ascii="Times New Roman" w:hAnsi="Times New Roman" w:cs="Times New Roman"/>
          <w:sz w:val="24"/>
          <w:szCs w:val="24"/>
        </w:rPr>
        <w:t>a</w:t>
      </w:r>
      <w:r w:rsidR="00D16E91" w:rsidRPr="00322718">
        <w:rPr>
          <w:rFonts w:ascii="Times New Roman" w:hAnsi="Times New Roman" w:cs="Times New Roman"/>
          <w:sz w:val="24"/>
          <w:szCs w:val="24"/>
        </w:rPr>
        <w:t>nalysis</w:t>
      </w:r>
      <w:r w:rsidR="00434743" w:rsidRPr="00322718">
        <w:rPr>
          <w:rFonts w:ascii="Times New Roman" w:hAnsi="Times New Roman" w:cs="Times New Roman"/>
          <w:sz w:val="24"/>
          <w:szCs w:val="24"/>
        </w:rPr>
        <w:t xml:space="preserve">; </w:t>
      </w:r>
      <w:r w:rsidR="00C908B9" w:rsidRPr="00322718">
        <w:rPr>
          <w:rFonts w:ascii="Times New Roman" w:hAnsi="Times New Roman" w:cs="Times New Roman"/>
          <w:sz w:val="24"/>
          <w:szCs w:val="24"/>
        </w:rPr>
        <w:t xml:space="preserve">Louise Brennan (formerly Robinson) </w:t>
      </w:r>
      <w:r w:rsidR="00434743" w:rsidRPr="00322718">
        <w:rPr>
          <w:rFonts w:ascii="Times New Roman" w:hAnsi="Times New Roman" w:cs="Times New Roman"/>
          <w:sz w:val="24"/>
          <w:szCs w:val="24"/>
        </w:rPr>
        <w:t>on design and led on acquisition</w:t>
      </w:r>
      <w:r w:rsidR="00C908B9" w:rsidRPr="00322718">
        <w:rPr>
          <w:rFonts w:ascii="Times New Roman" w:hAnsi="Times New Roman" w:cs="Times New Roman"/>
          <w:sz w:val="24"/>
          <w:szCs w:val="24"/>
        </w:rPr>
        <w:t xml:space="preserve"> for all sites</w:t>
      </w:r>
      <w:r w:rsidR="00434743" w:rsidRPr="00322718">
        <w:rPr>
          <w:rFonts w:ascii="Times New Roman" w:hAnsi="Times New Roman" w:cs="Times New Roman"/>
          <w:sz w:val="24"/>
          <w:szCs w:val="24"/>
        </w:rPr>
        <w:t>;</w:t>
      </w:r>
      <w:r w:rsidR="00C908B9" w:rsidRPr="00322718">
        <w:rPr>
          <w:rFonts w:ascii="Times New Roman" w:hAnsi="Times New Roman" w:cs="Times New Roman"/>
          <w:sz w:val="24"/>
          <w:szCs w:val="24"/>
        </w:rPr>
        <w:t xml:space="preserve"> </w:t>
      </w:r>
      <w:r w:rsidR="004D7EB8" w:rsidRPr="00322718">
        <w:rPr>
          <w:rFonts w:ascii="Times New Roman" w:hAnsi="Times New Roman" w:cs="Times New Roman"/>
          <w:sz w:val="24"/>
          <w:szCs w:val="24"/>
        </w:rPr>
        <w:t xml:space="preserve">Victory Ezeofor and Rhiannon Tudor-Edwards </w:t>
      </w:r>
      <w:r w:rsidR="00434743" w:rsidRPr="00322718">
        <w:rPr>
          <w:rFonts w:ascii="Times New Roman" w:hAnsi="Times New Roman" w:cs="Times New Roman"/>
          <w:sz w:val="24"/>
          <w:szCs w:val="24"/>
        </w:rPr>
        <w:t xml:space="preserve">on design and </w:t>
      </w:r>
      <w:r w:rsidR="00C908B9" w:rsidRPr="00322718">
        <w:rPr>
          <w:rFonts w:ascii="Times New Roman" w:hAnsi="Times New Roman" w:cs="Times New Roman"/>
          <w:sz w:val="24"/>
          <w:szCs w:val="24"/>
        </w:rPr>
        <w:t xml:space="preserve">health economic analyses. The following co-authors were Principal Investigators at their </w:t>
      </w:r>
      <w:r w:rsidR="007F6C4B" w:rsidRPr="00322718">
        <w:rPr>
          <w:rFonts w:ascii="Times New Roman" w:hAnsi="Times New Roman" w:cs="Times New Roman"/>
          <w:sz w:val="24"/>
          <w:szCs w:val="24"/>
        </w:rPr>
        <w:t>Centres (</w:t>
      </w:r>
      <w:r w:rsidR="00C908B9" w:rsidRPr="00322718">
        <w:rPr>
          <w:rFonts w:ascii="Times New Roman" w:hAnsi="Times New Roman" w:cs="Times New Roman"/>
          <w:sz w:val="24"/>
          <w:szCs w:val="24"/>
        </w:rPr>
        <w:t>sites</w:t>
      </w:r>
      <w:r w:rsidR="007F6C4B" w:rsidRPr="00322718">
        <w:rPr>
          <w:rFonts w:ascii="Times New Roman" w:hAnsi="Times New Roman" w:cs="Times New Roman"/>
          <w:sz w:val="24"/>
          <w:szCs w:val="24"/>
        </w:rPr>
        <w:t>)</w:t>
      </w:r>
      <w:r w:rsidR="00C908B9" w:rsidRPr="00322718">
        <w:rPr>
          <w:rFonts w:ascii="Times New Roman" w:hAnsi="Times New Roman" w:cs="Times New Roman"/>
          <w:sz w:val="24"/>
          <w:szCs w:val="24"/>
        </w:rPr>
        <w:t xml:space="preserve">, </w:t>
      </w:r>
      <w:r w:rsidR="00434743" w:rsidRPr="00322718">
        <w:rPr>
          <w:rFonts w:ascii="Times New Roman" w:hAnsi="Times New Roman" w:cs="Times New Roman"/>
          <w:sz w:val="24"/>
          <w:szCs w:val="24"/>
        </w:rPr>
        <w:t>and made substantial contributions to acquisition</w:t>
      </w:r>
      <w:r w:rsidR="00C908B9" w:rsidRPr="00322718">
        <w:rPr>
          <w:rFonts w:ascii="Times New Roman" w:hAnsi="Times New Roman" w:cs="Times New Roman"/>
          <w:sz w:val="24"/>
          <w:szCs w:val="24"/>
        </w:rPr>
        <w:t>: Sondos Albadri, Morag C</w:t>
      </w:r>
      <w:r w:rsidR="009B08CE" w:rsidRPr="00322718">
        <w:rPr>
          <w:rFonts w:ascii="Times New Roman" w:hAnsi="Times New Roman" w:cs="Times New Roman"/>
          <w:sz w:val="24"/>
          <w:szCs w:val="24"/>
        </w:rPr>
        <w:t xml:space="preserve">urnow, Christopher Deery, Marie </w:t>
      </w:r>
      <w:r w:rsidR="008E4481" w:rsidRPr="00322718">
        <w:rPr>
          <w:rFonts w:ascii="Times New Roman" w:hAnsi="Times New Roman" w:cs="Times New Roman"/>
          <w:sz w:val="24"/>
          <w:szCs w:val="24"/>
        </w:rPr>
        <w:t>T</w:t>
      </w:r>
      <w:r w:rsidR="00C908B9" w:rsidRPr="00322718">
        <w:rPr>
          <w:rFonts w:ascii="Times New Roman" w:hAnsi="Times New Roman" w:cs="Times New Roman"/>
          <w:sz w:val="24"/>
          <w:szCs w:val="24"/>
        </w:rPr>
        <w:t xml:space="preserve">herese Hosey, Jim Lynn, Jennifer Parry, June Willis-Lake and Ferranti Wong. All co-authors contributed to </w:t>
      </w:r>
      <w:r w:rsidR="00542C56" w:rsidRPr="00322718">
        <w:rPr>
          <w:rFonts w:ascii="Times New Roman" w:hAnsi="Times New Roman" w:cs="Times New Roman"/>
          <w:sz w:val="24"/>
          <w:szCs w:val="24"/>
        </w:rPr>
        <w:t>drafting of the paper.</w:t>
      </w:r>
      <w:r w:rsidR="00FE77DF" w:rsidRPr="00322718">
        <w:rPr>
          <w:rFonts w:ascii="Times New Roman" w:hAnsi="Times New Roman" w:cs="Times New Roman"/>
          <w:sz w:val="24"/>
          <w:szCs w:val="24"/>
        </w:rPr>
        <w:t xml:space="preserve"> </w:t>
      </w:r>
      <w:r w:rsidR="00476AB0" w:rsidRPr="00322718">
        <w:rPr>
          <w:rFonts w:ascii="Times New Roman" w:hAnsi="Times New Roman" w:cs="Times New Roman"/>
          <w:sz w:val="24"/>
          <w:szCs w:val="24"/>
        </w:rPr>
        <w:t>All authors gave their final approval and agree to be accountable for all aspects of the work.</w:t>
      </w:r>
      <w:r w:rsidR="00476AB0" w:rsidRPr="00322718">
        <w:rPr>
          <w:rFonts w:ascii="Arial" w:hAnsi="Arial" w:cs="Arial"/>
          <w:sz w:val="27"/>
          <w:szCs w:val="27"/>
        </w:rPr>
        <w:t xml:space="preserve"> </w:t>
      </w:r>
      <w:r w:rsidR="00FE77DF" w:rsidRPr="00322718">
        <w:rPr>
          <w:rFonts w:ascii="Times New Roman" w:hAnsi="Times New Roman" w:cs="Times New Roman"/>
          <w:sz w:val="24"/>
          <w:szCs w:val="24"/>
        </w:rPr>
        <w:t>The corresponding author confirms that all co-authors have reported any potential conflicts</w:t>
      </w:r>
      <w:r w:rsidR="00476AB0" w:rsidRPr="00322718">
        <w:rPr>
          <w:rFonts w:ascii="Times New Roman" w:hAnsi="Times New Roman" w:cs="Times New Roman"/>
          <w:sz w:val="24"/>
          <w:szCs w:val="24"/>
        </w:rPr>
        <w:t>.</w:t>
      </w:r>
    </w:p>
    <w:p w:rsidR="00702DD9" w:rsidRPr="00322718" w:rsidRDefault="008900EE" w:rsidP="0029700F">
      <w:pPr>
        <w:pStyle w:val="para"/>
        <w:spacing w:line="360" w:lineRule="auto"/>
      </w:pPr>
      <w:r w:rsidRPr="00322718">
        <w:rPr>
          <w:rFonts w:eastAsia="Calibri"/>
          <w:b/>
        </w:rPr>
        <w:t>Governance</w:t>
      </w:r>
      <w:r w:rsidRPr="00322718">
        <w:rPr>
          <w:rFonts w:eastAsia="Calibri"/>
        </w:rPr>
        <w:t xml:space="preserve">: </w:t>
      </w:r>
      <w:r w:rsidR="00CA613B" w:rsidRPr="00322718">
        <w:t xml:space="preserve">Research ethics and governance approval </w:t>
      </w:r>
      <w:r w:rsidR="00BA2CFD" w:rsidRPr="00322718">
        <w:t>via</w:t>
      </w:r>
      <w:r w:rsidR="00CA613B" w:rsidRPr="00322718">
        <w:t xml:space="preserve"> the IRAS system from Greater Manchester Central NRES committee (REC ID: 13/NW/0466) and Salford Royal Foundation Trust R &amp; D Department</w:t>
      </w:r>
      <w:r w:rsidR="00437510" w:rsidRPr="00322718">
        <w:t>,</w:t>
      </w:r>
      <w:r w:rsidR="001236CE" w:rsidRPr="00322718">
        <w:t xml:space="preserve"> the Trial Sponsor</w:t>
      </w:r>
      <w:r w:rsidR="00437510" w:rsidRPr="00322718">
        <w:t>;</w:t>
      </w:r>
      <w:r w:rsidR="001236CE" w:rsidRPr="00322718">
        <w:t xml:space="preserve"> thanks are due </w:t>
      </w:r>
      <w:r w:rsidR="00BA2CFD" w:rsidRPr="00322718">
        <w:t xml:space="preserve">to </w:t>
      </w:r>
      <w:r w:rsidR="00016693" w:rsidRPr="00322718">
        <w:t xml:space="preserve">Beverley Greenhalgh, </w:t>
      </w:r>
      <w:r w:rsidR="001236CE" w:rsidRPr="00322718">
        <w:t>S</w:t>
      </w:r>
      <w:r w:rsidR="00016693" w:rsidRPr="00322718">
        <w:t>ponsor</w:t>
      </w:r>
      <w:r w:rsidR="001236CE" w:rsidRPr="00322718">
        <w:t xml:space="preserve"> Representative and </w:t>
      </w:r>
      <w:r w:rsidR="00016693" w:rsidRPr="00322718">
        <w:t xml:space="preserve">Stephen Brown, Database Manager. </w:t>
      </w:r>
      <w:r w:rsidR="00BA2CFD" w:rsidRPr="00322718">
        <w:t xml:space="preserve">Further details are provided in Appendix 3. </w:t>
      </w:r>
      <w:r w:rsidR="00702DD9" w:rsidRPr="00322718">
        <w:t>The JDR abides by the International Committee of Medical Journal Editors guidelines for the Ethical Considerations in the Conduct and Report of Research (http://www.icmje.org).</w:t>
      </w:r>
    </w:p>
    <w:p w:rsidR="00016693" w:rsidRDefault="008900EE" w:rsidP="007F6C4B">
      <w:pPr>
        <w:spacing w:line="360" w:lineRule="auto"/>
        <w:jc w:val="both"/>
        <w:rPr>
          <w:rFonts w:ascii="Times New Roman" w:hAnsi="Times New Roman" w:cs="Times New Roman"/>
          <w:sz w:val="24"/>
          <w:szCs w:val="24"/>
        </w:rPr>
      </w:pPr>
      <w:r w:rsidRPr="00322718">
        <w:rPr>
          <w:rFonts w:ascii="Times New Roman" w:hAnsi="Times New Roman" w:cs="Times New Roman"/>
          <w:b/>
          <w:sz w:val="24"/>
          <w:szCs w:val="24"/>
        </w:rPr>
        <w:t>Thanks are due to:</w:t>
      </w:r>
      <w:r w:rsidR="00FE2738" w:rsidRPr="00322718">
        <w:rPr>
          <w:rFonts w:ascii="Times New Roman" w:hAnsi="Times New Roman" w:cs="Times New Roman"/>
          <w:sz w:val="24"/>
          <w:szCs w:val="24"/>
        </w:rPr>
        <w:t xml:space="preserve"> </w:t>
      </w:r>
      <w:r w:rsidR="004F2C03" w:rsidRPr="00322718">
        <w:rPr>
          <w:rFonts w:ascii="Times New Roman" w:hAnsi="Times New Roman" w:cs="Times New Roman"/>
          <w:sz w:val="24"/>
          <w:szCs w:val="24"/>
        </w:rPr>
        <w:t>All those who assisted in recruitment and programme delivery of this clinical trial, notably: families, children, GDPs, dental nurses</w:t>
      </w:r>
      <w:r w:rsidR="00BA2CFD" w:rsidRPr="00322718">
        <w:rPr>
          <w:rFonts w:ascii="Times New Roman" w:hAnsi="Times New Roman" w:cs="Times New Roman"/>
          <w:sz w:val="24"/>
          <w:szCs w:val="24"/>
        </w:rPr>
        <w:t xml:space="preserve">; to </w:t>
      </w:r>
      <w:r w:rsidRPr="00322718">
        <w:rPr>
          <w:rFonts w:ascii="Times New Roman" w:hAnsi="Times New Roman" w:cs="Times New Roman"/>
          <w:sz w:val="24"/>
          <w:szCs w:val="24"/>
        </w:rPr>
        <w:t xml:space="preserve">Geoffrey Pine </w:t>
      </w:r>
      <w:r w:rsidR="004F2C03" w:rsidRPr="00322718">
        <w:rPr>
          <w:rFonts w:ascii="Times New Roman" w:hAnsi="Times New Roman" w:cs="Times New Roman"/>
          <w:sz w:val="24"/>
          <w:szCs w:val="24"/>
        </w:rPr>
        <w:t xml:space="preserve">who </w:t>
      </w:r>
      <w:r w:rsidRPr="00322718">
        <w:rPr>
          <w:rFonts w:ascii="Times New Roman" w:hAnsi="Times New Roman" w:cs="Times New Roman"/>
          <w:sz w:val="24"/>
          <w:szCs w:val="24"/>
        </w:rPr>
        <w:t>supported the logistics for visits to many of the 189 schools.</w:t>
      </w:r>
      <w:r w:rsidR="00542C56" w:rsidRPr="00322718">
        <w:rPr>
          <w:rFonts w:ascii="Times New Roman" w:hAnsi="Times New Roman" w:cs="Times New Roman"/>
          <w:sz w:val="24"/>
          <w:szCs w:val="24"/>
        </w:rPr>
        <w:t xml:space="preserve"> </w:t>
      </w:r>
      <w:r w:rsidR="00016693" w:rsidRPr="00322718">
        <w:rPr>
          <w:rFonts w:ascii="Times New Roman" w:hAnsi="Times New Roman" w:cs="Times New Roman"/>
          <w:b/>
          <w:sz w:val="24"/>
          <w:szCs w:val="24"/>
        </w:rPr>
        <w:t>Dental nurses</w:t>
      </w:r>
      <w:r w:rsidRPr="00322718">
        <w:rPr>
          <w:rFonts w:ascii="Times New Roman" w:hAnsi="Times New Roman" w:cs="Times New Roman"/>
          <w:b/>
          <w:sz w:val="24"/>
          <w:szCs w:val="24"/>
        </w:rPr>
        <w:t xml:space="preserve"> deliver</w:t>
      </w:r>
      <w:r w:rsidR="0029700F" w:rsidRPr="00322718">
        <w:rPr>
          <w:rFonts w:ascii="Times New Roman" w:hAnsi="Times New Roman" w:cs="Times New Roman"/>
          <w:b/>
          <w:sz w:val="24"/>
          <w:szCs w:val="24"/>
        </w:rPr>
        <w:t>ing</w:t>
      </w:r>
      <w:r w:rsidRPr="00322718">
        <w:rPr>
          <w:rFonts w:ascii="Times New Roman" w:hAnsi="Times New Roman" w:cs="Times New Roman"/>
          <w:b/>
          <w:sz w:val="24"/>
          <w:szCs w:val="24"/>
        </w:rPr>
        <w:t xml:space="preserve"> the interventions</w:t>
      </w:r>
      <w:r w:rsidRPr="0029700F">
        <w:rPr>
          <w:rFonts w:ascii="Times New Roman" w:hAnsi="Times New Roman" w:cs="Times New Roman"/>
          <w:b/>
          <w:sz w:val="24"/>
          <w:szCs w:val="24"/>
        </w:rPr>
        <w:t xml:space="preserve"> </w:t>
      </w:r>
      <w:r w:rsidR="00542C56" w:rsidRPr="00322718">
        <w:rPr>
          <w:rFonts w:ascii="Times New Roman" w:hAnsi="Times New Roman" w:cs="Times New Roman"/>
          <w:b/>
          <w:sz w:val="24"/>
          <w:szCs w:val="24"/>
        </w:rPr>
        <w:lastRenderedPageBreak/>
        <w:t xml:space="preserve">at each Centre </w:t>
      </w:r>
      <w:r w:rsidRPr="00322718">
        <w:rPr>
          <w:rFonts w:ascii="Times New Roman" w:hAnsi="Times New Roman" w:cs="Times New Roman"/>
          <w:b/>
          <w:sz w:val="24"/>
          <w:szCs w:val="24"/>
        </w:rPr>
        <w:t>are thanked and recognised</w:t>
      </w:r>
      <w:r w:rsidR="00016693" w:rsidRPr="00322718">
        <w:rPr>
          <w:rFonts w:ascii="Times New Roman" w:hAnsi="Times New Roman" w:cs="Times New Roman"/>
          <w:b/>
          <w:sz w:val="24"/>
          <w:szCs w:val="24"/>
        </w:rPr>
        <w:t>:</w:t>
      </w:r>
      <w:r w:rsidR="001F2AB9" w:rsidRPr="00322718">
        <w:rPr>
          <w:rFonts w:ascii="Times New Roman" w:hAnsi="Times New Roman" w:cs="Times New Roman"/>
          <w:sz w:val="24"/>
          <w:szCs w:val="24"/>
        </w:rPr>
        <w:t xml:space="preserve"> </w:t>
      </w:r>
      <w:r w:rsidR="001F2AB9" w:rsidRPr="00322718">
        <w:rPr>
          <w:rFonts w:ascii="Times New Roman" w:hAnsi="Times New Roman" w:cs="Times New Roman"/>
          <w:bCs/>
          <w:sz w:val="24"/>
          <w:szCs w:val="24"/>
        </w:rPr>
        <w:t xml:space="preserve">Julie Bonar, </w:t>
      </w:r>
      <w:r w:rsidR="001F2AB9" w:rsidRPr="00322718">
        <w:rPr>
          <w:rFonts w:ascii="Times New Roman" w:hAnsi="Times New Roman" w:cs="Times New Roman"/>
          <w:sz w:val="24"/>
          <w:szCs w:val="24"/>
        </w:rPr>
        <w:t>Denise Champion, Rizwana Dakri, Francesca Davies, Beverley Gayle</w:t>
      </w:r>
      <w:r w:rsidR="001F2AB9" w:rsidRPr="00322718">
        <w:t>,</w:t>
      </w:r>
      <w:r w:rsidR="001F2AB9" w:rsidRPr="00322718">
        <w:rPr>
          <w:rFonts w:ascii="Times New Roman" w:hAnsi="Times New Roman" w:cs="Times New Roman"/>
          <w:sz w:val="24"/>
          <w:szCs w:val="24"/>
        </w:rPr>
        <w:t xml:space="preserve"> Claire Hulme, Megan Lane, Emma Mahoney, Charlotte Marlow, </w:t>
      </w:r>
      <w:r w:rsidR="001F2AB9" w:rsidRPr="00322718">
        <w:rPr>
          <w:rFonts w:ascii="Times New Roman" w:hAnsi="Times New Roman" w:cs="Times New Roman"/>
          <w:bCs/>
          <w:sz w:val="24"/>
          <w:szCs w:val="24"/>
        </w:rPr>
        <w:t xml:space="preserve">Nicola McDowell, </w:t>
      </w:r>
      <w:r w:rsidR="001F2AB9" w:rsidRPr="00322718">
        <w:rPr>
          <w:rFonts w:ascii="Times New Roman" w:hAnsi="Times New Roman" w:cs="Times New Roman"/>
          <w:sz w:val="24"/>
          <w:szCs w:val="24"/>
        </w:rPr>
        <w:t xml:space="preserve">Alison McNealy, </w:t>
      </w:r>
      <w:r w:rsidR="00016693" w:rsidRPr="00322718">
        <w:rPr>
          <w:rFonts w:ascii="Times New Roman" w:hAnsi="Times New Roman" w:cs="Times New Roman"/>
          <w:sz w:val="24"/>
          <w:szCs w:val="24"/>
        </w:rPr>
        <w:t>Louise</w:t>
      </w:r>
      <w:r w:rsidR="00542C56" w:rsidRPr="00322718">
        <w:rPr>
          <w:rFonts w:ascii="Times New Roman" w:hAnsi="Times New Roman" w:cs="Times New Roman"/>
          <w:sz w:val="24"/>
          <w:szCs w:val="24"/>
        </w:rPr>
        <w:t xml:space="preserve"> </w:t>
      </w:r>
      <w:r w:rsidR="0057331F" w:rsidRPr="00322718">
        <w:rPr>
          <w:rFonts w:ascii="Times New Roman" w:hAnsi="Times New Roman" w:cs="Times New Roman"/>
          <w:sz w:val="24"/>
          <w:szCs w:val="24"/>
        </w:rPr>
        <w:t xml:space="preserve">Morris, </w:t>
      </w:r>
      <w:r w:rsidR="001F2AB9" w:rsidRPr="00322718">
        <w:rPr>
          <w:rFonts w:ascii="Times New Roman" w:hAnsi="Times New Roman" w:cs="Times New Roman"/>
          <w:sz w:val="24"/>
          <w:szCs w:val="24"/>
        </w:rPr>
        <w:t xml:space="preserve">Bethany Powe, </w:t>
      </w:r>
      <w:r w:rsidR="00FE2738" w:rsidRPr="00322718">
        <w:rPr>
          <w:rFonts w:ascii="Times New Roman" w:hAnsi="Times New Roman" w:cs="Times New Roman"/>
          <w:sz w:val="24"/>
          <w:szCs w:val="24"/>
        </w:rPr>
        <w:t>Sutinder Saroi</w:t>
      </w:r>
      <w:r w:rsidR="00BA2CFD" w:rsidRPr="00322718">
        <w:rPr>
          <w:rFonts w:ascii="Times New Roman" w:hAnsi="Times New Roman" w:cs="Times New Roman"/>
          <w:sz w:val="24"/>
          <w:szCs w:val="24"/>
        </w:rPr>
        <w:t>,</w:t>
      </w:r>
      <w:r w:rsidR="00FE2738" w:rsidRPr="00322718">
        <w:rPr>
          <w:rFonts w:ascii="Times New Roman" w:hAnsi="Times New Roman" w:cs="Times New Roman"/>
          <w:sz w:val="24"/>
          <w:szCs w:val="24"/>
        </w:rPr>
        <w:t xml:space="preserve"> </w:t>
      </w:r>
      <w:r w:rsidR="001F2AB9" w:rsidRPr="00322718">
        <w:rPr>
          <w:rFonts w:ascii="Times New Roman" w:hAnsi="Times New Roman" w:cs="Times New Roman"/>
          <w:sz w:val="24"/>
          <w:szCs w:val="24"/>
        </w:rPr>
        <w:t xml:space="preserve">Aimee Shaw, Eleanor Taylor, </w:t>
      </w:r>
      <w:r w:rsidR="0057331F" w:rsidRPr="00322718">
        <w:rPr>
          <w:rFonts w:ascii="Times New Roman" w:hAnsi="Times New Roman" w:cs="Times New Roman"/>
          <w:sz w:val="24"/>
          <w:szCs w:val="24"/>
        </w:rPr>
        <w:t>Stacey Teece</w:t>
      </w:r>
      <w:r w:rsidR="00FE2738" w:rsidRPr="00322718">
        <w:rPr>
          <w:rFonts w:ascii="Times New Roman" w:hAnsi="Times New Roman" w:cs="Times New Roman"/>
          <w:sz w:val="24"/>
          <w:szCs w:val="24"/>
        </w:rPr>
        <w:t xml:space="preserve">; </w:t>
      </w:r>
      <w:r w:rsidR="006B7F53" w:rsidRPr="00322718">
        <w:rPr>
          <w:rFonts w:ascii="Times New Roman" w:hAnsi="Times New Roman" w:cs="Times New Roman"/>
          <w:sz w:val="24"/>
          <w:szCs w:val="24"/>
        </w:rPr>
        <w:t>Kerry Whitmore</w:t>
      </w:r>
      <w:r w:rsidR="00BA2CFD" w:rsidRPr="00322718">
        <w:rPr>
          <w:rFonts w:ascii="Times New Roman" w:hAnsi="Times New Roman" w:cs="Times New Roman"/>
          <w:sz w:val="24"/>
          <w:szCs w:val="24"/>
        </w:rPr>
        <w:t>,</w:t>
      </w:r>
      <w:r w:rsidR="006B7F53" w:rsidRPr="00322718">
        <w:rPr>
          <w:rFonts w:ascii="Times New Roman" w:hAnsi="Times New Roman" w:cs="Times New Roman"/>
          <w:sz w:val="24"/>
          <w:szCs w:val="24"/>
        </w:rPr>
        <w:t xml:space="preserve"> </w:t>
      </w:r>
      <w:r w:rsidR="00542C56" w:rsidRPr="00322718">
        <w:rPr>
          <w:rFonts w:ascii="Times New Roman" w:hAnsi="Times New Roman" w:cs="Times New Roman"/>
          <w:sz w:val="24"/>
          <w:szCs w:val="24"/>
        </w:rPr>
        <w:t>Vanessa Wilson</w:t>
      </w:r>
      <w:r w:rsidR="00016693" w:rsidRPr="00322718">
        <w:rPr>
          <w:rFonts w:ascii="Times New Roman" w:hAnsi="Times New Roman" w:cs="Times New Roman"/>
          <w:sz w:val="24"/>
          <w:szCs w:val="24"/>
        </w:rPr>
        <w:t>.</w:t>
      </w:r>
    </w:p>
    <w:p w:rsidR="002C65CB" w:rsidRDefault="002C65CB">
      <w:pPr>
        <w:rPr>
          <w:rFonts w:ascii="Times New Roman" w:hAnsi="Times New Roman"/>
          <w:b/>
        </w:rPr>
      </w:pPr>
      <w:r>
        <w:rPr>
          <w:rFonts w:ascii="Times New Roman" w:hAnsi="Times New Roman"/>
          <w:b/>
        </w:rPr>
        <w:br w:type="page"/>
      </w:r>
    </w:p>
    <w:p w:rsidR="005E0297" w:rsidRPr="002C65CB" w:rsidRDefault="005E0297" w:rsidP="00016693">
      <w:pPr>
        <w:rPr>
          <w:rFonts w:ascii="Times New Roman" w:hAnsi="Times New Roman"/>
          <w:sz w:val="24"/>
          <w:szCs w:val="24"/>
        </w:rPr>
      </w:pPr>
      <w:r w:rsidRPr="002C65CB">
        <w:rPr>
          <w:rFonts w:ascii="Times New Roman" w:hAnsi="Times New Roman"/>
          <w:b/>
          <w:sz w:val="24"/>
          <w:szCs w:val="24"/>
        </w:rPr>
        <w:lastRenderedPageBreak/>
        <w:t>References</w:t>
      </w:r>
      <w:r w:rsidRPr="002C65CB">
        <w:rPr>
          <w:rFonts w:ascii="Times New Roman" w:hAnsi="Times New Roman"/>
          <w:sz w:val="24"/>
          <w:szCs w:val="24"/>
        </w:rPr>
        <w:t xml:space="preserve"> </w:t>
      </w:r>
    </w:p>
    <w:p w:rsidR="00ED01EF" w:rsidRDefault="00ED01EF">
      <w:pPr>
        <w:rPr>
          <w:rFonts w:ascii="Times New Roman" w:hAnsi="Times New Roman"/>
        </w:rPr>
      </w:pPr>
    </w:p>
    <w:p w:rsidR="00A208B5" w:rsidRDefault="00A208B5" w:rsidP="00A208B5">
      <w:pPr>
        <w:spacing w:after="11" w:line="360" w:lineRule="auto"/>
        <w:ind w:left="301" w:right="11"/>
        <w:rPr>
          <w:rFonts w:ascii="Times New Roman" w:eastAsia="Calibri" w:hAnsi="Times New Roman" w:cs="Times New Roman"/>
          <w:sz w:val="24"/>
          <w:szCs w:val="24"/>
        </w:rPr>
      </w:pPr>
      <w:r w:rsidRPr="007B09F6">
        <w:rPr>
          <w:rFonts w:ascii="Times New Roman" w:hAnsi="Times New Roman" w:cs="Times New Roman"/>
          <w:sz w:val="24"/>
          <w:szCs w:val="24"/>
        </w:rPr>
        <w:t xml:space="preserve">Adair PM, </w:t>
      </w:r>
      <w:r w:rsidRPr="007B09F6">
        <w:rPr>
          <w:rFonts w:ascii="Times New Roman" w:hAnsi="Times New Roman" w:cs="Times New Roman"/>
          <w:bCs/>
          <w:sz w:val="24"/>
          <w:szCs w:val="24"/>
        </w:rPr>
        <w:t>Pine CM</w:t>
      </w:r>
      <w:r w:rsidRPr="007B09F6">
        <w:rPr>
          <w:rFonts w:ascii="Times New Roman" w:hAnsi="Times New Roman" w:cs="Times New Roman"/>
          <w:sz w:val="24"/>
          <w:szCs w:val="24"/>
        </w:rPr>
        <w:t xml:space="preserve">, Burnside G, Nicoll AD, Gillett A, Anwar S, Broukal Z, Chestnutt IG, Declerck D, Ping FX, </w:t>
      </w:r>
      <w:r>
        <w:rPr>
          <w:rFonts w:ascii="Times New Roman" w:hAnsi="Times New Roman" w:cs="Times New Roman"/>
          <w:sz w:val="24"/>
          <w:szCs w:val="24"/>
        </w:rPr>
        <w:t>et al. (2004)</w:t>
      </w:r>
      <w:r w:rsidRPr="007B09F6">
        <w:rPr>
          <w:rFonts w:ascii="Times New Roman" w:eastAsia="Calibri" w:hAnsi="Times New Roman" w:cs="Times New Roman"/>
          <w:sz w:val="24"/>
          <w:szCs w:val="24"/>
        </w:rPr>
        <w:t>.</w:t>
      </w:r>
      <w:r w:rsidRPr="00BF2223">
        <w:rPr>
          <w:rFonts w:ascii="Times New Roman" w:eastAsia="Calibri" w:hAnsi="Times New Roman" w:cs="Times New Roman"/>
          <w:sz w:val="24"/>
          <w:szCs w:val="24"/>
        </w:rPr>
        <w:t xml:space="preserve"> Familial and cultural perceptions and beliefs of oral hygiene and dietary practices among ethnically and socio-economically diverse groups. Community Dent Health</w:t>
      </w:r>
      <w:r>
        <w:rPr>
          <w:rFonts w:ascii="Times New Roman" w:eastAsia="Calibri" w:hAnsi="Times New Roman" w:cs="Times New Roman"/>
          <w:sz w:val="24"/>
          <w:szCs w:val="24"/>
        </w:rPr>
        <w:t xml:space="preserve">. </w:t>
      </w:r>
      <w:r w:rsidRPr="00BF2223">
        <w:rPr>
          <w:rFonts w:ascii="Times New Roman" w:eastAsia="Calibri" w:hAnsi="Times New Roman" w:cs="Times New Roman"/>
          <w:sz w:val="24"/>
          <w:szCs w:val="24"/>
        </w:rPr>
        <w:t>21</w:t>
      </w:r>
      <w:r w:rsidR="003913CB">
        <w:rPr>
          <w:rFonts w:ascii="Times New Roman" w:eastAsia="Calibri" w:hAnsi="Times New Roman" w:cs="Times New Roman"/>
          <w:sz w:val="24"/>
          <w:szCs w:val="24"/>
        </w:rPr>
        <w:t xml:space="preserve"> (1 Suppl)</w:t>
      </w:r>
      <w:r w:rsidRPr="00BF2223">
        <w:rPr>
          <w:rFonts w:ascii="Times New Roman" w:eastAsia="Calibri" w:hAnsi="Times New Roman" w:cs="Times New Roman"/>
          <w:sz w:val="24"/>
          <w:szCs w:val="24"/>
        </w:rPr>
        <w:t>:102–11.</w:t>
      </w:r>
    </w:p>
    <w:p w:rsidR="00A208B5" w:rsidRDefault="00A208B5" w:rsidP="00A2200F">
      <w:pPr>
        <w:spacing w:after="11" w:line="360" w:lineRule="auto"/>
        <w:ind w:left="301" w:right="11"/>
        <w:rPr>
          <w:rFonts w:ascii="Times New Roman" w:eastAsia="Calibri"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1A30B7">
        <w:rPr>
          <w:rFonts w:ascii="Times New Roman" w:eastAsia="Calibri" w:hAnsi="Times New Roman" w:cs="Times New Roman"/>
          <w:sz w:val="24"/>
          <w:szCs w:val="24"/>
        </w:rPr>
        <w:t>Albadri S, Zaitoun H, McDonnell S, Davidson L</w:t>
      </w:r>
      <w:r>
        <w:rPr>
          <w:rFonts w:ascii="Times New Roman" w:eastAsia="Calibri" w:hAnsi="Times New Roman" w:cs="Times New Roman"/>
          <w:sz w:val="24"/>
          <w:szCs w:val="24"/>
        </w:rPr>
        <w:t xml:space="preserve"> (2007)</w:t>
      </w:r>
      <w:r w:rsidRPr="001A30B7">
        <w:rPr>
          <w:rFonts w:ascii="Times New Roman" w:eastAsia="Calibri" w:hAnsi="Times New Roman" w:cs="Times New Roman"/>
          <w:sz w:val="24"/>
          <w:szCs w:val="24"/>
        </w:rPr>
        <w:t>. Extraction of first permanent molar teeth: results from three dental hospitals. Br Dent J.203</w:t>
      </w:r>
      <w:r w:rsidR="003913CB">
        <w:rPr>
          <w:rFonts w:ascii="Times New Roman" w:eastAsia="Calibri" w:hAnsi="Times New Roman" w:cs="Times New Roman"/>
          <w:sz w:val="24"/>
          <w:szCs w:val="24"/>
        </w:rPr>
        <w:t xml:space="preserve"> (7)</w:t>
      </w:r>
      <w:r w:rsidRPr="001A30B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A30B7">
        <w:rPr>
          <w:rFonts w:ascii="Times New Roman" w:eastAsia="Calibri" w:hAnsi="Times New Roman" w:cs="Times New Roman"/>
          <w:sz w:val="24"/>
          <w:szCs w:val="24"/>
        </w:rPr>
        <w:t>E14.</w:t>
      </w:r>
    </w:p>
    <w:p w:rsidR="00A208B5" w:rsidRDefault="00A208B5" w:rsidP="00A208B5">
      <w:pPr>
        <w:spacing w:after="11" w:line="360" w:lineRule="auto"/>
        <w:ind w:left="301" w:right="11"/>
        <w:rPr>
          <w:rFonts w:ascii="Times New Roman" w:eastAsia="Calibri"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BF2223">
        <w:rPr>
          <w:rFonts w:ascii="Times New Roman" w:eastAsia="Calibri" w:hAnsi="Times New Roman" w:cs="Times New Roman"/>
          <w:sz w:val="24"/>
          <w:szCs w:val="24"/>
        </w:rPr>
        <w:t>Amin MS, Harrison RL</w:t>
      </w:r>
      <w:r>
        <w:rPr>
          <w:rFonts w:ascii="Times New Roman" w:eastAsia="Calibri" w:hAnsi="Times New Roman" w:cs="Times New Roman"/>
          <w:sz w:val="24"/>
          <w:szCs w:val="24"/>
        </w:rPr>
        <w:t xml:space="preserve"> (2007)</w:t>
      </w:r>
      <w:r w:rsidRPr="00BF2223">
        <w:rPr>
          <w:rFonts w:ascii="Times New Roman" w:eastAsia="Calibri" w:hAnsi="Times New Roman" w:cs="Times New Roman"/>
          <w:sz w:val="24"/>
          <w:szCs w:val="24"/>
        </w:rPr>
        <w:t>. A conceptual model of parental behaviour change following a child’s dental general anaesthe</w:t>
      </w:r>
      <w:r w:rsidR="003913CB">
        <w:rPr>
          <w:rFonts w:ascii="Times New Roman" w:eastAsia="Calibri" w:hAnsi="Times New Roman" w:cs="Times New Roman"/>
          <w:sz w:val="24"/>
          <w:szCs w:val="24"/>
        </w:rPr>
        <w:t xml:space="preserve">sia procedure. Pediatr Dent. 29 (4): </w:t>
      </w:r>
      <w:r w:rsidRPr="00BF2223">
        <w:rPr>
          <w:rFonts w:ascii="Times New Roman" w:eastAsia="Calibri" w:hAnsi="Times New Roman" w:cs="Times New Roman"/>
          <w:sz w:val="24"/>
          <w:szCs w:val="24"/>
        </w:rPr>
        <w:t>278–86.</w:t>
      </w:r>
    </w:p>
    <w:p w:rsidR="00A208B5" w:rsidRDefault="00A208B5" w:rsidP="00A208B5">
      <w:pPr>
        <w:spacing w:after="11" w:line="360" w:lineRule="auto"/>
        <w:ind w:left="301" w:right="11"/>
        <w:rPr>
          <w:rFonts w:ascii="Times New Roman" w:eastAsia="Calibri"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79385F">
        <w:rPr>
          <w:rFonts w:ascii="Times New Roman" w:eastAsia="Calibri" w:hAnsi="Times New Roman" w:cs="Times New Roman"/>
          <w:sz w:val="24"/>
          <w:szCs w:val="24"/>
        </w:rPr>
        <w:t>Coolidge T, Skaret E, Heima M, Johnson EK, Hillstead MB, Farjo N</w:t>
      </w:r>
      <w:r>
        <w:rPr>
          <w:rFonts w:ascii="Times New Roman" w:eastAsia="Calibri" w:hAnsi="Times New Roman" w:cs="Times New Roman"/>
          <w:sz w:val="24"/>
          <w:szCs w:val="24"/>
        </w:rPr>
        <w:t xml:space="preserve"> (2011)</w:t>
      </w:r>
      <w:r w:rsidRPr="0079385F">
        <w:rPr>
          <w:rFonts w:ascii="Times New Roman" w:eastAsia="Calibri" w:hAnsi="Times New Roman" w:cs="Times New Roman"/>
          <w:sz w:val="24"/>
          <w:szCs w:val="24"/>
        </w:rPr>
        <w:t>. Thinking about going to the dentist: a Contemplation Ladder to assess dentally-avoidant individuals’ readiness to go t</w:t>
      </w:r>
      <w:r w:rsidR="003913CB">
        <w:rPr>
          <w:rFonts w:ascii="Times New Roman" w:eastAsia="Calibri" w:hAnsi="Times New Roman" w:cs="Times New Roman"/>
          <w:sz w:val="24"/>
          <w:szCs w:val="24"/>
        </w:rPr>
        <w:t>o a dentist. BMC Oral Health.11(</w:t>
      </w:r>
      <w:r w:rsidRPr="0079385F">
        <w:rPr>
          <w:rFonts w:ascii="Times New Roman" w:eastAsia="Calibri" w:hAnsi="Times New Roman" w:cs="Times New Roman"/>
          <w:sz w:val="24"/>
          <w:szCs w:val="24"/>
        </w:rPr>
        <w:t>4</w:t>
      </w:r>
      <w:r w:rsidR="003913CB">
        <w:rPr>
          <w:rFonts w:ascii="Times New Roman" w:eastAsia="Calibri" w:hAnsi="Times New Roman" w:cs="Times New Roman"/>
          <w:sz w:val="24"/>
          <w:szCs w:val="24"/>
        </w:rPr>
        <w:t>) 1-12</w:t>
      </w:r>
      <w:r w:rsidRPr="0079385F">
        <w:rPr>
          <w:rFonts w:ascii="Times New Roman" w:eastAsia="Calibri" w:hAnsi="Times New Roman" w:cs="Times New Roman"/>
          <w:sz w:val="24"/>
          <w:szCs w:val="24"/>
        </w:rPr>
        <w:t>.</w:t>
      </w:r>
    </w:p>
    <w:p w:rsidR="00A208B5" w:rsidRDefault="00A208B5" w:rsidP="00A208B5">
      <w:pPr>
        <w:spacing w:after="11" w:line="360" w:lineRule="auto"/>
        <w:ind w:left="301" w:right="11"/>
        <w:rPr>
          <w:rFonts w:ascii="Times New Roman"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6B7469">
        <w:rPr>
          <w:rFonts w:ascii="Times New Roman" w:eastAsia="Calibri" w:hAnsi="Times New Roman" w:cs="Times New Roman"/>
          <w:sz w:val="24"/>
          <w:szCs w:val="24"/>
        </w:rPr>
        <w:t>Curnow M, Pine C, Burnside G, Nicholson J, Chesters R, Huntington E</w:t>
      </w:r>
      <w:r>
        <w:rPr>
          <w:rFonts w:ascii="Times New Roman" w:eastAsia="Calibri" w:hAnsi="Times New Roman" w:cs="Times New Roman"/>
          <w:sz w:val="24"/>
          <w:szCs w:val="24"/>
        </w:rPr>
        <w:t xml:space="preserve"> (2010)</w:t>
      </w:r>
      <w:r w:rsidRPr="006B7469">
        <w:rPr>
          <w:rFonts w:ascii="Times New Roman" w:eastAsia="Calibri" w:hAnsi="Times New Roman" w:cs="Times New Roman"/>
          <w:sz w:val="24"/>
          <w:szCs w:val="24"/>
        </w:rPr>
        <w:t>. A randomised controlled trial of the efficacy of supervised toothbrushing in high-caries-risk children. Caries Res</w:t>
      </w:r>
      <w:r>
        <w:rPr>
          <w:rFonts w:ascii="Times New Roman" w:eastAsia="Calibri" w:hAnsi="Times New Roman" w:cs="Times New Roman"/>
          <w:sz w:val="24"/>
          <w:szCs w:val="24"/>
        </w:rPr>
        <w:t xml:space="preserve">. </w:t>
      </w:r>
      <w:r w:rsidRPr="006B7469">
        <w:rPr>
          <w:rFonts w:ascii="Times New Roman" w:eastAsia="Calibri" w:hAnsi="Times New Roman" w:cs="Times New Roman"/>
          <w:sz w:val="24"/>
          <w:szCs w:val="24"/>
        </w:rPr>
        <w:t>36</w:t>
      </w:r>
      <w:r w:rsidR="003913CB">
        <w:rPr>
          <w:rFonts w:ascii="Times New Roman" w:eastAsia="Calibri" w:hAnsi="Times New Roman" w:cs="Times New Roman"/>
          <w:sz w:val="24"/>
          <w:szCs w:val="24"/>
        </w:rPr>
        <w:t xml:space="preserve"> (4)</w:t>
      </w:r>
      <w:r w:rsidRPr="006B7469">
        <w:rPr>
          <w:rFonts w:ascii="Times New Roman" w:eastAsia="Calibri" w:hAnsi="Times New Roman" w:cs="Times New Roman"/>
          <w:sz w:val="24"/>
          <w:szCs w:val="24"/>
        </w:rPr>
        <w:t>:294–300.</w:t>
      </w:r>
    </w:p>
    <w:p w:rsidR="00A208B5" w:rsidRPr="00BF2223" w:rsidRDefault="00A208B5" w:rsidP="00A208B5">
      <w:pPr>
        <w:spacing w:after="11" w:line="360" w:lineRule="auto"/>
        <w:ind w:left="301" w:right="11"/>
        <w:rPr>
          <w:rFonts w:ascii="Times New Roman"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8E0BD4">
        <w:rPr>
          <w:rFonts w:ascii="Times New Roman" w:eastAsia="Calibri" w:hAnsi="Times New Roman" w:cs="Times New Roman"/>
          <w:sz w:val="24"/>
          <w:szCs w:val="24"/>
        </w:rPr>
        <w:t>Davies C, Harrison M, Roberts G</w:t>
      </w:r>
      <w:r>
        <w:rPr>
          <w:rFonts w:ascii="Times New Roman" w:eastAsia="Calibri" w:hAnsi="Times New Roman" w:cs="Times New Roman"/>
          <w:sz w:val="24"/>
          <w:szCs w:val="24"/>
        </w:rPr>
        <w:t xml:space="preserve"> (2008)</w:t>
      </w:r>
      <w:r w:rsidRPr="008E0BD4">
        <w:rPr>
          <w:rFonts w:ascii="Times New Roman" w:eastAsia="Calibri" w:hAnsi="Times New Roman" w:cs="Times New Roman"/>
          <w:sz w:val="24"/>
          <w:szCs w:val="24"/>
        </w:rPr>
        <w:t xml:space="preserve">. UK National Clinical Guidelines in Paediatric Dentistry Guideline for the Use of General Anaesthesia (GA) in Paediatric Dentistry. </w:t>
      </w:r>
    </w:p>
    <w:p w:rsidR="00A208B5" w:rsidRDefault="00A208B5" w:rsidP="00A208B5">
      <w:pPr>
        <w:spacing w:after="11" w:line="360" w:lineRule="auto"/>
        <w:ind w:left="301" w:right="11"/>
        <w:rPr>
          <w:rFonts w:ascii="Times New Roman" w:eastAsia="Calibri"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016693">
        <w:rPr>
          <w:rFonts w:ascii="Times New Roman" w:eastAsia="Calibri" w:hAnsi="Times New Roman" w:cs="Times New Roman"/>
          <w:sz w:val="24"/>
          <w:szCs w:val="24"/>
        </w:rPr>
        <w:t>Emmons KM, Rollnick S</w:t>
      </w:r>
      <w:r>
        <w:rPr>
          <w:rFonts w:ascii="Times New Roman" w:eastAsia="Calibri" w:hAnsi="Times New Roman" w:cs="Times New Roman"/>
          <w:sz w:val="24"/>
          <w:szCs w:val="24"/>
        </w:rPr>
        <w:t xml:space="preserve"> (2001)</w:t>
      </w:r>
      <w:r w:rsidRPr="00016693">
        <w:rPr>
          <w:rFonts w:ascii="Times New Roman" w:eastAsia="Calibri" w:hAnsi="Times New Roman" w:cs="Times New Roman"/>
          <w:sz w:val="24"/>
          <w:szCs w:val="24"/>
        </w:rPr>
        <w:t xml:space="preserve">. Motivational interviewing in health care settings: opportunities and limitations. Am J Prev </w:t>
      </w:r>
      <w:r>
        <w:rPr>
          <w:rFonts w:ascii="Times New Roman" w:eastAsia="Calibri" w:hAnsi="Times New Roman" w:cs="Times New Roman"/>
          <w:sz w:val="24"/>
          <w:szCs w:val="24"/>
        </w:rPr>
        <w:t xml:space="preserve">Med. </w:t>
      </w:r>
      <w:r w:rsidRPr="00016693">
        <w:rPr>
          <w:rFonts w:ascii="Times New Roman" w:eastAsia="Calibri" w:hAnsi="Times New Roman" w:cs="Times New Roman"/>
          <w:sz w:val="24"/>
          <w:szCs w:val="24"/>
        </w:rPr>
        <w:t>20</w:t>
      </w:r>
      <w:r w:rsidR="003913CB">
        <w:rPr>
          <w:rFonts w:ascii="Times New Roman" w:eastAsia="Calibri" w:hAnsi="Times New Roman" w:cs="Times New Roman"/>
          <w:sz w:val="24"/>
          <w:szCs w:val="24"/>
        </w:rPr>
        <w:t xml:space="preserve"> (1)</w:t>
      </w:r>
      <w:r w:rsidRPr="00016693">
        <w:rPr>
          <w:rFonts w:ascii="Times New Roman" w:eastAsia="Calibri" w:hAnsi="Times New Roman" w:cs="Times New Roman"/>
          <w:sz w:val="24"/>
          <w:szCs w:val="24"/>
        </w:rPr>
        <w:t>:68–74.</w:t>
      </w:r>
    </w:p>
    <w:p w:rsidR="00A208B5" w:rsidRDefault="00A208B5" w:rsidP="00A208B5">
      <w:pPr>
        <w:spacing w:after="11" w:line="360" w:lineRule="auto"/>
        <w:ind w:left="301" w:right="11"/>
        <w:rPr>
          <w:rFonts w:ascii="Times New Roman" w:eastAsia="Calibri"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sidRPr="00BF2223">
        <w:rPr>
          <w:rFonts w:ascii="Times New Roman" w:eastAsia="Calibri" w:hAnsi="Times New Roman" w:cs="Times New Roman"/>
          <w:sz w:val="24"/>
          <w:szCs w:val="24"/>
        </w:rPr>
        <w:t>Freudenthal JJ, Bowen DM</w:t>
      </w:r>
      <w:r>
        <w:rPr>
          <w:rFonts w:ascii="Times New Roman" w:eastAsia="Calibri" w:hAnsi="Times New Roman" w:cs="Times New Roman"/>
          <w:sz w:val="24"/>
          <w:szCs w:val="24"/>
        </w:rPr>
        <w:t xml:space="preserve"> (2010)</w:t>
      </w:r>
      <w:r w:rsidRPr="00BF2223">
        <w:rPr>
          <w:rFonts w:ascii="Times New Roman" w:eastAsia="Calibri" w:hAnsi="Times New Roman" w:cs="Times New Roman"/>
          <w:sz w:val="24"/>
          <w:szCs w:val="24"/>
        </w:rPr>
        <w:t xml:space="preserve">. Motivational interviewing to decrease parental risk-related behaviors for early childhood caries. </w:t>
      </w:r>
      <w:r w:rsidR="003913CB">
        <w:rPr>
          <w:rFonts w:ascii="Times New Roman" w:eastAsia="Calibri" w:hAnsi="Times New Roman" w:cs="Times New Roman"/>
          <w:sz w:val="24"/>
          <w:szCs w:val="24"/>
        </w:rPr>
        <w:t>J</w:t>
      </w:r>
      <w:r w:rsidRPr="00BF2223">
        <w:rPr>
          <w:rFonts w:ascii="Times New Roman" w:eastAsia="Calibri" w:hAnsi="Times New Roman" w:cs="Times New Roman"/>
          <w:sz w:val="24"/>
          <w:szCs w:val="24"/>
        </w:rPr>
        <w:t xml:space="preserve"> Dent Hyg</w:t>
      </w:r>
      <w:r>
        <w:rPr>
          <w:rFonts w:ascii="Times New Roman" w:eastAsia="Calibri" w:hAnsi="Times New Roman" w:cs="Times New Roman"/>
          <w:sz w:val="24"/>
          <w:szCs w:val="24"/>
        </w:rPr>
        <w:t xml:space="preserve">. </w:t>
      </w:r>
      <w:r w:rsidRPr="00BF2223">
        <w:rPr>
          <w:rFonts w:ascii="Times New Roman" w:eastAsia="Calibri" w:hAnsi="Times New Roman" w:cs="Times New Roman"/>
          <w:sz w:val="24"/>
          <w:szCs w:val="24"/>
        </w:rPr>
        <w:t>84</w:t>
      </w:r>
      <w:r w:rsidR="003913CB">
        <w:rPr>
          <w:rFonts w:ascii="Times New Roman" w:eastAsia="Calibri" w:hAnsi="Times New Roman" w:cs="Times New Roman"/>
          <w:sz w:val="24"/>
          <w:szCs w:val="24"/>
        </w:rPr>
        <w:t xml:space="preserve"> (1)</w:t>
      </w:r>
      <w:r w:rsidRPr="00BF2223">
        <w:rPr>
          <w:rFonts w:ascii="Times New Roman" w:eastAsia="Calibri" w:hAnsi="Times New Roman" w:cs="Times New Roman"/>
          <w:sz w:val="24"/>
          <w:szCs w:val="24"/>
        </w:rPr>
        <w:t>:29–34.</w:t>
      </w:r>
    </w:p>
    <w:p w:rsidR="00A208B5" w:rsidRDefault="00A208B5" w:rsidP="00A2200F">
      <w:pPr>
        <w:spacing w:after="11" w:line="360" w:lineRule="auto"/>
        <w:ind w:left="301" w:right="11"/>
        <w:rPr>
          <w:rFonts w:ascii="Times New Roman" w:eastAsia="Calibri" w:hAnsi="Times New Roman" w:cs="Times New Roman"/>
          <w:sz w:val="24"/>
          <w:szCs w:val="24"/>
        </w:rPr>
      </w:pPr>
    </w:p>
    <w:p w:rsidR="004B7617" w:rsidRDefault="00A208B5" w:rsidP="00A208B5">
      <w:pPr>
        <w:spacing w:after="723" w:line="360" w:lineRule="auto"/>
        <w:ind w:left="301" w:right="11"/>
        <w:rPr>
          <w:rFonts w:ascii="Times New Roman" w:hAnsi="Times New Roman"/>
          <w:sz w:val="24"/>
          <w:szCs w:val="24"/>
        </w:rPr>
      </w:pPr>
      <w:r>
        <w:rPr>
          <w:rFonts w:ascii="Times New Roman" w:hAnsi="Times New Roman"/>
          <w:sz w:val="24"/>
          <w:szCs w:val="24"/>
        </w:rPr>
        <w:t>H</w:t>
      </w:r>
      <w:r w:rsidRPr="00602F28">
        <w:rPr>
          <w:rFonts w:ascii="Times New Roman" w:hAnsi="Times New Roman"/>
          <w:sz w:val="24"/>
          <w:szCs w:val="24"/>
        </w:rPr>
        <w:t>untington</w:t>
      </w:r>
      <w:r>
        <w:rPr>
          <w:rFonts w:ascii="Times New Roman" w:hAnsi="Times New Roman"/>
          <w:sz w:val="24"/>
          <w:szCs w:val="24"/>
        </w:rPr>
        <w:t xml:space="preserve"> C</w:t>
      </w:r>
      <w:r w:rsidRPr="00602F28">
        <w:rPr>
          <w:rFonts w:ascii="Times New Roman" w:hAnsi="Times New Roman"/>
          <w:sz w:val="24"/>
          <w:szCs w:val="24"/>
        </w:rPr>
        <w:t>, Newton</w:t>
      </w:r>
      <w:r>
        <w:rPr>
          <w:rFonts w:ascii="Times New Roman" w:hAnsi="Times New Roman"/>
          <w:sz w:val="24"/>
          <w:szCs w:val="24"/>
        </w:rPr>
        <w:t xml:space="preserve"> JT</w:t>
      </w:r>
      <w:r w:rsidRPr="00602F28">
        <w:rPr>
          <w:rFonts w:ascii="Times New Roman" w:hAnsi="Times New Roman"/>
          <w:sz w:val="24"/>
          <w:szCs w:val="24"/>
        </w:rPr>
        <w:t>, Donaldson</w:t>
      </w:r>
      <w:r>
        <w:rPr>
          <w:rFonts w:ascii="Times New Roman" w:hAnsi="Times New Roman"/>
          <w:sz w:val="24"/>
          <w:szCs w:val="24"/>
        </w:rPr>
        <w:t xml:space="preserve"> N</w:t>
      </w:r>
      <w:r w:rsidRPr="00602F28">
        <w:rPr>
          <w:rFonts w:ascii="Times New Roman" w:hAnsi="Times New Roman"/>
          <w:sz w:val="24"/>
          <w:szCs w:val="24"/>
        </w:rPr>
        <w:t>, Liossi</w:t>
      </w:r>
      <w:r>
        <w:rPr>
          <w:rFonts w:ascii="Times New Roman" w:hAnsi="Times New Roman"/>
          <w:sz w:val="24"/>
          <w:szCs w:val="24"/>
        </w:rPr>
        <w:t xml:space="preserve"> C</w:t>
      </w:r>
      <w:r w:rsidRPr="00602F28">
        <w:rPr>
          <w:rFonts w:ascii="Times New Roman" w:hAnsi="Times New Roman"/>
          <w:sz w:val="24"/>
          <w:szCs w:val="24"/>
        </w:rPr>
        <w:t>, Reynolds</w:t>
      </w:r>
      <w:r>
        <w:rPr>
          <w:rFonts w:ascii="Times New Roman" w:hAnsi="Times New Roman"/>
          <w:sz w:val="24"/>
          <w:szCs w:val="24"/>
        </w:rPr>
        <w:t xml:space="preserve"> PA</w:t>
      </w:r>
      <w:r w:rsidRPr="00602F28">
        <w:rPr>
          <w:rFonts w:ascii="Times New Roman" w:hAnsi="Times New Roman"/>
          <w:sz w:val="24"/>
          <w:szCs w:val="24"/>
        </w:rPr>
        <w:t>, Alharatani</w:t>
      </w:r>
      <w:r>
        <w:rPr>
          <w:rFonts w:ascii="Times New Roman" w:hAnsi="Times New Roman"/>
          <w:sz w:val="24"/>
          <w:szCs w:val="24"/>
        </w:rPr>
        <w:t xml:space="preserve"> R</w:t>
      </w:r>
      <w:r w:rsidRPr="00602F28">
        <w:rPr>
          <w:rFonts w:ascii="Times New Roman" w:hAnsi="Times New Roman"/>
          <w:sz w:val="24"/>
          <w:szCs w:val="24"/>
        </w:rPr>
        <w:t>, Hosey</w:t>
      </w:r>
      <w:r>
        <w:rPr>
          <w:rFonts w:ascii="Times New Roman" w:hAnsi="Times New Roman"/>
          <w:sz w:val="24"/>
          <w:szCs w:val="24"/>
        </w:rPr>
        <w:t xml:space="preserve"> MT (2017)</w:t>
      </w:r>
      <w:r w:rsidRPr="00602F28">
        <w:rPr>
          <w:rFonts w:ascii="Times New Roman" w:hAnsi="Times New Roman"/>
          <w:sz w:val="24"/>
          <w:szCs w:val="24"/>
        </w:rPr>
        <w:t xml:space="preserve">. Lessons learned on recruitment and retention in hard-to-reach families in a phase </w:t>
      </w:r>
      <w:r w:rsidRPr="00602F28">
        <w:rPr>
          <w:rFonts w:ascii="Times New Roman" w:hAnsi="Times New Roman"/>
          <w:sz w:val="24"/>
          <w:szCs w:val="24"/>
        </w:rPr>
        <w:lastRenderedPageBreak/>
        <w:t>III randomised controlled trial of preparatory information for children undergoing general anaesthesia. BMC Oral Health</w:t>
      </w:r>
      <w:r>
        <w:rPr>
          <w:rFonts w:ascii="Times New Roman" w:hAnsi="Times New Roman"/>
          <w:sz w:val="24"/>
          <w:szCs w:val="24"/>
        </w:rPr>
        <w:t>.</w:t>
      </w:r>
      <w:r w:rsidRPr="00602F28">
        <w:rPr>
          <w:rFonts w:ascii="Times New Roman" w:hAnsi="Times New Roman"/>
          <w:sz w:val="24"/>
          <w:szCs w:val="24"/>
        </w:rPr>
        <w:t>17</w:t>
      </w:r>
      <w:r w:rsidR="003913CB">
        <w:rPr>
          <w:rFonts w:ascii="Times New Roman" w:hAnsi="Times New Roman"/>
          <w:sz w:val="24"/>
          <w:szCs w:val="24"/>
        </w:rPr>
        <w:t xml:space="preserve"> (1)</w:t>
      </w:r>
      <w:r w:rsidRPr="00602F28">
        <w:rPr>
          <w:rFonts w:ascii="Times New Roman" w:hAnsi="Times New Roman"/>
          <w:sz w:val="24"/>
          <w:szCs w:val="24"/>
        </w:rPr>
        <w:t>:122</w:t>
      </w:r>
      <w:r>
        <w:rPr>
          <w:rFonts w:ascii="Times New Roman" w:hAnsi="Times New Roman"/>
          <w:sz w:val="24"/>
          <w:szCs w:val="24"/>
        </w:rPr>
        <w:t xml:space="preserve">. </w:t>
      </w:r>
    </w:p>
    <w:p w:rsidR="004B7617" w:rsidRDefault="00A208B5" w:rsidP="00A208B5">
      <w:pPr>
        <w:spacing w:after="723" w:line="360" w:lineRule="auto"/>
        <w:ind w:left="301" w:right="11"/>
        <w:rPr>
          <w:rFonts w:ascii="Times New Roman" w:eastAsia="Calibri" w:hAnsi="Times New Roman" w:cs="Times New Roman"/>
          <w:sz w:val="24"/>
          <w:szCs w:val="24"/>
        </w:rPr>
      </w:pPr>
      <w:r>
        <w:rPr>
          <w:rFonts w:ascii="Times New Roman" w:eastAsia="Calibri" w:hAnsi="Times New Roman" w:cs="Times New Roman"/>
          <w:sz w:val="24"/>
          <w:szCs w:val="24"/>
        </w:rPr>
        <w:t>ISD (2016). Childhood admissions summary data, 2011/12-2015/16. Information Services Divison. Edinburgh, Scotland.</w:t>
      </w:r>
      <w:r w:rsidR="004B7617">
        <w:rPr>
          <w:rFonts w:ascii="Times New Roman" w:eastAsia="Calibri" w:hAnsi="Times New Roman" w:cs="Times New Roman"/>
          <w:sz w:val="24"/>
          <w:szCs w:val="24"/>
        </w:rPr>
        <w:t xml:space="preserve"> </w:t>
      </w:r>
    </w:p>
    <w:p w:rsidR="004B7617" w:rsidRDefault="00A208B5" w:rsidP="004B7617">
      <w:pPr>
        <w:spacing w:after="723" w:line="360" w:lineRule="auto"/>
        <w:ind w:left="301" w:right="11"/>
        <w:rPr>
          <w:rFonts w:ascii="Times New Roman" w:eastAsia="Calibri" w:hAnsi="Times New Roman" w:cs="Times New Roman"/>
          <w:sz w:val="24"/>
          <w:szCs w:val="24"/>
        </w:rPr>
      </w:pPr>
      <w:r w:rsidRPr="00602F28">
        <w:rPr>
          <w:rFonts w:ascii="Times New Roman" w:eastAsia="Calibri" w:hAnsi="Times New Roman" w:cs="Times New Roman"/>
          <w:sz w:val="24"/>
          <w:szCs w:val="24"/>
        </w:rPr>
        <w:t>Mattila M-L, Rautava P, Sillanpää M, Paunio P</w:t>
      </w:r>
      <w:r>
        <w:rPr>
          <w:rFonts w:ascii="Times New Roman" w:eastAsia="Calibri" w:hAnsi="Times New Roman" w:cs="Times New Roman"/>
          <w:sz w:val="24"/>
          <w:szCs w:val="24"/>
        </w:rPr>
        <w:t xml:space="preserve"> (2000)</w:t>
      </w:r>
      <w:r w:rsidRPr="00602F28">
        <w:rPr>
          <w:rFonts w:ascii="Times New Roman" w:eastAsia="Calibri" w:hAnsi="Times New Roman" w:cs="Times New Roman"/>
          <w:sz w:val="24"/>
          <w:szCs w:val="24"/>
        </w:rPr>
        <w:t>. Caries in five-year-old children and associations with fam</w:t>
      </w:r>
      <w:r>
        <w:rPr>
          <w:rFonts w:ascii="Times New Roman" w:eastAsia="Calibri" w:hAnsi="Times New Roman" w:cs="Times New Roman"/>
          <w:sz w:val="24"/>
          <w:szCs w:val="24"/>
        </w:rPr>
        <w:t>ily-related factors. J Dent Res.</w:t>
      </w:r>
      <w:r w:rsidRPr="00602F28">
        <w:rPr>
          <w:rFonts w:ascii="Times New Roman" w:eastAsia="Calibri" w:hAnsi="Times New Roman" w:cs="Times New Roman"/>
          <w:sz w:val="24"/>
          <w:szCs w:val="24"/>
        </w:rPr>
        <w:t xml:space="preserve"> 79</w:t>
      </w:r>
      <w:r w:rsidR="003913CB">
        <w:rPr>
          <w:rFonts w:ascii="Times New Roman" w:eastAsia="Calibri" w:hAnsi="Times New Roman" w:cs="Times New Roman"/>
          <w:sz w:val="24"/>
          <w:szCs w:val="24"/>
        </w:rPr>
        <w:t xml:space="preserve"> (3)</w:t>
      </w:r>
      <w:r w:rsidRPr="00602F28">
        <w:rPr>
          <w:rFonts w:ascii="Times New Roman" w:eastAsia="Calibri" w:hAnsi="Times New Roman" w:cs="Times New Roman"/>
          <w:sz w:val="24"/>
          <w:szCs w:val="24"/>
        </w:rPr>
        <w:t>:875–81.</w:t>
      </w:r>
      <w:r w:rsidR="004B7617">
        <w:rPr>
          <w:rFonts w:ascii="Times New Roman" w:eastAsia="Calibri" w:hAnsi="Times New Roman" w:cs="Times New Roman"/>
          <w:sz w:val="24"/>
          <w:szCs w:val="24"/>
        </w:rPr>
        <w:t xml:space="preserve"> </w:t>
      </w:r>
    </w:p>
    <w:p w:rsidR="004B7617" w:rsidRDefault="004B7617" w:rsidP="00A208B5">
      <w:pPr>
        <w:spacing w:after="723" w:line="360" w:lineRule="auto"/>
        <w:ind w:left="301" w:right="11"/>
        <w:rPr>
          <w:rFonts w:ascii="Times New Roman" w:eastAsia="Calibri" w:hAnsi="Times New Roman" w:cs="Times New Roman"/>
          <w:sz w:val="24"/>
          <w:szCs w:val="24"/>
        </w:rPr>
      </w:pPr>
      <w:r w:rsidRPr="006B7469">
        <w:rPr>
          <w:rFonts w:ascii="Times New Roman" w:eastAsia="Calibri" w:hAnsi="Times New Roman" w:cs="Times New Roman"/>
          <w:sz w:val="24"/>
          <w:szCs w:val="24"/>
        </w:rPr>
        <w:t>Miller WR, Moyers TB</w:t>
      </w:r>
      <w:r>
        <w:rPr>
          <w:rFonts w:ascii="Times New Roman" w:eastAsia="Calibri" w:hAnsi="Times New Roman" w:cs="Times New Roman"/>
          <w:sz w:val="24"/>
          <w:szCs w:val="24"/>
        </w:rPr>
        <w:t xml:space="preserve"> (2006)</w:t>
      </w:r>
      <w:r w:rsidRPr="006B7469">
        <w:rPr>
          <w:rFonts w:ascii="Times New Roman" w:eastAsia="Calibri" w:hAnsi="Times New Roman" w:cs="Times New Roman"/>
          <w:sz w:val="24"/>
          <w:szCs w:val="24"/>
        </w:rPr>
        <w:t>. Eight stages in learning motivational interviewing. J Teach</w:t>
      </w:r>
      <w:r>
        <w:rPr>
          <w:rFonts w:ascii="Times New Roman" w:eastAsia="Calibri" w:hAnsi="Times New Roman" w:cs="Times New Roman"/>
          <w:sz w:val="24"/>
          <w:szCs w:val="24"/>
        </w:rPr>
        <w:t xml:space="preserve"> Addict. </w:t>
      </w:r>
      <w:r w:rsidRPr="006B7469">
        <w:rPr>
          <w:rFonts w:ascii="Times New Roman" w:eastAsia="Calibri" w:hAnsi="Times New Roman" w:cs="Times New Roman"/>
          <w:sz w:val="24"/>
          <w:szCs w:val="24"/>
        </w:rPr>
        <w:t>5:3–17.</w:t>
      </w:r>
      <w:r>
        <w:rPr>
          <w:rFonts w:ascii="Times New Roman" w:eastAsia="Calibri" w:hAnsi="Times New Roman" w:cs="Times New Roman"/>
          <w:sz w:val="24"/>
          <w:szCs w:val="24"/>
        </w:rPr>
        <w:t xml:space="preserve"> </w:t>
      </w:r>
    </w:p>
    <w:p w:rsidR="00A208B5" w:rsidRDefault="00A208B5" w:rsidP="00A208B5">
      <w:pPr>
        <w:spacing w:after="723" w:line="360" w:lineRule="auto"/>
        <w:ind w:left="301" w:right="11"/>
        <w:rPr>
          <w:rStyle w:val="pagerange"/>
          <w:rFonts w:ascii="Times New Roman" w:hAnsi="Times New Roman" w:cs="Times New Roman"/>
          <w:sz w:val="24"/>
          <w:szCs w:val="24"/>
        </w:rPr>
      </w:pPr>
      <w:r w:rsidRPr="006D7CB4">
        <w:rPr>
          <w:rStyle w:val="authors"/>
          <w:rFonts w:ascii="Times New Roman" w:eastAsia="Times New Roman" w:hAnsi="Times New Roman" w:cs="Times New Roman"/>
          <w:sz w:val="24"/>
          <w:szCs w:val="24"/>
        </w:rPr>
        <w:t>Papies</w:t>
      </w:r>
      <w:r>
        <w:rPr>
          <w:rStyle w:val="authors"/>
          <w:rFonts w:ascii="Times New Roman" w:eastAsia="Times New Roman" w:hAnsi="Times New Roman" w:cs="Times New Roman"/>
          <w:sz w:val="24"/>
          <w:szCs w:val="24"/>
        </w:rPr>
        <w:t xml:space="preserve"> EK (2016)</w:t>
      </w:r>
      <w:r>
        <w:rPr>
          <w:rFonts w:ascii="Times New Roman" w:eastAsia="Times New Roman" w:hAnsi="Times New Roman" w:cs="Times New Roman"/>
          <w:sz w:val="24"/>
          <w:szCs w:val="24"/>
        </w:rPr>
        <w:t xml:space="preserve">. </w:t>
      </w:r>
      <w:r w:rsidRPr="006D7CB4">
        <w:rPr>
          <w:rStyle w:val="arttitle"/>
          <w:rFonts w:ascii="Times New Roman" w:eastAsia="Times New Roman" w:hAnsi="Times New Roman" w:cs="Times New Roman"/>
          <w:sz w:val="24"/>
          <w:szCs w:val="24"/>
        </w:rPr>
        <w:t>Health goal priming as a situated intervention tool: how to benefit from non-conscious motivational routes to health behaviour,</w:t>
      </w:r>
      <w:r w:rsidRPr="006D7CB4">
        <w:rPr>
          <w:rFonts w:ascii="Times New Roman" w:eastAsia="Times New Roman" w:hAnsi="Times New Roman" w:cs="Times New Roman"/>
          <w:sz w:val="24"/>
          <w:szCs w:val="24"/>
        </w:rPr>
        <w:t xml:space="preserve"> </w:t>
      </w:r>
      <w:r w:rsidRPr="006D7CB4">
        <w:rPr>
          <w:rStyle w:val="serialtitle"/>
          <w:rFonts w:ascii="Times New Roman" w:eastAsia="Times New Roman" w:hAnsi="Times New Roman" w:cs="Times New Roman"/>
          <w:sz w:val="24"/>
          <w:szCs w:val="24"/>
        </w:rPr>
        <w:t>Health Psychol Rev</w:t>
      </w:r>
      <w:r>
        <w:rPr>
          <w:rStyle w:val="serialtitle"/>
          <w:rFonts w:ascii="Times New Roman" w:eastAsia="Times New Roman" w:hAnsi="Times New Roman" w:cs="Times New Roman"/>
          <w:sz w:val="24"/>
          <w:szCs w:val="24"/>
        </w:rPr>
        <w:t>.</w:t>
      </w:r>
      <w:r w:rsidR="003913CB">
        <w:rPr>
          <w:rStyle w:val="volumeissue"/>
          <w:rFonts w:ascii="Times New Roman" w:eastAsia="Times New Roman" w:hAnsi="Times New Roman" w:cs="Times New Roman"/>
          <w:sz w:val="24"/>
          <w:szCs w:val="24"/>
        </w:rPr>
        <w:t>10 (</w:t>
      </w:r>
      <w:r w:rsidRPr="006D7CB4">
        <w:rPr>
          <w:rStyle w:val="volumeissue"/>
          <w:rFonts w:ascii="Times New Roman" w:eastAsia="Times New Roman" w:hAnsi="Times New Roman" w:cs="Times New Roman"/>
          <w:sz w:val="24"/>
          <w:szCs w:val="24"/>
        </w:rPr>
        <w:t>4</w:t>
      </w:r>
      <w:r w:rsidR="003913CB">
        <w:rPr>
          <w:rStyle w:val="volumeissue"/>
          <w:rFonts w:ascii="Times New Roman" w:eastAsia="Times New Roman" w:hAnsi="Times New Roman" w:cs="Times New Roman"/>
          <w:sz w:val="24"/>
          <w:szCs w:val="24"/>
        </w:rPr>
        <w:t>):</w:t>
      </w:r>
      <w:r w:rsidRPr="006D7CB4">
        <w:rPr>
          <w:rFonts w:ascii="Times New Roman" w:eastAsia="Times New Roman" w:hAnsi="Times New Roman" w:cs="Times New Roman"/>
          <w:sz w:val="24"/>
          <w:szCs w:val="24"/>
        </w:rPr>
        <w:t xml:space="preserve"> </w:t>
      </w:r>
      <w:r w:rsidRPr="006D7CB4">
        <w:rPr>
          <w:rStyle w:val="pagerange"/>
          <w:rFonts w:ascii="Times New Roman" w:hAnsi="Times New Roman" w:cs="Times New Roman"/>
          <w:sz w:val="24"/>
          <w:szCs w:val="24"/>
        </w:rPr>
        <w:t>408-424.</w:t>
      </w:r>
      <w:r>
        <w:rPr>
          <w:rStyle w:val="pagerange"/>
          <w:rFonts w:ascii="Times New Roman" w:hAnsi="Times New Roman" w:cs="Times New Roman"/>
          <w:sz w:val="24"/>
          <w:szCs w:val="24"/>
        </w:rPr>
        <w:t xml:space="preserve">     </w:t>
      </w:r>
    </w:p>
    <w:p w:rsidR="00A208B5" w:rsidRDefault="00A208B5" w:rsidP="00A208B5">
      <w:pPr>
        <w:spacing w:after="11" w:line="360" w:lineRule="auto"/>
        <w:ind w:left="301" w:right="11"/>
        <w:rPr>
          <w:rFonts w:ascii="Times New Roman" w:eastAsia="Calibri" w:hAnsi="Times New Roman" w:cs="Times New Roman"/>
          <w:sz w:val="24"/>
          <w:szCs w:val="24"/>
        </w:rPr>
      </w:pPr>
      <w:r w:rsidRPr="007B09F6">
        <w:rPr>
          <w:rFonts w:ascii="Times New Roman" w:hAnsi="Times New Roman" w:cs="Times New Roman"/>
          <w:bCs/>
          <w:sz w:val="24"/>
          <w:szCs w:val="24"/>
        </w:rPr>
        <w:t>Pine CM</w:t>
      </w:r>
      <w:r w:rsidRPr="007B09F6">
        <w:rPr>
          <w:rFonts w:ascii="Times New Roman" w:hAnsi="Times New Roman" w:cs="Times New Roman"/>
          <w:sz w:val="24"/>
          <w:szCs w:val="24"/>
        </w:rPr>
        <w:t xml:space="preserve">, Adair PM, Petersen PE, Douglass C, Burnside G, Nicoll AD, Gillett A, Anderson R, Beighton D, Jin-You B, </w:t>
      </w:r>
      <w:r>
        <w:rPr>
          <w:rFonts w:ascii="Times New Roman" w:hAnsi="Times New Roman" w:cs="Times New Roman"/>
          <w:sz w:val="24"/>
          <w:szCs w:val="24"/>
        </w:rPr>
        <w:t>et al. (2004)</w:t>
      </w:r>
      <w:r w:rsidRPr="007B09F6">
        <w:rPr>
          <w:rFonts w:ascii="Times New Roman" w:hAnsi="Times New Roman" w:cs="Times New Roman"/>
          <w:sz w:val="24"/>
          <w:szCs w:val="24"/>
        </w:rPr>
        <w:t>.</w:t>
      </w:r>
      <w:r>
        <w:t xml:space="preserve">  </w:t>
      </w:r>
      <w:r w:rsidRPr="00BF2223">
        <w:rPr>
          <w:rFonts w:ascii="Times New Roman" w:eastAsia="Calibri" w:hAnsi="Times New Roman" w:cs="Times New Roman"/>
          <w:sz w:val="24"/>
          <w:szCs w:val="24"/>
        </w:rPr>
        <w:t>Developing explanatory models of health inequalities in childhood dental caries. Community Dent Health</w:t>
      </w:r>
      <w:r>
        <w:rPr>
          <w:rFonts w:ascii="Times New Roman" w:eastAsia="Calibri" w:hAnsi="Times New Roman" w:cs="Times New Roman"/>
          <w:sz w:val="24"/>
          <w:szCs w:val="24"/>
        </w:rPr>
        <w:t xml:space="preserve">. </w:t>
      </w:r>
      <w:r w:rsidRPr="00BF2223">
        <w:rPr>
          <w:rFonts w:ascii="Times New Roman" w:eastAsia="Calibri" w:hAnsi="Times New Roman" w:cs="Times New Roman"/>
          <w:sz w:val="24"/>
          <w:szCs w:val="24"/>
        </w:rPr>
        <w:t>21(1 Suppl):86–95.</w:t>
      </w:r>
    </w:p>
    <w:p w:rsidR="00A208B5" w:rsidRPr="00BF2223" w:rsidRDefault="00A208B5" w:rsidP="00A208B5">
      <w:pPr>
        <w:spacing w:after="11" w:line="360" w:lineRule="auto"/>
        <w:ind w:left="301" w:right="11"/>
        <w:rPr>
          <w:rFonts w:ascii="Times New Roman" w:hAnsi="Times New Roman" w:cs="Times New Roman"/>
          <w:sz w:val="24"/>
          <w:szCs w:val="24"/>
        </w:rPr>
      </w:pPr>
    </w:p>
    <w:p w:rsidR="00A208B5" w:rsidRDefault="00A208B5" w:rsidP="00A208B5">
      <w:pPr>
        <w:spacing w:after="11" w:line="360" w:lineRule="auto"/>
        <w:ind w:left="301" w:right="11"/>
        <w:rPr>
          <w:rFonts w:ascii="Times New Roman" w:eastAsia="Calibri" w:hAnsi="Times New Roman" w:cs="Times New Roman"/>
          <w:sz w:val="24"/>
          <w:szCs w:val="24"/>
        </w:rPr>
      </w:pPr>
      <w:r>
        <w:rPr>
          <w:rFonts w:ascii="Times New Roman" w:eastAsia="Calibri" w:hAnsi="Times New Roman" w:cs="Times New Roman"/>
          <w:sz w:val="24"/>
          <w:szCs w:val="24"/>
        </w:rPr>
        <w:t xml:space="preserve">Pine CM, Adair P, Burnside G, Robinson L, Edwards RT, Albadri S, Curnow M, Ghahreman M, Henderson M, Malies C, et al. (2015). </w:t>
      </w:r>
      <w:r w:rsidRPr="00016693">
        <w:rPr>
          <w:rFonts w:ascii="Times New Roman" w:eastAsia="Calibri" w:hAnsi="Times New Roman" w:cs="Times New Roman"/>
          <w:sz w:val="24"/>
          <w:szCs w:val="24"/>
        </w:rPr>
        <w:t>A new primary dental care service compared with standard care for child and family to reduce the re-occurrence of childhood dental caries (Dental RECUR): study protocol for a randomised controlled trial</w:t>
      </w:r>
      <w:r>
        <w:rPr>
          <w:rFonts w:ascii="Times New Roman" w:eastAsia="Calibri" w:hAnsi="Times New Roman" w:cs="Times New Roman"/>
          <w:sz w:val="24"/>
          <w:szCs w:val="24"/>
        </w:rPr>
        <w:t>. Trials.16: 505-514.</w:t>
      </w:r>
    </w:p>
    <w:p w:rsidR="00A208B5" w:rsidRPr="006B7469" w:rsidRDefault="00A208B5" w:rsidP="00A208B5">
      <w:pPr>
        <w:spacing w:after="11" w:line="360" w:lineRule="auto"/>
        <w:ind w:left="301" w:right="11"/>
        <w:rPr>
          <w:rFonts w:ascii="Times New Roman" w:hAnsi="Times New Roman" w:cs="Times New Roman"/>
          <w:sz w:val="24"/>
          <w:szCs w:val="24"/>
        </w:rPr>
      </w:pPr>
    </w:p>
    <w:p w:rsidR="00A208B5" w:rsidRDefault="00A208B5" w:rsidP="00A208B5">
      <w:pPr>
        <w:spacing w:after="723" w:line="360" w:lineRule="auto"/>
        <w:ind w:left="301" w:right="11"/>
        <w:rPr>
          <w:rFonts w:ascii="Times New Roman" w:hAnsi="Times New Roman" w:cs="Times New Roman"/>
          <w:sz w:val="24"/>
          <w:szCs w:val="24"/>
        </w:rPr>
      </w:pPr>
      <w:r w:rsidRPr="007C7C26">
        <w:rPr>
          <w:rFonts w:ascii="Times New Roman" w:hAnsi="Times New Roman" w:cs="Times New Roman"/>
          <w:sz w:val="24"/>
          <w:szCs w:val="24"/>
        </w:rPr>
        <w:t>Pitts NB,</w:t>
      </w:r>
      <w:r>
        <w:rPr>
          <w:rFonts w:ascii="Times New Roman" w:hAnsi="Times New Roman" w:cs="Times New Roman"/>
          <w:sz w:val="24"/>
          <w:szCs w:val="24"/>
        </w:rPr>
        <w:t xml:space="preserve"> </w:t>
      </w:r>
      <w:r w:rsidRPr="007C7C26">
        <w:rPr>
          <w:rFonts w:ascii="Times New Roman" w:hAnsi="Times New Roman" w:cs="Times New Roman"/>
          <w:sz w:val="24"/>
          <w:szCs w:val="24"/>
        </w:rPr>
        <w:t>Evans DJ, Pine CM</w:t>
      </w:r>
      <w:r>
        <w:rPr>
          <w:rFonts w:ascii="Times New Roman" w:hAnsi="Times New Roman" w:cs="Times New Roman"/>
          <w:sz w:val="24"/>
          <w:szCs w:val="24"/>
        </w:rPr>
        <w:t xml:space="preserve"> (1997)</w:t>
      </w:r>
      <w:r w:rsidRPr="007C7C26">
        <w:rPr>
          <w:rFonts w:ascii="Times New Roman" w:hAnsi="Times New Roman" w:cs="Times New Roman"/>
          <w:sz w:val="24"/>
          <w:szCs w:val="24"/>
        </w:rPr>
        <w:t>. British Association for the Study of Community Dentistry (BASCD) diagnostic criteria for caries prevalence surveys –1996/97. Community Dent Health</w:t>
      </w:r>
      <w:r>
        <w:rPr>
          <w:rFonts w:ascii="Times New Roman" w:hAnsi="Times New Roman" w:cs="Times New Roman"/>
          <w:sz w:val="24"/>
          <w:szCs w:val="24"/>
        </w:rPr>
        <w:t>.</w:t>
      </w:r>
      <w:r w:rsidRPr="007C7C26">
        <w:rPr>
          <w:rFonts w:ascii="Times New Roman" w:hAnsi="Times New Roman" w:cs="Times New Roman"/>
          <w:sz w:val="24"/>
          <w:szCs w:val="24"/>
        </w:rPr>
        <w:t xml:space="preserve"> 14 (</w:t>
      </w:r>
      <w:r w:rsidR="003913CB">
        <w:rPr>
          <w:rFonts w:ascii="Times New Roman" w:hAnsi="Times New Roman" w:cs="Times New Roman"/>
          <w:sz w:val="24"/>
          <w:szCs w:val="24"/>
        </w:rPr>
        <w:t>1 Supplement</w:t>
      </w:r>
      <w:r w:rsidRPr="007C7C26">
        <w:rPr>
          <w:rFonts w:ascii="Times New Roman" w:hAnsi="Times New Roman" w:cs="Times New Roman"/>
          <w:sz w:val="24"/>
          <w:szCs w:val="24"/>
        </w:rPr>
        <w:t>): 6-9.</w:t>
      </w:r>
      <w:r>
        <w:rPr>
          <w:rFonts w:ascii="Times New Roman" w:hAnsi="Times New Roman" w:cs="Times New Roman"/>
          <w:sz w:val="24"/>
          <w:szCs w:val="24"/>
        </w:rPr>
        <w:t xml:space="preserve">   </w:t>
      </w:r>
    </w:p>
    <w:p w:rsidR="00A208B5" w:rsidRDefault="00A208B5" w:rsidP="00A208B5">
      <w:pPr>
        <w:spacing w:after="11" w:line="360" w:lineRule="auto"/>
        <w:ind w:left="301" w:right="11"/>
        <w:rPr>
          <w:rFonts w:ascii="Times New Roman" w:eastAsia="Calibri" w:hAnsi="Times New Roman" w:cs="Times New Roman"/>
          <w:sz w:val="24"/>
          <w:szCs w:val="24"/>
        </w:rPr>
      </w:pPr>
      <w:r w:rsidRPr="00BF2223">
        <w:rPr>
          <w:rFonts w:ascii="Times New Roman" w:eastAsia="Calibri" w:hAnsi="Times New Roman" w:cs="Times New Roman"/>
          <w:sz w:val="24"/>
          <w:szCs w:val="24"/>
        </w:rPr>
        <w:lastRenderedPageBreak/>
        <w:t>Prochaska JJ, Spring B, Nigg CR</w:t>
      </w:r>
      <w:r>
        <w:rPr>
          <w:rFonts w:ascii="Times New Roman" w:eastAsia="Calibri" w:hAnsi="Times New Roman" w:cs="Times New Roman"/>
          <w:sz w:val="24"/>
          <w:szCs w:val="24"/>
        </w:rPr>
        <w:t xml:space="preserve"> (2008)</w:t>
      </w:r>
      <w:r w:rsidRPr="00BF2223">
        <w:rPr>
          <w:rFonts w:ascii="Times New Roman" w:eastAsia="Calibri" w:hAnsi="Times New Roman" w:cs="Times New Roman"/>
          <w:sz w:val="24"/>
          <w:szCs w:val="24"/>
        </w:rPr>
        <w:t>. Multiple health behavior change research: an introduction and overview. Prev Med. 46</w:t>
      </w:r>
      <w:r w:rsidR="003913CB">
        <w:rPr>
          <w:rFonts w:ascii="Times New Roman" w:eastAsia="Calibri" w:hAnsi="Times New Roman" w:cs="Times New Roman"/>
          <w:sz w:val="24"/>
          <w:szCs w:val="24"/>
        </w:rPr>
        <w:t xml:space="preserve"> (3)</w:t>
      </w:r>
      <w:r w:rsidRPr="00BF2223">
        <w:rPr>
          <w:rFonts w:ascii="Times New Roman" w:eastAsia="Calibri" w:hAnsi="Times New Roman" w:cs="Times New Roman"/>
          <w:sz w:val="24"/>
          <w:szCs w:val="24"/>
        </w:rPr>
        <w:t>:181–8.</w:t>
      </w:r>
    </w:p>
    <w:p w:rsidR="004B7617" w:rsidRDefault="004B7617" w:rsidP="00A208B5">
      <w:pPr>
        <w:spacing w:after="11" w:line="360" w:lineRule="auto"/>
        <w:ind w:left="301" w:right="11"/>
        <w:rPr>
          <w:rFonts w:ascii="Times New Roman" w:eastAsia="Calibri" w:hAnsi="Times New Roman" w:cs="Times New Roman"/>
          <w:sz w:val="24"/>
          <w:szCs w:val="24"/>
        </w:rPr>
      </w:pPr>
    </w:p>
    <w:p w:rsidR="004B7617" w:rsidRDefault="004B7617" w:rsidP="004B7617">
      <w:pPr>
        <w:spacing w:after="11" w:line="360" w:lineRule="auto"/>
        <w:ind w:left="301" w:right="11"/>
        <w:rPr>
          <w:rFonts w:ascii="Times New Roman" w:eastAsia="Calibri" w:hAnsi="Times New Roman" w:cs="Times New Roman"/>
          <w:sz w:val="24"/>
          <w:szCs w:val="24"/>
        </w:rPr>
      </w:pPr>
      <w:r>
        <w:rPr>
          <w:rFonts w:ascii="Times New Roman" w:eastAsia="Calibri" w:hAnsi="Times New Roman" w:cs="Times New Roman"/>
          <w:sz w:val="24"/>
          <w:szCs w:val="24"/>
        </w:rPr>
        <w:t>Public Health England (2017)</w:t>
      </w:r>
      <w:r w:rsidRPr="001A30B7">
        <w:rPr>
          <w:rFonts w:ascii="Times New Roman" w:eastAsia="Calibri" w:hAnsi="Times New Roman" w:cs="Times New Roman"/>
          <w:sz w:val="24"/>
          <w:szCs w:val="24"/>
        </w:rPr>
        <w:t xml:space="preserve">. Delivering Better Oral Health: An Evidence Based Toolkit for Prevention - </w:t>
      </w:r>
      <w:r>
        <w:rPr>
          <w:rFonts w:ascii="Times New Roman" w:eastAsia="Calibri" w:hAnsi="Times New Roman" w:cs="Times New Roman"/>
          <w:sz w:val="24"/>
          <w:szCs w:val="24"/>
        </w:rPr>
        <w:t>Third</w:t>
      </w:r>
      <w:r w:rsidRPr="001A30B7">
        <w:rPr>
          <w:rFonts w:ascii="Times New Roman" w:eastAsia="Calibri" w:hAnsi="Times New Roman" w:cs="Times New Roman"/>
          <w:sz w:val="24"/>
          <w:szCs w:val="24"/>
        </w:rPr>
        <w:t xml:space="preserve"> Edition. London.</w:t>
      </w:r>
    </w:p>
    <w:p w:rsidR="004B7617" w:rsidRDefault="004B7617" w:rsidP="004B7617">
      <w:pPr>
        <w:spacing w:after="11" w:line="360" w:lineRule="auto"/>
        <w:ind w:left="301" w:right="11"/>
        <w:rPr>
          <w:rFonts w:ascii="Times New Roman" w:eastAsia="Calibri" w:hAnsi="Times New Roman" w:cs="Times New Roman"/>
          <w:sz w:val="24"/>
          <w:szCs w:val="24"/>
        </w:rPr>
      </w:pPr>
    </w:p>
    <w:p w:rsidR="004B7617" w:rsidRDefault="004B7617" w:rsidP="004B7617">
      <w:pPr>
        <w:spacing w:after="723" w:line="360" w:lineRule="auto"/>
        <w:ind w:left="301" w:right="11"/>
        <w:rPr>
          <w:rFonts w:ascii="Times New Roman" w:hAnsi="Times New Roman" w:cs="Times New Roman"/>
          <w:sz w:val="24"/>
          <w:szCs w:val="24"/>
        </w:rPr>
      </w:pPr>
      <w:r w:rsidRPr="00602F28">
        <w:rPr>
          <w:rFonts w:ascii="Times New Roman" w:hAnsi="Times New Roman" w:cs="Times New Roman"/>
          <w:sz w:val="24"/>
          <w:szCs w:val="24"/>
        </w:rPr>
        <w:t>Public Health England (</w:t>
      </w:r>
      <w:r>
        <w:rPr>
          <w:rFonts w:ascii="Times New Roman" w:hAnsi="Times New Roman" w:cs="Times New Roman"/>
          <w:sz w:val="24"/>
          <w:szCs w:val="24"/>
        </w:rPr>
        <w:t>2018</w:t>
      </w:r>
      <w:r w:rsidRPr="00602F28">
        <w:rPr>
          <w:rFonts w:ascii="Times New Roman" w:hAnsi="Times New Roman" w:cs="Times New Roman"/>
          <w:sz w:val="24"/>
          <w:szCs w:val="24"/>
        </w:rPr>
        <w:t>). National Dental Epidemiology Programme for England: oral health survey of five-year-old children: A report on the inequalities found in prevalence and severity of dental decay. PHE publications</w:t>
      </w:r>
      <w:r>
        <w:rPr>
          <w:rFonts w:ascii="Times New Roman" w:hAnsi="Times New Roman" w:cs="Times New Roman"/>
          <w:sz w:val="24"/>
          <w:szCs w:val="24"/>
        </w:rPr>
        <w:t>: G</w:t>
      </w:r>
      <w:r w:rsidRPr="00602F28">
        <w:rPr>
          <w:rFonts w:ascii="Times New Roman" w:hAnsi="Times New Roman" w:cs="Times New Roman"/>
          <w:sz w:val="24"/>
          <w:szCs w:val="24"/>
        </w:rPr>
        <w:t>ateway number 2018081.</w:t>
      </w:r>
      <w:r>
        <w:rPr>
          <w:rFonts w:ascii="Times New Roman" w:hAnsi="Times New Roman" w:cs="Times New Roman"/>
          <w:sz w:val="24"/>
          <w:szCs w:val="24"/>
        </w:rPr>
        <w:t xml:space="preserve"> </w:t>
      </w:r>
    </w:p>
    <w:p w:rsidR="004B7617" w:rsidRDefault="004B7617" w:rsidP="004B7617">
      <w:pPr>
        <w:spacing w:after="11" w:line="360" w:lineRule="auto"/>
        <w:ind w:left="301" w:right="11"/>
        <w:rPr>
          <w:rFonts w:ascii="Times New Roman" w:eastAsia="Calibri" w:hAnsi="Times New Roman" w:cs="Times New Roman"/>
          <w:sz w:val="24"/>
          <w:szCs w:val="24"/>
        </w:rPr>
      </w:pPr>
      <w:r w:rsidRPr="009D799D">
        <w:rPr>
          <w:rFonts w:ascii="Times New Roman" w:eastAsia="Calibri" w:hAnsi="Times New Roman" w:cs="Times New Roman"/>
          <w:sz w:val="24"/>
          <w:szCs w:val="24"/>
        </w:rPr>
        <w:t>RCS</w:t>
      </w:r>
      <w:r>
        <w:rPr>
          <w:rFonts w:ascii="Times New Roman" w:eastAsia="Calibri" w:hAnsi="Times New Roman" w:cs="Times New Roman"/>
          <w:sz w:val="24"/>
          <w:szCs w:val="24"/>
        </w:rPr>
        <w:t xml:space="preserve"> (2015)</w:t>
      </w:r>
      <w:r w:rsidRPr="009D799D">
        <w:rPr>
          <w:rFonts w:ascii="Times New Roman" w:eastAsia="Calibri" w:hAnsi="Times New Roman" w:cs="Times New Roman"/>
          <w:sz w:val="24"/>
          <w:szCs w:val="24"/>
        </w:rPr>
        <w:t>. The state of children’s oral health in England. In: Royal College of Surgeons. Faculty of Dental Surgery. London.</w:t>
      </w:r>
    </w:p>
    <w:p w:rsidR="004B7617" w:rsidRDefault="004B7617" w:rsidP="004B7617">
      <w:pPr>
        <w:spacing w:after="11" w:line="360" w:lineRule="auto"/>
        <w:ind w:left="301" w:right="11"/>
        <w:rPr>
          <w:rFonts w:ascii="Times New Roman" w:eastAsia="Calibri" w:hAnsi="Times New Roman" w:cs="Times New Roman"/>
          <w:sz w:val="24"/>
          <w:szCs w:val="24"/>
        </w:rPr>
      </w:pPr>
    </w:p>
    <w:p w:rsidR="004B7617" w:rsidRDefault="004B7617" w:rsidP="004B7617">
      <w:pPr>
        <w:spacing w:after="723" w:line="360" w:lineRule="auto"/>
        <w:ind w:left="301" w:right="11"/>
        <w:rPr>
          <w:rFonts w:ascii="Times New Roman" w:eastAsia="Calibri" w:hAnsi="Times New Roman" w:cs="Times New Roman"/>
          <w:sz w:val="24"/>
          <w:szCs w:val="24"/>
        </w:rPr>
      </w:pPr>
      <w:r w:rsidRPr="0079385F">
        <w:rPr>
          <w:rFonts w:ascii="Times New Roman" w:eastAsia="Calibri" w:hAnsi="Times New Roman" w:cs="Times New Roman"/>
          <w:sz w:val="24"/>
          <w:szCs w:val="24"/>
        </w:rPr>
        <w:t>SIGN</w:t>
      </w:r>
      <w:r>
        <w:rPr>
          <w:rFonts w:ascii="Times New Roman" w:eastAsia="Calibri" w:hAnsi="Times New Roman" w:cs="Times New Roman"/>
          <w:sz w:val="24"/>
          <w:szCs w:val="24"/>
        </w:rPr>
        <w:t xml:space="preserve"> (2014)</w:t>
      </w:r>
      <w:r w:rsidRPr="0079385F">
        <w:rPr>
          <w:rFonts w:ascii="Times New Roman" w:eastAsia="Calibri" w:hAnsi="Times New Roman" w:cs="Times New Roman"/>
          <w:sz w:val="24"/>
          <w:szCs w:val="24"/>
        </w:rPr>
        <w:t>. Dental interventions to preven</w:t>
      </w:r>
      <w:r>
        <w:rPr>
          <w:rFonts w:ascii="Times New Roman" w:eastAsia="Calibri" w:hAnsi="Times New Roman" w:cs="Times New Roman"/>
          <w:sz w:val="24"/>
          <w:szCs w:val="24"/>
        </w:rPr>
        <w:t>t caries in children. Edinburgh.</w:t>
      </w:r>
      <w:r w:rsidRPr="0079385F">
        <w:rPr>
          <w:rFonts w:ascii="Times New Roman" w:eastAsia="Calibri" w:hAnsi="Times New Roman" w:cs="Times New Roman"/>
          <w:sz w:val="24"/>
          <w:szCs w:val="24"/>
        </w:rPr>
        <w:t xml:space="preserve"> S</w:t>
      </w:r>
      <w:r>
        <w:rPr>
          <w:rFonts w:ascii="Times New Roman" w:eastAsia="Calibri" w:hAnsi="Times New Roman" w:cs="Times New Roman"/>
          <w:sz w:val="24"/>
          <w:szCs w:val="24"/>
        </w:rPr>
        <w:t xml:space="preserve">cottish </w:t>
      </w:r>
      <w:r w:rsidRPr="0079385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ntercollegiate </w:t>
      </w:r>
      <w:r w:rsidRPr="0079385F">
        <w:rPr>
          <w:rFonts w:ascii="Times New Roman" w:eastAsia="Calibri" w:hAnsi="Times New Roman" w:cs="Times New Roman"/>
          <w:sz w:val="24"/>
          <w:szCs w:val="24"/>
        </w:rPr>
        <w:t>G</w:t>
      </w:r>
      <w:r>
        <w:rPr>
          <w:rFonts w:ascii="Times New Roman" w:eastAsia="Calibri" w:hAnsi="Times New Roman" w:cs="Times New Roman"/>
          <w:sz w:val="24"/>
          <w:szCs w:val="24"/>
        </w:rPr>
        <w:t xml:space="preserve">uidelines </w:t>
      </w:r>
      <w:r w:rsidRPr="0079385F">
        <w:rPr>
          <w:rFonts w:ascii="Times New Roman" w:eastAsia="Calibri" w:hAnsi="Times New Roman" w:cs="Times New Roman"/>
          <w:sz w:val="24"/>
          <w:szCs w:val="24"/>
        </w:rPr>
        <w:t>N</w:t>
      </w:r>
      <w:r>
        <w:rPr>
          <w:rFonts w:ascii="Times New Roman" w:eastAsia="Calibri" w:hAnsi="Times New Roman" w:cs="Times New Roman"/>
          <w:sz w:val="24"/>
          <w:szCs w:val="24"/>
        </w:rPr>
        <w:t>etwork</w:t>
      </w:r>
      <w:r w:rsidRPr="0079385F">
        <w:rPr>
          <w:rFonts w:ascii="Times New Roman" w:eastAsia="Calibri" w:hAnsi="Times New Roman" w:cs="Times New Roman"/>
          <w:sz w:val="24"/>
          <w:szCs w:val="24"/>
        </w:rPr>
        <w:t>.</w:t>
      </w:r>
    </w:p>
    <w:p w:rsidR="004B7617" w:rsidRDefault="004B7617" w:rsidP="004B7617">
      <w:pPr>
        <w:spacing w:after="11" w:line="360" w:lineRule="auto"/>
        <w:ind w:left="301" w:right="11"/>
        <w:rPr>
          <w:rFonts w:ascii="Times New Roman" w:eastAsia="Calibri" w:hAnsi="Times New Roman" w:cs="Times New Roman"/>
          <w:sz w:val="24"/>
          <w:szCs w:val="24"/>
        </w:rPr>
      </w:pPr>
      <w:r w:rsidRPr="00BF2223">
        <w:rPr>
          <w:rFonts w:ascii="Times New Roman" w:eastAsia="Calibri" w:hAnsi="Times New Roman" w:cs="Times New Roman"/>
          <w:sz w:val="24"/>
          <w:szCs w:val="24"/>
        </w:rPr>
        <w:t>Weinstein P, Harrison R, Benton T</w:t>
      </w:r>
      <w:r>
        <w:rPr>
          <w:rFonts w:ascii="Times New Roman" w:eastAsia="Calibri" w:hAnsi="Times New Roman" w:cs="Times New Roman"/>
          <w:sz w:val="24"/>
          <w:szCs w:val="24"/>
        </w:rPr>
        <w:t xml:space="preserve"> (2004)</w:t>
      </w:r>
      <w:r w:rsidRPr="00BF2223">
        <w:rPr>
          <w:rFonts w:ascii="Times New Roman" w:eastAsia="Calibri" w:hAnsi="Times New Roman" w:cs="Times New Roman"/>
          <w:sz w:val="24"/>
          <w:szCs w:val="24"/>
        </w:rPr>
        <w:t>. Motivating mothers to prevent caries in their young children. One-year</w:t>
      </w:r>
      <w:r>
        <w:rPr>
          <w:rFonts w:ascii="Times New Roman" w:eastAsia="Calibri" w:hAnsi="Times New Roman" w:cs="Times New Roman"/>
          <w:sz w:val="24"/>
          <w:szCs w:val="24"/>
        </w:rPr>
        <w:t xml:space="preserve"> findings. J Am Dent Assoc. </w:t>
      </w:r>
      <w:r w:rsidRPr="00BF2223">
        <w:rPr>
          <w:rFonts w:ascii="Times New Roman" w:eastAsia="Calibri" w:hAnsi="Times New Roman" w:cs="Times New Roman"/>
          <w:sz w:val="24"/>
          <w:szCs w:val="24"/>
        </w:rPr>
        <w:t>135</w:t>
      </w:r>
      <w:r w:rsidR="003913CB">
        <w:rPr>
          <w:rFonts w:ascii="Times New Roman" w:eastAsia="Calibri" w:hAnsi="Times New Roman" w:cs="Times New Roman"/>
          <w:sz w:val="24"/>
          <w:szCs w:val="24"/>
        </w:rPr>
        <w:t xml:space="preserve"> (6)</w:t>
      </w:r>
      <w:r w:rsidRPr="00BF2223">
        <w:rPr>
          <w:rFonts w:ascii="Times New Roman" w:eastAsia="Calibri" w:hAnsi="Times New Roman" w:cs="Times New Roman"/>
          <w:sz w:val="24"/>
          <w:szCs w:val="24"/>
        </w:rPr>
        <w:t>:731–8.</w:t>
      </w:r>
    </w:p>
    <w:p w:rsidR="004B7617" w:rsidRPr="00BF2223" w:rsidRDefault="004B7617" w:rsidP="004B7617">
      <w:pPr>
        <w:spacing w:after="11" w:line="360" w:lineRule="auto"/>
        <w:ind w:left="301" w:right="11"/>
        <w:rPr>
          <w:rFonts w:ascii="Times New Roman" w:hAnsi="Times New Roman" w:cs="Times New Roman"/>
          <w:sz w:val="24"/>
          <w:szCs w:val="24"/>
        </w:rPr>
      </w:pPr>
    </w:p>
    <w:p w:rsidR="004B7617" w:rsidRDefault="004B7617" w:rsidP="004B7617">
      <w:pPr>
        <w:spacing w:after="11" w:line="360" w:lineRule="auto"/>
        <w:ind w:left="301" w:right="11"/>
        <w:rPr>
          <w:rFonts w:ascii="Times New Roman" w:eastAsia="Calibri" w:hAnsi="Times New Roman" w:cs="Times New Roman"/>
          <w:sz w:val="24"/>
          <w:szCs w:val="24"/>
        </w:rPr>
      </w:pPr>
      <w:r w:rsidRPr="00BF2223">
        <w:rPr>
          <w:rFonts w:ascii="Times New Roman" w:eastAsia="Calibri" w:hAnsi="Times New Roman" w:cs="Times New Roman"/>
          <w:sz w:val="24"/>
          <w:szCs w:val="24"/>
        </w:rPr>
        <w:t>Weinstein P, Harrison R, Benton T</w:t>
      </w:r>
      <w:r>
        <w:rPr>
          <w:rFonts w:ascii="Times New Roman" w:eastAsia="Calibri" w:hAnsi="Times New Roman" w:cs="Times New Roman"/>
          <w:sz w:val="24"/>
          <w:szCs w:val="24"/>
        </w:rPr>
        <w:t xml:space="preserve"> (2006)</w:t>
      </w:r>
      <w:r w:rsidRPr="00BF2223">
        <w:rPr>
          <w:rFonts w:ascii="Times New Roman" w:eastAsia="Calibri" w:hAnsi="Times New Roman" w:cs="Times New Roman"/>
          <w:sz w:val="24"/>
          <w:szCs w:val="24"/>
        </w:rPr>
        <w:t>. Motivating mothers to prevent caries</w:t>
      </w:r>
      <w:r w:rsidR="003913CB">
        <w:rPr>
          <w:rFonts w:ascii="Times New Roman" w:eastAsia="Calibri" w:hAnsi="Times New Roman" w:cs="Times New Roman"/>
          <w:sz w:val="24"/>
          <w:szCs w:val="24"/>
        </w:rPr>
        <w:t>:</w:t>
      </w:r>
      <w:r w:rsidRPr="00BF2223">
        <w:rPr>
          <w:rFonts w:ascii="Times New Roman" w:eastAsia="Calibri" w:hAnsi="Times New Roman" w:cs="Times New Roman"/>
          <w:sz w:val="24"/>
          <w:szCs w:val="24"/>
        </w:rPr>
        <w:t xml:space="preserve"> </w:t>
      </w:r>
      <w:r w:rsidR="003913CB">
        <w:rPr>
          <w:rFonts w:ascii="Times New Roman" w:eastAsia="Calibri" w:hAnsi="Times New Roman" w:cs="Times New Roman"/>
          <w:sz w:val="24"/>
          <w:szCs w:val="24"/>
        </w:rPr>
        <w:t>c</w:t>
      </w:r>
      <w:r w:rsidRPr="00BF2223">
        <w:rPr>
          <w:rFonts w:ascii="Times New Roman" w:eastAsia="Calibri" w:hAnsi="Times New Roman" w:cs="Times New Roman"/>
          <w:sz w:val="24"/>
          <w:szCs w:val="24"/>
        </w:rPr>
        <w:t xml:space="preserve">onfirming the beneficial effect of counselling. </w:t>
      </w:r>
      <w:r w:rsidR="003913CB">
        <w:rPr>
          <w:rFonts w:ascii="Times New Roman" w:eastAsia="Calibri" w:hAnsi="Times New Roman" w:cs="Times New Roman"/>
          <w:sz w:val="24"/>
          <w:szCs w:val="24"/>
        </w:rPr>
        <w:t>J Am Dent Assoc</w:t>
      </w:r>
      <w:r>
        <w:rPr>
          <w:rFonts w:ascii="Times New Roman" w:eastAsia="Calibri" w:hAnsi="Times New Roman" w:cs="Times New Roman"/>
          <w:sz w:val="24"/>
          <w:szCs w:val="24"/>
        </w:rPr>
        <w:t>.</w:t>
      </w:r>
      <w:r w:rsidRPr="00BF2223">
        <w:rPr>
          <w:rFonts w:ascii="Times New Roman" w:eastAsia="Calibri" w:hAnsi="Times New Roman" w:cs="Times New Roman"/>
          <w:sz w:val="24"/>
          <w:szCs w:val="24"/>
        </w:rPr>
        <w:t>137</w:t>
      </w:r>
      <w:r w:rsidR="003913CB">
        <w:rPr>
          <w:rFonts w:ascii="Times New Roman" w:eastAsia="Calibri" w:hAnsi="Times New Roman" w:cs="Times New Roman"/>
          <w:sz w:val="24"/>
          <w:szCs w:val="24"/>
        </w:rPr>
        <w:t xml:space="preserve"> (6)</w:t>
      </w:r>
      <w:r w:rsidRPr="00BF2223">
        <w:rPr>
          <w:rFonts w:ascii="Times New Roman" w:eastAsia="Calibri" w:hAnsi="Times New Roman" w:cs="Times New Roman"/>
          <w:sz w:val="24"/>
          <w:szCs w:val="24"/>
        </w:rPr>
        <w:t>:789–93.</w:t>
      </w:r>
    </w:p>
    <w:p w:rsidR="004B7617" w:rsidRPr="00BF2223" w:rsidRDefault="004B7617" w:rsidP="004B7617">
      <w:pPr>
        <w:spacing w:after="11" w:line="360" w:lineRule="auto"/>
        <w:ind w:left="301" w:right="11"/>
        <w:rPr>
          <w:rFonts w:ascii="Times New Roman" w:hAnsi="Times New Roman" w:cs="Times New Roman"/>
          <w:sz w:val="24"/>
          <w:szCs w:val="24"/>
        </w:rPr>
      </w:pPr>
    </w:p>
    <w:p w:rsidR="004B7617" w:rsidRPr="001A30B7" w:rsidRDefault="004B7617" w:rsidP="004B7617">
      <w:pPr>
        <w:spacing w:after="11" w:line="360" w:lineRule="auto"/>
        <w:ind w:left="301" w:right="11"/>
        <w:rPr>
          <w:rFonts w:ascii="Times New Roman" w:hAnsi="Times New Roman" w:cs="Times New Roman"/>
          <w:sz w:val="24"/>
          <w:szCs w:val="24"/>
        </w:rPr>
      </w:pPr>
      <w:r w:rsidRPr="0012709D">
        <w:rPr>
          <w:rFonts w:ascii="Times New Roman" w:eastAsia="Calibri" w:hAnsi="Times New Roman" w:cs="Times New Roman"/>
          <w:sz w:val="24"/>
          <w:szCs w:val="24"/>
        </w:rPr>
        <w:t>WHO</w:t>
      </w:r>
      <w:r>
        <w:rPr>
          <w:rFonts w:ascii="Times New Roman" w:eastAsia="Calibri" w:hAnsi="Times New Roman" w:cs="Times New Roman"/>
          <w:sz w:val="24"/>
          <w:szCs w:val="24"/>
        </w:rPr>
        <w:t xml:space="preserve"> (2008)</w:t>
      </w:r>
      <w:r w:rsidRPr="0012709D">
        <w:rPr>
          <w:rFonts w:ascii="Times New Roman" w:eastAsia="Calibri" w:hAnsi="Times New Roman" w:cs="Times New Roman"/>
          <w:sz w:val="24"/>
          <w:szCs w:val="24"/>
        </w:rPr>
        <w:t xml:space="preserve">. Closing the gap in a generation. Health equity through action on the social determinants of health. Final report of the Commission on Social Determinants of Health. </w:t>
      </w:r>
      <w:r>
        <w:rPr>
          <w:rFonts w:ascii="Times New Roman" w:eastAsia="Calibri" w:hAnsi="Times New Roman" w:cs="Times New Roman"/>
          <w:sz w:val="24"/>
          <w:szCs w:val="24"/>
        </w:rPr>
        <w:t xml:space="preserve">WHO, </w:t>
      </w:r>
      <w:r w:rsidRPr="0012709D">
        <w:rPr>
          <w:rFonts w:ascii="Times New Roman" w:eastAsia="Calibri" w:hAnsi="Times New Roman" w:cs="Times New Roman"/>
          <w:sz w:val="24"/>
          <w:szCs w:val="24"/>
        </w:rPr>
        <w:t>Geneva, Switzerland: Press W</w:t>
      </w:r>
      <w:r>
        <w:rPr>
          <w:rFonts w:ascii="Times New Roman" w:eastAsia="Calibri" w:hAnsi="Times New Roman" w:cs="Times New Roman"/>
          <w:sz w:val="24"/>
          <w:szCs w:val="24"/>
        </w:rPr>
        <w:t xml:space="preserve">orld </w:t>
      </w:r>
      <w:r w:rsidRPr="0012709D">
        <w:rPr>
          <w:rFonts w:ascii="Times New Roman" w:eastAsia="Calibri" w:hAnsi="Times New Roman" w:cs="Times New Roman"/>
          <w:sz w:val="24"/>
          <w:szCs w:val="24"/>
        </w:rPr>
        <w:t>H</w:t>
      </w:r>
      <w:r>
        <w:rPr>
          <w:rFonts w:ascii="Times New Roman" w:eastAsia="Calibri" w:hAnsi="Times New Roman" w:cs="Times New Roman"/>
          <w:sz w:val="24"/>
          <w:szCs w:val="24"/>
        </w:rPr>
        <w:t xml:space="preserve">ealth </w:t>
      </w:r>
      <w:r w:rsidRPr="0012709D">
        <w:rPr>
          <w:rFonts w:ascii="Times New Roman" w:eastAsia="Calibri" w:hAnsi="Times New Roman" w:cs="Times New Roman"/>
          <w:sz w:val="24"/>
          <w:szCs w:val="24"/>
        </w:rPr>
        <w:t>O</w:t>
      </w:r>
      <w:r>
        <w:rPr>
          <w:rFonts w:ascii="Times New Roman" w:eastAsia="Calibri" w:hAnsi="Times New Roman" w:cs="Times New Roman"/>
          <w:sz w:val="24"/>
          <w:szCs w:val="24"/>
        </w:rPr>
        <w:t>rganisation</w:t>
      </w:r>
      <w:r w:rsidRPr="0012709D">
        <w:rPr>
          <w:rFonts w:ascii="Times New Roman" w:eastAsia="Calibri" w:hAnsi="Times New Roman" w:cs="Times New Roman"/>
          <w:sz w:val="24"/>
          <w:szCs w:val="24"/>
        </w:rPr>
        <w:t>.</w:t>
      </w:r>
    </w:p>
    <w:p w:rsidR="00A208B5" w:rsidRDefault="00A208B5" w:rsidP="00A208B5">
      <w:pPr>
        <w:spacing w:after="723" w:line="360" w:lineRule="auto"/>
        <w:ind w:left="301" w:right="11"/>
        <w:rPr>
          <w:rStyle w:val="pagerange"/>
          <w:rFonts w:ascii="Times New Roman" w:hAnsi="Times New Roman" w:cs="Times New Roman"/>
          <w:sz w:val="24"/>
          <w:szCs w:val="24"/>
        </w:rPr>
      </w:pPr>
    </w:p>
    <w:p w:rsidR="00440A6F" w:rsidRDefault="00440A6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D7CB4" w:rsidRPr="004B7617" w:rsidRDefault="001B60F5" w:rsidP="004B7617">
      <w:pPr>
        <w:rPr>
          <w:rFonts w:ascii="Times New Roman" w:eastAsia="Calibri" w:hAnsi="Times New Roman" w:cs="Times New Roman"/>
          <w:sz w:val="24"/>
          <w:szCs w:val="24"/>
        </w:rPr>
      </w:pPr>
      <w:r w:rsidRPr="001B60F5">
        <w:rPr>
          <w:rFonts w:ascii="Times New Roman" w:eastAsia="Calibri" w:hAnsi="Times New Roman" w:cs="Times New Roman"/>
          <w:b/>
          <w:sz w:val="24"/>
          <w:szCs w:val="24"/>
        </w:rPr>
        <w:lastRenderedPageBreak/>
        <w:t>Figures and Tables Legends</w:t>
      </w:r>
    </w:p>
    <w:p w:rsidR="004B7617" w:rsidRDefault="004B7617" w:rsidP="007919D8">
      <w:pPr>
        <w:rPr>
          <w:rFonts w:ascii="Times New Roman" w:hAnsi="Times New Roman" w:cs="Times New Roman"/>
          <w:b/>
        </w:rPr>
      </w:pPr>
    </w:p>
    <w:p w:rsidR="007919D8" w:rsidRPr="001C5442" w:rsidRDefault="007919D8" w:rsidP="007919D8">
      <w:pPr>
        <w:rPr>
          <w:rFonts w:ascii="Times New Roman" w:hAnsi="Times New Roman" w:cs="Times New Roman"/>
          <w:sz w:val="24"/>
          <w:szCs w:val="24"/>
        </w:rPr>
      </w:pPr>
      <w:r w:rsidRPr="001C5442">
        <w:rPr>
          <w:rFonts w:ascii="Times New Roman" w:hAnsi="Times New Roman" w:cs="Times New Roman"/>
          <w:b/>
          <w:sz w:val="24"/>
          <w:szCs w:val="24"/>
        </w:rPr>
        <w:t xml:space="preserve">Figure 1: </w:t>
      </w:r>
      <w:r w:rsidR="00440A6F" w:rsidRPr="001C5442">
        <w:rPr>
          <w:rFonts w:ascii="Times New Roman" w:hAnsi="Times New Roman" w:cs="Times New Roman"/>
          <w:sz w:val="24"/>
          <w:szCs w:val="24"/>
        </w:rPr>
        <w:t>CONSORT Flow diagram</w:t>
      </w:r>
    </w:p>
    <w:p w:rsidR="001C5442" w:rsidRPr="001C5442" w:rsidRDefault="007919D8" w:rsidP="001C5442">
      <w:pPr>
        <w:pStyle w:val="para"/>
        <w:spacing w:line="360" w:lineRule="auto"/>
        <w:jc w:val="both"/>
      </w:pPr>
      <w:r w:rsidRPr="001C5442">
        <w:rPr>
          <w:b/>
        </w:rPr>
        <w:t xml:space="preserve">Figure 2: </w:t>
      </w:r>
      <w:r w:rsidR="001C5442" w:rsidRPr="001C5442">
        <w:t>Proportion of participants in each group who developed new caries in teeth that were caries free or unerupted at baseline and number of teeth affected</w:t>
      </w:r>
    </w:p>
    <w:p w:rsidR="00F740C9" w:rsidRPr="001C5442" w:rsidRDefault="00F740C9" w:rsidP="00F740C9">
      <w:pPr>
        <w:pStyle w:val="Heading2"/>
        <w:rPr>
          <w:sz w:val="24"/>
          <w:szCs w:val="24"/>
        </w:rPr>
      </w:pPr>
      <w:r w:rsidRPr="001C5442">
        <w:rPr>
          <w:sz w:val="24"/>
          <w:szCs w:val="24"/>
        </w:rPr>
        <w:t xml:space="preserve">Table 1: </w:t>
      </w:r>
      <w:r w:rsidRPr="001C5442">
        <w:rPr>
          <w:b w:val="0"/>
          <w:sz w:val="24"/>
          <w:szCs w:val="24"/>
        </w:rPr>
        <w:t>Baseline parameters</w:t>
      </w:r>
    </w:p>
    <w:p w:rsidR="00F740C9" w:rsidRPr="001C5442" w:rsidRDefault="00F740C9" w:rsidP="00F740C9">
      <w:pPr>
        <w:pStyle w:val="BodyText"/>
        <w:rPr>
          <w:sz w:val="24"/>
        </w:rPr>
      </w:pPr>
    </w:p>
    <w:p w:rsidR="00F740C9" w:rsidRPr="001C5442" w:rsidRDefault="00F740C9" w:rsidP="00F740C9">
      <w:pPr>
        <w:pStyle w:val="Heading2"/>
        <w:rPr>
          <w:b w:val="0"/>
          <w:sz w:val="24"/>
          <w:szCs w:val="24"/>
        </w:rPr>
      </w:pPr>
      <w:r w:rsidRPr="001C5442">
        <w:rPr>
          <w:sz w:val="24"/>
          <w:szCs w:val="24"/>
        </w:rPr>
        <w:t xml:space="preserve">Table 2: </w:t>
      </w:r>
      <w:r w:rsidRPr="001C5442">
        <w:rPr>
          <w:b w:val="0"/>
          <w:sz w:val="24"/>
          <w:szCs w:val="24"/>
        </w:rPr>
        <w:t>Primary Outcome and Primary Outcome by Centre: proportion of children with dental caries in previously-caries free teeth two years after intervention</w:t>
      </w:r>
    </w:p>
    <w:p w:rsidR="00F740C9" w:rsidRPr="001C5442" w:rsidRDefault="00F740C9" w:rsidP="00F740C9">
      <w:pPr>
        <w:pStyle w:val="BodyText"/>
        <w:rPr>
          <w:sz w:val="24"/>
        </w:rPr>
      </w:pPr>
    </w:p>
    <w:p w:rsidR="00F740C9" w:rsidRPr="001C5442" w:rsidRDefault="00F740C9" w:rsidP="00F740C9">
      <w:pPr>
        <w:rPr>
          <w:rFonts w:ascii="Times New Roman" w:hAnsi="Times New Roman"/>
          <w:b/>
          <w:sz w:val="24"/>
          <w:szCs w:val="24"/>
        </w:rPr>
      </w:pPr>
      <w:r w:rsidRPr="001C5442">
        <w:rPr>
          <w:rFonts w:ascii="Times New Roman" w:hAnsi="Times New Roman"/>
          <w:b/>
          <w:sz w:val="24"/>
          <w:szCs w:val="24"/>
        </w:rPr>
        <w:t xml:space="preserve">Table 3:  </w:t>
      </w:r>
      <w:r w:rsidRPr="001C5442">
        <w:rPr>
          <w:rFonts w:ascii="Times New Roman" w:hAnsi="Times New Roman"/>
          <w:sz w:val="24"/>
          <w:szCs w:val="24"/>
        </w:rPr>
        <w:t>Dental attendance during the 2 years’ post-intervention and dental treatment provided</w:t>
      </w:r>
      <w:r w:rsidRPr="001C5442">
        <w:rPr>
          <w:rFonts w:ascii="Times New Roman" w:hAnsi="Times New Roman"/>
          <w:b/>
          <w:sz w:val="24"/>
          <w:szCs w:val="24"/>
        </w:rPr>
        <w:t xml:space="preserve"> </w:t>
      </w:r>
    </w:p>
    <w:p w:rsidR="00F740C9" w:rsidRPr="00F740C9" w:rsidRDefault="00F740C9" w:rsidP="00F740C9">
      <w:pPr>
        <w:pStyle w:val="BodyText"/>
      </w:pPr>
    </w:p>
    <w:p w:rsidR="00BF5E64" w:rsidRDefault="00BF5E64">
      <w:pPr>
        <w:rPr>
          <w:rFonts w:ascii="Times New Roman" w:hAnsi="Times New Roman" w:cs="Times New Roman"/>
          <w:sz w:val="24"/>
          <w:szCs w:val="24"/>
        </w:rPr>
      </w:pPr>
      <w:r>
        <w:rPr>
          <w:rFonts w:ascii="Times New Roman" w:hAnsi="Times New Roman" w:cs="Times New Roman"/>
          <w:sz w:val="24"/>
          <w:szCs w:val="24"/>
        </w:rPr>
        <w:br w:type="page"/>
      </w:r>
    </w:p>
    <w:p w:rsidR="00322718" w:rsidRDefault="00322718" w:rsidP="00A2200F">
      <w:pPr>
        <w:spacing w:after="11" w:line="360" w:lineRule="auto"/>
        <w:ind w:left="301" w:right="11"/>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anchor distT="0" distB="0" distL="114300" distR="114300" simplePos="0" relativeHeight="251658240" behindDoc="0" locked="0" layoutInCell="1" allowOverlap="1" wp14:anchorId="31F8FA07" wp14:editId="379CB34A">
            <wp:simplePos x="0" y="0"/>
            <wp:positionH relativeFrom="page">
              <wp:posOffset>273685</wp:posOffset>
            </wp:positionH>
            <wp:positionV relativeFrom="paragraph">
              <wp:posOffset>0</wp:posOffset>
            </wp:positionV>
            <wp:extent cx="7047865" cy="89376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7865" cy="8937625"/>
                    </a:xfrm>
                    <a:prstGeom prst="rect">
                      <a:avLst/>
                    </a:prstGeom>
                    <a:noFill/>
                  </pic:spPr>
                </pic:pic>
              </a:graphicData>
            </a:graphic>
          </wp:anchor>
        </w:drawing>
      </w:r>
    </w:p>
    <w:p w:rsidR="00322718" w:rsidRDefault="00322718" w:rsidP="00A2200F">
      <w:pPr>
        <w:spacing w:after="11" w:line="360" w:lineRule="auto"/>
        <w:ind w:left="301" w:right="11"/>
        <w:rPr>
          <w:rFonts w:ascii="Times New Roman" w:hAnsi="Times New Roman" w:cs="Times New Roman"/>
          <w:sz w:val="24"/>
          <w:szCs w:val="24"/>
        </w:rPr>
      </w:pPr>
      <w:r w:rsidRPr="00322718">
        <w:rPr>
          <w:rFonts w:ascii="Times New Roman" w:hAnsi="Times New Roman" w:cs="Times New Roman"/>
          <w:sz w:val="24"/>
          <w:szCs w:val="24"/>
        </w:rPr>
        <w:lastRenderedPageBreak/>
        <mc:AlternateContent>
          <mc:Choice Requires="wps">
            <w:drawing>
              <wp:anchor distT="0" distB="0" distL="114300" distR="114300" simplePos="0" relativeHeight="251660288" behindDoc="0" locked="0" layoutInCell="1" allowOverlap="1" wp14:anchorId="64723C33" wp14:editId="0D7C4C9E">
                <wp:simplePos x="0" y="0"/>
                <wp:positionH relativeFrom="column">
                  <wp:posOffset>-509905</wp:posOffset>
                </wp:positionH>
                <wp:positionV relativeFrom="paragraph">
                  <wp:posOffset>-514350</wp:posOffset>
                </wp:positionV>
                <wp:extent cx="7886700" cy="430004"/>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86700" cy="430004"/>
                        </a:xfrm>
                        <a:prstGeom prst="rect">
                          <a:avLst/>
                        </a:prstGeom>
                      </wps:spPr>
                      <wps:txbx>
                        <w:txbxContent>
                          <w:p w:rsidR="00322718" w:rsidRDefault="00322718" w:rsidP="00322718">
                            <w:pPr>
                              <w:pStyle w:val="NormalWeb"/>
                              <w:spacing w:before="0" w:beforeAutospacing="0" w:after="0" w:afterAutospacing="0" w:line="216" w:lineRule="auto"/>
                            </w:pPr>
                            <w:r>
                              <w:rPr>
                                <w:rFonts w:asciiTheme="majorHAnsi" w:eastAsiaTheme="majorEastAsia" w:hAnsi="Calibri Light" w:cstheme="majorBidi"/>
                                <w:b/>
                                <w:bCs/>
                                <w:color w:val="000000" w:themeColor="text1"/>
                                <w:kern w:val="24"/>
                                <w:sz w:val="32"/>
                                <w:szCs w:val="32"/>
                              </w:rPr>
                              <w:t>Figure 2: Distribution of caries in previously caries-free teeth by intervention group</w:t>
                            </w:r>
                          </w:p>
                        </w:txbxContent>
                      </wps:txbx>
                      <wps:bodyPr vert="horz" lIns="91440" tIns="45720" rIns="91440" bIns="45720" rtlCol="0" anchor="ctr">
                        <a:normAutofit/>
                      </wps:bodyPr>
                    </wps:wsp>
                  </a:graphicData>
                </a:graphic>
              </wp:anchor>
            </w:drawing>
          </mc:Choice>
          <mc:Fallback>
            <w:pict>
              <v:rect w14:anchorId="64723C33" id="Title 1" o:spid="_x0000_s1026" style="position:absolute;left:0;text-align:left;margin-left:-40.15pt;margin-top:-40.5pt;width:621pt;height:3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" filled="f" stroked="f">
                <v:path arrowok="t"/>
                <o:lock v:ext="edit" grouping="t"/>
                <v:textbox>
                  <w:txbxContent>
                    <w:p w:rsidR="00322718" w:rsidRDefault="00322718" w:rsidP="00322718">
                      <w:pPr>
                        <w:pStyle w:val="NormalWeb"/>
                        <w:spacing w:before="0" w:beforeAutospacing="0" w:after="0" w:afterAutospacing="0" w:line="216" w:lineRule="auto"/>
                      </w:pPr>
                      <w:r>
                        <w:rPr>
                          <w:rFonts w:asciiTheme="majorHAnsi" w:eastAsiaTheme="majorEastAsia" w:hAnsi="Calibri Light" w:cstheme="majorBidi"/>
                          <w:b/>
                          <w:bCs/>
                          <w:color w:val="000000" w:themeColor="text1"/>
                          <w:kern w:val="24"/>
                          <w:sz w:val="32"/>
                          <w:szCs w:val="32"/>
                        </w:rPr>
                        <w:t>Figure 2: Distribution of caries in previously caries-free teeth by intervention group</w:t>
                      </w:r>
                    </w:p>
                  </w:txbxContent>
                </v:textbox>
              </v:rect>
            </w:pict>
          </mc:Fallback>
        </mc:AlternateContent>
      </w:r>
      <w:r w:rsidRPr="00322718">
        <w:rPr>
          <w:rFonts w:ascii="Times New Roman" w:hAnsi="Times New Roman" w:cs="Times New Roman"/>
          <w:sz w:val="24"/>
          <w:szCs w:val="24"/>
        </w:rPr>
        <w:drawing>
          <wp:inline distT="0" distB="0" distL="0" distR="0" wp14:anchorId="6DB4BF65" wp14:editId="5C03D7C9">
            <wp:extent cx="5731510" cy="3442970"/>
            <wp:effectExtent l="0" t="0" r="254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pPr>
        <w:rPr>
          <w:rFonts w:ascii="Times New Roman" w:hAnsi="Times New Roman" w:cs="Times New Roman"/>
          <w:sz w:val="24"/>
          <w:szCs w:val="24"/>
        </w:rPr>
      </w:pPr>
      <w:r>
        <w:rPr>
          <w:rFonts w:ascii="Times New Roman" w:hAnsi="Times New Roman" w:cs="Times New Roman"/>
          <w:sz w:val="24"/>
          <w:szCs w:val="24"/>
        </w:rPr>
        <w:br w:type="page"/>
      </w:r>
    </w:p>
    <w:p w:rsidR="00322718" w:rsidRPr="00845D80" w:rsidRDefault="00322718" w:rsidP="00322718">
      <w:pPr>
        <w:pStyle w:val="Heading2"/>
      </w:pPr>
      <w:r w:rsidRPr="00845D80">
        <w:lastRenderedPageBreak/>
        <w:t>Table 1: Baseline parameters</w:t>
      </w:r>
    </w:p>
    <w:p w:rsidR="00322718" w:rsidRDefault="00322718" w:rsidP="00322718">
      <w:pPr>
        <w:rPr>
          <w:rFonts w:ascii="Times New Roman" w:hAnsi="Times New Roman"/>
          <w:b/>
          <w:sz w:val="24"/>
          <w:szCs w:val="24"/>
        </w:rPr>
      </w:pPr>
    </w:p>
    <w:tbl>
      <w:tblPr>
        <w:tblStyle w:val="TableGrid"/>
        <w:tblW w:w="0" w:type="auto"/>
        <w:tblLook w:val="04A0" w:firstRow="1" w:lastRow="0" w:firstColumn="1" w:lastColumn="0" w:noHBand="0" w:noVBand="1"/>
      </w:tblPr>
      <w:tblGrid>
        <w:gridCol w:w="3397"/>
        <w:gridCol w:w="2613"/>
        <w:gridCol w:w="3006"/>
      </w:tblGrid>
      <w:tr w:rsidR="00322718" w:rsidRPr="00322718" w:rsidTr="004F44AD">
        <w:tc>
          <w:tcPr>
            <w:tcW w:w="3397" w:type="dxa"/>
          </w:tcPr>
          <w:p w:rsidR="00322718" w:rsidRDefault="00322718" w:rsidP="004F44AD">
            <w:pPr>
              <w:rPr>
                <w:b/>
                <w:sz w:val="24"/>
                <w:szCs w:val="24"/>
              </w:rPr>
            </w:pPr>
          </w:p>
        </w:tc>
        <w:tc>
          <w:tcPr>
            <w:tcW w:w="2613" w:type="dxa"/>
          </w:tcPr>
          <w:p w:rsidR="00322718" w:rsidRPr="00322718" w:rsidRDefault="00322718" w:rsidP="004F44AD">
            <w:pPr>
              <w:jc w:val="center"/>
              <w:rPr>
                <w:b/>
                <w:sz w:val="22"/>
                <w:szCs w:val="22"/>
              </w:rPr>
            </w:pPr>
            <w:r w:rsidRPr="00322718">
              <w:rPr>
                <w:b/>
                <w:sz w:val="22"/>
                <w:szCs w:val="22"/>
              </w:rPr>
              <w:t>DR-BNI (n=119)</w:t>
            </w:r>
          </w:p>
        </w:tc>
        <w:tc>
          <w:tcPr>
            <w:tcW w:w="3006" w:type="dxa"/>
          </w:tcPr>
          <w:p w:rsidR="00322718" w:rsidRPr="00322718" w:rsidRDefault="00322718" w:rsidP="004F44AD">
            <w:pPr>
              <w:jc w:val="center"/>
              <w:rPr>
                <w:b/>
                <w:sz w:val="22"/>
                <w:szCs w:val="22"/>
              </w:rPr>
            </w:pPr>
            <w:r w:rsidRPr="00322718">
              <w:rPr>
                <w:b/>
                <w:sz w:val="22"/>
                <w:szCs w:val="22"/>
              </w:rPr>
              <w:t>Control (n=122)</w:t>
            </w:r>
          </w:p>
          <w:p w:rsidR="00322718" w:rsidRPr="00322718" w:rsidRDefault="00322718" w:rsidP="004F44AD">
            <w:pPr>
              <w:jc w:val="center"/>
              <w:rPr>
                <w:b/>
                <w:sz w:val="22"/>
                <w:szCs w:val="22"/>
              </w:rPr>
            </w:pP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 xml:space="preserve">Age                      </w:t>
            </w:r>
            <w:r w:rsidRPr="00322718">
              <w:rPr>
                <w:sz w:val="22"/>
                <w:szCs w:val="22"/>
              </w:rPr>
              <w:t>Years mean (s.d.)</w:t>
            </w:r>
          </w:p>
        </w:tc>
        <w:tc>
          <w:tcPr>
            <w:tcW w:w="2613" w:type="dxa"/>
          </w:tcPr>
          <w:p w:rsidR="00322718" w:rsidRPr="00322718" w:rsidRDefault="00322718" w:rsidP="004F44AD">
            <w:pPr>
              <w:jc w:val="center"/>
              <w:rPr>
                <w:sz w:val="22"/>
                <w:szCs w:val="22"/>
              </w:rPr>
            </w:pPr>
            <w:r w:rsidRPr="00322718">
              <w:rPr>
                <w:sz w:val="22"/>
                <w:szCs w:val="22"/>
              </w:rPr>
              <w:t>6.3 (0.8)</w:t>
            </w:r>
          </w:p>
        </w:tc>
        <w:tc>
          <w:tcPr>
            <w:tcW w:w="3006" w:type="dxa"/>
          </w:tcPr>
          <w:p w:rsidR="00322718" w:rsidRPr="00322718" w:rsidRDefault="00322718" w:rsidP="004F44AD">
            <w:pPr>
              <w:jc w:val="center"/>
              <w:rPr>
                <w:sz w:val="22"/>
                <w:szCs w:val="22"/>
              </w:rPr>
            </w:pPr>
            <w:r w:rsidRPr="00322718">
              <w:rPr>
                <w:sz w:val="22"/>
                <w:szCs w:val="22"/>
              </w:rPr>
              <w:t>6.4 (0.8)</w:t>
            </w:r>
          </w:p>
        </w:tc>
      </w:tr>
      <w:tr w:rsidR="00322718" w:rsidRPr="00322718" w:rsidTr="004F44AD">
        <w:tc>
          <w:tcPr>
            <w:tcW w:w="3397" w:type="dxa"/>
          </w:tcPr>
          <w:p w:rsidR="00322718" w:rsidRPr="00322718" w:rsidRDefault="00322718" w:rsidP="004F44AD">
            <w:pPr>
              <w:rPr>
                <w:sz w:val="22"/>
                <w:szCs w:val="22"/>
              </w:rPr>
            </w:pPr>
            <w:r w:rsidRPr="00322718">
              <w:rPr>
                <w:b/>
                <w:sz w:val="22"/>
                <w:szCs w:val="22"/>
              </w:rPr>
              <w:t xml:space="preserve">                                               </w:t>
            </w:r>
            <w:r w:rsidRPr="00322718">
              <w:rPr>
                <w:sz w:val="22"/>
                <w:szCs w:val="22"/>
              </w:rPr>
              <w:t>Range</w:t>
            </w:r>
          </w:p>
        </w:tc>
        <w:tc>
          <w:tcPr>
            <w:tcW w:w="2613" w:type="dxa"/>
          </w:tcPr>
          <w:p w:rsidR="00322718" w:rsidRPr="00322718" w:rsidRDefault="00322718" w:rsidP="004F44AD">
            <w:pPr>
              <w:jc w:val="center"/>
              <w:rPr>
                <w:sz w:val="22"/>
                <w:szCs w:val="22"/>
              </w:rPr>
            </w:pPr>
            <w:r w:rsidRPr="00322718">
              <w:rPr>
                <w:sz w:val="22"/>
                <w:szCs w:val="22"/>
              </w:rPr>
              <w:t>4.8, 8.0</w:t>
            </w:r>
          </w:p>
        </w:tc>
        <w:tc>
          <w:tcPr>
            <w:tcW w:w="3006" w:type="dxa"/>
          </w:tcPr>
          <w:p w:rsidR="00322718" w:rsidRPr="00322718" w:rsidRDefault="00322718" w:rsidP="004F44AD">
            <w:pPr>
              <w:jc w:val="center"/>
              <w:rPr>
                <w:sz w:val="22"/>
                <w:szCs w:val="22"/>
              </w:rPr>
            </w:pPr>
            <w:r w:rsidRPr="00322718">
              <w:rPr>
                <w:sz w:val="22"/>
                <w:szCs w:val="22"/>
              </w:rPr>
              <w:t>4.9, 8.0</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 xml:space="preserve">Gender    </w:t>
            </w:r>
          </w:p>
        </w:tc>
        <w:tc>
          <w:tcPr>
            <w:tcW w:w="2613" w:type="dxa"/>
          </w:tcPr>
          <w:p w:rsidR="00322718" w:rsidRPr="00322718" w:rsidRDefault="00322718" w:rsidP="004F44AD">
            <w:pPr>
              <w:jc w:val="center"/>
              <w:rPr>
                <w:b/>
                <w:sz w:val="22"/>
                <w:szCs w:val="22"/>
              </w:rPr>
            </w:pPr>
          </w:p>
        </w:tc>
        <w:tc>
          <w:tcPr>
            <w:tcW w:w="3006" w:type="dxa"/>
          </w:tcPr>
          <w:p w:rsidR="00322718" w:rsidRPr="00322718" w:rsidRDefault="00322718" w:rsidP="004F44AD">
            <w:pPr>
              <w:jc w:val="center"/>
              <w:rPr>
                <w:b/>
                <w:sz w:val="22"/>
                <w:szCs w:val="22"/>
              </w:rPr>
            </w:pP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Female</w:t>
            </w:r>
          </w:p>
        </w:tc>
        <w:tc>
          <w:tcPr>
            <w:tcW w:w="2613" w:type="dxa"/>
          </w:tcPr>
          <w:p w:rsidR="00322718" w:rsidRPr="00322718" w:rsidRDefault="00322718" w:rsidP="004F44AD">
            <w:pPr>
              <w:jc w:val="center"/>
              <w:rPr>
                <w:sz w:val="22"/>
                <w:szCs w:val="22"/>
              </w:rPr>
            </w:pPr>
            <w:r w:rsidRPr="00322718">
              <w:rPr>
                <w:sz w:val="22"/>
                <w:szCs w:val="22"/>
              </w:rPr>
              <w:t>63 (53%)</w:t>
            </w:r>
          </w:p>
        </w:tc>
        <w:tc>
          <w:tcPr>
            <w:tcW w:w="3006" w:type="dxa"/>
          </w:tcPr>
          <w:p w:rsidR="00322718" w:rsidRPr="00322718" w:rsidRDefault="00322718" w:rsidP="004F44AD">
            <w:pPr>
              <w:jc w:val="center"/>
              <w:rPr>
                <w:sz w:val="22"/>
                <w:szCs w:val="22"/>
              </w:rPr>
            </w:pPr>
            <w:r w:rsidRPr="00322718">
              <w:rPr>
                <w:sz w:val="22"/>
                <w:szCs w:val="22"/>
              </w:rPr>
              <w:t>61 (50%)</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Male</w:t>
            </w:r>
          </w:p>
        </w:tc>
        <w:tc>
          <w:tcPr>
            <w:tcW w:w="2613" w:type="dxa"/>
          </w:tcPr>
          <w:p w:rsidR="00322718" w:rsidRPr="00322718" w:rsidRDefault="00322718" w:rsidP="004F44AD">
            <w:pPr>
              <w:jc w:val="center"/>
              <w:rPr>
                <w:sz w:val="22"/>
                <w:szCs w:val="22"/>
              </w:rPr>
            </w:pPr>
            <w:r w:rsidRPr="00322718">
              <w:rPr>
                <w:sz w:val="22"/>
                <w:szCs w:val="22"/>
              </w:rPr>
              <w:t>56 (47%)</w:t>
            </w:r>
          </w:p>
        </w:tc>
        <w:tc>
          <w:tcPr>
            <w:tcW w:w="3006" w:type="dxa"/>
          </w:tcPr>
          <w:p w:rsidR="00322718" w:rsidRPr="00322718" w:rsidRDefault="00322718" w:rsidP="004F44AD">
            <w:pPr>
              <w:jc w:val="center"/>
              <w:rPr>
                <w:sz w:val="22"/>
                <w:szCs w:val="22"/>
              </w:rPr>
            </w:pPr>
            <w:r w:rsidRPr="00322718">
              <w:rPr>
                <w:sz w:val="22"/>
                <w:szCs w:val="22"/>
              </w:rPr>
              <w:t>61 (50%)</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 xml:space="preserve">Mother’s education </w:t>
            </w:r>
          </w:p>
        </w:tc>
        <w:tc>
          <w:tcPr>
            <w:tcW w:w="2613" w:type="dxa"/>
          </w:tcPr>
          <w:p w:rsidR="00322718" w:rsidRPr="00322718" w:rsidRDefault="00322718" w:rsidP="004F44AD">
            <w:pPr>
              <w:jc w:val="center"/>
              <w:rPr>
                <w:b/>
                <w:sz w:val="22"/>
                <w:szCs w:val="22"/>
              </w:rPr>
            </w:pPr>
          </w:p>
        </w:tc>
        <w:tc>
          <w:tcPr>
            <w:tcW w:w="3006" w:type="dxa"/>
          </w:tcPr>
          <w:p w:rsidR="00322718" w:rsidRPr="00322718" w:rsidRDefault="00322718" w:rsidP="004F44AD">
            <w:pPr>
              <w:jc w:val="center"/>
              <w:rPr>
                <w:b/>
                <w:sz w:val="22"/>
                <w:szCs w:val="22"/>
              </w:rPr>
            </w:pP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No formal education/ Primary school</w:t>
            </w:r>
          </w:p>
        </w:tc>
        <w:tc>
          <w:tcPr>
            <w:tcW w:w="2613" w:type="dxa"/>
          </w:tcPr>
          <w:p w:rsidR="00322718" w:rsidRPr="00322718" w:rsidRDefault="00322718" w:rsidP="004F44AD">
            <w:pPr>
              <w:jc w:val="center"/>
              <w:rPr>
                <w:sz w:val="22"/>
                <w:szCs w:val="22"/>
              </w:rPr>
            </w:pPr>
          </w:p>
          <w:p w:rsidR="00322718" w:rsidRPr="00322718" w:rsidRDefault="00322718" w:rsidP="004F44AD">
            <w:pPr>
              <w:jc w:val="center"/>
              <w:rPr>
                <w:sz w:val="22"/>
                <w:szCs w:val="22"/>
              </w:rPr>
            </w:pPr>
            <w:r w:rsidRPr="00322718">
              <w:rPr>
                <w:sz w:val="22"/>
                <w:szCs w:val="22"/>
              </w:rPr>
              <w:t>6 (5%)</w:t>
            </w:r>
          </w:p>
        </w:tc>
        <w:tc>
          <w:tcPr>
            <w:tcW w:w="3006" w:type="dxa"/>
          </w:tcPr>
          <w:p w:rsidR="00322718" w:rsidRPr="00322718" w:rsidRDefault="00322718" w:rsidP="004F44AD">
            <w:pPr>
              <w:jc w:val="center"/>
              <w:rPr>
                <w:sz w:val="22"/>
                <w:szCs w:val="22"/>
              </w:rPr>
            </w:pPr>
          </w:p>
          <w:p w:rsidR="00322718" w:rsidRPr="00322718" w:rsidRDefault="00322718" w:rsidP="004F44AD">
            <w:pPr>
              <w:jc w:val="center"/>
              <w:rPr>
                <w:sz w:val="22"/>
                <w:szCs w:val="22"/>
              </w:rPr>
            </w:pPr>
            <w:r w:rsidRPr="00322718">
              <w:rPr>
                <w:sz w:val="22"/>
                <w:szCs w:val="22"/>
              </w:rPr>
              <w:t>6 (5%)</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Secondary school</w:t>
            </w:r>
          </w:p>
        </w:tc>
        <w:tc>
          <w:tcPr>
            <w:tcW w:w="2613" w:type="dxa"/>
          </w:tcPr>
          <w:p w:rsidR="00322718" w:rsidRPr="00322718" w:rsidRDefault="00322718" w:rsidP="004F44AD">
            <w:pPr>
              <w:jc w:val="center"/>
              <w:rPr>
                <w:rFonts w:cs="Arial"/>
                <w:sz w:val="22"/>
                <w:szCs w:val="22"/>
              </w:rPr>
            </w:pPr>
            <w:r w:rsidRPr="00322718">
              <w:rPr>
                <w:rFonts w:cs="Arial"/>
                <w:sz w:val="22"/>
                <w:szCs w:val="22"/>
              </w:rPr>
              <w:t>34 (29%)</w:t>
            </w:r>
          </w:p>
        </w:tc>
        <w:tc>
          <w:tcPr>
            <w:tcW w:w="3006" w:type="dxa"/>
          </w:tcPr>
          <w:p w:rsidR="00322718" w:rsidRPr="00322718" w:rsidRDefault="00322718" w:rsidP="004F44AD">
            <w:pPr>
              <w:jc w:val="center"/>
              <w:rPr>
                <w:rFonts w:cs="Arial"/>
                <w:sz w:val="22"/>
                <w:szCs w:val="22"/>
              </w:rPr>
            </w:pPr>
            <w:r w:rsidRPr="00322718">
              <w:rPr>
                <w:rFonts w:cs="Arial"/>
                <w:sz w:val="22"/>
                <w:szCs w:val="22"/>
              </w:rPr>
              <w:t>30 (25%)</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Further education (college)</w:t>
            </w:r>
          </w:p>
        </w:tc>
        <w:tc>
          <w:tcPr>
            <w:tcW w:w="2613" w:type="dxa"/>
          </w:tcPr>
          <w:p w:rsidR="00322718" w:rsidRPr="00322718" w:rsidRDefault="00322718" w:rsidP="004F44AD">
            <w:pPr>
              <w:jc w:val="center"/>
              <w:rPr>
                <w:rFonts w:cs="Arial"/>
                <w:sz w:val="22"/>
                <w:szCs w:val="22"/>
              </w:rPr>
            </w:pPr>
            <w:r w:rsidRPr="00322718">
              <w:rPr>
                <w:rFonts w:cs="Arial"/>
                <w:sz w:val="22"/>
                <w:szCs w:val="22"/>
              </w:rPr>
              <w:t>34 (29%)</w:t>
            </w:r>
          </w:p>
        </w:tc>
        <w:tc>
          <w:tcPr>
            <w:tcW w:w="3006" w:type="dxa"/>
          </w:tcPr>
          <w:p w:rsidR="00322718" w:rsidRPr="00322718" w:rsidRDefault="00322718" w:rsidP="004F44AD">
            <w:pPr>
              <w:jc w:val="center"/>
              <w:rPr>
                <w:rFonts w:cs="Arial"/>
                <w:sz w:val="22"/>
                <w:szCs w:val="22"/>
              </w:rPr>
            </w:pPr>
            <w:r w:rsidRPr="00322718">
              <w:rPr>
                <w:rFonts w:cs="Arial"/>
                <w:sz w:val="22"/>
                <w:szCs w:val="22"/>
              </w:rPr>
              <w:t>46 (38%)</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Higher education (university)</w:t>
            </w:r>
          </w:p>
        </w:tc>
        <w:tc>
          <w:tcPr>
            <w:tcW w:w="2613" w:type="dxa"/>
          </w:tcPr>
          <w:p w:rsidR="00322718" w:rsidRPr="00322718" w:rsidRDefault="00322718" w:rsidP="004F44AD">
            <w:pPr>
              <w:jc w:val="center"/>
              <w:rPr>
                <w:rFonts w:cs="Arial"/>
                <w:sz w:val="22"/>
                <w:szCs w:val="22"/>
              </w:rPr>
            </w:pPr>
            <w:r w:rsidRPr="00322718">
              <w:rPr>
                <w:rFonts w:cs="Arial"/>
                <w:sz w:val="22"/>
                <w:szCs w:val="22"/>
              </w:rPr>
              <w:t>34 (29%)</w:t>
            </w:r>
          </w:p>
        </w:tc>
        <w:tc>
          <w:tcPr>
            <w:tcW w:w="3006" w:type="dxa"/>
          </w:tcPr>
          <w:p w:rsidR="00322718" w:rsidRPr="00322718" w:rsidRDefault="00322718" w:rsidP="004F44AD">
            <w:pPr>
              <w:jc w:val="center"/>
              <w:rPr>
                <w:rFonts w:cs="Arial"/>
                <w:sz w:val="22"/>
                <w:szCs w:val="22"/>
              </w:rPr>
            </w:pPr>
            <w:r w:rsidRPr="00322718">
              <w:rPr>
                <w:rFonts w:cs="Arial"/>
                <w:sz w:val="22"/>
                <w:szCs w:val="22"/>
              </w:rPr>
              <w:t>27 (22%)</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 xml:space="preserve">                                   Missing</w:t>
            </w:r>
          </w:p>
        </w:tc>
        <w:tc>
          <w:tcPr>
            <w:tcW w:w="2613" w:type="dxa"/>
          </w:tcPr>
          <w:p w:rsidR="00322718" w:rsidRPr="00322718" w:rsidRDefault="00322718" w:rsidP="004F44AD">
            <w:pPr>
              <w:jc w:val="center"/>
              <w:rPr>
                <w:rFonts w:cs="Arial"/>
                <w:sz w:val="22"/>
                <w:szCs w:val="22"/>
              </w:rPr>
            </w:pPr>
            <w:r w:rsidRPr="00322718">
              <w:rPr>
                <w:rFonts w:cs="Arial"/>
                <w:sz w:val="22"/>
                <w:szCs w:val="22"/>
              </w:rPr>
              <w:t>11 (9%)</w:t>
            </w:r>
          </w:p>
        </w:tc>
        <w:tc>
          <w:tcPr>
            <w:tcW w:w="3006" w:type="dxa"/>
          </w:tcPr>
          <w:p w:rsidR="00322718" w:rsidRPr="00322718" w:rsidRDefault="00322718" w:rsidP="004F44AD">
            <w:pPr>
              <w:jc w:val="center"/>
              <w:rPr>
                <w:rFonts w:cs="Arial"/>
                <w:sz w:val="22"/>
                <w:szCs w:val="22"/>
              </w:rPr>
            </w:pPr>
            <w:r w:rsidRPr="00322718">
              <w:rPr>
                <w:rFonts w:cs="Arial"/>
                <w:sz w:val="22"/>
                <w:szCs w:val="22"/>
              </w:rPr>
              <w:t>13 (11%)</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Sweets consumption</w:t>
            </w:r>
            <w:r w:rsidRPr="00322718">
              <w:rPr>
                <w:b/>
                <w:sz w:val="22"/>
                <w:szCs w:val="22"/>
                <w:vertAlign w:val="superscript"/>
              </w:rPr>
              <w:t>1</w:t>
            </w:r>
            <w:r w:rsidRPr="00322718">
              <w:rPr>
                <w:b/>
                <w:sz w:val="22"/>
                <w:szCs w:val="22"/>
              </w:rPr>
              <w:t xml:space="preserve"> </w:t>
            </w:r>
          </w:p>
        </w:tc>
        <w:tc>
          <w:tcPr>
            <w:tcW w:w="2613" w:type="dxa"/>
          </w:tcPr>
          <w:p w:rsidR="00322718" w:rsidRPr="00322718" w:rsidRDefault="00322718" w:rsidP="004F44AD">
            <w:pPr>
              <w:jc w:val="center"/>
              <w:rPr>
                <w:b/>
                <w:sz w:val="24"/>
                <w:szCs w:val="24"/>
              </w:rPr>
            </w:pPr>
          </w:p>
        </w:tc>
        <w:tc>
          <w:tcPr>
            <w:tcW w:w="3006" w:type="dxa"/>
          </w:tcPr>
          <w:p w:rsidR="00322718" w:rsidRPr="00322718" w:rsidRDefault="00322718" w:rsidP="004F44AD">
            <w:pPr>
              <w:jc w:val="center"/>
              <w:rPr>
                <w:b/>
                <w:sz w:val="24"/>
                <w:szCs w:val="24"/>
              </w:rPr>
            </w:pPr>
          </w:p>
        </w:tc>
      </w:tr>
      <w:tr w:rsidR="00322718" w:rsidRPr="00322718" w:rsidTr="004F44AD">
        <w:tc>
          <w:tcPr>
            <w:tcW w:w="3397" w:type="dxa"/>
          </w:tcPr>
          <w:p w:rsidR="00322718" w:rsidRPr="00322718" w:rsidRDefault="00322718" w:rsidP="004F44AD">
            <w:pPr>
              <w:jc w:val="right"/>
              <w:rPr>
                <w:rFonts w:cs="Arial"/>
                <w:sz w:val="22"/>
                <w:szCs w:val="22"/>
              </w:rPr>
            </w:pPr>
          </w:p>
          <w:p w:rsidR="00322718" w:rsidRPr="00322718" w:rsidRDefault="00322718" w:rsidP="004F44AD">
            <w:pPr>
              <w:jc w:val="right"/>
              <w:rPr>
                <w:rFonts w:cs="Arial"/>
                <w:sz w:val="22"/>
                <w:szCs w:val="22"/>
              </w:rPr>
            </w:pPr>
            <w:r w:rsidRPr="00322718">
              <w:rPr>
                <w:rFonts w:cs="Arial"/>
                <w:sz w:val="22"/>
                <w:szCs w:val="22"/>
              </w:rPr>
              <w:t>Every day/most days</w:t>
            </w:r>
          </w:p>
        </w:tc>
        <w:tc>
          <w:tcPr>
            <w:tcW w:w="2613"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64 (54%)</w:t>
            </w:r>
          </w:p>
        </w:tc>
        <w:tc>
          <w:tcPr>
            <w:tcW w:w="3006"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68 (56%)</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Once a week/occasionally/never</w:t>
            </w:r>
          </w:p>
        </w:tc>
        <w:tc>
          <w:tcPr>
            <w:tcW w:w="2613" w:type="dxa"/>
          </w:tcPr>
          <w:p w:rsidR="00322718" w:rsidRPr="00322718" w:rsidRDefault="00322718" w:rsidP="004F44AD">
            <w:pPr>
              <w:jc w:val="center"/>
              <w:rPr>
                <w:rFonts w:cs="Arial"/>
                <w:sz w:val="22"/>
                <w:szCs w:val="22"/>
              </w:rPr>
            </w:pPr>
            <w:r w:rsidRPr="00322718">
              <w:rPr>
                <w:rFonts w:cs="Arial"/>
                <w:sz w:val="22"/>
                <w:szCs w:val="22"/>
              </w:rPr>
              <w:t>46 (39%)</w:t>
            </w:r>
          </w:p>
        </w:tc>
        <w:tc>
          <w:tcPr>
            <w:tcW w:w="3006" w:type="dxa"/>
          </w:tcPr>
          <w:p w:rsidR="00322718" w:rsidRPr="00322718" w:rsidRDefault="00322718" w:rsidP="004F44AD">
            <w:pPr>
              <w:jc w:val="center"/>
              <w:rPr>
                <w:rFonts w:cs="Arial"/>
                <w:sz w:val="22"/>
                <w:szCs w:val="22"/>
              </w:rPr>
            </w:pPr>
            <w:r w:rsidRPr="00322718">
              <w:rPr>
                <w:rFonts w:cs="Arial"/>
                <w:sz w:val="22"/>
                <w:szCs w:val="22"/>
              </w:rPr>
              <w:t>50 (41%)</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Missing</w:t>
            </w:r>
          </w:p>
        </w:tc>
        <w:tc>
          <w:tcPr>
            <w:tcW w:w="2613" w:type="dxa"/>
          </w:tcPr>
          <w:p w:rsidR="00322718" w:rsidRPr="00322718" w:rsidRDefault="00322718" w:rsidP="004F44AD">
            <w:pPr>
              <w:jc w:val="center"/>
              <w:rPr>
                <w:rFonts w:cs="Arial"/>
                <w:sz w:val="22"/>
                <w:szCs w:val="22"/>
              </w:rPr>
            </w:pPr>
            <w:r w:rsidRPr="00322718">
              <w:rPr>
                <w:rFonts w:cs="Arial"/>
                <w:sz w:val="22"/>
                <w:szCs w:val="22"/>
              </w:rPr>
              <w:t>9 (8%)</w:t>
            </w:r>
          </w:p>
        </w:tc>
        <w:tc>
          <w:tcPr>
            <w:tcW w:w="3006" w:type="dxa"/>
          </w:tcPr>
          <w:p w:rsidR="00322718" w:rsidRPr="00322718" w:rsidRDefault="00322718" w:rsidP="004F44AD">
            <w:pPr>
              <w:jc w:val="center"/>
              <w:rPr>
                <w:rFonts w:cs="Arial"/>
                <w:sz w:val="22"/>
                <w:szCs w:val="22"/>
              </w:rPr>
            </w:pPr>
            <w:r w:rsidRPr="00322718">
              <w:rPr>
                <w:rFonts w:cs="Arial"/>
                <w:sz w:val="22"/>
                <w:szCs w:val="22"/>
              </w:rPr>
              <w:t>4 (3%)</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Sugary drinks consumption</w:t>
            </w:r>
            <w:r w:rsidRPr="00322718">
              <w:rPr>
                <w:b/>
                <w:sz w:val="22"/>
                <w:szCs w:val="22"/>
                <w:vertAlign w:val="superscript"/>
              </w:rPr>
              <w:t>1</w:t>
            </w:r>
            <w:r w:rsidRPr="00322718">
              <w:rPr>
                <w:b/>
                <w:sz w:val="22"/>
                <w:szCs w:val="22"/>
              </w:rPr>
              <w:t xml:space="preserve"> </w:t>
            </w:r>
          </w:p>
        </w:tc>
        <w:tc>
          <w:tcPr>
            <w:tcW w:w="2613" w:type="dxa"/>
          </w:tcPr>
          <w:p w:rsidR="00322718" w:rsidRPr="00322718" w:rsidRDefault="00322718" w:rsidP="004F44AD">
            <w:pPr>
              <w:jc w:val="center"/>
              <w:rPr>
                <w:b/>
                <w:sz w:val="24"/>
                <w:szCs w:val="24"/>
              </w:rPr>
            </w:pPr>
          </w:p>
        </w:tc>
        <w:tc>
          <w:tcPr>
            <w:tcW w:w="3006" w:type="dxa"/>
          </w:tcPr>
          <w:p w:rsidR="00322718" w:rsidRPr="00322718" w:rsidRDefault="00322718" w:rsidP="004F44AD">
            <w:pPr>
              <w:jc w:val="center"/>
              <w:rPr>
                <w:b/>
                <w:sz w:val="24"/>
                <w:szCs w:val="24"/>
              </w:rPr>
            </w:pPr>
          </w:p>
        </w:tc>
      </w:tr>
      <w:tr w:rsidR="00322718" w:rsidRPr="00322718" w:rsidTr="004F44AD">
        <w:tc>
          <w:tcPr>
            <w:tcW w:w="3397" w:type="dxa"/>
          </w:tcPr>
          <w:p w:rsidR="00322718" w:rsidRPr="00322718" w:rsidRDefault="00322718" w:rsidP="004F44AD">
            <w:pPr>
              <w:rPr>
                <w:rFonts w:cs="Arial"/>
                <w:sz w:val="22"/>
                <w:szCs w:val="22"/>
              </w:rPr>
            </w:pPr>
          </w:p>
          <w:p w:rsidR="00322718" w:rsidRPr="00322718" w:rsidRDefault="00322718" w:rsidP="004F44AD">
            <w:pPr>
              <w:jc w:val="right"/>
              <w:rPr>
                <w:rFonts w:cs="Arial"/>
                <w:sz w:val="22"/>
                <w:szCs w:val="22"/>
              </w:rPr>
            </w:pPr>
            <w:r w:rsidRPr="00322718">
              <w:rPr>
                <w:rFonts w:cs="Arial"/>
                <w:sz w:val="22"/>
                <w:szCs w:val="22"/>
              </w:rPr>
              <w:t>Every day/most days</w:t>
            </w:r>
          </w:p>
        </w:tc>
        <w:tc>
          <w:tcPr>
            <w:tcW w:w="2613"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43 (36%)</w:t>
            </w:r>
          </w:p>
        </w:tc>
        <w:tc>
          <w:tcPr>
            <w:tcW w:w="3006"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57 (47%)</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Once a week/occasionally/never</w:t>
            </w:r>
          </w:p>
        </w:tc>
        <w:tc>
          <w:tcPr>
            <w:tcW w:w="2613" w:type="dxa"/>
          </w:tcPr>
          <w:p w:rsidR="00322718" w:rsidRPr="00322718" w:rsidRDefault="00322718" w:rsidP="004F44AD">
            <w:pPr>
              <w:jc w:val="center"/>
              <w:rPr>
                <w:rFonts w:cs="Arial"/>
                <w:sz w:val="22"/>
                <w:szCs w:val="22"/>
              </w:rPr>
            </w:pPr>
            <w:r w:rsidRPr="00322718">
              <w:rPr>
                <w:rFonts w:cs="Arial"/>
                <w:sz w:val="22"/>
                <w:szCs w:val="22"/>
              </w:rPr>
              <w:t>66 (56%)</w:t>
            </w:r>
          </w:p>
        </w:tc>
        <w:tc>
          <w:tcPr>
            <w:tcW w:w="3006" w:type="dxa"/>
          </w:tcPr>
          <w:p w:rsidR="00322718" w:rsidRPr="00322718" w:rsidRDefault="00322718" w:rsidP="004F44AD">
            <w:pPr>
              <w:jc w:val="center"/>
              <w:rPr>
                <w:rFonts w:cs="Arial"/>
                <w:sz w:val="22"/>
                <w:szCs w:val="22"/>
              </w:rPr>
            </w:pPr>
            <w:r w:rsidRPr="00322718">
              <w:rPr>
                <w:rFonts w:cs="Arial"/>
                <w:sz w:val="22"/>
                <w:szCs w:val="22"/>
              </w:rPr>
              <w:t>61 (50%)</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Missing</w:t>
            </w:r>
          </w:p>
        </w:tc>
        <w:tc>
          <w:tcPr>
            <w:tcW w:w="2613" w:type="dxa"/>
          </w:tcPr>
          <w:p w:rsidR="00322718" w:rsidRPr="00322718" w:rsidRDefault="00322718" w:rsidP="004F44AD">
            <w:pPr>
              <w:jc w:val="center"/>
              <w:rPr>
                <w:rFonts w:cs="Arial"/>
                <w:sz w:val="22"/>
                <w:szCs w:val="22"/>
              </w:rPr>
            </w:pPr>
            <w:r w:rsidRPr="00322718">
              <w:rPr>
                <w:rFonts w:cs="Arial"/>
                <w:sz w:val="22"/>
                <w:szCs w:val="22"/>
              </w:rPr>
              <w:t>10 (8%)</w:t>
            </w:r>
          </w:p>
        </w:tc>
        <w:tc>
          <w:tcPr>
            <w:tcW w:w="3006" w:type="dxa"/>
          </w:tcPr>
          <w:p w:rsidR="00322718" w:rsidRPr="00322718" w:rsidRDefault="00322718" w:rsidP="004F44AD">
            <w:pPr>
              <w:jc w:val="center"/>
              <w:rPr>
                <w:rFonts w:cs="Arial"/>
                <w:sz w:val="22"/>
                <w:szCs w:val="22"/>
              </w:rPr>
            </w:pPr>
            <w:r w:rsidRPr="00322718">
              <w:rPr>
                <w:rFonts w:cs="Arial"/>
                <w:sz w:val="22"/>
                <w:szCs w:val="22"/>
              </w:rPr>
              <w:t>4 (3%)</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Toothbrushing</w:t>
            </w:r>
            <w:r w:rsidRPr="00322718">
              <w:rPr>
                <w:b/>
                <w:sz w:val="22"/>
                <w:szCs w:val="22"/>
                <w:vertAlign w:val="superscript"/>
              </w:rPr>
              <w:t>1</w:t>
            </w:r>
            <w:r w:rsidRPr="00322718">
              <w:rPr>
                <w:b/>
                <w:sz w:val="22"/>
                <w:szCs w:val="22"/>
              </w:rPr>
              <w:t xml:space="preserve"> </w:t>
            </w:r>
          </w:p>
        </w:tc>
        <w:tc>
          <w:tcPr>
            <w:tcW w:w="2613" w:type="dxa"/>
          </w:tcPr>
          <w:p w:rsidR="00322718" w:rsidRPr="00322718" w:rsidRDefault="00322718" w:rsidP="004F44AD">
            <w:pPr>
              <w:jc w:val="center"/>
              <w:rPr>
                <w:b/>
                <w:sz w:val="24"/>
                <w:szCs w:val="24"/>
              </w:rPr>
            </w:pPr>
          </w:p>
        </w:tc>
        <w:tc>
          <w:tcPr>
            <w:tcW w:w="3006" w:type="dxa"/>
          </w:tcPr>
          <w:p w:rsidR="00322718" w:rsidRPr="00322718" w:rsidRDefault="00322718" w:rsidP="004F44AD">
            <w:pPr>
              <w:jc w:val="center"/>
              <w:rPr>
                <w:b/>
                <w:sz w:val="24"/>
                <w:szCs w:val="24"/>
              </w:rPr>
            </w:pPr>
          </w:p>
        </w:tc>
      </w:tr>
      <w:tr w:rsidR="00322718" w:rsidRPr="00322718" w:rsidTr="004F44AD">
        <w:tc>
          <w:tcPr>
            <w:tcW w:w="3397" w:type="dxa"/>
          </w:tcPr>
          <w:p w:rsidR="00322718" w:rsidRPr="00322718" w:rsidRDefault="00322718" w:rsidP="004F44AD">
            <w:pPr>
              <w:jc w:val="right"/>
              <w:rPr>
                <w:rFonts w:cs="Arial"/>
                <w:sz w:val="22"/>
                <w:szCs w:val="22"/>
              </w:rPr>
            </w:pPr>
          </w:p>
          <w:p w:rsidR="00322718" w:rsidRPr="00322718" w:rsidRDefault="00322718" w:rsidP="004F44AD">
            <w:pPr>
              <w:jc w:val="right"/>
              <w:rPr>
                <w:rFonts w:cs="Arial"/>
                <w:sz w:val="22"/>
                <w:szCs w:val="22"/>
              </w:rPr>
            </w:pPr>
            <w:r w:rsidRPr="00322718">
              <w:rPr>
                <w:rFonts w:cs="Arial"/>
                <w:sz w:val="22"/>
                <w:szCs w:val="22"/>
              </w:rPr>
              <w:t>Twice/three times a day</w:t>
            </w:r>
          </w:p>
        </w:tc>
        <w:tc>
          <w:tcPr>
            <w:tcW w:w="2613"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94 (79%)</w:t>
            </w:r>
          </w:p>
        </w:tc>
        <w:tc>
          <w:tcPr>
            <w:tcW w:w="3006" w:type="dxa"/>
          </w:tcPr>
          <w:p w:rsidR="00322718" w:rsidRPr="00322718" w:rsidRDefault="00322718" w:rsidP="004F44AD">
            <w:pPr>
              <w:jc w:val="center"/>
              <w:rPr>
                <w:rFonts w:cs="Arial"/>
                <w:sz w:val="22"/>
                <w:szCs w:val="22"/>
              </w:rPr>
            </w:pPr>
          </w:p>
          <w:p w:rsidR="00322718" w:rsidRPr="00322718" w:rsidRDefault="00322718" w:rsidP="004F44AD">
            <w:pPr>
              <w:jc w:val="center"/>
              <w:rPr>
                <w:rFonts w:cs="Arial"/>
                <w:sz w:val="22"/>
                <w:szCs w:val="22"/>
              </w:rPr>
            </w:pPr>
            <w:r w:rsidRPr="00322718">
              <w:rPr>
                <w:rFonts w:cs="Arial"/>
                <w:sz w:val="22"/>
                <w:szCs w:val="22"/>
              </w:rPr>
              <w:t>99 (81%)</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Not every day/once a day</w:t>
            </w:r>
          </w:p>
        </w:tc>
        <w:tc>
          <w:tcPr>
            <w:tcW w:w="2613" w:type="dxa"/>
          </w:tcPr>
          <w:p w:rsidR="00322718" w:rsidRPr="00322718" w:rsidRDefault="00322718" w:rsidP="004F44AD">
            <w:pPr>
              <w:jc w:val="center"/>
              <w:rPr>
                <w:rFonts w:cs="Arial"/>
                <w:sz w:val="22"/>
                <w:szCs w:val="22"/>
              </w:rPr>
            </w:pPr>
            <w:r w:rsidRPr="00322718">
              <w:rPr>
                <w:rFonts w:cs="Arial"/>
                <w:sz w:val="22"/>
                <w:szCs w:val="22"/>
              </w:rPr>
              <w:t>19 (16%)</w:t>
            </w:r>
          </w:p>
        </w:tc>
        <w:tc>
          <w:tcPr>
            <w:tcW w:w="3006" w:type="dxa"/>
          </w:tcPr>
          <w:p w:rsidR="00322718" w:rsidRPr="00322718" w:rsidRDefault="00322718" w:rsidP="004F44AD">
            <w:pPr>
              <w:jc w:val="center"/>
              <w:rPr>
                <w:rFonts w:cs="Arial"/>
                <w:sz w:val="22"/>
                <w:szCs w:val="22"/>
              </w:rPr>
            </w:pPr>
            <w:r w:rsidRPr="00322718">
              <w:rPr>
                <w:rFonts w:cs="Arial"/>
                <w:sz w:val="22"/>
                <w:szCs w:val="22"/>
              </w:rPr>
              <w:t>20 (16%)</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Missing</w:t>
            </w:r>
          </w:p>
        </w:tc>
        <w:tc>
          <w:tcPr>
            <w:tcW w:w="2613" w:type="dxa"/>
          </w:tcPr>
          <w:p w:rsidR="00322718" w:rsidRPr="00322718" w:rsidRDefault="00322718" w:rsidP="004F44AD">
            <w:pPr>
              <w:jc w:val="center"/>
              <w:rPr>
                <w:rFonts w:cs="Arial"/>
                <w:sz w:val="22"/>
                <w:szCs w:val="22"/>
              </w:rPr>
            </w:pPr>
            <w:r w:rsidRPr="00322718">
              <w:rPr>
                <w:rFonts w:cs="Arial"/>
                <w:sz w:val="22"/>
                <w:szCs w:val="22"/>
              </w:rPr>
              <w:t>6 (5%)</w:t>
            </w:r>
          </w:p>
        </w:tc>
        <w:tc>
          <w:tcPr>
            <w:tcW w:w="3006" w:type="dxa"/>
          </w:tcPr>
          <w:p w:rsidR="00322718" w:rsidRPr="00322718" w:rsidRDefault="00322718" w:rsidP="004F44AD">
            <w:pPr>
              <w:jc w:val="center"/>
              <w:rPr>
                <w:rFonts w:cs="Arial"/>
                <w:sz w:val="22"/>
                <w:szCs w:val="22"/>
              </w:rPr>
            </w:pPr>
            <w:r w:rsidRPr="00322718">
              <w:rPr>
                <w:rFonts w:cs="Arial"/>
                <w:sz w:val="22"/>
                <w:szCs w:val="22"/>
              </w:rPr>
              <w:t>3 (3%)</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dmft</w:t>
            </w:r>
          </w:p>
        </w:tc>
        <w:tc>
          <w:tcPr>
            <w:tcW w:w="2613" w:type="dxa"/>
          </w:tcPr>
          <w:p w:rsidR="00322718" w:rsidRPr="00322718" w:rsidRDefault="00322718" w:rsidP="004F44AD">
            <w:pPr>
              <w:rPr>
                <w:b/>
                <w:sz w:val="22"/>
                <w:szCs w:val="22"/>
              </w:rPr>
            </w:pPr>
          </w:p>
        </w:tc>
        <w:tc>
          <w:tcPr>
            <w:tcW w:w="3006" w:type="dxa"/>
          </w:tcPr>
          <w:p w:rsidR="00322718" w:rsidRPr="00322718" w:rsidRDefault="00322718" w:rsidP="004F44AD">
            <w:pPr>
              <w:rPr>
                <w:b/>
                <w:sz w:val="22"/>
                <w:szCs w:val="22"/>
              </w:rPr>
            </w:pP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Mean (s.d.)</w:t>
            </w:r>
          </w:p>
        </w:tc>
        <w:tc>
          <w:tcPr>
            <w:tcW w:w="2613" w:type="dxa"/>
          </w:tcPr>
          <w:p w:rsidR="00322718" w:rsidRPr="00322718" w:rsidRDefault="00322718" w:rsidP="004F44AD">
            <w:pPr>
              <w:jc w:val="center"/>
              <w:rPr>
                <w:rFonts w:cs="Arial"/>
                <w:sz w:val="22"/>
                <w:szCs w:val="22"/>
              </w:rPr>
            </w:pPr>
            <w:r w:rsidRPr="00322718">
              <w:rPr>
                <w:rFonts w:cs="Arial"/>
                <w:sz w:val="22"/>
                <w:szCs w:val="22"/>
              </w:rPr>
              <w:t>6.8 (3.4)</w:t>
            </w:r>
          </w:p>
        </w:tc>
        <w:tc>
          <w:tcPr>
            <w:tcW w:w="3006" w:type="dxa"/>
          </w:tcPr>
          <w:p w:rsidR="00322718" w:rsidRPr="00322718" w:rsidRDefault="00322718" w:rsidP="004F44AD">
            <w:pPr>
              <w:jc w:val="center"/>
              <w:rPr>
                <w:rFonts w:cs="Arial"/>
                <w:sz w:val="22"/>
                <w:szCs w:val="22"/>
              </w:rPr>
            </w:pPr>
            <w:r w:rsidRPr="00322718">
              <w:rPr>
                <w:rFonts w:cs="Arial"/>
                <w:sz w:val="22"/>
                <w:szCs w:val="22"/>
              </w:rPr>
              <w:t>6.5 (3.0)</w:t>
            </w: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Range</w:t>
            </w:r>
          </w:p>
        </w:tc>
        <w:tc>
          <w:tcPr>
            <w:tcW w:w="2613" w:type="dxa"/>
          </w:tcPr>
          <w:p w:rsidR="00322718" w:rsidRPr="00322718" w:rsidRDefault="00322718" w:rsidP="004F44AD">
            <w:pPr>
              <w:jc w:val="center"/>
              <w:rPr>
                <w:rFonts w:cs="Arial"/>
                <w:sz w:val="22"/>
                <w:szCs w:val="22"/>
              </w:rPr>
            </w:pPr>
            <w:r w:rsidRPr="00322718">
              <w:rPr>
                <w:rFonts w:cs="Arial"/>
                <w:sz w:val="22"/>
                <w:szCs w:val="22"/>
              </w:rPr>
              <w:t>1.0, 15.0</w:t>
            </w:r>
          </w:p>
        </w:tc>
        <w:tc>
          <w:tcPr>
            <w:tcW w:w="3006" w:type="dxa"/>
          </w:tcPr>
          <w:p w:rsidR="00322718" w:rsidRPr="00322718" w:rsidRDefault="00322718" w:rsidP="004F44AD">
            <w:pPr>
              <w:jc w:val="center"/>
              <w:rPr>
                <w:rFonts w:cs="Arial"/>
                <w:sz w:val="22"/>
                <w:szCs w:val="22"/>
              </w:rPr>
            </w:pPr>
            <w:r w:rsidRPr="00322718">
              <w:rPr>
                <w:rFonts w:cs="Arial"/>
                <w:sz w:val="22"/>
                <w:szCs w:val="22"/>
              </w:rPr>
              <w:t>1.0, 14.0</w:t>
            </w:r>
          </w:p>
        </w:tc>
      </w:tr>
      <w:tr w:rsidR="00322718" w:rsidRPr="00322718" w:rsidTr="004F44AD">
        <w:tc>
          <w:tcPr>
            <w:tcW w:w="3397" w:type="dxa"/>
          </w:tcPr>
          <w:p w:rsidR="00322718" w:rsidRPr="00322718" w:rsidRDefault="00322718" w:rsidP="004F44AD">
            <w:pPr>
              <w:rPr>
                <w:b/>
                <w:sz w:val="22"/>
                <w:szCs w:val="22"/>
              </w:rPr>
            </w:pPr>
          </w:p>
          <w:p w:rsidR="00322718" w:rsidRPr="00322718" w:rsidRDefault="00322718" w:rsidP="004F44AD">
            <w:pPr>
              <w:rPr>
                <w:b/>
                <w:sz w:val="22"/>
                <w:szCs w:val="22"/>
              </w:rPr>
            </w:pPr>
            <w:r w:rsidRPr="00322718">
              <w:rPr>
                <w:b/>
                <w:sz w:val="22"/>
                <w:szCs w:val="22"/>
              </w:rPr>
              <w:t>Number of teeth extracted</w:t>
            </w:r>
          </w:p>
        </w:tc>
        <w:tc>
          <w:tcPr>
            <w:tcW w:w="2613" w:type="dxa"/>
          </w:tcPr>
          <w:p w:rsidR="00322718" w:rsidRPr="00322718" w:rsidRDefault="00322718" w:rsidP="004F44AD">
            <w:pPr>
              <w:rPr>
                <w:b/>
                <w:sz w:val="22"/>
                <w:szCs w:val="22"/>
              </w:rPr>
            </w:pPr>
          </w:p>
        </w:tc>
        <w:tc>
          <w:tcPr>
            <w:tcW w:w="3006" w:type="dxa"/>
          </w:tcPr>
          <w:p w:rsidR="00322718" w:rsidRPr="00322718" w:rsidRDefault="00322718" w:rsidP="004F44AD">
            <w:pPr>
              <w:rPr>
                <w:b/>
                <w:sz w:val="22"/>
                <w:szCs w:val="22"/>
              </w:rPr>
            </w:pP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Mean (s.d.)</w:t>
            </w:r>
          </w:p>
        </w:tc>
        <w:tc>
          <w:tcPr>
            <w:tcW w:w="2613" w:type="dxa"/>
          </w:tcPr>
          <w:p w:rsidR="00322718" w:rsidRPr="00322718" w:rsidRDefault="00322718" w:rsidP="004F44AD">
            <w:pPr>
              <w:jc w:val="center"/>
              <w:rPr>
                <w:rFonts w:cs="Arial"/>
                <w:sz w:val="22"/>
                <w:szCs w:val="22"/>
              </w:rPr>
            </w:pPr>
            <w:r w:rsidRPr="00322718">
              <w:rPr>
                <w:rFonts w:cs="Arial"/>
                <w:sz w:val="22"/>
                <w:szCs w:val="22"/>
              </w:rPr>
              <w:t>5.5 (3.3)</w:t>
            </w:r>
          </w:p>
        </w:tc>
        <w:tc>
          <w:tcPr>
            <w:tcW w:w="3006" w:type="dxa"/>
          </w:tcPr>
          <w:p w:rsidR="00322718" w:rsidRPr="00322718" w:rsidRDefault="00322718" w:rsidP="004F44AD">
            <w:pPr>
              <w:jc w:val="center"/>
              <w:rPr>
                <w:rFonts w:cs="Arial"/>
                <w:sz w:val="22"/>
                <w:szCs w:val="22"/>
              </w:rPr>
            </w:pPr>
            <w:r w:rsidRPr="00322718">
              <w:rPr>
                <w:rFonts w:cs="Arial"/>
                <w:sz w:val="22"/>
                <w:szCs w:val="22"/>
              </w:rPr>
              <w:t>5.2 (2.9)</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Median</w:t>
            </w:r>
          </w:p>
        </w:tc>
        <w:tc>
          <w:tcPr>
            <w:tcW w:w="2613" w:type="dxa"/>
          </w:tcPr>
          <w:p w:rsidR="00322718" w:rsidRPr="00322718" w:rsidRDefault="00322718" w:rsidP="004F44AD">
            <w:pPr>
              <w:jc w:val="center"/>
              <w:rPr>
                <w:sz w:val="22"/>
                <w:szCs w:val="22"/>
              </w:rPr>
            </w:pPr>
            <w:r w:rsidRPr="00322718">
              <w:rPr>
                <w:sz w:val="22"/>
                <w:szCs w:val="22"/>
              </w:rPr>
              <w:t>5.0</w:t>
            </w:r>
          </w:p>
        </w:tc>
        <w:tc>
          <w:tcPr>
            <w:tcW w:w="3006" w:type="dxa"/>
          </w:tcPr>
          <w:p w:rsidR="00322718" w:rsidRPr="00322718" w:rsidRDefault="00322718" w:rsidP="004F44AD">
            <w:pPr>
              <w:jc w:val="center"/>
              <w:rPr>
                <w:sz w:val="22"/>
                <w:szCs w:val="22"/>
              </w:rPr>
            </w:pPr>
            <w:r w:rsidRPr="00322718">
              <w:rPr>
                <w:sz w:val="22"/>
                <w:szCs w:val="22"/>
              </w:rPr>
              <w:t>5.0</w:t>
            </w:r>
          </w:p>
        </w:tc>
      </w:tr>
      <w:tr w:rsidR="00322718" w:rsidRPr="00322718" w:rsidTr="004F44AD">
        <w:tc>
          <w:tcPr>
            <w:tcW w:w="3397" w:type="dxa"/>
          </w:tcPr>
          <w:p w:rsidR="00322718" w:rsidRPr="00322718" w:rsidRDefault="00322718" w:rsidP="004F44AD">
            <w:pPr>
              <w:jc w:val="right"/>
              <w:rPr>
                <w:sz w:val="22"/>
                <w:szCs w:val="22"/>
              </w:rPr>
            </w:pPr>
            <w:r w:rsidRPr="00322718">
              <w:rPr>
                <w:sz w:val="22"/>
                <w:szCs w:val="22"/>
              </w:rPr>
              <w:t>Range</w:t>
            </w:r>
          </w:p>
        </w:tc>
        <w:tc>
          <w:tcPr>
            <w:tcW w:w="2613" w:type="dxa"/>
          </w:tcPr>
          <w:p w:rsidR="00322718" w:rsidRPr="00322718" w:rsidRDefault="00322718" w:rsidP="004F44AD">
            <w:pPr>
              <w:jc w:val="center"/>
              <w:rPr>
                <w:rFonts w:cs="Arial"/>
              </w:rPr>
            </w:pPr>
            <w:r w:rsidRPr="00322718">
              <w:rPr>
                <w:rFonts w:cs="Arial"/>
              </w:rPr>
              <w:t>1.0, 15.0</w:t>
            </w:r>
          </w:p>
        </w:tc>
        <w:tc>
          <w:tcPr>
            <w:tcW w:w="3006" w:type="dxa"/>
          </w:tcPr>
          <w:p w:rsidR="00322718" w:rsidRPr="00322718" w:rsidRDefault="00322718" w:rsidP="004F44AD">
            <w:pPr>
              <w:jc w:val="center"/>
              <w:rPr>
                <w:rFonts w:cs="Arial"/>
              </w:rPr>
            </w:pPr>
            <w:r w:rsidRPr="00322718">
              <w:rPr>
                <w:rFonts w:cs="Arial"/>
              </w:rPr>
              <w:t>1.0, 14.0</w:t>
            </w:r>
          </w:p>
        </w:tc>
      </w:tr>
      <w:tr w:rsidR="00322718" w:rsidRPr="00322718" w:rsidTr="004F44AD">
        <w:tc>
          <w:tcPr>
            <w:tcW w:w="3397" w:type="dxa"/>
          </w:tcPr>
          <w:p w:rsidR="00322718" w:rsidRPr="00322718" w:rsidRDefault="00322718" w:rsidP="004F44AD">
            <w:pPr>
              <w:rPr>
                <w:b/>
                <w:sz w:val="22"/>
                <w:szCs w:val="22"/>
              </w:rPr>
            </w:pPr>
            <w:r w:rsidRPr="00322718">
              <w:rPr>
                <w:b/>
                <w:sz w:val="22"/>
                <w:szCs w:val="22"/>
              </w:rPr>
              <w:t>DMFT</w:t>
            </w:r>
          </w:p>
        </w:tc>
        <w:tc>
          <w:tcPr>
            <w:tcW w:w="2613" w:type="dxa"/>
          </w:tcPr>
          <w:p w:rsidR="00322718" w:rsidRPr="00322718" w:rsidRDefault="00322718" w:rsidP="004F44AD">
            <w:pPr>
              <w:rPr>
                <w:b/>
                <w:sz w:val="24"/>
                <w:szCs w:val="24"/>
              </w:rPr>
            </w:pPr>
          </w:p>
        </w:tc>
        <w:tc>
          <w:tcPr>
            <w:tcW w:w="3006" w:type="dxa"/>
          </w:tcPr>
          <w:p w:rsidR="00322718" w:rsidRPr="00322718" w:rsidRDefault="00322718" w:rsidP="004F44AD">
            <w:pPr>
              <w:rPr>
                <w:b/>
                <w:sz w:val="24"/>
                <w:szCs w:val="24"/>
              </w:rPr>
            </w:pPr>
          </w:p>
        </w:tc>
      </w:tr>
      <w:tr w:rsidR="00322718" w:rsidRPr="00322718" w:rsidTr="004F44AD">
        <w:tc>
          <w:tcPr>
            <w:tcW w:w="3397" w:type="dxa"/>
          </w:tcPr>
          <w:p w:rsidR="00322718" w:rsidRPr="00322718" w:rsidRDefault="00322718" w:rsidP="004F44AD">
            <w:pPr>
              <w:jc w:val="right"/>
              <w:rPr>
                <w:rFonts w:cs="Arial"/>
                <w:sz w:val="22"/>
                <w:szCs w:val="22"/>
              </w:rPr>
            </w:pPr>
            <w:r w:rsidRPr="00322718">
              <w:rPr>
                <w:rFonts w:cs="Arial"/>
                <w:sz w:val="22"/>
                <w:szCs w:val="22"/>
              </w:rPr>
              <w:t>Mean (s.d.)</w:t>
            </w:r>
          </w:p>
        </w:tc>
        <w:tc>
          <w:tcPr>
            <w:tcW w:w="2613" w:type="dxa"/>
          </w:tcPr>
          <w:p w:rsidR="00322718" w:rsidRPr="00322718" w:rsidRDefault="00322718" w:rsidP="004F44AD">
            <w:pPr>
              <w:jc w:val="center"/>
              <w:rPr>
                <w:rFonts w:cs="Arial"/>
              </w:rPr>
            </w:pPr>
            <w:r w:rsidRPr="00322718">
              <w:rPr>
                <w:rFonts w:cs="Arial"/>
              </w:rPr>
              <w:t>0.1 (0.4)</w:t>
            </w:r>
          </w:p>
        </w:tc>
        <w:tc>
          <w:tcPr>
            <w:tcW w:w="3006" w:type="dxa"/>
          </w:tcPr>
          <w:p w:rsidR="00322718" w:rsidRPr="00322718" w:rsidRDefault="00322718" w:rsidP="004F44AD">
            <w:pPr>
              <w:jc w:val="center"/>
              <w:rPr>
                <w:rFonts w:cs="Arial"/>
              </w:rPr>
            </w:pPr>
            <w:r w:rsidRPr="00322718">
              <w:rPr>
                <w:rFonts w:cs="Arial"/>
              </w:rPr>
              <w:t>0.0 (0.2)</w:t>
            </w:r>
          </w:p>
        </w:tc>
      </w:tr>
      <w:tr w:rsidR="00322718" w:rsidTr="004F44AD">
        <w:tc>
          <w:tcPr>
            <w:tcW w:w="3397" w:type="dxa"/>
          </w:tcPr>
          <w:p w:rsidR="00322718" w:rsidRPr="00322718" w:rsidRDefault="00322718" w:rsidP="004F44AD">
            <w:pPr>
              <w:jc w:val="right"/>
              <w:rPr>
                <w:sz w:val="22"/>
                <w:szCs w:val="22"/>
              </w:rPr>
            </w:pPr>
            <w:r w:rsidRPr="00322718">
              <w:rPr>
                <w:sz w:val="22"/>
                <w:szCs w:val="22"/>
              </w:rPr>
              <w:t>Median</w:t>
            </w:r>
          </w:p>
        </w:tc>
        <w:tc>
          <w:tcPr>
            <w:tcW w:w="2613" w:type="dxa"/>
          </w:tcPr>
          <w:p w:rsidR="00322718" w:rsidRPr="00322718" w:rsidRDefault="00322718" w:rsidP="004F44AD">
            <w:pPr>
              <w:jc w:val="center"/>
              <w:rPr>
                <w:sz w:val="22"/>
                <w:szCs w:val="22"/>
              </w:rPr>
            </w:pPr>
            <w:r w:rsidRPr="00322718">
              <w:rPr>
                <w:sz w:val="22"/>
                <w:szCs w:val="22"/>
              </w:rPr>
              <w:t>0.0</w:t>
            </w:r>
          </w:p>
        </w:tc>
        <w:tc>
          <w:tcPr>
            <w:tcW w:w="3006" w:type="dxa"/>
          </w:tcPr>
          <w:p w:rsidR="00322718" w:rsidRPr="00845D80" w:rsidRDefault="00322718" w:rsidP="004F44AD">
            <w:pPr>
              <w:jc w:val="center"/>
              <w:rPr>
                <w:sz w:val="22"/>
                <w:szCs w:val="22"/>
              </w:rPr>
            </w:pPr>
            <w:r w:rsidRPr="00322718">
              <w:rPr>
                <w:sz w:val="22"/>
                <w:szCs w:val="22"/>
              </w:rPr>
              <w:t>0.0</w:t>
            </w:r>
          </w:p>
        </w:tc>
      </w:tr>
    </w:tbl>
    <w:p w:rsidR="00322718" w:rsidRDefault="00322718" w:rsidP="00322718">
      <w:pPr>
        <w:rPr>
          <w:rFonts w:ascii="Times New Roman" w:hAnsi="Times New Roman"/>
          <w:b/>
          <w:sz w:val="24"/>
          <w:szCs w:val="24"/>
        </w:rPr>
      </w:pPr>
    </w:p>
    <w:p w:rsidR="00322718" w:rsidRDefault="00322718" w:rsidP="00322718">
      <w:r w:rsidRPr="007D1911">
        <w:rPr>
          <w:b/>
          <w:vertAlign w:val="superscript"/>
        </w:rPr>
        <w:t>1</w:t>
      </w:r>
      <w:r w:rsidRPr="00845D80">
        <w:rPr>
          <w:rFonts w:ascii="Times New Roman" w:hAnsi="Times New Roman"/>
        </w:rPr>
        <w:t>Oral Health Behaviours Questionnaire</w:t>
      </w:r>
    </w:p>
    <w:p w:rsidR="00322718" w:rsidRDefault="00322718">
      <w:pPr>
        <w:rPr>
          <w:rFonts w:ascii="Times New Roman" w:hAnsi="Times New Roman" w:cs="Times New Roman"/>
          <w:sz w:val="24"/>
          <w:szCs w:val="24"/>
        </w:rPr>
      </w:pPr>
      <w:r>
        <w:rPr>
          <w:rFonts w:ascii="Times New Roman" w:hAnsi="Times New Roman" w:cs="Times New Roman"/>
          <w:sz w:val="24"/>
          <w:szCs w:val="24"/>
        </w:rPr>
        <w:br w:type="page"/>
      </w:r>
    </w:p>
    <w:p w:rsidR="00322718" w:rsidRPr="00322718" w:rsidRDefault="00322718" w:rsidP="00322718">
      <w:pPr>
        <w:pStyle w:val="Heading2"/>
      </w:pPr>
      <w:r w:rsidRPr="00322718">
        <w:lastRenderedPageBreak/>
        <w:t>Table 2: Primary Outcome and Primary Outcome by Centre: proportion of children with dental caries in previously-caries free or unerupted teeth two years after intervention</w:t>
      </w:r>
    </w:p>
    <w:p w:rsidR="00322718" w:rsidRPr="00322718" w:rsidRDefault="00322718" w:rsidP="00322718">
      <w:pPr>
        <w:pStyle w:val="Heading2"/>
      </w:pPr>
    </w:p>
    <w:tbl>
      <w:tblPr>
        <w:tblStyle w:val="TableGrid"/>
        <w:tblpPr w:leftFromText="180" w:rightFromText="180" w:vertAnchor="text" w:horzAnchor="margin" w:tblpY="115"/>
        <w:tblW w:w="0" w:type="auto"/>
        <w:tblLook w:val="04A0" w:firstRow="1" w:lastRow="0" w:firstColumn="1" w:lastColumn="0" w:noHBand="0" w:noVBand="1"/>
      </w:tblPr>
      <w:tblGrid>
        <w:gridCol w:w="1423"/>
        <w:gridCol w:w="689"/>
        <w:gridCol w:w="825"/>
        <w:gridCol w:w="808"/>
        <w:gridCol w:w="1958"/>
        <w:gridCol w:w="362"/>
        <w:gridCol w:w="898"/>
        <w:gridCol w:w="2053"/>
      </w:tblGrid>
      <w:tr w:rsidR="00322718" w:rsidRPr="00322718" w:rsidTr="004F44AD">
        <w:trPr>
          <w:trHeight w:val="294"/>
        </w:trPr>
        <w:tc>
          <w:tcPr>
            <w:tcW w:w="9003" w:type="dxa"/>
            <w:gridSpan w:val="8"/>
            <w:shd w:val="clear" w:color="auto" w:fill="E7E6E6" w:themeFill="background2"/>
          </w:tcPr>
          <w:p w:rsidR="00322718" w:rsidRPr="00322718" w:rsidRDefault="00322718" w:rsidP="004F44AD">
            <w:pPr>
              <w:pStyle w:val="Caption"/>
              <w:spacing w:after="0"/>
              <w:jc w:val="left"/>
              <w:rPr>
                <w:rFonts w:ascii="Times New Roman" w:hAnsi="Times New Roman"/>
                <w:color w:val="auto"/>
                <w:sz w:val="22"/>
                <w:szCs w:val="22"/>
              </w:rPr>
            </w:pPr>
            <w:r w:rsidRPr="00322718">
              <w:rPr>
                <w:rFonts w:ascii="Times New Roman" w:hAnsi="Times New Roman"/>
                <w:color w:val="auto"/>
                <w:sz w:val="22"/>
                <w:szCs w:val="22"/>
              </w:rPr>
              <w:t>Primary Outcome</w:t>
            </w:r>
          </w:p>
        </w:tc>
      </w:tr>
      <w:tr w:rsidR="00322718" w:rsidRPr="00322718" w:rsidTr="004F44AD">
        <w:trPr>
          <w:trHeight w:val="711"/>
        </w:trPr>
        <w:tc>
          <w:tcPr>
            <w:tcW w:w="1278" w:type="dxa"/>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DR-BNI</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(n=88)</w:t>
            </w:r>
          </w:p>
        </w:tc>
        <w:tc>
          <w:tcPr>
            <w:tcW w:w="1292" w:type="dxa"/>
            <w:gridSpan w:val="2"/>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Control</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(n=103)</w:t>
            </w:r>
          </w:p>
        </w:tc>
        <w:tc>
          <w:tcPr>
            <w:tcW w:w="3306" w:type="dxa"/>
            <w:gridSpan w:val="3"/>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Difference in proportions (95%CI)</w:t>
            </w:r>
          </w:p>
        </w:tc>
        <w:tc>
          <w:tcPr>
            <w:tcW w:w="3127" w:type="dxa"/>
            <w:gridSpan w:val="2"/>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Adjusted odds ratio</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(95% CI) (n=191)</w:t>
            </w:r>
          </w:p>
          <w:p w:rsidR="00322718" w:rsidRPr="00322718" w:rsidRDefault="00322718" w:rsidP="004F44AD">
            <w:pPr>
              <w:pStyle w:val="Default"/>
              <w:jc w:val="center"/>
              <w:rPr>
                <w:rFonts w:ascii="Times New Roman" w:hAnsi="Times New Roman" w:cs="Times New Roman"/>
                <w:b/>
                <w:color w:val="auto"/>
                <w:sz w:val="22"/>
                <w:szCs w:val="22"/>
              </w:rPr>
            </w:pPr>
          </w:p>
        </w:tc>
      </w:tr>
      <w:tr w:rsidR="00322718" w:rsidRPr="00322718" w:rsidTr="004F44AD">
        <w:trPr>
          <w:trHeight w:val="621"/>
        </w:trPr>
        <w:tc>
          <w:tcPr>
            <w:tcW w:w="1278" w:type="dxa"/>
          </w:tcPr>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0.44</w:t>
            </w:r>
          </w:p>
        </w:tc>
        <w:tc>
          <w:tcPr>
            <w:tcW w:w="1292" w:type="dxa"/>
            <w:gridSpan w:val="2"/>
          </w:tcPr>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0.62</w:t>
            </w:r>
          </w:p>
        </w:tc>
        <w:tc>
          <w:tcPr>
            <w:tcW w:w="3306" w:type="dxa"/>
            <w:gridSpan w:val="3"/>
          </w:tcPr>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0.18 (0.04, 0.32),</w:t>
            </w:r>
          </w:p>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 xml:space="preserve"> </w:t>
            </w:r>
            <w:r w:rsidRPr="00322718">
              <w:rPr>
                <w:rFonts w:ascii="Times New Roman" w:hAnsi="Times New Roman" w:cs="Times New Roman"/>
                <w:i/>
                <w:color w:val="auto"/>
                <w:sz w:val="22"/>
                <w:szCs w:val="22"/>
              </w:rPr>
              <w:t>p</w:t>
            </w:r>
            <w:r w:rsidRPr="00322718">
              <w:rPr>
                <w:rFonts w:ascii="Times New Roman" w:hAnsi="Times New Roman" w:cs="Times New Roman"/>
                <w:color w:val="auto"/>
                <w:sz w:val="22"/>
                <w:szCs w:val="22"/>
              </w:rPr>
              <w:t>=0.014*</w:t>
            </w:r>
          </w:p>
        </w:tc>
        <w:tc>
          <w:tcPr>
            <w:tcW w:w="3127" w:type="dxa"/>
            <w:gridSpan w:val="2"/>
          </w:tcPr>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 xml:space="preserve">0.49 (0.26, 0.90), </w:t>
            </w:r>
          </w:p>
          <w:p w:rsidR="00322718" w:rsidRPr="00322718" w:rsidRDefault="00322718" w:rsidP="004F44AD">
            <w:pPr>
              <w:pStyle w:val="Default"/>
              <w:jc w:val="center"/>
              <w:rPr>
                <w:rFonts w:ascii="Times New Roman" w:hAnsi="Times New Roman" w:cs="Times New Roman"/>
                <w:color w:val="auto"/>
                <w:sz w:val="22"/>
                <w:szCs w:val="22"/>
              </w:rPr>
            </w:pPr>
            <w:r w:rsidRPr="00322718">
              <w:rPr>
                <w:rFonts w:ascii="Times New Roman" w:hAnsi="Times New Roman" w:cs="Times New Roman"/>
                <w:i/>
                <w:color w:val="auto"/>
                <w:sz w:val="22"/>
                <w:szCs w:val="22"/>
              </w:rPr>
              <w:t>p</w:t>
            </w:r>
            <w:r w:rsidRPr="00322718">
              <w:rPr>
                <w:rFonts w:ascii="Times New Roman" w:hAnsi="Times New Roman" w:cs="Times New Roman"/>
                <w:color w:val="auto"/>
                <w:sz w:val="22"/>
                <w:szCs w:val="22"/>
              </w:rPr>
              <w:t>=0.021*</w:t>
            </w:r>
          </w:p>
        </w:tc>
      </w:tr>
      <w:tr w:rsidR="00322718" w:rsidRPr="00322718" w:rsidTr="004F44AD">
        <w:trPr>
          <w:trHeight w:val="962"/>
        </w:trPr>
        <w:tc>
          <w:tcPr>
            <w:tcW w:w="9003" w:type="dxa"/>
            <w:gridSpan w:val="8"/>
          </w:tcPr>
          <w:p w:rsidR="00322718" w:rsidRPr="00322718" w:rsidRDefault="00322718" w:rsidP="004F44AD">
            <w:pPr>
              <w:pStyle w:val="Heading2"/>
              <w:outlineLvl w:val="1"/>
            </w:pPr>
            <w:r w:rsidRPr="00322718">
              <w:t>*p&lt;0.05</w:t>
            </w:r>
          </w:p>
          <w:p w:rsidR="00322718" w:rsidRPr="00322718" w:rsidRDefault="00322718" w:rsidP="004F44AD">
            <w:pPr>
              <w:pStyle w:val="BodyText"/>
            </w:pPr>
          </w:p>
          <w:p w:rsidR="00322718" w:rsidRPr="00322718" w:rsidRDefault="00322718" w:rsidP="004F44AD">
            <w:pPr>
              <w:pStyle w:val="Default"/>
              <w:rPr>
                <w:sz w:val="22"/>
                <w:szCs w:val="22"/>
              </w:rPr>
            </w:pPr>
            <w:r w:rsidRPr="00322718">
              <w:rPr>
                <w:rFonts w:ascii="Times New Roman" w:hAnsi="Times New Roman"/>
                <w:sz w:val="22"/>
                <w:szCs w:val="22"/>
              </w:rPr>
              <w:t xml:space="preserve">The odds of new caries experience occurring were reduced by 51% in the DR-BNI group compared to control. </w:t>
            </w:r>
            <w:r w:rsidRPr="00322718">
              <w:rPr>
                <w:rFonts w:ascii="Times New Roman" w:hAnsi="Times New Roman" w:cs="Times New Roman"/>
                <w:b/>
                <w:sz w:val="22"/>
                <w:szCs w:val="22"/>
              </w:rPr>
              <w:t>Relative Risk</w:t>
            </w:r>
            <w:r w:rsidRPr="00322718">
              <w:rPr>
                <w:rFonts w:ascii="Times New Roman" w:hAnsi="Times New Roman" w:cs="Times New Roman"/>
                <w:sz w:val="22"/>
                <w:szCs w:val="22"/>
              </w:rPr>
              <w:t xml:space="preserve"> = 0.71 (95% CI: 0.54, 0.94), p=0.014*; there was a 29% decrease in the risk of new caries experience in the DR-BNI group compared to the control.</w:t>
            </w:r>
            <w:r w:rsidRPr="00322718">
              <w:rPr>
                <w:sz w:val="22"/>
                <w:szCs w:val="22"/>
              </w:rPr>
              <w:t xml:space="preserve"> </w:t>
            </w:r>
          </w:p>
          <w:p w:rsidR="00322718" w:rsidRPr="00322718" w:rsidRDefault="00322718" w:rsidP="004F44AD">
            <w:pPr>
              <w:rPr>
                <w:sz w:val="22"/>
                <w:szCs w:val="22"/>
              </w:rPr>
            </w:pPr>
          </w:p>
          <w:p w:rsidR="00322718" w:rsidRPr="00322718" w:rsidRDefault="00322718" w:rsidP="004F44AD">
            <w:pPr>
              <w:pStyle w:val="Caption"/>
              <w:spacing w:after="0"/>
              <w:rPr>
                <w:rFonts w:ascii="Times New Roman" w:hAnsi="Times New Roman"/>
                <w:color w:val="auto"/>
                <w:sz w:val="22"/>
                <w:szCs w:val="22"/>
              </w:rPr>
            </w:pPr>
            <w:r w:rsidRPr="00322718">
              <w:rPr>
                <w:rFonts w:ascii="Times New Roman" w:hAnsi="Times New Roman"/>
                <w:color w:val="auto"/>
                <w:sz w:val="22"/>
                <w:szCs w:val="22"/>
              </w:rPr>
              <w:t>Proportion of patients with dental caries in previously-caries free teeth (per protocol)</w:t>
            </w:r>
          </w:p>
          <w:p w:rsidR="00322718" w:rsidRPr="00322718" w:rsidRDefault="00322718" w:rsidP="004F44AD">
            <w:pPr>
              <w:pStyle w:val="Default"/>
              <w:rPr>
                <w:i/>
                <w:color w:val="FF0000"/>
                <w:sz w:val="20"/>
                <w:szCs w:val="20"/>
              </w:rPr>
            </w:pPr>
          </w:p>
          <w:tbl>
            <w:tblPr>
              <w:tblStyle w:val="TableGrid"/>
              <w:tblW w:w="8803" w:type="dxa"/>
              <w:tblLook w:val="04A0" w:firstRow="1" w:lastRow="0" w:firstColumn="1" w:lastColumn="0" w:noHBand="0" w:noVBand="1"/>
            </w:tblPr>
            <w:tblGrid>
              <w:gridCol w:w="1249"/>
              <w:gridCol w:w="1261"/>
              <w:gridCol w:w="3234"/>
              <w:gridCol w:w="3059"/>
            </w:tblGrid>
            <w:tr w:rsidR="00322718" w:rsidRPr="00322718" w:rsidTr="004F44AD">
              <w:trPr>
                <w:trHeight w:val="449"/>
              </w:trPr>
              <w:tc>
                <w:tcPr>
                  <w:tcW w:w="1249"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DR-BNI</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(n=81)</w:t>
                  </w:r>
                </w:p>
              </w:tc>
              <w:tc>
                <w:tcPr>
                  <w:tcW w:w="1261"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Control</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(n=94)</w:t>
                  </w:r>
                </w:p>
              </w:tc>
              <w:tc>
                <w:tcPr>
                  <w:tcW w:w="3234"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Difference in proportions (95%CI)</w:t>
                  </w:r>
                </w:p>
              </w:tc>
              <w:tc>
                <w:tcPr>
                  <w:tcW w:w="3059"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Adjusted odds ratio</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(95% CI) (n=175)</w:t>
                  </w:r>
                </w:p>
              </w:tc>
            </w:tr>
            <w:tr w:rsidR="00322718" w:rsidRPr="00322718" w:rsidTr="004F44AD">
              <w:trPr>
                <w:trHeight w:val="219"/>
              </w:trPr>
              <w:tc>
                <w:tcPr>
                  <w:tcW w:w="1249"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0.46</w:t>
                  </w:r>
                </w:p>
              </w:tc>
              <w:tc>
                <w:tcPr>
                  <w:tcW w:w="1261"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0.63</w:t>
                  </w:r>
                </w:p>
              </w:tc>
              <w:tc>
                <w:tcPr>
                  <w:tcW w:w="3234"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 xml:space="preserve">0.17 (0.02, 0.32), </w:t>
                  </w:r>
                  <w:r w:rsidRPr="00322718">
                    <w:rPr>
                      <w:rFonts w:ascii="Times New Roman" w:hAnsi="Times New Roman" w:cs="Times New Roman"/>
                      <w:i/>
                      <w:color w:val="auto"/>
                      <w:sz w:val="22"/>
                      <w:szCs w:val="22"/>
                    </w:rPr>
                    <w:t>p</w:t>
                  </w:r>
                  <w:r w:rsidRPr="00322718">
                    <w:rPr>
                      <w:rFonts w:ascii="Times New Roman" w:hAnsi="Times New Roman" w:cs="Times New Roman"/>
                      <w:color w:val="auto"/>
                      <w:sz w:val="22"/>
                      <w:szCs w:val="22"/>
                    </w:rPr>
                    <w:t>=0.024</w:t>
                  </w:r>
                </w:p>
              </w:tc>
              <w:tc>
                <w:tcPr>
                  <w:tcW w:w="3059"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 xml:space="preserve">0.52 (0.27, 0.99), </w:t>
                  </w:r>
                  <w:r w:rsidRPr="00322718">
                    <w:rPr>
                      <w:rFonts w:ascii="Times New Roman" w:hAnsi="Times New Roman" w:cs="Times New Roman"/>
                      <w:i/>
                      <w:color w:val="auto"/>
                      <w:sz w:val="22"/>
                      <w:szCs w:val="22"/>
                    </w:rPr>
                    <w:t>p</w:t>
                  </w:r>
                  <w:r w:rsidRPr="00322718">
                    <w:rPr>
                      <w:rFonts w:ascii="Times New Roman" w:hAnsi="Times New Roman" w:cs="Times New Roman"/>
                      <w:color w:val="auto"/>
                      <w:sz w:val="22"/>
                      <w:szCs w:val="22"/>
                    </w:rPr>
                    <w:t>=0.046</w:t>
                  </w:r>
                </w:p>
              </w:tc>
            </w:tr>
          </w:tbl>
          <w:p w:rsidR="00322718" w:rsidRPr="00322718" w:rsidRDefault="00322718" w:rsidP="004F44AD">
            <w:pPr>
              <w:pStyle w:val="Heading4"/>
              <w:outlineLvl w:val="3"/>
              <w:rPr>
                <w:sz w:val="22"/>
                <w:szCs w:val="22"/>
              </w:rPr>
            </w:pPr>
          </w:p>
          <w:p w:rsidR="00322718" w:rsidRPr="00322718" w:rsidRDefault="00322718" w:rsidP="004F44AD">
            <w:pPr>
              <w:pStyle w:val="Caption"/>
              <w:spacing w:after="0"/>
            </w:pPr>
            <w:r w:rsidRPr="00322718">
              <w:rPr>
                <w:rFonts w:ascii="Times New Roman" w:hAnsi="Times New Roman"/>
                <w:color w:val="auto"/>
                <w:sz w:val="22"/>
                <w:szCs w:val="22"/>
              </w:rPr>
              <w:t>Proportion of patients with dental caries in previously-caries free teeth (multiple imputation</w:t>
            </w:r>
            <w:r w:rsidRPr="00322718">
              <w:rPr>
                <w:rFonts w:ascii="Times New Roman" w:hAnsi="Times New Roman"/>
                <w:color w:val="auto"/>
                <w:sz w:val="22"/>
                <w:szCs w:val="22"/>
                <w:vertAlign w:val="superscript"/>
              </w:rPr>
              <w:t>†</w:t>
            </w:r>
            <w:r w:rsidRPr="00322718">
              <w:rPr>
                <w:rFonts w:ascii="Times New Roman" w:hAnsi="Times New Roman"/>
                <w:color w:val="auto"/>
                <w:sz w:val="22"/>
                <w:szCs w:val="22"/>
              </w:rPr>
              <w:t>)</w:t>
            </w:r>
          </w:p>
          <w:tbl>
            <w:tblPr>
              <w:tblStyle w:val="TableGrid"/>
              <w:tblW w:w="8788" w:type="dxa"/>
              <w:tblLook w:val="04A0" w:firstRow="1" w:lastRow="0" w:firstColumn="1" w:lastColumn="0" w:noHBand="0" w:noVBand="1"/>
            </w:tblPr>
            <w:tblGrid>
              <w:gridCol w:w="1247"/>
              <w:gridCol w:w="1261"/>
              <w:gridCol w:w="3227"/>
              <w:gridCol w:w="3053"/>
            </w:tblGrid>
            <w:tr w:rsidR="00322718" w:rsidRPr="00322718" w:rsidTr="004F44AD">
              <w:trPr>
                <w:trHeight w:val="596"/>
              </w:trPr>
              <w:tc>
                <w:tcPr>
                  <w:tcW w:w="1247"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DR-BNI</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w:t>
                  </w:r>
                </w:p>
              </w:tc>
              <w:tc>
                <w:tcPr>
                  <w:tcW w:w="1261"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Control</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(n=)</w:t>
                  </w:r>
                </w:p>
              </w:tc>
              <w:tc>
                <w:tcPr>
                  <w:tcW w:w="3227"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Difference in proportions (95%CI)</w:t>
                  </w:r>
                </w:p>
              </w:tc>
              <w:tc>
                <w:tcPr>
                  <w:tcW w:w="3053" w:type="dxa"/>
                </w:tcPr>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Adjusted odds ratio</w:t>
                  </w:r>
                </w:p>
                <w:p w:rsidR="00322718" w:rsidRPr="00322718" w:rsidRDefault="00322718" w:rsidP="004F44AD">
                  <w:pPr>
                    <w:pStyle w:val="Default"/>
                    <w:framePr w:hSpace="180" w:wrap="around" w:vAnchor="text" w:hAnchor="margin" w:y="115"/>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(95% CI) (n=241)</w:t>
                  </w:r>
                </w:p>
              </w:tc>
            </w:tr>
            <w:tr w:rsidR="00322718" w:rsidRPr="00322718" w:rsidTr="004F44AD">
              <w:trPr>
                <w:trHeight w:val="291"/>
              </w:trPr>
              <w:tc>
                <w:tcPr>
                  <w:tcW w:w="1247"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w:t>
                  </w:r>
                </w:p>
              </w:tc>
              <w:tc>
                <w:tcPr>
                  <w:tcW w:w="1261"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w:t>
                  </w:r>
                </w:p>
              </w:tc>
              <w:tc>
                <w:tcPr>
                  <w:tcW w:w="3227"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w:t>
                  </w:r>
                </w:p>
              </w:tc>
              <w:tc>
                <w:tcPr>
                  <w:tcW w:w="3053" w:type="dxa"/>
                </w:tcPr>
                <w:p w:rsidR="00322718" w:rsidRPr="00322718" w:rsidRDefault="00322718" w:rsidP="004F44AD">
                  <w:pPr>
                    <w:pStyle w:val="Default"/>
                    <w:framePr w:hSpace="180" w:wrap="around" w:vAnchor="text" w:hAnchor="margin" w:y="115"/>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 xml:space="preserve">0.44 (0.24, 0.81), </w:t>
                  </w:r>
                  <w:r w:rsidRPr="00322718">
                    <w:rPr>
                      <w:rFonts w:ascii="Times New Roman" w:hAnsi="Times New Roman" w:cs="Times New Roman"/>
                      <w:i/>
                      <w:color w:val="auto"/>
                      <w:sz w:val="22"/>
                      <w:szCs w:val="22"/>
                    </w:rPr>
                    <w:t>p</w:t>
                  </w:r>
                  <w:r w:rsidRPr="00322718">
                    <w:rPr>
                      <w:rFonts w:ascii="Times New Roman" w:hAnsi="Times New Roman" w:cs="Times New Roman"/>
                      <w:color w:val="auto"/>
                      <w:sz w:val="22"/>
                      <w:szCs w:val="22"/>
                    </w:rPr>
                    <w:t>=0.008</w:t>
                  </w:r>
                </w:p>
              </w:tc>
            </w:tr>
          </w:tbl>
          <w:p w:rsidR="00322718" w:rsidRPr="00322718" w:rsidRDefault="00322718" w:rsidP="004F44AD">
            <w:pPr>
              <w:rPr>
                <w:sz w:val="18"/>
                <w:szCs w:val="18"/>
              </w:rPr>
            </w:pPr>
            <w:r w:rsidRPr="00322718">
              <w:rPr>
                <w:sz w:val="18"/>
                <w:szCs w:val="18"/>
                <w:vertAlign w:val="superscript"/>
              </w:rPr>
              <w:t>†</w:t>
            </w:r>
            <w:r w:rsidRPr="00322718">
              <w:rPr>
                <w:sz w:val="18"/>
                <w:szCs w:val="18"/>
              </w:rPr>
              <w:t>1000 imputations</w:t>
            </w:r>
          </w:p>
          <w:p w:rsidR="00322718" w:rsidRPr="00322718" w:rsidRDefault="00322718" w:rsidP="004F44AD">
            <w:pPr>
              <w:pStyle w:val="Default"/>
              <w:rPr>
                <w:rFonts w:ascii="Times New Roman" w:hAnsi="Times New Roman" w:cs="Times New Roman"/>
                <w:color w:val="auto"/>
                <w:sz w:val="22"/>
                <w:szCs w:val="22"/>
              </w:rPr>
            </w:pPr>
          </w:p>
        </w:tc>
      </w:tr>
      <w:tr w:rsidR="00322718" w:rsidRPr="00322718" w:rsidTr="004F44AD">
        <w:trPr>
          <w:trHeight w:val="325"/>
        </w:trPr>
        <w:tc>
          <w:tcPr>
            <w:tcW w:w="9003" w:type="dxa"/>
            <w:gridSpan w:val="8"/>
            <w:shd w:val="clear" w:color="auto" w:fill="E7E6E6" w:themeFill="background2"/>
          </w:tcPr>
          <w:p w:rsidR="00322718" w:rsidRPr="00322718" w:rsidRDefault="00322718" w:rsidP="004F44AD">
            <w:pPr>
              <w:pStyle w:val="Default"/>
              <w:rPr>
                <w:rFonts w:ascii="Times New Roman" w:hAnsi="Times New Roman" w:cs="Times New Roman"/>
                <w:b/>
                <w:color w:val="auto"/>
                <w:sz w:val="22"/>
                <w:szCs w:val="22"/>
              </w:rPr>
            </w:pPr>
            <w:r w:rsidRPr="00322718">
              <w:rPr>
                <w:rFonts w:ascii="Times New Roman" w:hAnsi="Times New Roman" w:cs="Times New Roman"/>
                <w:b/>
                <w:color w:val="auto"/>
                <w:sz w:val="22"/>
                <w:szCs w:val="22"/>
              </w:rPr>
              <w:t>Primary Outcome by Centre</w:t>
            </w:r>
          </w:p>
        </w:tc>
      </w:tr>
      <w:tr w:rsidR="00322718" w:rsidRPr="00322718" w:rsidTr="004F44AD">
        <w:trPr>
          <w:trHeight w:val="982"/>
        </w:trPr>
        <w:tc>
          <w:tcPr>
            <w:tcW w:w="1800" w:type="dxa"/>
            <w:gridSpan w:val="2"/>
          </w:tcPr>
          <w:p w:rsidR="00322718" w:rsidRPr="00322718" w:rsidRDefault="00322718" w:rsidP="004F44AD">
            <w:pPr>
              <w:jc w:val="center"/>
              <w:rPr>
                <w:b/>
                <w:sz w:val="22"/>
                <w:szCs w:val="22"/>
              </w:rPr>
            </w:pPr>
            <w:r w:rsidRPr="00322718">
              <w:rPr>
                <w:b/>
                <w:sz w:val="22"/>
                <w:szCs w:val="22"/>
              </w:rPr>
              <w:t>Centre</w:t>
            </w:r>
          </w:p>
          <w:p w:rsidR="00322718" w:rsidRPr="00322718" w:rsidRDefault="00322718" w:rsidP="004F44AD">
            <w:pPr>
              <w:jc w:val="center"/>
              <w:rPr>
                <w:b/>
                <w:sz w:val="22"/>
                <w:szCs w:val="22"/>
              </w:rPr>
            </w:pPr>
          </w:p>
          <w:p w:rsidR="00322718" w:rsidRPr="00322718" w:rsidRDefault="00322718" w:rsidP="004F44AD">
            <w:pPr>
              <w:jc w:val="center"/>
              <w:rPr>
                <w:b/>
                <w:sz w:val="22"/>
                <w:szCs w:val="22"/>
              </w:rPr>
            </w:pPr>
          </w:p>
          <w:p w:rsidR="00322718" w:rsidRPr="00322718" w:rsidRDefault="00322718" w:rsidP="004F44AD">
            <w:pPr>
              <w:jc w:val="center"/>
              <w:rPr>
                <w:b/>
                <w:sz w:val="22"/>
                <w:szCs w:val="22"/>
              </w:rPr>
            </w:pPr>
          </w:p>
          <w:p w:rsidR="00322718" w:rsidRPr="00322718" w:rsidRDefault="00322718" w:rsidP="004F44AD">
            <w:pPr>
              <w:pStyle w:val="Default"/>
              <w:jc w:val="center"/>
              <w:rPr>
                <w:rFonts w:ascii="Times New Roman" w:hAnsi="Times New Roman" w:cs="Times New Roman"/>
                <w:b/>
                <w:color w:val="auto"/>
                <w:sz w:val="22"/>
                <w:szCs w:val="22"/>
              </w:rPr>
            </w:pPr>
          </w:p>
        </w:tc>
        <w:tc>
          <w:tcPr>
            <w:tcW w:w="1801" w:type="dxa"/>
            <w:gridSpan w:val="2"/>
          </w:tcPr>
          <w:p w:rsidR="00322718" w:rsidRPr="00322718" w:rsidRDefault="00322718" w:rsidP="004F44AD">
            <w:pPr>
              <w:pStyle w:val="Default"/>
              <w:jc w:val="center"/>
              <w:rPr>
                <w:rFonts w:ascii="Times New Roman" w:hAnsi="Times New Roman" w:cs="Times New Roman"/>
                <w:b/>
                <w:sz w:val="22"/>
                <w:szCs w:val="22"/>
              </w:rPr>
            </w:pPr>
            <w:r w:rsidRPr="00322718">
              <w:rPr>
                <w:rFonts w:ascii="Times New Roman" w:hAnsi="Times New Roman" w:cs="Times New Roman"/>
                <w:b/>
                <w:sz w:val="22"/>
                <w:szCs w:val="22"/>
              </w:rPr>
              <w:t>N</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sz w:val="22"/>
                <w:szCs w:val="22"/>
              </w:rPr>
              <w:t>(Total n=191)</w:t>
            </w:r>
          </w:p>
        </w:tc>
        <w:tc>
          <w:tcPr>
            <w:tcW w:w="1800" w:type="dxa"/>
          </w:tcPr>
          <w:p w:rsidR="00322718" w:rsidRPr="00322718" w:rsidRDefault="00322718" w:rsidP="004F44AD">
            <w:pPr>
              <w:pStyle w:val="Default"/>
              <w:jc w:val="center"/>
              <w:rPr>
                <w:rFonts w:ascii="Times New Roman" w:hAnsi="Times New Roman" w:cs="Times New Roman"/>
                <w:b/>
                <w:sz w:val="22"/>
                <w:szCs w:val="22"/>
              </w:rPr>
            </w:pPr>
            <w:r w:rsidRPr="00322718">
              <w:rPr>
                <w:rFonts w:ascii="Times New Roman" w:hAnsi="Times New Roman" w:cs="Times New Roman"/>
                <w:b/>
                <w:sz w:val="22"/>
                <w:szCs w:val="22"/>
              </w:rPr>
              <w:t>DR-BNI</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sz w:val="22"/>
                <w:szCs w:val="22"/>
              </w:rPr>
              <w:t>(n=88)</w:t>
            </w:r>
          </w:p>
        </w:tc>
        <w:tc>
          <w:tcPr>
            <w:tcW w:w="1801" w:type="dxa"/>
            <w:gridSpan w:val="2"/>
          </w:tcPr>
          <w:p w:rsidR="00322718" w:rsidRPr="00322718" w:rsidRDefault="00322718" w:rsidP="004F44AD">
            <w:pPr>
              <w:pStyle w:val="Default"/>
              <w:jc w:val="center"/>
              <w:rPr>
                <w:rFonts w:ascii="Times New Roman" w:hAnsi="Times New Roman" w:cs="Times New Roman"/>
                <w:b/>
                <w:sz w:val="22"/>
                <w:szCs w:val="22"/>
              </w:rPr>
            </w:pPr>
            <w:r w:rsidRPr="00322718">
              <w:rPr>
                <w:rFonts w:ascii="Times New Roman" w:hAnsi="Times New Roman" w:cs="Times New Roman"/>
                <w:b/>
                <w:sz w:val="22"/>
                <w:szCs w:val="22"/>
              </w:rPr>
              <w:t>Control</w:t>
            </w:r>
          </w:p>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b/>
                <w:sz w:val="22"/>
                <w:szCs w:val="22"/>
              </w:rPr>
              <w:t>(n=103)</w:t>
            </w:r>
          </w:p>
        </w:tc>
        <w:tc>
          <w:tcPr>
            <w:tcW w:w="1801" w:type="dxa"/>
          </w:tcPr>
          <w:p w:rsidR="00322718" w:rsidRPr="00322718" w:rsidRDefault="00322718" w:rsidP="004F44AD">
            <w:pPr>
              <w:jc w:val="center"/>
              <w:rPr>
                <w:b/>
                <w:sz w:val="22"/>
                <w:szCs w:val="22"/>
              </w:rPr>
            </w:pPr>
            <w:r w:rsidRPr="00322718">
              <w:rPr>
                <w:b/>
                <w:sz w:val="22"/>
                <w:szCs w:val="22"/>
              </w:rPr>
              <w:t>Difference in proportion of children with new caries</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A</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8</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0.40</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0.67</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-0.27</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B</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31</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0.33</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0.56</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-0.23</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C</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9</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0.40</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1.00</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-0.60</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D</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24</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0.44</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0.60</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-0.16</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E</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18</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0.29</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0.45</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-0.16</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F</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24</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0.55</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0.77</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-0.22</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G</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21</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0.10</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0.45</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-0.35</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H</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23</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0.36</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0.67</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-0.31</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I</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0.50</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J</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2</w:t>
            </w:r>
          </w:p>
        </w:tc>
        <w:tc>
          <w:tcPr>
            <w:tcW w:w="1800"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1.00</w:t>
            </w:r>
          </w:p>
        </w:tc>
        <w:tc>
          <w:tcPr>
            <w:tcW w:w="1801" w:type="dxa"/>
            <w:gridSpan w:val="2"/>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w:t>
            </w:r>
          </w:p>
        </w:tc>
        <w:tc>
          <w:tcPr>
            <w:tcW w:w="1801" w:type="dxa"/>
            <w:vAlign w:val="bottom"/>
          </w:tcPr>
          <w:p w:rsidR="00322718" w:rsidRPr="00322718" w:rsidRDefault="00322718" w:rsidP="004F44AD">
            <w:pPr>
              <w:pStyle w:val="Default"/>
              <w:jc w:val="center"/>
              <w:rPr>
                <w:rFonts w:ascii="Times New Roman" w:hAnsi="Times New Roman" w:cs="Times New Roman"/>
                <w:b/>
                <w:color w:val="auto"/>
                <w:sz w:val="22"/>
                <w:szCs w:val="22"/>
              </w:rPr>
            </w:pPr>
            <w:r w:rsidRPr="00322718">
              <w:rPr>
                <w:rFonts w:ascii="Times New Roman" w:hAnsi="Times New Roman" w:cs="Times New Roman"/>
                <w:sz w:val="22"/>
                <w:szCs w:val="22"/>
              </w:rPr>
              <w:t>-</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K</w:t>
            </w:r>
          </w:p>
        </w:tc>
        <w:tc>
          <w:tcPr>
            <w:tcW w:w="1801"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5</w:t>
            </w:r>
          </w:p>
        </w:tc>
        <w:tc>
          <w:tcPr>
            <w:tcW w:w="1800" w:type="dxa"/>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1.00</w:t>
            </w:r>
          </w:p>
        </w:tc>
        <w:tc>
          <w:tcPr>
            <w:tcW w:w="1801"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1.00</w:t>
            </w:r>
          </w:p>
        </w:tc>
        <w:tc>
          <w:tcPr>
            <w:tcW w:w="1801" w:type="dxa"/>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0</w:t>
            </w:r>
          </w:p>
        </w:tc>
      </w:tr>
      <w:tr w:rsidR="00322718" w:rsidRPr="00322718" w:rsidTr="004F44AD">
        <w:trPr>
          <w:trHeight w:val="325"/>
        </w:trPr>
        <w:tc>
          <w:tcPr>
            <w:tcW w:w="1800"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L</w:t>
            </w:r>
          </w:p>
        </w:tc>
        <w:tc>
          <w:tcPr>
            <w:tcW w:w="1801"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24</w:t>
            </w:r>
          </w:p>
        </w:tc>
        <w:tc>
          <w:tcPr>
            <w:tcW w:w="1800" w:type="dxa"/>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0.82</w:t>
            </w:r>
          </w:p>
        </w:tc>
        <w:tc>
          <w:tcPr>
            <w:tcW w:w="1801" w:type="dxa"/>
            <w:gridSpan w:val="2"/>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0.62</w:t>
            </w:r>
          </w:p>
        </w:tc>
        <w:tc>
          <w:tcPr>
            <w:tcW w:w="1801" w:type="dxa"/>
            <w:vAlign w:val="bottom"/>
          </w:tcPr>
          <w:p w:rsidR="00322718" w:rsidRPr="00322718" w:rsidRDefault="00322718" w:rsidP="004F44AD">
            <w:pPr>
              <w:pStyle w:val="Default"/>
              <w:jc w:val="center"/>
              <w:rPr>
                <w:rFonts w:ascii="Times New Roman" w:hAnsi="Times New Roman" w:cs="Times New Roman"/>
                <w:sz w:val="22"/>
                <w:szCs w:val="22"/>
              </w:rPr>
            </w:pPr>
            <w:r w:rsidRPr="00322718">
              <w:rPr>
                <w:rFonts w:ascii="Times New Roman" w:hAnsi="Times New Roman" w:cs="Times New Roman"/>
                <w:sz w:val="22"/>
                <w:szCs w:val="22"/>
              </w:rPr>
              <w:t>+0.20</w:t>
            </w:r>
          </w:p>
        </w:tc>
      </w:tr>
      <w:tr w:rsidR="00322718" w:rsidRPr="00C17319" w:rsidTr="004F44AD">
        <w:trPr>
          <w:trHeight w:val="325"/>
        </w:trPr>
        <w:tc>
          <w:tcPr>
            <w:tcW w:w="9003" w:type="dxa"/>
            <w:gridSpan w:val="8"/>
            <w:vAlign w:val="bottom"/>
          </w:tcPr>
          <w:p w:rsidR="00322718" w:rsidRPr="00322718" w:rsidRDefault="00322718" w:rsidP="004F44AD">
            <w:pPr>
              <w:pStyle w:val="BodyText"/>
              <w:rPr>
                <w:rFonts w:ascii="Times New Roman" w:hAnsi="Times New Roman"/>
                <w:sz w:val="22"/>
                <w:szCs w:val="22"/>
              </w:rPr>
            </w:pPr>
          </w:p>
          <w:p w:rsidR="00322718" w:rsidRPr="00C17319" w:rsidRDefault="00322718" w:rsidP="004F44AD">
            <w:pPr>
              <w:pStyle w:val="BodyText"/>
              <w:rPr>
                <w:sz w:val="22"/>
                <w:szCs w:val="22"/>
              </w:rPr>
            </w:pPr>
            <w:r w:rsidRPr="00322718">
              <w:rPr>
                <w:rFonts w:ascii="Times New Roman" w:hAnsi="Times New Roman"/>
                <w:sz w:val="22"/>
                <w:szCs w:val="22"/>
              </w:rPr>
              <w:lastRenderedPageBreak/>
              <w:t>Of 12 Centres, 8 showed reduction in proportions of children with new caries in the DR-BNI group compared to control; 3 Centres numbers too low to compare; one Centre, L, difference was in the other direction.</w:t>
            </w:r>
          </w:p>
        </w:tc>
      </w:tr>
    </w:tbl>
    <w:p w:rsidR="00322718" w:rsidRPr="00C17319" w:rsidRDefault="00322718" w:rsidP="00322718">
      <w:pPr>
        <w:pStyle w:val="BodyText"/>
        <w:rPr>
          <w:rFonts w:ascii="Times New Roman" w:hAnsi="Times New Roman"/>
          <w:szCs w:val="22"/>
        </w:rPr>
      </w:pPr>
    </w:p>
    <w:p w:rsidR="00322718" w:rsidRDefault="00322718" w:rsidP="00322718"/>
    <w:p w:rsidR="00322718" w:rsidRDefault="00322718">
      <w:pPr>
        <w:rPr>
          <w:rFonts w:ascii="Times New Roman" w:hAnsi="Times New Roman" w:cs="Times New Roman"/>
          <w:sz w:val="24"/>
          <w:szCs w:val="24"/>
        </w:rPr>
      </w:pPr>
      <w:r>
        <w:rPr>
          <w:rFonts w:ascii="Times New Roman" w:hAnsi="Times New Roman" w:cs="Times New Roman"/>
          <w:sz w:val="24"/>
          <w:szCs w:val="24"/>
        </w:rPr>
        <w:br w:type="page"/>
      </w:r>
    </w:p>
    <w:p w:rsidR="00322718" w:rsidRPr="00322718" w:rsidRDefault="00322718" w:rsidP="00322718">
      <w:pPr>
        <w:rPr>
          <w:rFonts w:ascii="Times New Roman" w:hAnsi="Times New Roman"/>
          <w:b/>
        </w:rPr>
      </w:pPr>
      <w:r w:rsidRPr="00322718">
        <w:rPr>
          <w:rFonts w:ascii="Times New Roman" w:hAnsi="Times New Roman"/>
          <w:b/>
        </w:rPr>
        <w:lastRenderedPageBreak/>
        <w:t xml:space="preserve">Table 3:  Dental attendance during the 2 years’ post-intervention and dental treatment provided </w:t>
      </w:r>
    </w:p>
    <w:tbl>
      <w:tblPr>
        <w:tblStyle w:val="TableGrid"/>
        <w:tblW w:w="9209" w:type="dxa"/>
        <w:tblLook w:val="04A0" w:firstRow="1" w:lastRow="0" w:firstColumn="1" w:lastColumn="0" w:noHBand="0" w:noVBand="1"/>
      </w:tblPr>
      <w:tblGrid>
        <w:gridCol w:w="3539"/>
        <w:gridCol w:w="2977"/>
        <w:gridCol w:w="2693"/>
      </w:tblGrid>
      <w:tr w:rsidR="00322718" w:rsidRPr="00322718" w:rsidTr="004F44AD">
        <w:trPr>
          <w:trHeight w:val="408"/>
        </w:trPr>
        <w:tc>
          <w:tcPr>
            <w:tcW w:w="3539" w:type="dxa"/>
            <w:tcBorders>
              <w:top w:val="nil"/>
              <w:left w:val="nil"/>
            </w:tcBorders>
          </w:tcPr>
          <w:p w:rsidR="00322718" w:rsidRPr="00322718" w:rsidRDefault="00322718" w:rsidP="004F44AD">
            <w:pPr>
              <w:pStyle w:val="BodyText"/>
              <w:spacing w:line="276" w:lineRule="auto"/>
              <w:rPr>
                <w:rFonts w:ascii="Times New Roman" w:hAnsi="Times New Roman"/>
                <w:sz w:val="22"/>
                <w:szCs w:val="22"/>
              </w:rPr>
            </w:pPr>
          </w:p>
        </w:tc>
        <w:tc>
          <w:tcPr>
            <w:tcW w:w="2977" w:type="dxa"/>
          </w:tcPr>
          <w:p w:rsidR="00322718" w:rsidRPr="00322718" w:rsidRDefault="00322718" w:rsidP="004F44AD">
            <w:pPr>
              <w:pStyle w:val="Default"/>
              <w:spacing w:line="276" w:lineRule="auto"/>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DR-BNI (n=119)</w:t>
            </w:r>
          </w:p>
        </w:tc>
        <w:tc>
          <w:tcPr>
            <w:tcW w:w="2693" w:type="dxa"/>
          </w:tcPr>
          <w:p w:rsidR="00322718" w:rsidRPr="00322718" w:rsidRDefault="00322718" w:rsidP="004F44AD">
            <w:pPr>
              <w:pStyle w:val="Default"/>
              <w:spacing w:line="276" w:lineRule="auto"/>
              <w:jc w:val="center"/>
              <w:rPr>
                <w:rFonts w:ascii="Times New Roman" w:hAnsi="Times New Roman" w:cs="Times New Roman"/>
                <w:b/>
                <w:color w:val="auto"/>
                <w:sz w:val="22"/>
                <w:szCs w:val="22"/>
              </w:rPr>
            </w:pPr>
            <w:r w:rsidRPr="00322718">
              <w:rPr>
                <w:rFonts w:ascii="Times New Roman" w:hAnsi="Times New Roman" w:cs="Times New Roman"/>
                <w:b/>
                <w:color w:val="auto"/>
                <w:sz w:val="22"/>
                <w:szCs w:val="22"/>
              </w:rPr>
              <w:t>Control (n=122)</w:t>
            </w:r>
          </w:p>
        </w:tc>
      </w:tr>
      <w:tr w:rsidR="00322718" w:rsidRPr="00322718" w:rsidTr="004F44AD">
        <w:trPr>
          <w:trHeight w:val="365"/>
        </w:trPr>
        <w:tc>
          <w:tcPr>
            <w:tcW w:w="3539" w:type="dxa"/>
            <w:shd w:val="clear" w:color="auto" w:fill="E7E6E6" w:themeFill="background2"/>
          </w:tcPr>
          <w:p w:rsidR="00322718" w:rsidRPr="00322718" w:rsidRDefault="00322718" w:rsidP="004F44AD">
            <w:pPr>
              <w:pStyle w:val="BodyText"/>
              <w:spacing w:line="276" w:lineRule="auto"/>
              <w:rPr>
                <w:rFonts w:ascii="Times New Roman" w:hAnsi="Times New Roman"/>
                <w:b/>
                <w:sz w:val="22"/>
                <w:szCs w:val="22"/>
              </w:rPr>
            </w:pPr>
            <w:r w:rsidRPr="00322718">
              <w:rPr>
                <w:rFonts w:ascii="Times New Roman" w:hAnsi="Times New Roman"/>
                <w:b/>
                <w:sz w:val="22"/>
                <w:szCs w:val="22"/>
              </w:rPr>
              <w:t>Attended dental practice</w:t>
            </w:r>
          </w:p>
        </w:tc>
        <w:tc>
          <w:tcPr>
            <w:tcW w:w="2977" w:type="dxa"/>
            <w:shd w:val="clear" w:color="auto" w:fill="E7E6E6" w:themeFill="background2"/>
          </w:tcPr>
          <w:p w:rsidR="00322718" w:rsidRPr="00322718" w:rsidRDefault="00322718" w:rsidP="004F44AD">
            <w:pPr>
              <w:pStyle w:val="BodyText"/>
              <w:spacing w:line="276" w:lineRule="auto"/>
              <w:rPr>
                <w:rFonts w:ascii="Times New Roman" w:hAnsi="Times New Roman"/>
                <w:sz w:val="22"/>
                <w:szCs w:val="22"/>
              </w:rPr>
            </w:pPr>
          </w:p>
        </w:tc>
        <w:tc>
          <w:tcPr>
            <w:tcW w:w="2693" w:type="dxa"/>
            <w:shd w:val="clear" w:color="auto" w:fill="E7E6E6" w:themeFill="background2"/>
          </w:tcPr>
          <w:p w:rsidR="00322718" w:rsidRPr="00322718" w:rsidRDefault="00322718" w:rsidP="004F44AD">
            <w:pPr>
              <w:pStyle w:val="BodyText"/>
              <w:spacing w:line="276" w:lineRule="auto"/>
              <w:rPr>
                <w:rFonts w:ascii="Times New Roman" w:hAnsi="Times New Roman"/>
                <w:sz w:val="22"/>
                <w:szCs w:val="22"/>
              </w:rPr>
            </w:pPr>
          </w:p>
        </w:tc>
      </w:tr>
      <w:tr w:rsidR="00322718" w:rsidRPr="00322718" w:rsidTr="004F44AD">
        <w:trPr>
          <w:trHeight w:val="365"/>
        </w:trPr>
        <w:tc>
          <w:tcPr>
            <w:tcW w:w="3539" w:type="dxa"/>
          </w:tcPr>
          <w:p w:rsidR="00322718" w:rsidRPr="00322718" w:rsidRDefault="00322718" w:rsidP="004F44AD">
            <w:pPr>
              <w:pStyle w:val="BodyText"/>
              <w:spacing w:line="276" w:lineRule="auto"/>
              <w:rPr>
                <w:rFonts w:ascii="Times New Roman" w:hAnsi="Times New Roman"/>
                <w:sz w:val="22"/>
                <w:szCs w:val="22"/>
              </w:rPr>
            </w:pPr>
            <w:r w:rsidRPr="00322718">
              <w:rPr>
                <w:rFonts w:ascii="Times New Roman" w:hAnsi="Times New Roman"/>
                <w:sz w:val="22"/>
                <w:szCs w:val="22"/>
              </w:rPr>
              <w:t>Attended at least once</w:t>
            </w:r>
          </w:p>
        </w:tc>
        <w:tc>
          <w:tcPr>
            <w:tcW w:w="2977"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72 (61%)</w:t>
            </w:r>
          </w:p>
        </w:tc>
        <w:tc>
          <w:tcPr>
            <w:tcW w:w="2693"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78 (64%)</w:t>
            </w:r>
          </w:p>
        </w:tc>
      </w:tr>
      <w:tr w:rsidR="00322718" w:rsidRPr="00322718" w:rsidTr="004F44AD">
        <w:trPr>
          <w:trHeight w:val="365"/>
        </w:trPr>
        <w:tc>
          <w:tcPr>
            <w:tcW w:w="3539" w:type="dxa"/>
          </w:tcPr>
          <w:p w:rsidR="00322718" w:rsidRPr="00322718" w:rsidRDefault="00322718" w:rsidP="004F44AD">
            <w:pPr>
              <w:pStyle w:val="Default"/>
              <w:spacing w:line="276" w:lineRule="auto"/>
              <w:rPr>
                <w:rFonts w:ascii="Times New Roman" w:hAnsi="Times New Roman"/>
                <w:sz w:val="22"/>
                <w:szCs w:val="22"/>
              </w:rPr>
            </w:pPr>
            <w:r w:rsidRPr="00322718">
              <w:rPr>
                <w:rFonts w:ascii="Times New Roman" w:hAnsi="Times New Roman" w:cs="Times New Roman"/>
                <w:color w:val="auto"/>
                <w:sz w:val="22"/>
                <w:szCs w:val="22"/>
              </w:rPr>
              <w:t xml:space="preserve">Did not attend </w:t>
            </w:r>
          </w:p>
        </w:tc>
        <w:tc>
          <w:tcPr>
            <w:tcW w:w="2977"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28 (24%)</w:t>
            </w:r>
          </w:p>
        </w:tc>
        <w:tc>
          <w:tcPr>
            <w:tcW w:w="2693"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30 (25%)</w:t>
            </w:r>
          </w:p>
        </w:tc>
      </w:tr>
      <w:tr w:rsidR="00322718" w:rsidRPr="00322718" w:rsidTr="004F44AD">
        <w:trPr>
          <w:trHeight w:val="365"/>
        </w:trPr>
        <w:tc>
          <w:tcPr>
            <w:tcW w:w="3539" w:type="dxa"/>
          </w:tcPr>
          <w:p w:rsidR="00322718" w:rsidRPr="00322718" w:rsidRDefault="00322718" w:rsidP="004F44AD">
            <w:pPr>
              <w:pStyle w:val="BodyText"/>
              <w:spacing w:line="276" w:lineRule="auto"/>
              <w:rPr>
                <w:rFonts w:ascii="Times New Roman" w:hAnsi="Times New Roman"/>
                <w:sz w:val="22"/>
                <w:szCs w:val="22"/>
              </w:rPr>
            </w:pPr>
            <w:r w:rsidRPr="00322718">
              <w:rPr>
                <w:rFonts w:ascii="Times New Roman" w:hAnsi="Times New Roman"/>
                <w:sz w:val="22"/>
                <w:szCs w:val="22"/>
              </w:rPr>
              <w:t>Missing data</w:t>
            </w:r>
          </w:p>
        </w:tc>
        <w:tc>
          <w:tcPr>
            <w:tcW w:w="2977"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19 (16%)</w:t>
            </w:r>
          </w:p>
        </w:tc>
        <w:tc>
          <w:tcPr>
            <w:tcW w:w="2693" w:type="dxa"/>
          </w:tcPr>
          <w:p w:rsidR="00322718" w:rsidRPr="00322718" w:rsidRDefault="00322718" w:rsidP="004F44AD">
            <w:pPr>
              <w:pStyle w:val="Default"/>
              <w:spacing w:line="276" w:lineRule="auto"/>
              <w:jc w:val="center"/>
              <w:rPr>
                <w:rFonts w:ascii="Times New Roman" w:hAnsi="Times New Roman" w:cs="Times New Roman"/>
                <w:color w:val="auto"/>
                <w:sz w:val="22"/>
                <w:szCs w:val="22"/>
              </w:rPr>
            </w:pPr>
            <w:r w:rsidRPr="00322718">
              <w:rPr>
                <w:rFonts w:ascii="Times New Roman" w:hAnsi="Times New Roman" w:cs="Times New Roman"/>
                <w:color w:val="auto"/>
                <w:sz w:val="22"/>
                <w:szCs w:val="22"/>
              </w:rPr>
              <w:t>14 (12%)</w:t>
            </w:r>
          </w:p>
        </w:tc>
      </w:tr>
      <w:tr w:rsidR="00322718" w:rsidRPr="00322718" w:rsidTr="004F44AD">
        <w:trPr>
          <w:trHeight w:val="365"/>
        </w:trPr>
        <w:tc>
          <w:tcPr>
            <w:tcW w:w="3539" w:type="dxa"/>
            <w:shd w:val="clear" w:color="auto" w:fill="E7E6E6" w:themeFill="background2"/>
          </w:tcPr>
          <w:p w:rsidR="00322718" w:rsidRPr="00322718" w:rsidRDefault="00322718" w:rsidP="004F44AD">
            <w:pPr>
              <w:pStyle w:val="BodyText"/>
              <w:spacing w:line="276" w:lineRule="auto"/>
              <w:jc w:val="left"/>
              <w:rPr>
                <w:rFonts w:ascii="Times New Roman" w:hAnsi="Times New Roman"/>
                <w:b/>
                <w:sz w:val="22"/>
                <w:szCs w:val="22"/>
              </w:rPr>
            </w:pPr>
          </w:p>
          <w:p w:rsidR="00322718" w:rsidRPr="00322718" w:rsidRDefault="00322718" w:rsidP="004F44AD">
            <w:pPr>
              <w:pStyle w:val="BodyText"/>
              <w:spacing w:line="276" w:lineRule="auto"/>
              <w:jc w:val="left"/>
              <w:rPr>
                <w:rFonts w:ascii="Times New Roman" w:hAnsi="Times New Roman"/>
                <w:b/>
                <w:sz w:val="22"/>
                <w:szCs w:val="22"/>
              </w:rPr>
            </w:pPr>
            <w:r w:rsidRPr="00322718">
              <w:rPr>
                <w:rFonts w:ascii="Times New Roman" w:hAnsi="Times New Roman"/>
                <w:b/>
                <w:sz w:val="22"/>
                <w:szCs w:val="22"/>
              </w:rPr>
              <w:t>Dental treatment provided for those who attended at least once</w:t>
            </w:r>
          </w:p>
          <w:p w:rsidR="00322718" w:rsidRPr="00322718" w:rsidRDefault="00322718" w:rsidP="004F44AD">
            <w:pPr>
              <w:pStyle w:val="BodyText"/>
              <w:spacing w:line="276" w:lineRule="auto"/>
              <w:jc w:val="left"/>
              <w:rPr>
                <w:rFonts w:ascii="Times New Roman" w:hAnsi="Times New Roman"/>
                <w:b/>
                <w:sz w:val="22"/>
                <w:szCs w:val="22"/>
              </w:rPr>
            </w:pPr>
          </w:p>
        </w:tc>
        <w:tc>
          <w:tcPr>
            <w:tcW w:w="2977" w:type="dxa"/>
            <w:shd w:val="clear" w:color="auto" w:fill="E7E6E6" w:themeFill="background2"/>
          </w:tcPr>
          <w:p w:rsidR="00322718" w:rsidRPr="00322718" w:rsidRDefault="00322718" w:rsidP="004F44AD">
            <w:pPr>
              <w:pStyle w:val="BodyText"/>
              <w:spacing w:line="276" w:lineRule="auto"/>
              <w:jc w:val="center"/>
              <w:rPr>
                <w:rFonts w:ascii="Times New Roman" w:hAnsi="Times New Roman"/>
                <w:sz w:val="22"/>
                <w:szCs w:val="22"/>
              </w:rPr>
            </w:pPr>
          </w:p>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b/>
                <w:sz w:val="22"/>
                <w:szCs w:val="22"/>
              </w:rPr>
              <w:t>DR-BNI (n=72)</w:t>
            </w:r>
          </w:p>
        </w:tc>
        <w:tc>
          <w:tcPr>
            <w:tcW w:w="2693" w:type="dxa"/>
            <w:shd w:val="clear" w:color="auto" w:fill="E7E6E6" w:themeFill="background2"/>
          </w:tcPr>
          <w:p w:rsidR="00322718" w:rsidRPr="00322718" w:rsidRDefault="00322718" w:rsidP="004F44AD">
            <w:pPr>
              <w:pStyle w:val="BodyText"/>
              <w:spacing w:line="276" w:lineRule="auto"/>
              <w:jc w:val="center"/>
              <w:rPr>
                <w:rFonts w:ascii="Times New Roman" w:hAnsi="Times New Roman"/>
                <w:sz w:val="22"/>
                <w:szCs w:val="22"/>
              </w:rPr>
            </w:pPr>
          </w:p>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b/>
                <w:sz w:val="22"/>
                <w:szCs w:val="22"/>
              </w:rPr>
              <w:t>Control</w:t>
            </w:r>
            <w:r w:rsidRPr="00322718">
              <w:rPr>
                <w:rFonts w:ascii="Times New Roman" w:hAnsi="Times New Roman"/>
                <w:sz w:val="22"/>
                <w:szCs w:val="22"/>
              </w:rPr>
              <w:t xml:space="preserve"> </w:t>
            </w:r>
            <w:r w:rsidRPr="00322718">
              <w:rPr>
                <w:rFonts w:ascii="Times New Roman" w:hAnsi="Times New Roman"/>
                <w:b/>
                <w:sz w:val="22"/>
                <w:szCs w:val="22"/>
              </w:rPr>
              <w:t>(n=78)</w:t>
            </w:r>
          </w:p>
        </w:tc>
      </w:tr>
      <w:tr w:rsidR="00322718" w:rsidRPr="00322718" w:rsidTr="004F44AD">
        <w:trPr>
          <w:trHeight w:val="365"/>
        </w:trPr>
        <w:tc>
          <w:tcPr>
            <w:tcW w:w="3539" w:type="dxa"/>
          </w:tcPr>
          <w:p w:rsidR="00322718" w:rsidRPr="00322718" w:rsidRDefault="00322718" w:rsidP="004F44AD">
            <w:pPr>
              <w:pStyle w:val="BodyText"/>
              <w:spacing w:line="276" w:lineRule="auto"/>
              <w:jc w:val="left"/>
              <w:rPr>
                <w:rFonts w:ascii="Times New Roman" w:hAnsi="Times New Roman"/>
                <w:b/>
                <w:szCs w:val="22"/>
              </w:rPr>
            </w:pPr>
            <w:r w:rsidRPr="00322718">
              <w:rPr>
                <w:rFonts w:ascii="Times New Roman" w:hAnsi="Times New Roman"/>
                <w:b/>
                <w:sz w:val="22"/>
                <w:szCs w:val="22"/>
              </w:rPr>
              <w:t>Number (%) of children who had:</w:t>
            </w:r>
          </w:p>
        </w:tc>
        <w:tc>
          <w:tcPr>
            <w:tcW w:w="2977" w:type="dxa"/>
          </w:tcPr>
          <w:p w:rsidR="00322718" w:rsidRPr="00322718" w:rsidRDefault="00322718" w:rsidP="004F44AD">
            <w:pPr>
              <w:pStyle w:val="BodyText"/>
              <w:spacing w:line="276" w:lineRule="auto"/>
              <w:jc w:val="center"/>
              <w:rPr>
                <w:rFonts w:ascii="Times New Roman" w:hAnsi="Times New Roman"/>
                <w:szCs w:val="22"/>
              </w:rPr>
            </w:pPr>
          </w:p>
        </w:tc>
        <w:tc>
          <w:tcPr>
            <w:tcW w:w="2693" w:type="dxa"/>
          </w:tcPr>
          <w:p w:rsidR="00322718" w:rsidRPr="00322718" w:rsidRDefault="00322718" w:rsidP="004F44AD">
            <w:pPr>
              <w:pStyle w:val="BodyText"/>
              <w:spacing w:line="276" w:lineRule="auto"/>
              <w:jc w:val="center"/>
              <w:rPr>
                <w:rFonts w:ascii="Times New Roman" w:hAnsi="Times New Roman"/>
                <w:szCs w:val="22"/>
              </w:rPr>
            </w:pPr>
          </w:p>
        </w:tc>
      </w:tr>
      <w:tr w:rsidR="00322718" w:rsidRPr="00322718" w:rsidTr="004F44AD">
        <w:trPr>
          <w:trHeight w:val="365"/>
        </w:trPr>
        <w:tc>
          <w:tcPr>
            <w:tcW w:w="3539" w:type="dxa"/>
          </w:tcPr>
          <w:p w:rsidR="00322718" w:rsidRPr="00322718" w:rsidRDefault="00322718" w:rsidP="004F44AD">
            <w:pPr>
              <w:pStyle w:val="BodyText"/>
              <w:spacing w:line="276" w:lineRule="auto"/>
              <w:jc w:val="left"/>
              <w:rPr>
                <w:rFonts w:ascii="Times New Roman" w:hAnsi="Times New Roman"/>
                <w:szCs w:val="22"/>
              </w:rPr>
            </w:pPr>
            <w:r w:rsidRPr="00322718">
              <w:rPr>
                <w:rFonts w:ascii="Times New Roman" w:hAnsi="Times New Roman"/>
                <w:sz w:val="22"/>
                <w:szCs w:val="22"/>
              </w:rPr>
              <w:t xml:space="preserve">Fluoride varnish </w:t>
            </w:r>
          </w:p>
        </w:tc>
        <w:tc>
          <w:tcPr>
            <w:tcW w:w="2977" w:type="dxa"/>
          </w:tcPr>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61 (85%)</w:t>
            </w:r>
          </w:p>
        </w:tc>
        <w:tc>
          <w:tcPr>
            <w:tcW w:w="2693" w:type="dxa"/>
          </w:tcPr>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61 (78%)</w:t>
            </w:r>
          </w:p>
        </w:tc>
      </w:tr>
      <w:tr w:rsidR="00322718" w:rsidRPr="00322718" w:rsidTr="004F44AD">
        <w:trPr>
          <w:trHeight w:val="365"/>
        </w:trPr>
        <w:tc>
          <w:tcPr>
            <w:tcW w:w="3539" w:type="dxa"/>
          </w:tcPr>
          <w:p w:rsidR="00322718" w:rsidRPr="00322718" w:rsidRDefault="00322718" w:rsidP="004F44AD">
            <w:pPr>
              <w:pStyle w:val="BodyText"/>
              <w:spacing w:line="276" w:lineRule="auto"/>
              <w:rPr>
                <w:rFonts w:ascii="Times New Roman" w:hAnsi="Times New Roman"/>
                <w:sz w:val="22"/>
                <w:szCs w:val="22"/>
              </w:rPr>
            </w:pPr>
            <w:r w:rsidRPr="00322718">
              <w:rPr>
                <w:rFonts w:ascii="Times New Roman" w:hAnsi="Times New Roman"/>
                <w:sz w:val="22"/>
                <w:szCs w:val="22"/>
              </w:rPr>
              <w:t xml:space="preserve">Fissure sealants </w:t>
            </w:r>
          </w:p>
        </w:tc>
        <w:tc>
          <w:tcPr>
            <w:tcW w:w="2977" w:type="dxa"/>
          </w:tcPr>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21 (29%)</w:t>
            </w:r>
          </w:p>
        </w:tc>
        <w:tc>
          <w:tcPr>
            <w:tcW w:w="2693" w:type="dxa"/>
          </w:tcPr>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25 (32%)</w:t>
            </w:r>
          </w:p>
        </w:tc>
      </w:tr>
      <w:tr w:rsidR="00322718" w:rsidRPr="00B21D0B" w:rsidTr="004F44AD">
        <w:trPr>
          <w:trHeight w:val="365"/>
        </w:trPr>
        <w:tc>
          <w:tcPr>
            <w:tcW w:w="3539" w:type="dxa"/>
          </w:tcPr>
          <w:p w:rsidR="00322718" w:rsidRPr="00322718" w:rsidRDefault="00322718" w:rsidP="004F44AD">
            <w:pPr>
              <w:pStyle w:val="BodyText"/>
              <w:spacing w:line="276" w:lineRule="auto"/>
              <w:rPr>
                <w:rFonts w:ascii="Times New Roman" w:hAnsi="Times New Roman"/>
                <w:sz w:val="22"/>
                <w:szCs w:val="22"/>
              </w:rPr>
            </w:pPr>
            <w:r w:rsidRPr="00322718">
              <w:rPr>
                <w:rFonts w:ascii="Times New Roman" w:hAnsi="Times New Roman"/>
                <w:sz w:val="22"/>
                <w:szCs w:val="22"/>
              </w:rPr>
              <w:t xml:space="preserve">At least one restoration </w:t>
            </w:r>
            <w:r w:rsidRPr="00322718">
              <w:rPr>
                <w:rFonts w:ascii="Times New Roman" w:hAnsi="Times New Roman"/>
                <w:b/>
                <w:sz w:val="22"/>
                <w:szCs w:val="22"/>
              </w:rPr>
              <w:t xml:space="preserve"> </w:t>
            </w:r>
          </w:p>
        </w:tc>
        <w:tc>
          <w:tcPr>
            <w:tcW w:w="2977" w:type="dxa"/>
          </w:tcPr>
          <w:p w:rsidR="00322718" w:rsidRPr="00322718"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16 (22%)</w:t>
            </w:r>
          </w:p>
        </w:tc>
        <w:tc>
          <w:tcPr>
            <w:tcW w:w="2693" w:type="dxa"/>
          </w:tcPr>
          <w:p w:rsidR="00322718" w:rsidRPr="00B21D0B" w:rsidRDefault="00322718" w:rsidP="004F44AD">
            <w:pPr>
              <w:pStyle w:val="BodyText"/>
              <w:spacing w:line="276" w:lineRule="auto"/>
              <w:jc w:val="center"/>
              <w:rPr>
                <w:rFonts w:ascii="Times New Roman" w:hAnsi="Times New Roman"/>
                <w:sz w:val="22"/>
                <w:szCs w:val="22"/>
              </w:rPr>
            </w:pPr>
            <w:r w:rsidRPr="00322718">
              <w:rPr>
                <w:rFonts w:ascii="Times New Roman" w:hAnsi="Times New Roman"/>
                <w:sz w:val="22"/>
                <w:szCs w:val="22"/>
              </w:rPr>
              <w:t>31 (40%)</w:t>
            </w:r>
          </w:p>
        </w:tc>
      </w:tr>
    </w:tbl>
    <w:p w:rsidR="00322718" w:rsidRDefault="00322718" w:rsidP="00322718">
      <w:pPr>
        <w:rPr>
          <w:rFonts w:ascii="Times New Roman" w:hAnsi="Times New Roman"/>
        </w:rPr>
      </w:pPr>
    </w:p>
    <w:p w:rsidR="00322718" w:rsidRDefault="00322718" w:rsidP="00322718"/>
    <w:p w:rsidR="00322718" w:rsidRDefault="00322718">
      <w:pPr>
        <w:rPr>
          <w:rFonts w:ascii="Times New Roman" w:hAnsi="Times New Roman" w:cs="Times New Roman"/>
          <w:sz w:val="24"/>
          <w:szCs w:val="24"/>
        </w:rPr>
      </w:pPr>
      <w:r>
        <w:rPr>
          <w:rFonts w:ascii="Times New Roman" w:hAnsi="Times New Roman" w:cs="Times New Roman"/>
          <w:sz w:val="24"/>
          <w:szCs w:val="24"/>
        </w:rPr>
        <w:br w:type="page"/>
      </w:r>
    </w:p>
    <w:p w:rsidR="00322718" w:rsidRPr="00322718" w:rsidRDefault="00322718" w:rsidP="00322718">
      <w:pPr>
        <w:rPr>
          <w:rFonts w:ascii="Times New Roman" w:hAnsi="Times New Roman" w:cs="Times New Roman"/>
          <w:b/>
        </w:rPr>
      </w:pPr>
      <w:r w:rsidRPr="00322718">
        <w:rPr>
          <w:rFonts w:ascii="Times New Roman" w:hAnsi="Times New Roman" w:cs="Times New Roman"/>
          <w:b/>
        </w:rPr>
        <w:lastRenderedPageBreak/>
        <w:t>Appendix 1: Further details on Methods</w:t>
      </w:r>
    </w:p>
    <w:p w:rsidR="00322718" w:rsidRPr="00322718" w:rsidRDefault="00322718" w:rsidP="00322718">
      <w:pPr>
        <w:pStyle w:val="para"/>
        <w:jc w:val="both"/>
        <w:rPr>
          <w:sz w:val="22"/>
          <w:szCs w:val="22"/>
        </w:rPr>
      </w:pPr>
      <w:r w:rsidRPr="00322718">
        <w:rPr>
          <w:sz w:val="22"/>
          <w:szCs w:val="22"/>
        </w:rPr>
        <w:t>It is noted that this paper presents the primary outcome of the clinical trial. Secondary outcomes are not reported here and are: parental self-efficacy (PSE) to undertake dental health-related behaviours for their child, consumption of sugary foods and drinks and tooth-brushing behaviours, parental attitudes to child dental health, and parental values of dental health-related behaviours; cost of the DR-BNI intervention and dental care as compared to the costs of usual dental care in dental practice.</w:t>
      </w:r>
    </w:p>
    <w:p w:rsidR="00322718" w:rsidRPr="00322718" w:rsidRDefault="00322718" w:rsidP="00322718">
      <w:pPr>
        <w:pStyle w:val="para"/>
        <w:jc w:val="both"/>
        <w:rPr>
          <w:b/>
          <w:sz w:val="22"/>
          <w:szCs w:val="22"/>
        </w:rPr>
      </w:pPr>
      <w:r w:rsidRPr="00322718">
        <w:rPr>
          <w:b/>
          <w:sz w:val="22"/>
          <w:szCs w:val="22"/>
        </w:rPr>
        <w:t>Measures</w:t>
      </w:r>
    </w:p>
    <w:p w:rsidR="00322718" w:rsidRPr="00322718" w:rsidRDefault="00322718" w:rsidP="00322718">
      <w:pPr>
        <w:pStyle w:val="para"/>
        <w:jc w:val="both"/>
        <w:rPr>
          <w:sz w:val="22"/>
          <w:szCs w:val="22"/>
        </w:rPr>
      </w:pPr>
      <w:r w:rsidRPr="00322718">
        <w:t>Contemplation Ladder was modified to address the four recommended behaviours: 1) brush child’s teeth last thing at night and on one other occasion daily; 2) make regular visits to dentist; 3) limit sugar to mealtimes and no more than four times a day; and 4) ideal drinks for children are milk (unsweetened) or water (Public Health England 2017).</w:t>
      </w:r>
    </w:p>
    <w:p w:rsidR="00322718" w:rsidRPr="00322718" w:rsidRDefault="00322718" w:rsidP="00322718">
      <w:pPr>
        <w:rPr>
          <w:rFonts w:ascii="Times New Roman" w:hAnsi="Times New Roman" w:cs="Times New Roman"/>
        </w:rPr>
      </w:pPr>
      <w:r w:rsidRPr="00322718">
        <w:rPr>
          <w:rFonts w:ascii="Times New Roman" w:hAnsi="Times New Roman" w:cs="Times New Roman"/>
          <w:b/>
        </w:rPr>
        <w:t xml:space="preserve">Recruitment and Intervention Delivery: </w:t>
      </w:r>
      <w:r w:rsidRPr="00322718">
        <w:rPr>
          <w:rFonts w:ascii="Times New Roman" w:hAnsi="Times New Roman" w:cs="Times New Roman"/>
        </w:rPr>
        <w:t>As noted in the protocol paper (Pine et al, 2015) recruitment took place either at the assessment appointment, a pre-extraction appointment or subsequent extraction appointment depending on preference of the Centre.</w:t>
      </w:r>
    </w:p>
    <w:p w:rsidR="00322718" w:rsidRPr="00322718" w:rsidRDefault="00322718" w:rsidP="00322718">
      <w:pPr>
        <w:rPr>
          <w:rFonts w:ascii="Times New Roman" w:hAnsi="Times New Roman" w:cs="Times New Roman"/>
        </w:rPr>
      </w:pPr>
      <w:r w:rsidRPr="00322718">
        <w:rPr>
          <w:rFonts w:ascii="Times New Roman" w:hAnsi="Times New Roman" w:cs="Times New Roman"/>
        </w:rPr>
        <w:t>Parents of children who chose to participate in the study received the intervention either whilst attending a routine appointment (that is, at assessment, pre-extraction or extraction) or where this was not possible, at an additional mutually convenient appointment between enrolment and the 6-week post-operative period. The CONSORT diagram (Figure 1) provides these details.</w:t>
      </w:r>
    </w:p>
    <w:p w:rsidR="00322718" w:rsidRPr="00322718" w:rsidRDefault="00322718" w:rsidP="00322718">
      <w:pPr>
        <w:rPr>
          <w:rFonts w:ascii="Times New Roman" w:hAnsi="Times New Roman" w:cs="Times New Roman"/>
        </w:rPr>
      </w:pPr>
      <w:r w:rsidRPr="00322718">
        <w:rPr>
          <w:rFonts w:ascii="Times New Roman" w:hAnsi="Times New Roman" w:cs="Times New Roman"/>
        </w:rPr>
        <w:t xml:space="preserve">The intervention was delivered in a room within or near the clinic area. The time from enrolment to randomisation and intervention delivery was a maximum of six weeks following extractions. As noted in Figure 1, participants that were not seen during this time period (n=48) could not progress to randomisation and allocation to intervention. </w:t>
      </w:r>
    </w:p>
    <w:p w:rsidR="00322718" w:rsidRPr="00322718" w:rsidRDefault="00322718" w:rsidP="00322718">
      <w:pPr>
        <w:rPr>
          <w:rFonts w:ascii="Times New Roman" w:hAnsi="Times New Roman" w:cs="Times New Roman"/>
        </w:rPr>
      </w:pPr>
      <w:r w:rsidRPr="00322718">
        <w:rPr>
          <w:rFonts w:ascii="Times New Roman" w:hAnsi="Times New Roman" w:cs="Times New Roman"/>
        </w:rPr>
        <w:t>Intervention delivery occurred at the extraction appointment for 127 patients; 99 patients at a pre-extraction appointment; 9 patients at an appointment up to 6 weeks’ post-extraction. Parents in both groups who attended for the intervention received a £5 gift voucher as a contribution to their expenses.</w:t>
      </w:r>
    </w:p>
    <w:p w:rsidR="00322718" w:rsidRPr="00322718" w:rsidRDefault="00322718" w:rsidP="00322718">
      <w:pPr>
        <w:rPr>
          <w:rFonts w:ascii="Times New Roman" w:hAnsi="Times New Roman" w:cs="Times New Roman"/>
        </w:rPr>
      </w:pPr>
      <w:r w:rsidRPr="00322718">
        <w:rPr>
          <w:rFonts w:ascii="Times New Roman" w:hAnsi="Times New Roman" w:cs="Times New Roman"/>
          <w:b/>
        </w:rPr>
        <w:t xml:space="preserve">Caries criteria: </w:t>
      </w:r>
      <w:r w:rsidRPr="00322718">
        <w:rPr>
          <w:rFonts w:ascii="Times New Roman" w:hAnsi="Times New Roman" w:cs="Times New Roman"/>
        </w:rPr>
        <w:t>The criteria for the clinicians assessing caries were those of the British Association for the Study of Community Dentistry (BASCD) used in national surveys in the UK (Pitts et al, 1997) and training involved sharing these slides to illustrate the caries level as being into dentine. The slides illustrating the criteria of caries into dentine are in the BASCD Trainers’ Pack for Caries Prevalence Studies prepared for BASCD by Cynthia Pine and Girvan Burnside, available online at: https://studylib.net/doc/5592099/2011-12-caries-training-pack</w:t>
      </w:r>
    </w:p>
    <w:p w:rsidR="00322718" w:rsidRPr="00322718" w:rsidRDefault="00322718" w:rsidP="00322718">
      <w:pPr>
        <w:rPr>
          <w:rFonts w:ascii="Times New Roman" w:hAnsi="Times New Roman" w:cs="Times New Roman"/>
        </w:rPr>
      </w:pPr>
      <w:r w:rsidRPr="00322718">
        <w:rPr>
          <w:rFonts w:ascii="Times New Roman" w:hAnsi="Times New Roman" w:cs="Times New Roman"/>
        </w:rPr>
        <w:t>The paediatric dentists at the Centres are familiar with the criteria and many have participated in surveys using these criteria. Due to the nature of the trial, it was not practicable to undertake repeat assessments as the children were mainly seen only once in the Centres.  The single examiner at the 2-year follow-up, Cynthia Pine was the National Standard Examiner for the UK Dental Epidemiology Programme from 1987 to 2012, developed the caries criteria for BASCD with colleagues and led the national training and calibration. Although it was not practicable to undertake intra-rater analyses during this trial while visiting children individually in 189 schools across the UK, she has undertaken intra-rater measurements for many years with kappa values consistently over 0.80.</w:t>
      </w:r>
    </w:p>
    <w:p w:rsidR="00322718" w:rsidRPr="00322718" w:rsidRDefault="00322718" w:rsidP="00322718">
      <w:pPr>
        <w:rPr>
          <w:rFonts w:ascii="Times New Roman" w:hAnsi="Times New Roman" w:cs="Times New Roman"/>
        </w:rPr>
      </w:pPr>
      <w:r w:rsidRPr="00322718">
        <w:rPr>
          <w:rFonts w:ascii="Times New Roman" w:hAnsi="Times New Roman" w:cs="Times New Roman"/>
          <w:b/>
        </w:rPr>
        <w:t xml:space="preserve">Conventions on Missing Teeth: </w:t>
      </w:r>
      <w:r w:rsidRPr="00322718">
        <w:rPr>
          <w:rFonts w:ascii="Times New Roman" w:hAnsi="Times New Roman" w:cs="Times New Roman"/>
        </w:rPr>
        <w:t xml:space="preserve">The conventions for classifying missing teeth at the two-year exam were those used in the British Association for the Study of Community Dentistry (BASCD) diagnostic criteria for caries prevalence surveys (Pitts et al, 1997) and described in the Trainers’ Pack noted </w:t>
      </w:r>
      <w:r w:rsidRPr="00322718">
        <w:rPr>
          <w:rFonts w:ascii="Times New Roman" w:hAnsi="Times New Roman" w:cs="Times New Roman"/>
        </w:rPr>
        <w:lastRenderedPageBreak/>
        <w:t>above. For this age group, missing deciduous incisors are deemed exfoliated (naturally shed); missing posterior deciduous teeth are deemed extracted for caries; missing permanent incisors, canines and premolars are deemed unerupted; missing first permanent molars are deemed extracted for caries when other first permanent molars are fully erupted. If a tooth on examination at the 2-year exam in this trial was deemed extracted for caries, it was recorded as such, and, if previously caries free or unerupted at baseline would count towards the primary outcome measure.</w:t>
      </w:r>
    </w:p>
    <w:p w:rsidR="00322718" w:rsidRPr="00322718" w:rsidRDefault="00322718" w:rsidP="00322718">
      <w:pPr>
        <w:rPr>
          <w:rFonts w:ascii="Times New Roman" w:hAnsi="Times New Roman" w:cs="Times New Roman"/>
        </w:rPr>
      </w:pPr>
    </w:p>
    <w:p w:rsidR="00322718" w:rsidRPr="00322718" w:rsidRDefault="00322718" w:rsidP="00322718">
      <w:pPr>
        <w:rPr>
          <w:rFonts w:ascii="Times New Roman" w:hAnsi="Times New Roman" w:cs="Times New Roman"/>
          <w:b/>
        </w:rPr>
      </w:pPr>
      <w:r w:rsidRPr="00322718">
        <w:rPr>
          <w:rFonts w:ascii="Times New Roman" w:hAnsi="Times New Roman" w:cs="Times New Roman"/>
          <w:b/>
        </w:rPr>
        <w:t>Training of nurses in DR-BNI</w:t>
      </w:r>
    </w:p>
    <w:p w:rsidR="00322718" w:rsidRPr="00322718" w:rsidRDefault="00322718" w:rsidP="00322718">
      <w:pPr>
        <w:rPr>
          <w:rFonts w:ascii="Times New Roman" w:hAnsi="Times New Roman" w:cs="Times New Roman"/>
        </w:rPr>
      </w:pPr>
      <w:r w:rsidRPr="00322718">
        <w:rPr>
          <w:rFonts w:ascii="Times New Roman" w:hAnsi="Times New Roman" w:cs="Times New Roman"/>
        </w:rPr>
        <w:t>Intervention training was undertaken over one day, following which the dental nurses were required to practice in pairs using case vignettes prior to the first interview. Fidelity to the training model was checked by listening to recordings of interviews conducted by the dental nurses and telephone supervision was provided by the trainer where required. The focus of the training was the delivery of the thirty-minute Dental Recur Brief Negotiated Interview informed by the principles of motivational interviewing (change talk, rolling with resistance) and behaviour change (Identifying risk behaviours and setting goals for behaviour change/action). The focus on behaviour change was guided by the evidence-based preventive toolkit for clinical teams, Delivering Better Oral Health (Public Health England, 2017). The following topics were covered: parents/significant others as agents of change to prevent dental caries in their children; the principles of motivational interviewing and behaviour change techniques; the BNI algorithm comprising of five minute segments of building rapport with a focus on a teachable moment (tooth extraction experience), asking about pros and cons of teeth extraction, education on the behaviours to prevent dental caries, i.e. twice daily tooth brushing with a fluoride toothpaste and controlling sugary snacks and drinks to mealtimes, asserting readiness to change using the readiness ruler, developing an action plan including one or two specific goals for behaviour change facilitated by the contemplation ladder and making a dental appointment for future care. Finally, the dental nurses were provided with case vignettes and role-played delivery of the DR-BNI.</w:t>
      </w:r>
    </w:p>
    <w:p w:rsidR="00322718" w:rsidRPr="00322718" w:rsidRDefault="00322718" w:rsidP="00322718">
      <w:pPr>
        <w:rPr>
          <w:rFonts w:ascii="Times New Roman" w:hAnsi="Times New Roman" w:cs="Times New Roman"/>
        </w:rPr>
      </w:pPr>
      <w:r w:rsidRPr="00322718">
        <w:rPr>
          <w:rFonts w:ascii="Times New Roman" w:hAnsi="Times New Roman" w:cs="Times New Roman"/>
        </w:rPr>
        <w:t>It is noted in this paper under Conclusions and Implications for Clinical Practice, that:</w:t>
      </w:r>
    </w:p>
    <w:p w:rsidR="00322718" w:rsidRPr="00322718" w:rsidRDefault="00322718" w:rsidP="00322718">
      <w:pPr>
        <w:spacing w:after="46" w:line="264" w:lineRule="auto"/>
        <w:ind w:right="1265"/>
        <w:jc w:val="both"/>
        <w:rPr>
          <w:rFonts w:ascii="Times New Roman" w:hAnsi="Times New Roman" w:cs="Times New Roman"/>
        </w:rPr>
      </w:pPr>
      <w:r w:rsidRPr="00322718">
        <w:rPr>
          <w:rFonts w:ascii="Times New Roman" w:hAnsi="Times New Roman" w:cs="Times New Roman"/>
        </w:rPr>
        <w:t>“The lead research team has been invited by Health Education England (North West) to develop the DR-BNI into a training programme for dental nurses in the NHS.”</w:t>
      </w:r>
    </w:p>
    <w:p w:rsidR="00322718" w:rsidRPr="00322718" w:rsidRDefault="00322718" w:rsidP="00322718">
      <w:pPr>
        <w:rPr>
          <w:rFonts w:ascii="Times New Roman" w:hAnsi="Times New Roman" w:cs="Times New Roman"/>
        </w:rPr>
      </w:pPr>
      <w:r w:rsidRPr="00322718">
        <w:rPr>
          <w:rFonts w:ascii="Times New Roman" w:hAnsi="Times New Roman" w:cs="Times New Roman"/>
        </w:rPr>
        <w:t>This work has begun and a DR-BNI Training Programme for dental nurses in the UK will have been developed with initial piloting completed by the end of 2019. It is anticipated that following further testing and evaluation, the DR-BNI Training Programme will be made available internationally in 2020.</w:t>
      </w:r>
    </w:p>
    <w:p w:rsidR="00322718" w:rsidRPr="00322718" w:rsidRDefault="00322718">
      <w:pPr>
        <w:rPr>
          <w:rFonts w:ascii="Times New Roman" w:hAnsi="Times New Roman" w:cs="Times New Roman"/>
          <w:sz w:val="24"/>
          <w:szCs w:val="24"/>
        </w:rPr>
      </w:pPr>
      <w:r w:rsidRPr="00322718">
        <w:rPr>
          <w:rFonts w:ascii="Times New Roman" w:hAnsi="Times New Roman" w:cs="Times New Roman"/>
          <w:sz w:val="24"/>
          <w:szCs w:val="24"/>
        </w:rPr>
        <w:br w:type="page"/>
      </w:r>
    </w:p>
    <w:p w:rsidR="00322718" w:rsidRPr="00322718" w:rsidRDefault="00322718" w:rsidP="00322718">
      <w:pPr>
        <w:rPr>
          <w:rFonts w:ascii="Times New Roman" w:hAnsi="Times New Roman" w:cs="Times New Roman"/>
          <w:b/>
        </w:rPr>
      </w:pPr>
      <w:r w:rsidRPr="00322718">
        <w:rPr>
          <w:rFonts w:ascii="Times New Roman" w:hAnsi="Times New Roman" w:cs="Times New Roman"/>
          <w:b/>
        </w:rPr>
        <w:lastRenderedPageBreak/>
        <w:t>Appendix 2: Further details on Results</w:t>
      </w:r>
    </w:p>
    <w:p w:rsidR="00322718" w:rsidRPr="00322718" w:rsidRDefault="00322718" w:rsidP="00322718">
      <w:pPr>
        <w:rPr>
          <w:rFonts w:ascii="Times New Roman" w:hAnsi="Times New Roman" w:cs="Times New Roman"/>
        </w:rPr>
      </w:pPr>
    </w:p>
    <w:p w:rsidR="00322718" w:rsidRPr="00322718" w:rsidRDefault="00322718" w:rsidP="00322718">
      <w:pPr>
        <w:rPr>
          <w:rFonts w:ascii="Times New Roman" w:hAnsi="Times New Roman" w:cs="Times New Roman"/>
          <w:b/>
        </w:rPr>
      </w:pPr>
      <w:r w:rsidRPr="00322718">
        <w:rPr>
          <w:rFonts w:ascii="Times New Roman" w:hAnsi="Times New Roman" w:cs="Times New Roman"/>
          <w:b/>
        </w:rPr>
        <w:t>Protocol deviations</w:t>
      </w:r>
    </w:p>
    <w:p w:rsidR="00322718" w:rsidRPr="00322718" w:rsidRDefault="00322718" w:rsidP="00322718">
      <w:pPr>
        <w:rPr>
          <w:rFonts w:ascii="Times New Roman" w:hAnsi="Times New Roman" w:cs="Times New Roman"/>
        </w:rPr>
      </w:pPr>
      <w:r w:rsidRPr="00322718">
        <w:rPr>
          <w:rFonts w:ascii="Times New Roman" w:hAnsi="Times New Roman" w:cs="Times New Roman"/>
        </w:rPr>
        <w:t>Prior to analysis, protocol deviations were defined as: those who did not meet the inclusion criteria, e.g. &lt;5 or &gt;7 years; this was 3 children of 241 on the trial. All other inclusion criteria were met 100%. Those who did not receive the allocated intervention: in the DR-BNI group, 6 parents did not receive the DR-BNI intervention and this is written into Figure 1. This occurred if parents did not have the time to stay in the clinic.</w:t>
      </w:r>
    </w:p>
    <w:p w:rsidR="00322718" w:rsidRPr="00322718" w:rsidRDefault="00322718" w:rsidP="00322718">
      <w:pPr>
        <w:rPr>
          <w:rFonts w:ascii="Times New Roman" w:hAnsi="Times New Roman" w:cs="Times New Roman"/>
        </w:rPr>
      </w:pPr>
      <w:r w:rsidRPr="00322718">
        <w:rPr>
          <w:rFonts w:ascii="Times New Roman" w:hAnsi="Times New Roman" w:cs="Times New Roman"/>
        </w:rPr>
        <w:t>The only other protocol deviations related to those who did not receive each segment of the intervention and these are detailed in the table below.</w:t>
      </w:r>
    </w:p>
    <w:p w:rsidR="00322718" w:rsidRPr="00322718" w:rsidRDefault="00322718" w:rsidP="00322718">
      <w:pPr>
        <w:pStyle w:val="Caption"/>
        <w:spacing w:after="0"/>
        <w:rPr>
          <w:rFonts w:ascii="Times New Roman" w:hAnsi="Times New Roman"/>
          <w:b w:val="0"/>
          <w:color w:val="auto"/>
          <w:sz w:val="22"/>
          <w:szCs w:val="22"/>
          <w:u w:val="single"/>
        </w:rPr>
      </w:pPr>
      <w:bookmarkStart w:id="0" w:name="_Toc11218312"/>
      <w:r w:rsidRPr="00322718">
        <w:rPr>
          <w:rFonts w:ascii="Times New Roman" w:hAnsi="Times New Roman"/>
          <w:b w:val="0"/>
          <w:color w:val="auto"/>
          <w:sz w:val="22"/>
          <w:szCs w:val="22"/>
          <w:u w:val="single"/>
        </w:rPr>
        <w:t>Proportions completing each step of their allocated intervention</w:t>
      </w:r>
      <w:bookmarkEnd w:id="0"/>
    </w:p>
    <w:p w:rsidR="00322718" w:rsidRPr="00322718" w:rsidRDefault="00322718" w:rsidP="00322718"/>
    <w:tbl>
      <w:tblPr>
        <w:tblStyle w:val="TableGrid"/>
        <w:tblW w:w="0" w:type="auto"/>
        <w:tblLook w:val="04A0" w:firstRow="1" w:lastRow="0" w:firstColumn="1" w:lastColumn="0" w:noHBand="0" w:noVBand="1"/>
      </w:tblPr>
      <w:tblGrid>
        <w:gridCol w:w="3510"/>
        <w:gridCol w:w="2126"/>
        <w:gridCol w:w="2126"/>
      </w:tblGrid>
      <w:tr w:rsidR="00322718" w:rsidRPr="00322718" w:rsidTr="004F44AD">
        <w:tc>
          <w:tcPr>
            <w:tcW w:w="3510" w:type="dxa"/>
            <w:tcBorders>
              <w:bottom w:val="single" w:sz="4" w:space="0" w:color="000000"/>
            </w:tcBorders>
          </w:tcPr>
          <w:p w:rsidR="00322718" w:rsidRPr="00322718" w:rsidRDefault="00322718" w:rsidP="004F44AD">
            <w:pPr>
              <w:pStyle w:val="Default"/>
              <w:spacing w:line="276" w:lineRule="auto"/>
              <w:jc w:val="both"/>
              <w:rPr>
                <w:rFonts w:ascii="Times New Roman" w:hAnsi="Times New Roman" w:cs="Times New Roman"/>
                <w:sz w:val="22"/>
                <w:szCs w:val="22"/>
              </w:rPr>
            </w:pPr>
          </w:p>
        </w:tc>
        <w:tc>
          <w:tcPr>
            <w:tcW w:w="2126" w:type="dxa"/>
            <w:tcBorders>
              <w:bottom w:val="single" w:sz="4" w:space="0" w:color="000000"/>
            </w:tcBorders>
          </w:tcPr>
          <w:p w:rsidR="00322718" w:rsidRPr="00322718" w:rsidRDefault="00322718" w:rsidP="004F44AD">
            <w:pPr>
              <w:pStyle w:val="Default"/>
              <w:rPr>
                <w:rFonts w:ascii="Times New Roman" w:hAnsi="Times New Roman" w:cs="Times New Roman"/>
                <w:b/>
                <w:color w:val="auto"/>
                <w:sz w:val="22"/>
                <w:szCs w:val="22"/>
              </w:rPr>
            </w:pPr>
            <w:r w:rsidRPr="00322718">
              <w:rPr>
                <w:rFonts w:ascii="Times New Roman" w:hAnsi="Times New Roman" w:cs="Times New Roman"/>
                <w:b/>
                <w:color w:val="auto"/>
                <w:sz w:val="22"/>
                <w:szCs w:val="22"/>
              </w:rPr>
              <w:t>DR-BNI (n=119)</w:t>
            </w:r>
          </w:p>
        </w:tc>
        <w:tc>
          <w:tcPr>
            <w:tcW w:w="2126" w:type="dxa"/>
            <w:tcBorders>
              <w:bottom w:val="single" w:sz="4" w:space="0" w:color="000000"/>
            </w:tcBorders>
          </w:tcPr>
          <w:p w:rsidR="00322718" w:rsidRPr="00322718" w:rsidRDefault="00322718" w:rsidP="004F44AD">
            <w:pPr>
              <w:pStyle w:val="Default"/>
              <w:rPr>
                <w:rFonts w:ascii="Times New Roman" w:hAnsi="Times New Roman" w:cs="Times New Roman"/>
                <w:b/>
                <w:color w:val="auto"/>
                <w:sz w:val="22"/>
                <w:szCs w:val="22"/>
              </w:rPr>
            </w:pPr>
            <w:r w:rsidRPr="00322718">
              <w:rPr>
                <w:rFonts w:ascii="Times New Roman" w:hAnsi="Times New Roman" w:cs="Times New Roman"/>
                <w:b/>
                <w:color w:val="auto"/>
                <w:sz w:val="22"/>
                <w:szCs w:val="22"/>
              </w:rPr>
              <w:t>Control (n=122)</w:t>
            </w:r>
          </w:p>
        </w:tc>
      </w:tr>
      <w:tr w:rsidR="00322718" w:rsidRPr="00322718" w:rsidTr="004F44AD">
        <w:tc>
          <w:tcPr>
            <w:tcW w:w="3510" w:type="dxa"/>
            <w:tcBorders>
              <w:bottom w:val="nil"/>
            </w:tcBorders>
          </w:tcPr>
          <w:p w:rsidR="00322718" w:rsidRPr="00322718" w:rsidRDefault="00322718" w:rsidP="004F44AD">
            <w:pPr>
              <w:pStyle w:val="Default"/>
              <w:spacing w:line="276" w:lineRule="auto"/>
              <w:rPr>
                <w:rFonts w:ascii="Times New Roman" w:hAnsi="Times New Roman" w:cs="Times New Roman"/>
                <w:sz w:val="22"/>
                <w:szCs w:val="22"/>
              </w:rPr>
            </w:pPr>
            <w:r w:rsidRPr="00322718">
              <w:rPr>
                <w:rFonts w:ascii="Times New Roman" w:hAnsi="Times New Roman" w:cs="Times New Roman"/>
                <w:sz w:val="22"/>
                <w:szCs w:val="22"/>
              </w:rPr>
              <w:t>DR-BNI intervention</w:t>
            </w:r>
          </w:p>
        </w:tc>
        <w:tc>
          <w:tcPr>
            <w:tcW w:w="2126" w:type="dxa"/>
            <w:tcBorders>
              <w:bottom w:val="nil"/>
            </w:tcBorders>
          </w:tcPr>
          <w:p w:rsidR="00322718" w:rsidRPr="00322718" w:rsidRDefault="00322718" w:rsidP="004F44AD">
            <w:pPr>
              <w:pStyle w:val="Default"/>
              <w:spacing w:line="276" w:lineRule="auto"/>
              <w:jc w:val="both"/>
              <w:rPr>
                <w:rFonts w:ascii="Times New Roman" w:hAnsi="Times New Roman" w:cs="Times New Roman"/>
                <w:sz w:val="22"/>
                <w:szCs w:val="22"/>
              </w:rPr>
            </w:pPr>
          </w:p>
        </w:tc>
        <w:tc>
          <w:tcPr>
            <w:tcW w:w="2126" w:type="dxa"/>
            <w:tcBorders>
              <w:bottom w:val="nil"/>
            </w:tcBorders>
          </w:tcPr>
          <w:p w:rsidR="00322718" w:rsidRPr="00322718" w:rsidRDefault="00322718" w:rsidP="004F44AD">
            <w:pPr>
              <w:pStyle w:val="Default"/>
              <w:spacing w:line="276" w:lineRule="auto"/>
              <w:jc w:val="both"/>
              <w:rPr>
                <w:rFonts w:ascii="Times New Roman" w:hAnsi="Times New Roman" w:cs="Times New Roman"/>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Build rapport</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113 (100.0%)</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Ask about pros and cons</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113 (100.0%)</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Feedback</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113 (100.0%)</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N/A</w:t>
            </w: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Readiness to change</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111 (98.2%)</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Action plan</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111 (98.2%)</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Goal set</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109 (96.5%)</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bottom w:val="nil"/>
            </w:tcBorders>
          </w:tcPr>
          <w:p w:rsidR="00322718" w:rsidRPr="00322718" w:rsidRDefault="00322718" w:rsidP="004F44AD">
            <w:pPr>
              <w:pStyle w:val="Default"/>
              <w:spacing w:line="276" w:lineRule="auto"/>
              <w:rPr>
                <w:rFonts w:ascii="Times New Roman" w:hAnsi="Times New Roman" w:cs="Times New Roman"/>
                <w:sz w:val="22"/>
                <w:szCs w:val="22"/>
              </w:rPr>
            </w:pPr>
            <w:r w:rsidRPr="00322718">
              <w:rPr>
                <w:rFonts w:ascii="Times New Roman" w:hAnsi="Times New Roman" w:cs="Times New Roman"/>
                <w:sz w:val="22"/>
                <w:szCs w:val="22"/>
              </w:rPr>
              <w:t>Control intervention</w:t>
            </w:r>
          </w:p>
        </w:tc>
        <w:tc>
          <w:tcPr>
            <w:tcW w:w="2126" w:type="dxa"/>
            <w:tcBorders>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Build rapport</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122 (100.0%)</w:t>
            </w: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Ask about other children</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116 (95.1%)</w:t>
            </w:r>
          </w:p>
        </w:tc>
      </w:tr>
      <w:tr w:rsidR="00322718" w:rsidRPr="00322718" w:rsidTr="004F44AD">
        <w:trPr>
          <w:trHeight w:val="80"/>
        </w:trPr>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Future exfoliation</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N/A</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122 (100.0%)</w:t>
            </w: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Future eruption</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122 (100.0%)</w:t>
            </w:r>
          </w:p>
        </w:tc>
      </w:tr>
      <w:tr w:rsidR="00322718" w:rsidRPr="00322718" w:rsidTr="004F44AD">
        <w:tc>
          <w:tcPr>
            <w:tcW w:w="3510" w:type="dxa"/>
            <w:tcBorders>
              <w:top w:val="nil"/>
              <w:bottom w:val="nil"/>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Questions on dental development</w:t>
            </w: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top w:val="nil"/>
              <w:bottom w:val="nil"/>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118 (96.7%)</w:t>
            </w:r>
          </w:p>
        </w:tc>
      </w:tr>
      <w:tr w:rsidR="00322718" w:rsidRPr="00322718" w:rsidTr="004F44AD">
        <w:tc>
          <w:tcPr>
            <w:tcW w:w="3510" w:type="dxa"/>
            <w:tcBorders>
              <w:top w:val="nil"/>
              <w:bottom w:val="single" w:sz="4" w:space="0" w:color="auto"/>
            </w:tcBorders>
          </w:tcPr>
          <w:p w:rsidR="00322718" w:rsidRPr="00322718" w:rsidRDefault="00322718" w:rsidP="004F44AD">
            <w:pPr>
              <w:pStyle w:val="Default"/>
              <w:spacing w:line="276" w:lineRule="auto"/>
              <w:jc w:val="right"/>
              <w:rPr>
                <w:rFonts w:ascii="Times New Roman" w:hAnsi="Times New Roman" w:cs="Times New Roman"/>
                <w:sz w:val="22"/>
                <w:szCs w:val="22"/>
              </w:rPr>
            </w:pPr>
            <w:r w:rsidRPr="00322718">
              <w:rPr>
                <w:rFonts w:ascii="Times New Roman" w:hAnsi="Times New Roman" w:cs="Times New Roman"/>
                <w:sz w:val="22"/>
                <w:szCs w:val="22"/>
              </w:rPr>
              <w:t>Summarise and remind</w:t>
            </w:r>
          </w:p>
        </w:tc>
        <w:tc>
          <w:tcPr>
            <w:tcW w:w="2126" w:type="dxa"/>
            <w:tcBorders>
              <w:top w:val="nil"/>
              <w:bottom w:val="single" w:sz="4" w:space="0" w:color="auto"/>
            </w:tcBorders>
          </w:tcPr>
          <w:p w:rsidR="00322718" w:rsidRPr="00322718" w:rsidRDefault="00322718" w:rsidP="004F44AD">
            <w:pPr>
              <w:pStyle w:val="Default"/>
              <w:ind w:left="426"/>
              <w:rPr>
                <w:rFonts w:ascii="Times New Roman" w:hAnsi="Times New Roman" w:cs="Times New Roman"/>
                <w:color w:val="auto"/>
                <w:sz w:val="22"/>
                <w:szCs w:val="22"/>
              </w:rPr>
            </w:pPr>
          </w:p>
        </w:tc>
        <w:tc>
          <w:tcPr>
            <w:tcW w:w="2126" w:type="dxa"/>
            <w:tcBorders>
              <w:top w:val="nil"/>
              <w:bottom w:val="single" w:sz="4" w:space="0" w:color="auto"/>
            </w:tcBorders>
          </w:tcPr>
          <w:p w:rsidR="00322718" w:rsidRPr="00322718" w:rsidRDefault="00322718" w:rsidP="004F44AD">
            <w:pPr>
              <w:pStyle w:val="Default"/>
              <w:ind w:left="426"/>
              <w:rPr>
                <w:rFonts w:ascii="Times New Roman" w:hAnsi="Times New Roman" w:cs="Times New Roman"/>
                <w:color w:val="auto"/>
                <w:sz w:val="22"/>
                <w:szCs w:val="22"/>
              </w:rPr>
            </w:pPr>
            <w:r w:rsidRPr="00322718">
              <w:rPr>
                <w:rFonts w:ascii="Times New Roman" w:hAnsi="Times New Roman" w:cs="Times New Roman"/>
                <w:color w:val="auto"/>
                <w:sz w:val="22"/>
                <w:szCs w:val="22"/>
              </w:rPr>
              <w:t>120 (98.4%)</w:t>
            </w:r>
          </w:p>
        </w:tc>
      </w:tr>
    </w:tbl>
    <w:p w:rsidR="00322718" w:rsidRPr="00322718" w:rsidRDefault="00322718" w:rsidP="00322718">
      <w:pPr>
        <w:rPr>
          <w:rFonts w:ascii="Times New Roman" w:hAnsi="Times New Roman" w:cs="Times New Roman"/>
          <w:b/>
        </w:rPr>
      </w:pPr>
    </w:p>
    <w:p w:rsidR="00322718" w:rsidRPr="00322718" w:rsidRDefault="00322718" w:rsidP="00322718">
      <w:pPr>
        <w:rPr>
          <w:rFonts w:ascii="Times New Roman" w:hAnsi="Times New Roman" w:cs="Times New Roman"/>
          <w:b/>
        </w:rPr>
      </w:pPr>
      <w:r w:rsidRPr="00322718">
        <w:rPr>
          <w:rFonts w:ascii="Times New Roman" w:hAnsi="Times New Roman" w:cs="Times New Roman"/>
          <w:b/>
        </w:rPr>
        <w:t>Preventive goals agreed with parents in the DR-BNI group</w:t>
      </w:r>
    </w:p>
    <w:p w:rsidR="00322718" w:rsidRPr="00322718" w:rsidRDefault="00322718" w:rsidP="00322718">
      <w:pPr>
        <w:pStyle w:val="NormalWeb"/>
        <w:rPr>
          <w:sz w:val="22"/>
          <w:szCs w:val="22"/>
        </w:rPr>
      </w:pPr>
      <w:r w:rsidRPr="00322718">
        <w:rPr>
          <w:sz w:val="22"/>
          <w:szCs w:val="22"/>
        </w:rPr>
        <w:t>The goals agreed with each participant focused specifically on dietary change and increasing brushing/oral hygiene behaviours, in a few cases goals related to increasing dental attendance. Overall, 94 behaviour change goals were agreed with participants of which 82% related to changing diet (reducing sugar; having sugar at mealtimes) and 68, 60% focused on increasing brushing/oral hygiene behaviour. There were 50 single behaviour goals agreed, 44% of the total; of these 37 (74%) related to a sugar behaviour and 12 (24%) were for a brushing/oral hygiene behaviour. From the goals agreed, there are very few examples of generic goals to reduce sugar, brush twice a day and go to the dentist; rather there are more examples of specific goals which are tailored to the child/family’s individual circumstances. Examples of these include: “</w:t>
      </w:r>
      <w:r w:rsidRPr="00322718">
        <w:rPr>
          <w:i/>
          <w:sz w:val="22"/>
          <w:szCs w:val="22"/>
        </w:rPr>
        <w:t>keep yogurts to meal times</w:t>
      </w:r>
      <w:r w:rsidRPr="00322718">
        <w:rPr>
          <w:sz w:val="22"/>
          <w:szCs w:val="22"/>
        </w:rPr>
        <w:t>”; “</w:t>
      </w:r>
      <w:r w:rsidRPr="00322718">
        <w:rPr>
          <w:i/>
          <w:sz w:val="22"/>
          <w:szCs w:val="22"/>
        </w:rPr>
        <w:t>cut down on milkshakes between meals</w:t>
      </w:r>
      <w:r w:rsidRPr="00322718">
        <w:rPr>
          <w:sz w:val="22"/>
          <w:szCs w:val="22"/>
        </w:rPr>
        <w:t>”; “</w:t>
      </w:r>
      <w:r w:rsidRPr="00322718">
        <w:rPr>
          <w:i/>
          <w:sz w:val="22"/>
          <w:szCs w:val="22"/>
        </w:rPr>
        <w:t>Try a flavour-free toothpaste</w:t>
      </w:r>
      <w:r w:rsidRPr="00322718">
        <w:rPr>
          <w:sz w:val="22"/>
          <w:szCs w:val="22"/>
        </w:rPr>
        <w:t>”; “</w:t>
      </w:r>
      <w:r w:rsidRPr="00322718">
        <w:rPr>
          <w:i/>
          <w:sz w:val="22"/>
          <w:szCs w:val="22"/>
        </w:rPr>
        <w:t>having no sugar in milk</w:t>
      </w:r>
      <w:r w:rsidRPr="00322718">
        <w:rPr>
          <w:sz w:val="22"/>
          <w:szCs w:val="22"/>
        </w:rPr>
        <w:t>”; “</w:t>
      </w:r>
      <w:r w:rsidRPr="00322718">
        <w:rPr>
          <w:i/>
          <w:sz w:val="22"/>
          <w:szCs w:val="22"/>
        </w:rPr>
        <w:t>Supervise bed time brushing every night</w:t>
      </w:r>
      <w:r w:rsidRPr="00322718">
        <w:rPr>
          <w:sz w:val="22"/>
          <w:szCs w:val="22"/>
        </w:rPr>
        <w:t>”.  In addition, there are examples of agreed activities that will help reach the goal for example: “</w:t>
      </w:r>
      <w:r w:rsidRPr="00322718">
        <w:rPr>
          <w:i/>
          <w:sz w:val="22"/>
          <w:szCs w:val="22"/>
        </w:rPr>
        <w:t>Move treat cupboard out of reach and in jars so that kids can't help themselves</w:t>
      </w:r>
      <w:r w:rsidRPr="00322718">
        <w:rPr>
          <w:sz w:val="22"/>
          <w:szCs w:val="22"/>
        </w:rPr>
        <w:t>”; “</w:t>
      </w:r>
      <w:r w:rsidRPr="00322718">
        <w:rPr>
          <w:i/>
          <w:sz w:val="22"/>
          <w:szCs w:val="22"/>
        </w:rPr>
        <w:t>Stop offering flavoured water all day – just water (plain)</w:t>
      </w:r>
      <w:r w:rsidRPr="00322718">
        <w:rPr>
          <w:sz w:val="22"/>
          <w:szCs w:val="22"/>
        </w:rPr>
        <w:t>”; “</w:t>
      </w:r>
      <w:r w:rsidRPr="00322718">
        <w:rPr>
          <w:i/>
          <w:sz w:val="22"/>
          <w:szCs w:val="22"/>
        </w:rPr>
        <w:t>Swapping juice for milk</w:t>
      </w:r>
      <w:r w:rsidRPr="00322718">
        <w:rPr>
          <w:sz w:val="22"/>
          <w:szCs w:val="22"/>
        </w:rPr>
        <w:t>”; “</w:t>
      </w:r>
      <w:r w:rsidRPr="00322718">
        <w:rPr>
          <w:i/>
          <w:sz w:val="22"/>
          <w:szCs w:val="22"/>
        </w:rPr>
        <w:t>Not to buy chocolate in weekly shop</w:t>
      </w:r>
      <w:r w:rsidRPr="00322718">
        <w:rPr>
          <w:sz w:val="22"/>
          <w:szCs w:val="22"/>
        </w:rPr>
        <w:t xml:space="preserve">”. </w:t>
      </w:r>
    </w:p>
    <w:p w:rsidR="00322718" w:rsidRPr="00322718" w:rsidRDefault="00322718">
      <w:pPr>
        <w:rPr>
          <w:rFonts w:ascii="Times New Roman" w:hAnsi="Times New Roman" w:cs="Times New Roman"/>
          <w:sz w:val="24"/>
          <w:szCs w:val="24"/>
        </w:rPr>
      </w:pPr>
      <w:r w:rsidRPr="00322718">
        <w:rPr>
          <w:rFonts w:ascii="Times New Roman" w:hAnsi="Times New Roman" w:cs="Times New Roman"/>
          <w:sz w:val="24"/>
          <w:szCs w:val="24"/>
        </w:rPr>
        <w:br w:type="page"/>
      </w:r>
    </w:p>
    <w:p w:rsidR="00322718" w:rsidRPr="00322718" w:rsidRDefault="00322718" w:rsidP="00322718">
      <w:pPr>
        <w:rPr>
          <w:rFonts w:ascii="Times New Roman" w:hAnsi="Times New Roman" w:cs="Times New Roman"/>
          <w:b/>
        </w:rPr>
      </w:pPr>
      <w:r w:rsidRPr="00322718">
        <w:rPr>
          <w:rFonts w:ascii="Times New Roman" w:hAnsi="Times New Roman" w:cs="Times New Roman"/>
          <w:b/>
        </w:rPr>
        <w:lastRenderedPageBreak/>
        <w:t>Appendix 3: Further details on governance and acknowledgements</w:t>
      </w:r>
    </w:p>
    <w:p w:rsidR="00322718" w:rsidRPr="00322718" w:rsidRDefault="00322718" w:rsidP="00322718">
      <w:pPr>
        <w:rPr>
          <w:rFonts w:ascii="Times New Roman" w:hAnsi="Times New Roman" w:cs="Times New Roman"/>
        </w:rPr>
      </w:pPr>
    </w:p>
    <w:p w:rsidR="00322718" w:rsidRPr="00322718" w:rsidRDefault="00322718" w:rsidP="00322718">
      <w:pPr>
        <w:rPr>
          <w:rFonts w:ascii="Times New Roman" w:hAnsi="Times New Roman" w:cs="Times New Roman"/>
          <w:b/>
        </w:rPr>
      </w:pPr>
      <w:r w:rsidRPr="00322718">
        <w:rPr>
          <w:rFonts w:ascii="Times New Roman" w:hAnsi="Times New Roman" w:cs="Times New Roman"/>
          <w:b/>
        </w:rPr>
        <w:t>Governance</w:t>
      </w:r>
    </w:p>
    <w:p w:rsidR="00322718" w:rsidRPr="00322718" w:rsidRDefault="00322718" w:rsidP="00322718">
      <w:pPr>
        <w:rPr>
          <w:rFonts w:ascii="Times New Roman" w:hAnsi="Times New Roman" w:cs="Times New Roman"/>
        </w:rPr>
      </w:pPr>
      <w:r w:rsidRPr="00322718">
        <w:rPr>
          <w:rFonts w:ascii="Times New Roman" w:hAnsi="Times New Roman" w:cs="Times New Roman"/>
        </w:rPr>
        <w:t>Local NHS permissions (R&amp;D approval) for individual sites and participating GDPs have been obtained from the Clinical Research Network Greater Manchester, The Royal Liverpool and Broadgreen University Hospitals NHS Trust, Clinical Research Network - North West Coast, Tayside Medical Science Centre, RM&amp;G Consortium for Kent &amp; Medway, Clinical Research Network North Thames and North East London NHS Foundation Trust. University Liverpool Clinical Trials Unit prepared the randomisation envelopes.</w:t>
      </w:r>
    </w:p>
    <w:p w:rsidR="00322718" w:rsidRPr="00322718" w:rsidRDefault="00322718" w:rsidP="00322718">
      <w:pPr>
        <w:rPr>
          <w:rFonts w:ascii="Times New Roman" w:hAnsi="Times New Roman" w:cs="Times New Roman"/>
          <w:b/>
        </w:rPr>
      </w:pPr>
      <w:r w:rsidRPr="00322718">
        <w:rPr>
          <w:rFonts w:ascii="Times New Roman" w:hAnsi="Times New Roman" w:cs="Times New Roman"/>
          <w:b/>
        </w:rPr>
        <w:t>Acknowledgements</w:t>
      </w:r>
    </w:p>
    <w:p w:rsidR="00322718" w:rsidRPr="00322718" w:rsidRDefault="00322718" w:rsidP="00322718">
      <w:pPr>
        <w:rPr>
          <w:rFonts w:ascii="Times New Roman" w:hAnsi="Times New Roman" w:cs="Times New Roman"/>
          <w:sz w:val="24"/>
          <w:szCs w:val="24"/>
        </w:rPr>
      </w:pPr>
      <w:r w:rsidRPr="00322718">
        <w:rPr>
          <w:rFonts w:ascii="Times New Roman" w:hAnsi="Times New Roman" w:cs="Times New Roman"/>
          <w:sz w:val="24"/>
          <w:szCs w:val="24"/>
        </w:rPr>
        <w:t>Thanks to: The Trial Steering Group chaired by Professor Helen Worthington, University of Manchester and Steering Group members notably Melissa Halford, independent dental member and lay parent member, Jackie Gaskell. Those who contributed to aspects of the protocol development and were recognised as co-authors to that stage or cited in the acknowledgements of the trial protocol paper (Pine et al, 2015). Andrew McKay, trial statistician during the recruitment phase. Trial Administrators: Rebecca Ridley and Mariam Makadum. Administrative support: Teresa Parker and Surjeet Thethi.</w:t>
      </w:r>
    </w:p>
    <w:p w:rsidR="00322718" w:rsidRPr="00322718" w:rsidRDefault="00322718" w:rsidP="00322718">
      <w:pPr>
        <w:rPr>
          <w:rFonts w:ascii="Times New Roman" w:hAnsi="Times New Roman" w:cs="Times New Roman"/>
          <w:sz w:val="24"/>
          <w:szCs w:val="24"/>
        </w:rPr>
      </w:pPr>
      <w:r w:rsidRPr="00322718">
        <w:rPr>
          <w:rFonts w:ascii="Times New Roman" w:hAnsi="Times New Roman" w:cs="Times New Roman"/>
          <w:sz w:val="24"/>
          <w:szCs w:val="24"/>
        </w:rPr>
        <w:t>The NHS Trusts who supported the dental nurses at each Centre, namely:</w:t>
      </w:r>
    </w:p>
    <w:p w:rsidR="00322718" w:rsidRPr="00857971" w:rsidRDefault="00322718" w:rsidP="00322718">
      <w:pPr>
        <w:spacing w:line="240" w:lineRule="auto"/>
        <w:jc w:val="both"/>
        <w:rPr>
          <w:rFonts w:ascii="Times New Roman" w:hAnsi="Times New Roman" w:cs="Times New Roman"/>
          <w:sz w:val="24"/>
          <w:szCs w:val="24"/>
        </w:rPr>
      </w:pPr>
      <w:r w:rsidRPr="00322718">
        <w:rPr>
          <w:rFonts w:ascii="Times New Roman" w:hAnsi="Times New Roman" w:cs="Times New Roman"/>
          <w:sz w:val="24"/>
          <w:szCs w:val="24"/>
        </w:rPr>
        <w:t>Salford Royal NHS Foundation Trust: Louise Morris, Senior Dental Nurse</w:t>
      </w:r>
      <w:r w:rsidRPr="00322718">
        <w:rPr>
          <w:rFonts w:ascii="Times New Roman" w:hAnsi="Times New Roman" w:cs="Times New Roman"/>
        </w:rPr>
        <w:t xml:space="preserve">; </w:t>
      </w:r>
      <w:r w:rsidRPr="00322718">
        <w:rPr>
          <w:rFonts w:ascii="Times New Roman" w:hAnsi="Times New Roman" w:cs="Times New Roman"/>
          <w:sz w:val="24"/>
          <w:szCs w:val="24"/>
        </w:rPr>
        <w:t xml:space="preserve">Barts Health NHS Foundation Trust: Sutinder Saroi and Stacey Teece; </w:t>
      </w:r>
      <w:r w:rsidRPr="00322718">
        <w:rPr>
          <w:rFonts w:ascii="Times New Roman" w:hAnsi="Times New Roman" w:cs="Times New Roman"/>
          <w:bCs/>
          <w:sz w:val="24"/>
          <w:szCs w:val="24"/>
        </w:rPr>
        <w:t>Belfast Health and Social Care Trust: Julie Bonar and Nicola McDowell, Senior Dental Nurses</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Kent</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Community</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Health</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NHS</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Foundation</w:t>
      </w:r>
      <w:r w:rsidRPr="00322718">
        <w:rPr>
          <w:rFonts w:ascii="Times New Roman" w:hAnsi="Times New Roman" w:cs="Times New Roman"/>
          <w:sz w:val="24"/>
          <w:szCs w:val="24"/>
        </w:rPr>
        <w:t xml:space="preserve"> </w:t>
      </w:r>
      <w:r w:rsidRPr="00322718">
        <w:rPr>
          <w:rStyle w:val="highlight"/>
          <w:rFonts w:ascii="Times New Roman" w:hAnsi="Times New Roman" w:cs="Times New Roman"/>
          <w:sz w:val="24"/>
          <w:szCs w:val="24"/>
        </w:rPr>
        <w:t>Trust:</w:t>
      </w:r>
      <w:r w:rsidRPr="00322718">
        <w:rPr>
          <w:rFonts w:ascii="Times New Roman" w:hAnsi="Times New Roman" w:cs="Times New Roman"/>
          <w:sz w:val="24"/>
          <w:szCs w:val="24"/>
        </w:rPr>
        <w:t xml:space="preserve"> Charlotte Marlow and Beverley Gayle</w:t>
      </w:r>
      <w:r w:rsidRPr="00322718">
        <w:rPr>
          <w:rFonts w:ascii="Times New Roman" w:hAnsi="Times New Roman" w:cs="Times New Roman"/>
        </w:rPr>
        <w:t xml:space="preserve">; </w:t>
      </w:r>
      <w:r w:rsidRPr="00322718">
        <w:rPr>
          <w:rFonts w:ascii="Times New Roman" w:hAnsi="Times New Roman" w:cs="Times New Roman"/>
          <w:sz w:val="24"/>
          <w:szCs w:val="24"/>
        </w:rPr>
        <w:t xml:space="preserve">Oral and Clinical Research Unit, Oral and Craniofacial Sciences, King’s College London: Rizwana Dakri Senior Dental Research Nurse; Oral Clinical Research Unit, King’s College London at Guy’s and St Thomas NHS Foundation Trust: Francesca Davies, Dental Nurse Trainer and Assessor King’s College Hospital NHS Trust. Megan Lane, Dental Nurse King’s College Hospital NHS Foundation Trust. North East London NHS Foundation Trust: </w:t>
      </w:r>
      <w:bookmarkStart w:id="1" w:name="_GoBack"/>
      <w:bookmarkEnd w:id="1"/>
      <w:r w:rsidRPr="00322718">
        <w:rPr>
          <w:rFonts w:ascii="Times New Roman" w:hAnsi="Times New Roman" w:cs="Times New Roman"/>
          <w:sz w:val="24"/>
          <w:szCs w:val="24"/>
        </w:rPr>
        <w:t xml:space="preserve">Kerry Whitmore; The Royal Liverpool and Broadgreen University Hospitals NHS Trust: Aimee Shaw Senior Dental Nurse and Bethany Powe Dental Nurse; Sheffield Teaching Hospitals NHS Foundation Trust: Claire Hulme and Vanessa Wilson; </w:t>
      </w:r>
      <w:bookmarkStart w:id="2" w:name="_Hlk13129143"/>
      <w:r w:rsidRPr="00322718">
        <w:rPr>
          <w:rFonts w:ascii="Times New Roman" w:hAnsi="Times New Roman" w:cs="Times New Roman"/>
          <w:sz w:val="24"/>
          <w:szCs w:val="24"/>
        </w:rPr>
        <w:t>Sussex Community Foundation Trust: Eleanor Taylor and Alison McNealy;</w:t>
      </w:r>
      <w:r w:rsidRPr="00322718">
        <w:rPr>
          <w:rFonts w:ascii="Times New Roman" w:hAnsi="Times New Roman" w:cs="Times New Roman"/>
        </w:rPr>
        <w:t xml:space="preserve"> </w:t>
      </w:r>
      <w:bookmarkEnd w:id="2"/>
      <w:r w:rsidRPr="00322718">
        <w:rPr>
          <w:rFonts w:ascii="Times New Roman" w:hAnsi="Times New Roman" w:cs="Times New Roman"/>
          <w:sz w:val="24"/>
          <w:szCs w:val="24"/>
        </w:rPr>
        <w:t>NHS Tayside: Emma Mahoney and Denise Champion.</w:t>
      </w:r>
    </w:p>
    <w:p w:rsidR="00322718" w:rsidRPr="00857971" w:rsidRDefault="00322718" w:rsidP="00322718">
      <w:pPr>
        <w:spacing w:line="240" w:lineRule="auto"/>
        <w:rPr>
          <w:rFonts w:ascii="Times New Roman" w:hAnsi="Times New Roman" w:cs="Times New Roman"/>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322718" w:rsidRDefault="00322718" w:rsidP="00A2200F">
      <w:pPr>
        <w:spacing w:after="11" w:line="360" w:lineRule="auto"/>
        <w:ind w:left="301" w:right="11"/>
        <w:rPr>
          <w:rFonts w:ascii="Times New Roman" w:hAnsi="Times New Roman" w:cs="Times New Roman"/>
          <w:sz w:val="24"/>
          <w:szCs w:val="24"/>
        </w:rPr>
      </w:pPr>
    </w:p>
    <w:p w:rsidR="000C139B" w:rsidRPr="00602F28" w:rsidRDefault="000C139B" w:rsidP="00A2200F">
      <w:pPr>
        <w:spacing w:after="11" w:line="360" w:lineRule="auto"/>
        <w:ind w:left="301" w:right="11"/>
        <w:rPr>
          <w:rFonts w:ascii="Times New Roman" w:hAnsi="Times New Roman" w:cs="Times New Roman"/>
          <w:sz w:val="24"/>
          <w:szCs w:val="24"/>
        </w:rPr>
      </w:pPr>
    </w:p>
    <w:sectPr w:rsidR="000C139B" w:rsidRPr="00602F2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B7" w:rsidRDefault="007D32B7" w:rsidP="00793BAA">
      <w:pPr>
        <w:spacing w:after="0" w:line="240" w:lineRule="auto"/>
      </w:pPr>
      <w:r>
        <w:separator/>
      </w:r>
    </w:p>
  </w:endnote>
  <w:endnote w:type="continuationSeparator" w:id="0">
    <w:p w:rsidR="007D32B7" w:rsidRDefault="007D32B7" w:rsidP="007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38842"/>
      <w:docPartObj>
        <w:docPartGallery w:val="Page Numbers (Bottom of Page)"/>
        <w:docPartUnique/>
      </w:docPartObj>
    </w:sdtPr>
    <w:sdtEndPr>
      <w:rPr>
        <w:noProof/>
      </w:rPr>
    </w:sdtEndPr>
    <w:sdtContent>
      <w:p w:rsidR="00BA2CFD" w:rsidRDefault="00BA2CFD">
        <w:pPr>
          <w:pStyle w:val="Footer"/>
          <w:jc w:val="right"/>
        </w:pPr>
        <w:r>
          <w:fldChar w:fldCharType="begin"/>
        </w:r>
        <w:r>
          <w:instrText xml:space="preserve"> PAGE   \* MERGEFORMAT </w:instrText>
        </w:r>
        <w:r>
          <w:fldChar w:fldCharType="separate"/>
        </w:r>
        <w:r w:rsidR="006D2F38">
          <w:rPr>
            <w:noProof/>
          </w:rPr>
          <w:t>2</w:t>
        </w:r>
        <w:r>
          <w:rPr>
            <w:noProof/>
          </w:rPr>
          <w:fldChar w:fldCharType="end"/>
        </w:r>
      </w:p>
    </w:sdtContent>
  </w:sdt>
  <w:p w:rsidR="00BA2CFD" w:rsidRDefault="00BA2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B7" w:rsidRDefault="007D32B7" w:rsidP="00793BAA">
      <w:pPr>
        <w:spacing w:after="0" w:line="240" w:lineRule="auto"/>
      </w:pPr>
      <w:r>
        <w:separator/>
      </w:r>
    </w:p>
  </w:footnote>
  <w:footnote w:type="continuationSeparator" w:id="0">
    <w:p w:rsidR="007D32B7" w:rsidRDefault="007D32B7" w:rsidP="00793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483E"/>
    <w:multiLevelType w:val="hybridMultilevel"/>
    <w:tmpl w:val="5C2E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6A7377"/>
    <w:multiLevelType w:val="multilevel"/>
    <w:tmpl w:val="C5F83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E1F5F73"/>
    <w:multiLevelType w:val="hybridMultilevel"/>
    <w:tmpl w:val="053C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560A2"/>
    <w:multiLevelType w:val="hybridMultilevel"/>
    <w:tmpl w:val="C568D80A"/>
    <w:lvl w:ilvl="0" w:tplc="9048C79A">
      <w:start w:val="1"/>
      <w:numFmt w:val="decimal"/>
      <w:lvlText w:val="%1."/>
      <w:lvlJc w:val="left"/>
      <w:pPr>
        <w:ind w:left="30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1" w:tplc="0FA6D9FC">
      <w:start w:val="1"/>
      <w:numFmt w:val="lowerLetter"/>
      <w:lvlText w:val="%2"/>
      <w:lvlJc w:val="left"/>
      <w:pPr>
        <w:ind w:left="108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2" w:tplc="1236F87E">
      <w:start w:val="1"/>
      <w:numFmt w:val="lowerRoman"/>
      <w:lvlText w:val="%3"/>
      <w:lvlJc w:val="left"/>
      <w:pPr>
        <w:ind w:left="180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3" w:tplc="96E8B182">
      <w:start w:val="1"/>
      <w:numFmt w:val="decimal"/>
      <w:lvlText w:val="%4"/>
      <w:lvlJc w:val="left"/>
      <w:pPr>
        <w:ind w:left="252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4" w:tplc="737A921E">
      <w:start w:val="1"/>
      <w:numFmt w:val="lowerLetter"/>
      <w:lvlText w:val="%5"/>
      <w:lvlJc w:val="left"/>
      <w:pPr>
        <w:ind w:left="324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5" w:tplc="F5AC737C">
      <w:start w:val="1"/>
      <w:numFmt w:val="lowerRoman"/>
      <w:lvlText w:val="%6"/>
      <w:lvlJc w:val="left"/>
      <w:pPr>
        <w:ind w:left="396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6" w:tplc="F7702088">
      <w:start w:val="1"/>
      <w:numFmt w:val="decimal"/>
      <w:lvlText w:val="%7"/>
      <w:lvlJc w:val="left"/>
      <w:pPr>
        <w:ind w:left="468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7" w:tplc="4C66512A">
      <w:start w:val="1"/>
      <w:numFmt w:val="lowerLetter"/>
      <w:lvlText w:val="%8"/>
      <w:lvlJc w:val="left"/>
      <w:pPr>
        <w:ind w:left="540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lvl w:ilvl="8" w:tplc="41B4F73E">
      <w:start w:val="1"/>
      <w:numFmt w:val="lowerRoman"/>
      <w:lvlText w:val="%9"/>
      <w:lvlJc w:val="left"/>
      <w:pPr>
        <w:ind w:left="6120"/>
      </w:pPr>
      <w:rPr>
        <w:rFonts w:ascii="Calibri" w:eastAsia="Calibri" w:hAnsi="Calibri" w:cs="Calibri"/>
        <w:b w:val="0"/>
        <w:i w:val="0"/>
        <w:strike w:val="0"/>
        <w:dstrike w:val="0"/>
        <w:color w:val="2C2A28"/>
        <w:sz w:val="15"/>
        <w:szCs w:val="15"/>
        <w:u w:val="none" w:color="000000"/>
        <w:bdr w:val="none" w:sz="0" w:space="0" w:color="auto"/>
        <w:shd w:val="clear" w:color="auto" w:fill="auto"/>
        <w:vertAlign w:val="baseline"/>
      </w:rPr>
    </w:lvl>
  </w:abstractNum>
  <w:abstractNum w:abstractNumId="4" w15:restartNumberingAfterBreak="0">
    <w:nsid w:val="582834BC"/>
    <w:multiLevelType w:val="hybridMultilevel"/>
    <w:tmpl w:val="9FCA8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2F4A8A"/>
    <w:multiLevelType w:val="hybridMultilevel"/>
    <w:tmpl w:val="97E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122367"/>
    <w:multiLevelType w:val="hybridMultilevel"/>
    <w:tmpl w:val="BDACE904"/>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35"/>
    <w:rsid w:val="000008E8"/>
    <w:rsid w:val="00003A18"/>
    <w:rsid w:val="000120ED"/>
    <w:rsid w:val="00012189"/>
    <w:rsid w:val="000145AE"/>
    <w:rsid w:val="00016693"/>
    <w:rsid w:val="0001777E"/>
    <w:rsid w:val="00021260"/>
    <w:rsid w:val="00022C19"/>
    <w:rsid w:val="00023116"/>
    <w:rsid w:val="00027B15"/>
    <w:rsid w:val="00031EA4"/>
    <w:rsid w:val="0004241B"/>
    <w:rsid w:val="00054872"/>
    <w:rsid w:val="00054C62"/>
    <w:rsid w:val="00056F23"/>
    <w:rsid w:val="00061B54"/>
    <w:rsid w:val="00062DA4"/>
    <w:rsid w:val="0006513B"/>
    <w:rsid w:val="00073977"/>
    <w:rsid w:val="000763C7"/>
    <w:rsid w:val="00080AB4"/>
    <w:rsid w:val="000826E7"/>
    <w:rsid w:val="00085908"/>
    <w:rsid w:val="000912EC"/>
    <w:rsid w:val="00093968"/>
    <w:rsid w:val="000A0247"/>
    <w:rsid w:val="000A27B0"/>
    <w:rsid w:val="000B1030"/>
    <w:rsid w:val="000C139B"/>
    <w:rsid w:val="000C2DB3"/>
    <w:rsid w:val="000E0449"/>
    <w:rsid w:val="000E0E07"/>
    <w:rsid w:val="000E305A"/>
    <w:rsid w:val="000E5205"/>
    <w:rsid w:val="000E7BB4"/>
    <w:rsid w:val="00102309"/>
    <w:rsid w:val="00105140"/>
    <w:rsid w:val="00107080"/>
    <w:rsid w:val="00111628"/>
    <w:rsid w:val="00114F17"/>
    <w:rsid w:val="00117467"/>
    <w:rsid w:val="001236CE"/>
    <w:rsid w:val="00123ABC"/>
    <w:rsid w:val="0012709D"/>
    <w:rsid w:val="00135F4F"/>
    <w:rsid w:val="00136639"/>
    <w:rsid w:val="00137125"/>
    <w:rsid w:val="00140478"/>
    <w:rsid w:val="00143828"/>
    <w:rsid w:val="001526CF"/>
    <w:rsid w:val="00163B8A"/>
    <w:rsid w:val="00165302"/>
    <w:rsid w:val="0016579D"/>
    <w:rsid w:val="00165D37"/>
    <w:rsid w:val="00174832"/>
    <w:rsid w:val="0017617F"/>
    <w:rsid w:val="00176484"/>
    <w:rsid w:val="00184906"/>
    <w:rsid w:val="00191B50"/>
    <w:rsid w:val="00191C5A"/>
    <w:rsid w:val="00193E49"/>
    <w:rsid w:val="001A2777"/>
    <w:rsid w:val="001A30B7"/>
    <w:rsid w:val="001A4989"/>
    <w:rsid w:val="001B1D50"/>
    <w:rsid w:val="001B3DB2"/>
    <w:rsid w:val="001B3E81"/>
    <w:rsid w:val="001B60F5"/>
    <w:rsid w:val="001C1B3A"/>
    <w:rsid w:val="001C33DC"/>
    <w:rsid w:val="001C5442"/>
    <w:rsid w:val="001C670D"/>
    <w:rsid w:val="001C67DD"/>
    <w:rsid w:val="001D1BDA"/>
    <w:rsid w:val="001D1FEF"/>
    <w:rsid w:val="001D642A"/>
    <w:rsid w:val="001E54AC"/>
    <w:rsid w:val="001F1D1F"/>
    <w:rsid w:val="001F2AB9"/>
    <w:rsid w:val="001F650A"/>
    <w:rsid w:val="00201E4C"/>
    <w:rsid w:val="00205A8C"/>
    <w:rsid w:val="00206478"/>
    <w:rsid w:val="0020655B"/>
    <w:rsid w:val="00227379"/>
    <w:rsid w:val="00227B22"/>
    <w:rsid w:val="00231F35"/>
    <w:rsid w:val="00234CDE"/>
    <w:rsid w:val="002408D1"/>
    <w:rsid w:val="0024249B"/>
    <w:rsid w:val="00245B63"/>
    <w:rsid w:val="00250C5A"/>
    <w:rsid w:val="00252C48"/>
    <w:rsid w:val="00257CD7"/>
    <w:rsid w:val="0026543C"/>
    <w:rsid w:val="0027568B"/>
    <w:rsid w:val="0027694D"/>
    <w:rsid w:val="00276BD9"/>
    <w:rsid w:val="00295992"/>
    <w:rsid w:val="0029700F"/>
    <w:rsid w:val="002B27D0"/>
    <w:rsid w:val="002B3628"/>
    <w:rsid w:val="002C0C04"/>
    <w:rsid w:val="002C65CB"/>
    <w:rsid w:val="002D1DE9"/>
    <w:rsid w:val="002E00EA"/>
    <w:rsid w:val="002F0178"/>
    <w:rsid w:val="002F1ACA"/>
    <w:rsid w:val="002F675B"/>
    <w:rsid w:val="00304260"/>
    <w:rsid w:val="0031136F"/>
    <w:rsid w:val="00312A2D"/>
    <w:rsid w:val="00312FCE"/>
    <w:rsid w:val="00314E36"/>
    <w:rsid w:val="00322718"/>
    <w:rsid w:val="00323653"/>
    <w:rsid w:val="0034043E"/>
    <w:rsid w:val="0035685D"/>
    <w:rsid w:val="003570BE"/>
    <w:rsid w:val="0036415A"/>
    <w:rsid w:val="00364ADA"/>
    <w:rsid w:val="0036620E"/>
    <w:rsid w:val="00370CD2"/>
    <w:rsid w:val="00373D45"/>
    <w:rsid w:val="00382B93"/>
    <w:rsid w:val="00382CD4"/>
    <w:rsid w:val="003913CB"/>
    <w:rsid w:val="00391DF6"/>
    <w:rsid w:val="00397E96"/>
    <w:rsid w:val="003A1923"/>
    <w:rsid w:val="003A37D3"/>
    <w:rsid w:val="003A6A52"/>
    <w:rsid w:val="003B56E0"/>
    <w:rsid w:val="003D2496"/>
    <w:rsid w:val="003E50D1"/>
    <w:rsid w:val="003E63B1"/>
    <w:rsid w:val="003E7313"/>
    <w:rsid w:val="003E7D47"/>
    <w:rsid w:val="003F3F54"/>
    <w:rsid w:val="004119AC"/>
    <w:rsid w:val="00414F26"/>
    <w:rsid w:val="0041635D"/>
    <w:rsid w:val="00421D7C"/>
    <w:rsid w:val="00431A2B"/>
    <w:rsid w:val="00431FCF"/>
    <w:rsid w:val="00434743"/>
    <w:rsid w:val="00437510"/>
    <w:rsid w:val="00440A6F"/>
    <w:rsid w:val="004570E2"/>
    <w:rsid w:val="00467FEB"/>
    <w:rsid w:val="00476AB0"/>
    <w:rsid w:val="00493726"/>
    <w:rsid w:val="004A1987"/>
    <w:rsid w:val="004A22AC"/>
    <w:rsid w:val="004A3D2B"/>
    <w:rsid w:val="004B011A"/>
    <w:rsid w:val="004B684C"/>
    <w:rsid w:val="004B7617"/>
    <w:rsid w:val="004C0D05"/>
    <w:rsid w:val="004C3AD1"/>
    <w:rsid w:val="004C400F"/>
    <w:rsid w:val="004C439E"/>
    <w:rsid w:val="004C6D73"/>
    <w:rsid w:val="004D7EB8"/>
    <w:rsid w:val="004E288E"/>
    <w:rsid w:val="004F2C03"/>
    <w:rsid w:val="00515F06"/>
    <w:rsid w:val="00520B8A"/>
    <w:rsid w:val="00524081"/>
    <w:rsid w:val="00525072"/>
    <w:rsid w:val="00527CC8"/>
    <w:rsid w:val="005316EB"/>
    <w:rsid w:val="00537E2E"/>
    <w:rsid w:val="00541C90"/>
    <w:rsid w:val="00542C56"/>
    <w:rsid w:val="00551F36"/>
    <w:rsid w:val="00564228"/>
    <w:rsid w:val="00565D31"/>
    <w:rsid w:val="00571E40"/>
    <w:rsid w:val="0057331F"/>
    <w:rsid w:val="00574F06"/>
    <w:rsid w:val="00585E3A"/>
    <w:rsid w:val="005B2711"/>
    <w:rsid w:val="005C1E75"/>
    <w:rsid w:val="005D029E"/>
    <w:rsid w:val="005D130E"/>
    <w:rsid w:val="005D7886"/>
    <w:rsid w:val="005E0297"/>
    <w:rsid w:val="005E2BD1"/>
    <w:rsid w:val="005E46D4"/>
    <w:rsid w:val="005E6088"/>
    <w:rsid w:val="005E7F13"/>
    <w:rsid w:val="005F393E"/>
    <w:rsid w:val="00600001"/>
    <w:rsid w:val="00602F28"/>
    <w:rsid w:val="00617E96"/>
    <w:rsid w:val="00622632"/>
    <w:rsid w:val="006259D0"/>
    <w:rsid w:val="00627585"/>
    <w:rsid w:val="00630926"/>
    <w:rsid w:val="006347E6"/>
    <w:rsid w:val="00643E06"/>
    <w:rsid w:val="006508A0"/>
    <w:rsid w:val="00651696"/>
    <w:rsid w:val="00657F6B"/>
    <w:rsid w:val="006676DD"/>
    <w:rsid w:val="00672A6D"/>
    <w:rsid w:val="00673CD4"/>
    <w:rsid w:val="00681B23"/>
    <w:rsid w:val="006900CF"/>
    <w:rsid w:val="00691182"/>
    <w:rsid w:val="00695D30"/>
    <w:rsid w:val="006968E1"/>
    <w:rsid w:val="00697578"/>
    <w:rsid w:val="006B7469"/>
    <w:rsid w:val="006B7F53"/>
    <w:rsid w:val="006C02F8"/>
    <w:rsid w:val="006D2F38"/>
    <w:rsid w:val="006D677F"/>
    <w:rsid w:val="006D7CB4"/>
    <w:rsid w:val="006F1982"/>
    <w:rsid w:val="00702DD9"/>
    <w:rsid w:val="007044A0"/>
    <w:rsid w:val="00705F9A"/>
    <w:rsid w:val="007117A5"/>
    <w:rsid w:val="007117F0"/>
    <w:rsid w:val="00725969"/>
    <w:rsid w:val="00737692"/>
    <w:rsid w:val="007506E3"/>
    <w:rsid w:val="00763A00"/>
    <w:rsid w:val="00771922"/>
    <w:rsid w:val="007762CF"/>
    <w:rsid w:val="007919D8"/>
    <w:rsid w:val="0079385F"/>
    <w:rsid w:val="00793BAA"/>
    <w:rsid w:val="00795077"/>
    <w:rsid w:val="007A2AD3"/>
    <w:rsid w:val="007A3F5F"/>
    <w:rsid w:val="007B09F6"/>
    <w:rsid w:val="007B6600"/>
    <w:rsid w:val="007B7AD6"/>
    <w:rsid w:val="007C0A28"/>
    <w:rsid w:val="007C6B6E"/>
    <w:rsid w:val="007C7C26"/>
    <w:rsid w:val="007C7DEC"/>
    <w:rsid w:val="007D1251"/>
    <w:rsid w:val="007D1911"/>
    <w:rsid w:val="007D32B7"/>
    <w:rsid w:val="007F01A2"/>
    <w:rsid w:val="007F01BA"/>
    <w:rsid w:val="007F6C4B"/>
    <w:rsid w:val="00804700"/>
    <w:rsid w:val="00810F01"/>
    <w:rsid w:val="00811E48"/>
    <w:rsid w:val="00821106"/>
    <w:rsid w:val="00823172"/>
    <w:rsid w:val="00826C68"/>
    <w:rsid w:val="008303BA"/>
    <w:rsid w:val="00832F6C"/>
    <w:rsid w:val="0084434E"/>
    <w:rsid w:val="00845D80"/>
    <w:rsid w:val="00857BE3"/>
    <w:rsid w:val="00857E3F"/>
    <w:rsid w:val="0086071A"/>
    <w:rsid w:val="00866F5E"/>
    <w:rsid w:val="00877A34"/>
    <w:rsid w:val="008805BB"/>
    <w:rsid w:val="008900EE"/>
    <w:rsid w:val="00891B61"/>
    <w:rsid w:val="008934F5"/>
    <w:rsid w:val="00893D2F"/>
    <w:rsid w:val="00894C4D"/>
    <w:rsid w:val="00896DD2"/>
    <w:rsid w:val="008A2A0D"/>
    <w:rsid w:val="008C5F5A"/>
    <w:rsid w:val="008E071E"/>
    <w:rsid w:val="008E0BD4"/>
    <w:rsid w:val="008E4481"/>
    <w:rsid w:val="009042A7"/>
    <w:rsid w:val="0091574E"/>
    <w:rsid w:val="0091687A"/>
    <w:rsid w:val="00922C79"/>
    <w:rsid w:val="00923F43"/>
    <w:rsid w:val="00934B5B"/>
    <w:rsid w:val="00950DBA"/>
    <w:rsid w:val="00952CCF"/>
    <w:rsid w:val="00957699"/>
    <w:rsid w:val="0096313A"/>
    <w:rsid w:val="00963759"/>
    <w:rsid w:val="00971B46"/>
    <w:rsid w:val="009722B5"/>
    <w:rsid w:val="00976FE2"/>
    <w:rsid w:val="009809A9"/>
    <w:rsid w:val="00986F4B"/>
    <w:rsid w:val="009B08CE"/>
    <w:rsid w:val="009B4069"/>
    <w:rsid w:val="009B60BE"/>
    <w:rsid w:val="009C5E7D"/>
    <w:rsid w:val="009C7A28"/>
    <w:rsid w:val="009D1399"/>
    <w:rsid w:val="009D799D"/>
    <w:rsid w:val="009E3735"/>
    <w:rsid w:val="009E7466"/>
    <w:rsid w:val="00A0136A"/>
    <w:rsid w:val="00A043AC"/>
    <w:rsid w:val="00A0471C"/>
    <w:rsid w:val="00A0656E"/>
    <w:rsid w:val="00A0691C"/>
    <w:rsid w:val="00A07410"/>
    <w:rsid w:val="00A208B5"/>
    <w:rsid w:val="00A21B2C"/>
    <w:rsid w:val="00A2200F"/>
    <w:rsid w:val="00A30B64"/>
    <w:rsid w:val="00A31481"/>
    <w:rsid w:val="00A32E5C"/>
    <w:rsid w:val="00A33675"/>
    <w:rsid w:val="00A4721B"/>
    <w:rsid w:val="00A51C90"/>
    <w:rsid w:val="00A54E56"/>
    <w:rsid w:val="00A576EA"/>
    <w:rsid w:val="00A61B52"/>
    <w:rsid w:val="00A8048C"/>
    <w:rsid w:val="00A848F8"/>
    <w:rsid w:val="00A84A46"/>
    <w:rsid w:val="00A93DA9"/>
    <w:rsid w:val="00AA0627"/>
    <w:rsid w:val="00AA0739"/>
    <w:rsid w:val="00AA6E0B"/>
    <w:rsid w:val="00AB0CDF"/>
    <w:rsid w:val="00AB7547"/>
    <w:rsid w:val="00AC1A75"/>
    <w:rsid w:val="00AC2CAB"/>
    <w:rsid w:val="00AD329B"/>
    <w:rsid w:val="00AF1319"/>
    <w:rsid w:val="00B01BF9"/>
    <w:rsid w:val="00B05B97"/>
    <w:rsid w:val="00B102EA"/>
    <w:rsid w:val="00B17475"/>
    <w:rsid w:val="00B21D0B"/>
    <w:rsid w:val="00B238DC"/>
    <w:rsid w:val="00B32D6B"/>
    <w:rsid w:val="00B34248"/>
    <w:rsid w:val="00B41E4E"/>
    <w:rsid w:val="00B43AE3"/>
    <w:rsid w:val="00B470E4"/>
    <w:rsid w:val="00B50C24"/>
    <w:rsid w:val="00B50D29"/>
    <w:rsid w:val="00B5426D"/>
    <w:rsid w:val="00B65F3E"/>
    <w:rsid w:val="00B73AD7"/>
    <w:rsid w:val="00B77A9B"/>
    <w:rsid w:val="00B84546"/>
    <w:rsid w:val="00BA2CFD"/>
    <w:rsid w:val="00BA44D9"/>
    <w:rsid w:val="00BA7DE0"/>
    <w:rsid w:val="00BB0212"/>
    <w:rsid w:val="00BB1DE4"/>
    <w:rsid w:val="00BB2AAF"/>
    <w:rsid w:val="00BC0BF5"/>
    <w:rsid w:val="00BC7FB8"/>
    <w:rsid w:val="00BD0010"/>
    <w:rsid w:val="00BE1452"/>
    <w:rsid w:val="00BE1C12"/>
    <w:rsid w:val="00BE3448"/>
    <w:rsid w:val="00BE767E"/>
    <w:rsid w:val="00BF2223"/>
    <w:rsid w:val="00BF5E64"/>
    <w:rsid w:val="00C061EB"/>
    <w:rsid w:val="00C07EC7"/>
    <w:rsid w:val="00C14821"/>
    <w:rsid w:val="00C15347"/>
    <w:rsid w:val="00C17319"/>
    <w:rsid w:val="00C24806"/>
    <w:rsid w:val="00C3033F"/>
    <w:rsid w:val="00C42AC0"/>
    <w:rsid w:val="00C52B35"/>
    <w:rsid w:val="00C573C7"/>
    <w:rsid w:val="00C64CA8"/>
    <w:rsid w:val="00C6525E"/>
    <w:rsid w:val="00C6614D"/>
    <w:rsid w:val="00C70A8B"/>
    <w:rsid w:val="00C737DB"/>
    <w:rsid w:val="00C84037"/>
    <w:rsid w:val="00C908B9"/>
    <w:rsid w:val="00CA613B"/>
    <w:rsid w:val="00CB4E6E"/>
    <w:rsid w:val="00CC3555"/>
    <w:rsid w:val="00CD0087"/>
    <w:rsid w:val="00CD15B7"/>
    <w:rsid w:val="00CD18E2"/>
    <w:rsid w:val="00CD5130"/>
    <w:rsid w:val="00CE2662"/>
    <w:rsid w:val="00CE51BF"/>
    <w:rsid w:val="00CF3F82"/>
    <w:rsid w:val="00D05294"/>
    <w:rsid w:val="00D16B86"/>
    <w:rsid w:val="00D16E91"/>
    <w:rsid w:val="00D31791"/>
    <w:rsid w:val="00D35572"/>
    <w:rsid w:val="00D35CD6"/>
    <w:rsid w:val="00D4025D"/>
    <w:rsid w:val="00D438B5"/>
    <w:rsid w:val="00D512B8"/>
    <w:rsid w:val="00D52684"/>
    <w:rsid w:val="00D757EC"/>
    <w:rsid w:val="00D76CAA"/>
    <w:rsid w:val="00D9540B"/>
    <w:rsid w:val="00D96014"/>
    <w:rsid w:val="00DA5D82"/>
    <w:rsid w:val="00DB265F"/>
    <w:rsid w:val="00DB6FE3"/>
    <w:rsid w:val="00DC3F24"/>
    <w:rsid w:val="00DC40CD"/>
    <w:rsid w:val="00DC7AE8"/>
    <w:rsid w:val="00DD2C89"/>
    <w:rsid w:val="00DD37BB"/>
    <w:rsid w:val="00DE1AB2"/>
    <w:rsid w:val="00DE7107"/>
    <w:rsid w:val="00DF7341"/>
    <w:rsid w:val="00DF742D"/>
    <w:rsid w:val="00E05B4D"/>
    <w:rsid w:val="00E1287D"/>
    <w:rsid w:val="00E27BF3"/>
    <w:rsid w:val="00E3127C"/>
    <w:rsid w:val="00E365AD"/>
    <w:rsid w:val="00E379A0"/>
    <w:rsid w:val="00E423ED"/>
    <w:rsid w:val="00E457FA"/>
    <w:rsid w:val="00E52922"/>
    <w:rsid w:val="00E554FB"/>
    <w:rsid w:val="00E76BFB"/>
    <w:rsid w:val="00E774A1"/>
    <w:rsid w:val="00E84798"/>
    <w:rsid w:val="00E87D28"/>
    <w:rsid w:val="00E87D2B"/>
    <w:rsid w:val="00EA1D48"/>
    <w:rsid w:val="00EA2EFC"/>
    <w:rsid w:val="00EA35F8"/>
    <w:rsid w:val="00EA3BC3"/>
    <w:rsid w:val="00EA4018"/>
    <w:rsid w:val="00EA4C57"/>
    <w:rsid w:val="00EB56DE"/>
    <w:rsid w:val="00EC6920"/>
    <w:rsid w:val="00ED01EF"/>
    <w:rsid w:val="00ED02ED"/>
    <w:rsid w:val="00EF3682"/>
    <w:rsid w:val="00F05175"/>
    <w:rsid w:val="00F05684"/>
    <w:rsid w:val="00F143D9"/>
    <w:rsid w:val="00F24FE5"/>
    <w:rsid w:val="00F33044"/>
    <w:rsid w:val="00F33228"/>
    <w:rsid w:val="00F36505"/>
    <w:rsid w:val="00F4000B"/>
    <w:rsid w:val="00F464A7"/>
    <w:rsid w:val="00F549AF"/>
    <w:rsid w:val="00F66F07"/>
    <w:rsid w:val="00F708C0"/>
    <w:rsid w:val="00F740C9"/>
    <w:rsid w:val="00F753CA"/>
    <w:rsid w:val="00F85782"/>
    <w:rsid w:val="00F904E7"/>
    <w:rsid w:val="00F94170"/>
    <w:rsid w:val="00F96AEB"/>
    <w:rsid w:val="00F97521"/>
    <w:rsid w:val="00FC2F7E"/>
    <w:rsid w:val="00FC3FA1"/>
    <w:rsid w:val="00FD12A1"/>
    <w:rsid w:val="00FE1BD4"/>
    <w:rsid w:val="00FE2738"/>
    <w:rsid w:val="00FE77DF"/>
    <w:rsid w:val="00FE7CB2"/>
    <w:rsid w:val="00FF132A"/>
    <w:rsid w:val="00FF54CE"/>
    <w:rsid w:val="00FF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9579"/>
  <w15:docId w15:val="{EA129ECF-4A02-4226-AC87-08FA692E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35"/>
  </w:style>
  <w:style w:type="paragraph" w:styleId="Heading1">
    <w:name w:val="heading 1"/>
    <w:aliases w:val="Heading 1 SOP"/>
    <w:basedOn w:val="Normal"/>
    <w:next w:val="BodyText"/>
    <w:link w:val="Heading1Char"/>
    <w:autoRedefine/>
    <w:uiPriority w:val="9"/>
    <w:qFormat/>
    <w:rsid w:val="00B470E4"/>
    <w:pPr>
      <w:tabs>
        <w:tab w:val="center" w:pos="4153"/>
        <w:tab w:val="right" w:pos="8306"/>
      </w:tabs>
      <w:spacing w:before="240" w:after="120" w:line="240" w:lineRule="auto"/>
      <w:ind w:left="432" w:hanging="432"/>
      <w:outlineLvl w:val="0"/>
    </w:pPr>
    <w:rPr>
      <w:rFonts w:ascii="Arial" w:eastAsia="Times New Roman" w:hAnsi="Arial" w:cs="Arial"/>
      <w:b/>
      <w:sz w:val="28"/>
      <w:szCs w:val="24"/>
    </w:rPr>
  </w:style>
  <w:style w:type="paragraph" w:styleId="Heading2">
    <w:name w:val="heading 2"/>
    <w:aliases w:val="Heading 2 SOP"/>
    <w:basedOn w:val="Normal"/>
    <w:next w:val="BodyText"/>
    <w:link w:val="Heading2Char"/>
    <w:autoRedefine/>
    <w:uiPriority w:val="9"/>
    <w:qFormat/>
    <w:rsid w:val="00845D80"/>
    <w:pPr>
      <w:keepNext/>
      <w:keepLines/>
      <w:spacing w:after="0" w:line="240" w:lineRule="auto"/>
      <w:jc w:val="both"/>
      <w:outlineLvl w:val="1"/>
    </w:pPr>
    <w:rPr>
      <w:rFonts w:ascii="Times New Roman" w:eastAsia="Times New Roman" w:hAnsi="Times New Roman" w:cs="Times New Roman"/>
      <w:b/>
      <w:bCs/>
    </w:rPr>
  </w:style>
  <w:style w:type="paragraph" w:styleId="Heading3">
    <w:name w:val="heading 3"/>
    <w:aliases w:val="Heading 3 SOP"/>
    <w:basedOn w:val="Normal"/>
    <w:next w:val="Normal"/>
    <w:link w:val="Heading3Char"/>
    <w:uiPriority w:val="9"/>
    <w:unhideWhenUsed/>
    <w:qFormat/>
    <w:rsid w:val="00276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4 SOP"/>
    <w:basedOn w:val="Normal"/>
    <w:next w:val="Normal"/>
    <w:link w:val="Heading4Char"/>
    <w:autoRedefine/>
    <w:uiPriority w:val="9"/>
    <w:qFormat/>
    <w:rsid w:val="007F01A2"/>
    <w:pPr>
      <w:keepNext/>
      <w:tabs>
        <w:tab w:val="left" w:pos="0"/>
        <w:tab w:val="left" w:pos="1530"/>
      </w:tabs>
      <w:spacing w:before="200" w:after="120" w:line="240" w:lineRule="auto"/>
      <w:ind w:left="864" w:hanging="864"/>
      <w:jc w:val="both"/>
      <w:outlineLvl w:val="3"/>
    </w:pPr>
    <w:rPr>
      <w:rFonts w:ascii="Times New Roman" w:eastAsia="Times New Roman" w:hAnsi="Times New Roman" w:cs="Times New Roman"/>
      <w:bCs/>
      <w:kern w:val="36"/>
      <w:sz w:val="24"/>
      <w:szCs w:val="24"/>
      <w:lang w:val="en" w:eastAsia="en-GB"/>
    </w:rPr>
  </w:style>
  <w:style w:type="paragraph" w:styleId="Heading5">
    <w:name w:val="heading 5"/>
    <w:basedOn w:val="Normal"/>
    <w:next w:val="Normal"/>
    <w:link w:val="Heading5Char"/>
    <w:uiPriority w:val="9"/>
    <w:qFormat/>
    <w:rsid w:val="00B470E4"/>
    <w:pPr>
      <w:keepNext/>
      <w:spacing w:after="0" w:line="240" w:lineRule="auto"/>
      <w:ind w:left="1008" w:hanging="1008"/>
      <w:jc w:val="center"/>
      <w:outlineLvl w:val="4"/>
    </w:pPr>
    <w:rPr>
      <w:rFonts w:ascii="Arial" w:eastAsia="Times New Roman" w:hAnsi="Arial" w:cs="Times New Roman"/>
      <w:b/>
      <w:bCs/>
      <w:sz w:val="32"/>
      <w:szCs w:val="24"/>
    </w:rPr>
  </w:style>
  <w:style w:type="paragraph" w:styleId="Heading6">
    <w:name w:val="heading 6"/>
    <w:basedOn w:val="Normal"/>
    <w:next w:val="Normal"/>
    <w:link w:val="Heading6Char"/>
    <w:uiPriority w:val="9"/>
    <w:qFormat/>
    <w:rsid w:val="00B470E4"/>
    <w:pPr>
      <w:keepNext/>
      <w:spacing w:after="0" w:line="240" w:lineRule="auto"/>
      <w:ind w:left="1152" w:hanging="1152"/>
      <w:jc w:val="both"/>
      <w:outlineLvl w:val="5"/>
    </w:pPr>
    <w:rPr>
      <w:rFonts w:ascii="Arial" w:eastAsia="Times New Roman" w:hAnsi="Arial" w:cs="Times New Roman"/>
      <w:b/>
      <w:szCs w:val="24"/>
    </w:rPr>
  </w:style>
  <w:style w:type="paragraph" w:styleId="Heading7">
    <w:name w:val="heading 7"/>
    <w:basedOn w:val="Normal"/>
    <w:next w:val="Normal"/>
    <w:link w:val="Heading7Char"/>
    <w:uiPriority w:val="9"/>
    <w:qFormat/>
    <w:rsid w:val="00B470E4"/>
    <w:pPr>
      <w:keepNext/>
      <w:spacing w:after="0" w:line="240" w:lineRule="auto"/>
      <w:ind w:left="1296" w:hanging="1296"/>
      <w:jc w:val="both"/>
      <w:outlineLvl w:val="6"/>
    </w:pPr>
    <w:rPr>
      <w:rFonts w:ascii="Arial" w:eastAsia="Times New Roman" w:hAnsi="Arial" w:cs="Times New Roman"/>
      <w:b/>
      <w:bCs/>
      <w:szCs w:val="24"/>
    </w:rPr>
  </w:style>
  <w:style w:type="paragraph" w:styleId="Heading8">
    <w:name w:val="heading 8"/>
    <w:basedOn w:val="Normal"/>
    <w:next w:val="Normal"/>
    <w:link w:val="Heading8Char"/>
    <w:uiPriority w:val="9"/>
    <w:qFormat/>
    <w:rsid w:val="00B470E4"/>
    <w:pPr>
      <w:keepNext/>
      <w:spacing w:after="0" w:line="240" w:lineRule="auto"/>
      <w:ind w:left="1440" w:hanging="1440"/>
      <w:jc w:val="both"/>
      <w:outlineLvl w:val="7"/>
    </w:pPr>
    <w:rPr>
      <w:rFonts w:ascii="Arial" w:eastAsia="Times New Roman" w:hAnsi="Arial" w:cs="Times New Roman"/>
      <w:b/>
      <w:bCs/>
      <w:szCs w:val="24"/>
    </w:rPr>
  </w:style>
  <w:style w:type="paragraph" w:styleId="Heading9">
    <w:name w:val="heading 9"/>
    <w:basedOn w:val="Normal"/>
    <w:next w:val="Normal"/>
    <w:link w:val="Heading9Char"/>
    <w:uiPriority w:val="9"/>
    <w:qFormat/>
    <w:rsid w:val="00B470E4"/>
    <w:pPr>
      <w:spacing w:before="240" w:after="60" w:line="240" w:lineRule="auto"/>
      <w:ind w:left="1584" w:hanging="1584"/>
      <w:jc w:val="both"/>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B342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aliases w:val="Heading 3 SOP Char"/>
    <w:basedOn w:val="DefaultParagraphFont"/>
    <w:link w:val="Heading3"/>
    <w:uiPriority w:val="9"/>
    <w:semiHidden/>
    <w:rsid w:val="0027694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7694D"/>
    <w:rPr>
      <w:color w:val="0000FF"/>
      <w:u w:val="single"/>
    </w:rPr>
  </w:style>
  <w:style w:type="paragraph" w:styleId="Header">
    <w:name w:val="header"/>
    <w:basedOn w:val="Normal"/>
    <w:link w:val="HeaderChar"/>
    <w:uiPriority w:val="99"/>
    <w:unhideWhenUsed/>
    <w:rsid w:val="0079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AA"/>
  </w:style>
  <w:style w:type="paragraph" w:styleId="Footer">
    <w:name w:val="footer"/>
    <w:basedOn w:val="Normal"/>
    <w:link w:val="FooterChar"/>
    <w:uiPriority w:val="99"/>
    <w:unhideWhenUsed/>
    <w:rsid w:val="0079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AA"/>
  </w:style>
  <w:style w:type="character" w:customStyle="1" w:styleId="Heading1Char">
    <w:name w:val="Heading 1 Char"/>
    <w:aliases w:val="Heading 1 SOP Char"/>
    <w:basedOn w:val="DefaultParagraphFont"/>
    <w:link w:val="Heading1"/>
    <w:rsid w:val="00B470E4"/>
    <w:rPr>
      <w:rFonts w:ascii="Arial" w:eastAsia="Times New Roman" w:hAnsi="Arial" w:cs="Arial"/>
      <w:b/>
      <w:sz w:val="28"/>
      <w:szCs w:val="24"/>
    </w:rPr>
  </w:style>
  <w:style w:type="character" w:customStyle="1" w:styleId="Heading2Char">
    <w:name w:val="Heading 2 Char"/>
    <w:aliases w:val="Heading 2 SOP Char"/>
    <w:basedOn w:val="DefaultParagraphFont"/>
    <w:link w:val="Heading2"/>
    <w:uiPriority w:val="9"/>
    <w:rsid w:val="00845D80"/>
    <w:rPr>
      <w:rFonts w:ascii="Times New Roman" w:eastAsia="Times New Roman" w:hAnsi="Times New Roman" w:cs="Times New Roman"/>
      <w:b/>
      <w:bCs/>
    </w:rPr>
  </w:style>
  <w:style w:type="character" w:customStyle="1" w:styleId="Heading4Char">
    <w:name w:val="Heading 4 Char"/>
    <w:aliases w:val="Heading 4 SOP Char"/>
    <w:basedOn w:val="DefaultParagraphFont"/>
    <w:link w:val="Heading4"/>
    <w:uiPriority w:val="9"/>
    <w:rsid w:val="007F01A2"/>
    <w:rPr>
      <w:rFonts w:ascii="Times New Roman" w:eastAsia="Times New Roman" w:hAnsi="Times New Roman" w:cs="Times New Roman"/>
      <w:bCs/>
      <w:kern w:val="36"/>
      <w:sz w:val="24"/>
      <w:szCs w:val="24"/>
      <w:lang w:val="en" w:eastAsia="en-GB"/>
    </w:rPr>
  </w:style>
  <w:style w:type="character" w:customStyle="1" w:styleId="Heading5Char">
    <w:name w:val="Heading 5 Char"/>
    <w:basedOn w:val="DefaultParagraphFont"/>
    <w:link w:val="Heading5"/>
    <w:uiPriority w:val="9"/>
    <w:rsid w:val="00B470E4"/>
    <w:rPr>
      <w:rFonts w:ascii="Arial" w:eastAsia="Times New Roman" w:hAnsi="Arial" w:cs="Times New Roman"/>
      <w:b/>
      <w:bCs/>
      <w:sz w:val="32"/>
      <w:szCs w:val="24"/>
    </w:rPr>
  </w:style>
  <w:style w:type="character" w:customStyle="1" w:styleId="Heading6Char">
    <w:name w:val="Heading 6 Char"/>
    <w:basedOn w:val="DefaultParagraphFont"/>
    <w:link w:val="Heading6"/>
    <w:uiPriority w:val="9"/>
    <w:rsid w:val="00B470E4"/>
    <w:rPr>
      <w:rFonts w:ascii="Arial" w:eastAsia="Times New Roman" w:hAnsi="Arial" w:cs="Times New Roman"/>
      <w:b/>
      <w:szCs w:val="24"/>
    </w:rPr>
  </w:style>
  <w:style w:type="character" w:customStyle="1" w:styleId="Heading7Char">
    <w:name w:val="Heading 7 Char"/>
    <w:basedOn w:val="DefaultParagraphFont"/>
    <w:link w:val="Heading7"/>
    <w:uiPriority w:val="9"/>
    <w:rsid w:val="00B470E4"/>
    <w:rPr>
      <w:rFonts w:ascii="Arial" w:eastAsia="Times New Roman" w:hAnsi="Arial" w:cs="Times New Roman"/>
      <w:b/>
      <w:bCs/>
      <w:szCs w:val="24"/>
    </w:rPr>
  </w:style>
  <w:style w:type="character" w:customStyle="1" w:styleId="Heading8Char">
    <w:name w:val="Heading 8 Char"/>
    <w:basedOn w:val="DefaultParagraphFont"/>
    <w:link w:val="Heading8"/>
    <w:uiPriority w:val="9"/>
    <w:rsid w:val="00B470E4"/>
    <w:rPr>
      <w:rFonts w:ascii="Arial" w:eastAsia="Times New Roman" w:hAnsi="Arial" w:cs="Times New Roman"/>
      <w:b/>
      <w:bCs/>
      <w:szCs w:val="24"/>
    </w:rPr>
  </w:style>
  <w:style w:type="character" w:customStyle="1" w:styleId="Heading9Char">
    <w:name w:val="Heading 9 Char"/>
    <w:basedOn w:val="DefaultParagraphFont"/>
    <w:link w:val="Heading9"/>
    <w:uiPriority w:val="9"/>
    <w:rsid w:val="00B470E4"/>
    <w:rPr>
      <w:rFonts w:ascii="Arial" w:eastAsia="Times New Roman" w:hAnsi="Arial" w:cs="Arial"/>
    </w:rPr>
  </w:style>
  <w:style w:type="paragraph" w:styleId="BodyText">
    <w:name w:val="Body Text"/>
    <w:basedOn w:val="Normal"/>
    <w:link w:val="BodyTextChar"/>
    <w:rsid w:val="00B470E4"/>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B470E4"/>
    <w:rPr>
      <w:rFonts w:ascii="Arial" w:eastAsia="Times New Roman" w:hAnsi="Arial" w:cs="Times New Roman"/>
      <w:szCs w:val="24"/>
    </w:rPr>
  </w:style>
  <w:style w:type="paragraph" w:customStyle="1" w:styleId="Default">
    <w:name w:val="Default"/>
    <w:rsid w:val="0065169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6516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1696"/>
    <w:pPr>
      <w:spacing w:after="200" w:line="240" w:lineRule="auto"/>
      <w:jc w:val="both"/>
    </w:pPr>
    <w:rPr>
      <w:rFonts w:ascii="Arial" w:eastAsia="Times New Roman" w:hAnsi="Arial" w:cs="Times New Roman"/>
      <w:b/>
      <w:bCs/>
      <w:color w:val="5B9BD5" w:themeColor="accent1"/>
      <w:sz w:val="18"/>
      <w:szCs w:val="18"/>
    </w:rPr>
  </w:style>
  <w:style w:type="character" w:styleId="CommentReference">
    <w:name w:val="annotation reference"/>
    <w:basedOn w:val="DefaultParagraphFont"/>
    <w:uiPriority w:val="99"/>
    <w:semiHidden/>
    <w:unhideWhenUsed/>
    <w:rsid w:val="008805BB"/>
    <w:rPr>
      <w:sz w:val="16"/>
      <w:szCs w:val="16"/>
    </w:rPr>
  </w:style>
  <w:style w:type="paragraph" w:styleId="CommentText">
    <w:name w:val="annotation text"/>
    <w:basedOn w:val="Normal"/>
    <w:link w:val="CommentTextChar"/>
    <w:uiPriority w:val="99"/>
    <w:semiHidden/>
    <w:unhideWhenUsed/>
    <w:rsid w:val="008805BB"/>
    <w:pPr>
      <w:spacing w:line="240" w:lineRule="auto"/>
    </w:pPr>
    <w:rPr>
      <w:sz w:val="20"/>
      <w:szCs w:val="20"/>
    </w:rPr>
  </w:style>
  <w:style w:type="character" w:customStyle="1" w:styleId="CommentTextChar">
    <w:name w:val="Comment Text Char"/>
    <w:basedOn w:val="DefaultParagraphFont"/>
    <w:link w:val="CommentText"/>
    <w:uiPriority w:val="99"/>
    <w:semiHidden/>
    <w:rsid w:val="008805BB"/>
    <w:rPr>
      <w:sz w:val="20"/>
      <w:szCs w:val="20"/>
    </w:rPr>
  </w:style>
  <w:style w:type="paragraph" w:styleId="CommentSubject">
    <w:name w:val="annotation subject"/>
    <w:basedOn w:val="CommentText"/>
    <w:next w:val="CommentText"/>
    <w:link w:val="CommentSubjectChar"/>
    <w:uiPriority w:val="99"/>
    <w:semiHidden/>
    <w:unhideWhenUsed/>
    <w:rsid w:val="008805BB"/>
    <w:rPr>
      <w:b/>
      <w:bCs/>
    </w:rPr>
  </w:style>
  <w:style w:type="character" w:customStyle="1" w:styleId="CommentSubjectChar">
    <w:name w:val="Comment Subject Char"/>
    <w:basedOn w:val="CommentTextChar"/>
    <w:link w:val="CommentSubject"/>
    <w:uiPriority w:val="99"/>
    <w:semiHidden/>
    <w:rsid w:val="008805BB"/>
    <w:rPr>
      <w:b/>
      <w:bCs/>
      <w:sz w:val="20"/>
      <w:szCs w:val="20"/>
    </w:rPr>
  </w:style>
  <w:style w:type="paragraph" w:styleId="BalloonText">
    <w:name w:val="Balloon Text"/>
    <w:basedOn w:val="Normal"/>
    <w:link w:val="BalloonTextChar"/>
    <w:uiPriority w:val="99"/>
    <w:semiHidden/>
    <w:unhideWhenUsed/>
    <w:rsid w:val="008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BB"/>
    <w:rPr>
      <w:rFonts w:ascii="Segoe UI" w:hAnsi="Segoe UI" w:cs="Segoe UI"/>
      <w:sz w:val="18"/>
      <w:szCs w:val="18"/>
    </w:rPr>
  </w:style>
  <w:style w:type="character" w:customStyle="1" w:styleId="authors">
    <w:name w:val="authors"/>
    <w:basedOn w:val="DefaultParagraphFont"/>
    <w:rsid w:val="00D9540B"/>
  </w:style>
  <w:style w:type="character" w:customStyle="1" w:styleId="date1">
    <w:name w:val="date1"/>
    <w:basedOn w:val="DefaultParagraphFont"/>
    <w:rsid w:val="00D9540B"/>
  </w:style>
  <w:style w:type="character" w:customStyle="1" w:styleId="arttitle">
    <w:name w:val="art_title"/>
    <w:basedOn w:val="DefaultParagraphFont"/>
    <w:rsid w:val="00D9540B"/>
  </w:style>
  <w:style w:type="character" w:customStyle="1" w:styleId="serialtitle">
    <w:name w:val="serial_title"/>
    <w:basedOn w:val="DefaultParagraphFont"/>
    <w:rsid w:val="00D9540B"/>
  </w:style>
  <w:style w:type="character" w:customStyle="1" w:styleId="volumeissue">
    <w:name w:val="volume_issue"/>
    <w:basedOn w:val="DefaultParagraphFont"/>
    <w:rsid w:val="00D9540B"/>
  </w:style>
  <w:style w:type="character" w:customStyle="1" w:styleId="pagerange">
    <w:name w:val="page_range"/>
    <w:basedOn w:val="DefaultParagraphFont"/>
    <w:rsid w:val="00D9540B"/>
  </w:style>
  <w:style w:type="character" w:customStyle="1" w:styleId="doilink">
    <w:name w:val="doi_link"/>
    <w:basedOn w:val="DefaultParagraphFont"/>
    <w:rsid w:val="00D9540B"/>
  </w:style>
  <w:style w:type="paragraph" w:styleId="ListParagraph">
    <w:name w:val="List Paragraph"/>
    <w:basedOn w:val="Normal"/>
    <w:uiPriority w:val="34"/>
    <w:qFormat/>
    <w:rsid w:val="003E50D1"/>
    <w:pPr>
      <w:ind w:left="720"/>
      <w:contextualSpacing/>
    </w:pPr>
  </w:style>
  <w:style w:type="paragraph" w:customStyle="1" w:styleId="xxmsonormal">
    <w:name w:val="x_xmsonormal"/>
    <w:basedOn w:val="Normal"/>
    <w:rsid w:val="00AC2C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AC2CAB"/>
  </w:style>
  <w:style w:type="character" w:customStyle="1" w:styleId="st">
    <w:name w:val="st"/>
    <w:basedOn w:val="DefaultParagraphFont"/>
    <w:rsid w:val="00E457FA"/>
  </w:style>
  <w:style w:type="character" w:customStyle="1" w:styleId="complextitlesecondary">
    <w:name w:val="complextitle_secondary"/>
    <w:basedOn w:val="DefaultParagraphFont"/>
    <w:rsid w:val="001B60F5"/>
  </w:style>
  <w:style w:type="paragraph" w:styleId="NormalWeb">
    <w:name w:val="Normal (Web)"/>
    <w:basedOn w:val="Normal"/>
    <w:uiPriority w:val="99"/>
    <w:unhideWhenUsed/>
    <w:rsid w:val="003227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7619">
      <w:bodyDiv w:val="1"/>
      <w:marLeft w:val="0"/>
      <w:marRight w:val="0"/>
      <w:marTop w:val="0"/>
      <w:marBottom w:val="0"/>
      <w:divBdr>
        <w:top w:val="none" w:sz="0" w:space="0" w:color="auto"/>
        <w:left w:val="none" w:sz="0" w:space="0" w:color="auto"/>
        <w:bottom w:val="none" w:sz="0" w:space="0" w:color="auto"/>
        <w:right w:val="none" w:sz="0" w:space="0" w:color="auto"/>
      </w:divBdr>
      <w:divsChild>
        <w:div w:id="1971933354">
          <w:marLeft w:val="0"/>
          <w:marRight w:val="0"/>
          <w:marTop w:val="0"/>
          <w:marBottom w:val="0"/>
          <w:divBdr>
            <w:top w:val="none" w:sz="0" w:space="0" w:color="auto"/>
            <w:left w:val="none" w:sz="0" w:space="0" w:color="auto"/>
            <w:bottom w:val="none" w:sz="0" w:space="0" w:color="auto"/>
            <w:right w:val="none" w:sz="0" w:space="0" w:color="auto"/>
          </w:divBdr>
        </w:div>
      </w:divsChild>
    </w:div>
    <w:div w:id="1019938676">
      <w:bodyDiv w:val="1"/>
      <w:marLeft w:val="0"/>
      <w:marRight w:val="0"/>
      <w:marTop w:val="0"/>
      <w:marBottom w:val="0"/>
      <w:divBdr>
        <w:top w:val="none" w:sz="0" w:space="0" w:color="auto"/>
        <w:left w:val="none" w:sz="0" w:space="0" w:color="auto"/>
        <w:bottom w:val="none" w:sz="0" w:space="0" w:color="auto"/>
        <w:right w:val="none" w:sz="0" w:space="0" w:color="auto"/>
      </w:divBdr>
      <w:divsChild>
        <w:div w:id="1198657789">
          <w:marLeft w:val="0"/>
          <w:marRight w:val="0"/>
          <w:marTop w:val="0"/>
          <w:marBottom w:val="0"/>
          <w:divBdr>
            <w:top w:val="none" w:sz="0" w:space="0" w:color="auto"/>
            <w:left w:val="none" w:sz="0" w:space="0" w:color="auto"/>
            <w:bottom w:val="none" w:sz="0" w:space="0" w:color="auto"/>
            <w:right w:val="none" w:sz="0" w:space="0" w:color="auto"/>
          </w:divBdr>
          <w:divsChild>
            <w:div w:id="1895115971">
              <w:marLeft w:val="0"/>
              <w:marRight w:val="0"/>
              <w:marTop w:val="0"/>
              <w:marBottom w:val="0"/>
              <w:divBdr>
                <w:top w:val="none" w:sz="0" w:space="0" w:color="auto"/>
                <w:left w:val="none" w:sz="0" w:space="0" w:color="auto"/>
                <w:bottom w:val="none" w:sz="0" w:space="0" w:color="auto"/>
                <w:right w:val="none" w:sz="0" w:space="0" w:color="auto"/>
              </w:divBdr>
              <w:divsChild>
                <w:div w:id="10383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569">
          <w:marLeft w:val="0"/>
          <w:marRight w:val="0"/>
          <w:marTop w:val="0"/>
          <w:marBottom w:val="0"/>
          <w:divBdr>
            <w:top w:val="none" w:sz="0" w:space="0" w:color="auto"/>
            <w:left w:val="none" w:sz="0" w:space="0" w:color="auto"/>
            <w:bottom w:val="none" w:sz="0" w:space="0" w:color="auto"/>
            <w:right w:val="none" w:sz="0" w:space="0" w:color="auto"/>
          </w:divBdr>
          <w:divsChild>
            <w:div w:id="1554924555">
              <w:marLeft w:val="0"/>
              <w:marRight w:val="0"/>
              <w:marTop w:val="0"/>
              <w:marBottom w:val="0"/>
              <w:divBdr>
                <w:top w:val="none" w:sz="0" w:space="0" w:color="auto"/>
                <w:left w:val="none" w:sz="0" w:space="0" w:color="auto"/>
                <w:bottom w:val="none" w:sz="0" w:space="0" w:color="auto"/>
                <w:right w:val="none" w:sz="0" w:space="0" w:color="auto"/>
              </w:divBdr>
              <w:divsChild>
                <w:div w:id="940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272">
          <w:marLeft w:val="0"/>
          <w:marRight w:val="0"/>
          <w:marTop w:val="0"/>
          <w:marBottom w:val="0"/>
          <w:divBdr>
            <w:top w:val="none" w:sz="0" w:space="0" w:color="auto"/>
            <w:left w:val="none" w:sz="0" w:space="0" w:color="auto"/>
            <w:bottom w:val="none" w:sz="0" w:space="0" w:color="auto"/>
            <w:right w:val="none" w:sz="0" w:space="0" w:color="auto"/>
          </w:divBdr>
          <w:divsChild>
            <w:div w:id="1626036784">
              <w:marLeft w:val="0"/>
              <w:marRight w:val="0"/>
              <w:marTop w:val="0"/>
              <w:marBottom w:val="0"/>
              <w:divBdr>
                <w:top w:val="none" w:sz="0" w:space="0" w:color="auto"/>
                <w:left w:val="none" w:sz="0" w:space="0" w:color="auto"/>
                <w:bottom w:val="none" w:sz="0" w:space="0" w:color="auto"/>
                <w:right w:val="none" w:sz="0" w:space="0" w:color="auto"/>
              </w:divBdr>
              <w:divsChild>
                <w:div w:id="8817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407">
          <w:marLeft w:val="0"/>
          <w:marRight w:val="0"/>
          <w:marTop w:val="0"/>
          <w:marBottom w:val="0"/>
          <w:divBdr>
            <w:top w:val="none" w:sz="0" w:space="0" w:color="auto"/>
            <w:left w:val="none" w:sz="0" w:space="0" w:color="auto"/>
            <w:bottom w:val="none" w:sz="0" w:space="0" w:color="auto"/>
            <w:right w:val="none" w:sz="0" w:space="0" w:color="auto"/>
          </w:divBdr>
          <w:divsChild>
            <w:div w:id="404232279">
              <w:marLeft w:val="0"/>
              <w:marRight w:val="0"/>
              <w:marTop w:val="0"/>
              <w:marBottom w:val="0"/>
              <w:divBdr>
                <w:top w:val="none" w:sz="0" w:space="0" w:color="auto"/>
                <w:left w:val="none" w:sz="0" w:space="0" w:color="auto"/>
                <w:bottom w:val="none" w:sz="0" w:space="0" w:color="auto"/>
                <w:right w:val="none" w:sz="0" w:space="0" w:color="auto"/>
              </w:divBdr>
              <w:divsChild>
                <w:div w:id="9144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815">
          <w:marLeft w:val="0"/>
          <w:marRight w:val="0"/>
          <w:marTop w:val="0"/>
          <w:marBottom w:val="0"/>
          <w:divBdr>
            <w:top w:val="none" w:sz="0" w:space="0" w:color="auto"/>
            <w:left w:val="none" w:sz="0" w:space="0" w:color="auto"/>
            <w:bottom w:val="none" w:sz="0" w:space="0" w:color="auto"/>
            <w:right w:val="none" w:sz="0" w:space="0" w:color="auto"/>
          </w:divBdr>
          <w:divsChild>
            <w:div w:id="1055590934">
              <w:marLeft w:val="0"/>
              <w:marRight w:val="0"/>
              <w:marTop w:val="0"/>
              <w:marBottom w:val="0"/>
              <w:divBdr>
                <w:top w:val="none" w:sz="0" w:space="0" w:color="auto"/>
                <w:left w:val="none" w:sz="0" w:space="0" w:color="auto"/>
                <w:bottom w:val="none" w:sz="0" w:space="0" w:color="auto"/>
                <w:right w:val="none" w:sz="0" w:space="0" w:color="auto"/>
              </w:divBdr>
              <w:divsChild>
                <w:div w:id="1644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3691">
      <w:bodyDiv w:val="1"/>
      <w:marLeft w:val="0"/>
      <w:marRight w:val="0"/>
      <w:marTop w:val="0"/>
      <w:marBottom w:val="0"/>
      <w:divBdr>
        <w:top w:val="none" w:sz="0" w:space="0" w:color="auto"/>
        <w:left w:val="none" w:sz="0" w:space="0" w:color="auto"/>
        <w:bottom w:val="none" w:sz="0" w:space="0" w:color="auto"/>
        <w:right w:val="none" w:sz="0" w:space="0" w:color="auto"/>
      </w:divBdr>
      <w:divsChild>
        <w:div w:id="104814076">
          <w:marLeft w:val="0"/>
          <w:marRight w:val="0"/>
          <w:marTop w:val="0"/>
          <w:marBottom w:val="0"/>
          <w:divBdr>
            <w:top w:val="none" w:sz="0" w:space="0" w:color="auto"/>
            <w:left w:val="none" w:sz="0" w:space="0" w:color="auto"/>
            <w:bottom w:val="none" w:sz="0" w:space="0" w:color="auto"/>
            <w:right w:val="none" w:sz="0" w:space="0" w:color="auto"/>
          </w:divBdr>
          <w:divsChild>
            <w:div w:id="156502724">
              <w:marLeft w:val="0"/>
              <w:marRight w:val="0"/>
              <w:marTop w:val="0"/>
              <w:marBottom w:val="0"/>
              <w:divBdr>
                <w:top w:val="none" w:sz="0" w:space="0" w:color="auto"/>
                <w:left w:val="none" w:sz="0" w:space="0" w:color="auto"/>
                <w:bottom w:val="none" w:sz="0" w:space="0" w:color="auto"/>
                <w:right w:val="none" w:sz="0" w:space="0" w:color="auto"/>
              </w:divBdr>
              <w:divsChild>
                <w:div w:id="996152909">
                  <w:marLeft w:val="0"/>
                  <w:marRight w:val="0"/>
                  <w:marTop w:val="0"/>
                  <w:marBottom w:val="0"/>
                  <w:divBdr>
                    <w:top w:val="none" w:sz="0" w:space="0" w:color="auto"/>
                    <w:left w:val="none" w:sz="0" w:space="0" w:color="auto"/>
                    <w:bottom w:val="none" w:sz="0" w:space="0" w:color="auto"/>
                    <w:right w:val="none" w:sz="0" w:space="0" w:color="auto"/>
                  </w:divBdr>
                  <w:divsChild>
                    <w:div w:id="1184593219">
                      <w:marLeft w:val="0"/>
                      <w:marRight w:val="0"/>
                      <w:marTop w:val="0"/>
                      <w:marBottom w:val="0"/>
                      <w:divBdr>
                        <w:top w:val="none" w:sz="0" w:space="0" w:color="auto"/>
                        <w:left w:val="none" w:sz="0" w:space="0" w:color="auto"/>
                        <w:bottom w:val="none" w:sz="0" w:space="0" w:color="auto"/>
                        <w:right w:val="none" w:sz="0" w:space="0" w:color="auto"/>
                      </w:divBdr>
                      <w:divsChild>
                        <w:div w:id="4757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37962">
      <w:bodyDiv w:val="1"/>
      <w:marLeft w:val="0"/>
      <w:marRight w:val="0"/>
      <w:marTop w:val="0"/>
      <w:marBottom w:val="0"/>
      <w:divBdr>
        <w:top w:val="none" w:sz="0" w:space="0" w:color="auto"/>
        <w:left w:val="none" w:sz="0" w:space="0" w:color="auto"/>
        <w:bottom w:val="none" w:sz="0" w:space="0" w:color="auto"/>
        <w:right w:val="none" w:sz="0" w:space="0" w:color="auto"/>
      </w:divBdr>
    </w:div>
    <w:div w:id="2021934359">
      <w:bodyDiv w:val="1"/>
      <w:marLeft w:val="0"/>
      <w:marRight w:val="0"/>
      <w:marTop w:val="0"/>
      <w:marBottom w:val="0"/>
      <w:divBdr>
        <w:top w:val="none" w:sz="0" w:space="0" w:color="auto"/>
        <w:left w:val="none" w:sz="0" w:space="0" w:color="auto"/>
        <w:bottom w:val="none" w:sz="0" w:space="0" w:color="auto"/>
        <w:right w:val="none" w:sz="0" w:space="0" w:color="auto"/>
      </w:divBdr>
    </w:div>
    <w:div w:id="2135129333">
      <w:bodyDiv w:val="1"/>
      <w:marLeft w:val="0"/>
      <w:marRight w:val="0"/>
      <w:marTop w:val="0"/>
      <w:marBottom w:val="0"/>
      <w:divBdr>
        <w:top w:val="none" w:sz="0" w:space="0" w:color="auto"/>
        <w:left w:val="none" w:sz="0" w:space="0" w:color="auto"/>
        <w:bottom w:val="none" w:sz="0" w:space="0" w:color="auto"/>
        <w:right w:val="none" w:sz="0" w:space="0" w:color="auto"/>
      </w:divBdr>
      <w:divsChild>
        <w:div w:id="832528264">
          <w:marLeft w:val="0"/>
          <w:marRight w:val="0"/>
          <w:marTop w:val="0"/>
          <w:marBottom w:val="0"/>
          <w:divBdr>
            <w:top w:val="none" w:sz="0" w:space="0" w:color="auto"/>
            <w:left w:val="none" w:sz="0" w:space="0" w:color="auto"/>
            <w:bottom w:val="none" w:sz="0" w:space="0" w:color="auto"/>
            <w:right w:val="none" w:sz="0" w:space="0" w:color="auto"/>
          </w:divBdr>
          <w:divsChild>
            <w:div w:id="1315992513">
              <w:marLeft w:val="0"/>
              <w:marRight w:val="0"/>
              <w:marTop w:val="0"/>
              <w:marBottom w:val="0"/>
              <w:divBdr>
                <w:top w:val="none" w:sz="0" w:space="0" w:color="auto"/>
                <w:left w:val="none" w:sz="0" w:space="0" w:color="auto"/>
                <w:bottom w:val="none" w:sz="0" w:space="0" w:color="auto"/>
                <w:right w:val="none" w:sz="0" w:space="0" w:color="auto"/>
              </w:divBdr>
              <w:divsChild>
                <w:div w:id="1258830374">
                  <w:marLeft w:val="0"/>
                  <w:marRight w:val="0"/>
                  <w:marTop w:val="0"/>
                  <w:marBottom w:val="0"/>
                  <w:divBdr>
                    <w:top w:val="none" w:sz="0" w:space="0" w:color="auto"/>
                    <w:left w:val="none" w:sz="0" w:space="0" w:color="auto"/>
                    <w:bottom w:val="none" w:sz="0" w:space="0" w:color="auto"/>
                    <w:right w:val="none" w:sz="0" w:space="0" w:color="auto"/>
                  </w:divBdr>
                </w:div>
                <w:div w:id="295574255">
                  <w:marLeft w:val="0"/>
                  <w:marRight w:val="0"/>
                  <w:marTop w:val="0"/>
                  <w:marBottom w:val="0"/>
                  <w:divBdr>
                    <w:top w:val="none" w:sz="0" w:space="0" w:color="auto"/>
                    <w:left w:val="none" w:sz="0" w:space="0" w:color="auto"/>
                    <w:bottom w:val="none" w:sz="0" w:space="0" w:color="auto"/>
                    <w:right w:val="none" w:sz="0" w:space="0" w:color="auto"/>
                  </w:divBdr>
                  <w:divsChild>
                    <w:div w:id="1391534990">
                      <w:marLeft w:val="0"/>
                      <w:marRight w:val="0"/>
                      <w:marTop w:val="0"/>
                      <w:marBottom w:val="0"/>
                      <w:divBdr>
                        <w:top w:val="none" w:sz="0" w:space="0" w:color="auto"/>
                        <w:left w:val="none" w:sz="0" w:space="0" w:color="auto"/>
                        <w:bottom w:val="none" w:sz="0" w:space="0" w:color="auto"/>
                        <w:right w:val="none" w:sz="0" w:space="0" w:color="auto"/>
                      </w:divBdr>
                    </w:div>
                  </w:divsChild>
                </w:div>
                <w:div w:id="226498510">
                  <w:marLeft w:val="0"/>
                  <w:marRight w:val="0"/>
                  <w:marTop w:val="0"/>
                  <w:marBottom w:val="0"/>
                  <w:divBdr>
                    <w:top w:val="none" w:sz="0" w:space="0" w:color="auto"/>
                    <w:left w:val="none" w:sz="0" w:space="0" w:color="auto"/>
                    <w:bottom w:val="none" w:sz="0" w:space="0" w:color="auto"/>
                    <w:right w:val="none" w:sz="0" w:space="0" w:color="auto"/>
                  </w:divBdr>
                  <w:divsChild>
                    <w:div w:id="12659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2715">
              <w:marLeft w:val="0"/>
              <w:marRight w:val="0"/>
              <w:marTop w:val="0"/>
              <w:marBottom w:val="0"/>
              <w:divBdr>
                <w:top w:val="none" w:sz="0" w:space="0" w:color="auto"/>
                <w:left w:val="none" w:sz="0" w:space="0" w:color="auto"/>
                <w:bottom w:val="none" w:sz="0" w:space="0" w:color="auto"/>
                <w:right w:val="none" w:sz="0" w:space="0" w:color="auto"/>
              </w:divBdr>
              <w:divsChild>
                <w:div w:id="1308775995">
                  <w:marLeft w:val="0"/>
                  <w:marRight w:val="0"/>
                  <w:marTop w:val="0"/>
                  <w:marBottom w:val="0"/>
                  <w:divBdr>
                    <w:top w:val="none" w:sz="0" w:space="0" w:color="auto"/>
                    <w:left w:val="none" w:sz="0" w:space="0" w:color="auto"/>
                    <w:bottom w:val="none" w:sz="0" w:space="0" w:color="auto"/>
                    <w:right w:val="none" w:sz="0" w:space="0" w:color="auto"/>
                  </w:divBdr>
                </w:div>
                <w:div w:id="6063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rnside@liv.ac.uk" TargetMode="External"/><Relationship Id="rId13" Type="http://schemas.openxmlformats.org/officeDocument/2006/relationships/hyperlink" Target="http://www.controlled-trials.com/ISRCTN249588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86/ISRCTN249588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rolled-trials.com/ISRCTN24958829"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m.t.hosey@kcl.ac.uk" TargetMode="External"/><Relationship Id="rId4" Type="http://schemas.openxmlformats.org/officeDocument/2006/relationships/settings" Target="settings.xml"/><Relationship Id="rId9" Type="http://schemas.openxmlformats.org/officeDocument/2006/relationships/hyperlink" Target="mailto:r.t.edwards@bangor.ac.uk"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DR-BNI</c:v>
                </c:pt>
              </c:strCache>
            </c:strRef>
          </c:tx>
          <c:spPr>
            <a:pattFill prst="smGrid">
              <a:fgClr>
                <a:schemeClr val="tx1"/>
              </a:fgClr>
              <a:bgClr>
                <a:schemeClr val="bg1"/>
              </a:bgClr>
            </a:pattFill>
            <a:ln w="12700">
              <a:solidFill>
                <a:schemeClr val="tx1"/>
              </a:solidFill>
            </a:ln>
            <a:effectLst/>
          </c:spPr>
          <c:invertIfNegative val="0"/>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0">
                  <c:v>55.7</c:v>
                </c:pt>
                <c:pt idx="1">
                  <c:v>18.2</c:v>
                </c:pt>
                <c:pt idx="2">
                  <c:v>14.8</c:v>
                </c:pt>
                <c:pt idx="3">
                  <c:v>5.7</c:v>
                </c:pt>
                <c:pt idx="4">
                  <c:v>3.4</c:v>
                </c:pt>
                <c:pt idx="5">
                  <c:v>1.1000000000000001</c:v>
                </c:pt>
                <c:pt idx="6">
                  <c:v>1.1000000000000001</c:v>
                </c:pt>
              </c:numCache>
            </c:numRef>
          </c:val>
          <c:extLst>
            <c:ext xmlns:c16="http://schemas.microsoft.com/office/drawing/2014/chart" uri="{C3380CC4-5D6E-409C-BE32-E72D297353CC}">
              <c16:uniqueId val="{00000000-B27C-48F7-BFD0-56431623FE7E}"/>
            </c:ext>
          </c:extLst>
        </c:ser>
        <c:ser>
          <c:idx val="1"/>
          <c:order val="1"/>
          <c:tx>
            <c:strRef>
              <c:f>Sheet1!$C$1</c:f>
              <c:strCache>
                <c:ptCount val="1"/>
                <c:pt idx="0">
                  <c:v>Control</c:v>
                </c:pt>
              </c:strCache>
            </c:strRef>
          </c:tx>
          <c:spPr>
            <a:solidFill>
              <a:schemeClr val="tx1"/>
            </a:solidFill>
            <a:ln>
              <a:noFill/>
            </a:ln>
            <a:effectLst/>
          </c:spPr>
          <c:invertIfNegative val="0"/>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0">
                  <c:v>37.9</c:v>
                </c:pt>
                <c:pt idx="1">
                  <c:v>30.1</c:v>
                </c:pt>
                <c:pt idx="2">
                  <c:v>14.6</c:v>
                </c:pt>
                <c:pt idx="3">
                  <c:v>10.7</c:v>
                </c:pt>
                <c:pt idx="4">
                  <c:v>2.9</c:v>
                </c:pt>
                <c:pt idx="5">
                  <c:v>3.9</c:v>
                </c:pt>
                <c:pt idx="6">
                  <c:v>0</c:v>
                </c:pt>
              </c:numCache>
            </c:numRef>
          </c:val>
          <c:extLst>
            <c:ext xmlns:c16="http://schemas.microsoft.com/office/drawing/2014/chart" uri="{C3380CC4-5D6E-409C-BE32-E72D297353CC}">
              <c16:uniqueId val="{00000001-B27C-48F7-BFD0-56431623FE7E}"/>
            </c:ext>
          </c:extLst>
        </c:ser>
        <c:ser>
          <c:idx val="2"/>
          <c:order val="2"/>
          <c:tx>
            <c:strRef>
              <c:f>Sheet1!$D$1</c:f>
              <c:strCache>
                <c:ptCount val="1"/>
                <c:pt idx="0">
                  <c:v>Column1</c:v>
                </c:pt>
              </c:strCache>
            </c:strRef>
          </c:tx>
          <c:spPr>
            <a:solidFill>
              <a:schemeClr val="accent3"/>
            </a:solidFill>
            <a:ln>
              <a:noFill/>
            </a:ln>
            <a:effectLst/>
          </c:spPr>
          <c:invertIfNegative val="0"/>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numCache>
            </c:numRef>
          </c:val>
          <c:extLst>
            <c:ext xmlns:c16="http://schemas.microsoft.com/office/drawing/2014/chart" uri="{C3380CC4-5D6E-409C-BE32-E72D297353CC}">
              <c16:uniqueId val="{00000002-B27C-48F7-BFD0-56431623FE7E}"/>
            </c:ext>
          </c:extLst>
        </c:ser>
        <c:dLbls>
          <c:showLegendKey val="0"/>
          <c:showVal val="0"/>
          <c:showCatName val="0"/>
          <c:showSerName val="0"/>
          <c:showPercent val="0"/>
          <c:showBubbleSize val="0"/>
        </c:dLbls>
        <c:gapWidth val="219"/>
        <c:overlap val="-27"/>
        <c:axId val="1406590703"/>
        <c:axId val="1406586127"/>
      </c:barChart>
      <c:catAx>
        <c:axId val="1406590703"/>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b="1" dirty="0" smtClean="0">
                    <a:solidFill>
                      <a:schemeClr val="tx1"/>
                    </a:solidFill>
                  </a:rPr>
                  <a:t>Number of teeth with</a:t>
                </a:r>
                <a:r>
                  <a:rPr lang="en-GB" b="1" baseline="0" dirty="0" smtClean="0">
                    <a:solidFill>
                      <a:schemeClr val="tx1"/>
                    </a:solidFill>
                  </a:rPr>
                  <a:t> caries after two years that were caries-free at baseline</a:t>
                </a:r>
                <a:endParaRPr lang="en-GB" b="1" dirty="0">
                  <a:solidFill>
                    <a:schemeClr val="tx1"/>
                  </a:solidFill>
                </a:endParaRPr>
              </a:p>
            </c:rich>
          </c:tx>
          <c:overlay val="0"/>
          <c:spPr>
            <a:noFill/>
            <a:ln>
              <a:noFill/>
            </a:ln>
            <a:effectLst/>
          </c:spPr>
          <c:txPr>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406586127"/>
        <c:crosses val="autoZero"/>
        <c:auto val="1"/>
        <c:lblAlgn val="ctr"/>
        <c:lblOffset val="100"/>
        <c:noMultiLvlLbl val="0"/>
      </c:catAx>
      <c:valAx>
        <c:axId val="14065861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GB" b="1" dirty="0" smtClean="0">
                    <a:solidFill>
                      <a:schemeClr val="tx1"/>
                    </a:solidFill>
                  </a:rPr>
                  <a:t>%</a:t>
                </a:r>
                <a:r>
                  <a:rPr lang="en-GB" b="1" baseline="0" dirty="0" smtClean="0">
                    <a:solidFill>
                      <a:schemeClr val="tx1"/>
                    </a:solidFill>
                  </a:rPr>
                  <a:t> participants within group</a:t>
                </a:r>
                <a:endParaRPr lang="en-GB" b="1" dirty="0">
                  <a:solidFill>
                    <a:schemeClr val="tx1"/>
                  </a:solidFill>
                </a:endParaRPr>
              </a:p>
            </c:rich>
          </c:tx>
          <c:overlay val="0"/>
          <c:spPr>
            <a:solidFill>
              <a:schemeClr val="bg1"/>
            </a:solid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crossAx val="1406590703"/>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en-US"/>
          </a:p>
        </c:txPr>
      </c:legendEntry>
      <c:layout>
        <c:manualLayout>
          <c:xMode val="edge"/>
          <c:yMode val="edge"/>
          <c:x val="0.36327108249660434"/>
          <c:y val="0.93485574108834013"/>
          <c:w val="0.22021697350352978"/>
          <c:h val="5.0374515719115921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2386-0C30-49E3-BE01-AE39602E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Inc.</dc:creator>
  <cp:lastModifiedBy>Pauline Adair</cp:lastModifiedBy>
  <cp:revision>2</cp:revision>
  <cp:lastPrinted>2019-10-14T10:11:00Z</cp:lastPrinted>
  <dcterms:created xsi:type="dcterms:W3CDTF">2019-10-14T10:12:00Z</dcterms:created>
  <dcterms:modified xsi:type="dcterms:W3CDTF">2019-10-14T10:12:00Z</dcterms:modified>
</cp:coreProperties>
</file>