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8D5E8" w14:textId="44026789" w:rsidR="0055771F" w:rsidRPr="00107024" w:rsidRDefault="00F57029" w:rsidP="00620FB0">
      <w:pPr>
        <w:rPr>
          <w:b/>
          <w:noProof/>
          <w:lang w:eastAsia="en-GB"/>
        </w:rPr>
      </w:pPr>
      <w:bookmarkStart w:id="0" w:name="_GoBack"/>
      <w:r>
        <w:rPr>
          <w:b/>
          <w:noProof/>
          <w:lang w:eastAsia="en-GB"/>
        </w:rPr>
        <w:t>Successful</w:t>
      </w:r>
      <w:r w:rsidR="00BF54B3">
        <w:rPr>
          <w:b/>
          <w:noProof/>
          <w:lang w:eastAsia="en-GB"/>
        </w:rPr>
        <w:t>,</w:t>
      </w:r>
      <w:r w:rsidR="000D359B">
        <w:rPr>
          <w:b/>
          <w:noProof/>
          <w:lang w:eastAsia="en-GB"/>
        </w:rPr>
        <w:t xml:space="preserve"> and </w:t>
      </w:r>
      <w:r w:rsidR="00A56C58">
        <w:rPr>
          <w:b/>
          <w:noProof/>
          <w:lang w:eastAsia="en-GB"/>
        </w:rPr>
        <w:t>unsuccessful</w:t>
      </w:r>
      <w:r w:rsidR="00107024" w:rsidRPr="00107024">
        <w:rPr>
          <w:b/>
          <w:noProof/>
          <w:lang w:eastAsia="en-GB"/>
        </w:rPr>
        <w:t xml:space="preserve"> </w:t>
      </w:r>
      <w:r w:rsidR="000D359B">
        <w:rPr>
          <w:b/>
          <w:noProof/>
          <w:lang w:eastAsia="en-GB"/>
        </w:rPr>
        <w:t>recruitment and ret</w:t>
      </w:r>
      <w:r w:rsidR="00457EBA">
        <w:rPr>
          <w:b/>
          <w:noProof/>
          <w:lang w:eastAsia="en-GB"/>
        </w:rPr>
        <w:t>ention</w:t>
      </w:r>
      <w:r w:rsidR="000D359B">
        <w:rPr>
          <w:b/>
          <w:noProof/>
          <w:lang w:eastAsia="en-GB"/>
        </w:rPr>
        <w:t xml:space="preserve"> </w:t>
      </w:r>
      <w:r w:rsidR="00107024" w:rsidRPr="00107024">
        <w:rPr>
          <w:b/>
          <w:noProof/>
          <w:lang w:eastAsia="en-GB"/>
        </w:rPr>
        <w:t>strategies</w:t>
      </w:r>
      <w:r w:rsidR="000D359B">
        <w:rPr>
          <w:b/>
          <w:noProof/>
          <w:lang w:eastAsia="en-GB"/>
        </w:rPr>
        <w:t xml:space="preserve"> in a UK multicentre drug trial for </w:t>
      </w:r>
      <w:r w:rsidR="00BF7CB4" w:rsidRPr="00107024">
        <w:rPr>
          <w:b/>
          <w:noProof/>
          <w:lang w:eastAsia="en-GB"/>
        </w:rPr>
        <w:t xml:space="preserve">a rare chronic pain condition </w:t>
      </w:r>
      <w:r>
        <w:rPr>
          <w:b/>
          <w:noProof/>
          <w:lang w:eastAsia="en-GB"/>
        </w:rPr>
        <w:t xml:space="preserve">which </w:t>
      </w:r>
      <w:r w:rsidR="009C2410">
        <w:rPr>
          <w:b/>
          <w:noProof/>
          <w:lang w:eastAsia="en-GB"/>
        </w:rPr>
        <w:t>performed above</w:t>
      </w:r>
      <w:r w:rsidR="009658F1">
        <w:rPr>
          <w:b/>
          <w:noProof/>
          <w:lang w:eastAsia="en-GB"/>
        </w:rPr>
        <w:t xml:space="preserve"> target</w:t>
      </w:r>
    </w:p>
    <w:bookmarkEnd w:id="0"/>
    <w:p w14:paraId="7535994A" w14:textId="79584433" w:rsidR="009528AF" w:rsidRDefault="00BF7CB4" w:rsidP="009528AF">
      <w:pPr>
        <w:rPr>
          <w:noProof/>
          <w:lang w:eastAsia="en-GB"/>
        </w:rPr>
      </w:pPr>
      <w:r>
        <w:rPr>
          <w:noProof/>
          <w:lang w:eastAsia="en-GB"/>
        </w:rPr>
        <w:t>Jatinder Bisla</w:t>
      </w:r>
      <w:r w:rsidR="00B02386">
        <w:rPr>
          <w:noProof/>
          <w:lang w:eastAsia="en-GB"/>
        </w:rPr>
        <w:t>*</w:t>
      </w:r>
      <w:r w:rsidR="00CF5C65">
        <w:rPr>
          <w:noProof/>
          <w:vertAlign w:val="superscript"/>
          <w:lang w:eastAsia="en-GB"/>
        </w:rPr>
        <w:t>1</w:t>
      </w:r>
      <w:r>
        <w:rPr>
          <w:noProof/>
          <w:lang w:eastAsia="en-GB"/>
        </w:rPr>
        <w:t xml:space="preserve">, </w:t>
      </w:r>
      <w:r w:rsidR="0015382F" w:rsidRPr="0015382F">
        <w:rPr>
          <w:noProof/>
          <w:lang w:eastAsia="en-GB"/>
        </w:rPr>
        <w:t>Gareth Ambler</w:t>
      </w:r>
      <w:r w:rsidR="0015382F" w:rsidRPr="0015382F">
        <w:rPr>
          <w:noProof/>
          <w:vertAlign w:val="superscript"/>
          <w:lang w:eastAsia="en-GB"/>
        </w:rPr>
        <w:t>2</w:t>
      </w:r>
      <w:r w:rsidR="00A77A98">
        <w:rPr>
          <w:noProof/>
          <w:lang w:eastAsia="en-GB"/>
        </w:rPr>
        <w:t xml:space="preserve">, , </w:t>
      </w:r>
      <w:r w:rsidR="0032610E">
        <w:rPr>
          <w:noProof/>
          <w:lang w:eastAsia="en-GB"/>
        </w:rPr>
        <w:t>Bern</w:t>
      </w:r>
      <w:r w:rsidR="00E72ED4">
        <w:rPr>
          <w:noProof/>
          <w:lang w:eastAsia="en-GB"/>
        </w:rPr>
        <w:t>h</w:t>
      </w:r>
      <w:r w:rsidR="0032610E">
        <w:rPr>
          <w:noProof/>
          <w:lang w:eastAsia="en-GB"/>
        </w:rPr>
        <w:t>ard Frank</w:t>
      </w:r>
      <w:r w:rsidR="0032610E">
        <w:rPr>
          <w:noProof/>
          <w:vertAlign w:val="superscript"/>
          <w:lang w:eastAsia="en-GB"/>
        </w:rPr>
        <w:t>3</w:t>
      </w:r>
      <w:r w:rsidR="0032610E">
        <w:rPr>
          <w:noProof/>
          <w:lang w:eastAsia="en-GB"/>
        </w:rPr>
        <w:t>,  Sumit Gulati</w:t>
      </w:r>
      <w:r w:rsidR="0032610E">
        <w:rPr>
          <w:noProof/>
          <w:vertAlign w:val="superscript"/>
          <w:lang w:eastAsia="en-GB"/>
        </w:rPr>
        <w:t>4</w:t>
      </w:r>
      <w:r w:rsidR="0032610E">
        <w:rPr>
          <w:noProof/>
          <w:lang w:eastAsia="en-GB"/>
        </w:rPr>
        <w:t xml:space="preserve">, </w:t>
      </w:r>
      <w:r w:rsidR="00F23839" w:rsidRPr="00F23839">
        <w:rPr>
          <w:noProof/>
          <w:lang w:eastAsia="en-GB"/>
        </w:rPr>
        <w:t>Poppy Hocken</w:t>
      </w:r>
      <w:r w:rsidR="00453A7F">
        <w:rPr>
          <w:noProof/>
          <w:vertAlign w:val="superscript"/>
          <w:lang w:eastAsia="en-GB"/>
        </w:rPr>
        <w:t>5</w:t>
      </w:r>
      <w:r w:rsidR="00F23839">
        <w:rPr>
          <w:noProof/>
          <w:lang w:eastAsia="en-GB"/>
        </w:rPr>
        <w:t>,</w:t>
      </w:r>
      <w:r w:rsidR="00384EB2" w:rsidRPr="00384EB2">
        <w:t xml:space="preserve"> </w:t>
      </w:r>
      <w:r w:rsidR="00384EB2" w:rsidRPr="00384EB2">
        <w:rPr>
          <w:noProof/>
          <w:lang w:eastAsia="en-GB"/>
        </w:rPr>
        <w:t>Mairi James</w:t>
      </w:r>
      <w:r w:rsidR="00453A7F">
        <w:rPr>
          <w:noProof/>
          <w:vertAlign w:val="superscript"/>
          <w:lang w:eastAsia="en-GB"/>
        </w:rPr>
        <w:t>6</w:t>
      </w:r>
      <w:r w:rsidR="00384EB2">
        <w:rPr>
          <w:noProof/>
          <w:lang w:eastAsia="en-GB"/>
        </w:rPr>
        <w:t xml:space="preserve">,  </w:t>
      </w:r>
      <w:r w:rsidR="00877810">
        <w:rPr>
          <w:noProof/>
          <w:lang w:eastAsia="en-GB"/>
        </w:rPr>
        <w:t>Joanna Kelly</w:t>
      </w:r>
      <w:r w:rsidR="00453A7F">
        <w:rPr>
          <w:noProof/>
          <w:vertAlign w:val="superscript"/>
          <w:lang w:eastAsia="en-GB"/>
        </w:rPr>
        <w:t>7</w:t>
      </w:r>
      <w:r>
        <w:rPr>
          <w:noProof/>
          <w:lang w:eastAsia="en-GB"/>
        </w:rPr>
        <w:t xml:space="preserve">, </w:t>
      </w:r>
      <w:r w:rsidR="00101D76" w:rsidRPr="00101D76">
        <w:rPr>
          <w:noProof/>
          <w:lang w:eastAsia="en-GB"/>
        </w:rPr>
        <w:t>Jocelyn Keshet-Price</w:t>
      </w:r>
      <w:r w:rsidR="00453A7F">
        <w:rPr>
          <w:noProof/>
          <w:vertAlign w:val="superscript"/>
          <w:lang w:eastAsia="en-GB"/>
        </w:rPr>
        <w:t>8</w:t>
      </w:r>
      <w:r w:rsidR="00101D76" w:rsidRPr="00101D76">
        <w:rPr>
          <w:noProof/>
          <w:lang w:eastAsia="en-GB"/>
        </w:rPr>
        <w:t>, Candy McCabe</w:t>
      </w:r>
      <w:r w:rsidR="00453A7F">
        <w:rPr>
          <w:noProof/>
          <w:vertAlign w:val="superscript"/>
          <w:lang w:eastAsia="en-GB"/>
        </w:rPr>
        <w:t>9</w:t>
      </w:r>
      <w:r w:rsidR="00101D76" w:rsidRPr="00101D76">
        <w:rPr>
          <w:noProof/>
          <w:lang w:eastAsia="en-GB"/>
        </w:rPr>
        <w:t>, Deborah McGylnn</w:t>
      </w:r>
      <w:r w:rsidR="00453A7F">
        <w:rPr>
          <w:noProof/>
          <w:vertAlign w:val="superscript"/>
          <w:lang w:eastAsia="en-GB"/>
        </w:rPr>
        <w:t>10</w:t>
      </w:r>
      <w:r w:rsidR="00101D76">
        <w:rPr>
          <w:noProof/>
          <w:lang w:eastAsia="en-GB"/>
        </w:rPr>
        <w:t xml:space="preserve">, </w:t>
      </w:r>
      <w:r w:rsidR="0055771F">
        <w:rPr>
          <w:noProof/>
          <w:lang w:eastAsia="en-GB"/>
        </w:rPr>
        <w:t xml:space="preserve">, </w:t>
      </w:r>
      <w:r w:rsidR="001F227D" w:rsidRPr="001F227D">
        <w:rPr>
          <w:noProof/>
          <w:lang w:eastAsia="en-GB"/>
        </w:rPr>
        <w:t>Nick Padfield</w:t>
      </w:r>
      <w:r w:rsidR="00D40CB4" w:rsidRPr="00D40CB4">
        <w:rPr>
          <w:noProof/>
          <w:vertAlign w:val="superscript"/>
          <w:lang w:eastAsia="en-GB"/>
        </w:rPr>
        <w:t>11</w:t>
      </w:r>
      <w:r w:rsidR="001F227D" w:rsidRPr="001F227D">
        <w:rPr>
          <w:noProof/>
          <w:lang w:eastAsia="en-GB"/>
        </w:rPr>
        <w:t xml:space="preserve">, </w:t>
      </w:r>
      <w:r w:rsidR="00D40CB4">
        <w:rPr>
          <w:noProof/>
          <w:lang w:eastAsia="en-GB"/>
        </w:rPr>
        <w:t>David Pang</w:t>
      </w:r>
      <w:r w:rsidR="00D40CB4" w:rsidRPr="00D40CB4">
        <w:rPr>
          <w:noProof/>
          <w:vertAlign w:val="superscript"/>
          <w:lang w:eastAsia="en-GB"/>
        </w:rPr>
        <w:t>12</w:t>
      </w:r>
      <w:r w:rsidR="00D40CB4">
        <w:rPr>
          <w:noProof/>
          <w:lang w:eastAsia="en-GB"/>
        </w:rPr>
        <w:t xml:space="preserve">, </w:t>
      </w:r>
      <w:r w:rsidR="001F227D" w:rsidRPr="001F227D">
        <w:rPr>
          <w:noProof/>
          <w:lang w:eastAsia="en-GB"/>
        </w:rPr>
        <w:t>Gill Pout</w:t>
      </w:r>
      <w:r w:rsidR="00D40CB4">
        <w:rPr>
          <w:noProof/>
          <w:lang w:eastAsia="en-GB"/>
        </w:rPr>
        <w:t xml:space="preserve"> </w:t>
      </w:r>
      <w:r w:rsidR="00D40CB4" w:rsidRPr="00D40CB4">
        <w:rPr>
          <w:noProof/>
          <w:vertAlign w:val="superscript"/>
          <w:lang w:eastAsia="en-GB"/>
        </w:rPr>
        <w:t>13</w:t>
      </w:r>
      <w:r w:rsidR="001F227D" w:rsidRPr="001F227D">
        <w:rPr>
          <w:noProof/>
          <w:lang w:eastAsia="en-GB"/>
        </w:rPr>
        <w:t>, Mark Sanders</w:t>
      </w:r>
      <w:r w:rsidR="003B53FC" w:rsidRPr="003B53FC">
        <w:rPr>
          <w:noProof/>
          <w:vertAlign w:val="superscript"/>
          <w:lang w:eastAsia="en-GB"/>
        </w:rPr>
        <w:t>14</w:t>
      </w:r>
      <w:r w:rsidR="001F227D" w:rsidRPr="001F227D">
        <w:rPr>
          <w:noProof/>
          <w:lang w:eastAsia="en-GB"/>
        </w:rPr>
        <w:t>, Mick Serpell</w:t>
      </w:r>
      <w:r w:rsidR="003B53FC">
        <w:rPr>
          <w:noProof/>
          <w:vertAlign w:val="superscript"/>
          <w:lang w:eastAsia="en-GB"/>
        </w:rPr>
        <w:t>15</w:t>
      </w:r>
      <w:r w:rsidR="001F227D" w:rsidRPr="001F227D">
        <w:rPr>
          <w:noProof/>
          <w:lang w:eastAsia="en-GB"/>
        </w:rPr>
        <w:t>, Nicholas Shenker</w:t>
      </w:r>
      <w:r w:rsidR="003B53FC">
        <w:rPr>
          <w:noProof/>
          <w:vertAlign w:val="superscript"/>
          <w:lang w:eastAsia="en-GB"/>
        </w:rPr>
        <w:t>16</w:t>
      </w:r>
      <w:r w:rsidR="001F227D" w:rsidRPr="001F227D">
        <w:rPr>
          <w:noProof/>
          <w:lang w:eastAsia="en-GB"/>
        </w:rPr>
        <w:t>,</w:t>
      </w:r>
      <w:r w:rsidR="001F227D">
        <w:rPr>
          <w:noProof/>
          <w:lang w:eastAsia="en-GB"/>
        </w:rPr>
        <w:t xml:space="preserve"> </w:t>
      </w:r>
      <w:r w:rsidR="001F227D" w:rsidRPr="001F227D">
        <w:rPr>
          <w:noProof/>
          <w:lang w:eastAsia="en-GB"/>
        </w:rPr>
        <w:t>Karim Shoukrey</w:t>
      </w:r>
      <w:r w:rsidR="003B53FC">
        <w:rPr>
          <w:noProof/>
          <w:vertAlign w:val="superscript"/>
          <w:lang w:eastAsia="en-GB"/>
        </w:rPr>
        <w:t>17</w:t>
      </w:r>
      <w:r w:rsidR="001F227D" w:rsidRPr="001F227D">
        <w:rPr>
          <w:noProof/>
          <w:lang w:eastAsia="en-GB"/>
        </w:rPr>
        <w:t>, Samuel Wesley</w:t>
      </w:r>
      <w:r w:rsidR="003B53FC">
        <w:rPr>
          <w:noProof/>
          <w:vertAlign w:val="superscript"/>
          <w:lang w:eastAsia="en-GB"/>
        </w:rPr>
        <w:t>18</w:t>
      </w:r>
      <w:r w:rsidR="001F227D" w:rsidRPr="001F227D">
        <w:rPr>
          <w:noProof/>
          <w:lang w:eastAsia="en-GB"/>
        </w:rPr>
        <w:t>, Margaret Weston</w:t>
      </w:r>
      <w:r w:rsidR="003B53FC">
        <w:rPr>
          <w:noProof/>
          <w:vertAlign w:val="superscript"/>
          <w:lang w:eastAsia="en-GB"/>
        </w:rPr>
        <w:t>19</w:t>
      </w:r>
      <w:r w:rsidR="001F227D" w:rsidRPr="001F227D">
        <w:rPr>
          <w:noProof/>
          <w:lang w:eastAsia="en-GB"/>
        </w:rPr>
        <w:t>, Beverly White-Alao</w:t>
      </w:r>
      <w:r w:rsidR="003B53FC">
        <w:rPr>
          <w:noProof/>
          <w:vertAlign w:val="superscript"/>
          <w:lang w:eastAsia="en-GB"/>
        </w:rPr>
        <w:t>20</w:t>
      </w:r>
      <w:r w:rsidR="001F227D">
        <w:rPr>
          <w:noProof/>
          <w:lang w:eastAsia="en-GB"/>
        </w:rPr>
        <w:t xml:space="preserve">, </w:t>
      </w:r>
      <w:r w:rsidR="001F227D" w:rsidRPr="001F227D">
        <w:rPr>
          <w:noProof/>
          <w:lang w:eastAsia="en-GB"/>
        </w:rPr>
        <w:t>Lynne Wyatt</w:t>
      </w:r>
      <w:r w:rsidR="003B53FC">
        <w:rPr>
          <w:noProof/>
          <w:vertAlign w:val="superscript"/>
          <w:lang w:eastAsia="en-GB"/>
        </w:rPr>
        <w:t>21</w:t>
      </w:r>
      <w:r w:rsidR="001F227D" w:rsidRPr="001F227D">
        <w:rPr>
          <w:noProof/>
          <w:lang w:eastAsia="en-GB"/>
        </w:rPr>
        <w:t xml:space="preserve">, </w:t>
      </w:r>
      <w:r w:rsidR="00DA163D">
        <w:rPr>
          <w:noProof/>
          <w:lang w:eastAsia="en-GB"/>
        </w:rPr>
        <w:t>Caroline Murphy</w:t>
      </w:r>
      <w:r w:rsidR="00B02386">
        <w:rPr>
          <w:noProof/>
          <w:lang w:eastAsia="en-GB"/>
        </w:rPr>
        <w:t>**</w:t>
      </w:r>
      <w:r w:rsidR="00453A7F" w:rsidRPr="00B46F89">
        <w:rPr>
          <w:noProof/>
          <w:vertAlign w:val="superscript"/>
          <w:lang w:eastAsia="en-GB"/>
        </w:rPr>
        <w:t>22</w:t>
      </w:r>
      <w:r w:rsidR="00DA163D">
        <w:rPr>
          <w:noProof/>
          <w:lang w:eastAsia="en-GB"/>
        </w:rPr>
        <w:t xml:space="preserve">, </w:t>
      </w:r>
      <w:r w:rsidR="001F227D" w:rsidRPr="001F227D">
        <w:rPr>
          <w:noProof/>
          <w:lang w:eastAsia="en-GB"/>
        </w:rPr>
        <w:t>Andreas Goebel</w:t>
      </w:r>
      <w:r w:rsidR="003B53FC">
        <w:rPr>
          <w:noProof/>
          <w:vertAlign w:val="superscript"/>
          <w:lang w:eastAsia="en-GB"/>
        </w:rPr>
        <w:t>2</w:t>
      </w:r>
      <w:r w:rsidR="0052588C">
        <w:rPr>
          <w:noProof/>
          <w:vertAlign w:val="superscript"/>
          <w:lang w:eastAsia="en-GB"/>
        </w:rPr>
        <w:t>3</w:t>
      </w:r>
      <w:r w:rsidR="003128DD">
        <w:rPr>
          <w:noProof/>
          <w:lang w:eastAsia="en-GB"/>
        </w:rPr>
        <w:t>*</w:t>
      </w:r>
    </w:p>
    <w:p w14:paraId="36441418" w14:textId="7F14A301" w:rsidR="009528AF" w:rsidRDefault="0018429A" w:rsidP="00F64FC0">
      <w:pPr>
        <w:rPr>
          <w:noProof/>
          <w:lang w:eastAsia="en-GB"/>
        </w:rPr>
      </w:pPr>
      <w:r>
        <w:rPr>
          <w:noProof/>
          <w:lang w:eastAsia="en-GB"/>
        </w:rPr>
        <w:t>*</w:t>
      </w:r>
      <w:r w:rsidR="009528AF">
        <w:rPr>
          <w:noProof/>
          <w:lang w:eastAsia="en-GB"/>
        </w:rPr>
        <w:t>Corresp</w:t>
      </w:r>
      <w:r w:rsidR="005669CD">
        <w:rPr>
          <w:noProof/>
          <w:lang w:eastAsia="en-GB"/>
        </w:rPr>
        <w:t>onding Author</w:t>
      </w:r>
    </w:p>
    <w:p w14:paraId="09B6FBE1" w14:textId="1E28696B" w:rsidR="000E3CCD" w:rsidRDefault="009528AF" w:rsidP="0055771F">
      <w:pPr>
        <w:rPr>
          <w:noProof/>
          <w:lang w:eastAsia="en-GB"/>
        </w:rPr>
      </w:pPr>
      <w:r>
        <w:rPr>
          <w:noProof/>
          <w:lang w:eastAsia="en-GB"/>
        </w:rPr>
        <w:t>*</w:t>
      </w:r>
      <w:r w:rsidR="0052588C">
        <w:rPr>
          <w:noProof/>
          <w:lang w:eastAsia="en-GB"/>
        </w:rPr>
        <w:t>*</w:t>
      </w:r>
      <w:r w:rsidR="005669CD">
        <w:rPr>
          <w:noProof/>
          <w:lang w:eastAsia="en-GB"/>
        </w:rPr>
        <w:t xml:space="preserve"> </w:t>
      </w:r>
      <w:r w:rsidR="00B02386">
        <w:rPr>
          <w:noProof/>
          <w:lang w:eastAsia="en-GB"/>
        </w:rPr>
        <w:t xml:space="preserve">Senior </w:t>
      </w:r>
      <w:r w:rsidR="000E3CCD">
        <w:rPr>
          <w:noProof/>
          <w:lang w:eastAsia="en-GB"/>
        </w:rPr>
        <w:t xml:space="preserve"> </w:t>
      </w:r>
      <w:r w:rsidR="00F64FC0">
        <w:rPr>
          <w:noProof/>
          <w:lang w:eastAsia="en-GB"/>
        </w:rPr>
        <w:t xml:space="preserve">Corresponding </w:t>
      </w:r>
      <w:r w:rsidR="000E3CCD">
        <w:rPr>
          <w:noProof/>
          <w:lang w:eastAsia="en-GB"/>
        </w:rPr>
        <w:t>Author</w:t>
      </w:r>
      <w:r w:rsidR="0052588C">
        <w:rPr>
          <w:noProof/>
          <w:lang w:eastAsia="en-GB"/>
        </w:rPr>
        <w:t>s</w:t>
      </w:r>
      <w:r w:rsidR="000E3CCD">
        <w:rPr>
          <w:noProof/>
          <w:lang w:eastAsia="en-GB"/>
        </w:rPr>
        <w:t xml:space="preserve">. </w:t>
      </w:r>
    </w:p>
    <w:p w14:paraId="40EB5711" w14:textId="3652EFAF" w:rsidR="00614F3C" w:rsidRDefault="00614F3C" w:rsidP="00614F3C">
      <w:pPr>
        <w:rPr>
          <w:noProof/>
          <w:lang w:val="en-US" w:eastAsia="en-GB"/>
        </w:rPr>
      </w:pPr>
      <w:r>
        <w:rPr>
          <w:noProof/>
          <w:lang w:val="en-US" w:eastAsia="en-GB"/>
        </w:rPr>
        <w:t xml:space="preserve">1. </w:t>
      </w:r>
      <w:r w:rsidR="00CA733D">
        <w:rPr>
          <w:noProof/>
          <w:lang w:val="en-US" w:eastAsia="en-GB"/>
        </w:rPr>
        <w:t>*</w:t>
      </w:r>
      <w:r>
        <w:rPr>
          <w:noProof/>
          <w:lang w:val="en-US" w:eastAsia="en-GB"/>
        </w:rPr>
        <w:t xml:space="preserve">Trial Manager. Kings College London Clinical Trials Unit, PO64, M2.06, Institute of Psychiatry, Psychology and Neuroscience, De Crespigny Park, London, UK,  SE5 8AF. Tel: +44 207 848 0532; email: </w:t>
      </w:r>
      <w:hyperlink r:id="rId11" w:history="1">
        <w:r w:rsidR="00D21619" w:rsidRPr="00E45569">
          <w:rPr>
            <w:rStyle w:val="Hyperlink"/>
            <w:noProof/>
            <w:lang w:val="en-US" w:eastAsia="en-GB"/>
          </w:rPr>
          <w:t>jatinder.bisla@kcl.ac.uk</w:t>
        </w:r>
      </w:hyperlink>
      <w:r>
        <w:rPr>
          <w:noProof/>
          <w:lang w:val="en-US" w:eastAsia="en-GB"/>
        </w:rPr>
        <w:t xml:space="preserve"> </w:t>
      </w:r>
    </w:p>
    <w:p w14:paraId="25F60A64" w14:textId="0F60DD4E" w:rsidR="00B769FF" w:rsidRDefault="00614F3C" w:rsidP="00614F3C">
      <w:pPr>
        <w:rPr>
          <w:rStyle w:val="Hyperlink"/>
          <w:noProof/>
          <w:lang w:val="en-US" w:eastAsia="en-GB"/>
        </w:rPr>
      </w:pPr>
      <w:r>
        <w:rPr>
          <w:noProof/>
          <w:lang w:val="en-US" w:eastAsia="en-GB"/>
        </w:rPr>
        <w:t xml:space="preserve">2. </w:t>
      </w:r>
      <w:r w:rsidR="00725DDD">
        <w:rPr>
          <w:noProof/>
          <w:lang w:val="en-US" w:eastAsia="en-GB"/>
        </w:rPr>
        <w:t>Associate Profe</w:t>
      </w:r>
      <w:r w:rsidR="00470593">
        <w:rPr>
          <w:noProof/>
          <w:lang w:val="en-US" w:eastAsia="en-GB"/>
        </w:rPr>
        <w:t>ssor</w:t>
      </w:r>
      <w:r>
        <w:rPr>
          <w:noProof/>
          <w:lang w:val="en-US" w:eastAsia="en-GB"/>
        </w:rPr>
        <w:t xml:space="preserve"> in Medical Statistics. Statistical Science, 1-19 Torrington Place, University College London, London, UK,  WC1E 7HB. Tel: +44 20 7679 1878; Email: </w:t>
      </w:r>
      <w:hyperlink r:id="rId12" w:history="1">
        <w:r>
          <w:rPr>
            <w:rStyle w:val="Hyperlink"/>
            <w:noProof/>
            <w:lang w:val="en-US" w:eastAsia="en-GB"/>
          </w:rPr>
          <w:t>g.ambler@ucl.ac.uk</w:t>
        </w:r>
      </w:hyperlink>
    </w:p>
    <w:p w14:paraId="6C752E85" w14:textId="503852E0" w:rsidR="00C82E86" w:rsidRPr="002D7405" w:rsidRDefault="00B769FF" w:rsidP="00614F3C">
      <w:pPr>
        <w:rPr>
          <w:rStyle w:val="Hyperlink"/>
          <w:noProof/>
          <w:color w:val="auto"/>
          <w:u w:val="none"/>
          <w:lang w:val="en-US" w:eastAsia="en-GB"/>
        </w:rPr>
      </w:pPr>
      <w:r w:rsidRPr="002D7405">
        <w:rPr>
          <w:rStyle w:val="Hyperlink"/>
          <w:noProof/>
          <w:color w:val="auto"/>
          <w:u w:val="none"/>
          <w:lang w:val="en-US" w:eastAsia="en-GB"/>
        </w:rPr>
        <w:t xml:space="preserve">3. </w:t>
      </w:r>
      <w:bookmarkStart w:id="1" w:name="_Hlk14942600"/>
      <w:r w:rsidR="001F5DB2" w:rsidRPr="002D7405">
        <w:rPr>
          <w:rStyle w:val="Hyperlink"/>
          <w:noProof/>
          <w:color w:val="auto"/>
          <w:u w:val="none"/>
          <w:lang w:val="en-US" w:eastAsia="en-GB"/>
        </w:rPr>
        <w:t xml:space="preserve">Consultant. Walton Centre NHS Foundation Trust, Liverpool L9 7AJ. </w:t>
      </w:r>
      <w:r w:rsidR="001025A6" w:rsidRPr="002D7405">
        <w:rPr>
          <w:rStyle w:val="Hyperlink"/>
          <w:noProof/>
          <w:color w:val="auto"/>
          <w:u w:val="none"/>
          <w:lang w:val="en-US" w:eastAsia="en-GB"/>
        </w:rPr>
        <w:t>Tel: +44</w:t>
      </w:r>
      <w:r w:rsidR="00073B01" w:rsidRPr="002D7405">
        <w:rPr>
          <w:rStyle w:val="Hyperlink"/>
          <w:noProof/>
          <w:color w:val="auto"/>
          <w:u w:val="none"/>
          <w:lang w:val="en-US" w:eastAsia="en-GB"/>
        </w:rPr>
        <w:t xml:space="preserve"> 151 529 5749</w:t>
      </w:r>
      <w:r w:rsidR="00E72ED4" w:rsidRPr="002D7405">
        <w:rPr>
          <w:rStyle w:val="Hyperlink"/>
          <w:noProof/>
          <w:color w:val="auto"/>
          <w:u w:val="none"/>
          <w:lang w:val="en-US" w:eastAsia="en-GB"/>
        </w:rPr>
        <w:t xml:space="preserve">; </w:t>
      </w:r>
      <w:r w:rsidR="00C752B5" w:rsidRPr="002D7405">
        <w:rPr>
          <w:rStyle w:val="Hyperlink"/>
          <w:noProof/>
          <w:color w:val="auto"/>
          <w:u w:val="none"/>
          <w:lang w:val="en-US" w:eastAsia="en-GB"/>
        </w:rPr>
        <w:t>e</w:t>
      </w:r>
      <w:r w:rsidR="00E72ED4" w:rsidRPr="002D7405">
        <w:rPr>
          <w:rStyle w:val="Hyperlink"/>
          <w:noProof/>
          <w:color w:val="auto"/>
          <w:u w:val="none"/>
          <w:lang w:val="en-US" w:eastAsia="en-GB"/>
        </w:rPr>
        <w:t xml:space="preserve">mail </w:t>
      </w:r>
      <w:hyperlink r:id="rId13" w:history="1">
        <w:r w:rsidR="002D7405" w:rsidRPr="00A31BD3">
          <w:rPr>
            <w:rStyle w:val="Hyperlink"/>
            <w:noProof/>
            <w:lang w:val="en-US" w:eastAsia="en-GB"/>
          </w:rPr>
          <w:t>bernhard.frank@thewaltoncentre.nhs.uk</w:t>
        </w:r>
      </w:hyperlink>
      <w:bookmarkEnd w:id="1"/>
      <w:r w:rsidR="002D7405">
        <w:rPr>
          <w:rStyle w:val="Hyperlink"/>
          <w:noProof/>
          <w:color w:val="auto"/>
          <w:u w:val="none"/>
          <w:lang w:val="en-US" w:eastAsia="en-GB"/>
        </w:rPr>
        <w:t xml:space="preserve">  </w:t>
      </w:r>
    </w:p>
    <w:p w14:paraId="1F78109A" w14:textId="1BA0009A" w:rsidR="00614F3C" w:rsidRDefault="00C82E86" w:rsidP="00614F3C">
      <w:pPr>
        <w:rPr>
          <w:noProof/>
          <w:lang w:val="en-US" w:eastAsia="en-GB"/>
        </w:rPr>
      </w:pPr>
      <w:r w:rsidRPr="002D7405">
        <w:rPr>
          <w:rStyle w:val="Hyperlink"/>
          <w:noProof/>
          <w:color w:val="auto"/>
          <w:u w:val="none"/>
          <w:lang w:val="en-US" w:eastAsia="en-GB"/>
        </w:rPr>
        <w:t>4.</w:t>
      </w:r>
      <w:r w:rsidRPr="002D7405">
        <w:rPr>
          <w:noProof/>
          <w:lang w:val="en-US" w:eastAsia="en-GB"/>
        </w:rPr>
        <w:t>Consultant</w:t>
      </w:r>
      <w:r w:rsidRPr="00C82E86">
        <w:rPr>
          <w:noProof/>
          <w:lang w:val="en-US" w:eastAsia="en-GB"/>
        </w:rPr>
        <w:t xml:space="preserve">. Walton Centre NHS Foundation Trust, Liverpool L9 7AJ. Tel: +44 151 529 5749; </w:t>
      </w:r>
      <w:r w:rsidR="00C752B5">
        <w:rPr>
          <w:noProof/>
          <w:lang w:val="en-US" w:eastAsia="en-GB"/>
        </w:rPr>
        <w:t>e</w:t>
      </w:r>
      <w:r w:rsidRPr="00C82E86">
        <w:rPr>
          <w:noProof/>
          <w:lang w:val="en-US" w:eastAsia="en-GB"/>
        </w:rPr>
        <w:t xml:space="preserve">mail </w:t>
      </w:r>
      <w:hyperlink r:id="rId14" w:history="1">
        <w:r w:rsidR="002D7405" w:rsidRPr="00A31BD3">
          <w:rPr>
            <w:rStyle w:val="Hyperlink"/>
            <w:noProof/>
            <w:lang w:val="en-US" w:eastAsia="en-GB"/>
          </w:rPr>
          <w:t>sumit.gulati@thewaltoncentre.nhs.uk</w:t>
        </w:r>
      </w:hyperlink>
      <w:r w:rsidR="002D7405">
        <w:rPr>
          <w:noProof/>
          <w:lang w:val="en-US" w:eastAsia="en-GB"/>
        </w:rPr>
        <w:t xml:space="preserve"> </w:t>
      </w:r>
    </w:p>
    <w:p w14:paraId="689D8ADA" w14:textId="2C5B868C" w:rsidR="00614F3C" w:rsidRDefault="00C82E86" w:rsidP="00614F3C">
      <w:pPr>
        <w:rPr>
          <w:noProof/>
          <w:lang w:eastAsia="en-GB"/>
        </w:rPr>
      </w:pPr>
      <w:r>
        <w:rPr>
          <w:noProof/>
          <w:lang w:eastAsia="en-GB"/>
        </w:rPr>
        <w:t>5</w:t>
      </w:r>
      <w:r w:rsidR="00614F3C">
        <w:rPr>
          <w:noProof/>
          <w:lang w:eastAsia="en-GB"/>
        </w:rPr>
        <w:t xml:space="preserve">. Research Nurse.  Royal National Hospital for Rheumatic Diseases &amp; University West of England , Bath, Somerset, Avon BA1 1RL. Tel: +44 01225 473 453; email: </w:t>
      </w:r>
      <w:hyperlink r:id="rId15" w:history="1">
        <w:r w:rsidR="00614F3C">
          <w:rPr>
            <w:rStyle w:val="Hyperlink"/>
            <w:noProof/>
            <w:lang w:eastAsia="en-GB"/>
          </w:rPr>
          <w:t>poppy.hocken@nhs.net</w:t>
        </w:r>
      </w:hyperlink>
      <w:r w:rsidR="00614F3C">
        <w:rPr>
          <w:noProof/>
          <w:lang w:eastAsia="en-GB"/>
        </w:rPr>
        <w:t xml:space="preserve"> </w:t>
      </w:r>
    </w:p>
    <w:p w14:paraId="7EE4BBB6" w14:textId="4E45810D" w:rsidR="00614F3C" w:rsidRDefault="008336E5" w:rsidP="00614F3C">
      <w:pPr>
        <w:rPr>
          <w:noProof/>
          <w:lang w:eastAsia="en-GB"/>
        </w:rPr>
      </w:pPr>
      <w:r>
        <w:rPr>
          <w:noProof/>
          <w:lang w:eastAsia="en-GB"/>
        </w:rPr>
        <w:t>6</w:t>
      </w:r>
      <w:r w:rsidR="00614F3C">
        <w:rPr>
          <w:noProof/>
          <w:lang w:eastAsia="en-GB"/>
        </w:rPr>
        <w:t>. Research Coordinator</w:t>
      </w:r>
      <w:r w:rsidR="006A3E9B">
        <w:rPr>
          <w:noProof/>
          <w:lang w:eastAsia="en-GB"/>
        </w:rPr>
        <w:t>.</w:t>
      </w:r>
      <w:r w:rsidR="00614F3C">
        <w:rPr>
          <w:noProof/>
          <w:lang w:eastAsia="en-GB"/>
        </w:rPr>
        <w:t xml:space="preserve"> Queen Elizabeth University Hospital, Glasgow Clinical Research Facility, AFF1345 Govan Rd, Glasgow, UK, G51 4TF. Tel  +44 141 211 3287; email: </w:t>
      </w:r>
      <w:hyperlink r:id="rId16" w:history="1">
        <w:r w:rsidR="001D2635" w:rsidRPr="00E45569">
          <w:rPr>
            <w:rStyle w:val="Hyperlink"/>
            <w:noProof/>
            <w:lang w:eastAsia="en-GB"/>
          </w:rPr>
          <w:t>mairijames@hotmail.com</w:t>
        </w:r>
      </w:hyperlink>
      <w:r w:rsidR="00614F3C">
        <w:rPr>
          <w:noProof/>
          <w:lang w:eastAsia="en-GB"/>
        </w:rPr>
        <w:t xml:space="preserve"> </w:t>
      </w:r>
    </w:p>
    <w:p w14:paraId="28023240" w14:textId="5B74A18B" w:rsidR="00614F3C" w:rsidRDefault="00DC733A" w:rsidP="00614F3C">
      <w:pPr>
        <w:rPr>
          <w:noProof/>
          <w:lang w:eastAsia="en-GB"/>
        </w:rPr>
      </w:pPr>
      <w:r>
        <w:rPr>
          <w:noProof/>
          <w:lang w:eastAsia="en-GB"/>
        </w:rPr>
        <w:t>7</w:t>
      </w:r>
      <w:r w:rsidR="00614F3C">
        <w:rPr>
          <w:noProof/>
          <w:lang w:eastAsia="en-GB"/>
        </w:rPr>
        <w:t>.  Strategic Data Management Lead KCTU</w:t>
      </w:r>
      <w:r w:rsidR="006A3E9B">
        <w:rPr>
          <w:noProof/>
          <w:lang w:eastAsia="en-GB"/>
        </w:rPr>
        <w:t>.</w:t>
      </w:r>
      <w:r w:rsidR="00614F3C">
        <w:rPr>
          <w:noProof/>
          <w:lang w:eastAsia="en-GB"/>
        </w:rPr>
        <w:t xml:space="preserve"> Kings College London Clinical Trials Unit, PO64, M2.06, Institute of Psychiatry, Psychology and Neuroscience, De Crespigny Park, London, UK,  SE5 8AF. Tel: +44 207 848 0532; email: </w:t>
      </w:r>
      <w:hyperlink r:id="rId17" w:history="1">
        <w:r w:rsidR="00614F3C">
          <w:rPr>
            <w:rStyle w:val="Hyperlink"/>
            <w:noProof/>
            <w:lang w:eastAsia="en-GB"/>
          </w:rPr>
          <w:t>joanna.kelly@kcl.ac.uk</w:t>
        </w:r>
      </w:hyperlink>
      <w:r w:rsidR="00614F3C">
        <w:rPr>
          <w:noProof/>
          <w:lang w:eastAsia="en-GB"/>
        </w:rPr>
        <w:t xml:space="preserve"> </w:t>
      </w:r>
    </w:p>
    <w:p w14:paraId="774E81E9" w14:textId="246638D3" w:rsidR="00614F3C" w:rsidRDefault="00DC733A" w:rsidP="00614F3C">
      <w:pPr>
        <w:rPr>
          <w:noProof/>
          <w:lang w:val="en-US" w:eastAsia="en-GB"/>
        </w:rPr>
      </w:pPr>
      <w:r>
        <w:rPr>
          <w:noProof/>
          <w:lang w:val="en-US" w:eastAsia="en-GB"/>
        </w:rPr>
        <w:t>8</w:t>
      </w:r>
      <w:r w:rsidR="00614F3C">
        <w:rPr>
          <w:noProof/>
          <w:lang w:val="en-US" w:eastAsia="en-GB"/>
        </w:rPr>
        <w:t>. Senior Research Nurse</w:t>
      </w:r>
      <w:r w:rsidR="006A3E9B">
        <w:rPr>
          <w:noProof/>
          <w:lang w:val="en-US" w:eastAsia="en-GB"/>
        </w:rPr>
        <w:t>.</w:t>
      </w:r>
      <w:r w:rsidR="00614F3C">
        <w:rPr>
          <w:noProof/>
          <w:lang w:val="en-US" w:eastAsia="en-GB"/>
        </w:rPr>
        <w:t xml:space="preserve"> Norfolk and Norwich University NHS Trust, Colney Lane, Norwich, UK, NR4 7UY. Tel: +44 </w:t>
      </w:r>
      <w:r w:rsidR="00614F3C">
        <w:rPr>
          <w:rFonts w:cs="Arial"/>
          <w:color w:val="000000"/>
          <w:lang w:eastAsia="en-GB"/>
        </w:rPr>
        <w:t>1603 288570</w:t>
      </w:r>
      <w:r w:rsidR="00614F3C">
        <w:rPr>
          <w:noProof/>
          <w:lang w:val="en-US" w:eastAsia="en-GB"/>
        </w:rPr>
        <w:t xml:space="preserve">; email: </w:t>
      </w:r>
      <w:hyperlink r:id="rId18" w:history="1">
        <w:r w:rsidR="00614F3C">
          <w:rPr>
            <w:rStyle w:val="Hyperlink"/>
            <w:noProof/>
            <w:lang w:eastAsia="en-GB"/>
          </w:rPr>
          <w:t>jocelyn.keshet-price@nnuh.nhs.uk</w:t>
        </w:r>
      </w:hyperlink>
    </w:p>
    <w:p w14:paraId="19DABE7C" w14:textId="1934E094" w:rsidR="00614F3C" w:rsidRDefault="00DC733A" w:rsidP="00614F3C">
      <w:r>
        <w:t>9</w:t>
      </w:r>
      <w:r w:rsidR="00614F3C">
        <w:t xml:space="preserve">. </w:t>
      </w:r>
      <w:r w:rsidR="005B374D">
        <w:rPr>
          <w:rStyle w:val="Hyperlink"/>
        </w:rPr>
        <w:t xml:space="preserve"> Clinical Professor in Nursing</w:t>
      </w:r>
      <w:r w:rsidR="005B374D" w:rsidRPr="005B374D">
        <w:t>. Florence Nightingale Foundation, London, University West of England, Bristol &amp; Royal National Hospital for Rheumatic Diseases, Bath, Bath, BANES, BA1 1RL. Tel: +44 1225 465 941; email: candy.mccabe@rnhrd.nhs.uk / Candy.Mccabe@uwe.ac.uk</w:t>
      </w:r>
    </w:p>
    <w:p w14:paraId="77CA51D1" w14:textId="1C984FEE" w:rsidR="00614F3C" w:rsidRDefault="00DC733A" w:rsidP="00614F3C">
      <w:pPr>
        <w:rPr>
          <w:noProof/>
          <w:lang w:eastAsia="en-GB"/>
        </w:rPr>
      </w:pPr>
      <w:r>
        <w:t>10</w:t>
      </w:r>
      <w:r w:rsidR="00614F3C">
        <w:t xml:space="preserve">. </w:t>
      </w:r>
      <w:r w:rsidR="00614F3C">
        <w:rPr>
          <w:noProof/>
          <w:lang w:eastAsia="en-GB"/>
        </w:rPr>
        <w:t>Research Nurse</w:t>
      </w:r>
      <w:r w:rsidR="006A3E9B">
        <w:rPr>
          <w:noProof/>
          <w:lang w:eastAsia="en-GB"/>
        </w:rPr>
        <w:t>.</w:t>
      </w:r>
      <w:r w:rsidR="00614F3C">
        <w:rPr>
          <w:noProof/>
          <w:lang w:eastAsia="en-GB"/>
        </w:rPr>
        <w:t xml:space="preserve"> Queen Elizabeth University Hospital, Glasgow Clinical Research Facility, AFF1345 Govan Rd, Glasgow, UK, G51 4TF. Tel  +44 141 211 3287; email: </w:t>
      </w:r>
      <w:hyperlink r:id="rId19" w:history="1">
        <w:r w:rsidR="00614F3C">
          <w:rPr>
            <w:rStyle w:val="Hyperlink"/>
            <w:noProof/>
            <w:lang w:eastAsia="en-GB"/>
          </w:rPr>
          <w:t>Deborah.McGlynn@ggc.scot.nhs.uk</w:t>
        </w:r>
      </w:hyperlink>
      <w:r w:rsidR="00614F3C">
        <w:rPr>
          <w:noProof/>
          <w:lang w:eastAsia="en-GB"/>
        </w:rPr>
        <w:t xml:space="preserve"> </w:t>
      </w:r>
    </w:p>
    <w:p w14:paraId="05E40F42" w14:textId="77777777" w:rsidR="0048351D" w:rsidRDefault="00614F3C" w:rsidP="00714177">
      <w:pPr>
        <w:rPr>
          <w:noProof/>
          <w:lang w:val="en-US" w:eastAsia="en-GB"/>
        </w:rPr>
      </w:pPr>
      <w:r>
        <w:rPr>
          <w:noProof/>
          <w:lang w:val="en-US" w:eastAsia="en-GB"/>
        </w:rPr>
        <w:t>1</w:t>
      </w:r>
      <w:r w:rsidR="00714177">
        <w:rPr>
          <w:noProof/>
          <w:lang w:val="en-US" w:eastAsia="en-GB"/>
        </w:rPr>
        <w:t>1</w:t>
      </w:r>
      <w:r>
        <w:rPr>
          <w:noProof/>
          <w:lang w:val="en-US" w:eastAsia="en-GB"/>
        </w:rPr>
        <w:t>.  Consultant in Pain Medicine and Anaesthesia</w:t>
      </w:r>
      <w:r w:rsidR="006A3E9B">
        <w:rPr>
          <w:noProof/>
          <w:lang w:val="en-US" w:eastAsia="en-GB"/>
        </w:rPr>
        <w:t>.</w:t>
      </w:r>
      <w:r>
        <w:rPr>
          <w:noProof/>
          <w:lang w:val="en-US" w:eastAsia="en-GB"/>
        </w:rPr>
        <w:t xml:space="preserve"> Pain Management &amp; Neuromodulation Centre, Guys &amp; St Thomas’ Hospital, London, UK, SE1 7EH. Tel: +44 207 188 3237; email: </w:t>
      </w:r>
      <w:hyperlink r:id="rId20" w:history="1">
        <w:r>
          <w:rPr>
            <w:rStyle w:val="Hyperlink"/>
            <w:noProof/>
            <w:lang w:val="en-US" w:eastAsia="en-GB"/>
          </w:rPr>
          <w:t>Nicholas.Padfield@gstt.nhs.uk/</w:t>
        </w:r>
      </w:hyperlink>
      <w:r>
        <w:rPr>
          <w:noProof/>
          <w:lang w:val="en-US" w:eastAsia="en-GB"/>
        </w:rPr>
        <w:t xml:space="preserve"> </w:t>
      </w:r>
      <w:hyperlink r:id="rId21" w:history="1">
        <w:r>
          <w:rPr>
            <w:rStyle w:val="Hyperlink"/>
            <w:noProof/>
            <w:lang w:val="en-US" w:eastAsia="en-GB"/>
          </w:rPr>
          <w:t>n.padfield@btconnect.com</w:t>
        </w:r>
      </w:hyperlink>
      <w:r>
        <w:rPr>
          <w:noProof/>
          <w:lang w:val="en-US" w:eastAsia="en-GB"/>
        </w:rPr>
        <w:t xml:space="preserve">    </w:t>
      </w:r>
    </w:p>
    <w:p w14:paraId="1706D407" w14:textId="189ACE2B" w:rsidR="00714177" w:rsidRPr="0048351D" w:rsidRDefault="00714177" w:rsidP="00714177">
      <w:pPr>
        <w:rPr>
          <w:noProof/>
          <w:lang w:val="en-US" w:eastAsia="en-GB"/>
        </w:rPr>
      </w:pPr>
      <w:r>
        <w:rPr>
          <w:noProof/>
          <w:lang w:val="en-US" w:eastAsia="en-GB"/>
        </w:rPr>
        <w:lastRenderedPageBreak/>
        <w:t>12.</w:t>
      </w:r>
      <w:r w:rsidR="00A53C60" w:rsidRPr="00A53C60">
        <w:rPr>
          <w:color w:val="1F497D"/>
          <w:lang w:eastAsia="en-GB"/>
        </w:rPr>
        <w:t xml:space="preserve"> </w:t>
      </w:r>
      <w:r w:rsidR="00A53C60" w:rsidRPr="00A53C60">
        <w:rPr>
          <w:lang w:eastAsia="en-GB"/>
        </w:rPr>
        <w:t>Consultant in Pain Management and Anaesthesia</w:t>
      </w:r>
      <w:r w:rsidR="006A3E9B">
        <w:rPr>
          <w:noProof/>
          <w:lang w:val="en-US" w:eastAsia="en-GB"/>
        </w:rPr>
        <w:t>.</w:t>
      </w:r>
      <w:r>
        <w:rPr>
          <w:noProof/>
          <w:lang w:val="en-US" w:eastAsia="en-GB"/>
        </w:rPr>
        <w:t xml:space="preserve"> Pain Management &amp; Neuromodulation Centre, Guys &amp; St Thomas’ Hospital, London, UK, SE1 7EH. Tel: +44 207 188 3237; email: </w:t>
      </w:r>
      <w:hyperlink r:id="rId22" w:history="1">
        <w:r w:rsidRPr="00E45569">
          <w:rPr>
            <w:rStyle w:val="Hyperlink"/>
            <w:noProof/>
            <w:lang w:val="en-US" w:eastAsia="en-GB"/>
          </w:rPr>
          <w:t>david.pang@gstt.nhs.uk</w:t>
        </w:r>
      </w:hyperlink>
    </w:p>
    <w:p w14:paraId="32912F59" w14:textId="1D8ADE00" w:rsidR="00614F3C" w:rsidRDefault="00614F3C" w:rsidP="00614F3C">
      <w:pPr>
        <w:rPr>
          <w:noProof/>
          <w:lang w:eastAsia="en-GB"/>
        </w:rPr>
      </w:pPr>
      <w:r>
        <w:rPr>
          <w:noProof/>
          <w:lang w:val="en-US" w:eastAsia="en-GB"/>
        </w:rPr>
        <w:t>1</w:t>
      </w:r>
      <w:r w:rsidR="00714177">
        <w:rPr>
          <w:noProof/>
          <w:lang w:val="en-US" w:eastAsia="en-GB"/>
        </w:rPr>
        <w:t>3</w:t>
      </w:r>
      <w:r>
        <w:rPr>
          <w:noProof/>
          <w:lang w:val="en-US" w:eastAsia="en-GB"/>
        </w:rPr>
        <w:t>. Research Nurse</w:t>
      </w:r>
      <w:r w:rsidR="006A3E9B">
        <w:rPr>
          <w:noProof/>
          <w:lang w:val="en-US" w:eastAsia="en-GB"/>
        </w:rPr>
        <w:t>.</w:t>
      </w:r>
      <w:r>
        <w:rPr>
          <w:noProof/>
          <w:lang w:val="en-US" w:eastAsia="en-GB"/>
        </w:rPr>
        <w:t xml:space="preserve"> Norfolk and Norwich University NHS Trust, Colney Lane, Norwich, UK, NR4 7UY. Tel: +44 </w:t>
      </w:r>
      <w:r>
        <w:rPr>
          <w:rFonts w:cs="Arial"/>
          <w:color w:val="000000"/>
          <w:lang w:eastAsia="en-GB"/>
        </w:rPr>
        <w:t>1603 288570</w:t>
      </w:r>
      <w:r>
        <w:rPr>
          <w:noProof/>
          <w:lang w:val="en-US" w:eastAsia="en-GB"/>
        </w:rPr>
        <w:t xml:space="preserve">; email: </w:t>
      </w:r>
      <w:hyperlink r:id="rId23" w:history="1">
        <w:r>
          <w:rPr>
            <w:rStyle w:val="Hyperlink"/>
            <w:noProof/>
            <w:lang w:eastAsia="en-GB"/>
          </w:rPr>
          <w:t>gill.pout@nnuh.nhs.uk</w:t>
        </w:r>
      </w:hyperlink>
      <w:r>
        <w:rPr>
          <w:noProof/>
          <w:lang w:eastAsia="en-GB"/>
        </w:rPr>
        <w:t xml:space="preserve"> </w:t>
      </w:r>
    </w:p>
    <w:p w14:paraId="06D248DF" w14:textId="363D2F9F" w:rsidR="00614F3C" w:rsidRDefault="00614F3C" w:rsidP="00614F3C">
      <w:pPr>
        <w:rPr>
          <w:noProof/>
          <w:lang w:val="en-US" w:eastAsia="en-GB"/>
        </w:rPr>
      </w:pPr>
      <w:r>
        <w:rPr>
          <w:noProof/>
          <w:lang w:val="en-US" w:eastAsia="en-GB"/>
        </w:rPr>
        <w:t>1</w:t>
      </w:r>
      <w:r w:rsidR="00714177">
        <w:rPr>
          <w:noProof/>
          <w:lang w:val="en-US" w:eastAsia="en-GB"/>
        </w:rPr>
        <w:t>4</w:t>
      </w:r>
      <w:r>
        <w:rPr>
          <w:noProof/>
          <w:lang w:val="en-US" w:eastAsia="en-GB"/>
        </w:rPr>
        <w:t xml:space="preserve">. </w:t>
      </w:r>
      <w:r w:rsidR="00866BAB">
        <w:rPr>
          <w:noProof/>
          <w:lang w:val="en-US" w:eastAsia="en-GB"/>
        </w:rPr>
        <w:t>Consultant in Pain Medicine</w:t>
      </w:r>
      <w:r w:rsidR="006A3E9B">
        <w:rPr>
          <w:noProof/>
          <w:lang w:val="en-US" w:eastAsia="en-GB"/>
        </w:rPr>
        <w:t>.</w:t>
      </w:r>
      <w:r>
        <w:rPr>
          <w:noProof/>
          <w:lang w:val="en-US" w:eastAsia="en-GB"/>
        </w:rPr>
        <w:t xml:space="preserve"> Norfolk and Norwich University NHS Trust, Colney Lane, Norwich, UK, NR4 7UY. Tel: +44 1603 287 593; email: </w:t>
      </w:r>
      <w:hyperlink r:id="rId24" w:history="1">
        <w:r>
          <w:rPr>
            <w:rStyle w:val="Hyperlink"/>
            <w:noProof/>
            <w:lang w:val="en-US" w:eastAsia="en-GB"/>
          </w:rPr>
          <w:t>mark.sanders@nnuh.nhs.uk</w:t>
        </w:r>
      </w:hyperlink>
      <w:r>
        <w:rPr>
          <w:noProof/>
          <w:lang w:val="en-US" w:eastAsia="en-GB"/>
        </w:rPr>
        <w:t xml:space="preserve"> </w:t>
      </w:r>
    </w:p>
    <w:p w14:paraId="4C4236D4" w14:textId="420FEFBC" w:rsidR="00614F3C" w:rsidRDefault="00614F3C" w:rsidP="00614F3C">
      <w:pPr>
        <w:rPr>
          <w:noProof/>
          <w:lang w:val="en-US" w:eastAsia="en-GB"/>
        </w:rPr>
      </w:pPr>
      <w:r>
        <w:rPr>
          <w:noProof/>
          <w:lang w:val="en-US" w:eastAsia="en-GB"/>
        </w:rPr>
        <w:t>1</w:t>
      </w:r>
      <w:r w:rsidR="00714177">
        <w:rPr>
          <w:noProof/>
          <w:lang w:val="en-US" w:eastAsia="en-GB"/>
        </w:rPr>
        <w:t>5</w:t>
      </w:r>
      <w:r>
        <w:rPr>
          <w:noProof/>
          <w:lang w:val="en-US" w:eastAsia="en-GB"/>
        </w:rPr>
        <w:t>. Senior Lecturer</w:t>
      </w:r>
      <w:r w:rsidR="006A3E9B">
        <w:rPr>
          <w:noProof/>
          <w:lang w:val="en-US" w:eastAsia="en-GB"/>
        </w:rPr>
        <w:t>.</w:t>
      </w:r>
      <w:r>
        <w:rPr>
          <w:noProof/>
          <w:lang w:val="en-US" w:eastAsia="en-GB"/>
        </w:rPr>
        <w:t xml:space="preserve"> Queen Elizabeth University Hospital, Glasgow Clinical Research Facility, AFF1345 Govan Rd, Glasgow, UK, G51 4TF. Tel: +44 141 211 3287; email; </w:t>
      </w:r>
      <w:hyperlink r:id="rId25" w:history="1">
        <w:r w:rsidR="003907E9" w:rsidRPr="00E45569">
          <w:rPr>
            <w:rStyle w:val="Hyperlink"/>
            <w:noProof/>
            <w:lang w:val="en-US" w:eastAsia="en-GB"/>
          </w:rPr>
          <w:t>michael.serpell@glasgow.ac.uk mgserpell@cheerful.com</w:t>
        </w:r>
      </w:hyperlink>
      <w:r>
        <w:rPr>
          <w:noProof/>
          <w:lang w:val="en-US" w:eastAsia="en-GB"/>
        </w:rPr>
        <w:t xml:space="preserve"> </w:t>
      </w:r>
    </w:p>
    <w:p w14:paraId="233E361D" w14:textId="0276E987" w:rsidR="00614F3C" w:rsidRDefault="00614F3C" w:rsidP="00614F3C">
      <w:pPr>
        <w:rPr>
          <w:noProof/>
          <w:lang w:val="en-US" w:eastAsia="en-GB"/>
        </w:rPr>
      </w:pPr>
      <w:r>
        <w:rPr>
          <w:noProof/>
          <w:lang w:val="en-US" w:eastAsia="en-GB"/>
        </w:rPr>
        <w:t>1</w:t>
      </w:r>
      <w:r w:rsidR="002F3FC1">
        <w:rPr>
          <w:noProof/>
          <w:lang w:val="en-US" w:eastAsia="en-GB"/>
        </w:rPr>
        <w:t>6</w:t>
      </w:r>
      <w:r>
        <w:rPr>
          <w:noProof/>
          <w:lang w:val="en-US" w:eastAsia="en-GB"/>
        </w:rPr>
        <w:t>. Consultant Rheumatologist</w:t>
      </w:r>
      <w:r w:rsidR="006A3E9B">
        <w:rPr>
          <w:noProof/>
          <w:lang w:val="en-US" w:eastAsia="en-GB"/>
        </w:rPr>
        <w:t>.</w:t>
      </w:r>
      <w:r>
        <w:rPr>
          <w:noProof/>
          <w:lang w:val="en-US" w:eastAsia="en-GB"/>
        </w:rPr>
        <w:t xml:space="preserve"> Department of Rheumatology, Cambridge University Hospitals, Hills Road, Cambridge, UK, CB2 0QQ. Tel: +44 1223 217 457; email: </w:t>
      </w:r>
      <w:hyperlink r:id="rId26" w:history="1">
        <w:r>
          <w:rPr>
            <w:rStyle w:val="Hyperlink"/>
            <w:noProof/>
            <w:lang w:val="en-US" w:eastAsia="en-GB"/>
          </w:rPr>
          <w:t>nicholas.shenker@addenbrookes.nhs.uk</w:t>
        </w:r>
      </w:hyperlink>
      <w:r>
        <w:rPr>
          <w:noProof/>
          <w:lang w:val="en-US" w:eastAsia="en-GB"/>
        </w:rPr>
        <w:t xml:space="preserve"> </w:t>
      </w:r>
    </w:p>
    <w:p w14:paraId="24AEBADF" w14:textId="42E0A840" w:rsidR="00614F3C" w:rsidRDefault="00614F3C" w:rsidP="00614F3C">
      <w:pPr>
        <w:rPr>
          <w:noProof/>
          <w:lang w:val="en-US" w:eastAsia="en-GB"/>
        </w:rPr>
      </w:pPr>
      <w:r>
        <w:rPr>
          <w:noProof/>
          <w:lang w:val="en-US" w:eastAsia="en-GB"/>
        </w:rPr>
        <w:t>1</w:t>
      </w:r>
      <w:r w:rsidR="002F3FC1">
        <w:rPr>
          <w:noProof/>
          <w:lang w:val="en-US" w:eastAsia="en-GB"/>
        </w:rPr>
        <w:t>7</w:t>
      </w:r>
      <w:r>
        <w:rPr>
          <w:noProof/>
          <w:lang w:val="en-US" w:eastAsia="en-GB"/>
        </w:rPr>
        <w:t>. Consultant in Anaesthesia and Pain Management</w:t>
      </w:r>
      <w:r w:rsidR="006A3E9B">
        <w:rPr>
          <w:noProof/>
          <w:lang w:val="en-US" w:eastAsia="en-GB"/>
        </w:rPr>
        <w:t>.</w:t>
      </w:r>
      <w:r>
        <w:rPr>
          <w:noProof/>
          <w:lang w:val="en-US" w:eastAsia="en-GB"/>
        </w:rPr>
        <w:t xml:space="preserve"> University Hospital of Leicester NHS Trust, , Leicester General Hospital, Gwendolen Road, Leicester, UK, LE5 4PW. Tel: +44 7879 495 33; email: </w:t>
      </w:r>
      <w:hyperlink r:id="rId27" w:history="1">
        <w:r>
          <w:rPr>
            <w:rStyle w:val="Hyperlink"/>
            <w:noProof/>
            <w:lang w:val="en-US" w:eastAsia="en-GB"/>
          </w:rPr>
          <w:t>drshoukrey@yahoo.com</w:t>
        </w:r>
      </w:hyperlink>
      <w:r>
        <w:rPr>
          <w:noProof/>
          <w:lang w:val="en-US" w:eastAsia="en-GB"/>
        </w:rPr>
        <w:t xml:space="preserve"> </w:t>
      </w:r>
    </w:p>
    <w:p w14:paraId="5E43C9A9" w14:textId="7EC71D37" w:rsidR="00614F3C" w:rsidRDefault="002F3FC1" w:rsidP="00614F3C">
      <w:pPr>
        <w:rPr>
          <w:noProof/>
          <w:lang w:eastAsia="en-GB"/>
        </w:rPr>
      </w:pPr>
      <w:r>
        <w:rPr>
          <w:noProof/>
          <w:lang w:eastAsia="en-GB"/>
        </w:rPr>
        <w:t>18</w:t>
      </w:r>
      <w:r w:rsidR="00614F3C">
        <w:rPr>
          <w:noProof/>
          <w:lang w:eastAsia="en-GB"/>
        </w:rPr>
        <w:t xml:space="preserve">. </w:t>
      </w:r>
      <w:r w:rsidR="00270C68">
        <w:rPr>
          <w:noProof/>
          <w:lang w:eastAsia="en-GB"/>
        </w:rPr>
        <w:t>Research Manager</w:t>
      </w:r>
      <w:r w:rsidR="00614F3C">
        <w:rPr>
          <w:noProof/>
          <w:lang w:eastAsia="en-GB"/>
        </w:rPr>
        <w:t xml:space="preserve">. Pain Management &amp; Neuromodulation Centre, Guys &amp; St Thomas’ Hospital, London, UK, SE1 7EH. Tel: +44 207 188 3237; email: </w:t>
      </w:r>
      <w:hyperlink r:id="rId28" w:history="1">
        <w:r w:rsidR="00614F3C">
          <w:rPr>
            <w:rStyle w:val="Hyperlink"/>
            <w:noProof/>
            <w:lang w:eastAsia="en-GB"/>
          </w:rPr>
          <w:t>Samuel.Wesley@gstt.nhs.uk</w:t>
        </w:r>
      </w:hyperlink>
      <w:r w:rsidR="00614F3C">
        <w:rPr>
          <w:noProof/>
          <w:lang w:eastAsia="en-GB"/>
        </w:rPr>
        <w:t xml:space="preserve"> </w:t>
      </w:r>
    </w:p>
    <w:p w14:paraId="699C51A0" w14:textId="7B2A52E4" w:rsidR="00614F3C" w:rsidRDefault="002F3FC1" w:rsidP="00614F3C">
      <w:pPr>
        <w:rPr>
          <w:noProof/>
          <w:lang w:val="en-US" w:eastAsia="en-GB"/>
        </w:rPr>
      </w:pPr>
      <w:r>
        <w:rPr>
          <w:noProof/>
          <w:lang w:eastAsia="en-GB"/>
        </w:rPr>
        <w:t>19</w:t>
      </w:r>
      <w:r w:rsidR="00614F3C">
        <w:rPr>
          <w:noProof/>
          <w:lang w:eastAsia="en-GB"/>
        </w:rPr>
        <w:t>. Administrator</w:t>
      </w:r>
      <w:r w:rsidR="006A3E9B">
        <w:rPr>
          <w:noProof/>
          <w:lang w:eastAsia="en-GB"/>
        </w:rPr>
        <w:t>.</w:t>
      </w:r>
      <w:r w:rsidR="00614F3C">
        <w:rPr>
          <w:noProof/>
          <w:lang w:eastAsia="en-GB"/>
        </w:rPr>
        <w:t xml:space="preserve"> </w:t>
      </w:r>
      <w:r w:rsidR="00614F3C">
        <w:rPr>
          <w:noProof/>
          <w:lang w:val="en-US" w:eastAsia="en-GB"/>
        </w:rPr>
        <w:t xml:space="preserve">University Hospital of Leicester NHS Trust, Leicester General Hospital, Gwendolen Road, Leicester, UK, LE5 4PW. Tel: +44 </w:t>
      </w:r>
      <w:r w:rsidR="00614F3C">
        <w:t>116 2586293;</w:t>
      </w:r>
      <w:r w:rsidR="00614F3C">
        <w:rPr>
          <w:noProof/>
          <w:lang w:eastAsia="en-GB"/>
        </w:rPr>
        <w:t xml:space="preserve"> email: </w:t>
      </w:r>
      <w:hyperlink r:id="rId29" w:history="1">
        <w:r w:rsidR="00614F3C">
          <w:rPr>
            <w:rStyle w:val="Hyperlink"/>
            <w:noProof/>
            <w:lang w:eastAsia="en-GB"/>
          </w:rPr>
          <w:t>Margaret.A.Weston@uhl-tr.nhs.uk</w:t>
        </w:r>
      </w:hyperlink>
      <w:r w:rsidR="00614F3C">
        <w:rPr>
          <w:noProof/>
          <w:lang w:eastAsia="en-GB"/>
        </w:rPr>
        <w:t xml:space="preserve"> </w:t>
      </w:r>
    </w:p>
    <w:p w14:paraId="2CF46348" w14:textId="7128071B" w:rsidR="00614F3C" w:rsidRDefault="00614F3C" w:rsidP="00614F3C">
      <w:pPr>
        <w:rPr>
          <w:noProof/>
          <w:lang w:val="en-US" w:eastAsia="en-GB"/>
        </w:rPr>
      </w:pPr>
      <w:r>
        <w:rPr>
          <w:noProof/>
          <w:lang w:val="en-US" w:eastAsia="en-GB"/>
        </w:rPr>
        <w:t>2</w:t>
      </w:r>
      <w:r w:rsidR="002F3FC1">
        <w:rPr>
          <w:noProof/>
          <w:lang w:val="en-US" w:eastAsia="en-GB"/>
        </w:rPr>
        <w:t>0</w:t>
      </w:r>
      <w:r>
        <w:rPr>
          <w:noProof/>
          <w:lang w:val="en-US" w:eastAsia="en-GB"/>
        </w:rPr>
        <w:t xml:space="preserve">. </w:t>
      </w:r>
      <w:r>
        <w:rPr>
          <w:noProof/>
          <w:lang w:eastAsia="en-GB"/>
        </w:rPr>
        <w:t>Trial Management Strategic Lead</w:t>
      </w:r>
      <w:r>
        <w:rPr>
          <w:noProof/>
          <w:lang w:val="en-US" w:eastAsia="en-GB"/>
        </w:rPr>
        <w:t xml:space="preserve">. Kings College London Clinical Trials Unit, PO64, M2.06, Institute of Psychiatry, Psychology and Neuroscience, De Crespigny Park, London, UK,  SE5 8AF. Tel: +44 207 848 0532; email: </w:t>
      </w:r>
      <w:hyperlink r:id="rId30" w:history="1">
        <w:r>
          <w:rPr>
            <w:rStyle w:val="Hyperlink"/>
            <w:noProof/>
            <w:lang w:val="en-US" w:eastAsia="en-GB"/>
          </w:rPr>
          <w:t>beverley.white@kcl.ac.uk</w:t>
        </w:r>
      </w:hyperlink>
      <w:r>
        <w:rPr>
          <w:noProof/>
          <w:lang w:val="en-US" w:eastAsia="en-GB"/>
        </w:rPr>
        <w:t xml:space="preserve"> </w:t>
      </w:r>
    </w:p>
    <w:p w14:paraId="36919A2C" w14:textId="01E9A1D3" w:rsidR="00614F3C" w:rsidRDefault="00614F3C" w:rsidP="00614F3C">
      <w:r>
        <w:t>2</w:t>
      </w:r>
      <w:r w:rsidR="002F3FC1">
        <w:t>1</w:t>
      </w:r>
      <w:r>
        <w:t xml:space="preserve">. Research Nurse. The Walton Centre NHS Foundation Trust, Lower Ln, Liverpool, UK, L9 7LJ. Tel: +44 151 529 5667; email:  </w:t>
      </w:r>
      <w:hyperlink r:id="rId31" w:history="1">
        <w:r w:rsidR="00B76293" w:rsidRPr="00E45569">
          <w:rPr>
            <w:rStyle w:val="Hyperlink"/>
          </w:rPr>
          <w:t>lynne.wyatt@thewaltoncentre.nhs.uk</w:t>
        </w:r>
      </w:hyperlink>
      <w:r w:rsidR="00B76293">
        <w:t xml:space="preserve"> </w:t>
      </w:r>
    </w:p>
    <w:p w14:paraId="7AF1D62B" w14:textId="78ACE44E" w:rsidR="00AE10CB" w:rsidRDefault="00AE10CB" w:rsidP="00614F3C">
      <w:pPr>
        <w:rPr>
          <w:noProof/>
          <w:lang w:val="en-US" w:eastAsia="en-GB"/>
        </w:rPr>
      </w:pPr>
      <w:r>
        <w:rPr>
          <w:noProof/>
          <w:lang w:val="en-US" w:eastAsia="en-GB"/>
        </w:rPr>
        <w:t xml:space="preserve">22.** Operational Director. Kings College London Clinical Trials Unit, PO64, M2.06, Institute of Psychiatry, Psychology and Neuroscience, De Crespigny Park, London, UK,  SE5 8AF. Tel: +44 207 848 0532; email: </w:t>
      </w:r>
      <w:hyperlink r:id="rId32" w:history="1">
        <w:r>
          <w:rPr>
            <w:rStyle w:val="Hyperlink"/>
            <w:noProof/>
            <w:lang w:val="en-US" w:eastAsia="en-GB"/>
          </w:rPr>
          <w:t>caroline.murphy@kcl.ac.uk</w:t>
        </w:r>
      </w:hyperlink>
      <w:r>
        <w:rPr>
          <w:noProof/>
          <w:lang w:val="en-US" w:eastAsia="en-GB"/>
        </w:rPr>
        <w:t xml:space="preserve"> </w:t>
      </w:r>
    </w:p>
    <w:p w14:paraId="0AD45BBC" w14:textId="1B610946" w:rsidR="00614F3C" w:rsidRDefault="00614F3C" w:rsidP="00614F3C">
      <w:pPr>
        <w:rPr>
          <w:noProof/>
          <w:lang w:val="en-US" w:eastAsia="en-GB"/>
        </w:rPr>
      </w:pPr>
      <w:r>
        <w:rPr>
          <w:noProof/>
          <w:lang w:val="en-US" w:eastAsia="en-GB"/>
        </w:rPr>
        <w:t>2</w:t>
      </w:r>
      <w:r w:rsidR="00AE10CB">
        <w:rPr>
          <w:noProof/>
          <w:lang w:val="en-US" w:eastAsia="en-GB"/>
        </w:rPr>
        <w:t>3</w:t>
      </w:r>
      <w:r>
        <w:rPr>
          <w:noProof/>
          <w:lang w:val="en-US" w:eastAsia="en-GB"/>
        </w:rPr>
        <w:t xml:space="preserve">. </w:t>
      </w:r>
      <w:r w:rsidR="00666556" w:rsidRPr="00666556">
        <w:rPr>
          <w:noProof/>
          <w:lang w:val="en-US" w:eastAsia="en-GB"/>
        </w:rPr>
        <w:t xml:space="preserve">**Reader and Honorary Consultant. University of Liverpool and Walton Centre NHS Foundation Trust, Liverpool L9 7AJ. Tel: +44 151 529 5749; email : </w:t>
      </w:r>
      <w:hyperlink r:id="rId33" w:tgtFrame="_blank" w:history="1">
        <w:r w:rsidR="00666556" w:rsidRPr="00666556">
          <w:rPr>
            <w:rStyle w:val="Hyperlink"/>
            <w:noProof/>
            <w:lang w:val="en-US" w:eastAsia="en-GB"/>
          </w:rPr>
          <w:t>andreasgoebel@rocketmail.com</w:t>
        </w:r>
      </w:hyperlink>
      <w:r w:rsidR="00666556" w:rsidRPr="00666556">
        <w:rPr>
          <w:noProof/>
          <w:lang w:val="en-US" w:eastAsia="en-GB"/>
        </w:rPr>
        <w:t xml:space="preserve"> </w:t>
      </w:r>
      <w:hyperlink r:id="rId34" w:tgtFrame="_blank" w:history="1">
        <w:r w:rsidR="00666556" w:rsidRPr="00666556">
          <w:rPr>
            <w:rStyle w:val="Hyperlink"/>
            <w:noProof/>
            <w:lang w:val="en-US" w:eastAsia="en-GB"/>
          </w:rPr>
          <w:t>andreas.goebel@liv.ac.uk</w:t>
        </w:r>
      </w:hyperlink>
    </w:p>
    <w:p w14:paraId="06E64EF5" w14:textId="4110FED8" w:rsidR="007E2E64" w:rsidRDefault="007E2E64">
      <w:pPr>
        <w:rPr>
          <w:noProof/>
          <w:lang w:val="en-US" w:eastAsia="en-GB"/>
        </w:rPr>
      </w:pPr>
    </w:p>
    <w:p w14:paraId="078DE313" w14:textId="77777777" w:rsidR="00AE10CB" w:rsidRDefault="00AE10CB">
      <w:pPr>
        <w:rPr>
          <w:noProof/>
          <w:lang w:val="en-US" w:eastAsia="en-GB"/>
        </w:rPr>
      </w:pPr>
    </w:p>
    <w:p w14:paraId="0591C39F" w14:textId="77777777" w:rsidR="005F15A3" w:rsidRDefault="005F15A3" w:rsidP="000B7D81">
      <w:pPr>
        <w:rPr>
          <w:b/>
          <w:noProof/>
          <w:sz w:val="28"/>
          <w:szCs w:val="28"/>
          <w:lang w:eastAsia="en-GB"/>
        </w:rPr>
      </w:pPr>
    </w:p>
    <w:p w14:paraId="5B38CE11" w14:textId="77777777" w:rsidR="005F15A3" w:rsidRDefault="005F15A3" w:rsidP="000B7D81">
      <w:pPr>
        <w:rPr>
          <w:b/>
          <w:noProof/>
          <w:sz w:val="28"/>
          <w:szCs w:val="28"/>
          <w:lang w:eastAsia="en-GB"/>
        </w:rPr>
      </w:pPr>
    </w:p>
    <w:p w14:paraId="18F1B10F" w14:textId="440A53AC" w:rsidR="000B7D81" w:rsidRPr="00586F89" w:rsidRDefault="000B7D81" w:rsidP="000B7D81">
      <w:pPr>
        <w:rPr>
          <w:b/>
          <w:noProof/>
          <w:sz w:val="28"/>
          <w:szCs w:val="28"/>
          <w:lang w:eastAsia="en-GB"/>
        </w:rPr>
      </w:pPr>
      <w:r>
        <w:rPr>
          <w:b/>
          <w:noProof/>
          <w:sz w:val="28"/>
          <w:szCs w:val="28"/>
          <w:lang w:eastAsia="en-GB"/>
        </w:rPr>
        <w:lastRenderedPageBreak/>
        <w:t>Abstract</w:t>
      </w:r>
    </w:p>
    <w:p w14:paraId="52EFAB41" w14:textId="77777777" w:rsidR="009E21DE" w:rsidRPr="009E21DE" w:rsidRDefault="009E21DE" w:rsidP="009E21DE">
      <w:pPr>
        <w:rPr>
          <w:noProof/>
          <w:lang w:eastAsia="en-GB"/>
        </w:rPr>
      </w:pPr>
      <w:r w:rsidRPr="009E21DE">
        <w:rPr>
          <w:noProof/>
          <w:lang w:eastAsia="en-GB"/>
        </w:rPr>
        <w:t>Introduction:</w:t>
      </w:r>
    </w:p>
    <w:p w14:paraId="4F89CD74" w14:textId="77777777" w:rsidR="009E21DE" w:rsidRPr="009E21DE" w:rsidRDefault="009E21DE" w:rsidP="009E21DE">
      <w:pPr>
        <w:rPr>
          <w:noProof/>
          <w:lang w:eastAsia="en-GB"/>
        </w:rPr>
      </w:pPr>
      <w:r w:rsidRPr="009E21DE">
        <w:rPr>
          <w:noProof/>
          <w:lang w:eastAsia="en-GB"/>
        </w:rPr>
        <w:t>Recruitment into trials in rare chronic pain conditions can be challenging so that such trials consequently are underpowered or fail. </w:t>
      </w:r>
    </w:p>
    <w:p w14:paraId="749BCA1B" w14:textId="77777777" w:rsidR="009E21DE" w:rsidRPr="009E21DE" w:rsidRDefault="009E21DE" w:rsidP="009E21DE">
      <w:pPr>
        <w:rPr>
          <w:noProof/>
          <w:lang w:eastAsia="en-GB"/>
        </w:rPr>
      </w:pPr>
      <w:r w:rsidRPr="009E21DE">
        <w:rPr>
          <w:noProof/>
          <w:lang w:eastAsia="en-GB"/>
        </w:rPr>
        <w:t>Methods:</w:t>
      </w:r>
    </w:p>
    <w:p w14:paraId="17A56E63" w14:textId="77777777" w:rsidR="009E21DE" w:rsidRPr="009E21DE" w:rsidRDefault="009E21DE" w:rsidP="009E21DE">
      <w:pPr>
        <w:rPr>
          <w:noProof/>
          <w:lang w:eastAsia="en-GB"/>
        </w:rPr>
      </w:pPr>
      <w:r w:rsidRPr="009E21DE">
        <w:rPr>
          <w:noProof/>
          <w:lang w:eastAsia="en-GB"/>
        </w:rPr>
        <w:t>Drawing from our experience in conducting, to date, the largest academic trial in the rare chronic pain condition, Complex Regional Pain Syndrome, we have identified recuitment and retention strategies for successful trial conduct. </w:t>
      </w:r>
    </w:p>
    <w:p w14:paraId="40889A1E" w14:textId="77777777" w:rsidR="009E21DE" w:rsidRPr="009E21DE" w:rsidRDefault="009E21DE" w:rsidP="009E21DE">
      <w:pPr>
        <w:rPr>
          <w:noProof/>
          <w:lang w:eastAsia="en-GB"/>
        </w:rPr>
      </w:pPr>
      <w:r w:rsidRPr="009E21DE">
        <w:rPr>
          <w:noProof/>
          <w:lang w:eastAsia="en-GB"/>
        </w:rPr>
        <w:t>Results:</w:t>
      </w:r>
    </w:p>
    <w:p w14:paraId="538D35AF" w14:textId="77777777" w:rsidR="009E21DE" w:rsidRPr="009E21DE" w:rsidRDefault="009E21DE" w:rsidP="009E21DE">
      <w:pPr>
        <w:rPr>
          <w:noProof/>
          <w:lang w:eastAsia="en-GB"/>
        </w:rPr>
      </w:pPr>
      <w:r w:rsidRPr="009E21DE">
        <w:rPr>
          <w:noProof/>
          <w:lang w:eastAsia="en-GB"/>
        </w:rPr>
        <w:t>We present 13 strategies grouped across the categories of ‘setting the recruitment rate’, ‘networking’, ‘patient information’, ‘trial management’ and ‘patient retention’.  Moreover,  6 recruitment risks are also discussed. A conservative recruitment estimate, based on audits of  newly referred patients to the trial centres without taking into account availability of ‘old’ patients or recruitment from outside centres, and assuming a 55% patient-refusal rate yielded accurate numbers.</w:t>
      </w:r>
    </w:p>
    <w:p w14:paraId="6B514AAC" w14:textId="77777777" w:rsidR="009E21DE" w:rsidRPr="009E21DE" w:rsidRDefault="009E21DE" w:rsidP="009E21DE">
      <w:pPr>
        <w:rPr>
          <w:noProof/>
          <w:lang w:eastAsia="en-GB"/>
        </w:rPr>
      </w:pPr>
      <w:r w:rsidRPr="009E21DE">
        <w:rPr>
          <w:noProof/>
          <w:lang w:eastAsia="en-GB"/>
        </w:rPr>
        <w:t>Conclusion:</w:t>
      </w:r>
    </w:p>
    <w:p w14:paraId="28AA88FE" w14:textId="77777777" w:rsidR="009E21DE" w:rsidRPr="009E21DE" w:rsidRDefault="009E21DE" w:rsidP="009E21DE">
      <w:pPr>
        <w:rPr>
          <w:noProof/>
          <w:lang w:eastAsia="en-GB"/>
        </w:rPr>
      </w:pPr>
      <w:r w:rsidRPr="009E21DE">
        <w:rPr>
          <w:noProof/>
          <w:lang w:eastAsia="en-GB"/>
        </w:rPr>
        <w:t>Appreciation of these identified recruitment challenges and opportunities may contribute to supporting prospective investigators when they design clinical trials for chronic pain patient population groups where it has been historically difficult to conduct high quality and robust clinical trials. </w:t>
      </w:r>
    </w:p>
    <w:p w14:paraId="7732410D" w14:textId="77777777" w:rsidR="00E4169A" w:rsidRDefault="00E4169A">
      <w:pPr>
        <w:rPr>
          <w:noProof/>
          <w:lang w:eastAsia="en-GB"/>
        </w:rPr>
      </w:pPr>
    </w:p>
    <w:p w14:paraId="7A88751F" w14:textId="3179FF15" w:rsidR="002041CD" w:rsidRPr="00586F89" w:rsidRDefault="00F62381">
      <w:pPr>
        <w:rPr>
          <w:b/>
          <w:noProof/>
          <w:sz w:val="28"/>
          <w:szCs w:val="28"/>
          <w:lang w:eastAsia="en-GB"/>
        </w:rPr>
      </w:pPr>
      <w:r w:rsidRPr="00586F89">
        <w:rPr>
          <w:b/>
          <w:noProof/>
          <w:sz w:val="28"/>
          <w:szCs w:val="28"/>
          <w:lang w:eastAsia="en-GB"/>
        </w:rPr>
        <w:t>Background</w:t>
      </w:r>
    </w:p>
    <w:p w14:paraId="26712FE8" w14:textId="234EB5B0" w:rsidR="0090202E" w:rsidRDefault="00F05527" w:rsidP="0090202E">
      <w:pPr>
        <w:rPr>
          <w:noProof/>
          <w:lang w:eastAsia="en-GB"/>
        </w:rPr>
      </w:pPr>
      <w:r>
        <w:rPr>
          <w:noProof/>
          <w:lang w:eastAsia="en-GB"/>
        </w:rPr>
        <w:t xml:space="preserve">More high quality trials in chronic pain conditions are </w:t>
      </w:r>
      <w:r w:rsidR="00F10161">
        <w:rPr>
          <w:noProof/>
          <w:lang w:eastAsia="en-GB"/>
        </w:rPr>
        <w:t>desperat</w:t>
      </w:r>
      <w:r w:rsidR="006B05CC">
        <w:rPr>
          <w:noProof/>
          <w:lang w:eastAsia="en-GB"/>
        </w:rPr>
        <w:t>ely</w:t>
      </w:r>
      <w:r>
        <w:rPr>
          <w:noProof/>
          <w:lang w:eastAsia="en-GB"/>
        </w:rPr>
        <w:t xml:space="preserve"> needed to advance patient care</w:t>
      </w:r>
      <w:r w:rsidR="00985396">
        <w:rPr>
          <w:noProof/>
          <w:lang w:eastAsia="en-GB"/>
        </w:rPr>
        <w:t>.</w:t>
      </w:r>
      <w:r w:rsidR="00985396">
        <w:rPr>
          <w:noProof/>
          <w:lang w:eastAsia="en-GB"/>
        </w:rPr>
        <w:fldChar w:fldCharType="begin">
          <w:fldData xml:space="preserve">PEVuZE5vdGU+PENpdGU+PEF1dGhvcj5Ed29ya2luPC9BdXRob3I+PFllYXI+MjAxMDwvWWVhcj48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</w:fldData>
        </w:fldChar>
      </w:r>
      <w:r w:rsidR="009707FF">
        <w:rPr>
          <w:noProof/>
          <w:lang w:eastAsia="en-GB"/>
        </w:rPr>
        <w:instrText xml:space="preserve"> ADDIN EN.CITE </w:instrText>
      </w:r>
      <w:r w:rsidR="009707FF">
        <w:rPr>
          <w:noProof/>
          <w:lang w:eastAsia="en-GB"/>
        </w:rPr>
        <w:fldChar w:fldCharType="begin">
          <w:fldData xml:space="preserve">PEVuZE5vdGU+PENpdGU+PEF1dGhvcj5Ed29ya2luPC9BdXRob3I+PFllYXI+MjAxMDwvWWVhcj48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</w:fldData>
        </w:fldChar>
      </w:r>
      <w:r w:rsidR="009707FF">
        <w:rPr>
          <w:noProof/>
          <w:lang w:eastAsia="en-GB"/>
        </w:rPr>
        <w:instrText xml:space="preserve"> ADDIN EN.CITE.DATA </w:instrText>
      </w:r>
      <w:r w:rsidR="009707FF">
        <w:rPr>
          <w:noProof/>
          <w:lang w:eastAsia="en-GB"/>
        </w:rPr>
      </w:r>
      <w:r w:rsidR="009707FF">
        <w:rPr>
          <w:noProof/>
          <w:lang w:eastAsia="en-GB"/>
        </w:rPr>
        <w:fldChar w:fldCharType="end"/>
      </w:r>
      <w:r w:rsidR="00985396">
        <w:rPr>
          <w:noProof/>
          <w:lang w:eastAsia="en-GB"/>
        </w:rPr>
      </w:r>
      <w:r w:rsidR="00985396">
        <w:rPr>
          <w:noProof/>
          <w:lang w:eastAsia="en-GB"/>
        </w:rPr>
        <w:fldChar w:fldCharType="separate"/>
      </w:r>
      <w:r w:rsidR="009707FF" w:rsidRPr="009707FF">
        <w:rPr>
          <w:noProof/>
          <w:vertAlign w:val="superscript"/>
          <w:lang w:eastAsia="en-GB"/>
        </w:rPr>
        <w:t>1</w:t>
      </w:r>
      <w:r w:rsidR="00985396">
        <w:rPr>
          <w:noProof/>
          <w:lang w:eastAsia="en-GB"/>
        </w:rPr>
        <w:fldChar w:fldCharType="end"/>
      </w:r>
      <w:r>
        <w:rPr>
          <w:noProof/>
          <w:lang w:eastAsia="en-GB"/>
        </w:rPr>
        <w:t xml:space="preserve"> However the</w:t>
      </w:r>
      <w:r w:rsidR="0090202E">
        <w:rPr>
          <w:noProof/>
          <w:lang w:eastAsia="en-GB"/>
        </w:rPr>
        <w:t xml:space="preserve"> challenge</w:t>
      </w:r>
      <w:r>
        <w:rPr>
          <w:noProof/>
          <w:lang w:eastAsia="en-GB"/>
        </w:rPr>
        <w:t>s</w:t>
      </w:r>
      <w:r w:rsidR="0090202E">
        <w:rPr>
          <w:noProof/>
          <w:lang w:eastAsia="en-GB"/>
        </w:rPr>
        <w:t xml:space="preserve"> of ensuring that a clinical trial recruits to target </w:t>
      </w:r>
      <w:r w:rsidR="00E453B2">
        <w:rPr>
          <w:noProof/>
          <w:lang w:eastAsia="en-GB"/>
        </w:rPr>
        <w:t>are</w:t>
      </w:r>
      <w:r w:rsidR="0090202E">
        <w:rPr>
          <w:noProof/>
          <w:lang w:eastAsia="en-GB"/>
        </w:rPr>
        <w:t xml:space="preserve"> well documented</w:t>
      </w:r>
      <w:r w:rsidR="00E26ED5" w:rsidRPr="00E26ED5">
        <w:rPr>
          <w:noProof/>
          <w:vertAlign w:val="superscript"/>
          <w:lang w:eastAsia="en-GB"/>
        </w:rPr>
        <w:t>2</w:t>
      </w:r>
      <w:r w:rsidR="00E453B2">
        <w:rPr>
          <w:noProof/>
          <w:lang w:eastAsia="en-GB"/>
        </w:rPr>
        <w:t>.</w:t>
      </w:r>
      <w:r w:rsidR="0090202E">
        <w:rPr>
          <w:noProof/>
          <w:lang w:eastAsia="en-GB"/>
        </w:rPr>
        <w:t xml:space="preserve"> </w:t>
      </w:r>
      <w:bookmarkStart w:id="2" w:name="_Hlk13575991"/>
      <w:r w:rsidR="005571CD">
        <w:rPr>
          <w:noProof/>
          <w:lang w:eastAsia="en-GB"/>
        </w:rPr>
        <w:t>Some chronic pain conditions are rare, and the incremental recruitment challenges posed specifically by low prevalence figures have been discussed</w:t>
      </w:r>
      <w:r w:rsidR="007001EB" w:rsidRPr="007001EB">
        <w:rPr>
          <w:noProof/>
          <w:vertAlign w:val="superscript"/>
          <w:lang w:eastAsia="en-GB"/>
        </w:rPr>
        <w:t>3</w:t>
      </w:r>
      <w:bookmarkEnd w:id="2"/>
      <w:r w:rsidR="005571CD">
        <w:rPr>
          <w:noProof/>
          <w:lang w:eastAsia="en-GB"/>
        </w:rPr>
        <w:t>.</w:t>
      </w:r>
      <w:r w:rsidR="003B5C9D">
        <w:rPr>
          <w:noProof/>
          <w:lang w:eastAsia="en-GB"/>
        </w:rPr>
        <w:t xml:space="preserve"> </w:t>
      </w:r>
      <w:r w:rsidR="00E453B2">
        <w:rPr>
          <w:noProof/>
          <w:lang w:eastAsia="en-GB"/>
        </w:rPr>
        <w:t>O</w:t>
      </w:r>
      <w:r w:rsidR="0090202E">
        <w:rPr>
          <w:noProof/>
          <w:lang w:eastAsia="en-GB"/>
        </w:rPr>
        <w:t>ne of the most cruicial consequences of poor recruitment is the potential for a trial to be under-</w:t>
      </w:r>
      <w:bookmarkStart w:id="3" w:name="_Hlk5928308"/>
      <w:r w:rsidR="0090202E">
        <w:rPr>
          <w:noProof/>
          <w:lang w:eastAsia="en-GB"/>
        </w:rPr>
        <w:t>powered</w:t>
      </w:r>
      <w:r w:rsidR="00E453B2">
        <w:rPr>
          <w:noProof/>
          <w:lang w:eastAsia="en-GB"/>
        </w:rPr>
        <w:t xml:space="preserve"> </w:t>
      </w:r>
      <w:r w:rsidR="00C47F96">
        <w:rPr>
          <w:noProof/>
          <w:lang w:eastAsia="en-GB"/>
        </w:rPr>
        <w:t>leading in turn</w:t>
      </w:r>
      <w:r w:rsidR="00E86B6B">
        <w:rPr>
          <w:noProof/>
          <w:lang w:eastAsia="en-GB"/>
        </w:rPr>
        <w:t xml:space="preserve"> to</w:t>
      </w:r>
      <w:r w:rsidR="00C47F96">
        <w:rPr>
          <w:noProof/>
          <w:lang w:eastAsia="en-GB"/>
        </w:rPr>
        <w:t xml:space="preserve"> </w:t>
      </w:r>
      <w:r w:rsidR="001227A7">
        <w:rPr>
          <w:noProof/>
          <w:lang w:eastAsia="en-GB"/>
        </w:rPr>
        <w:t>a difficulty in detecting t</w:t>
      </w:r>
      <w:r w:rsidR="00223ED0">
        <w:rPr>
          <w:noProof/>
          <w:lang w:eastAsia="en-GB"/>
        </w:rPr>
        <w:t>reatment effects and</w:t>
      </w:r>
      <w:r w:rsidR="00E453B2">
        <w:rPr>
          <w:noProof/>
          <w:lang w:eastAsia="en-GB"/>
        </w:rPr>
        <w:t xml:space="preserve"> </w:t>
      </w:r>
      <w:r w:rsidR="00ED245D">
        <w:rPr>
          <w:noProof/>
          <w:lang w:eastAsia="en-GB"/>
        </w:rPr>
        <w:t xml:space="preserve">uncertaintity </w:t>
      </w:r>
      <w:r w:rsidR="00E453B2">
        <w:rPr>
          <w:noProof/>
          <w:lang w:eastAsia="en-GB"/>
        </w:rPr>
        <w:t xml:space="preserve"> in the validity of </w:t>
      </w:r>
      <w:r w:rsidR="00223ED0">
        <w:rPr>
          <w:noProof/>
          <w:lang w:eastAsia="en-GB"/>
        </w:rPr>
        <w:t xml:space="preserve">the </w:t>
      </w:r>
      <w:r w:rsidR="00E453B2">
        <w:rPr>
          <w:noProof/>
          <w:lang w:eastAsia="en-GB"/>
        </w:rPr>
        <w:t xml:space="preserve"> results</w:t>
      </w:r>
      <w:bookmarkEnd w:id="3"/>
      <w:r w:rsidR="00CB1A10">
        <w:rPr>
          <w:noProof/>
          <w:vertAlign w:val="superscript"/>
          <w:lang w:eastAsia="en-GB"/>
        </w:rPr>
        <w:t>4</w:t>
      </w:r>
      <w:r w:rsidR="00561736">
        <w:rPr>
          <w:noProof/>
          <w:vertAlign w:val="superscript"/>
          <w:lang w:eastAsia="en-GB"/>
        </w:rPr>
        <w:t>,</w:t>
      </w:r>
      <w:r w:rsidR="00CB1A10">
        <w:rPr>
          <w:noProof/>
          <w:vertAlign w:val="superscript"/>
          <w:lang w:eastAsia="en-GB"/>
        </w:rPr>
        <w:t>5</w:t>
      </w:r>
      <w:r w:rsidR="009E0D78">
        <w:rPr>
          <w:noProof/>
          <w:lang w:eastAsia="en-GB"/>
        </w:rPr>
        <w:t>.</w:t>
      </w:r>
      <w:r w:rsidR="003B5C9D">
        <w:rPr>
          <w:noProof/>
          <w:lang w:eastAsia="en-GB"/>
        </w:rPr>
        <w:t xml:space="preserve"> </w:t>
      </w:r>
      <w:r w:rsidR="001D6CE8">
        <w:t>A 2015 analysis of registered trials showed that 19% of trials were closed or stopped early because of difficulties in accruing participants</w:t>
      </w:r>
      <w:r w:rsidR="00CB1A10">
        <w:rPr>
          <w:vertAlign w:val="superscript"/>
        </w:rPr>
        <w:t>6</w:t>
      </w:r>
      <w:r w:rsidR="001D6CE8">
        <w:t>. Furthermore,</w:t>
      </w:r>
      <w:r w:rsidR="00DA7166">
        <w:t xml:space="preserve"> </w:t>
      </w:r>
      <w:r w:rsidR="003B5C9D">
        <w:t xml:space="preserve">even </w:t>
      </w:r>
      <w:r w:rsidR="005571CD">
        <w:rPr>
          <w:noProof/>
          <w:lang w:eastAsia="en-GB"/>
        </w:rPr>
        <w:t>where poor recruitment does not lead to trial stoppage</w:t>
      </w:r>
      <w:r w:rsidR="003B5C9D">
        <w:rPr>
          <w:noProof/>
          <w:lang w:eastAsia="en-GB"/>
        </w:rPr>
        <w:t>,</w:t>
      </w:r>
      <w:r w:rsidR="005571CD">
        <w:rPr>
          <w:noProof/>
          <w:lang w:eastAsia="en-GB"/>
        </w:rPr>
        <w:t xml:space="preserve"> it can result in an</w:t>
      </w:r>
      <w:r w:rsidR="0090202E">
        <w:rPr>
          <w:noProof/>
          <w:lang w:eastAsia="en-GB"/>
        </w:rPr>
        <w:t xml:space="preserve"> </w:t>
      </w:r>
      <w:r w:rsidR="005571CD">
        <w:rPr>
          <w:noProof/>
          <w:lang w:eastAsia="en-GB"/>
        </w:rPr>
        <w:t xml:space="preserve">extension of </w:t>
      </w:r>
      <w:r w:rsidR="00557888" w:rsidRPr="00557888">
        <w:rPr>
          <w:noProof/>
          <w:lang w:eastAsia="en-GB"/>
        </w:rPr>
        <w:t>study timelines beyond planned enrollment periods</w:t>
      </w:r>
      <w:r w:rsidR="005571CD">
        <w:rPr>
          <w:noProof/>
          <w:lang w:eastAsia="en-GB"/>
        </w:rPr>
        <w:t xml:space="preserve"> with important adverse consequences to the drug development process</w:t>
      </w:r>
      <w:r w:rsidR="00CB1A10">
        <w:rPr>
          <w:noProof/>
          <w:vertAlign w:val="superscript"/>
          <w:lang w:eastAsia="en-GB"/>
        </w:rPr>
        <w:t>7</w:t>
      </w:r>
      <w:r w:rsidR="00557888">
        <w:rPr>
          <w:noProof/>
          <w:lang w:eastAsia="en-GB"/>
        </w:rPr>
        <w:t xml:space="preserve">. </w:t>
      </w:r>
    </w:p>
    <w:p w14:paraId="242F929B" w14:textId="1496FE43" w:rsidR="002041CD" w:rsidRDefault="002041CD">
      <w:pPr>
        <w:rPr>
          <w:noProof/>
          <w:lang w:eastAsia="en-GB"/>
        </w:rPr>
      </w:pPr>
      <w:r>
        <w:rPr>
          <w:noProof/>
          <w:lang w:eastAsia="en-GB"/>
        </w:rPr>
        <w:t xml:space="preserve">We have recently </w:t>
      </w:r>
      <w:r w:rsidR="002F4D0E">
        <w:rPr>
          <w:noProof/>
          <w:lang w:eastAsia="en-GB"/>
        </w:rPr>
        <w:t>conducted</w:t>
      </w:r>
      <w:r>
        <w:rPr>
          <w:noProof/>
          <w:lang w:eastAsia="en-GB"/>
        </w:rPr>
        <w:t xml:space="preserve"> </w:t>
      </w:r>
      <w:r w:rsidR="00704A4D">
        <w:rPr>
          <w:noProof/>
          <w:lang w:eastAsia="en-GB"/>
        </w:rPr>
        <w:t xml:space="preserve"> the </w:t>
      </w:r>
      <w:r w:rsidR="00F05527">
        <w:rPr>
          <w:noProof/>
          <w:lang w:eastAsia="en-GB"/>
        </w:rPr>
        <w:t>UK ‘</w:t>
      </w:r>
      <w:r w:rsidR="00704A4D">
        <w:rPr>
          <w:noProof/>
          <w:lang w:eastAsia="en-GB"/>
        </w:rPr>
        <w:t>LIPS</w:t>
      </w:r>
      <w:r w:rsidR="00F05527">
        <w:rPr>
          <w:noProof/>
          <w:lang w:eastAsia="en-GB"/>
        </w:rPr>
        <w:t>’</w:t>
      </w:r>
      <w:r w:rsidR="00704A4D">
        <w:rPr>
          <w:noProof/>
          <w:lang w:eastAsia="en-GB"/>
        </w:rPr>
        <w:t xml:space="preserve"> trial, </w:t>
      </w:r>
      <w:r>
        <w:rPr>
          <w:noProof/>
          <w:lang w:eastAsia="en-GB"/>
        </w:rPr>
        <w:t>a</w:t>
      </w:r>
      <w:r w:rsidR="000714F6">
        <w:rPr>
          <w:noProof/>
          <w:lang w:eastAsia="en-GB"/>
        </w:rPr>
        <w:t xml:space="preserve">n academic phase III randomised controlled multicentre </w:t>
      </w:r>
      <w:r w:rsidR="00704A4D">
        <w:rPr>
          <w:noProof/>
          <w:lang w:eastAsia="en-GB"/>
        </w:rPr>
        <w:t>study</w:t>
      </w:r>
      <w:r w:rsidR="000714F6">
        <w:rPr>
          <w:noProof/>
          <w:lang w:eastAsia="en-GB"/>
        </w:rPr>
        <w:t xml:space="preserve"> of low-dose immunoglobulin</w:t>
      </w:r>
      <w:r w:rsidR="006D47CE">
        <w:rPr>
          <w:noProof/>
          <w:lang w:eastAsia="en-GB"/>
        </w:rPr>
        <w:t xml:space="preserve"> (IVIG)</w:t>
      </w:r>
      <w:r w:rsidR="000714F6">
        <w:rPr>
          <w:noProof/>
          <w:lang w:eastAsia="en-GB"/>
        </w:rPr>
        <w:t xml:space="preserve"> treatment for persistent Complex Regional Pain Syndrome (</w:t>
      </w:r>
      <w:r w:rsidR="0090202E">
        <w:rPr>
          <w:noProof/>
          <w:lang w:eastAsia="en-GB"/>
        </w:rPr>
        <w:t>CRPS</w:t>
      </w:r>
      <w:r w:rsidR="000714F6">
        <w:rPr>
          <w:noProof/>
          <w:lang w:eastAsia="en-GB"/>
        </w:rPr>
        <w:t>)</w:t>
      </w:r>
      <w:r w:rsidR="00487B55" w:rsidRPr="00487B55">
        <w:rPr>
          <w:noProof/>
          <w:vertAlign w:val="superscript"/>
          <w:lang w:eastAsia="en-GB"/>
        </w:rPr>
        <w:t>8</w:t>
      </w:r>
      <w:r w:rsidR="00A635CF">
        <w:rPr>
          <w:noProof/>
          <w:lang w:eastAsia="en-GB"/>
        </w:rPr>
        <w:t>.</w:t>
      </w:r>
      <w:r w:rsidR="00CE2C76">
        <w:rPr>
          <w:noProof/>
          <w:lang w:eastAsia="en-GB"/>
        </w:rPr>
        <w:t>C</w:t>
      </w:r>
      <w:r w:rsidR="000A0689">
        <w:rPr>
          <w:noProof/>
          <w:lang w:eastAsia="en-GB"/>
        </w:rPr>
        <w:t>RPS is a rare chronic pain condition typically affecting a distal limb after limb-trauma</w:t>
      </w:r>
      <w:r w:rsidR="00EE63F1" w:rsidRPr="00EE63F1">
        <w:rPr>
          <w:noProof/>
          <w:vertAlign w:val="superscript"/>
          <w:lang w:eastAsia="en-GB"/>
        </w:rPr>
        <w:t>9</w:t>
      </w:r>
      <w:r w:rsidR="000A0689">
        <w:rPr>
          <w:noProof/>
          <w:lang w:eastAsia="en-GB"/>
        </w:rPr>
        <w:t>.</w:t>
      </w:r>
      <w:r w:rsidR="00F10770">
        <w:rPr>
          <w:noProof/>
          <w:lang w:eastAsia="en-GB"/>
        </w:rPr>
        <w:t xml:space="preserve"> </w:t>
      </w:r>
      <w:r w:rsidR="000A0689">
        <w:rPr>
          <w:noProof/>
          <w:lang w:eastAsia="en-GB"/>
        </w:rPr>
        <w:t xml:space="preserve">Pain persists in about 20% of patients, </w:t>
      </w:r>
      <w:r w:rsidR="00CE2C76">
        <w:rPr>
          <w:noProof/>
          <w:lang w:eastAsia="en-GB"/>
        </w:rPr>
        <w:t xml:space="preserve">with </w:t>
      </w:r>
      <w:r w:rsidR="0033450C">
        <w:rPr>
          <w:noProof/>
          <w:lang w:eastAsia="en-GB"/>
        </w:rPr>
        <w:t xml:space="preserve">serious consequences on </w:t>
      </w:r>
      <w:r w:rsidR="006D47CE">
        <w:rPr>
          <w:noProof/>
          <w:lang w:eastAsia="en-GB"/>
        </w:rPr>
        <w:t>their</w:t>
      </w:r>
      <w:r w:rsidR="0033450C">
        <w:rPr>
          <w:noProof/>
          <w:lang w:eastAsia="en-GB"/>
        </w:rPr>
        <w:t xml:space="preserve"> ability to </w:t>
      </w:r>
      <w:r w:rsidR="0033450C">
        <w:rPr>
          <w:noProof/>
          <w:lang w:eastAsia="en-GB"/>
        </w:rPr>
        <w:lastRenderedPageBreak/>
        <w:t>work,  resulting in high costs to society</w:t>
      </w:r>
      <w:r w:rsidR="00A507C6" w:rsidRPr="00A507C6">
        <w:rPr>
          <w:noProof/>
          <w:vertAlign w:val="superscript"/>
          <w:lang w:eastAsia="en-GB"/>
        </w:rPr>
        <w:t>10</w:t>
      </w:r>
      <w:r w:rsidR="0033450C">
        <w:rPr>
          <w:noProof/>
          <w:lang w:eastAsia="en-GB"/>
        </w:rPr>
        <w:t>. The quality of life for these patients with persistent CRPS is very low</w:t>
      </w:r>
      <w:r w:rsidR="00A507C6" w:rsidRPr="00A507C6">
        <w:rPr>
          <w:noProof/>
          <w:vertAlign w:val="superscript"/>
          <w:lang w:eastAsia="en-GB"/>
        </w:rPr>
        <w:t>11</w:t>
      </w:r>
      <w:r w:rsidR="0033450C">
        <w:rPr>
          <w:noProof/>
          <w:lang w:eastAsia="en-GB"/>
        </w:rPr>
        <w:t xml:space="preserve">. </w:t>
      </w:r>
      <w:r w:rsidR="000A0689">
        <w:rPr>
          <w:noProof/>
          <w:lang w:eastAsia="en-GB"/>
        </w:rPr>
        <w:t xml:space="preserve"> </w:t>
      </w:r>
    </w:p>
    <w:p w14:paraId="0D656709" w14:textId="7FA50E3A" w:rsidR="00231E30" w:rsidRDefault="000714F6">
      <w:pPr>
        <w:rPr>
          <w:noProof/>
          <w:lang w:eastAsia="en-GB"/>
        </w:rPr>
      </w:pPr>
      <w:r>
        <w:rPr>
          <w:noProof/>
          <w:lang w:eastAsia="en-GB"/>
        </w:rPr>
        <w:t xml:space="preserve">The LIPS trial </w:t>
      </w:r>
      <w:r w:rsidR="00A60AB5">
        <w:rPr>
          <w:noProof/>
          <w:lang w:eastAsia="en-GB"/>
        </w:rPr>
        <w:t>has been</w:t>
      </w:r>
      <w:r w:rsidR="007B6D57">
        <w:rPr>
          <w:noProof/>
          <w:lang w:eastAsia="en-GB"/>
        </w:rPr>
        <w:t xml:space="preserve"> </w:t>
      </w:r>
      <w:r w:rsidR="00B95200">
        <w:rPr>
          <w:noProof/>
          <w:lang w:eastAsia="en-GB"/>
        </w:rPr>
        <w:t>the largest academic trial</w:t>
      </w:r>
      <w:r w:rsidR="002F4D0E">
        <w:rPr>
          <w:noProof/>
          <w:lang w:eastAsia="en-GB"/>
        </w:rPr>
        <w:t xml:space="preserve"> conducted</w:t>
      </w:r>
      <w:r w:rsidR="00B95200">
        <w:rPr>
          <w:noProof/>
          <w:lang w:eastAsia="en-GB"/>
        </w:rPr>
        <w:t xml:space="preserve"> in persistent CRPS</w:t>
      </w:r>
      <w:r w:rsidR="00231E30">
        <w:rPr>
          <w:noProof/>
          <w:lang w:eastAsia="en-GB"/>
        </w:rPr>
        <w:t xml:space="preserve"> to date</w:t>
      </w:r>
      <w:r w:rsidR="00B95200">
        <w:rPr>
          <w:noProof/>
          <w:lang w:eastAsia="en-GB"/>
        </w:rPr>
        <w:t xml:space="preserve">. It was </w:t>
      </w:r>
      <w:r w:rsidR="007B6D57">
        <w:rPr>
          <w:noProof/>
          <w:lang w:eastAsia="en-GB"/>
        </w:rPr>
        <w:t xml:space="preserve">a parallel </w:t>
      </w:r>
      <w:r w:rsidR="00E86B6B">
        <w:rPr>
          <w:noProof/>
          <w:lang w:eastAsia="en-GB"/>
        </w:rPr>
        <w:t xml:space="preserve">group </w:t>
      </w:r>
      <w:r w:rsidR="007B6D57">
        <w:rPr>
          <w:noProof/>
          <w:lang w:eastAsia="en-GB"/>
        </w:rPr>
        <w:t>study with an open</w:t>
      </w:r>
      <w:r w:rsidR="00E86B6B">
        <w:rPr>
          <w:noProof/>
          <w:lang w:eastAsia="en-GB"/>
        </w:rPr>
        <w:t xml:space="preserve">-label </w:t>
      </w:r>
      <w:r w:rsidR="007B6D57">
        <w:rPr>
          <w:noProof/>
          <w:lang w:eastAsia="en-GB"/>
        </w:rPr>
        <w:t>extension</w:t>
      </w:r>
      <w:r w:rsidR="00677CF1">
        <w:rPr>
          <w:noProof/>
          <w:lang w:eastAsia="en-GB"/>
        </w:rPr>
        <w:t>,</w:t>
      </w:r>
      <w:r w:rsidR="007B6D57">
        <w:rPr>
          <w:noProof/>
          <w:lang w:eastAsia="en-GB"/>
        </w:rPr>
        <w:t xml:space="preserve"> </w:t>
      </w:r>
      <w:r w:rsidR="003E2783">
        <w:rPr>
          <w:noProof/>
          <w:lang w:eastAsia="en-GB"/>
        </w:rPr>
        <w:t>e</w:t>
      </w:r>
      <w:r w:rsidR="007B6D57">
        <w:rPr>
          <w:noProof/>
          <w:lang w:eastAsia="en-GB"/>
        </w:rPr>
        <w:t xml:space="preserve">nrolling patients with CRPS of between 1-5 years duration, and </w:t>
      </w:r>
      <w:r w:rsidR="00A60AB5">
        <w:rPr>
          <w:noProof/>
          <w:lang w:eastAsia="en-GB"/>
        </w:rPr>
        <w:t xml:space="preserve">with </w:t>
      </w:r>
      <w:r w:rsidR="007B6D57">
        <w:rPr>
          <w:noProof/>
          <w:lang w:eastAsia="en-GB"/>
        </w:rPr>
        <w:t>a</w:t>
      </w:r>
      <w:r w:rsidR="00754A0B">
        <w:rPr>
          <w:noProof/>
          <w:lang w:eastAsia="en-GB"/>
        </w:rPr>
        <w:t>n average</w:t>
      </w:r>
      <w:r w:rsidR="007B6D57">
        <w:rPr>
          <w:noProof/>
          <w:lang w:eastAsia="en-GB"/>
        </w:rPr>
        <w:t xml:space="preserve"> pain intensity of </w:t>
      </w:r>
      <w:r w:rsidR="006D47CE">
        <w:rPr>
          <w:noProof/>
          <w:lang w:eastAsia="en-GB"/>
        </w:rPr>
        <w:sym w:font="Symbol" w:char="F0B3"/>
      </w:r>
      <w:r w:rsidR="007B6D57">
        <w:rPr>
          <w:noProof/>
          <w:lang w:eastAsia="en-GB"/>
        </w:rPr>
        <w:t>5</w:t>
      </w:r>
      <w:r w:rsidR="0033450C">
        <w:rPr>
          <w:noProof/>
          <w:lang w:eastAsia="en-GB"/>
        </w:rPr>
        <w:t xml:space="preserve"> on an 11-point numeric rating scale (NRS, 0=’no pain’, 10=’pain as bad as you can imagine’)</w:t>
      </w:r>
      <w:r w:rsidR="007B6D57">
        <w:rPr>
          <w:noProof/>
          <w:lang w:eastAsia="en-GB"/>
        </w:rPr>
        <w:t xml:space="preserve">. </w:t>
      </w:r>
      <w:r w:rsidR="00231E30">
        <w:rPr>
          <w:noProof/>
          <w:lang w:eastAsia="en-GB"/>
        </w:rPr>
        <w:t>After a 2-week screening period</w:t>
      </w:r>
      <w:r w:rsidR="00677CF1">
        <w:rPr>
          <w:noProof/>
          <w:lang w:eastAsia="en-GB"/>
        </w:rPr>
        <w:t>,</w:t>
      </w:r>
      <w:r w:rsidR="00231E30">
        <w:rPr>
          <w:noProof/>
          <w:lang w:eastAsia="en-GB"/>
        </w:rPr>
        <w:t xml:space="preserve"> p</w:t>
      </w:r>
      <w:r w:rsidR="00E35F66">
        <w:rPr>
          <w:noProof/>
          <w:lang w:eastAsia="en-GB"/>
        </w:rPr>
        <w:t xml:space="preserve">atients received 2 intravenous doses of immunoglobulin on days </w:t>
      </w:r>
      <w:r w:rsidR="00620FB0">
        <w:rPr>
          <w:noProof/>
          <w:lang w:eastAsia="en-GB"/>
        </w:rPr>
        <w:t>1</w:t>
      </w:r>
      <w:r w:rsidR="00E35F66">
        <w:rPr>
          <w:noProof/>
          <w:lang w:eastAsia="en-GB"/>
        </w:rPr>
        <w:t xml:space="preserve"> and 2</w:t>
      </w:r>
      <w:r w:rsidR="00620FB0">
        <w:rPr>
          <w:noProof/>
          <w:lang w:eastAsia="en-GB"/>
        </w:rPr>
        <w:t>2</w:t>
      </w:r>
      <w:r w:rsidR="00E35F66">
        <w:rPr>
          <w:noProof/>
          <w:lang w:eastAsia="en-GB"/>
        </w:rPr>
        <w:t xml:space="preserve"> , or saline placebo</w:t>
      </w:r>
      <w:r w:rsidR="00231E30">
        <w:rPr>
          <w:noProof/>
          <w:lang w:eastAsia="en-GB"/>
        </w:rPr>
        <w:t xml:space="preserve">; </w:t>
      </w:r>
      <w:r w:rsidR="00F05527">
        <w:rPr>
          <w:noProof/>
          <w:lang w:eastAsia="en-GB"/>
        </w:rPr>
        <w:t>after 6 weeks</w:t>
      </w:r>
      <w:r w:rsidR="00677CF1">
        <w:rPr>
          <w:noProof/>
          <w:lang w:eastAsia="en-GB"/>
        </w:rPr>
        <w:t xml:space="preserve"> </w:t>
      </w:r>
      <w:r w:rsidR="00231E30">
        <w:rPr>
          <w:noProof/>
          <w:lang w:eastAsia="en-GB"/>
        </w:rPr>
        <w:t xml:space="preserve">they were offered up to two open treatments with IVIG. The primary endpoint was their pain intensity over </w:t>
      </w:r>
      <w:r w:rsidR="00B87776">
        <w:rPr>
          <w:noProof/>
          <w:lang w:eastAsia="en-GB"/>
        </w:rPr>
        <w:t>days 6-42 after randomisation</w:t>
      </w:r>
      <w:r w:rsidR="0004278E">
        <w:rPr>
          <w:noProof/>
          <w:lang w:eastAsia="en-GB"/>
        </w:rPr>
        <w:t xml:space="preserve"> (37 daily pain intensity scores)</w:t>
      </w:r>
      <w:r w:rsidR="00F05527">
        <w:rPr>
          <w:noProof/>
          <w:lang w:eastAsia="en-GB"/>
        </w:rPr>
        <w:t>; this was</w:t>
      </w:r>
      <w:r w:rsidR="00231E30">
        <w:rPr>
          <w:noProof/>
          <w:lang w:eastAsia="en-GB"/>
        </w:rPr>
        <w:t xml:space="preserve"> compared between the two treatment arms</w:t>
      </w:r>
      <w:r w:rsidR="00677CF1">
        <w:rPr>
          <w:noProof/>
          <w:lang w:eastAsia="en-GB"/>
        </w:rPr>
        <w:t xml:space="preserve"> (active and placebo)</w:t>
      </w:r>
      <w:r w:rsidR="00231E30">
        <w:rPr>
          <w:noProof/>
          <w:lang w:eastAsia="en-GB"/>
        </w:rPr>
        <w:t xml:space="preserve">. </w:t>
      </w:r>
      <w:r w:rsidR="00A60AB5">
        <w:rPr>
          <w:noProof/>
          <w:lang w:eastAsia="en-GB"/>
        </w:rPr>
        <w:t>The</w:t>
      </w:r>
      <w:r w:rsidR="00C77519">
        <w:rPr>
          <w:noProof/>
          <w:lang w:eastAsia="en-GB"/>
        </w:rPr>
        <w:t xml:space="preserve"> </w:t>
      </w:r>
      <w:r w:rsidR="00622D8A">
        <w:rPr>
          <w:noProof/>
          <w:lang w:eastAsia="en-GB"/>
        </w:rPr>
        <w:t xml:space="preserve">trial </w:t>
      </w:r>
      <w:r w:rsidR="00A60AB5">
        <w:rPr>
          <w:noProof/>
          <w:lang w:eastAsia="en-GB"/>
        </w:rPr>
        <w:t>protocol</w:t>
      </w:r>
      <w:r w:rsidR="004156B8" w:rsidRPr="004156B8">
        <w:rPr>
          <w:noProof/>
          <w:vertAlign w:val="superscript"/>
          <w:lang w:eastAsia="en-GB"/>
        </w:rPr>
        <w:t>1</w:t>
      </w:r>
      <w:r w:rsidR="00D10D75">
        <w:rPr>
          <w:noProof/>
          <w:vertAlign w:val="superscript"/>
          <w:lang w:eastAsia="en-GB"/>
        </w:rPr>
        <w:t>2</w:t>
      </w:r>
      <w:r w:rsidR="00A60AB5">
        <w:rPr>
          <w:noProof/>
          <w:lang w:eastAsia="en-GB"/>
        </w:rPr>
        <w:t xml:space="preserve"> </w:t>
      </w:r>
      <w:r w:rsidR="00B87776">
        <w:rPr>
          <w:noProof/>
          <w:lang w:eastAsia="en-GB"/>
        </w:rPr>
        <w:t xml:space="preserve">and trial results </w:t>
      </w:r>
      <w:r w:rsidR="00A60AB5">
        <w:rPr>
          <w:noProof/>
          <w:lang w:eastAsia="en-GB"/>
        </w:rPr>
        <w:t>ha</w:t>
      </w:r>
      <w:r w:rsidR="00B87776">
        <w:rPr>
          <w:noProof/>
          <w:lang w:eastAsia="en-GB"/>
        </w:rPr>
        <w:t>ve</w:t>
      </w:r>
      <w:r w:rsidR="00A60AB5">
        <w:rPr>
          <w:noProof/>
          <w:lang w:eastAsia="en-GB"/>
        </w:rPr>
        <w:t xml:space="preserve"> been published</w:t>
      </w:r>
      <w:r w:rsidR="00561736">
        <w:rPr>
          <w:noProof/>
          <w:vertAlign w:val="superscript"/>
          <w:lang w:eastAsia="en-GB"/>
        </w:rPr>
        <w:t>,</w:t>
      </w:r>
      <w:r w:rsidR="002F4D0E">
        <w:rPr>
          <w:noProof/>
          <w:lang w:eastAsia="en-GB"/>
        </w:rPr>
        <w:fldChar w:fldCharType="begin"/>
      </w:r>
      <w:r w:rsidR="000A0689">
        <w:rPr>
          <w:noProof/>
          <w:lang w:eastAsia="en-GB"/>
        </w:rPr>
        <w:instrText xml:space="preserve"> ADDIN EN.CITE &lt;EndNote&gt;&lt;Cite&gt;&lt;Author&gt;Goebel&lt;/Author&gt;&lt;Year&gt;2014&lt;/Year&gt;&lt;RecNum&gt;1619&lt;/RecNum&gt;&lt;DisplayText&gt;&lt;style face="superscript"&gt;8&lt;/style&gt;&lt;/DisplayText&gt;&lt;record&gt;&lt;rec-number&gt;1619&lt;/rec-number&gt;&lt;foreign-keys&gt;&lt;key app="EN" db-id="rpdfwxw2q9v0a7esvvj5pd2gwd0rfp2a2zt5" timestamp="1430847893"&gt;1619&lt;/key&gt;&lt;/foreign-keys&gt;&lt;ref-type name="Journal Article"&gt;17&lt;/ref-type&gt;&lt;contributors&gt;&lt;authors&gt;&lt;author&gt;Goebel, A.&lt;/author&gt;&lt;author&gt;Shenker, N.&lt;/author&gt;&lt;author&gt;Padfield, N.&lt;/author&gt;&lt;author&gt;Shoukrey, K.&lt;/author&gt;&lt;author&gt;McCabe, C.&lt;/author&gt;&lt;author&gt;Serpell, M.&lt;/author&gt;&lt;author&gt;Sanders, M.&lt;/author&gt;&lt;author&gt;Murphy, C.&lt;/author&gt;&lt;author&gt;Ejibe, A.&lt;/author&gt;&lt;author&gt;Milligan, H.&lt;/author&gt;&lt;author&gt;Kelly, J.&lt;/author&gt;&lt;author&gt;Ambler, G.&lt;/author&gt;&lt;/authors&gt;&lt;/contributors&gt;&lt;auth-address&gt;The University of Liverpool, Brownlow Hill, L69 7ZX Liverpool, UK. andreas.goebel@liv.ac.uk.&lt;/auth-address&gt;&lt;titles&gt;&lt;title&gt;Low-dose intravenous immunoglobulin treatment for complex regional pain syndrome (LIPS): study protocol for a randomized controlled trial&lt;/title&gt;&lt;secondary-title&gt;Trials&lt;/secondary-title&gt;&lt;alt-title&gt;Trials&lt;/alt-title&gt;&lt;/titles&gt;&lt;periodical&gt;&lt;full-title&gt;Trials&lt;/full-title&gt;&lt;abbr-1&gt;Trials&lt;/abbr-1&gt;&lt;/periodical&gt;&lt;alt-periodical&gt;&lt;full-title&gt;Trials&lt;/full-title&gt;&lt;abbr-1&gt;Trials&lt;/abbr-1&gt;&lt;/alt-periodical&gt;&lt;pages&gt;404&lt;/pages&gt;&lt;volume&gt;15&lt;/volume&gt;&lt;edition&gt;2014/10/26&lt;/edition&gt;&lt;dates&gt;&lt;year&gt;2014&lt;/year&gt;&lt;/dates&gt;&lt;isbn&gt;1745-6215 (Electronic)&amp;#xD;1745-6215 (Linking)&lt;/isbn&gt;&lt;accession-num&gt;25344328&lt;/accession-num&gt;&lt;work-type&gt;Research Support, Non-U.S. Gov&amp;apos;t&lt;/work-type&gt;&lt;urls&gt;&lt;related-urls&gt;&lt;url&gt;http://www.ncbi.nlm.nih.gov/pubmed/25344328&lt;/url&gt;&lt;/related-urls&gt;&lt;/urls&gt;&lt;custom2&gt;4226877&lt;/custom2&gt;&lt;electronic-resource-num&gt;10.1186/1745-6215-15-404&lt;/electronic-resource-num&gt;&lt;language&gt;eng&lt;/language&gt;&lt;/record&gt;&lt;/Cite&gt;&lt;/EndNote&gt;</w:instrText>
      </w:r>
      <w:r w:rsidR="002F4D0E">
        <w:rPr>
          <w:noProof/>
          <w:lang w:eastAsia="en-GB"/>
        </w:rPr>
        <w:fldChar w:fldCharType="separate"/>
      </w:r>
      <w:r w:rsidR="000A0689" w:rsidRPr="000A0689">
        <w:rPr>
          <w:noProof/>
          <w:vertAlign w:val="superscript"/>
          <w:lang w:eastAsia="en-GB"/>
        </w:rPr>
        <w:t>8</w:t>
      </w:r>
      <w:r w:rsidR="002F4D0E">
        <w:rPr>
          <w:noProof/>
          <w:lang w:eastAsia="en-GB"/>
        </w:rPr>
        <w:fldChar w:fldCharType="end"/>
      </w:r>
      <w:r w:rsidR="00A60AB5">
        <w:rPr>
          <w:noProof/>
          <w:lang w:eastAsia="en-GB"/>
        </w:rPr>
        <w:t xml:space="preserve">. </w:t>
      </w:r>
    </w:p>
    <w:p w14:paraId="3B94B814" w14:textId="2B832DAA" w:rsidR="003D52A1" w:rsidRDefault="00231E30" w:rsidP="003D52A1">
      <w:pPr>
        <w:rPr>
          <w:noProof/>
          <w:lang w:eastAsia="en-GB"/>
        </w:rPr>
      </w:pPr>
      <w:r>
        <w:rPr>
          <w:noProof/>
          <w:lang w:eastAsia="en-GB"/>
        </w:rPr>
        <w:t xml:space="preserve">The trial </w:t>
      </w:r>
      <w:r w:rsidR="0020740A">
        <w:rPr>
          <w:noProof/>
          <w:lang w:eastAsia="en-GB"/>
        </w:rPr>
        <w:t xml:space="preserve">enrolled </w:t>
      </w:r>
      <w:r w:rsidR="00A635CF">
        <w:rPr>
          <w:noProof/>
          <w:lang w:eastAsia="en-GB"/>
        </w:rPr>
        <w:t>n=</w:t>
      </w:r>
      <w:r w:rsidR="0020740A">
        <w:rPr>
          <w:noProof/>
          <w:lang w:eastAsia="en-GB"/>
        </w:rPr>
        <w:t>111 patients between</w:t>
      </w:r>
      <w:r>
        <w:rPr>
          <w:noProof/>
          <w:lang w:eastAsia="en-GB"/>
        </w:rPr>
        <w:t xml:space="preserve"> 08.2013, and 10.2015</w:t>
      </w:r>
      <w:r w:rsidR="00A635CF">
        <w:rPr>
          <w:noProof/>
          <w:lang w:eastAsia="en-GB"/>
        </w:rPr>
        <w:t>, above the target of n=108 patients</w:t>
      </w:r>
      <w:r w:rsidR="00E467FF">
        <w:rPr>
          <w:noProof/>
          <w:lang w:eastAsia="en-GB"/>
        </w:rPr>
        <w:t xml:space="preserve"> </w:t>
      </w:r>
      <w:r w:rsidR="00E467FF" w:rsidRPr="009C2410">
        <w:rPr>
          <w:noProof/>
          <w:lang w:eastAsia="en-GB"/>
        </w:rPr>
        <w:t>(Figure 1)</w:t>
      </w:r>
      <w:r w:rsidR="00A635CF" w:rsidRPr="009C2410">
        <w:rPr>
          <w:noProof/>
          <w:lang w:eastAsia="en-GB"/>
        </w:rPr>
        <w:t>.</w:t>
      </w:r>
      <w:r w:rsidRPr="009C2410">
        <w:rPr>
          <w:noProof/>
          <w:lang w:eastAsia="en-GB"/>
        </w:rPr>
        <w:t xml:space="preserve"> </w:t>
      </w:r>
      <w:r w:rsidR="00E86B6B" w:rsidRPr="009C2410">
        <w:rPr>
          <w:noProof/>
          <w:lang w:eastAsia="en-GB"/>
        </w:rPr>
        <w:t>Recruitment commenced in August 2013 at the lead centre and a delay in contract negotiations both at the lead centre, and at a number of recruiting centres resulted in an initially slower than anticipated rate of recruitment. However, recruitment targets were met within the 20th month and recruitment was ahead of target by the 23rd month of the recruitment window. This resulted in the trial over recruiting by 3 participants, (111 participants) and recruitment ending  3 weeks ahead of schedule.</w:t>
      </w:r>
      <w:r w:rsidR="00A60AB5" w:rsidRPr="009C2410">
        <w:rPr>
          <w:noProof/>
          <w:lang w:eastAsia="en-GB"/>
        </w:rPr>
        <w:t>T</w:t>
      </w:r>
      <w:r w:rsidRPr="009C2410">
        <w:rPr>
          <w:noProof/>
          <w:lang w:eastAsia="en-GB"/>
        </w:rPr>
        <w:t xml:space="preserve">he last patient </w:t>
      </w:r>
      <w:r>
        <w:rPr>
          <w:noProof/>
          <w:lang w:eastAsia="en-GB"/>
        </w:rPr>
        <w:t>enrolment</w:t>
      </w:r>
      <w:r w:rsidR="00A60AB5">
        <w:rPr>
          <w:noProof/>
          <w:lang w:eastAsia="en-GB"/>
        </w:rPr>
        <w:t xml:space="preserve"> was</w:t>
      </w:r>
      <w:r>
        <w:rPr>
          <w:noProof/>
          <w:lang w:eastAsia="en-GB"/>
        </w:rPr>
        <w:t xml:space="preserve"> </w:t>
      </w:r>
      <w:r w:rsidR="0020740A">
        <w:rPr>
          <w:noProof/>
          <w:lang w:eastAsia="en-GB"/>
        </w:rPr>
        <w:t>3 weeks</w:t>
      </w:r>
      <w:r>
        <w:rPr>
          <w:noProof/>
          <w:lang w:eastAsia="en-GB"/>
        </w:rPr>
        <w:t xml:space="preserve"> </w:t>
      </w:r>
      <w:r w:rsidRPr="00F05527">
        <w:rPr>
          <w:i/>
          <w:noProof/>
          <w:lang w:eastAsia="en-GB"/>
        </w:rPr>
        <w:t>earlier</w:t>
      </w:r>
      <w:r>
        <w:rPr>
          <w:noProof/>
          <w:lang w:eastAsia="en-GB"/>
        </w:rPr>
        <w:t xml:space="preserve"> than projected. </w:t>
      </w:r>
      <w:r w:rsidR="003D52A1">
        <w:rPr>
          <w:noProof/>
          <w:lang w:eastAsia="en-GB"/>
        </w:rPr>
        <w:t xml:space="preserve">The retention </w:t>
      </w:r>
      <w:r w:rsidR="0046266D">
        <w:rPr>
          <w:noProof/>
          <w:lang w:eastAsia="en-GB"/>
        </w:rPr>
        <w:t xml:space="preserve">of participants </w:t>
      </w:r>
      <w:r w:rsidR="00B87776">
        <w:rPr>
          <w:noProof/>
          <w:lang w:eastAsia="en-GB"/>
        </w:rPr>
        <w:t xml:space="preserve">for </w:t>
      </w:r>
      <w:r w:rsidR="0003016E">
        <w:rPr>
          <w:noProof/>
          <w:lang w:eastAsia="en-GB"/>
        </w:rPr>
        <w:t>the main part of the study</w:t>
      </w:r>
      <w:r w:rsidR="00B87776">
        <w:rPr>
          <w:noProof/>
          <w:lang w:eastAsia="en-GB"/>
        </w:rPr>
        <w:t xml:space="preserve"> </w:t>
      </w:r>
      <w:r w:rsidR="0046266D">
        <w:rPr>
          <w:noProof/>
          <w:lang w:eastAsia="en-GB"/>
        </w:rPr>
        <w:t xml:space="preserve">was high with </w:t>
      </w:r>
      <w:r w:rsidR="00B87776">
        <w:rPr>
          <w:noProof/>
          <w:lang w:eastAsia="en-GB"/>
        </w:rPr>
        <w:t xml:space="preserve">98% of enrolled patients receiving one infusion, and 90% both infusions. </w:t>
      </w:r>
      <w:r w:rsidR="0046266D">
        <w:rPr>
          <w:noProof/>
          <w:lang w:eastAsia="en-GB"/>
        </w:rPr>
        <w:t xml:space="preserve">(Table 1).  Furthermore, </w:t>
      </w:r>
      <w:r w:rsidR="003D52A1">
        <w:rPr>
          <w:noProof/>
          <w:lang w:eastAsia="en-GB"/>
        </w:rPr>
        <w:t>compliance</w:t>
      </w:r>
      <w:r w:rsidR="00D63581">
        <w:rPr>
          <w:noProof/>
          <w:lang w:eastAsia="en-GB"/>
        </w:rPr>
        <w:t xml:space="preserve"> </w:t>
      </w:r>
      <w:r w:rsidR="0046266D">
        <w:rPr>
          <w:noProof/>
          <w:lang w:eastAsia="en-GB"/>
        </w:rPr>
        <w:t>in</w:t>
      </w:r>
      <w:r w:rsidR="00D63581">
        <w:rPr>
          <w:noProof/>
          <w:lang w:eastAsia="en-GB"/>
        </w:rPr>
        <w:t xml:space="preserve"> completing the primary outcome measure </w:t>
      </w:r>
      <w:r w:rsidR="003D52A1">
        <w:rPr>
          <w:noProof/>
          <w:lang w:eastAsia="en-GB"/>
        </w:rPr>
        <w:t xml:space="preserve">was </w:t>
      </w:r>
      <w:r w:rsidR="00D15034">
        <w:rPr>
          <w:noProof/>
          <w:lang w:eastAsia="en-GB"/>
        </w:rPr>
        <w:t xml:space="preserve">also </w:t>
      </w:r>
      <w:r w:rsidR="003D52A1">
        <w:rPr>
          <w:noProof/>
          <w:lang w:eastAsia="en-GB"/>
        </w:rPr>
        <w:t>high</w:t>
      </w:r>
      <w:r w:rsidR="00D15034">
        <w:rPr>
          <w:noProof/>
          <w:lang w:eastAsia="en-GB"/>
        </w:rPr>
        <w:t xml:space="preserve"> -</w:t>
      </w:r>
      <w:r w:rsidR="0046266D" w:rsidRPr="0046266D">
        <w:rPr>
          <w:noProof/>
          <w:lang w:eastAsia="en-GB"/>
        </w:rPr>
        <w:t xml:space="preserve">106/111 </w:t>
      </w:r>
      <w:r w:rsidR="00B87776">
        <w:rPr>
          <w:noProof/>
          <w:lang w:eastAsia="en-GB"/>
        </w:rPr>
        <w:t xml:space="preserve">(95%) of the </w:t>
      </w:r>
      <w:r w:rsidR="0046266D" w:rsidRPr="0046266D">
        <w:rPr>
          <w:noProof/>
          <w:lang w:eastAsia="en-GB"/>
        </w:rPr>
        <w:t xml:space="preserve">randomised patients produced at least some </w:t>
      </w:r>
      <w:r w:rsidR="00D15034">
        <w:rPr>
          <w:noProof/>
          <w:lang w:eastAsia="en-GB"/>
        </w:rPr>
        <w:t xml:space="preserve">primary </w:t>
      </w:r>
      <w:r w:rsidR="0046266D" w:rsidRPr="0046266D">
        <w:rPr>
          <w:noProof/>
          <w:lang w:eastAsia="en-GB"/>
        </w:rPr>
        <w:t>outcome data</w:t>
      </w:r>
      <w:r w:rsidR="00D15034">
        <w:rPr>
          <w:noProof/>
          <w:lang w:eastAsia="en-GB"/>
        </w:rPr>
        <w:t>;</w:t>
      </w:r>
      <w:r w:rsidR="0046266D">
        <w:rPr>
          <w:noProof/>
          <w:lang w:eastAsia="en-GB"/>
        </w:rPr>
        <w:t xml:space="preserve"> </w:t>
      </w:r>
      <w:r w:rsidR="0046266D" w:rsidRPr="0046266D">
        <w:rPr>
          <w:noProof/>
          <w:lang w:eastAsia="en-GB"/>
        </w:rPr>
        <w:t>98 of these were almost complete (34-37 days)</w:t>
      </w:r>
      <w:r w:rsidR="00DA7166">
        <w:rPr>
          <w:noProof/>
          <w:lang w:eastAsia="en-GB"/>
        </w:rPr>
        <w:t xml:space="preserve"> and</w:t>
      </w:r>
      <w:r w:rsidR="0046266D" w:rsidRPr="0046266D">
        <w:rPr>
          <w:noProof/>
          <w:lang w:eastAsia="en-GB"/>
        </w:rPr>
        <w:t xml:space="preserve"> 8 were half complete (14-19 days)</w:t>
      </w:r>
      <w:r w:rsidR="0046266D">
        <w:rPr>
          <w:noProof/>
          <w:lang w:eastAsia="en-GB"/>
        </w:rPr>
        <w:t xml:space="preserve">, resulting in </w:t>
      </w:r>
      <w:r w:rsidR="003D52A1">
        <w:rPr>
          <w:noProof/>
          <w:lang w:eastAsia="en-GB"/>
        </w:rPr>
        <w:t xml:space="preserve">high data quality and confidence in the </w:t>
      </w:r>
      <w:r w:rsidR="00A8367D">
        <w:rPr>
          <w:noProof/>
          <w:lang w:eastAsia="en-GB"/>
        </w:rPr>
        <w:t>trial results</w:t>
      </w:r>
      <w:r w:rsidR="0046266D">
        <w:rPr>
          <w:noProof/>
          <w:lang w:eastAsia="en-GB"/>
        </w:rPr>
        <w:t xml:space="preserve">. </w:t>
      </w:r>
    </w:p>
    <w:p w14:paraId="668D5DFE" w14:textId="77777777" w:rsidR="00E467FF" w:rsidRDefault="00E467FF" w:rsidP="00E467FF">
      <w:pPr>
        <w:rPr>
          <w:noProof/>
          <w:lang w:eastAsia="en-GB"/>
        </w:rPr>
      </w:pPr>
      <w:r>
        <w:rPr>
          <w:noProof/>
          <w:lang w:eastAsia="en-GB"/>
        </w:rPr>
        <w:t xml:space="preserve">Here we share recruitment and retention strategies which we found to be useful in our trial, with the aim of providing a resource for future investigators.  </w:t>
      </w:r>
    </w:p>
    <w:p w14:paraId="55C5E32E" w14:textId="19E1642F" w:rsidR="00E467FF" w:rsidRPr="00F62381" w:rsidRDefault="00E467FF" w:rsidP="00E467FF">
      <w:pPr>
        <w:rPr>
          <w:b/>
        </w:rPr>
      </w:pPr>
      <w:r w:rsidRPr="00F62381">
        <w:rPr>
          <w:b/>
        </w:rPr>
        <w:t>Figure</w:t>
      </w:r>
      <w:r>
        <w:rPr>
          <w:b/>
        </w:rPr>
        <w:t xml:space="preserve"> 1</w:t>
      </w:r>
    </w:p>
    <w:p w14:paraId="23A94776" w14:textId="77777777" w:rsidR="00E467FF" w:rsidRDefault="00E467FF" w:rsidP="00CE48C2">
      <w:pPr>
        <w:jc w:val="center"/>
      </w:pPr>
      <w:r>
        <w:rPr>
          <w:noProof/>
          <w:lang w:eastAsia="en-GB"/>
        </w:rPr>
        <w:lastRenderedPageBreak/>
        <w:drawing>
          <wp:inline distT="0" distB="0" distL="0" distR="0" wp14:anchorId="6B288D72" wp14:editId="0DC74FD2">
            <wp:extent cx="4366260" cy="3834130"/>
            <wp:effectExtent l="0" t="0" r="15240" b="13970"/>
            <wp:docPr id="1" name="Chart 1" title="LIPS Study Projected vs Actual Recruitment Figures"/>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02734FD" w14:textId="7A1FC89E" w:rsidR="00E467FF" w:rsidRDefault="00E467FF" w:rsidP="00E467FF">
      <w:pPr>
        <w:rPr>
          <w:noProof/>
          <w:lang w:eastAsia="en-GB"/>
        </w:rPr>
      </w:pPr>
      <w:r w:rsidRPr="00E467FF">
        <w:rPr>
          <w:b/>
        </w:rPr>
        <w:t>Figure 1.</w:t>
      </w:r>
      <w:r>
        <w:t xml:space="preserve"> </w:t>
      </w:r>
      <w:r w:rsidRPr="00D852A6">
        <w:rPr>
          <w:i/>
        </w:rPr>
        <w:t>LIPS rec</w:t>
      </w:r>
      <w:r>
        <w:rPr>
          <w:i/>
        </w:rPr>
        <w:t>ruitment</w:t>
      </w:r>
      <w:r w:rsidRPr="00D852A6">
        <w:rPr>
          <w:i/>
        </w:rPr>
        <w:t xml:space="preserve"> rate</w:t>
      </w:r>
      <w:r>
        <w:t xml:space="preserve">. </w:t>
      </w:r>
    </w:p>
    <w:p w14:paraId="5087363B" w14:textId="77777777" w:rsidR="005F15A3" w:rsidRDefault="005F15A3" w:rsidP="00E467FF">
      <w:pPr>
        <w:rPr>
          <w:noProof/>
          <w:lang w:eastAsia="en-GB"/>
        </w:rPr>
      </w:pPr>
    </w:p>
    <w:p w14:paraId="61FB9E20" w14:textId="77777777" w:rsidR="00E86B6B" w:rsidRDefault="00E86B6B" w:rsidP="00E86B6B">
      <w:pPr>
        <w:spacing w:after="0"/>
        <w:jc w:val="both"/>
      </w:pPr>
      <w:r w:rsidRPr="00E22D76">
        <w:rPr>
          <w:b/>
        </w:rPr>
        <w:t xml:space="preserve">Table </w:t>
      </w:r>
      <w:r>
        <w:rPr>
          <w:b/>
        </w:rPr>
        <w:t>1</w:t>
      </w:r>
      <w:r w:rsidRPr="00E22D76">
        <w:rPr>
          <w:b/>
        </w:rPr>
        <w:t>:</w:t>
      </w:r>
      <w:r>
        <w:t xml:space="preserve"> </w:t>
      </w:r>
      <w:r w:rsidRPr="00E22D76">
        <w:rPr>
          <w:i/>
        </w:rPr>
        <w:t xml:space="preserve">Number of completed </w:t>
      </w:r>
      <w:r>
        <w:rPr>
          <w:i/>
        </w:rPr>
        <w:t xml:space="preserve">daily </w:t>
      </w:r>
      <w:r w:rsidRPr="00E22D76">
        <w:rPr>
          <w:i/>
        </w:rPr>
        <w:t>pain scores (days 6-42) for each patient by trial arm.</w:t>
      </w:r>
      <w:r>
        <w:t xml:space="preserve"> </w:t>
      </w:r>
      <w:proofErr w:type="spellStart"/>
      <w:r>
        <w:t>IVIg</w:t>
      </w:r>
      <w:proofErr w:type="spellEnd"/>
      <w:r>
        <w:t>=intravenous immunoglobulin</w:t>
      </w:r>
    </w:p>
    <w:p w14:paraId="45E751CE" w14:textId="30B0FB23" w:rsidR="00E9503A" w:rsidRPr="00E9503A" w:rsidRDefault="00E9503A" w:rsidP="00E9503A">
      <w:pPr>
        <w:spacing w:after="0"/>
        <w:jc w:val="both"/>
        <w:rPr>
          <w:b/>
        </w:rPr>
      </w:pPr>
    </w:p>
    <w:tbl>
      <w:tblPr>
        <w:tblStyle w:val="TableGrid"/>
        <w:tblW w:w="0" w:type="auto"/>
        <w:tblLook w:val="04A0" w:firstRow="1" w:lastRow="0" w:firstColumn="1" w:lastColumn="0" w:noHBand="0" w:noVBand="1"/>
      </w:tblPr>
      <w:tblGrid>
        <w:gridCol w:w="3114"/>
        <w:gridCol w:w="1417"/>
        <w:gridCol w:w="2279"/>
        <w:gridCol w:w="2206"/>
      </w:tblGrid>
      <w:tr w:rsidR="00E9503A" w:rsidRPr="00B464E4" w14:paraId="42093AB0" w14:textId="77777777" w:rsidTr="00743772">
        <w:tc>
          <w:tcPr>
            <w:tcW w:w="3114" w:type="dxa"/>
          </w:tcPr>
          <w:p w14:paraId="563A1DCE" w14:textId="77777777" w:rsidR="00E9503A" w:rsidRPr="00B464E4" w:rsidRDefault="00E9503A" w:rsidP="00743772">
            <w:pPr>
              <w:spacing w:line="276" w:lineRule="auto"/>
              <w:jc w:val="both"/>
              <w:rPr>
                <w:b/>
              </w:rPr>
            </w:pPr>
          </w:p>
        </w:tc>
        <w:tc>
          <w:tcPr>
            <w:tcW w:w="1417" w:type="dxa"/>
          </w:tcPr>
          <w:p w14:paraId="0E965D1A" w14:textId="77777777" w:rsidR="00E9503A" w:rsidRPr="00B464E4" w:rsidRDefault="00E9503A" w:rsidP="00743772">
            <w:pPr>
              <w:spacing w:line="276" w:lineRule="auto"/>
              <w:jc w:val="center"/>
              <w:rPr>
                <w:b/>
              </w:rPr>
            </w:pPr>
          </w:p>
        </w:tc>
        <w:tc>
          <w:tcPr>
            <w:tcW w:w="4485" w:type="dxa"/>
            <w:gridSpan w:val="2"/>
          </w:tcPr>
          <w:p w14:paraId="397E6C30" w14:textId="77777777" w:rsidR="00E9503A" w:rsidRPr="00B464E4" w:rsidRDefault="00E9503A" w:rsidP="00743772">
            <w:pPr>
              <w:spacing w:line="276" w:lineRule="auto"/>
              <w:jc w:val="center"/>
              <w:rPr>
                <w:b/>
              </w:rPr>
            </w:pPr>
            <w:r w:rsidRPr="00B464E4">
              <w:rPr>
                <w:b/>
              </w:rPr>
              <w:t>Trial Arm</w:t>
            </w:r>
          </w:p>
        </w:tc>
      </w:tr>
      <w:tr w:rsidR="00E9503A" w:rsidRPr="00B464E4" w14:paraId="34B79758" w14:textId="77777777" w:rsidTr="00743772">
        <w:tc>
          <w:tcPr>
            <w:tcW w:w="3114" w:type="dxa"/>
          </w:tcPr>
          <w:p w14:paraId="771D5630" w14:textId="77777777" w:rsidR="00E9503A" w:rsidRPr="00B464E4" w:rsidRDefault="00E9503A" w:rsidP="00743772">
            <w:pPr>
              <w:spacing w:line="276" w:lineRule="auto"/>
              <w:jc w:val="both"/>
              <w:rPr>
                <w:b/>
              </w:rPr>
            </w:pPr>
          </w:p>
        </w:tc>
        <w:tc>
          <w:tcPr>
            <w:tcW w:w="1417" w:type="dxa"/>
          </w:tcPr>
          <w:p w14:paraId="3B8070FD" w14:textId="77777777" w:rsidR="00E9503A" w:rsidRPr="00B464E4" w:rsidRDefault="00E9503A" w:rsidP="00743772">
            <w:pPr>
              <w:spacing w:line="276" w:lineRule="auto"/>
              <w:jc w:val="center"/>
              <w:rPr>
                <w:b/>
              </w:rPr>
            </w:pPr>
          </w:p>
        </w:tc>
        <w:tc>
          <w:tcPr>
            <w:tcW w:w="2279" w:type="dxa"/>
          </w:tcPr>
          <w:p w14:paraId="497B75FF" w14:textId="77777777" w:rsidR="00E9503A" w:rsidRPr="00B464E4" w:rsidRDefault="00E9503A" w:rsidP="00743772">
            <w:pPr>
              <w:spacing w:line="276" w:lineRule="auto"/>
              <w:jc w:val="center"/>
              <w:rPr>
                <w:b/>
              </w:rPr>
            </w:pPr>
            <w:r>
              <w:rPr>
                <w:b/>
              </w:rPr>
              <w:t>Placebo</w:t>
            </w:r>
            <w:r w:rsidRPr="00262353">
              <w:rPr>
                <w:b/>
              </w:rPr>
              <w:t xml:space="preserve"> (n=56)</w:t>
            </w:r>
          </w:p>
        </w:tc>
        <w:tc>
          <w:tcPr>
            <w:tcW w:w="2206" w:type="dxa"/>
          </w:tcPr>
          <w:p w14:paraId="206A9A8B" w14:textId="77777777" w:rsidR="00E9503A" w:rsidRPr="00B464E4" w:rsidRDefault="00E9503A" w:rsidP="00743772">
            <w:pPr>
              <w:spacing w:line="276" w:lineRule="auto"/>
              <w:jc w:val="center"/>
              <w:rPr>
                <w:b/>
              </w:rPr>
            </w:pPr>
            <w:proofErr w:type="spellStart"/>
            <w:r>
              <w:rPr>
                <w:b/>
              </w:rPr>
              <w:t>IVIg</w:t>
            </w:r>
            <w:proofErr w:type="spellEnd"/>
            <w:r w:rsidRPr="00262353">
              <w:rPr>
                <w:b/>
              </w:rPr>
              <w:t xml:space="preserve"> (n=55)</w:t>
            </w:r>
          </w:p>
        </w:tc>
      </w:tr>
      <w:tr w:rsidR="00E9503A" w:rsidRPr="00B464E4" w14:paraId="6911A84B" w14:textId="77777777" w:rsidTr="00743772">
        <w:tc>
          <w:tcPr>
            <w:tcW w:w="3114" w:type="dxa"/>
          </w:tcPr>
          <w:p w14:paraId="0235E470" w14:textId="77777777" w:rsidR="00E9503A" w:rsidRPr="00B464E4" w:rsidRDefault="00E9503A" w:rsidP="00743772">
            <w:pPr>
              <w:jc w:val="both"/>
              <w:rPr>
                <w:b/>
              </w:rPr>
            </w:pPr>
            <w:r>
              <w:t>Number of recorded pain scores</w:t>
            </w:r>
          </w:p>
        </w:tc>
        <w:tc>
          <w:tcPr>
            <w:tcW w:w="1417" w:type="dxa"/>
          </w:tcPr>
          <w:p w14:paraId="68894B84" w14:textId="77777777" w:rsidR="00E9503A" w:rsidRPr="00B464E4" w:rsidRDefault="00E9503A" w:rsidP="00743772">
            <w:pPr>
              <w:jc w:val="center"/>
              <w:rPr>
                <w:b/>
              </w:rPr>
            </w:pPr>
            <w:r>
              <w:t>(none)</w:t>
            </w:r>
          </w:p>
        </w:tc>
        <w:tc>
          <w:tcPr>
            <w:tcW w:w="2279" w:type="dxa"/>
          </w:tcPr>
          <w:p w14:paraId="7622F4F2" w14:textId="77777777" w:rsidR="00E9503A" w:rsidRDefault="00E9503A" w:rsidP="00743772">
            <w:pPr>
              <w:jc w:val="center"/>
              <w:rPr>
                <w:b/>
              </w:rPr>
            </w:pPr>
            <w:r>
              <w:t>3</w:t>
            </w:r>
          </w:p>
        </w:tc>
        <w:tc>
          <w:tcPr>
            <w:tcW w:w="2206" w:type="dxa"/>
          </w:tcPr>
          <w:p w14:paraId="361BF1A2" w14:textId="77777777" w:rsidR="00E9503A" w:rsidRDefault="00E9503A" w:rsidP="00743772">
            <w:pPr>
              <w:jc w:val="center"/>
              <w:rPr>
                <w:b/>
              </w:rPr>
            </w:pPr>
            <w:r>
              <w:t>2</w:t>
            </w:r>
          </w:p>
        </w:tc>
      </w:tr>
      <w:tr w:rsidR="00E9503A" w14:paraId="40D2EC9B" w14:textId="77777777" w:rsidTr="00743772">
        <w:tc>
          <w:tcPr>
            <w:tcW w:w="3114" w:type="dxa"/>
          </w:tcPr>
          <w:p w14:paraId="65723A48" w14:textId="77777777" w:rsidR="00E9503A" w:rsidRDefault="00E9503A" w:rsidP="00743772">
            <w:pPr>
              <w:spacing w:line="276" w:lineRule="auto"/>
              <w:jc w:val="both"/>
            </w:pPr>
          </w:p>
        </w:tc>
        <w:tc>
          <w:tcPr>
            <w:tcW w:w="1417" w:type="dxa"/>
          </w:tcPr>
          <w:p w14:paraId="6A32D1B7" w14:textId="77777777" w:rsidR="00E9503A" w:rsidRDefault="00E9503A" w:rsidP="00743772">
            <w:pPr>
              <w:spacing w:line="276" w:lineRule="auto"/>
              <w:jc w:val="center"/>
            </w:pPr>
            <w:r>
              <w:t>14</w:t>
            </w:r>
          </w:p>
        </w:tc>
        <w:tc>
          <w:tcPr>
            <w:tcW w:w="2279" w:type="dxa"/>
          </w:tcPr>
          <w:p w14:paraId="3AA45975" w14:textId="77777777" w:rsidR="00E9503A" w:rsidRDefault="00E9503A" w:rsidP="00743772">
            <w:pPr>
              <w:spacing w:line="276" w:lineRule="auto"/>
              <w:jc w:val="center"/>
            </w:pPr>
          </w:p>
        </w:tc>
        <w:tc>
          <w:tcPr>
            <w:tcW w:w="2206" w:type="dxa"/>
          </w:tcPr>
          <w:p w14:paraId="4E08C0A2" w14:textId="77777777" w:rsidR="00E9503A" w:rsidRDefault="00E9503A" w:rsidP="00743772">
            <w:pPr>
              <w:spacing w:line="276" w:lineRule="auto"/>
              <w:jc w:val="center"/>
            </w:pPr>
            <w:r>
              <w:t>1</w:t>
            </w:r>
          </w:p>
        </w:tc>
      </w:tr>
      <w:tr w:rsidR="00E9503A" w14:paraId="5E6999FE" w14:textId="77777777" w:rsidTr="00743772">
        <w:tc>
          <w:tcPr>
            <w:tcW w:w="3114" w:type="dxa"/>
          </w:tcPr>
          <w:p w14:paraId="76CBC368" w14:textId="77777777" w:rsidR="00E9503A" w:rsidRDefault="00E9503A" w:rsidP="00743772">
            <w:pPr>
              <w:spacing w:line="276" w:lineRule="auto"/>
              <w:jc w:val="both"/>
            </w:pPr>
          </w:p>
        </w:tc>
        <w:tc>
          <w:tcPr>
            <w:tcW w:w="1417" w:type="dxa"/>
          </w:tcPr>
          <w:p w14:paraId="02146977" w14:textId="77777777" w:rsidR="00E9503A" w:rsidRDefault="00E9503A" w:rsidP="00743772">
            <w:pPr>
              <w:spacing w:line="276" w:lineRule="auto"/>
              <w:jc w:val="center"/>
            </w:pPr>
            <w:r>
              <w:t>15</w:t>
            </w:r>
          </w:p>
        </w:tc>
        <w:tc>
          <w:tcPr>
            <w:tcW w:w="2279" w:type="dxa"/>
          </w:tcPr>
          <w:p w14:paraId="641EB74C" w14:textId="77777777" w:rsidR="00E9503A" w:rsidRDefault="00E9503A" w:rsidP="00743772">
            <w:pPr>
              <w:spacing w:line="276" w:lineRule="auto"/>
              <w:jc w:val="center"/>
            </w:pPr>
          </w:p>
        </w:tc>
        <w:tc>
          <w:tcPr>
            <w:tcW w:w="2206" w:type="dxa"/>
          </w:tcPr>
          <w:p w14:paraId="096AB9E1" w14:textId="77777777" w:rsidR="00E9503A" w:rsidRDefault="00E9503A" w:rsidP="00743772">
            <w:pPr>
              <w:spacing w:line="276" w:lineRule="auto"/>
              <w:jc w:val="center"/>
            </w:pPr>
            <w:r>
              <w:t>1</w:t>
            </w:r>
          </w:p>
        </w:tc>
      </w:tr>
      <w:tr w:rsidR="00E9503A" w14:paraId="3A07FAB0" w14:textId="77777777" w:rsidTr="00743772">
        <w:tc>
          <w:tcPr>
            <w:tcW w:w="3114" w:type="dxa"/>
          </w:tcPr>
          <w:p w14:paraId="14459A64" w14:textId="77777777" w:rsidR="00E9503A" w:rsidRDefault="00E9503A" w:rsidP="00743772">
            <w:pPr>
              <w:spacing w:line="276" w:lineRule="auto"/>
              <w:jc w:val="both"/>
            </w:pPr>
          </w:p>
        </w:tc>
        <w:tc>
          <w:tcPr>
            <w:tcW w:w="1417" w:type="dxa"/>
          </w:tcPr>
          <w:p w14:paraId="4D409E22" w14:textId="77777777" w:rsidR="00E9503A" w:rsidRDefault="00E9503A" w:rsidP="00743772">
            <w:pPr>
              <w:spacing w:line="276" w:lineRule="auto"/>
              <w:jc w:val="center"/>
            </w:pPr>
            <w:r>
              <w:t>16</w:t>
            </w:r>
          </w:p>
        </w:tc>
        <w:tc>
          <w:tcPr>
            <w:tcW w:w="2279" w:type="dxa"/>
          </w:tcPr>
          <w:p w14:paraId="42FF53D8" w14:textId="77777777" w:rsidR="00E9503A" w:rsidRDefault="00E9503A" w:rsidP="00743772">
            <w:pPr>
              <w:spacing w:line="276" w:lineRule="auto"/>
              <w:jc w:val="center"/>
            </w:pPr>
            <w:r>
              <w:t>2</w:t>
            </w:r>
          </w:p>
        </w:tc>
        <w:tc>
          <w:tcPr>
            <w:tcW w:w="2206" w:type="dxa"/>
          </w:tcPr>
          <w:p w14:paraId="584068F9" w14:textId="77777777" w:rsidR="00E9503A" w:rsidRDefault="00E9503A" w:rsidP="00743772">
            <w:pPr>
              <w:spacing w:line="276" w:lineRule="auto"/>
              <w:jc w:val="center"/>
            </w:pPr>
            <w:r>
              <w:t>1</w:t>
            </w:r>
          </w:p>
        </w:tc>
      </w:tr>
      <w:tr w:rsidR="00E9503A" w14:paraId="150C5AE3" w14:textId="77777777" w:rsidTr="00743772">
        <w:tc>
          <w:tcPr>
            <w:tcW w:w="3114" w:type="dxa"/>
          </w:tcPr>
          <w:p w14:paraId="5F2910CC" w14:textId="77777777" w:rsidR="00E9503A" w:rsidRDefault="00E9503A" w:rsidP="00743772">
            <w:pPr>
              <w:spacing w:line="276" w:lineRule="auto"/>
              <w:jc w:val="both"/>
            </w:pPr>
          </w:p>
        </w:tc>
        <w:tc>
          <w:tcPr>
            <w:tcW w:w="1417" w:type="dxa"/>
          </w:tcPr>
          <w:p w14:paraId="45763A4D" w14:textId="77777777" w:rsidR="00E9503A" w:rsidRDefault="00E9503A" w:rsidP="00743772">
            <w:pPr>
              <w:spacing w:line="276" w:lineRule="auto"/>
              <w:jc w:val="center"/>
            </w:pPr>
            <w:r>
              <w:t>17</w:t>
            </w:r>
          </w:p>
        </w:tc>
        <w:tc>
          <w:tcPr>
            <w:tcW w:w="2279" w:type="dxa"/>
          </w:tcPr>
          <w:p w14:paraId="63A76DCB" w14:textId="77777777" w:rsidR="00E9503A" w:rsidRDefault="00E9503A" w:rsidP="00743772">
            <w:pPr>
              <w:spacing w:line="276" w:lineRule="auto"/>
              <w:jc w:val="center"/>
            </w:pPr>
          </w:p>
        </w:tc>
        <w:tc>
          <w:tcPr>
            <w:tcW w:w="2206" w:type="dxa"/>
          </w:tcPr>
          <w:p w14:paraId="292BEC13" w14:textId="77777777" w:rsidR="00E9503A" w:rsidRDefault="00E9503A" w:rsidP="00743772">
            <w:pPr>
              <w:spacing w:line="276" w:lineRule="auto"/>
              <w:jc w:val="center"/>
            </w:pPr>
            <w:r>
              <w:t>2</w:t>
            </w:r>
          </w:p>
        </w:tc>
      </w:tr>
      <w:tr w:rsidR="00E9503A" w14:paraId="0C7AC0B3" w14:textId="77777777" w:rsidTr="00743772">
        <w:tc>
          <w:tcPr>
            <w:tcW w:w="3114" w:type="dxa"/>
          </w:tcPr>
          <w:p w14:paraId="160782F8" w14:textId="77777777" w:rsidR="00E9503A" w:rsidRDefault="00E9503A" w:rsidP="00743772">
            <w:pPr>
              <w:spacing w:line="276" w:lineRule="auto"/>
              <w:jc w:val="both"/>
            </w:pPr>
          </w:p>
        </w:tc>
        <w:tc>
          <w:tcPr>
            <w:tcW w:w="1417" w:type="dxa"/>
          </w:tcPr>
          <w:p w14:paraId="39382907" w14:textId="77777777" w:rsidR="00E9503A" w:rsidRDefault="00E9503A" w:rsidP="00743772">
            <w:pPr>
              <w:spacing w:line="276" w:lineRule="auto"/>
              <w:jc w:val="center"/>
            </w:pPr>
            <w:r>
              <w:t>19</w:t>
            </w:r>
          </w:p>
        </w:tc>
        <w:tc>
          <w:tcPr>
            <w:tcW w:w="2279" w:type="dxa"/>
          </w:tcPr>
          <w:p w14:paraId="3A8ACF94" w14:textId="77777777" w:rsidR="00E9503A" w:rsidRDefault="00E9503A" w:rsidP="00743772">
            <w:pPr>
              <w:spacing w:line="276" w:lineRule="auto"/>
              <w:jc w:val="center"/>
            </w:pPr>
          </w:p>
        </w:tc>
        <w:tc>
          <w:tcPr>
            <w:tcW w:w="2206" w:type="dxa"/>
          </w:tcPr>
          <w:p w14:paraId="7A4A3907" w14:textId="77777777" w:rsidR="00E9503A" w:rsidRDefault="00E9503A" w:rsidP="00743772">
            <w:pPr>
              <w:spacing w:line="276" w:lineRule="auto"/>
              <w:jc w:val="center"/>
            </w:pPr>
            <w:r>
              <w:t>1</w:t>
            </w:r>
          </w:p>
        </w:tc>
      </w:tr>
      <w:tr w:rsidR="00E9503A" w14:paraId="5124C582" w14:textId="77777777" w:rsidTr="00743772">
        <w:tc>
          <w:tcPr>
            <w:tcW w:w="3114" w:type="dxa"/>
          </w:tcPr>
          <w:p w14:paraId="5C3F4FF1" w14:textId="77777777" w:rsidR="00E9503A" w:rsidRDefault="00E9503A" w:rsidP="00743772">
            <w:pPr>
              <w:spacing w:line="276" w:lineRule="auto"/>
              <w:jc w:val="both"/>
            </w:pPr>
          </w:p>
        </w:tc>
        <w:tc>
          <w:tcPr>
            <w:tcW w:w="1417" w:type="dxa"/>
          </w:tcPr>
          <w:p w14:paraId="03EAC43E" w14:textId="77777777" w:rsidR="00E9503A" w:rsidRDefault="00E9503A" w:rsidP="00743772">
            <w:pPr>
              <w:spacing w:line="276" w:lineRule="auto"/>
              <w:jc w:val="center"/>
            </w:pPr>
            <w:r>
              <w:t>34</w:t>
            </w:r>
          </w:p>
        </w:tc>
        <w:tc>
          <w:tcPr>
            <w:tcW w:w="2279" w:type="dxa"/>
          </w:tcPr>
          <w:p w14:paraId="60774362" w14:textId="77777777" w:rsidR="00E9503A" w:rsidRDefault="00E9503A" w:rsidP="00743772">
            <w:pPr>
              <w:spacing w:line="276" w:lineRule="auto"/>
              <w:jc w:val="center"/>
            </w:pPr>
          </w:p>
        </w:tc>
        <w:tc>
          <w:tcPr>
            <w:tcW w:w="2206" w:type="dxa"/>
          </w:tcPr>
          <w:p w14:paraId="5A60DDAB" w14:textId="77777777" w:rsidR="00E9503A" w:rsidRDefault="00E9503A" w:rsidP="00743772">
            <w:pPr>
              <w:spacing w:line="276" w:lineRule="auto"/>
              <w:jc w:val="center"/>
            </w:pPr>
            <w:r>
              <w:t>1</w:t>
            </w:r>
          </w:p>
        </w:tc>
      </w:tr>
      <w:tr w:rsidR="00E9503A" w14:paraId="1259FD92" w14:textId="77777777" w:rsidTr="00743772">
        <w:tc>
          <w:tcPr>
            <w:tcW w:w="3114" w:type="dxa"/>
          </w:tcPr>
          <w:p w14:paraId="0AB9E4A5" w14:textId="77777777" w:rsidR="00E9503A" w:rsidRDefault="00E9503A" w:rsidP="00743772">
            <w:pPr>
              <w:spacing w:line="276" w:lineRule="auto"/>
              <w:jc w:val="both"/>
            </w:pPr>
          </w:p>
        </w:tc>
        <w:tc>
          <w:tcPr>
            <w:tcW w:w="1417" w:type="dxa"/>
          </w:tcPr>
          <w:p w14:paraId="18854E4F" w14:textId="77777777" w:rsidR="00E9503A" w:rsidRDefault="00E9503A" w:rsidP="00743772">
            <w:pPr>
              <w:spacing w:line="276" w:lineRule="auto"/>
              <w:jc w:val="center"/>
            </w:pPr>
            <w:r>
              <w:t>35</w:t>
            </w:r>
          </w:p>
        </w:tc>
        <w:tc>
          <w:tcPr>
            <w:tcW w:w="2279" w:type="dxa"/>
          </w:tcPr>
          <w:p w14:paraId="4D19E14C" w14:textId="77777777" w:rsidR="00E9503A" w:rsidRDefault="00E9503A" w:rsidP="00743772">
            <w:pPr>
              <w:spacing w:line="276" w:lineRule="auto"/>
              <w:jc w:val="center"/>
            </w:pPr>
            <w:r>
              <w:t>1</w:t>
            </w:r>
          </w:p>
        </w:tc>
        <w:tc>
          <w:tcPr>
            <w:tcW w:w="2206" w:type="dxa"/>
          </w:tcPr>
          <w:p w14:paraId="74E50E14" w14:textId="77777777" w:rsidR="00E9503A" w:rsidRDefault="00E9503A" w:rsidP="00743772">
            <w:pPr>
              <w:spacing w:line="276" w:lineRule="auto"/>
              <w:jc w:val="center"/>
            </w:pPr>
            <w:r>
              <w:t>1</w:t>
            </w:r>
          </w:p>
        </w:tc>
      </w:tr>
      <w:tr w:rsidR="00E9503A" w14:paraId="5AA895F1" w14:textId="77777777" w:rsidTr="00743772">
        <w:tc>
          <w:tcPr>
            <w:tcW w:w="3114" w:type="dxa"/>
          </w:tcPr>
          <w:p w14:paraId="21617786" w14:textId="77777777" w:rsidR="00E9503A" w:rsidRDefault="00E9503A" w:rsidP="00743772">
            <w:pPr>
              <w:spacing w:line="276" w:lineRule="auto"/>
              <w:jc w:val="both"/>
            </w:pPr>
          </w:p>
        </w:tc>
        <w:tc>
          <w:tcPr>
            <w:tcW w:w="1417" w:type="dxa"/>
          </w:tcPr>
          <w:p w14:paraId="33330CF9" w14:textId="77777777" w:rsidR="00E9503A" w:rsidRDefault="00E9503A" w:rsidP="00743772">
            <w:pPr>
              <w:spacing w:line="276" w:lineRule="auto"/>
              <w:jc w:val="center"/>
            </w:pPr>
            <w:r>
              <w:t>36</w:t>
            </w:r>
          </w:p>
        </w:tc>
        <w:tc>
          <w:tcPr>
            <w:tcW w:w="2279" w:type="dxa"/>
          </w:tcPr>
          <w:p w14:paraId="48857643" w14:textId="77777777" w:rsidR="00E9503A" w:rsidRDefault="00E9503A" w:rsidP="00743772">
            <w:pPr>
              <w:spacing w:line="276" w:lineRule="auto"/>
              <w:jc w:val="center"/>
            </w:pPr>
            <w:r>
              <w:t>9</w:t>
            </w:r>
          </w:p>
        </w:tc>
        <w:tc>
          <w:tcPr>
            <w:tcW w:w="2206" w:type="dxa"/>
          </w:tcPr>
          <w:p w14:paraId="4316BEF5" w14:textId="77777777" w:rsidR="00E9503A" w:rsidRDefault="00E9503A" w:rsidP="00743772">
            <w:pPr>
              <w:spacing w:line="276" w:lineRule="auto"/>
              <w:jc w:val="center"/>
            </w:pPr>
            <w:r>
              <w:t>5</w:t>
            </w:r>
          </w:p>
        </w:tc>
      </w:tr>
      <w:tr w:rsidR="00E9503A" w14:paraId="143B1819" w14:textId="77777777" w:rsidTr="00743772">
        <w:tc>
          <w:tcPr>
            <w:tcW w:w="3114" w:type="dxa"/>
          </w:tcPr>
          <w:p w14:paraId="108D2FB2" w14:textId="77777777" w:rsidR="00E9503A" w:rsidRDefault="00E9503A" w:rsidP="00743772">
            <w:pPr>
              <w:spacing w:line="276" w:lineRule="auto"/>
              <w:jc w:val="both"/>
            </w:pPr>
          </w:p>
        </w:tc>
        <w:tc>
          <w:tcPr>
            <w:tcW w:w="1417" w:type="dxa"/>
          </w:tcPr>
          <w:p w14:paraId="136B7DC8" w14:textId="77777777" w:rsidR="00E9503A" w:rsidRDefault="00E9503A" w:rsidP="00743772">
            <w:pPr>
              <w:spacing w:line="276" w:lineRule="auto"/>
              <w:jc w:val="center"/>
            </w:pPr>
            <w:r>
              <w:t>37</w:t>
            </w:r>
          </w:p>
        </w:tc>
        <w:tc>
          <w:tcPr>
            <w:tcW w:w="2279" w:type="dxa"/>
          </w:tcPr>
          <w:p w14:paraId="1DC52B63" w14:textId="77777777" w:rsidR="00E9503A" w:rsidRDefault="00E9503A" w:rsidP="00743772">
            <w:pPr>
              <w:spacing w:line="276" w:lineRule="auto"/>
              <w:jc w:val="center"/>
            </w:pPr>
            <w:r>
              <w:t>41</w:t>
            </w:r>
          </w:p>
        </w:tc>
        <w:tc>
          <w:tcPr>
            <w:tcW w:w="2206" w:type="dxa"/>
          </w:tcPr>
          <w:p w14:paraId="301E449D" w14:textId="77777777" w:rsidR="00E9503A" w:rsidRDefault="00E9503A" w:rsidP="00743772">
            <w:pPr>
              <w:spacing w:line="276" w:lineRule="auto"/>
              <w:jc w:val="center"/>
            </w:pPr>
            <w:r>
              <w:t>40</w:t>
            </w:r>
          </w:p>
        </w:tc>
      </w:tr>
    </w:tbl>
    <w:p w14:paraId="0C081D97" w14:textId="77777777" w:rsidR="00E9503A" w:rsidRDefault="00E9503A" w:rsidP="00E467FF"/>
    <w:p w14:paraId="3C71320C" w14:textId="74241AB3" w:rsidR="00F62381" w:rsidRPr="00586F89" w:rsidRDefault="00F62381">
      <w:pPr>
        <w:rPr>
          <w:b/>
          <w:noProof/>
          <w:sz w:val="28"/>
          <w:szCs w:val="28"/>
          <w:lang w:eastAsia="en-GB"/>
        </w:rPr>
      </w:pPr>
      <w:r w:rsidRPr="00586F89">
        <w:rPr>
          <w:b/>
          <w:noProof/>
          <w:sz w:val="28"/>
          <w:szCs w:val="28"/>
          <w:lang w:eastAsia="en-GB"/>
        </w:rPr>
        <w:t>Methods</w:t>
      </w:r>
    </w:p>
    <w:p w14:paraId="3E5DAB59" w14:textId="31572523" w:rsidR="00586F89" w:rsidRPr="00586F89" w:rsidRDefault="000A0689">
      <w:pPr>
        <w:rPr>
          <w:noProof/>
          <w:lang w:eastAsia="en-GB"/>
        </w:rPr>
      </w:pPr>
      <w:r>
        <w:rPr>
          <w:noProof/>
          <w:lang w:eastAsia="en-GB"/>
        </w:rPr>
        <w:t>After</w:t>
      </w:r>
      <w:r w:rsidR="00B35B66">
        <w:rPr>
          <w:noProof/>
          <w:lang w:eastAsia="en-GB"/>
        </w:rPr>
        <w:t xml:space="preserve"> the</w:t>
      </w:r>
      <w:r>
        <w:rPr>
          <w:noProof/>
          <w:lang w:eastAsia="en-GB"/>
        </w:rPr>
        <w:t xml:space="preserve"> LIPS </w:t>
      </w:r>
      <w:r w:rsidR="00586F89">
        <w:rPr>
          <w:noProof/>
          <w:lang w:eastAsia="en-GB"/>
        </w:rPr>
        <w:t>tri</w:t>
      </w:r>
      <w:r w:rsidR="00B35B66">
        <w:rPr>
          <w:noProof/>
          <w:lang w:eastAsia="en-GB"/>
        </w:rPr>
        <w:t>a</w:t>
      </w:r>
      <w:r w:rsidR="00586F89">
        <w:rPr>
          <w:noProof/>
          <w:lang w:eastAsia="en-GB"/>
        </w:rPr>
        <w:t xml:space="preserve">l </w:t>
      </w:r>
      <w:r>
        <w:rPr>
          <w:noProof/>
          <w:lang w:eastAsia="en-GB"/>
        </w:rPr>
        <w:t>completion and publication, the C</w:t>
      </w:r>
      <w:r w:rsidR="00B35B66">
        <w:rPr>
          <w:noProof/>
          <w:lang w:eastAsia="en-GB"/>
        </w:rPr>
        <w:t xml:space="preserve">hief </w:t>
      </w:r>
      <w:r>
        <w:rPr>
          <w:noProof/>
          <w:lang w:eastAsia="en-GB"/>
        </w:rPr>
        <w:t>I</w:t>
      </w:r>
      <w:r w:rsidR="00B35B66">
        <w:rPr>
          <w:noProof/>
          <w:lang w:eastAsia="en-GB"/>
        </w:rPr>
        <w:t xml:space="preserve">nvestigator and key team members at the collaborating Clinical Trials Unit  (CTU) </w:t>
      </w:r>
      <w:r>
        <w:rPr>
          <w:noProof/>
          <w:lang w:eastAsia="en-GB"/>
        </w:rPr>
        <w:t>reviewed trial procedures</w:t>
      </w:r>
      <w:r w:rsidR="00742586">
        <w:rPr>
          <w:noProof/>
          <w:lang w:eastAsia="en-GB"/>
        </w:rPr>
        <w:t xml:space="preserve">. They </w:t>
      </w:r>
      <w:r>
        <w:rPr>
          <w:noProof/>
          <w:lang w:eastAsia="en-GB"/>
        </w:rPr>
        <w:t xml:space="preserve">discussed successful </w:t>
      </w:r>
      <w:r>
        <w:rPr>
          <w:noProof/>
          <w:lang w:eastAsia="en-GB"/>
        </w:rPr>
        <w:lastRenderedPageBreak/>
        <w:t>strategies for patient recruitment and retention</w:t>
      </w:r>
      <w:r w:rsidR="00586F89">
        <w:rPr>
          <w:noProof/>
          <w:lang w:eastAsia="en-GB"/>
        </w:rPr>
        <w:t xml:space="preserve"> </w:t>
      </w:r>
      <w:r w:rsidR="00742586">
        <w:rPr>
          <w:noProof/>
          <w:lang w:eastAsia="en-GB"/>
        </w:rPr>
        <w:t xml:space="preserve">and considered these procedures within </w:t>
      </w:r>
      <w:r w:rsidR="00A34E66">
        <w:rPr>
          <w:noProof/>
          <w:lang w:eastAsia="en-GB"/>
        </w:rPr>
        <w:t>the</w:t>
      </w:r>
      <w:r w:rsidR="00586F89">
        <w:rPr>
          <w:noProof/>
          <w:lang w:eastAsia="en-GB"/>
        </w:rPr>
        <w:t xml:space="preserve"> context </w:t>
      </w:r>
      <w:r w:rsidR="00A34E66">
        <w:rPr>
          <w:noProof/>
          <w:lang w:eastAsia="en-GB"/>
        </w:rPr>
        <w:t>of</w:t>
      </w:r>
      <w:r w:rsidR="00586F89">
        <w:rPr>
          <w:noProof/>
          <w:lang w:eastAsia="en-GB"/>
        </w:rPr>
        <w:t xml:space="preserve"> </w:t>
      </w:r>
      <w:r w:rsidR="00742586">
        <w:rPr>
          <w:noProof/>
          <w:lang w:eastAsia="en-GB"/>
        </w:rPr>
        <w:t>prior</w:t>
      </w:r>
      <w:r w:rsidR="00586F89">
        <w:rPr>
          <w:noProof/>
          <w:lang w:eastAsia="en-GB"/>
        </w:rPr>
        <w:t xml:space="preserve"> experience</w:t>
      </w:r>
      <w:r w:rsidR="00742586">
        <w:rPr>
          <w:noProof/>
          <w:lang w:eastAsia="en-GB"/>
        </w:rPr>
        <w:t>s</w:t>
      </w:r>
      <w:r w:rsidR="00586F89">
        <w:rPr>
          <w:noProof/>
          <w:lang w:eastAsia="en-GB"/>
        </w:rPr>
        <w:t xml:space="preserve"> </w:t>
      </w:r>
      <w:r w:rsidR="00742586">
        <w:rPr>
          <w:noProof/>
          <w:lang w:eastAsia="en-GB"/>
        </w:rPr>
        <w:t xml:space="preserve">regarding clinical trial recruitment </w:t>
      </w:r>
      <w:r w:rsidR="00586F89">
        <w:rPr>
          <w:noProof/>
          <w:lang w:eastAsia="en-GB"/>
        </w:rPr>
        <w:t xml:space="preserve">at </w:t>
      </w:r>
      <w:r w:rsidR="00742586">
        <w:rPr>
          <w:noProof/>
          <w:lang w:eastAsia="en-GB"/>
        </w:rPr>
        <w:t xml:space="preserve">the CTU, which is </w:t>
      </w:r>
      <w:r w:rsidR="00A34E66">
        <w:rPr>
          <w:noProof/>
          <w:lang w:eastAsia="en-GB"/>
        </w:rPr>
        <w:t xml:space="preserve">one of the </w:t>
      </w:r>
      <w:r w:rsidR="00742586">
        <w:rPr>
          <w:noProof/>
          <w:lang w:eastAsia="en-GB"/>
        </w:rPr>
        <w:t xml:space="preserve">largest CTUs </w:t>
      </w:r>
      <w:r w:rsidR="00A34E66">
        <w:rPr>
          <w:noProof/>
          <w:lang w:eastAsia="en-GB"/>
        </w:rPr>
        <w:t>within the UK</w:t>
      </w:r>
      <w:r>
        <w:rPr>
          <w:noProof/>
          <w:lang w:eastAsia="en-GB"/>
        </w:rPr>
        <w:t>. Thirteeen</w:t>
      </w:r>
      <w:r w:rsidR="00F62381">
        <w:rPr>
          <w:noProof/>
          <w:lang w:eastAsia="en-GB"/>
        </w:rPr>
        <w:t xml:space="preserve"> </w:t>
      </w:r>
      <w:r w:rsidR="00A60AB5">
        <w:rPr>
          <w:noProof/>
          <w:lang w:eastAsia="en-GB"/>
        </w:rPr>
        <w:t>recruitment</w:t>
      </w:r>
      <w:r w:rsidR="00084156">
        <w:rPr>
          <w:noProof/>
          <w:lang w:eastAsia="en-GB"/>
        </w:rPr>
        <w:t xml:space="preserve"> and retention</w:t>
      </w:r>
      <w:r w:rsidR="00A60AB5">
        <w:rPr>
          <w:noProof/>
          <w:lang w:eastAsia="en-GB"/>
        </w:rPr>
        <w:t xml:space="preserve"> safeguards</w:t>
      </w:r>
      <w:r>
        <w:rPr>
          <w:noProof/>
          <w:lang w:eastAsia="en-GB"/>
        </w:rPr>
        <w:t xml:space="preserve"> (5 safeguards for </w:t>
      </w:r>
      <w:r w:rsidRPr="007D563E">
        <w:rPr>
          <w:i/>
          <w:noProof/>
          <w:lang w:eastAsia="en-GB"/>
        </w:rPr>
        <w:t>setting the recruitment rate</w:t>
      </w:r>
      <w:r>
        <w:rPr>
          <w:noProof/>
          <w:lang w:eastAsia="en-GB"/>
        </w:rPr>
        <w:t xml:space="preserve">, 1 for </w:t>
      </w:r>
      <w:r w:rsidRPr="007D563E">
        <w:rPr>
          <w:i/>
          <w:noProof/>
          <w:lang w:eastAsia="en-GB"/>
        </w:rPr>
        <w:t>networking</w:t>
      </w:r>
      <w:r>
        <w:rPr>
          <w:noProof/>
          <w:lang w:eastAsia="en-GB"/>
        </w:rPr>
        <w:t xml:space="preserve">, 1 for </w:t>
      </w:r>
      <w:r w:rsidRPr="007D563E">
        <w:rPr>
          <w:i/>
          <w:noProof/>
          <w:lang w:eastAsia="en-GB"/>
        </w:rPr>
        <w:t>patient information</w:t>
      </w:r>
      <w:r>
        <w:rPr>
          <w:noProof/>
          <w:lang w:eastAsia="en-GB"/>
        </w:rPr>
        <w:t xml:space="preserve">, 2 for </w:t>
      </w:r>
      <w:r w:rsidRPr="007D563E">
        <w:rPr>
          <w:i/>
          <w:noProof/>
          <w:lang w:eastAsia="en-GB"/>
        </w:rPr>
        <w:t>trial management</w:t>
      </w:r>
      <w:r>
        <w:rPr>
          <w:noProof/>
          <w:lang w:eastAsia="en-GB"/>
        </w:rPr>
        <w:t xml:space="preserve">, and 4 for </w:t>
      </w:r>
      <w:r w:rsidRPr="007D563E">
        <w:rPr>
          <w:i/>
          <w:noProof/>
          <w:lang w:eastAsia="en-GB"/>
        </w:rPr>
        <w:t>patient retention</w:t>
      </w:r>
      <w:r>
        <w:rPr>
          <w:noProof/>
          <w:lang w:eastAsia="en-GB"/>
        </w:rPr>
        <w:t xml:space="preserve">) were identified and graded, with </w:t>
      </w:r>
      <w:r w:rsidR="00677CF1">
        <w:rPr>
          <w:noProof/>
          <w:lang w:eastAsia="en-GB"/>
        </w:rPr>
        <w:t>*** indicat</w:t>
      </w:r>
      <w:r>
        <w:rPr>
          <w:noProof/>
          <w:lang w:eastAsia="en-GB"/>
        </w:rPr>
        <w:t>ing</w:t>
      </w:r>
      <w:r w:rsidR="00677CF1">
        <w:rPr>
          <w:noProof/>
          <w:lang w:eastAsia="en-GB"/>
        </w:rPr>
        <w:t xml:space="preserve"> </w:t>
      </w:r>
      <w:r>
        <w:rPr>
          <w:noProof/>
          <w:lang w:eastAsia="en-GB"/>
        </w:rPr>
        <w:t xml:space="preserve">the </w:t>
      </w:r>
      <w:r w:rsidR="00677CF1">
        <w:rPr>
          <w:noProof/>
          <w:lang w:eastAsia="en-GB"/>
        </w:rPr>
        <w:t>highest perceived efficacy</w:t>
      </w:r>
      <w:r w:rsidR="00586F89">
        <w:rPr>
          <w:noProof/>
          <w:lang w:eastAsia="en-GB"/>
        </w:rPr>
        <w:t>;</w:t>
      </w:r>
      <w:r w:rsidR="00A34E66">
        <w:rPr>
          <w:noProof/>
          <w:lang w:eastAsia="en-GB"/>
        </w:rPr>
        <w:t xml:space="preserve"> six risks to </w:t>
      </w:r>
      <w:r w:rsidR="00E86B6B">
        <w:rPr>
          <w:noProof/>
          <w:lang w:eastAsia="en-GB"/>
        </w:rPr>
        <w:t>recruitment</w:t>
      </w:r>
      <w:r w:rsidR="00A34E66">
        <w:rPr>
          <w:noProof/>
          <w:lang w:eastAsia="en-GB"/>
        </w:rPr>
        <w:t xml:space="preserve"> were also identified. Consensus was achieved</w:t>
      </w:r>
      <w:r w:rsidR="00586F89">
        <w:rPr>
          <w:noProof/>
          <w:lang w:eastAsia="en-GB"/>
        </w:rPr>
        <w:t xml:space="preserve"> for all safeguards </w:t>
      </w:r>
      <w:r w:rsidR="00A34E66">
        <w:rPr>
          <w:noProof/>
          <w:lang w:eastAsia="en-GB"/>
        </w:rPr>
        <w:t xml:space="preserve">and risks. </w:t>
      </w:r>
      <w:r w:rsidR="00586F89">
        <w:rPr>
          <w:noProof/>
          <w:lang w:eastAsia="en-GB"/>
        </w:rPr>
        <w:t xml:space="preserve">  </w:t>
      </w:r>
    </w:p>
    <w:p w14:paraId="013D4548" w14:textId="77777777" w:rsidR="005F15A3" w:rsidRDefault="005F15A3">
      <w:pPr>
        <w:rPr>
          <w:b/>
          <w:noProof/>
          <w:sz w:val="28"/>
          <w:szCs w:val="28"/>
          <w:u w:val="single"/>
          <w:lang w:eastAsia="en-GB"/>
        </w:rPr>
      </w:pPr>
    </w:p>
    <w:p w14:paraId="7A712EB4" w14:textId="7B22CDC7" w:rsidR="00BB2EAF" w:rsidRPr="00B46F89" w:rsidRDefault="00BB2EAF">
      <w:pPr>
        <w:rPr>
          <w:b/>
          <w:noProof/>
          <w:sz w:val="28"/>
          <w:szCs w:val="28"/>
          <w:u w:val="single"/>
          <w:lang w:eastAsia="en-GB"/>
        </w:rPr>
      </w:pPr>
      <w:r w:rsidRPr="00B46F89">
        <w:rPr>
          <w:b/>
          <w:noProof/>
          <w:sz w:val="28"/>
          <w:szCs w:val="28"/>
          <w:u w:val="single"/>
          <w:lang w:eastAsia="en-GB"/>
        </w:rPr>
        <w:t>RESULTS</w:t>
      </w:r>
    </w:p>
    <w:p w14:paraId="2D6BD48F" w14:textId="69ABAF4E" w:rsidR="009707FF" w:rsidRPr="00084156" w:rsidRDefault="000A0689">
      <w:pPr>
        <w:rPr>
          <w:b/>
          <w:noProof/>
          <w:u w:val="single"/>
          <w:lang w:eastAsia="en-GB"/>
        </w:rPr>
      </w:pPr>
      <w:r>
        <w:rPr>
          <w:b/>
          <w:noProof/>
          <w:u w:val="single"/>
          <w:lang w:eastAsia="en-GB"/>
        </w:rPr>
        <w:t>Setting</w:t>
      </w:r>
      <w:r w:rsidR="00D27E6B">
        <w:rPr>
          <w:b/>
          <w:noProof/>
          <w:u w:val="single"/>
          <w:lang w:eastAsia="en-GB"/>
        </w:rPr>
        <w:t xml:space="preserve"> the recruitment rate</w:t>
      </w:r>
    </w:p>
    <w:p w14:paraId="55E15404" w14:textId="77386CEE" w:rsidR="00A63562" w:rsidRDefault="00F62381">
      <w:pPr>
        <w:rPr>
          <w:noProof/>
          <w:lang w:eastAsia="en-GB"/>
        </w:rPr>
      </w:pPr>
      <w:r>
        <w:rPr>
          <w:i/>
          <w:noProof/>
          <w:u w:val="single"/>
          <w:lang w:eastAsia="en-GB"/>
        </w:rPr>
        <w:t>Safeguard 1</w:t>
      </w:r>
      <w:r w:rsidR="00932C4C">
        <w:rPr>
          <w:i/>
          <w:noProof/>
          <w:lang w:eastAsia="en-GB"/>
        </w:rPr>
        <w:t xml:space="preserve"> </w:t>
      </w:r>
      <w:r w:rsidR="00A63562" w:rsidRPr="00932C4C">
        <w:rPr>
          <w:i/>
          <w:noProof/>
          <w:lang w:eastAsia="en-GB"/>
        </w:rPr>
        <w:t>A</w:t>
      </w:r>
      <w:r w:rsidR="009B0112">
        <w:rPr>
          <w:i/>
          <w:noProof/>
          <w:lang w:eastAsia="en-GB"/>
        </w:rPr>
        <w:t>vailability</w:t>
      </w:r>
      <w:r w:rsidR="00A63562" w:rsidRPr="00932C4C">
        <w:rPr>
          <w:i/>
          <w:noProof/>
          <w:lang w:eastAsia="en-GB"/>
        </w:rPr>
        <w:t xml:space="preserve"> of</w:t>
      </w:r>
      <w:r w:rsidR="000A0689">
        <w:rPr>
          <w:i/>
          <w:noProof/>
          <w:lang w:eastAsia="en-GB"/>
        </w:rPr>
        <w:t xml:space="preserve"> data from an </w:t>
      </w:r>
      <w:r w:rsidR="007D563E">
        <w:rPr>
          <w:i/>
          <w:noProof/>
          <w:lang w:eastAsia="en-GB"/>
        </w:rPr>
        <w:t xml:space="preserve">earlier </w:t>
      </w:r>
      <w:r w:rsidR="00D27E6B">
        <w:rPr>
          <w:i/>
          <w:noProof/>
          <w:lang w:eastAsia="en-GB"/>
        </w:rPr>
        <w:t>pilot/</w:t>
      </w:r>
      <w:r w:rsidR="009B0112">
        <w:rPr>
          <w:i/>
          <w:noProof/>
          <w:lang w:eastAsia="en-GB"/>
        </w:rPr>
        <w:t>fe</w:t>
      </w:r>
      <w:r w:rsidR="00D27E6B">
        <w:rPr>
          <w:i/>
          <w:noProof/>
          <w:lang w:eastAsia="en-GB"/>
        </w:rPr>
        <w:t>a</w:t>
      </w:r>
      <w:r w:rsidR="009B0112">
        <w:rPr>
          <w:i/>
          <w:noProof/>
          <w:lang w:eastAsia="en-GB"/>
        </w:rPr>
        <w:t>sibility</w:t>
      </w:r>
      <w:r w:rsidR="00B3015E">
        <w:rPr>
          <w:i/>
          <w:noProof/>
          <w:lang w:eastAsia="en-GB"/>
        </w:rPr>
        <w:t xml:space="preserve"> </w:t>
      </w:r>
      <w:r w:rsidR="00A63562" w:rsidRPr="00932C4C">
        <w:rPr>
          <w:i/>
          <w:noProof/>
          <w:lang w:eastAsia="en-GB"/>
        </w:rPr>
        <w:t>study</w:t>
      </w:r>
      <w:r w:rsidR="007D563E">
        <w:rPr>
          <w:i/>
          <w:noProof/>
          <w:lang w:eastAsia="en-GB"/>
        </w:rPr>
        <w:t xml:space="preserve"> conducted</w:t>
      </w:r>
      <w:r w:rsidR="00A63562" w:rsidRPr="00932C4C">
        <w:rPr>
          <w:i/>
          <w:noProof/>
          <w:lang w:eastAsia="en-GB"/>
        </w:rPr>
        <w:t xml:space="preserve"> in a similar population</w:t>
      </w:r>
      <w:r w:rsidR="00D10D75" w:rsidRPr="00D10D75">
        <w:rPr>
          <w:i/>
          <w:noProof/>
          <w:vertAlign w:val="superscript"/>
          <w:lang w:eastAsia="en-GB"/>
        </w:rPr>
        <w:t>13</w:t>
      </w:r>
      <w:r w:rsidR="00C63E03">
        <w:rPr>
          <w:i/>
          <w:noProof/>
          <w:lang w:eastAsia="en-GB"/>
        </w:rPr>
        <w:t>:</w:t>
      </w:r>
      <w:r w:rsidR="00A63562">
        <w:rPr>
          <w:noProof/>
          <w:lang w:eastAsia="en-GB"/>
        </w:rPr>
        <w:t xml:space="preserve"> Information on sample size</w:t>
      </w:r>
      <w:r w:rsidR="007D563E">
        <w:rPr>
          <w:noProof/>
          <w:lang w:eastAsia="en-GB"/>
        </w:rPr>
        <w:t>;</w:t>
      </w:r>
      <w:r w:rsidR="000A0689">
        <w:rPr>
          <w:noProof/>
          <w:lang w:eastAsia="en-GB"/>
        </w:rPr>
        <w:t xml:space="preserve"> </w:t>
      </w:r>
      <w:r w:rsidR="008F304F">
        <w:rPr>
          <w:noProof/>
          <w:lang w:eastAsia="en-GB"/>
        </w:rPr>
        <w:t xml:space="preserve">recognition of </w:t>
      </w:r>
      <w:r w:rsidR="00D27E6B">
        <w:rPr>
          <w:noProof/>
          <w:lang w:eastAsia="en-GB"/>
        </w:rPr>
        <w:t>the</w:t>
      </w:r>
      <w:r w:rsidR="00A63562">
        <w:rPr>
          <w:noProof/>
          <w:lang w:eastAsia="en-GB"/>
        </w:rPr>
        <w:t xml:space="preserve"> </w:t>
      </w:r>
      <w:r w:rsidR="00B3015E">
        <w:rPr>
          <w:noProof/>
          <w:lang w:eastAsia="en-GB"/>
        </w:rPr>
        <w:t>enormous</w:t>
      </w:r>
      <w:r w:rsidR="00A63562">
        <w:rPr>
          <w:noProof/>
          <w:lang w:eastAsia="en-GB"/>
        </w:rPr>
        <w:t xml:space="preserve"> </w:t>
      </w:r>
      <w:r w:rsidR="00E86B6B">
        <w:rPr>
          <w:noProof/>
          <w:lang w:eastAsia="en-GB"/>
        </w:rPr>
        <w:t>recruitment</w:t>
      </w:r>
      <w:r w:rsidR="00A63562">
        <w:rPr>
          <w:noProof/>
          <w:lang w:eastAsia="en-GB"/>
        </w:rPr>
        <w:t xml:space="preserve"> challenge</w:t>
      </w:r>
      <w:r w:rsidR="00D27E6B">
        <w:rPr>
          <w:noProof/>
          <w:lang w:eastAsia="en-GB"/>
        </w:rPr>
        <w:t xml:space="preserve"> in persistent CRPS</w:t>
      </w:r>
      <w:r w:rsidR="00A63562">
        <w:rPr>
          <w:noProof/>
          <w:lang w:eastAsia="en-GB"/>
        </w:rPr>
        <w:t xml:space="preserve"> even at a </w:t>
      </w:r>
      <w:r w:rsidR="008F304F">
        <w:rPr>
          <w:noProof/>
          <w:lang w:eastAsia="en-GB"/>
        </w:rPr>
        <w:t xml:space="preserve">very large </w:t>
      </w:r>
      <w:r w:rsidR="00D27E6B">
        <w:rPr>
          <w:noProof/>
          <w:lang w:eastAsia="en-GB"/>
        </w:rPr>
        <w:t xml:space="preserve">pain </w:t>
      </w:r>
      <w:r w:rsidR="00A63562">
        <w:rPr>
          <w:noProof/>
          <w:lang w:eastAsia="en-GB"/>
        </w:rPr>
        <w:t xml:space="preserve">centre. </w:t>
      </w:r>
      <w:r w:rsidR="008F304F">
        <w:rPr>
          <w:noProof/>
          <w:lang w:eastAsia="en-GB"/>
        </w:rPr>
        <w:t>***</w:t>
      </w:r>
    </w:p>
    <w:p w14:paraId="3BEEEA86" w14:textId="77777777" w:rsidR="005F15A3" w:rsidRDefault="00D27E6B" w:rsidP="00D27E6B">
      <w:pPr>
        <w:rPr>
          <w:noProof/>
          <w:lang w:eastAsia="en-GB"/>
        </w:rPr>
      </w:pPr>
      <w:r>
        <w:rPr>
          <w:i/>
          <w:noProof/>
          <w:u w:val="single"/>
          <w:lang w:eastAsia="en-GB"/>
        </w:rPr>
        <w:t>Safeguard 2</w:t>
      </w:r>
      <w:r w:rsidRPr="00C63E03">
        <w:rPr>
          <w:i/>
          <w:noProof/>
          <w:lang w:eastAsia="en-GB"/>
        </w:rPr>
        <w:t xml:space="preserve"> </w:t>
      </w:r>
      <w:r w:rsidRPr="00932C4C">
        <w:rPr>
          <w:i/>
          <w:noProof/>
          <w:lang w:eastAsia="en-GB"/>
        </w:rPr>
        <w:t>Referral audit</w:t>
      </w:r>
      <w:r w:rsidRPr="00932C4C">
        <w:rPr>
          <w:noProof/>
          <w:lang w:eastAsia="en-GB"/>
        </w:rPr>
        <w:t xml:space="preserve">: </w:t>
      </w:r>
      <w:r w:rsidR="00C63E03">
        <w:rPr>
          <w:noProof/>
          <w:lang w:eastAsia="en-GB"/>
        </w:rPr>
        <w:t>A</w:t>
      </w:r>
      <w:r>
        <w:rPr>
          <w:noProof/>
          <w:lang w:eastAsia="en-GB"/>
        </w:rPr>
        <w:t xml:space="preserve">ll six </w:t>
      </w:r>
      <w:r w:rsidR="00742586">
        <w:rPr>
          <w:noProof/>
          <w:lang w:eastAsia="en-GB"/>
        </w:rPr>
        <w:t>initially</w:t>
      </w:r>
      <w:r w:rsidR="00BB2EAF">
        <w:rPr>
          <w:noProof/>
          <w:lang w:eastAsia="en-GB"/>
        </w:rPr>
        <w:t>-</w:t>
      </w:r>
      <w:r w:rsidR="00742586">
        <w:rPr>
          <w:noProof/>
          <w:lang w:eastAsia="en-GB"/>
        </w:rPr>
        <w:t>scheduled</w:t>
      </w:r>
      <w:r>
        <w:rPr>
          <w:noProof/>
          <w:lang w:eastAsia="en-GB"/>
        </w:rPr>
        <w:t xml:space="preserve"> trial centres were asked to record over 3 months the receipt of new clinical referrals of patients who would </w:t>
      </w:r>
      <w:r w:rsidR="007D563E">
        <w:rPr>
          <w:noProof/>
          <w:lang w:eastAsia="en-GB"/>
        </w:rPr>
        <w:t xml:space="preserve">principally </w:t>
      </w:r>
      <w:r>
        <w:rPr>
          <w:noProof/>
          <w:lang w:eastAsia="en-GB"/>
        </w:rPr>
        <w:t xml:space="preserve">be suitable </w:t>
      </w:r>
      <w:r w:rsidR="00742586">
        <w:rPr>
          <w:noProof/>
          <w:lang w:eastAsia="en-GB"/>
        </w:rPr>
        <w:t xml:space="preserve">later </w:t>
      </w:r>
      <w:r>
        <w:rPr>
          <w:noProof/>
          <w:lang w:eastAsia="en-GB"/>
        </w:rPr>
        <w:t xml:space="preserve">to be approached for the </w:t>
      </w:r>
      <w:r w:rsidR="00742586">
        <w:rPr>
          <w:noProof/>
          <w:lang w:eastAsia="en-GB"/>
        </w:rPr>
        <w:t xml:space="preserve">LIPS </w:t>
      </w:r>
      <w:r>
        <w:rPr>
          <w:noProof/>
          <w:lang w:eastAsia="en-GB"/>
        </w:rPr>
        <w:t xml:space="preserve">trial. They were instructed to ignore any </w:t>
      </w:r>
      <w:r w:rsidR="00742586">
        <w:rPr>
          <w:noProof/>
          <w:lang w:eastAsia="en-GB"/>
        </w:rPr>
        <w:t xml:space="preserve">previously seen </w:t>
      </w:r>
      <w:r>
        <w:rPr>
          <w:noProof/>
          <w:lang w:eastAsia="en-GB"/>
        </w:rPr>
        <w:t xml:space="preserve">patients </w:t>
      </w:r>
      <w:r w:rsidR="00742586">
        <w:rPr>
          <w:noProof/>
          <w:lang w:eastAsia="en-GB"/>
        </w:rPr>
        <w:t>entered onto</w:t>
      </w:r>
      <w:r>
        <w:rPr>
          <w:noProof/>
          <w:lang w:eastAsia="en-GB"/>
        </w:rPr>
        <w:t xml:space="preserve"> their databases</w:t>
      </w:r>
      <w:r w:rsidR="007D563E">
        <w:rPr>
          <w:noProof/>
          <w:lang w:eastAsia="en-GB"/>
        </w:rPr>
        <w:t xml:space="preserve"> or registries</w:t>
      </w:r>
      <w:r>
        <w:rPr>
          <w:noProof/>
          <w:lang w:eastAsia="en-GB"/>
        </w:rPr>
        <w:t xml:space="preserve">, even though during the trial they would be permitted to contact </w:t>
      </w:r>
      <w:r w:rsidR="007D563E">
        <w:rPr>
          <w:noProof/>
          <w:lang w:eastAsia="en-GB"/>
        </w:rPr>
        <w:t>them;</w:t>
      </w:r>
      <w:r>
        <w:rPr>
          <w:noProof/>
          <w:lang w:eastAsia="en-GB"/>
        </w:rPr>
        <w:t xml:space="preserve"> thus </w:t>
      </w:r>
      <w:r w:rsidR="007D563E">
        <w:rPr>
          <w:noProof/>
          <w:lang w:eastAsia="en-GB"/>
        </w:rPr>
        <w:t xml:space="preserve">this procedure was designed to </w:t>
      </w:r>
      <w:r>
        <w:rPr>
          <w:noProof/>
          <w:lang w:eastAsia="en-GB"/>
        </w:rPr>
        <w:t>provid</w:t>
      </w:r>
      <w:r w:rsidR="007D563E">
        <w:rPr>
          <w:noProof/>
          <w:lang w:eastAsia="en-GB"/>
        </w:rPr>
        <w:t>e</w:t>
      </w:r>
      <w:r>
        <w:rPr>
          <w:noProof/>
          <w:lang w:eastAsia="en-GB"/>
        </w:rPr>
        <w:t xml:space="preserve"> a  considerable margin of tolerance. Th</w:t>
      </w:r>
      <w:r w:rsidR="007D563E">
        <w:rPr>
          <w:noProof/>
          <w:lang w:eastAsia="en-GB"/>
        </w:rPr>
        <w:t>e same</w:t>
      </w:r>
      <w:r>
        <w:rPr>
          <w:noProof/>
          <w:lang w:eastAsia="en-GB"/>
        </w:rPr>
        <w:t xml:space="preserve"> exercise was repeated </w:t>
      </w:r>
      <w:r w:rsidR="007D563E">
        <w:rPr>
          <w:noProof/>
          <w:lang w:eastAsia="en-GB"/>
        </w:rPr>
        <w:t xml:space="preserve">about 1 year later, </w:t>
      </w:r>
      <w:r>
        <w:rPr>
          <w:noProof/>
          <w:lang w:eastAsia="en-GB"/>
        </w:rPr>
        <w:t xml:space="preserve">at the time of submission of </w:t>
      </w:r>
      <w:r w:rsidR="00742586">
        <w:rPr>
          <w:noProof/>
          <w:lang w:eastAsia="en-GB"/>
        </w:rPr>
        <w:t>a revised</w:t>
      </w:r>
      <w:r>
        <w:rPr>
          <w:noProof/>
          <w:lang w:eastAsia="en-GB"/>
        </w:rPr>
        <w:t xml:space="preserve"> </w:t>
      </w:r>
      <w:r w:rsidR="00742586">
        <w:rPr>
          <w:noProof/>
          <w:lang w:eastAsia="en-GB"/>
        </w:rPr>
        <w:t>study grant application</w:t>
      </w:r>
      <w:r>
        <w:rPr>
          <w:noProof/>
          <w:lang w:eastAsia="en-GB"/>
        </w:rPr>
        <w:t xml:space="preserve">. Recruitment estimates </w:t>
      </w:r>
      <w:r w:rsidR="007D563E">
        <w:rPr>
          <w:noProof/>
          <w:lang w:eastAsia="en-GB"/>
        </w:rPr>
        <w:t xml:space="preserve">for the trial </w:t>
      </w:r>
      <w:r>
        <w:rPr>
          <w:noProof/>
          <w:lang w:eastAsia="en-GB"/>
        </w:rPr>
        <w:t xml:space="preserve">were then based on these data, i.e. excluding any patients on databases. </w:t>
      </w:r>
    </w:p>
    <w:p w14:paraId="09655B36" w14:textId="3FB272E7" w:rsidR="000110B0" w:rsidRPr="00523005" w:rsidRDefault="00D27E6B" w:rsidP="00D27E6B">
      <w:pPr>
        <w:rPr>
          <w:noProof/>
          <w:lang w:eastAsia="en-GB"/>
        </w:rPr>
      </w:pPr>
      <w:r w:rsidRPr="00523005">
        <w:rPr>
          <w:noProof/>
          <w:lang w:eastAsia="en-GB"/>
        </w:rPr>
        <w:t xml:space="preserve">The six centres </w:t>
      </w:r>
      <w:r w:rsidR="00742586" w:rsidRPr="00523005">
        <w:rPr>
          <w:noProof/>
          <w:lang w:eastAsia="en-GB"/>
        </w:rPr>
        <w:t>received</w:t>
      </w:r>
      <w:r w:rsidRPr="00523005">
        <w:rPr>
          <w:noProof/>
          <w:lang w:eastAsia="en-GB"/>
        </w:rPr>
        <w:t xml:space="preserve"> 46 referrals of potentially suitable patients </w:t>
      </w:r>
      <w:r w:rsidR="00742586" w:rsidRPr="00523005">
        <w:rPr>
          <w:noProof/>
          <w:lang w:eastAsia="en-GB"/>
        </w:rPr>
        <w:t>during the</w:t>
      </w:r>
      <w:r w:rsidRPr="00523005">
        <w:rPr>
          <w:noProof/>
          <w:lang w:eastAsia="en-GB"/>
        </w:rPr>
        <w:t xml:space="preserve"> </w:t>
      </w:r>
      <w:r w:rsidR="00742586" w:rsidRPr="00523005">
        <w:rPr>
          <w:noProof/>
          <w:lang w:eastAsia="en-GB"/>
        </w:rPr>
        <w:t xml:space="preserve">two audit </w:t>
      </w:r>
      <w:r w:rsidRPr="00523005">
        <w:rPr>
          <w:noProof/>
          <w:lang w:eastAsia="en-GB"/>
        </w:rPr>
        <w:t>period</w:t>
      </w:r>
      <w:r w:rsidR="00742586" w:rsidRPr="00523005">
        <w:rPr>
          <w:noProof/>
          <w:lang w:eastAsia="en-GB"/>
        </w:rPr>
        <w:t>s of overall 6 months</w:t>
      </w:r>
      <w:r w:rsidRPr="005F15A3">
        <w:rPr>
          <w:noProof/>
          <w:lang w:eastAsia="en-GB"/>
        </w:rPr>
        <w:t xml:space="preserve">. Applying the refusal estimate </w:t>
      </w:r>
      <w:r w:rsidRPr="005F15A3">
        <w:t>(</w:t>
      </w:r>
      <w:r w:rsidR="007D563E" w:rsidRPr="005F15A3">
        <w:t xml:space="preserve">see </w:t>
      </w:r>
      <w:r w:rsidR="00927260" w:rsidRPr="005F15A3">
        <w:t xml:space="preserve">section ‘refusal audit’ </w:t>
      </w:r>
      <w:r w:rsidR="007D563E" w:rsidRPr="005F15A3">
        <w:t xml:space="preserve">below, </w:t>
      </w:r>
      <w:r w:rsidRPr="005F15A3">
        <w:t>46x.45)</w:t>
      </w:r>
      <w:r w:rsidR="007D563E" w:rsidRPr="005F15A3">
        <w:t xml:space="preserve"> </w:t>
      </w:r>
      <w:r w:rsidR="007D563E" w:rsidRPr="00523005">
        <w:t xml:space="preserve">we </w:t>
      </w:r>
      <w:r w:rsidR="005D2061" w:rsidRPr="00523005">
        <w:t>calculated</w:t>
      </w:r>
      <w:r w:rsidR="007D563E" w:rsidRPr="00523005">
        <w:t xml:space="preserve"> that</w:t>
      </w:r>
      <w:r w:rsidRPr="00523005">
        <w:t xml:space="preserve"> 20 patients would enrol during </w:t>
      </w:r>
      <w:r w:rsidR="005D2061" w:rsidRPr="00523005">
        <w:t>any</w:t>
      </w:r>
      <w:r w:rsidRPr="00523005">
        <w:t xml:space="preserve"> 6 months period</w:t>
      </w:r>
      <w:r w:rsidR="007D563E" w:rsidRPr="00523005">
        <w:t xml:space="preserve">, </w:t>
      </w:r>
      <w:r w:rsidR="005D2061" w:rsidRPr="00523005">
        <w:t>an</w:t>
      </w:r>
      <w:r w:rsidRPr="00523005">
        <w:t xml:space="preserve"> average </w:t>
      </w:r>
      <w:r w:rsidR="005D2061" w:rsidRPr="00523005">
        <w:t xml:space="preserve">of </w:t>
      </w:r>
      <w:r w:rsidRPr="00523005">
        <w:t>3.3 patients/centre/6 months</w:t>
      </w:r>
      <w:r w:rsidR="007D563E" w:rsidRPr="00523005">
        <w:t>. This was</w:t>
      </w:r>
      <w:r w:rsidRPr="00523005">
        <w:t xml:space="preserve"> 10% above the</w:t>
      </w:r>
      <w:r w:rsidR="002E64BB" w:rsidRPr="00523005">
        <w:t xml:space="preserve"> rate</w:t>
      </w:r>
      <w:r w:rsidRPr="00523005">
        <w:t xml:space="preserve"> of 3 patients/centre/6 months</w:t>
      </w:r>
      <w:r w:rsidR="005D2061" w:rsidRPr="00523005">
        <w:t xml:space="preserve"> required</w:t>
      </w:r>
      <w:r w:rsidR="002E64BB" w:rsidRPr="00523005">
        <w:t xml:space="preserve"> </w:t>
      </w:r>
      <w:r w:rsidR="007D563E" w:rsidRPr="00523005">
        <w:t>to recruit</w:t>
      </w:r>
      <w:r w:rsidRPr="00523005">
        <w:t xml:space="preserve"> 108 patients</w:t>
      </w:r>
      <w:r w:rsidR="002E64BB" w:rsidRPr="00523005">
        <w:t xml:space="preserve"> (the patient number determined by the statistical analysis plan)</w:t>
      </w:r>
      <w:r w:rsidRPr="00523005">
        <w:t xml:space="preserve"> over </w:t>
      </w:r>
      <w:r w:rsidR="005D2061" w:rsidRPr="00523005">
        <w:t>36 months</w:t>
      </w:r>
      <w:r w:rsidR="002E64BB" w:rsidRPr="00523005">
        <w:t xml:space="preserve"> (</w:t>
      </w:r>
      <w:r w:rsidR="00A103E0" w:rsidRPr="00523005">
        <w:t>see section ‘balanced recruitment period’ below</w:t>
      </w:r>
      <w:r w:rsidR="002E64BB" w:rsidRPr="00523005">
        <w:t xml:space="preserve">); consequently </w:t>
      </w:r>
      <w:r w:rsidR="007D563E" w:rsidRPr="00523005">
        <w:t>th</w:t>
      </w:r>
      <w:r w:rsidR="002E64BB" w:rsidRPr="00523005">
        <w:t xml:space="preserve">e recruitment </w:t>
      </w:r>
      <w:r w:rsidR="007D563E" w:rsidRPr="00523005">
        <w:t>target</w:t>
      </w:r>
      <w:r w:rsidRPr="00523005">
        <w:t xml:space="preserve"> was considered realistic, but with a relatively tight margin</w:t>
      </w:r>
      <w:r w:rsidR="009C7722">
        <w:t xml:space="preserve"> of error</w:t>
      </w:r>
      <w:r w:rsidRPr="00523005">
        <w:t>.***</w:t>
      </w:r>
    </w:p>
    <w:p w14:paraId="06025F22" w14:textId="08A66123" w:rsidR="005F15A3" w:rsidRDefault="005D2061" w:rsidP="00567FB1">
      <w:r>
        <w:t xml:space="preserve">In the actual trial this </w:t>
      </w:r>
      <w:r w:rsidR="000110B0">
        <w:t>recruitment</w:t>
      </w:r>
      <w:r>
        <w:t xml:space="preserve"> estimate</w:t>
      </w:r>
      <w:r w:rsidR="000110B0">
        <w:t xml:space="preserve"> </w:t>
      </w:r>
      <w:r>
        <w:t>proved to be an accurate prediction of the real situation</w:t>
      </w:r>
      <w:r w:rsidR="00927260">
        <w:t>.</w:t>
      </w:r>
      <w:r>
        <w:t xml:space="preserve"> </w:t>
      </w:r>
      <w:r w:rsidR="00927260">
        <w:t>T</w:t>
      </w:r>
      <w:r w:rsidR="000110B0">
        <w:t xml:space="preserve">here </w:t>
      </w:r>
      <w:r w:rsidR="00927260">
        <w:t>appeared to be</w:t>
      </w:r>
      <w:r w:rsidR="000110B0">
        <w:t xml:space="preserve"> variability between the accuracies in predicted recruitment amongst individual trial centres (Table </w:t>
      </w:r>
      <w:r>
        <w:t>2</w:t>
      </w:r>
      <w:r w:rsidR="000110B0">
        <w:t xml:space="preserve">). </w:t>
      </w:r>
      <w:r w:rsidR="00927260">
        <w:t>However, b</w:t>
      </w:r>
      <w:r w:rsidR="00E9503A">
        <w:t>ased on their respective audit results both</w:t>
      </w:r>
      <w:r w:rsidR="00567FB1">
        <w:t xml:space="preserve"> </w:t>
      </w:r>
      <w:proofErr w:type="spellStart"/>
      <w:r w:rsidR="00567FB1">
        <w:t>stronglyrecruiting</w:t>
      </w:r>
      <w:proofErr w:type="spellEnd"/>
      <w:r w:rsidR="00567FB1">
        <w:t xml:space="preserve"> trial centres</w:t>
      </w:r>
      <w:r w:rsidR="005A4AB2">
        <w:t xml:space="preserve"> (Sites D and E)</w:t>
      </w:r>
      <w:r w:rsidR="00567FB1">
        <w:t xml:space="preserve"> had initially </w:t>
      </w:r>
      <w:r w:rsidR="00E9503A">
        <w:t xml:space="preserve">in fact </w:t>
      </w:r>
      <w:r w:rsidR="00567FB1">
        <w:t>indicated a higher recruitment capa</w:t>
      </w:r>
      <w:r w:rsidR="00E9503A">
        <w:t>city</w:t>
      </w:r>
      <w:r w:rsidR="00567FB1">
        <w:t xml:space="preserve"> than </w:t>
      </w:r>
      <w:r w:rsidR="00E9503A">
        <w:t>n=</w:t>
      </w:r>
      <w:r w:rsidR="00567FB1">
        <w:t xml:space="preserve">18, yet the respective local R&amp;D departments </w:t>
      </w:r>
      <w:r w:rsidR="00E9503A">
        <w:t>had not wished</w:t>
      </w:r>
      <w:r w:rsidR="00567FB1">
        <w:t xml:space="preserve"> for the site-PI’s to commit </w:t>
      </w:r>
      <w:r w:rsidR="00E9503A">
        <w:t xml:space="preserve">to </w:t>
      </w:r>
      <w:r w:rsidR="00567FB1">
        <w:t xml:space="preserve">a larger number </w:t>
      </w:r>
      <w:r w:rsidR="00E9503A">
        <w:t>citing</w:t>
      </w:r>
      <w:r w:rsidR="00567FB1">
        <w:t xml:space="preserve"> potential penalties</w:t>
      </w:r>
      <w:r w:rsidR="00E9503A">
        <w:t xml:space="preserve"> for any under-recruitment</w:t>
      </w:r>
      <w:r w:rsidR="00567FB1">
        <w:t xml:space="preserve">. </w:t>
      </w:r>
      <w:r w:rsidR="00E9503A">
        <w:t xml:space="preserve">In both under-recruiting centres (Sites A and B) seasonal factors had been cited to explain in fact lower audit result figures, and the estimates had been upwards </w:t>
      </w:r>
      <w:r w:rsidR="00B175F5">
        <w:t>adjusted</w:t>
      </w:r>
      <w:r w:rsidR="00927260">
        <w:t xml:space="preserve">. Hence these observations further underline the validity of referral audit data in our context.  </w:t>
      </w:r>
      <w:r w:rsidR="00E9503A">
        <w:t xml:space="preserve"> </w:t>
      </w:r>
    </w:p>
    <w:p w14:paraId="75093F44" w14:textId="7ECCFB53" w:rsidR="009E21DE" w:rsidRDefault="009E21DE" w:rsidP="00567FB1"/>
    <w:p w14:paraId="6FB7ECEB" w14:textId="77777777" w:rsidR="009C2410" w:rsidRDefault="009C2410" w:rsidP="00567FB1"/>
    <w:p w14:paraId="5B85B3A6" w14:textId="2B4ACD6F" w:rsidR="00567FB1" w:rsidRPr="005A4AB2" w:rsidRDefault="005A4AB2" w:rsidP="00567FB1">
      <w:pPr>
        <w:rPr>
          <w:b/>
        </w:rPr>
      </w:pPr>
      <w:r w:rsidRPr="005A4AB2">
        <w:rPr>
          <w:b/>
        </w:rPr>
        <w:lastRenderedPageBreak/>
        <w:t xml:space="preserve">Table </w:t>
      </w:r>
      <w:r w:rsidR="00E9503A">
        <w:rPr>
          <w:b/>
        </w:rPr>
        <w:t>2</w:t>
      </w:r>
    </w:p>
    <w:tbl>
      <w:tblPr>
        <w:tblW w:w="0" w:type="auto"/>
        <w:jc w:val="center"/>
        <w:tblCellMar>
          <w:left w:w="0" w:type="dxa"/>
          <w:right w:w="0" w:type="dxa"/>
        </w:tblCellMar>
        <w:tblLook w:val="04A0" w:firstRow="1" w:lastRow="0" w:firstColumn="1" w:lastColumn="0" w:noHBand="0" w:noVBand="1"/>
      </w:tblPr>
      <w:tblGrid>
        <w:gridCol w:w="1174"/>
        <w:gridCol w:w="1175"/>
        <w:gridCol w:w="1174"/>
        <w:gridCol w:w="1175"/>
        <w:gridCol w:w="1175"/>
        <w:gridCol w:w="1175"/>
      </w:tblGrid>
      <w:tr w:rsidR="002519CB" w:rsidRPr="00AE0A5E" w14:paraId="07805E9B" w14:textId="77777777" w:rsidTr="00CB0C11">
        <w:trPr>
          <w:trHeight w:val="1018"/>
          <w:jc w:val="center"/>
        </w:trPr>
        <w:tc>
          <w:tcPr>
            <w:tcW w:w="1174" w:type="dxa"/>
            <w:tcBorders>
              <w:top w:val="double" w:sz="4" w:space="0" w:color="auto"/>
              <w:bottom w:val="single" w:sz="4" w:space="0" w:color="auto"/>
            </w:tcBorders>
            <w:tcMar>
              <w:top w:w="0" w:type="dxa"/>
              <w:left w:w="108" w:type="dxa"/>
              <w:bottom w:w="0" w:type="dxa"/>
              <w:right w:w="108" w:type="dxa"/>
            </w:tcMar>
            <w:hideMark/>
          </w:tcPr>
          <w:p w14:paraId="3349D18E" w14:textId="77777777" w:rsidR="002519CB" w:rsidRPr="00AE0A5E" w:rsidRDefault="002519CB" w:rsidP="005A4AB2">
            <w:r w:rsidRPr="00AE0A5E">
              <w:rPr>
                <w:b/>
                <w:bCs/>
              </w:rPr>
              <w:t>Site</w:t>
            </w:r>
          </w:p>
        </w:tc>
        <w:tc>
          <w:tcPr>
            <w:tcW w:w="1175" w:type="dxa"/>
            <w:tcBorders>
              <w:top w:val="double" w:sz="4" w:space="0" w:color="auto"/>
              <w:bottom w:val="single" w:sz="4" w:space="0" w:color="auto"/>
            </w:tcBorders>
            <w:tcMar>
              <w:top w:w="0" w:type="dxa"/>
              <w:left w:w="108" w:type="dxa"/>
              <w:bottom w:w="0" w:type="dxa"/>
              <w:right w:w="108" w:type="dxa"/>
            </w:tcMar>
            <w:hideMark/>
          </w:tcPr>
          <w:p w14:paraId="31F8FDCB" w14:textId="77777777" w:rsidR="002519CB" w:rsidRPr="00AE0A5E" w:rsidRDefault="002519CB" w:rsidP="005A4AB2">
            <w:r w:rsidRPr="00AE0A5E">
              <w:rPr>
                <w:b/>
                <w:bCs/>
              </w:rPr>
              <w:t>Total Screened</w:t>
            </w:r>
          </w:p>
        </w:tc>
        <w:tc>
          <w:tcPr>
            <w:tcW w:w="1174" w:type="dxa"/>
            <w:tcBorders>
              <w:top w:val="double" w:sz="4" w:space="0" w:color="auto"/>
              <w:bottom w:val="single" w:sz="4" w:space="0" w:color="auto"/>
            </w:tcBorders>
            <w:tcMar>
              <w:top w:w="0" w:type="dxa"/>
              <w:left w:w="108" w:type="dxa"/>
              <w:bottom w:w="0" w:type="dxa"/>
              <w:right w:w="108" w:type="dxa"/>
            </w:tcMar>
            <w:hideMark/>
          </w:tcPr>
          <w:p w14:paraId="382D19FB" w14:textId="77777777" w:rsidR="002519CB" w:rsidRPr="00AE0A5E" w:rsidRDefault="002519CB" w:rsidP="005A4AB2">
            <w:r w:rsidRPr="00AE0A5E">
              <w:rPr>
                <w:b/>
                <w:bCs/>
              </w:rPr>
              <w:t>Screen Fail</w:t>
            </w:r>
            <w:r>
              <w:rPr>
                <w:b/>
                <w:bCs/>
              </w:rPr>
              <w:t>s</w:t>
            </w:r>
          </w:p>
        </w:tc>
        <w:tc>
          <w:tcPr>
            <w:tcW w:w="1175" w:type="dxa"/>
            <w:tcBorders>
              <w:top w:val="double" w:sz="4" w:space="0" w:color="auto"/>
              <w:bottom w:val="single" w:sz="4" w:space="0" w:color="auto"/>
            </w:tcBorders>
            <w:tcMar>
              <w:top w:w="0" w:type="dxa"/>
              <w:left w:w="108" w:type="dxa"/>
              <w:bottom w:w="0" w:type="dxa"/>
              <w:right w:w="108" w:type="dxa"/>
            </w:tcMar>
            <w:hideMark/>
          </w:tcPr>
          <w:p w14:paraId="354A85BB" w14:textId="77777777" w:rsidR="002519CB" w:rsidRPr="00AE0A5E" w:rsidRDefault="002519CB" w:rsidP="005A4AB2">
            <w:r w:rsidRPr="00AE0A5E">
              <w:rPr>
                <w:b/>
                <w:bCs/>
              </w:rPr>
              <w:t>Total Recruited</w:t>
            </w:r>
          </w:p>
        </w:tc>
        <w:tc>
          <w:tcPr>
            <w:tcW w:w="1175" w:type="dxa"/>
            <w:tcBorders>
              <w:top w:val="double" w:sz="4" w:space="0" w:color="auto"/>
              <w:bottom w:val="single" w:sz="4" w:space="0" w:color="auto"/>
            </w:tcBorders>
            <w:tcMar>
              <w:top w:w="0" w:type="dxa"/>
              <w:left w:w="108" w:type="dxa"/>
              <w:bottom w:w="0" w:type="dxa"/>
              <w:right w:w="108" w:type="dxa"/>
            </w:tcMar>
            <w:hideMark/>
          </w:tcPr>
          <w:p w14:paraId="1E1C2CC5" w14:textId="77777777" w:rsidR="002519CB" w:rsidRPr="00AE0A5E" w:rsidRDefault="002519CB" w:rsidP="005A4AB2">
            <w:r w:rsidRPr="00AE0A5E">
              <w:rPr>
                <w:b/>
                <w:bCs/>
              </w:rPr>
              <w:t>Target</w:t>
            </w:r>
          </w:p>
        </w:tc>
        <w:tc>
          <w:tcPr>
            <w:tcW w:w="1175" w:type="dxa"/>
            <w:tcBorders>
              <w:top w:val="double" w:sz="4" w:space="0" w:color="auto"/>
              <w:bottom w:val="single" w:sz="4" w:space="0" w:color="auto"/>
            </w:tcBorders>
          </w:tcPr>
          <w:p w14:paraId="39EE56B0" w14:textId="71E92DEA" w:rsidR="002519CB" w:rsidRPr="00567FB1" w:rsidRDefault="002519CB" w:rsidP="005A4AB2">
            <w:pPr>
              <w:rPr>
                <w:b/>
                <w:bCs/>
              </w:rPr>
            </w:pPr>
            <w:r w:rsidRPr="00567FB1">
              <w:rPr>
                <w:b/>
                <w:bCs/>
              </w:rPr>
              <w:t xml:space="preserve">Percentage </w:t>
            </w:r>
            <w:r w:rsidR="00B175F5">
              <w:rPr>
                <w:b/>
                <w:bCs/>
              </w:rPr>
              <w:t>of</w:t>
            </w:r>
            <w:r w:rsidRPr="00567FB1">
              <w:rPr>
                <w:b/>
                <w:bCs/>
              </w:rPr>
              <w:t xml:space="preserve"> Target</w:t>
            </w:r>
          </w:p>
        </w:tc>
      </w:tr>
      <w:tr w:rsidR="002519CB" w:rsidRPr="00AE0A5E" w14:paraId="5847991B" w14:textId="77777777" w:rsidTr="00CB0C11">
        <w:trPr>
          <w:trHeight w:val="1018"/>
          <w:jc w:val="center"/>
        </w:trPr>
        <w:tc>
          <w:tcPr>
            <w:tcW w:w="1174" w:type="dxa"/>
            <w:tcBorders>
              <w:top w:val="single" w:sz="4" w:space="0" w:color="auto"/>
              <w:bottom w:val="single" w:sz="4" w:space="0" w:color="auto"/>
            </w:tcBorders>
            <w:tcMar>
              <w:top w:w="0" w:type="dxa"/>
              <w:left w:w="108" w:type="dxa"/>
              <w:bottom w:w="0" w:type="dxa"/>
              <w:right w:w="108" w:type="dxa"/>
            </w:tcMar>
            <w:hideMark/>
          </w:tcPr>
          <w:p w14:paraId="62BA0A6B" w14:textId="77777777" w:rsidR="002519CB" w:rsidRPr="00567FB1" w:rsidRDefault="002519CB" w:rsidP="005A4AB2">
            <w:r w:rsidRPr="00567FB1">
              <w:rPr>
                <w:bCs/>
              </w:rPr>
              <w:t>A</w:t>
            </w:r>
          </w:p>
          <w:p w14:paraId="162E87DC" w14:textId="77777777" w:rsidR="002519CB" w:rsidRPr="00567FB1" w:rsidRDefault="002519CB" w:rsidP="005A4AB2">
            <w:r w:rsidRPr="00567FB1">
              <w:rPr>
                <w:bCs/>
              </w:rPr>
              <w:t> </w:t>
            </w:r>
          </w:p>
        </w:tc>
        <w:tc>
          <w:tcPr>
            <w:tcW w:w="1175" w:type="dxa"/>
            <w:tcBorders>
              <w:top w:val="single" w:sz="4" w:space="0" w:color="auto"/>
              <w:bottom w:val="single" w:sz="4" w:space="0" w:color="auto"/>
            </w:tcBorders>
            <w:tcMar>
              <w:top w:w="0" w:type="dxa"/>
              <w:left w:w="108" w:type="dxa"/>
              <w:bottom w:w="0" w:type="dxa"/>
              <w:right w:w="108" w:type="dxa"/>
            </w:tcMar>
            <w:hideMark/>
          </w:tcPr>
          <w:p w14:paraId="121EC65C" w14:textId="77777777" w:rsidR="002519CB" w:rsidRPr="00567FB1" w:rsidRDefault="002519CB" w:rsidP="005A4AB2">
            <w:r w:rsidRPr="00567FB1">
              <w:rPr>
                <w:bCs/>
              </w:rPr>
              <w:t>11</w:t>
            </w:r>
          </w:p>
        </w:tc>
        <w:tc>
          <w:tcPr>
            <w:tcW w:w="1174" w:type="dxa"/>
            <w:tcBorders>
              <w:top w:val="single" w:sz="4" w:space="0" w:color="auto"/>
              <w:bottom w:val="single" w:sz="4" w:space="0" w:color="auto"/>
            </w:tcBorders>
            <w:tcMar>
              <w:top w:w="0" w:type="dxa"/>
              <w:left w:w="108" w:type="dxa"/>
              <w:bottom w:w="0" w:type="dxa"/>
              <w:right w:w="108" w:type="dxa"/>
            </w:tcMar>
            <w:hideMark/>
          </w:tcPr>
          <w:p w14:paraId="41AC7D2E" w14:textId="24C6BFBD" w:rsidR="002519CB" w:rsidRPr="00567FB1" w:rsidRDefault="002519CB" w:rsidP="005A4AB2">
            <w:r w:rsidRPr="00567FB1">
              <w:rPr>
                <w:bCs/>
              </w:rPr>
              <w:t xml:space="preserve">1 </w:t>
            </w:r>
          </w:p>
        </w:tc>
        <w:tc>
          <w:tcPr>
            <w:tcW w:w="1175" w:type="dxa"/>
            <w:tcBorders>
              <w:top w:val="single" w:sz="4" w:space="0" w:color="auto"/>
              <w:bottom w:val="single" w:sz="4" w:space="0" w:color="auto"/>
            </w:tcBorders>
            <w:tcMar>
              <w:top w:w="0" w:type="dxa"/>
              <w:left w:w="108" w:type="dxa"/>
              <w:bottom w:w="0" w:type="dxa"/>
              <w:right w:w="108" w:type="dxa"/>
            </w:tcMar>
            <w:hideMark/>
          </w:tcPr>
          <w:p w14:paraId="114B2BAD" w14:textId="77777777" w:rsidR="002519CB" w:rsidRPr="00567FB1" w:rsidRDefault="002519CB" w:rsidP="005A4AB2">
            <w:r w:rsidRPr="00567FB1">
              <w:rPr>
                <w:bCs/>
              </w:rPr>
              <w:t xml:space="preserve">10 </w:t>
            </w:r>
          </w:p>
        </w:tc>
        <w:tc>
          <w:tcPr>
            <w:tcW w:w="1175" w:type="dxa"/>
            <w:tcBorders>
              <w:top w:val="single" w:sz="4" w:space="0" w:color="auto"/>
              <w:bottom w:val="single" w:sz="4" w:space="0" w:color="auto"/>
            </w:tcBorders>
            <w:tcMar>
              <w:top w:w="0" w:type="dxa"/>
              <w:left w:w="108" w:type="dxa"/>
              <w:bottom w:w="0" w:type="dxa"/>
              <w:right w:w="108" w:type="dxa"/>
            </w:tcMar>
            <w:hideMark/>
          </w:tcPr>
          <w:p w14:paraId="5A5D7391" w14:textId="77777777" w:rsidR="002519CB" w:rsidRPr="00567FB1" w:rsidRDefault="002519CB" w:rsidP="005A4AB2">
            <w:r w:rsidRPr="00567FB1">
              <w:rPr>
                <w:bCs/>
              </w:rPr>
              <w:t>18</w:t>
            </w:r>
          </w:p>
        </w:tc>
        <w:tc>
          <w:tcPr>
            <w:tcW w:w="1175" w:type="dxa"/>
            <w:tcBorders>
              <w:top w:val="single" w:sz="4" w:space="0" w:color="auto"/>
              <w:bottom w:val="single" w:sz="4" w:space="0" w:color="auto"/>
            </w:tcBorders>
          </w:tcPr>
          <w:p w14:paraId="4E276481" w14:textId="77777777" w:rsidR="002519CB" w:rsidRPr="00567FB1" w:rsidRDefault="002519CB" w:rsidP="005A4AB2">
            <w:pPr>
              <w:rPr>
                <w:bCs/>
              </w:rPr>
            </w:pPr>
            <w:r w:rsidRPr="00567FB1">
              <w:rPr>
                <w:bCs/>
              </w:rPr>
              <w:t>55.5%</w:t>
            </w:r>
          </w:p>
        </w:tc>
      </w:tr>
      <w:tr w:rsidR="002519CB" w:rsidRPr="00AE0A5E" w14:paraId="665C6752" w14:textId="77777777" w:rsidTr="00CB0C11">
        <w:trPr>
          <w:trHeight w:val="1018"/>
          <w:jc w:val="center"/>
        </w:trPr>
        <w:tc>
          <w:tcPr>
            <w:tcW w:w="1174" w:type="dxa"/>
            <w:tcBorders>
              <w:top w:val="single" w:sz="4" w:space="0" w:color="auto"/>
              <w:bottom w:val="single" w:sz="4" w:space="0" w:color="auto"/>
            </w:tcBorders>
            <w:tcMar>
              <w:top w:w="0" w:type="dxa"/>
              <w:left w:w="108" w:type="dxa"/>
              <w:bottom w:w="0" w:type="dxa"/>
              <w:right w:w="108" w:type="dxa"/>
            </w:tcMar>
            <w:hideMark/>
          </w:tcPr>
          <w:p w14:paraId="4DC97E65" w14:textId="77777777" w:rsidR="002519CB" w:rsidRPr="00567FB1" w:rsidRDefault="002519CB" w:rsidP="005A4AB2">
            <w:r w:rsidRPr="00567FB1">
              <w:rPr>
                <w:bCs/>
              </w:rPr>
              <w:t>B</w:t>
            </w:r>
          </w:p>
          <w:p w14:paraId="4602BD83" w14:textId="77777777" w:rsidR="002519CB" w:rsidRPr="00567FB1" w:rsidRDefault="002519CB" w:rsidP="005A4AB2">
            <w:r w:rsidRPr="00567FB1">
              <w:rPr>
                <w:bCs/>
              </w:rPr>
              <w:t> </w:t>
            </w:r>
          </w:p>
        </w:tc>
        <w:tc>
          <w:tcPr>
            <w:tcW w:w="1175" w:type="dxa"/>
            <w:tcBorders>
              <w:top w:val="single" w:sz="4" w:space="0" w:color="auto"/>
              <w:bottom w:val="single" w:sz="4" w:space="0" w:color="auto"/>
            </w:tcBorders>
            <w:tcMar>
              <w:top w:w="0" w:type="dxa"/>
              <w:left w:w="108" w:type="dxa"/>
              <w:bottom w:w="0" w:type="dxa"/>
              <w:right w:w="108" w:type="dxa"/>
            </w:tcMar>
            <w:hideMark/>
          </w:tcPr>
          <w:p w14:paraId="722D15BD" w14:textId="77777777" w:rsidR="002519CB" w:rsidRPr="00567FB1" w:rsidRDefault="002519CB" w:rsidP="005A4AB2">
            <w:r w:rsidRPr="00567FB1">
              <w:rPr>
                <w:bCs/>
              </w:rPr>
              <w:t xml:space="preserve">10 </w:t>
            </w:r>
          </w:p>
        </w:tc>
        <w:tc>
          <w:tcPr>
            <w:tcW w:w="1174" w:type="dxa"/>
            <w:tcBorders>
              <w:top w:val="single" w:sz="4" w:space="0" w:color="auto"/>
              <w:bottom w:val="single" w:sz="4" w:space="0" w:color="auto"/>
            </w:tcBorders>
            <w:tcMar>
              <w:top w:w="0" w:type="dxa"/>
              <w:left w:w="108" w:type="dxa"/>
              <w:bottom w:w="0" w:type="dxa"/>
              <w:right w:w="108" w:type="dxa"/>
            </w:tcMar>
            <w:hideMark/>
          </w:tcPr>
          <w:p w14:paraId="46A7FAFB" w14:textId="77B6756C" w:rsidR="002519CB" w:rsidRPr="00567FB1" w:rsidRDefault="002519CB" w:rsidP="005A4AB2">
            <w:r w:rsidRPr="00567FB1">
              <w:rPr>
                <w:bCs/>
              </w:rPr>
              <w:t xml:space="preserve">1 </w:t>
            </w:r>
          </w:p>
        </w:tc>
        <w:tc>
          <w:tcPr>
            <w:tcW w:w="1175" w:type="dxa"/>
            <w:tcBorders>
              <w:top w:val="single" w:sz="4" w:space="0" w:color="auto"/>
              <w:bottom w:val="single" w:sz="4" w:space="0" w:color="auto"/>
            </w:tcBorders>
            <w:tcMar>
              <w:top w:w="0" w:type="dxa"/>
              <w:left w:w="108" w:type="dxa"/>
              <w:bottom w:w="0" w:type="dxa"/>
              <w:right w:w="108" w:type="dxa"/>
            </w:tcMar>
            <w:hideMark/>
          </w:tcPr>
          <w:p w14:paraId="35544AD2" w14:textId="77777777" w:rsidR="002519CB" w:rsidRPr="00567FB1" w:rsidRDefault="002519CB" w:rsidP="005A4AB2">
            <w:r w:rsidRPr="00567FB1">
              <w:rPr>
                <w:bCs/>
              </w:rPr>
              <w:t>9</w:t>
            </w:r>
          </w:p>
        </w:tc>
        <w:tc>
          <w:tcPr>
            <w:tcW w:w="1175" w:type="dxa"/>
            <w:tcBorders>
              <w:top w:val="single" w:sz="4" w:space="0" w:color="auto"/>
              <w:bottom w:val="single" w:sz="4" w:space="0" w:color="auto"/>
            </w:tcBorders>
            <w:tcMar>
              <w:top w:w="0" w:type="dxa"/>
              <w:left w:w="108" w:type="dxa"/>
              <w:bottom w:w="0" w:type="dxa"/>
              <w:right w:w="108" w:type="dxa"/>
            </w:tcMar>
            <w:hideMark/>
          </w:tcPr>
          <w:p w14:paraId="5EFF3DF6" w14:textId="77777777" w:rsidR="002519CB" w:rsidRPr="00567FB1" w:rsidRDefault="002519CB" w:rsidP="005A4AB2">
            <w:r w:rsidRPr="00567FB1">
              <w:rPr>
                <w:bCs/>
              </w:rPr>
              <w:t>18</w:t>
            </w:r>
          </w:p>
        </w:tc>
        <w:tc>
          <w:tcPr>
            <w:tcW w:w="1175" w:type="dxa"/>
            <w:tcBorders>
              <w:top w:val="single" w:sz="4" w:space="0" w:color="auto"/>
              <w:bottom w:val="single" w:sz="4" w:space="0" w:color="auto"/>
            </w:tcBorders>
          </w:tcPr>
          <w:p w14:paraId="00F8DDAA" w14:textId="77777777" w:rsidR="002519CB" w:rsidRPr="00567FB1" w:rsidRDefault="002519CB" w:rsidP="005A4AB2">
            <w:pPr>
              <w:rPr>
                <w:bCs/>
              </w:rPr>
            </w:pPr>
            <w:r w:rsidRPr="00567FB1">
              <w:rPr>
                <w:bCs/>
              </w:rPr>
              <w:t>50%</w:t>
            </w:r>
          </w:p>
        </w:tc>
      </w:tr>
      <w:tr w:rsidR="002519CB" w:rsidRPr="00AE0A5E" w14:paraId="7C3052E0" w14:textId="77777777" w:rsidTr="00CB0C11">
        <w:trPr>
          <w:trHeight w:val="1018"/>
          <w:jc w:val="center"/>
        </w:trPr>
        <w:tc>
          <w:tcPr>
            <w:tcW w:w="1174" w:type="dxa"/>
            <w:tcBorders>
              <w:top w:val="single" w:sz="4" w:space="0" w:color="auto"/>
              <w:bottom w:val="single" w:sz="4" w:space="0" w:color="auto"/>
            </w:tcBorders>
            <w:tcMar>
              <w:top w:w="0" w:type="dxa"/>
              <w:left w:w="108" w:type="dxa"/>
              <w:bottom w:w="0" w:type="dxa"/>
              <w:right w:w="108" w:type="dxa"/>
            </w:tcMar>
            <w:hideMark/>
          </w:tcPr>
          <w:p w14:paraId="01F4A736" w14:textId="77777777" w:rsidR="002519CB" w:rsidRPr="00567FB1" w:rsidRDefault="002519CB" w:rsidP="005A4AB2">
            <w:r w:rsidRPr="00567FB1">
              <w:rPr>
                <w:bCs/>
              </w:rPr>
              <w:t>C</w:t>
            </w:r>
          </w:p>
          <w:p w14:paraId="21BF6935" w14:textId="77777777" w:rsidR="002519CB" w:rsidRPr="00567FB1" w:rsidRDefault="002519CB" w:rsidP="005A4AB2">
            <w:r w:rsidRPr="00567FB1">
              <w:rPr>
                <w:bCs/>
              </w:rPr>
              <w:t> </w:t>
            </w:r>
          </w:p>
        </w:tc>
        <w:tc>
          <w:tcPr>
            <w:tcW w:w="1175" w:type="dxa"/>
            <w:tcBorders>
              <w:top w:val="single" w:sz="4" w:space="0" w:color="auto"/>
              <w:bottom w:val="single" w:sz="4" w:space="0" w:color="auto"/>
            </w:tcBorders>
            <w:tcMar>
              <w:top w:w="0" w:type="dxa"/>
              <w:left w:w="108" w:type="dxa"/>
              <w:bottom w:w="0" w:type="dxa"/>
              <w:right w:w="108" w:type="dxa"/>
            </w:tcMar>
            <w:hideMark/>
          </w:tcPr>
          <w:p w14:paraId="4733DEA3" w14:textId="77777777" w:rsidR="002519CB" w:rsidRPr="00567FB1" w:rsidRDefault="002519CB" w:rsidP="005A4AB2">
            <w:r w:rsidRPr="00567FB1">
              <w:rPr>
                <w:bCs/>
              </w:rPr>
              <w:t>19</w:t>
            </w:r>
          </w:p>
        </w:tc>
        <w:tc>
          <w:tcPr>
            <w:tcW w:w="1174" w:type="dxa"/>
            <w:tcBorders>
              <w:top w:val="single" w:sz="4" w:space="0" w:color="auto"/>
              <w:bottom w:val="single" w:sz="4" w:space="0" w:color="auto"/>
            </w:tcBorders>
            <w:tcMar>
              <w:top w:w="0" w:type="dxa"/>
              <w:left w:w="108" w:type="dxa"/>
              <w:bottom w:w="0" w:type="dxa"/>
              <w:right w:w="108" w:type="dxa"/>
            </w:tcMar>
            <w:hideMark/>
          </w:tcPr>
          <w:p w14:paraId="2BF0EF87" w14:textId="2DC3A02E" w:rsidR="002519CB" w:rsidRPr="00567FB1" w:rsidRDefault="002519CB" w:rsidP="005A4AB2">
            <w:r w:rsidRPr="00567FB1">
              <w:rPr>
                <w:bCs/>
              </w:rPr>
              <w:t xml:space="preserve">1 </w:t>
            </w:r>
          </w:p>
        </w:tc>
        <w:tc>
          <w:tcPr>
            <w:tcW w:w="1175" w:type="dxa"/>
            <w:tcBorders>
              <w:top w:val="single" w:sz="4" w:space="0" w:color="auto"/>
              <w:bottom w:val="single" w:sz="4" w:space="0" w:color="auto"/>
            </w:tcBorders>
            <w:tcMar>
              <w:top w:w="0" w:type="dxa"/>
              <w:left w:w="108" w:type="dxa"/>
              <w:bottom w:w="0" w:type="dxa"/>
              <w:right w:w="108" w:type="dxa"/>
            </w:tcMar>
            <w:hideMark/>
          </w:tcPr>
          <w:p w14:paraId="5521DF7D" w14:textId="77777777" w:rsidR="002519CB" w:rsidRPr="00567FB1" w:rsidRDefault="002519CB" w:rsidP="005A4AB2">
            <w:r w:rsidRPr="00567FB1">
              <w:rPr>
                <w:bCs/>
              </w:rPr>
              <w:t>18</w:t>
            </w:r>
          </w:p>
        </w:tc>
        <w:tc>
          <w:tcPr>
            <w:tcW w:w="1175" w:type="dxa"/>
            <w:tcBorders>
              <w:top w:val="single" w:sz="4" w:space="0" w:color="auto"/>
              <w:bottom w:val="single" w:sz="4" w:space="0" w:color="auto"/>
            </w:tcBorders>
            <w:tcMar>
              <w:top w:w="0" w:type="dxa"/>
              <w:left w:w="108" w:type="dxa"/>
              <w:bottom w:w="0" w:type="dxa"/>
              <w:right w:w="108" w:type="dxa"/>
            </w:tcMar>
            <w:hideMark/>
          </w:tcPr>
          <w:p w14:paraId="62752390" w14:textId="77777777" w:rsidR="002519CB" w:rsidRPr="00567FB1" w:rsidRDefault="002519CB" w:rsidP="005A4AB2">
            <w:r w:rsidRPr="00567FB1">
              <w:rPr>
                <w:bCs/>
              </w:rPr>
              <w:t>18</w:t>
            </w:r>
          </w:p>
        </w:tc>
        <w:tc>
          <w:tcPr>
            <w:tcW w:w="1175" w:type="dxa"/>
            <w:tcBorders>
              <w:top w:val="single" w:sz="4" w:space="0" w:color="auto"/>
              <w:bottom w:val="single" w:sz="4" w:space="0" w:color="auto"/>
            </w:tcBorders>
          </w:tcPr>
          <w:p w14:paraId="42E23C4E" w14:textId="77777777" w:rsidR="002519CB" w:rsidRPr="00567FB1" w:rsidRDefault="002519CB" w:rsidP="005A4AB2">
            <w:pPr>
              <w:rPr>
                <w:bCs/>
              </w:rPr>
            </w:pPr>
            <w:r w:rsidRPr="00567FB1">
              <w:rPr>
                <w:bCs/>
              </w:rPr>
              <w:t>100%</w:t>
            </w:r>
          </w:p>
        </w:tc>
      </w:tr>
      <w:tr w:rsidR="002519CB" w:rsidRPr="00AE0A5E" w14:paraId="4BEA5594" w14:textId="77777777" w:rsidTr="00CB0C11">
        <w:trPr>
          <w:trHeight w:val="1018"/>
          <w:jc w:val="center"/>
        </w:trPr>
        <w:tc>
          <w:tcPr>
            <w:tcW w:w="1174" w:type="dxa"/>
            <w:tcBorders>
              <w:top w:val="single" w:sz="4" w:space="0" w:color="auto"/>
              <w:bottom w:val="single" w:sz="4" w:space="0" w:color="auto"/>
            </w:tcBorders>
            <w:tcMar>
              <w:top w:w="0" w:type="dxa"/>
              <w:left w:w="108" w:type="dxa"/>
              <w:bottom w:w="0" w:type="dxa"/>
              <w:right w:w="108" w:type="dxa"/>
            </w:tcMar>
            <w:hideMark/>
          </w:tcPr>
          <w:p w14:paraId="64E853B5" w14:textId="77777777" w:rsidR="002519CB" w:rsidRPr="00567FB1" w:rsidRDefault="002519CB" w:rsidP="005A4AB2">
            <w:r w:rsidRPr="00567FB1">
              <w:rPr>
                <w:bCs/>
              </w:rPr>
              <w:t>D</w:t>
            </w:r>
          </w:p>
          <w:p w14:paraId="3FE03C2B" w14:textId="77777777" w:rsidR="002519CB" w:rsidRPr="00567FB1" w:rsidRDefault="002519CB" w:rsidP="005A4AB2">
            <w:r w:rsidRPr="00567FB1">
              <w:rPr>
                <w:bCs/>
              </w:rPr>
              <w:t> </w:t>
            </w:r>
          </w:p>
        </w:tc>
        <w:tc>
          <w:tcPr>
            <w:tcW w:w="1175" w:type="dxa"/>
            <w:tcBorders>
              <w:top w:val="single" w:sz="4" w:space="0" w:color="auto"/>
              <w:bottom w:val="single" w:sz="4" w:space="0" w:color="auto"/>
            </w:tcBorders>
            <w:tcMar>
              <w:top w:w="0" w:type="dxa"/>
              <w:left w:w="108" w:type="dxa"/>
              <w:bottom w:w="0" w:type="dxa"/>
              <w:right w:w="108" w:type="dxa"/>
            </w:tcMar>
            <w:hideMark/>
          </w:tcPr>
          <w:p w14:paraId="1871094D" w14:textId="77777777" w:rsidR="002519CB" w:rsidRPr="00567FB1" w:rsidRDefault="002519CB" w:rsidP="005A4AB2">
            <w:r w:rsidRPr="00567FB1">
              <w:rPr>
                <w:bCs/>
              </w:rPr>
              <w:t>34</w:t>
            </w:r>
          </w:p>
        </w:tc>
        <w:tc>
          <w:tcPr>
            <w:tcW w:w="1174" w:type="dxa"/>
            <w:tcBorders>
              <w:top w:val="single" w:sz="4" w:space="0" w:color="auto"/>
              <w:bottom w:val="single" w:sz="4" w:space="0" w:color="auto"/>
            </w:tcBorders>
            <w:tcMar>
              <w:top w:w="0" w:type="dxa"/>
              <w:left w:w="108" w:type="dxa"/>
              <w:bottom w:w="0" w:type="dxa"/>
              <w:right w:w="108" w:type="dxa"/>
            </w:tcMar>
            <w:hideMark/>
          </w:tcPr>
          <w:p w14:paraId="437E93FB" w14:textId="44E4C693" w:rsidR="002519CB" w:rsidRPr="00567FB1" w:rsidRDefault="002519CB" w:rsidP="005A4AB2">
            <w:r w:rsidRPr="00567FB1">
              <w:rPr>
                <w:bCs/>
              </w:rPr>
              <w:t xml:space="preserve">3 </w:t>
            </w:r>
          </w:p>
        </w:tc>
        <w:tc>
          <w:tcPr>
            <w:tcW w:w="1175" w:type="dxa"/>
            <w:tcBorders>
              <w:top w:val="single" w:sz="4" w:space="0" w:color="auto"/>
              <w:bottom w:val="single" w:sz="4" w:space="0" w:color="auto"/>
            </w:tcBorders>
            <w:tcMar>
              <w:top w:w="0" w:type="dxa"/>
              <w:left w:w="108" w:type="dxa"/>
              <w:bottom w:w="0" w:type="dxa"/>
              <w:right w:w="108" w:type="dxa"/>
            </w:tcMar>
            <w:hideMark/>
          </w:tcPr>
          <w:p w14:paraId="69FFE92F" w14:textId="77777777" w:rsidR="002519CB" w:rsidRPr="00567FB1" w:rsidRDefault="002519CB" w:rsidP="005A4AB2">
            <w:r w:rsidRPr="00567FB1">
              <w:rPr>
                <w:bCs/>
              </w:rPr>
              <w:t>31</w:t>
            </w:r>
          </w:p>
        </w:tc>
        <w:tc>
          <w:tcPr>
            <w:tcW w:w="1175" w:type="dxa"/>
            <w:tcBorders>
              <w:top w:val="single" w:sz="4" w:space="0" w:color="auto"/>
              <w:bottom w:val="single" w:sz="4" w:space="0" w:color="auto"/>
            </w:tcBorders>
            <w:tcMar>
              <w:top w:w="0" w:type="dxa"/>
              <w:left w:w="108" w:type="dxa"/>
              <w:bottom w:w="0" w:type="dxa"/>
              <w:right w:w="108" w:type="dxa"/>
            </w:tcMar>
            <w:hideMark/>
          </w:tcPr>
          <w:p w14:paraId="6A19EF4B" w14:textId="77777777" w:rsidR="002519CB" w:rsidRPr="00567FB1" w:rsidRDefault="002519CB" w:rsidP="005A4AB2">
            <w:r w:rsidRPr="00567FB1">
              <w:rPr>
                <w:bCs/>
              </w:rPr>
              <w:t>18</w:t>
            </w:r>
          </w:p>
        </w:tc>
        <w:tc>
          <w:tcPr>
            <w:tcW w:w="1175" w:type="dxa"/>
            <w:tcBorders>
              <w:top w:val="single" w:sz="4" w:space="0" w:color="auto"/>
              <w:bottom w:val="single" w:sz="4" w:space="0" w:color="auto"/>
            </w:tcBorders>
          </w:tcPr>
          <w:p w14:paraId="7FFDEFED" w14:textId="77777777" w:rsidR="002519CB" w:rsidRPr="00567FB1" w:rsidRDefault="002519CB" w:rsidP="005A4AB2">
            <w:pPr>
              <w:rPr>
                <w:bCs/>
              </w:rPr>
            </w:pPr>
            <w:r w:rsidRPr="00567FB1">
              <w:rPr>
                <w:bCs/>
              </w:rPr>
              <w:t>172.2%</w:t>
            </w:r>
          </w:p>
        </w:tc>
      </w:tr>
      <w:tr w:rsidR="002519CB" w:rsidRPr="00AE0A5E" w14:paraId="7FD9CEA5" w14:textId="77777777" w:rsidTr="00CB0C11">
        <w:trPr>
          <w:trHeight w:val="1018"/>
          <w:jc w:val="center"/>
        </w:trPr>
        <w:tc>
          <w:tcPr>
            <w:tcW w:w="1174" w:type="dxa"/>
            <w:tcBorders>
              <w:top w:val="single" w:sz="4" w:space="0" w:color="auto"/>
              <w:bottom w:val="single" w:sz="4" w:space="0" w:color="auto"/>
            </w:tcBorders>
            <w:tcMar>
              <w:top w:w="0" w:type="dxa"/>
              <w:left w:w="108" w:type="dxa"/>
              <w:bottom w:w="0" w:type="dxa"/>
              <w:right w:w="108" w:type="dxa"/>
            </w:tcMar>
            <w:hideMark/>
          </w:tcPr>
          <w:p w14:paraId="77E1D99E" w14:textId="77777777" w:rsidR="002519CB" w:rsidRPr="00567FB1" w:rsidRDefault="002519CB" w:rsidP="005A4AB2">
            <w:r w:rsidRPr="00567FB1">
              <w:rPr>
                <w:bCs/>
              </w:rPr>
              <w:t>E</w:t>
            </w:r>
          </w:p>
          <w:p w14:paraId="2E666DD9" w14:textId="77777777" w:rsidR="002519CB" w:rsidRPr="00567FB1" w:rsidRDefault="002519CB" w:rsidP="005A4AB2">
            <w:r w:rsidRPr="00567FB1">
              <w:rPr>
                <w:bCs/>
              </w:rPr>
              <w:t> </w:t>
            </w:r>
          </w:p>
        </w:tc>
        <w:tc>
          <w:tcPr>
            <w:tcW w:w="1175" w:type="dxa"/>
            <w:tcBorders>
              <w:top w:val="single" w:sz="4" w:space="0" w:color="auto"/>
              <w:bottom w:val="single" w:sz="4" w:space="0" w:color="auto"/>
            </w:tcBorders>
            <w:tcMar>
              <w:top w:w="0" w:type="dxa"/>
              <w:left w:w="108" w:type="dxa"/>
              <w:bottom w:w="0" w:type="dxa"/>
              <w:right w:w="108" w:type="dxa"/>
            </w:tcMar>
            <w:hideMark/>
          </w:tcPr>
          <w:p w14:paraId="2A90E398" w14:textId="77777777" w:rsidR="002519CB" w:rsidRPr="00567FB1" w:rsidRDefault="002519CB" w:rsidP="005A4AB2">
            <w:r w:rsidRPr="00567FB1">
              <w:rPr>
                <w:bCs/>
              </w:rPr>
              <w:t>30</w:t>
            </w:r>
          </w:p>
        </w:tc>
        <w:tc>
          <w:tcPr>
            <w:tcW w:w="1174" w:type="dxa"/>
            <w:tcBorders>
              <w:top w:val="single" w:sz="4" w:space="0" w:color="auto"/>
              <w:bottom w:val="single" w:sz="4" w:space="0" w:color="auto"/>
            </w:tcBorders>
            <w:tcMar>
              <w:top w:w="0" w:type="dxa"/>
              <w:left w:w="108" w:type="dxa"/>
              <w:bottom w:w="0" w:type="dxa"/>
              <w:right w:w="108" w:type="dxa"/>
            </w:tcMar>
            <w:hideMark/>
          </w:tcPr>
          <w:p w14:paraId="1377F5D2" w14:textId="17A2C248" w:rsidR="002519CB" w:rsidRPr="00567FB1" w:rsidRDefault="002519CB" w:rsidP="005A4AB2">
            <w:r w:rsidRPr="00567FB1">
              <w:rPr>
                <w:bCs/>
              </w:rPr>
              <w:t xml:space="preserve">2 </w:t>
            </w:r>
          </w:p>
        </w:tc>
        <w:tc>
          <w:tcPr>
            <w:tcW w:w="1175" w:type="dxa"/>
            <w:tcBorders>
              <w:top w:val="single" w:sz="4" w:space="0" w:color="auto"/>
              <w:bottom w:val="single" w:sz="4" w:space="0" w:color="auto"/>
            </w:tcBorders>
            <w:tcMar>
              <w:top w:w="0" w:type="dxa"/>
              <w:left w:w="108" w:type="dxa"/>
              <w:bottom w:w="0" w:type="dxa"/>
              <w:right w:w="108" w:type="dxa"/>
            </w:tcMar>
            <w:hideMark/>
          </w:tcPr>
          <w:p w14:paraId="7C1E2438" w14:textId="77777777" w:rsidR="002519CB" w:rsidRPr="00567FB1" w:rsidRDefault="002519CB" w:rsidP="005A4AB2">
            <w:r w:rsidRPr="00567FB1">
              <w:rPr>
                <w:bCs/>
              </w:rPr>
              <w:t>28</w:t>
            </w:r>
          </w:p>
        </w:tc>
        <w:tc>
          <w:tcPr>
            <w:tcW w:w="1175" w:type="dxa"/>
            <w:tcBorders>
              <w:top w:val="single" w:sz="4" w:space="0" w:color="auto"/>
              <w:bottom w:val="single" w:sz="4" w:space="0" w:color="auto"/>
            </w:tcBorders>
            <w:tcMar>
              <w:top w:w="0" w:type="dxa"/>
              <w:left w:w="108" w:type="dxa"/>
              <w:bottom w:w="0" w:type="dxa"/>
              <w:right w:w="108" w:type="dxa"/>
            </w:tcMar>
            <w:hideMark/>
          </w:tcPr>
          <w:p w14:paraId="2F733F3B" w14:textId="77777777" w:rsidR="002519CB" w:rsidRPr="00567FB1" w:rsidRDefault="002519CB" w:rsidP="005A4AB2">
            <w:r w:rsidRPr="00567FB1">
              <w:rPr>
                <w:bCs/>
              </w:rPr>
              <w:t>18</w:t>
            </w:r>
          </w:p>
        </w:tc>
        <w:tc>
          <w:tcPr>
            <w:tcW w:w="1175" w:type="dxa"/>
            <w:tcBorders>
              <w:top w:val="single" w:sz="4" w:space="0" w:color="auto"/>
              <w:bottom w:val="single" w:sz="4" w:space="0" w:color="auto"/>
            </w:tcBorders>
          </w:tcPr>
          <w:p w14:paraId="734D844F" w14:textId="77777777" w:rsidR="002519CB" w:rsidRPr="00567FB1" w:rsidRDefault="002519CB" w:rsidP="005A4AB2">
            <w:pPr>
              <w:rPr>
                <w:bCs/>
              </w:rPr>
            </w:pPr>
            <w:r w:rsidRPr="00567FB1">
              <w:rPr>
                <w:bCs/>
              </w:rPr>
              <w:t>155.5%</w:t>
            </w:r>
          </w:p>
        </w:tc>
      </w:tr>
      <w:tr w:rsidR="002519CB" w:rsidRPr="00AE0A5E" w14:paraId="2477120A" w14:textId="77777777" w:rsidTr="00CB0C11">
        <w:trPr>
          <w:trHeight w:val="1018"/>
          <w:jc w:val="center"/>
        </w:trPr>
        <w:tc>
          <w:tcPr>
            <w:tcW w:w="1174" w:type="dxa"/>
            <w:tcBorders>
              <w:top w:val="single" w:sz="4" w:space="0" w:color="auto"/>
              <w:bottom w:val="single" w:sz="4" w:space="0" w:color="auto"/>
            </w:tcBorders>
            <w:tcMar>
              <w:top w:w="0" w:type="dxa"/>
              <w:left w:w="108" w:type="dxa"/>
              <w:bottom w:w="0" w:type="dxa"/>
              <w:right w:w="108" w:type="dxa"/>
            </w:tcMar>
            <w:hideMark/>
          </w:tcPr>
          <w:p w14:paraId="61D98B32" w14:textId="77777777" w:rsidR="002519CB" w:rsidRPr="00567FB1" w:rsidRDefault="002519CB" w:rsidP="005A4AB2">
            <w:r w:rsidRPr="00567FB1">
              <w:rPr>
                <w:bCs/>
              </w:rPr>
              <w:t>F</w:t>
            </w:r>
          </w:p>
          <w:p w14:paraId="71BDF5B9" w14:textId="77777777" w:rsidR="002519CB" w:rsidRPr="00567FB1" w:rsidRDefault="002519CB" w:rsidP="005A4AB2">
            <w:r w:rsidRPr="00567FB1">
              <w:rPr>
                <w:bCs/>
              </w:rPr>
              <w:t> </w:t>
            </w:r>
          </w:p>
        </w:tc>
        <w:tc>
          <w:tcPr>
            <w:tcW w:w="1175" w:type="dxa"/>
            <w:tcBorders>
              <w:top w:val="single" w:sz="4" w:space="0" w:color="auto"/>
              <w:bottom w:val="single" w:sz="4" w:space="0" w:color="auto"/>
            </w:tcBorders>
            <w:tcMar>
              <w:top w:w="0" w:type="dxa"/>
              <w:left w:w="108" w:type="dxa"/>
              <w:bottom w:w="0" w:type="dxa"/>
              <w:right w:w="108" w:type="dxa"/>
            </w:tcMar>
            <w:hideMark/>
          </w:tcPr>
          <w:p w14:paraId="1F889E04" w14:textId="77777777" w:rsidR="002519CB" w:rsidRPr="00567FB1" w:rsidRDefault="002519CB" w:rsidP="005A4AB2">
            <w:r w:rsidRPr="00567FB1">
              <w:rPr>
                <w:bCs/>
              </w:rPr>
              <w:t>11</w:t>
            </w:r>
          </w:p>
        </w:tc>
        <w:tc>
          <w:tcPr>
            <w:tcW w:w="1174" w:type="dxa"/>
            <w:tcBorders>
              <w:top w:val="single" w:sz="4" w:space="0" w:color="auto"/>
              <w:bottom w:val="single" w:sz="4" w:space="0" w:color="auto"/>
            </w:tcBorders>
            <w:tcMar>
              <w:top w:w="0" w:type="dxa"/>
              <w:left w:w="108" w:type="dxa"/>
              <w:bottom w:w="0" w:type="dxa"/>
              <w:right w:w="108" w:type="dxa"/>
            </w:tcMar>
            <w:hideMark/>
          </w:tcPr>
          <w:p w14:paraId="5722B0D4" w14:textId="5A040591" w:rsidR="002519CB" w:rsidRPr="00567FB1" w:rsidRDefault="002519CB" w:rsidP="005A4AB2">
            <w:r w:rsidRPr="00567FB1">
              <w:rPr>
                <w:bCs/>
              </w:rPr>
              <w:t xml:space="preserve">2 </w:t>
            </w:r>
          </w:p>
        </w:tc>
        <w:tc>
          <w:tcPr>
            <w:tcW w:w="1175" w:type="dxa"/>
            <w:tcBorders>
              <w:top w:val="single" w:sz="4" w:space="0" w:color="auto"/>
              <w:bottom w:val="single" w:sz="4" w:space="0" w:color="auto"/>
            </w:tcBorders>
            <w:tcMar>
              <w:top w:w="0" w:type="dxa"/>
              <w:left w:w="108" w:type="dxa"/>
              <w:bottom w:w="0" w:type="dxa"/>
              <w:right w:w="108" w:type="dxa"/>
            </w:tcMar>
            <w:hideMark/>
          </w:tcPr>
          <w:p w14:paraId="68E6A9C0" w14:textId="77777777" w:rsidR="002519CB" w:rsidRPr="00567FB1" w:rsidRDefault="002519CB" w:rsidP="005A4AB2">
            <w:r w:rsidRPr="00567FB1">
              <w:rPr>
                <w:bCs/>
              </w:rPr>
              <w:t>9</w:t>
            </w:r>
          </w:p>
        </w:tc>
        <w:tc>
          <w:tcPr>
            <w:tcW w:w="1175" w:type="dxa"/>
            <w:tcBorders>
              <w:top w:val="single" w:sz="4" w:space="0" w:color="auto"/>
              <w:bottom w:val="single" w:sz="4" w:space="0" w:color="auto"/>
            </w:tcBorders>
            <w:tcMar>
              <w:top w:w="0" w:type="dxa"/>
              <w:left w:w="108" w:type="dxa"/>
              <w:bottom w:w="0" w:type="dxa"/>
              <w:right w:w="108" w:type="dxa"/>
            </w:tcMar>
            <w:hideMark/>
          </w:tcPr>
          <w:p w14:paraId="6B75E492" w14:textId="77777777" w:rsidR="002519CB" w:rsidRPr="00567FB1" w:rsidRDefault="002519CB" w:rsidP="005A4AB2">
            <w:r w:rsidRPr="00567FB1">
              <w:rPr>
                <w:bCs/>
              </w:rPr>
              <w:t>10</w:t>
            </w:r>
          </w:p>
        </w:tc>
        <w:tc>
          <w:tcPr>
            <w:tcW w:w="1175" w:type="dxa"/>
            <w:tcBorders>
              <w:top w:val="single" w:sz="4" w:space="0" w:color="auto"/>
              <w:bottom w:val="single" w:sz="4" w:space="0" w:color="auto"/>
            </w:tcBorders>
          </w:tcPr>
          <w:p w14:paraId="24CE96AC" w14:textId="77777777" w:rsidR="002519CB" w:rsidRPr="00567FB1" w:rsidRDefault="002519CB" w:rsidP="005A4AB2">
            <w:pPr>
              <w:rPr>
                <w:bCs/>
              </w:rPr>
            </w:pPr>
            <w:r w:rsidRPr="00567FB1">
              <w:rPr>
                <w:bCs/>
              </w:rPr>
              <w:t>90%</w:t>
            </w:r>
          </w:p>
        </w:tc>
      </w:tr>
      <w:tr w:rsidR="002519CB" w:rsidRPr="00AE0A5E" w14:paraId="372DB385" w14:textId="77777777" w:rsidTr="00CB0C11">
        <w:trPr>
          <w:trHeight w:val="1018"/>
          <w:jc w:val="center"/>
        </w:trPr>
        <w:tc>
          <w:tcPr>
            <w:tcW w:w="1174" w:type="dxa"/>
            <w:tcBorders>
              <w:top w:val="single" w:sz="4" w:space="0" w:color="auto"/>
              <w:bottom w:val="single" w:sz="4" w:space="0" w:color="auto"/>
            </w:tcBorders>
            <w:tcMar>
              <w:top w:w="0" w:type="dxa"/>
              <w:left w:w="108" w:type="dxa"/>
              <w:bottom w:w="0" w:type="dxa"/>
              <w:right w:w="108" w:type="dxa"/>
            </w:tcMar>
          </w:tcPr>
          <w:p w14:paraId="06FBBD0A" w14:textId="610AF87D" w:rsidR="002519CB" w:rsidRPr="00567FB1" w:rsidRDefault="002519CB" w:rsidP="005A4AB2">
            <w:pPr>
              <w:rPr>
                <w:bCs/>
              </w:rPr>
            </w:pPr>
            <w:r w:rsidRPr="00567FB1">
              <w:rPr>
                <w:bCs/>
              </w:rPr>
              <w:t>G</w:t>
            </w:r>
            <w:r w:rsidR="00D8025E">
              <w:rPr>
                <w:bCs/>
              </w:rPr>
              <w:t>*</w:t>
            </w:r>
          </w:p>
          <w:p w14:paraId="028FCCFA" w14:textId="77777777" w:rsidR="002519CB" w:rsidRPr="00567FB1" w:rsidRDefault="002519CB" w:rsidP="005A4AB2">
            <w:pPr>
              <w:rPr>
                <w:bCs/>
              </w:rPr>
            </w:pPr>
            <w:r w:rsidRPr="00567FB1">
              <w:rPr>
                <w:bCs/>
              </w:rPr>
              <w:t> </w:t>
            </w:r>
          </w:p>
        </w:tc>
        <w:tc>
          <w:tcPr>
            <w:tcW w:w="1175" w:type="dxa"/>
            <w:tcBorders>
              <w:top w:val="single" w:sz="4" w:space="0" w:color="auto"/>
              <w:bottom w:val="single" w:sz="4" w:space="0" w:color="auto"/>
            </w:tcBorders>
            <w:tcMar>
              <w:top w:w="0" w:type="dxa"/>
              <w:left w:w="108" w:type="dxa"/>
              <w:bottom w:w="0" w:type="dxa"/>
              <w:right w:w="108" w:type="dxa"/>
            </w:tcMar>
          </w:tcPr>
          <w:p w14:paraId="61B749F7" w14:textId="77777777" w:rsidR="002519CB" w:rsidRPr="00567FB1" w:rsidRDefault="002519CB" w:rsidP="005A4AB2">
            <w:pPr>
              <w:rPr>
                <w:bCs/>
              </w:rPr>
            </w:pPr>
            <w:r w:rsidRPr="00567FB1">
              <w:rPr>
                <w:bCs/>
              </w:rPr>
              <w:t>6</w:t>
            </w:r>
          </w:p>
        </w:tc>
        <w:tc>
          <w:tcPr>
            <w:tcW w:w="1174" w:type="dxa"/>
            <w:tcBorders>
              <w:top w:val="single" w:sz="4" w:space="0" w:color="auto"/>
              <w:bottom w:val="single" w:sz="4" w:space="0" w:color="auto"/>
            </w:tcBorders>
            <w:tcMar>
              <w:top w:w="0" w:type="dxa"/>
              <w:left w:w="108" w:type="dxa"/>
              <w:bottom w:w="0" w:type="dxa"/>
              <w:right w:w="108" w:type="dxa"/>
            </w:tcMar>
          </w:tcPr>
          <w:p w14:paraId="4F9D7CF2" w14:textId="67567B77" w:rsidR="002519CB" w:rsidRPr="00567FB1" w:rsidRDefault="002519CB" w:rsidP="005A4AB2">
            <w:pPr>
              <w:rPr>
                <w:bCs/>
              </w:rPr>
            </w:pPr>
            <w:r w:rsidRPr="00567FB1">
              <w:rPr>
                <w:bCs/>
              </w:rPr>
              <w:t xml:space="preserve">0 </w:t>
            </w:r>
          </w:p>
        </w:tc>
        <w:tc>
          <w:tcPr>
            <w:tcW w:w="1175" w:type="dxa"/>
            <w:tcBorders>
              <w:top w:val="single" w:sz="4" w:space="0" w:color="auto"/>
              <w:bottom w:val="single" w:sz="4" w:space="0" w:color="auto"/>
            </w:tcBorders>
            <w:tcMar>
              <w:top w:w="0" w:type="dxa"/>
              <w:left w:w="108" w:type="dxa"/>
              <w:bottom w:w="0" w:type="dxa"/>
              <w:right w:w="108" w:type="dxa"/>
            </w:tcMar>
          </w:tcPr>
          <w:p w14:paraId="67CF3630" w14:textId="77777777" w:rsidR="002519CB" w:rsidRPr="00567FB1" w:rsidRDefault="002519CB" w:rsidP="005A4AB2">
            <w:pPr>
              <w:rPr>
                <w:bCs/>
              </w:rPr>
            </w:pPr>
            <w:r w:rsidRPr="00567FB1">
              <w:rPr>
                <w:bCs/>
              </w:rPr>
              <w:t>6</w:t>
            </w:r>
          </w:p>
        </w:tc>
        <w:tc>
          <w:tcPr>
            <w:tcW w:w="1175" w:type="dxa"/>
            <w:tcBorders>
              <w:top w:val="single" w:sz="4" w:space="0" w:color="auto"/>
              <w:bottom w:val="single" w:sz="4" w:space="0" w:color="auto"/>
            </w:tcBorders>
            <w:tcMar>
              <w:top w:w="0" w:type="dxa"/>
              <w:left w:w="108" w:type="dxa"/>
              <w:bottom w:w="0" w:type="dxa"/>
              <w:right w:w="108" w:type="dxa"/>
            </w:tcMar>
          </w:tcPr>
          <w:p w14:paraId="36F77C43" w14:textId="77777777" w:rsidR="002519CB" w:rsidRPr="00567FB1" w:rsidRDefault="002519CB" w:rsidP="005A4AB2">
            <w:pPr>
              <w:rPr>
                <w:bCs/>
              </w:rPr>
            </w:pPr>
            <w:r w:rsidRPr="00567FB1">
              <w:rPr>
                <w:bCs/>
              </w:rPr>
              <w:t>8</w:t>
            </w:r>
          </w:p>
        </w:tc>
        <w:tc>
          <w:tcPr>
            <w:tcW w:w="1175" w:type="dxa"/>
            <w:tcBorders>
              <w:top w:val="single" w:sz="4" w:space="0" w:color="auto"/>
              <w:bottom w:val="single" w:sz="4" w:space="0" w:color="auto"/>
            </w:tcBorders>
          </w:tcPr>
          <w:p w14:paraId="4F66D607" w14:textId="77777777" w:rsidR="002519CB" w:rsidRPr="00567FB1" w:rsidRDefault="002519CB" w:rsidP="005A4AB2">
            <w:pPr>
              <w:rPr>
                <w:bCs/>
              </w:rPr>
            </w:pPr>
            <w:r w:rsidRPr="00567FB1">
              <w:rPr>
                <w:bCs/>
              </w:rPr>
              <w:t>75%</w:t>
            </w:r>
          </w:p>
        </w:tc>
      </w:tr>
      <w:tr w:rsidR="002519CB" w:rsidRPr="00AE0A5E" w14:paraId="30D8437F" w14:textId="77777777" w:rsidTr="00CB0C11">
        <w:trPr>
          <w:trHeight w:val="1018"/>
          <w:jc w:val="center"/>
        </w:trPr>
        <w:tc>
          <w:tcPr>
            <w:tcW w:w="1174" w:type="dxa"/>
            <w:tcBorders>
              <w:top w:val="single" w:sz="4" w:space="0" w:color="auto"/>
              <w:bottom w:val="single" w:sz="4" w:space="0" w:color="auto"/>
            </w:tcBorders>
            <w:tcMar>
              <w:top w:w="0" w:type="dxa"/>
              <w:left w:w="108" w:type="dxa"/>
              <w:bottom w:w="0" w:type="dxa"/>
              <w:right w:w="108" w:type="dxa"/>
            </w:tcMar>
            <w:hideMark/>
          </w:tcPr>
          <w:p w14:paraId="6F4CBB26" w14:textId="77777777" w:rsidR="002519CB" w:rsidRPr="00AE0A5E" w:rsidRDefault="002519CB" w:rsidP="005A4AB2">
            <w:r>
              <w:rPr>
                <w:b/>
                <w:bCs/>
              </w:rPr>
              <w:t>Total</w:t>
            </w:r>
          </w:p>
        </w:tc>
        <w:tc>
          <w:tcPr>
            <w:tcW w:w="1175" w:type="dxa"/>
            <w:tcBorders>
              <w:top w:val="single" w:sz="4" w:space="0" w:color="auto"/>
              <w:bottom w:val="single" w:sz="4" w:space="0" w:color="auto"/>
            </w:tcBorders>
            <w:tcMar>
              <w:top w:w="0" w:type="dxa"/>
              <w:left w:w="108" w:type="dxa"/>
              <w:bottom w:w="0" w:type="dxa"/>
              <w:right w:w="108" w:type="dxa"/>
            </w:tcMar>
            <w:hideMark/>
          </w:tcPr>
          <w:p w14:paraId="6DB485BB" w14:textId="77777777" w:rsidR="002519CB" w:rsidRPr="00ED1B01" w:rsidRDefault="002519CB" w:rsidP="005A4AB2">
            <w:pPr>
              <w:rPr>
                <w:b/>
              </w:rPr>
            </w:pPr>
            <w:r w:rsidRPr="00ED1B01">
              <w:rPr>
                <w:b/>
              </w:rPr>
              <w:t>121</w:t>
            </w:r>
          </w:p>
        </w:tc>
        <w:tc>
          <w:tcPr>
            <w:tcW w:w="1174" w:type="dxa"/>
            <w:tcBorders>
              <w:top w:val="single" w:sz="4" w:space="0" w:color="auto"/>
              <w:bottom w:val="single" w:sz="4" w:space="0" w:color="auto"/>
            </w:tcBorders>
            <w:tcMar>
              <w:top w:w="0" w:type="dxa"/>
              <w:left w:w="108" w:type="dxa"/>
              <w:bottom w:w="0" w:type="dxa"/>
              <w:right w:w="108" w:type="dxa"/>
            </w:tcMar>
            <w:hideMark/>
          </w:tcPr>
          <w:p w14:paraId="417B4A8C" w14:textId="77777777" w:rsidR="002519CB" w:rsidRPr="00ED1B01" w:rsidRDefault="002519CB" w:rsidP="005A4AB2">
            <w:pPr>
              <w:rPr>
                <w:b/>
              </w:rPr>
            </w:pPr>
            <w:r w:rsidRPr="00ED1B01">
              <w:rPr>
                <w:b/>
              </w:rPr>
              <w:t>10</w:t>
            </w:r>
          </w:p>
        </w:tc>
        <w:tc>
          <w:tcPr>
            <w:tcW w:w="1175" w:type="dxa"/>
            <w:tcBorders>
              <w:top w:val="single" w:sz="4" w:space="0" w:color="auto"/>
              <w:bottom w:val="single" w:sz="4" w:space="0" w:color="auto"/>
            </w:tcBorders>
            <w:tcMar>
              <w:top w:w="0" w:type="dxa"/>
              <w:left w:w="108" w:type="dxa"/>
              <w:bottom w:w="0" w:type="dxa"/>
              <w:right w:w="108" w:type="dxa"/>
            </w:tcMar>
            <w:hideMark/>
          </w:tcPr>
          <w:p w14:paraId="31E7C131" w14:textId="77777777" w:rsidR="002519CB" w:rsidRPr="00ED1B01" w:rsidRDefault="002519CB" w:rsidP="005A4AB2">
            <w:pPr>
              <w:rPr>
                <w:b/>
              </w:rPr>
            </w:pPr>
            <w:r w:rsidRPr="00ED1B01">
              <w:rPr>
                <w:b/>
              </w:rPr>
              <w:t>111</w:t>
            </w:r>
          </w:p>
        </w:tc>
        <w:tc>
          <w:tcPr>
            <w:tcW w:w="1175" w:type="dxa"/>
            <w:tcBorders>
              <w:top w:val="single" w:sz="4" w:space="0" w:color="auto"/>
              <w:bottom w:val="single" w:sz="4" w:space="0" w:color="auto"/>
            </w:tcBorders>
            <w:tcMar>
              <w:top w:w="0" w:type="dxa"/>
              <w:left w:w="108" w:type="dxa"/>
              <w:bottom w:w="0" w:type="dxa"/>
              <w:right w:w="108" w:type="dxa"/>
            </w:tcMar>
            <w:hideMark/>
          </w:tcPr>
          <w:p w14:paraId="33B40F1C" w14:textId="77777777" w:rsidR="002519CB" w:rsidRPr="00AE0A5E" w:rsidRDefault="002519CB" w:rsidP="005A4AB2">
            <w:r>
              <w:rPr>
                <w:b/>
                <w:bCs/>
              </w:rPr>
              <w:t>108</w:t>
            </w:r>
          </w:p>
        </w:tc>
        <w:tc>
          <w:tcPr>
            <w:tcW w:w="1175" w:type="dxa"/>
            <w:tcBorders>
              <w:top w:val="single" w:sz="4" w:space="0" w:color="auto"/>
              <w:bottom w:val="single" w:sz="4" w:space="0" w:color="auto"/>
            </w:tcBorders>
          </w:tcPr>
          <w:p w14:paraId="1DB4817C" w14:textId="29518A52" w:rsidR="002519CB" w:rsidRPr="00ED1B01" w:rsidRDefault="002519CB" w:rsidP="005A4AB2">
            <w:pPr>
              <w:rPr>
                <w:b/>
                <w:bCs/>
                <w:highlight w:val="yellow"/>
              </w:rPr>
            </w:pPr>
            <w:r w:rsidRPr="00567FB1">
              <w:rPr>
                <w:b/>
                <w:bCs/>
                <w:color w:val="000000" w:themeColor="text1"/>
              </w:rPr>
              <w:t>103%</w:t>
            </w:r>
          </w:p>
        </w:tc>
      </w:tr>
    </w:tbl>
    <w:p w14:paraId="6FDF00C4" w14:textId="241AD273" w:rsidR="005A4AB2" w:rsidRDefault="005A4AB2" w:rsidP="00567FB1">
      <w:r w:rsidRPr="005A4AB2">
        <w:rPr>
          <w:b/>
        </w:rPr>
        <w:t xml:space="preserve">Table </w:t>
      </w:r>
      <w:r w:rsidR="00E9503A">
        <w:rPr>
          <w:b/>
        </w:rPr>
        <w:t>2</w:t>
      </w:r>
      <w:r>
        <w:t xml:space="preserve">: </w:t>
      </w:r>
      <w:r w:rsidRPr="005A4AB2">
        <w:rPr>
          <w:bCs/>
          <w:i/>
        </w:rPr>
        <w:t>Recruitment per trial-site</w:t>
      </w:r>
      <w:r w:rsidR="00D8025E">
        <w:rPr>
          <w:bCs/>
          <w:i/>
        </w:rPr>
        <w:t xml:space="preserve"> </w:t>
      </w:r>
      <w:r w:rsidR="00D8025E" w:rsidRPr="00B46F89">
        <w:rPr>
          <w:bCs/>
        </w:rPr>
        <w:t>*Site G</w:t>
      </w:r>
      <w:r w:rsidR="00D8025E">
        <w:rPr>
          <w:bCs/>
        </w:rPr>
        <w:t xml:space="preserve"> was added after the initial planning period, see safeguard ‘networking’ below</w:t>
      </w:r>
    </w:p>
    <w:p w14:paraId="215BD84D" w14:textId="77777777" w:rsidR="00567FB1" w:rsidRDefault="00567FB1" w:rsidP="00D27E6B"/>
    <w:p w14:paraId="4C78B1A0" w14:textId="3DBD09E9" w:rsidR="00D27E6B" w:rsidRDefault="00D27E6B" w:rsidP="00D27E6B">
      <w:r>
        <w:rPr>
          <w:i/>
          <w:noProof/>
          <w:u w:val="single"/>
          <w:lang w:eastAsia="en-GB"/>
        </w:rPr>
        <w:t>Safeguard 3</w:t>
      </w:r>
      <w:r w:rsidRPr="00F62381">
        <w:rPr>
          <w:i/>
          <w:noProof/>
          <w:lang w:eastAsia="en-GB"/>
        </w:rPr>
        <w:t xml:space="preserve"> Refusal audit</w:t>
      </w:r>
      <w:r w:rsidRPr="00F62381">
        <w:rPr>
          <w:noProof/>
          <w:lang w:eastAsia="en-GB"/>
        </w:rPr>
        <w:t>:</w:t>
      </w:r>
      <w:r>
        <w:rPr>
          <w:noProof/>
          <w:lang w:eastAsia="en-GB"/>
        </w:rPr>
        <w:t xml:space="preserve">  </w:t>
      </w:r>
      <w:r w:rsidRPr="00625FB4">
        <w:t xml:space="preserve">Based </w:t>
      </w:r>
      <w:r>
        <w:t>on experience</w:t>
      </w:r>
      <w:r w:rsidRPr="00625FB4">
        <w:t xml:space="preserve"> in </w:t>
      </w:r>
      <w:r>
        <w:t>the preliminary trial</w:t>
      </w:r>
      <w:r w:rsidR="0071319C" w:rsidRPr="0071319C">
        <w:rPr>
          <w:vertAlign w:val="superscript"/>
        </w:rPr>
        <w:t>13</w:t>
      </w:r>
      <w:r>
        <w:t xml:space="preserve"> </w:t>
      </w:r>
      <w:r w:rsidRPr="00625FB4">
        <w:t>we estimated that 55% of otherwise</w:t>
      </w:r>
      <w:r w:rsidR="00B175F5">
        <w:t xml:space="preserve"> seemingly</w:t>
      </w:r>
      <w:r w:rsidRPr="00625FB4">
        <w:t xml:space="preserve"> </w:t>
      </w:r>
      <w:r w:rsidR="00023EE7">
        <w:t>eligible</w:t>
      </w:r>
      <w:r w:rsidR="00023EE7" w:rsidRPr="00625FB4">
        <w:t xml:space="preserve"> </w:t>
      </w:r>
      <w:r w:rsidRPr="00625FB4">
        <w:t xml:space="preserve">patients </w:t>
      </w:r>
      <w:r>
        <w:t>would refuse participation</w:t>
      </w:r>
      <w:r w:rsidRPr="00625FB4">
        <w:t xml:space="preserve">. </w:t>
      </w:r>
    </w:p>
    <w:p w14:paraId="4D432310" w14:textId="18320704" w:rsidR="00D27E6B" w:rsidRDefault="00D27E6B" w:rsidP="00D27E6B">
      <w:r>
        <w:t>To confirm the validity of this estimate we</w:t>
      </w:r>
      <w:r w:rsidRPr="00625FB4">
        <w:t xml:space="preserve"> contacted patients in two </w:t>
      </w:r>
      <w:r>
        <w:t xml:space="preserve">prospective study </w:t>
      </w:r>
      <w:r w:rsidRPr="00625FB4">
        <w:t xml:space="preserve">centres, </w:t>
      </w:r>
      <w:r w:rsidR="004C7F48">
        <w:t>A</w:t>
      </w:r>
      <w:r w:rsidRPr="00625FB4">
        <w:t xml:space="preserve"> (n=</w:t>
      </w:r>
      <w:r>
        <w:t>6</w:t>
      </w:r>
      <w:r w:rsidRPr="00625FB4">
        <w:t xml:space="preserve">) and </w:t>
      </w:r>
      <w:r w:rsidR="004C7F48">
        <w:t>D</w:t>
      </w:r>
      <w:r w:rsidRPr="00625FB4">
        <w:t xml:space="preserve"> (n=10).  The respective ethics committees had confirmed that no ethics application would be required for this process and the respective R&amp;D department</w:t>
      </w:r>
      <w:r w:rsidR="00B175F5">
        <w:t>s</w:t>
      </w:r>
      <w:r w:rsidRPr="00625FB4">
        <w:t xml:space="preserve"> approved this </w:t>
      </w:r>
      <w:r w:rsidR="00843F05">
        <w:t>approach</w:t>
      </w:r>
      <w:r w:rsidRPr="00625FB4">
        <w:t>.  We provided these 16 patients with an abbreviated description of the study in lay language and asked, using a questionnaire</w:t>
      </w:r>
      <w:r>
        <w:t>,</w:t>
      </w:r>
      <w:r w:rsidRPr="00625FB4">
        <w:t xml:space="preserve"> whether they would be interested to participate if they were </w:t>
      </w:r>
      <w:r w:rsidRPr="00625FB4">
        <w:lastRenderedPageBreak/>
        <w:t xml:space="preserve">approached in the future. </w:t>
      </w:r>
      <w:r>
        <w:t>W</w:t>
      </w:r>
      <w:r w:rsidRPr="00625FB4">
        <w:t xml:space="preserve">e encouraged return of questionnaires </w:t>
      </w:r>
      <w:r>
        <w:t>by</w:t>
      </w:r>
      <w:r w:rsidRPr="00625FB4">
        <w:t xml:space="preserve"> post, </w:t>
      </w:r>
      <w:proofErr w:type="gramStart"/>
      <w:r w:rsidRPr="00625FB4">
        <w:t>and also</w:t>
      </w:r>
      <w:proofErr w:type="gramEnd"/>
      <w:r w:rsidRPr="00625FB4">
        <w:t xml:space="preserve"> contacted patients over the phone if there was no response</w:t>
      </w:r>
      <w:r>
        <w:t xml:space="preserve">. </w:t>
      </w:r>
    </w:p>
    <w:p w14:paraId="689518B6" w14:textId="06D2F069" w:rsidR="003B64CD" w:rsidRDefault="00D27E6B" w:rsidP="003B64CD">
      <w:r>
        <w:t>The response</w:t>
      </w:r>
      <w:r w:rsidRPr="00625FB4">
        <w:t xml:space="preserve"> was n=4 </w:t>
      </w:r>
      <w:r>
        <w:t>at site A</w:t>
      </w:r>
      <w:r w:rsidRPr="00625FB4">
        <w:t xml:space="preserve"> (66%), n=9 </w:t>
      </w:r>
      <w:r>
        <w:t>at site D</w:t>
      </w:r>
      <w:r w:rsidRPr="00625FB4">
        <w:t xml:space="preserve"> (90%). In an actual trial our experience is that virtually all patients can be reached, but this was not possible due to time </w:t>
      </w:r>
      <w:r w:rsidR="00843F05">
        <w:t>limitations</w:t>
      </w:r>
      <w:r w:rsidRPr="00625FB4">
        <w:t xml:space="preserve"> in this </w:t>
      </w:r>
      <w:r>
        <w:t>audit</w:t>
      </w:r>
      <w:r w:rsidRPr="00625FB4">
        <w:t xml:space="preserve">. Of the responding patients, 50% </w:t>
      </w:r>
      <w:r>
        <w:t>at Site A</w:t>
      </w:r>
      <w:r w:rsidRPr="00625FB4">
        <w:t xml:space="preserve"> (n=2), and 78% </w:t>
      </w:r>
      <w:r>
        <w:t>at Site D</w:t>
      </w:r>
      <w:r w:rsidRPr="00625FB4">
        <w:t xml:space="preserve"> (n=7) indicated that they would participate if such trial </w:t>
      </w:r>
      <w:r w:rsidR="000406FB">
        <w:t>were to be</w:t>
      </w:r>
      <w:r w:rsidRPr="00625FB4">
        <w:t xml:space="preserve"> offered. The reasons for refusal were prohibitive travelling potentially increasing limb pain (n=2), concern about IVIG being a blood product (n=1), and concern that the study drug won’t be available after study completion (n=1)</w:t>
      </w:r>
      <w:r w:rsidR="006C21B4">
        <w:t>; with regards to the latter several patients mentioned</w:t>
      </w:r>
      <w:r w:rsidR="000406FB">
        <w:t>,</w:t>
      </w:r>
      <w:r w:rsidR="006C21B4">
        <w:t xml:space="preserve"> however, that their </w:t>
      </w:r>
      <w:r w:rsidR="006C21B4" w:rsidRPr="006C21B4">
        <w:rPr>
          <w:i/>
        </w:rPr>
        <w:t>positive</w:t>
      </w:r>
      <w:r w:rsidR="006C21B4">
        <w:t xml:space="preserve"> indication for participation (</w:t>
      </w:r>
      <w:proofErr w:type="spellStart"/>
      <w:r w:rsidR="006C21B4">
        <w:t>i.e</w:t>
      </w:r>
      <w:proofErr w:type="spellEnd"/>
      <w:r w:rsidR="006C21B4">
        <w:t xml:space="preserve"> </w:t>
      </w:r>
      <w:r w:rsidR="000406FB">
        <w:t xml:space="preserve">their </w:t>
      </w:r>
      <w:r w:rsidR="006C21B4">
        <w:t xml:space="preserve">non-refusal) was, in part influenced by the fact that </w:t>
      </w:r>
      <w:r w:rsidR="000406FB">
        <w:t>our</w:t>
      </w:r>
      <w:r w:rsidR="006C21B4">
        <w:t xml:space="preserve"> </w:t>
      </w:r>
      <w:r w:rsidR="000406FB">
        <w:t xml:space="preserve">study </w:t>
      </w:r>
      <w:r w:rsidR="006C21B4">
        <w:t>design would allow them to tr</w:t>
      </w:r>
      <w:r w:rsidR="000406FB">
        <w:t>y</w:t>
      </w:r>
      <w:r w:rsidR="006C21B4">
        <w:t xml:space="preserve"> the active drug in the </w:t>
      </w:r>
      <w:r w:rsidR="000406FB">
        <w:t xml:space="preserve">trial </w:t>
      </w:r>
      <w:r w:rsidR="006C21B4">
        <w:t xml:space="preserve">extension phase. </w:t>
      </w:r>
      <w:r w:rsidRPr="00625FB4">
        <w:t xml:space="preserve"> We thus consider</w:t>
      </w:r>
      <w:r>
        <w:t>ed</w:t>
      </w:r>
      <w:r w:rsidRPr="00625FB4">
        <w:t xml:space="preserve"> that</w:t>
      </w:r>
      <w:r w:rsidR="004C7F48">
        <w:t xml:space="preserve"> </w:t>
      </w:r>
      <w:r w:rsidR="006C21B4">
        <w:t xml:space="preserve">the </w:t>
      </w:r>
      <w:r w:rsidR="000406FB">
        <w:t>estimated proportion of</w:t>
      </w:r>
      <w:r w:rsidRPr="00625FB4">
        <w:t xml:space="preserve"> 55% refusing patients </w:t>
      </w:r>
      <w:r>
        <w:t>was</w:t>
      </w:r>
      <w:r w:rsidRPr="00625FB4">
        <w:t xml:space="preserve"> valid</w:t>
      </w:r>
      <w:r>
        <w:t>.</w:t>
      </w:r>
      <w:r w:rsidR="003B64CD" w:rsidRPr="003B64CD">
        <w:t xml:space="preserve"> </w:t>
      </w:r>
      <w:r w:rsidR="003B64CD">
        <w:t xml:space="preserve">*** </w:t>
      </w:r>
    </w:p>
    <w:p w14:paraId="63BF4BBE" w14:textId="6BBA59E2" w:rsidR="003B64CD" w:rsidRDefault="00B27C4B" w:rsidP="005A4AB2">
      <w:r w:rsidRPr="005F15A3">
        <w:t>The refusal audit also highlighted the importance of choosing the most appropriate patient approach method: while at Site A the patient approach had been conducted by a Research Nurse with minimal background knowledge about CRPS, at Site D the approach was made by a Doctor with expertise in CRPS. Upon commencing the trial all study team members who approached patients received in-depth study specific training which may have contributed to the relatively low screen fail numbers at all sites (Table 2).</w:t>
      </w:r>
      <w:r w:rsidR="003B64CD">
        <w:t xml:space="preserve">An alternative interpretation of the low screen-fail data is that the inclusion criteria for the trial were sufficiently broad, which would in turn support good generalisability of the results.  </w:t>
      </w:r>
    </w:p>
    <w:p w14:paraId="686BDF3A" w14:textId="19935EAD" w:rsidR="00D27E6B" w:rsidRDefault="00D27E6B">
      <w:pPr>
        <w:rPr>
          <w:noProof/>
          <w:lang w:eastAsia="en-GB"/>
        </w:rPr>
      </w:pPr>
      <w:r>
        <w:rPr>
          <w:i/>
          <w:noProof/>
          <w:u w:val="single"/>
          <w:lang w:eastAsia="en-GB"/>
        </w:rPr>
        <w:t>Safeguard 4</w:t>
      </w:r>
      <w:r>
        <w:rPr>
          <w:i/>
          <w:noProof/>
          <w:lang w:eastAsia="en-GB"/>
        </w:rPr>
        <w:t xml:space="preserve"> Balanced recruitment period</w:t>
      </w:r>
      <w:r w:rsidRPr="00F62381">
        <w:rPr>
          <w:noProof/>
          <w:lang w:eastAsia="en-GB"/>
        </w:rPr>
        <w:t>:</w:t>
      </w:r>
      <w:r>
        <w:rPr>
          <w:noProof/>
          <w:lang w:eastAsia="en-GB"/>
        </w:rPr>
        <w:t xml:space="preserve"> The statistical </w:t>
      </w:r>
      <w:r w:rsidR="00C35288">
        <w:rPr>
          <w:noProof/>
          <w:lang w:eastAsia="en-GB"/>
        </w:rPr>
        <w:t xml:space="preserve">sample size calculation </w:t>
      </w:r>
      <w:r>
        <w:rPr>
          <w:noProof/>
          <w:lang w:eastAsia="en-GB"/>
        </w:rPr>
        <w:t xml:space="preserve">indicated that 108 patients would be required to achieve </w:t>
      </w:r>
      <w:r w:rsidR="00C35288">
        <w:rPr>
          <w:noProof/>
          <w:lang w:eastAsia="en-GB"/>
        </w:rPr>
        <w:t>90% power to detect a clinically important difference in pain score of 1.2 points at the 5% significance level</w:t>
      </w:r>
      <w:r w:rsidR="00DE02CD" w:rsidRPr="00DE02CD">
        <w:rPr>
          <w:noProof/>
          <w:vertAlign w:val="superscript"/>
          <w:lang w:eastAsia="en-GB"/>
        </w:rPr>
        <w:t>12</w:t>
      </w:r>
      <w:r w:rsidR="00C35288">
        <w:rPr>
          <w:noProof/>
          <w:lang w:eastAsia="en-GB"/>
        </w:rPr>
        <w:t xml:space="preserve">. From this, </w:t>
      </w:r>
      <w:r>
        <w:rPr>
          <w:noProof/>
          <w:lang w:eastAsia="en-GB"/>
        </w:rPr>
        <w:t xml:space="preserve">we determined a recruitment period of 36 months </w:t>
      </w:r>
      <w:r w:rsidR="00211002">
        <w:rPr>
          <w:noProof/>
          <w:lang w:eastAsia="en-GB"/>
        </w:rPr>
        <w:t>taking into account data from preliminary audits described above</w:t>
      </w:r>
      <w:r w:rsidR="003B64CD">
        <w:rPr>
          <w:noProof/>
          <w:lang w:eastAsia="en-GB"/>
        </w:rPr>
        <w:t xml:space="preserve"> and striking a</w:t>
      </w:r>
      <w:r>
        <w:rPr>
          <w:noProof/>
          <w:lang w:eastAsia="en-GB"/>
        </w:rPr>
        <w:t xml:space="preserve"> balance between </w:t>
      </w:r>
      <w:r w:rsidR="003B64CD">
        <w:rPr>
          <w:noProof/>
          <w:lang w:eastAsia="en-GB"/>
        </w:rPr>
        <w:t xml:space="preserve">i) </w:t>
      </w:r>
      <w:r>
        <w:rPr>
          <w:noProof/>
          <w:lang w:eastAsia="en-GB"/>
        </w:rPr>
        <w:t>the risk that alternative treatment strategies might emerge</w:t>
      </w:r>
      <w:r w:rsidR="00211002">
        <w:rPr>
          <w:noProof/>
          <w:lang w:eastAsia="en-GB"/>
        </w:rPr>
        <w:t xml:space="preserve"> during </w:t>
      </w:r>
      <w:r w:rsidR="003B64CD">
        <w:rPr>
          <w:noProof/>
          <w:lang w:eastAsia="en-GB"/>
        </w:rPr>
        <w:t>the</w:t>
      </w:r>
      <w:r w:rsidR="00211002">
        <w:rPr>
          <w:noProof/>
          <w:lang w:eastAsia="en-GB"/>
        </w:rPr>
        <w:t xml:space="preserve"> trial </w:t>
      </w:r>
      <w:r>
        <w:rPr>
          <w:noProof/>
          <w:lang w:eastAsia="en-GB"/>
        </w:rPr>
        <w:t>potentially threatening recruitment</w:t>
      </w:r>
      <w:r w:rsidR="00D8025E">
        <w:rPr>
          <w:noProof/>
          <w:lang w:eastAsia="en-GB"/>
        </w:rPr>
        <w:t xml:space="preserve"> -</w:t>
      </w:r>
      <w:r w:rsidR="003B64CD">
        <w:rPr>
          <w:noProof/>
          <w:lang w:eastAsia="en-GB"/>
        </w:rPr>
        <w:t xml:space="preserve"> </w:t>
      </w:r>
      <w:r w:rsidR="00211002">
        <w:rPr>
          <w:noProof/>
          <w:lang w:eastAsia="en-GB"/>
        </w:rPr>
        <w:t xml:space="preserve">and </w:t>
      </w:r>
      <w:r w:rsidR="00D8025E">
        <w:rPr>
          <w:noProof/>
          <w:lang w:eastAsia="en-GB"/>
        </w:rPr>
        <w:t xml:space="preserve">increased </w:t>
      </w:r>
      <w:r>
        <w:rPr>
          <w:noProof/>
          <w:lang w:eastAsia="en-GB"/>
        </w:rPr>
        <w:t xml:space="preserve">trial costs with a longer duration, and </w:t>
      </w:r>
      <w:r w:rsidR="003B64CD">
        <w:rPr>
          <w:noProof/>
          <w:lang w:eastAsia="en-GB"/>
        </w:rPr>
        <w:t xml:space="preserve">ii) </w:t>
      </w:r>
      <w:r>
        <w:rPr>
          <w:noProof/>
          <w:lang w:eastAsia="en-GB"/>
        </w:rPr>
        <w:t xml:space="preserve">the limit posed to </w:t>
      </w:r>
      <w:r w:rsidR="00211002">
        <w:rPr>
          <w:noProof/>
          <w:lang w:eastAsia="en-GB"/>
        </w:rPr>
        <w:t xml:space="preserve">the </w:t>
      </w:r>
      <w:r>
        <w:rPr>
          <w:noProof/>
          <w:lang w:eastAsia="en-GB"/>
        </w:rPr>
        <w:t xml:space="preserve">recruitment </w:t>
      </w:r>
      <w:r w:rsidR="00211002">
        <w:rPr>
          <w:noProof/>
          <w:lang w:eastAsia="en-GB"/>
        </w:rPr>
        <w:t xml:space="preserve">rate </w:t>
      </w:r>
      <w:r>
        <w:rPr>
          <w:noProof/>
          <w:lang w:eastAsia="en-GB"/>
        </w:rPr>
        <w:t xml:space="preserve">for this rare condition. We calculated a target </w:t>
      </w:r>
      <w:r w:rsidR="00E86B6B">
        <w:rPr>
          <w:noProof/>
          <w:lang w:eastAsia="en-GB"/>
        </w:rPr>
        <w:t>recruitment</w:t>
      </w:r>
      <w:r>
        <w:rPr>
          <w:noProof/>
          <w:lang w:eastAsia="en-GB"/>
        </w:rPr>
        <w:t xml:space="preserve"> rate of 108/36=3 patients per month (18 patients per half year).**</w:t>
      </w:r>
    </w:p>
    <w:p w14:paraId="07EF7D06" w14:textId="0BD63EDA" w:rsidR="00084156" w:rsidRPr="00084156" w:rsidRDefault="00084156" w:rsidP="009E7846">
      <w:r w:rsidRPr="00084156">
        <w:rPr>
          <w:i/>
          <w:u w:val="single"/>
        </w:rPr>
        <w:t xml:space="preserve">Safeguard </w:t>
      </w:r>
      <w:r w:rsidR="00C63E03">
        <w:rPr>
          <w:i/>
          <w:u w:val="single"/>
        </w:rPr>
        <w:t>5</w:t>
      </w:r>
      <w:r>
        <w:rPr>
          <w:i/>
        </w:rPr>
        <w:t xml:space="preserve">: </w:t>
      </w:r>
      <w:r w:rsidRPr="00084156">
        <w:rPr>
          <w:i/>
        </w:rPr>
        <w:t xml:space="preserve">Use of </w:t>
      </w:r>
      <w:r w:rsidR="006539F3">
        <w:rPr>
          <w:i/>
        </w:rPr>
        <w:t>patient</w:t>
      </w:r>
      <w:r w:rsidRPr="00084156">
        <w:rPr>
          <w:i/>
        </w:rPr>
        <w:t>-registries</w:t>
      </w:r>
      <w:r>
        <w:rPr>
          <w:i/>
        </w:rPr>
        <w:t xml:space="preserve">: </w:t>
      </w:r>
      <w:r>
        <w:t>At two trial sites,</w:t>
      </w:r>
      <w:r w:rsidRPr="00084156">
        <w:t xml:space="preserve"> </w:t>
      </w:r>
      <w:r w:rsidR="006539F3">
        <w:t xml:space="preserve">hospital-approved CRPS </w:t>
      </w:r>
      <w:r w:rsidRPr="00084156">
        <w:t>patient-registr</w:t>
      </w:r>
      <w:r>
        <w:t>ies held names and identification numbers of all patients with CRPS seen at the respective clinical services over the past few years</w:t>
      </w:r>
      <w:r w:rsidRPr="00084156">
        <w:t>.</w:t>
      </w:r>
      <w:r w:rsidR="006539F3">
        <w:t xml:space="preserve"> These patients had either explicitly or implicitly agreed that they can be contacted for research purposes </w:t>
      </w:r>
      <w:r w:rsidR="009E4CD9">
        <w:t>provided</w:t>
      </w:r>
      <w:r w:rsidR="006539F3">
        <w:t xml:space="preserve"> certain data protection procedures were followed. </w:t>
      </w:r>
      <w:r w:rsidRPr="00084156">
        <w:t xml:space="preserve"> </w:t>
      </w:r>
      <w:r w:rsidR="006539F3">
        <w:t>Other PI’s</w:t>
      </w:r>
      <w:r>
        <w:t xml:space="preserve"> had collected names of </w:t>
      </w:r>
      <w:r w:rsidR="006539F3">
        <w:t xml:space="preserve">potentially suitable </w:t>
      </w:r>
      <w:r>
        <w:t>patients seen</w:t>
      </w:r>
      <w:r w:rsidR="006539F3">
        <w:t xml:space="preserve"> by them</w:t>
      </w:r>
      <w:r>
        <w:t xml:space="preserve"> since the start of </w:t>
      </w:r>
      <w:r w:rsidR="006539F3">
        <w:t xml:space="preserve">the LIPS consultation </w:t>
      </w:r>
      <w:proofErr w:type="gramStart"/>
      <w:r w:rsidR="006539F3">
        <w:t>process.</w:t>
      </w:r>
      <w:r w:rsidR="00C63E03">
        <w:t>*</w:t>
      </w:r>
      <w:proofErr w:type="gramEnd"/>
      <w:r w:rsidR="00C63E03">
        <w:t>*</w:t>
      </w:r>
    </w:p>
    <w:p w14:paraId="45AAB8B1" w14:textId="45A3BF48" w:rsidR="00084156" w:rsidRDefault="00B175F5" w:rsidP="009E7846">
      <w:pPr>
        <w:rPr>
          <w:b/>
          <w:i/>
          <w:u w:val="single"/>
        </w:rPr>
      </w:pPr>
      <w:r>
        <w:rPr>
          <w:b/>
          <w:i/>
          <w:u w:val="single"/>
        </w:rPr>
        <w:t xml:space="preserve">Use of Research </w:t>
      </w:r>
      <w:r w:rsidR="00084156" w:rsidRPr="00084156">
        <w:rPr>
          <w:b/>
          <w:i/>
          <w:u w:val="single"/>
        </w:rPr>
        <w:t>Network</w:t>
      </w:r>
    </w:p>
    <w:p w14:paraId="5B215F31" w14:textId="77777777" w:rsidR="009C2410" w:rsidRDefault="004715E6" w:rsidP="009E7846">
      <w:pPr>
        <w:rPr>
          <w:rFonts w:ascii="Calibri" w:hAnsi="Calibri" w:cs="Calibri"/>
          <w:color w:val="000000"/>
          <w:shd w:val="clear" w:color="auto" w:fill="FFFFFF"/>
        </w:rPr>
      </w:pPr>
      <w:r w:rsidRPr="0003441B">
        <w:rPr>
          <w:rFonts w:ascii="Calibri" w:hAnsi="Calibri" w:cs="Calibri"/>
          <w:i/>
          <w:iCs/>
          <w:color w:val="000000"/>
          <w:shd w:val="clear" w:color="auto" w:fill="FFFFFF"/>
        </w:rPr>
        <w:t>Safeguard 6: National Institute for Health Research (NIHR) Clinical Research Network (CRN) registration</w:t>
      </w:r>
      <w:r w:rsidRPr="0003441B">
        <w:rPr>
          <w:rFonts w:ascii="Calibri" w:hAnsi="Calibri" w:cs="Calibri"/>
          <w:color w:val="000000"/>
          <w:shd w:val="clear" w:color="auto" w:fill="FFFFFF"/>
        </w:rPr>
        <w:t>: In England, </w:t>
      </w:r>
      <w:r w:rsidR="0072693D">
        <w:rPr>
          <w:rFonts w:ascii="Calibri" w:hAnsi="Calibri" w:cs="Calibri"/>
          <w:color w:val="000000"/>
          <w:shd w:val="clear" w:color="auto" w:fill="FFFFFF"/>
        </w:rPr>
        <w:t>costs</w:t>
      </w:r>
      <w:r w:rsidR="0072693D" w:rsidRPr="0003441B">
        <w:rPr>
          <w:rFonts w:ascii="Calibri" w:hAnsi="Calibri" w:cs="Calibri"/>
          <w:color w:val="000000"/>
          <w:shd w:val="clear" w:color="auto" w:fill="FFFFFF"/>
        </w:rPr>
        <w:t xml:space="preserve"> </w:t>
      </w:r>
      <w:r w:rsidRPr="0003441B">
        <w:rPr>
          <w:rFonts w:ascii="Calibri" w:hAnsi="Calibri" w:cs="Calibri"/>
          <w:color w:val="000000"/>
          <w:shd w:val="clear" w:color="auto" w:fill="FFFFFF"/>
        </w:rPr>
        <w:t xml:space="preserve">for such study procedures which are expected to be delivered through National Health Service (NHS) resources, such as identification of participants via the screening of a NHS record, recruitment of participants including consent and any procedure that is carried out for safety purposes, will be </w:t>
      </w:r>
      <w:r w:rsidR="0072693D">
        <w:rPr>
          <w:rFonts w:ascii="Calibri" w:hAnsi="Calibri" w:cs="Calibri"/>
          <w:color w:val="000000"/>
          <w:shd w:val="clear" w:color="auto" w:fill="FFFFFF"/>
        </w:rPr>
        <w:t>funded</w:t>
      </w:r>
      <w:r w:rsidR="00DB48EF" w:rsidRPr="0003441B">
        <w:rPr>
          <w:rFonts w:ascii="Calibri" w:hAnsi="Calibri" w:cs="Calibri"/>
          <w:color w:val="000000"/>
          <w:shd w:val="clear" w:color="auto" w:fill="FFFFFF"/>
        </w:rPr>
        <w:t xml:space="preserve"> </w:t>
      </w:r>
      <w:r w:rsidRPr="0003441B">
        <w:rPr>
          <w:rFonts w:ascii="Calibri" w:hAnsi="Calibri" w:cs="Calibri"/>
          <w:color w:val="000000"/>
          <w:shd w:val="clear" w:color="auto" w:fill="FFFFFF"/>
        </w:rPr>
        <w:t>by 'Local Clinical  Research Networks' (LCRNs). All studies that have met the eligibility criteria are adopted onto the NIHR Portfolio which is a database of studies</w:t>
      </w:r>
      <w:r w:rsidR="008D64D5" w:rsidRPr="0003441B">
        <w:rPr>
          <w:rFonts w:ascii="Calibri" w:hAnsi="Calibri" w:cs="Calibri"/>
          <w:color w:val="000000"/>
          <w:shd w:val="clear" w:color="auto" w:fill="FFFFFF"/>
        </w:rPr>
        <w:t>;</w:t>
      </w:r>
      <w:r w:rsidRPr="0003441B">
        <w:rPr>
          <w:rFonts w:ascii="Calibri" w:hAnsi="Calibri" w:cs="Calibri"/>
          <w:color w:val="000000"/>
          <w:shd w:val="clear" w:color="auto" w:fill="FFFFFF"/>
        </w:rPr>
        <w:t xml:space="preserve"> LIPS </w:t>
      </w:r>
      <w:r w:rsidR="008D64D5" w:rsidRPr="0003441B">
        <w:rPr>
          <w:rFonts w:ascii="Calibri" w:hAnsi="Calibri" w:cs="Calibri"/>
          <w:color w:val="000000"/>
          <w:shd w:val="clear" w:color="auto" w:fill="FFFFFF"/>
        </w:rPr>
        <w:t>was</w:t>
      </w:r>
      <w:r w:rsidRPr="0003441B">
        <w:rPr>
          <w:rFonts w:ascii="Calibri" w:hAnsi="Calibri" w:cs="Calibri"/>
          <w:color w:val="000000"/>
          <w:shd w:val="clear" w:color="auto" w:fill="FFFFFF"/>
        </w:rPr>
        <w:t xml:space="preserve"> one of these studies </w:t>
      </w:r>
    </w:p>
    <w:p w14:paraId="7F750D9E" w14:textId="01966F13" w:rsidR="00C77FA3" w:rsidRPr="0003441B" w:rsidRDefault="004715E6" w:rsidP="009E7846">
      <w:r w:rsidRPr="0003441B">
        <w:rPr>
          <w:rFonts w:ascii="Calibri" w:hAnsi="Calibri" w:cs="Calibri"/>
          <w:color w:val="000000"/>
          <w:shd w:val="clear" w:color="auto" w:fill="FFFFFF"/>
        </w:rPr>
        <w:lastRenderedPageBreak/>
        <w:t>(</w:t>
      </w:r>
      <w:hyperlink r:id="rId36" w:tgtFrame="_blank" w:history="1">
        <w:r w:rsidRPr="0003441B">
          <w:rPr>
            <w:rStyle w:val="Hyperlink"/>
            <w:rFonts w:ascii="Calibri" w:hAnsi="Calibri" w:cs="Calibri"/>
            <w:shd w:val="clear" w:color="auto" w:fill="FFFFFF"/>
          </w:rPr>
          <w:t>https://www.nihr.ac.uk/research-and-impact/nihr-clinical-research-network-portfolio/</w:t>
        </w:r>
      </w:hyperlink>
      <w:r w:rsidRPr="0003441B">
        <w:rPr>
          <w:rFonts w:ascii="Calibri" w:hAnsi="Calibri" w:cs="Calibri"/>
          <w:color w:val="000000"/>
          <w:shd w:val="clear" w:color="auto" w:fill="FFFFFF"/>
        </w:rPr>
        <w:t>). These studies are also listed within the UK Clinical Trials Gateway</w:t>
      </w:r>
      <w:r w:rsidR="009C2410">
        <w:rPr>
          <w:rFonts w:ascii="Calibri" w:hAnsi="Calibri" w:cs="Calibri"/>
          <w:color w:val="000000"/>
          <w:shd w:val="clear" w:color="auto" w:fill="FFFFFF"/>
        </w:rPr>
        <w:t xml:space="preserve"> </w:t>
      </w:r>
      <w:r w:rsidRPr="0003441B">
        <w:rPr>
          <w:rFonts w:ascii="Calibri" w:hAnsi="Calibri" w:cs="Calibri"/>
          <w:color w:val="000000"/>
          <w:shd w:val="clear" w:color="auto" w:fill="FFFFFF"/>
        </w:rPr>
        <w:t>(</w:t>
      </w:r>
      <w:hyperlink r:id="rId37" w:tgtFrame="_blank" w:history="1">
        <w:r w:rsidRPr="0003441B">
          <w:rPr>
            <w:rStyle w:val="Hyperlink"/>
            <w:rFonts w:ascii="Calibri" w:hAnsi="Calibri" w:cs="Calibri"/>
            <w:shd w:val="clear" w:color="auto" w:fill="FFFFFF"/>
          </w:rPr>
          <w:t>https://www.ukctg.nihr.ac.uk/home/</w:t>
        </w:r>
      </w:hyperlink>
      <w:r w:rsidRPr="0003441B">
        <w:rPr>
          <w:rFonts w:ascii="Calibri" w:hAnsi="Calibri" w:cs="Calibri"/>
          <w:color w:val="000000"/>
          <w:shd w:val="clear" w:color="auto" w:fill="FFFFFF"/>
        </w:rPr>
        <w:t xml:space="preserve">)  and potential recruitment sites and investigators throughout the UK can scan this </w:t>
      </w:r>
      <w:r w:rsidR="0072693D">
        <w:rPr>
          <w:rFonts w:ascii="Calibri" w:hAnsi="Calibri" w:cs="Calibri"/>
          <w:color w:val="000000"/>
          <w:shd w:val="clear" w:color="auto" w:fill="FFFFFF"/>
        </w:rPr>
        <w:t xml:space="preserve">study-registry </w:t>
      </w:r>
      <w:r w:rsidRPr="0003441B">
        <w:rPr>
          <w:rFonts w:ascii="Calibri" w:hAnsi="Calibri" w:cs="Calibri"/>
          <w:color w:val="000000"/>
          <w:shd w:val="clear" w:color="auto" w:fill="FFFFFF"/>
        </w:rPr>
        <w:t>looking for new study opportunities. These sites may then contact the study trial management group offering participation. This process is considered a win-win situation for the UK research environment as it ultimately facilitates recruitment. </w:t>
      </w:r>
      <w:r w:rsidRPr="0003441B">
        <w:rPr>
          <w:rFonts w:ascii="Segoe UI" w:hAnsi="Segoe UI"/>
          <w:color w:val="212121"/>
          <w:shd w:val="clear" w:color="auto" w:fill="FFFFFF"/>
        </w:rPr>
        <w:t> </w:t>
      </w:r>
      <w:r w:rsidR="00147601" w:rsidRPr="0003441B">
        <w:t xml:space="preserve">The LIPS </w:t>
      </w:r>
      <w:r w:rsidR="00A103E0" w:rsidRPr="0003441B">
        <w:t xml:space="preserve">trial </w:t>
      </w:r>
      <w:r w:rsidR="00147601" w:rsidRPr="0003441B">
        <w:t xml:space="preserve">management group was contacted early after study setup by the </w:t>
      </w:r>
      <w:r w:rsidR="00B56FA8" w:rsidRPr="0003441B">
        <w:t>Site G</w:t>
      </w:r>
      <w:r w:rsidR="00147601" w:rsidRPr="0003441B">
        <w:t xml:space="preserve"> trials unit, and following further feasibility checks it was decided that there was sufficient potential for the local </w:t>
      </w:r>
      <w:r w:rsidR="00A103E0" w:rsidRPr="0003441B">
        <w:t>PI</w:t>
      </w:r>
      <w:r w:rsidR="00147601" w:rsidRPr="0003441B">
        <w:t xml:space="preserve"> to enrol </w:t>
      </w:r>
      <w:r w:rsidR="009228AD">
        <w:t>eight</w:t>
      </w:r>
      <w:r w:rsidR="009228AD" w:rsidRPr="0003441B">
        <w:t xml:space="preserve"> </w:t>
      </w:r>
      <w:r w:rsidR="00147601" w:rsidRPr="0003441B">
        <w:t xml:space="preserve">patients </w:t>
      </w:r>
      <w:r w:rsidR="00B56FA8" w:rsidRPr="0003441B">
        <w:t>at Site G.</w:t>
      </w:r>
      <w:r w:rsidR="00147601" w:rsidRPr="0003441B">
        <w:t xml:space="preserve"> </w:t>
      </w:r>
      <w:r w:rsidR="00B56FA8" w:rsidRPr="0003441B">
        <w:t>Site G</w:t>
      </w:r>
      <w:r w:rsidR="00147601" w:rsidRPr="0003441B">
        <w:t xml:space="preserve"> was </w:t>
      </w:r>
      <w:r w:rsidR="009E4CD9" w:rsidRPr="0003441B">
        <w:t>introduced</w:t>
      </w:r>
      <w:r w:rsidR="00147601" w:rsidRPr="0003441B">
        <w:t xml:space="preserve"> as a 7</w:t>
      </w:r>
      <w:r w:rsidR="00147601" w:rsidRPr="0003441B">
        <w:rPr>
          <w:vertAlign w:val="superscript"/>
        </w:rPr>
        <w:t>th</w:t>
      </w:r>
      <w:r w:rsidR="00147601" w:rsidRPr="0003441B">
        <w:t xml:space="preserve"> trial centre, </w:t>
      </w:r>
      <w:r w:rsidR="009E4CD9" w:rsidRPr="0003441B">
        <w:t>which</w:t>
      </w:r>
      <w:r w:rsidR="00147601" w:rsidRPr="0003441B">
        <w:t xml:space="preserve"> took pressure off the slim </w:t>
      </w:r>
      <w:r w:rsidR="00A103E0" w:rsidRPr="0003441B">
        <w:t xml:space="preserve">recruitment </w:t>
      </w:r>
      <w:r w:rsidR="00147601" w:rsidRPr="0003441B">
        <w:t xml:space="preserve">margin highlighted </w:t>
      </w:r>
      <w:r w:rsidR="00A103E0" w:rsidRPr="0003441B">
        <w:t>above</w:t>
      </w:r>
      <w:r w:rsidR="00147601" w:rsidRPr="0003441B">
        <w:t>.</w:t>
      </w:r>
      <w:r w:rsidR="00E24AAE" w:rsidRPr="0003441B">
        <w:t>**</w:t>
      </w:r>
      <w:r w:rsidR="00147601" w:rsidRPr="0003441B">
        <w:t xml:space="preserve">  </w:t>
      </w:r>
    </w:p>
    <w:p w14:paraId="447FAC39" w14:textId="73D618E0" w:rsidR="00084156" w:rsidRPr="00084156" w:rsidRDefault="00084156" w:rsidP="009E7846">
      <w:pPr>
        <w:rPr>
          <w:b/>
          <w:i/>
          <w:u w:val="single"/>
        </w:rPr>
      </w:pPr>
      <w:r w:rsidRPr="00084156">
        <w:rPr>
          <w:b/>
          <w:i/>
          <w:u w:val="single"/>
        </w:rPr>
        <w:t xml:space="preserve">Patient information </w:t>
      </w:r>
    </w:p>
    <w:p w14:paraId="3EDE8B83" w14:textId="35EDFBFB" w:rsidR="001414B4" w:rsidRDefault="00932C4C" w:rsidP="00C77FA3">
      <w:pPr>
        <w:jc w:val="both"/>
      </w:pPr>
      <w:r>
        <w:rPr>
          <w:i/>
          <w:noProof/>
          <w:u w:val="single"/>
          <w:lang w:eastAsia="en-GB"/>
        </w:rPr>
        <w:t xml:space="preserve">Safeguard </w:t>
      </w:r>
      <w:r w:rsidR="00C63E03">
        <w:rPr>
          <w:i/>
          <w:noProof/>
          <w:u w:val="single"/>
          <w:lang w:eastAsia="en-GB"/>
        </w:rPr>
        <w:t>7</w:t>
      </w:r>
      <w:r w:rsidRPr="00932C4C">
        <w:rPr>
          <w:i/>
          <w:noProof/>
          <w:lang w:eastAsia="en-GB"/>
        </w:rPr>
        <w:t xml:space="preserve"> </w:t>
      </w:r>
      <w:r w:rsidR="00CC6BB4" w:rsidRPr="00932C4C">
        <w:rPr>
          <w:i/>
          <w:noProof/>
          <w:lang w:eastAsia="en-GB"/>
        </w:rPr>
        <w:t>Coheren</w:t>
      </w:r>
      <w:r w:rsidR="000F6B83" w:rsidRPr="00932C4C">
        <w:rPr>
          <w:i/>
          <w:noProof/>
          <w:lang w:eastAsia="en-GB"/>
        </w:rPr>
        <w:t>t</w:t>
      </w:r>
      <w:r w:rsidR="00CC6BB4" w:rsidRPr="00932C4C">
        <w:rPr>
          <w:i/>
          <w:noProof/>
          <w:lang w:eastAsia="en-GB"/>
        </w:rPr>
        <w:t xml:space="preserve"> patient</w:t>
      </w:r>
      <w:r w:rsidR="000F6B83" w:rsidRPr="00932C4C">
        <w:rPr>
          <w:i/>
          <w:noProof/>
          <w:lang w:eastAsia="en-GB"/>
        </w:rPr>
        <w:t xml:space="preserve"> information and</w:t>
      </w:r>
      <w:r w:rsidR="00CC6BB4" w:rsidRPr="00932C4C">
        <w:rPr>
          <w:i/>
          <w:noProof/>
          <w:lang w:eastAsia="en-GB"/>
        </w:rPr>
        <w:t xml:space="preserve"> education</w:t>
      </w:r>
      <w:r w:rsidR="00CC6BB4" w:rsidRPr="00932C4C">
        <w:rPr>
          <w:noProof/>
          <w:lang w:eastAsia="en-GB"/>
        </w:rPr>
        <w:t>:</w:t>
      </w:r>
      <w:r w:rsidR="00C63E03">
        <w:rPr>
          <w:noProof/>
          <w:lang w:eastAsia="en-GB"/>
        </w:rPr>
        <w:t xml:space="preserve"> A</w:t>
      </w:r>
      <w:r w:rsidR="00CC6BB4">
        <w:rPr>
          <w:noProof/>
          <w:lang w:eastAsia="en-GB"/>
        </w:rPr>
        <w:t xml:space="preserve"> </w:t>
      </w:r>
      <w:r w:rsidR="009D3471">
        <w:rPr>
          <w:noProof/>
          <w:lang w:eastAsia="en-GB"/>
        </w:rPr>
        <w:t xml:space="preserve">ten minute </w:t>
      </w:r>
      <w:r w:rsidR="00CC6BB4">
        <w:rPr>
          <w:noProof/>
          <w:lang w:eastAsia="en-GB"/>
        </w:rPr>
        <w:t xml:space="preserve"> video was recorded by the </w:t>
      </w:r>
      <w:r w:rsidR="008B3EEF">
        <w:rPr>
          <w:noProof/>
          <w:lang w:eastAsia="en-GB"/>
        </w:rPr>
        <w:t>CTU team</w:t>
      </w:r>
      <w:r w:rsidR="001414B4">
        <w:rPr>
          <w:noProof/>
          <w:lang w:eastAsia="en-GB"/>
        </w:rPr>
        <w:t>.</w:t>
      </w:r>
      <w:r w:rsidR="00CC6BB4">
        <w:rPr>
          <w:noProof/>
          <w:lang w:eastAsia="en-GB"/>
        </w:rPr>
        <w:t xml:space="preserve"> </w:t>
      </w:r>
      <w:r w:rsidR="00A103E0">
        <w:rPr>
          <w:noProof/>
          <w:lang w:eastAsia="en-GB"/>
        </w:rPr>
        <w:t xml:space="preserve">The ethics committee had approved the use of this video. </w:t>
      </w:r>
      <w:r w:rsidR="001414B4">
        <w:rPr>
          <w:noProof/>
          <w:lang w:eastAsia="en-GB"/>
        </w:rPr>
        <w:t>The</w:t>
      </w:r>
      <w:r w:rsidR="00CC6BB4">
        <w:rPr>
          <w:noProof/>
          <w:lang w:eastAsia="en-GB"/>
        </w:rPr>
        <w:t xml:space="preserve"> Chief Investigator</w:t>
      </w:r>
      <w:r w:rsidR="001414B4">
        <w:rPr>
          <w:noProof/>
          <w:lang w:eastAsia="en-GB"/>
        </w:rPr>
        <w:t xml:space="preserve"> (AG)</w:t>
      </w:r>
      <w:r w:rsidR="00CC6BB4">
        <w:rPr>
          <w:noProof/>
          <w:lang w:eastAsia="en-GB"/>
        </w:rPr>
        <w:t xml:space="preserve"> explained purpose and background of </w:t>
      </w:r>
      <w:r w:rsidR="001414B4">
        <w:rPr>
          <w:noProof/>
          <w:lang w:eastAsia="en-GB"/>
        </w:rPr>
        <w:t>LIPS</w:t>
      </w:r>
      <w:r w:rsidR="00CC6BB4">
        <w:rPr>
          <w:noProof/>
          <w:lang w:eastAsia="en-GB"/>
        </w:rPr>
        <w:t xml:space="preserve">; the video was shown </w:t>
      </w:r>
      <w:r w:rsidR="00A103E0">
        <w:rPr>
          <w:noProof/>
          <w:lang w:eastAsia="en-GB"/>
        </w:rPr>
        <w:t xml:space="preserve">to each patient at their </w:t>
      </w:r>
      <w:r w:rsidR="00316EF4">
        <w:rPr>
          <w:noProof/>
          <w:lang w:eastAsia="en-GB"/>
        </w:rPr>
        <w:t>screening visit</w:t>
      </w:r>
      <w:r w:rsidR="00CC6BB4">
        <w:rPr>
          <w:noProof/>
          <w:lang w:eastAsia="en-GB"/>
        </w:rPr>
        <w:t xml:space="preserve">. It was hoped that this would </w:t>
      </w:r>
      <w:r w:rsidR="000F6B83">
        <w:rPr>
          <w:noProof/>
          <w:lang w:eastAsia="en-GB"/>
        </w:rPr>
        <w:t>deliver</w:t>
      </w:r>
      <w:r w:rsidR="00CC6BB4">
        <w:rPr>
          <w:noProof/>
          <w:lang w:eastAsia="en-GB"/>
        </w:rPr>
        <w:t xml:space="preserve"> </w:t>
      </w:r>
      <w:r w:rsidR="001414B4">
        <w:rPr>
          <w:noProof/>
          <w:lang w:eastAsia="en-GB"/>
        </w:rPr>
        <w:t>coherent</w:t>
      </w:r>
      <w:r w:rsidR="00CC6BB4">
        <w:rPr>
          <w:noProof/>
          <w:lang w:eastAsia="en-GB"/>
        </w:rPr>
        <w:t xml:space="preserve"> </w:t>
      </w:r>
      <w:r w:rsidR="001414B4">
        <w:rPr>
          <w:noProof/>
          <w:lang w:eastAsia="en-GB"/>
        </w:rPr>
        <w:t>information</w:t>
      </w:r>
      <w:r w:rsidR="00CC6BB4">
        <w:rPr>
          <w:noProof/>
          <w:lang w:eastAsia="en-GB"/>
        </w:rPr>
        <w:t xml:space="preserve"> abou</w:t>
      </w:r>
      <w:r w:rsidR="00316EF4">
        <w:rPr>
          <w:noProof/>
          <w:lang w:eastAsia="en-GB"/>
        </w:rPr>
        <w:t>t</w:t>
      </w:r>
      <w:r w:rsidR="00CC6BB4">
        <w:rPr>
          <w:noProof/>
          <w:lang w:eastAsia="en-GB"/>
        </w:rPr>
        <w:t xml:space="preserve"> the trial</w:t>
      </w:r>
      <w:r w:rsidR="006C207B">
        <w:rPr>
          <w:noProof/>
          <w:lang w:eastAsia="en-GB"/>
        </w:rPr>
        <w:t>.</w:t>
      </w:r>
      <w:r w:rsidR="00CC6BB4">
        <w:rPr>
          <w:noProof/>
          <w:lang w:eastAsia="en-GB"/>
        </w:rPr>
        <w:t xml:space="preserve"> </w:t>
      </w:r>
    </w:p>
    <w:p w14:paraId="0B9659F5" w14:textId="05E8A953" w:rsidR="0099692F" w:rsidRDefault="00CC6BB4" w:rsidP="0099692F">
      <w:pPr>
        <w:rPr>
          <w:noProof/>
          <w:lang w:eastAsia="en-GB"/>
        </w:rPr>
      </w:pPr>
      <w:r>
        <w:rPr>
          <w:noProof/>
          <w:lang w:eastAsia="en-GB"/>
        </w:rPr>
        <w:t xml:space="preserve">The video also </w:t>
      </w:r>
      <w:r w:rsidR="000F6B83">
        <w:rPr>
          <w:noProof/>
          <w:lang w:eastAsia="en-GB"/>
        </w:rPr>
        <w:t xml:space="preserve">included eduational elements, for example patients were advised </w:t>
      </w:r>
      <w:r>
        <w:rPr>
          <w:noProof/>
          <w:lang w:eastAsia="en-GB"/>
        </w:rPr>
        <w:t xml:space="preserve">that we would not gain if patients </w:t>
      </w:r>
      <w:r w:rsidR="00147601">
        <w:rPr>
          <w:noProof/>
          <w:lang w:eastAsia="en-GB"/>
        </w:rPr>
        <w:t>‘</w:t>
      </w:r>
      <w:r>
        <w:rPr>
          <w:noProof/>
          <w:lang w:eastAsia="en-GB"/>
        </w:rPr>
        <w:t>made up</w:t>
      </w:r>
      <w:r w:rsidR="00147601">
        <w:rPr>
          <w:noProof/>
          <w:lang w:eastAsia="en-GB"/>
        </w:rPr>
        <w:t>’</w:t>
      </w:r>
      <w:r>
        <w:rPr>
          <w:noProof/>
          <w:lang w:eastAsia="en-GB"/>
        </w:rPr>
        <w:t xml:space="preserve"> good results perhaps out of a wish to please us</w:t>
      </w:r>
      <w:r w:rsidR="00CD40A2">
        <w:rPr>
          <w:noProof/>
          <w:lang w:eastAsia="en-GB"/>
        </w:rPr>
        <w:t xml:space="preserve"> (‘participant bias’ or ‘response bias’)</w:t>
      </w:r>
      <w:r w:rsidR="001912D8">
        <w:rPr>
          <w:noProof/>
          <w:vertAlign w:val="superscript"/>
          <w:lang w:eastAsia="en-GB"/>
        </w:rPr>
        <w:t>1</w:t>
      </w:r>
      <w:r w:rsidR="00BF7563">
        <w:rPr>
          <w:noProof/>
          <w:vertAlign w:val="superscript"/>
          <w:lang w:eastAsia="en-GB"/>
        </w:rPr>
        <w:t>4</w:t>
      </w:r>
      <w:r w:rsidRPr="00B171E9">
        <w:rPr>
          <w:noProof/>
          <w:lang w:eastAsia="en-GB"/>
        </w:rPr>
        <w:t xml:space="preserve">, and why this would </w:t>
      </w:r>
      <w:r w:rsidR="001414B4" w:rsidRPr="00B171E9">
        <w:rPr>
          <w:noProof/>
          <w:lang w:eastAsia="en-GB"/>
        </w:rPr>
        <w:t>in fact be co</w:t>
      </w:r>
      <w:r w:rsidR="00CF4F2B" w:rsidRPr="00B171E9">
        <w:rPr>
          <w:noProof/>
          <w:lang w:eastAsia="en-GB"/>
        </w:rPr>
        <w:t>unter</w:t>
      </w:r>
      <w:r w:rsidR="001414B4" w:rsidRPr="00B171E9">
        <w:rPr>
          <w:noProof/>
          <w:lang w:eastAsia="en-GB"/>
        </w:rPr>
        <w:t>-productive</w:t>
      </w:r>
      <w:r w:rsidRPr="00B171E9">
        <w:rPr>
          <w:noProof/>
          <w:lang w:eastAsia="en-GB"/>
        </w:rPr>
        <w:t xml:space="preserve">; the main message was </w:t>
      </w:r>
      <w:r w:rsidR="00A103E0" w:rsidRPr="00B171E9">
        <w:rPr>
          <w:noProof/>
          <w:lang w:eastAsia="en-GB"/>
        </w:rPr>
        <w:t>patients should simply indicate</w:t>
      </w:r>
      <w:r w:rsidRPr="00B171E9">
        <w:rPr>
          <w:noProof/>
          <w:lang w:eastAsia="en-GB"/>
        </w:rPr>
        <w:t xml:space="preserve"> whatever </w:t>
      </w:r>
      <w:r w:rsidR="001414B4" w:rsidRPr="00B171E9">
        <w:rPr>
          <w:noProof/>
          <w:lang w:eastAsia="en-GB"/>
        </w:rPr>
        <w:t>they felt</w:t>
      </w:r>
      <w:r w:rsidR="00A103E0" w:rsidRPr="00B171E9">
        <w:rPr>
          <w:noProof/>
          <w:lang w:eastAsia="en-GB"/>
        </w:rPr>
        <w:t>,</w:t>
      </w:r>
      <w:r w:rsidR="001414B4" w:rsidRPr="00B171E9">
        <w:rPr>
          <w:noProof/>
          <w:lang w:eastAsia="en-GB"/>
        </w:rPr>
        <w:t xml:space="preserve"> </w:t>
      </w:r>
      <w:r w:rsidR="00A103E0" w:rsidRPr="00B171E9">
        <w:rPr>
          <w:noProof/>
          <w:lang w:eastAsia="en-GB"/>
        </w:rPr>
        <w:t xml:space="preserve">and that this </w:t>
      </w:r>
      <w:r w:rsidR="001414B4" w:rsidRPr="00B171E9">
        <w:rPr>
          <w:noProof/>
          <w:lang w:eastAsia="en-GB"/>
        </w:rPr>
        <w:t>would</w:t>
      </w:r>
      <w:r w:rsidRPr="00B171E9">
        <w:rPr>
          <w:noProof/>
          <w:lang w:eastAsia="en-GB"/>
        </w:rPr>
        <w:t xml:space="preserve"> be </w:t>
      </w:r>
      <w:r w:rsidR="001414B4" w:rsidRPr="00B171E9">
        <w:rPr>
          <w:noProof/>
          <w:lang w:eastAsia="en-GB"/>
        </w:rPr>
        <w:t xml:space="preserve">exactly </w:t>
      </w:r>
      <w:r w:rsidRPr="00B171E9">
        <w:rPr>
          <w:noProof/>
          <w:lang w:eastAsia="en-GB"/>
        </w:rPr>
        <w:t>right</w:t>
      </w:r>
      <w:r w:rsidR="00A103E0" w:rsidRPr="00B171E9">
        <w:rPr>
          <w:noProof/>
          <w:lang w:eastAsia="en-GB"/>
        </w:rPr>
        <w:t xml:space="preserve"> for the trial</w:t>
      </w:r>
      <w:r w:rsidRPr="00B171E9">
        <w:rPr>
          <w:noProof/>
          <w:lang w:eastAsia="en-GB"/>
        </w:rPr>
        <w:t>.</w:t>
      </w:r>
      <w:r w:rsidR="0099692F" w:rsidRPr="00B171E9">
        <w:rPr>
          <w:noProof/>
          <w:lang w:eastAsia="en-GB"/>
        </w:rPr>
        <w:t xml:space="preserve"> </w:t>
      </w:r>
      <w:r w:rsidR="0099692F">
        <w:rPr>
          <w:noProof/>
          <w:lang w:eastAsia="en-GB"/>
        </w:rPr>
        <w:t>During the trial the CI became aware of another type of response bias not addressed</w:t>
      </w:r>
      <w:r w:rsidR="009D3471">
        <w:rPr>
          <w:noProof/>
          <w:lang w:eastAsia="en-GB"/>
        </w:rPr>
        <w:t xml:space="preserve"> by</w:t>
      </w:r>
      <w:r w:rsidR="0099692F">
        <w:rPr>
          <w:noProof/>
          <w:lang w:eastAsia="en-GB"/>
        </w:rPr>
        <w:t xml:space="preserve"> this video or in another way – patients anecdotally reported that they would feel embarassed if they were reporting excellent pain relief while in the placebo arm. </w:t>
      </w:r>
    </w:p>
    <w:p w14:paraId="6FFA67B9" w14:textId="58212BB3" w:rsidR="00F634A7" w:rsidRPr="00EE5A60" w:rsidRDefault="00F634A7">
      <w:pPr>
        <w:rPr>
          <w:noProof/>
          <w:color w:val="FF0000"/>
          <w:lang w:eastAsia="en-GB"/>
        </w:rPr>
      </w:pPr>
    </w:p>
    <w:p w14:paraId="039BB220" w14:textId="65FE039C" w:rsidR="00084156" w:rsidRPr="00084156" w:rsidRDefault="00084156">
      <w:pPr>
        <w:rPr>
          <w:b/>
          <w:i/>
          <w:noProof/>
          <w:u w:val="single"/>
          <w:lang w:eastAsia="en-GB"/>
        </w:rPr>
      </w:pPr>
      <w:r w:rsidRPr="00084156">
        <w:rPr>
          <w:b/>
          <w:i/>
          <w:noProof/>
          <w:u w:val="single"/>
          <w:lang w:eastAsia="en-GB"/>
        </w:rPr>
        <w:t>Trial management</w:t>
      </w:r>
    </w:p>
    <w:p w14:paraId="6E379A16" w14:textId="2CA588C7" w:rsidR="00B56FA8" w:rsidRDefault="00932C4C" w:rsidP="00B56FA8">
      <w:pPr>
        <w:rPr>
          <w:noProof/>
          <w:color w:val="FF0000"/>
          <w:lang w:eastAsia="en-GB"/>
        </w:rPr>
      </w:pPr>
      <w:r>
        <w:rPr>
          <w:i/>
          <w:noProof/>
          <w:u w:val="single"/>
          <w:lang w:eastAsia="en-GB"/>
        </w:rPr>
        <w:t xml:space="preserve">Safeguard </w:t>
      </w:r>
      <w:r w:rsidR="00C63E03">
        <w:rPr>
          <w:i/>
          <w:noProof/>
          <w:u w:val="single"/>
          <w:lang w:eastAsia="en-GB"/>
        </w:rPr>
        <w:t>8</w:t>
      </w:r>
      <w:r w:rsidRPr="00932C4C">
        <w:rPr>
          <w:i/>
          <w:noProof/>
          <w:lang w:eastAsia="en-GB"/>
        </w:rPr>
        <w:t xml:space="preserve"> </w:t>
      </w:r>
      <w:r w:rsidR="00B56FA8">
        <w:rPr>
          <w:i/>
          <w:noProof/>
          <w:lang w:eastAsia="en-GB"/>
        </w:rPr>
        <w:t>CI Oversight:</w:t>
      </w:r>
      <w:r w:rsidR="00B56FA8" w:rsidRPr="00B56FA8">
        <w:rPr>
          <w:noProof/>
          <w:lang w:eastAsia="en-GB"/>
        </w:rPr>
        <w:t xml:space="preserve"> The CI followed a ‘hands-on’ approach; he attended and contributed to w</w:t>
      </w:r>
      <w:r w:rsidR="00316EF4" w:rsidRPr="00B56FA8">
        <w:rPr>
          <w:noProof/>
          <w:lang w:eastAsia="en-GB"/>
        </w:rPr>
        <w:t>eekly trial management</w:t>
      </w:r>
      <w:r w:rsidR="00B56FA8">
        <w:rPr>
          <w:noProof/>
          <w:lang w:eastAsia="en-GB"/>
        </w:rPr>
        <w:t xml:space="preserve"> and </w:t>
      </w:r>
      <w:r w:rsidR="00E86B6B">
        <w:rPr>
          <w:noProof/>
          <w:lang w:eastAsia="en-GB"/>
        </w:rPr>
        <w:t>recruitment</w:t>
      </w:r>
      <w:r w:rsidR="00316EF4" w:rsidRPr="00B56FA8">
        <w:rPr>
          <w:noProof/>
          <w:lang w:eastAsia="en-GB"/>
        </w:rPr>
        <w:t xml:space="preserve"> </w:t>
      </w:r>
      <w:r w:rsidR="00CF4F2B">
        <w:rPr>
          <w:noProof/>
          <w:lang w:eastAsia="en-GB"/>
        </w:rPr>
        <w:t>tele</w:t>
      </w:r>
      <w:r w:rsidR="00316EF4" w:rsidRPr="00B56FA8">
        <w:rPr>
          <w:noProof/>
          <w:lang w:eastAsia="en-GB"/>
        </w:rPr>
        <w:t>conferences</w:t>
      </w:r>
      <w:r w:rsidR="00B56FA8">
        <w:rPr>
          <w:noProof/>
          <w:lang w:eastAsia="en-GB"/>
        </w:rPr>
        <w:t xml:space="preserve"> and instigated </w:t>
      </w:r>
      <w:r w:rsidR="00B56FA8" w:rsidRPr="00B56FA8">
        <w:rPr>
          <w:noProof/>
          <w:lang w:eastAsia="en-GB"/>
        </w:rPr>
        <w:t xml:space="preserve">frequent communication </w:t>
      </w:r>
      <w:r w:rsidR="00B56FA8">
        <w:rPr>
          <w:noProof/>
          <w:lang w:eastAsia="en-GB"/>
        </w:rPr>
        <w:t>with the</w:t>
      </w:r>
      <w:r w:rsidR="00B56FA8" w:rsidRPr="00B56FA8">
        <w:rPr>
          <w:noProof/>
          <w:lang w:eastAsia="en-GB"/>
        </w:rPr>
        <w:t xml:space="preserve"> 6 </w:t>
      </w:r>
      <w:r w:rsidR="00E24AAE">
        <w:rPr>
          <w:noProof/>
          <w:lang w:eastAsia="en-GB"/>
        </w:rPr>
        <w:t>site-</w:t>
      </w:r>
      <w:r w:rsidR="00B56FA8" w:rsidRPr="00B56FA8">
        <w:rPr>
          <w:noProof/>
          <w:lang w:eastAsia="en-GB"/>
        </w:rPr>
        <w:t>PI’s and their team</w:t>
      </w:r>
      <w:r w:rsidR="00B56FA8">
        <w:rPr>
          <w:noProof/>
          <w:lang w:eastAsia="en-GB"/>
        </w:rPr>
        <w:t>s.</w:t>
      </w:r>
      <w:r w:rsidR="00B56FA8" w:rsidRPr="00B56FA8">
        <w:rPr>
          <w:noProof/>
          <w:lang w:eastAsia="en-GB"/>
        </w:rPr>
        <w:t xml:space="preserve"> Pe</w:t>
      </w:r>
      <w:r w:rsidR="00B56FA8">
        <w:rPr>
          <w:noProof/>
          <w:lang w:eastAsia="en-GB"/>
        </w:rPr>
        <w:t>rceived issues were addressed; particularly</w:t>
      </w:r>
      <w:r w:rsidR="00E24AAE">
        <w:rPr>
          <w:noProof/>
          <w:lang w:eastAsia="en-GB"/>
        </w:rPr>
        <w:t>,</w:t>
      </w:r>
      <w:r w:rsidR="00B56FA8">
        <w:rPr>
          <w:noProof/>
          <w:lang w:eastAsia="en-GB"/>
        </w:rPr>
        <w:t xml:space="preserve"> lower than expected enrolment </w:t>
      </w:r>
      <w:r w:rsidR="00E24AAE">
        <w:rPr>
          <w:noProof/>
          <w:lang w:eastAsia="en-GB"/>
        </w:rPr>
        <w:t xml:space="preserve">occuring </w:t>
      </w:r>
      <w:r w:rsidR="00B56FA8">
        <w:rPr>
          <w:noProof/>
          <w:lang w:eastAsia="en-GB"/>
        </w:rPr>
        <w:t xml:space="preserve">at </w:t>
      </w:r>
      <w:r w:rsidR="00E24AAE">
        <w:rPr>
          <w:noProof/>
          <w:lang w:eastAsia="en-GB"/>
        </w:rPr>
        <w:t>any</w:t>
      </w:r>
      <w:r w:rsidR="00B56FA8">
        <w:rPr>
          <w:noProof/>
          <w:lang w:eastAsia="en-GB"/>
        </w:rPr>
        <w:t xml:space="preserve"> site was flagged up and discussed</w:t>
      </w:r>
      <w:r w:rsidR="00E24AAE">
        <w:rPr>
          <w:noProof/>
          <w:lang w:eastAsia="en-GB"/>
        </w:rPr>
        <w:t xml:space="preserve"> with the respective team</w:t>
      </w:r>
      <w:r w:rsidR="00F93C72">
        <w:rPr>
          <w:noProof/>
          <w:lang w:eastAsia="en-GB"/>
        </w:rPr>
        <w:t>, thus</w:t>
      </w:r>
      <w:r w:rsidR="00B56FA8">
        <w:rPr>
          <w:noProof/>
          <w:lang w:eastAsia="en-GB"/>
        </w:rPr>
        <w:t xml:space="preserve"> allowing the local management team to help analyse causes and to put forward suggestions.</w:t>
      </w:r>
      <w:r w:rsidR="00C63E03">
        <w:rPr>
          <w:noProof/>
          <w:lang w:eastAsia="en-GB"/>
        </w:rPr>
        <w:t>***</w:t>
      </w:r>
    </w:p>
    <w:p w14:paraId="6B3337D8" w14:textId="657CF2A3" w:rsidR="00B56FA8" w:rsidRDefault="006C207B" w:rsidP="00B56FA8">
      <w:pPr>
        <w:rPr>
          <w:noProof/>
          <w:lang w:eastAsia="en-GB"/>
        </w:rPr>
      </w:pPr>
      <w:r>
        <w:rPr>
          <w:i/>
          <w:noProof/>
          <w:u w:val="single"/>
          <w:lang w:eastAsia="en-GB"/>
        </w:rPr>
        <w:t>Safeguard</w:t>
      </w:r>
      <w:r w:rsidR="00E24AAE">
        <w:rPr>
          <w:i/>
          <w:noProof/>
          <w:u w:val="single"/>
          <w:lang w:eastAsia="en-GB"/>
        </w:rPr>
        <w:t xml:space="preserve"> </w:t>
      </w:r>
      <w:r w:rsidR="00C63E03">
        <w:rPr>
          <w:i/>
          <w:noProof/>
          <w:u w:val="single"/>
          <w:lang w:eastAsia="en-GB"/>
        </w:rPr>
        <w:t>9</w:t>
      </w:r>
      <w:r w:rsidRPr="00C63E03">
        <w:rPr>
          <w:i/>
          <w:noProof/>
          <w:lang w:eastAsia="en-GB"/>
        </w:rPr>
        <w:t xml:space="preserve"> </w:t>
      </w:r>
      <w:r w:rsidR="00B56FA8" w:rsidRPr="00C63E03">
        <w:rPr>
          <w:i/>
          <w:noProof/>
          <w:lang w:eastAsia="en-GB"/>
        </w:rPr>
        <w:t xml:space="preserve"> </w:t>
      </w:r>
      <w:r w:rsidR="00084156" w:rsidRPr="00C63E03">
        <w:rPr>
          <w:i/>
          <w:noProof/>
          <w:lang w:eastAsia="en-GB"/>
        </w:rPr>
        <w:t>I</w:t>
      </w:r>
      <w:r w:rsidR="00B56FA8" w:rsidRPr="00C63E03">
        <w:rPr>
          <w:i/>
          <w:noProof/>
          <w:lang w:eastAsia="en-GB"/>
        </w:rPr>
        <w:t>nvolvement of an experienced CTU</w:t>
      </w:r>
      <w:r w:rsidR="00C63E03" w:rsidRPr="00C63E03">
        <w:rPr>
          <w:i/>
          <w:noProof/>
          <w:lang w:eastAsia="en-GB"/>
        </w:rPr>
        <w:t>:</w:t>
      </w:r>
      <w:r w:rsidR="00CF4F2B" w:rsidRPr="00C63E03">
        <w:rPr>
          <w:i/>
          <w:noProof/>
          <w:lang w:eastAsia="en-GB"/>
        </w:rPr>
        <w:t xml:space="preserve"> </w:t>
      </w:r>
      <w:r w:rsidR="00CF4F2B">
        <w:rPr>
          <w:noProof/>
          <w:lang w:eastAsia="en-GB"/>
        </w:rPr>
        <w:t>The involvement of an experienced CTU ensured that the protocol was sufficiently detailed</w:t>
      </w:r>
      <w:r w:rsidR="00C50A46">
        <w:rPr>
          <w:noProof/>
          <w:lang w:eastAsia="en-GB"/>
        </w:rPr>
        <w:t>,</w:t>
      </w:r>
      <w:r w:rsidR="00CF4F2B">
        <w:rPr>
          <w:noProof/>
          <w:lang w:eastAsia="en-GB"/>
        </w:rPr>
        <w:t xml:space="preserve"> and </w:t>
      </w:r>
      <w:r w:rsidR="00C50A46">
        <w:rPr>
          <w:noProof/>
          <w:lang w:eastAsia="en-GB"/>
        </w:rPr>
        <w:t xml:space="preserve">that </w:t>
      </w:r>
      <w:r w:rsidR="00CF4F2B">
        <w:rPr>
          <w:noProof/>
          <w:lang w:eastAsia="en-GB"/>
        </w:rPr>
        <w:t xml:space="preserve">trial processes such as oversight committee and </w:t>
      </w:r>
      <w:r w:rsidR="00C50A46">
        <w:rPr>
          <w:noProof/>
          <w:lang w:eastAsia="en-GB"/>
        </w:rPr>
        <w:t xml:space="preserve">trial management group meetings were </w:t>
      </w:r>
      <w:r w:rsidR="00CF4F2B">
        <w:rPr>
          <w:noProof/>
          <w:lang w:eastAsia="en-GB"/>
        </w:rPr>
        <w:t xml:space="preserve">appropriately </w:t>
      </w:r>
      <w:r w:rsidR="00F93C72">
        <w:rPr>
          <w:noProof/>
          <w:lang w:eastAsia="en-GB"/>
        </w:rPr>
        <w:t xml:space="preserve">laid out </w:t>
      </w:r>
      <w:r w:rsidR="00CF4F2B">
        <w:rPr>
          <w:noProof/>
          <w:lang w:eastAsia="en-GB"/>
        </w:rPr>
        <w:t xml:space="preserve">so that </w:t>
      </w:r>
      <w:r w:rsidR="00C50A46">
        <w:rPr>
          <w:noProof/>
          <w:lang w:eastAsia="en-GB"/>
        </w:rPr>
        <w:t xml:space="preserve">procedures </w:t>
      </w:r>
      <w:r w:rsidR="00CF4F2B">
        <w:rPr>
          <w:noProof/>
          <w:lang w:eastAsia="en-GB"/>
        </w:rPr>
        <w:t xml:space="preserve"> to address any </w:t>
      </w:r>
      <w:r w:rsidR="00C50A46">
        <w:rPr>
          <w:noProof/>
          <w:lang w:eastAsia="en-GB"/>
        </w:rPr>
        <w:t xml:space="preserve">recruitment </w:t>
      </w:r>
      <w:r w:rsidR="00CF4F2B">
        <w:rPr>
          <w:noProof/>
          <w:lang w:eastAsia="en-GB"/>
        </w:rPr>
        <w:t>delays were in place. It also meant that during periods of staff sickness or absences in the co-ordinating team, experienced senior staff within the CTU were able to fill manpower gaps until those were resolved.</w:t>
      </w:r>
      <w:r w:rsidR="00C63E03">
        <w:rPr>
          <w:noProof/>
          <w:lang w:eastAsia="en-GB"/>
        </w:rPr>
        <w:t>***</w:t>
      </w:r>
    </w:p>
    <w:p w14:paraId="6A61EC75" w14:textId="77777777" w:rsidR="00B171E9" w:rsidRDefault="00B171E9" w:rsidP="00B56FA8">
      <w:pPr>
        <w:rPr>
          <w:b/>
          <w:i/>
          <w:noProof/>
          <w:u w:val="single"/>
          <w:lang w:eastAsia="en-GB"/>
        </w:rPr>
      </w:pPr>
    </w:p>
    <w:p w14:paraId="5D93C9AE" w14:textId="77777777" w:rsidR="009C2410" w:rsidRDefault="009C2410" w:rsidP="00B56FA8">
      <w:pPr>
        <w:rPr>
          <w:b/>
          <w:i/>
          <w:noProof/>
          <w:u w:val="single"/>
          <w:lang w:eastAsia="en-GB"/>
        </w:rPr>
      </w:pPr>
    </w:p>
    <w:p w14:paraId="68FD9540" w14:textId="032FD890" w:rsidR="006539F3" w:rsidRPr="006539F3" w:rsidRDefault="006539F3" w:rsidP="00B56FA8">
      <w:pPr>
        <w:rPr>
          <w:b/>
          <w:i/>
          <w:noProof/>
          <w:color w:val="FF0000"/>
          <w:u w:val="single"/>
          <w:lang w:eastAsia="en-GB"/>
        </w:rPr>
      </w:pPr>
      <w:r w:rsidRPr="006539F3">
        <w:rPr>
          <w:b/>
          <w:i/>
          <w:noProof/>
          <w:u w:val="single"/>
          <w:lang w:eastAsia="en-GB"/>
        </w:rPr>
        <w:lastRenderedPageBreak/>
        <w:t>Patient retention</w:t>
      </w:r>
    </w:p>
    <w:p w14:paraId="68904CB5" w14:textId="77777777" w:rsidR="00B171E9" w:rsidRDefault="00D27E6B" w:rsidP="00D27E6B">
      <w:pPr>
        <w:rPr>
          <w:noProof/>
          <w:lang w:eastAsia="en-GB"/>
        </w:rPr>
      </w:pPr>
      <w:r>
        <w:rPr>
          <w:i/>
          <w:noProof/>
          <w:u w:val="single"/>
          <w:lang w:eastAsia="en-GB"/>
        </w:rPr>
        <w:t xml:space="preserve">Safeguard </w:t>
      </w:r>
      <w:r w:rsidR="00C63E03">
        <w:rPr>
          <w:i/>
          <w:noProof/>
          <w:u w:val="single"/>
          <w:lang w:eastAsia="en-GB"/>
        </w:rPr>
        <w:t>10</w:t>
      </w:r>
      <w:r w:rsidR="00C63E03">
        <w:rPr>
          <w:i/>
          <w:noProof/>
          <w:lang w:eastAsia="en-GB"/>
        </w:rPr>
        <w:t xml:space="preserve"> </w:t>
      </w:r>
      <w:r w:rsidR="00F93C72">
        <w:rPr>
          <w:i/>
          <w:noProof/>
          <w:lang w:eastAsia="en-GB"/>
        </w:rPr>
        <w:t>Study design involving a relatively s</w:t>
      </w:r>
      <w:r w:rsidRPr="00B3015E">
        <w:rPr>
          <w:i/>
          <w:noProof/>
          <w:lang w:eastAsia="en-GB"/>
        </w:rPr>
        <w:t xml:space="preserve">hort </w:t>
      </w:r>
      <w:r>
        <w:rPr>
          <w:i/>
          <w:noProof/>
          <w:lang w:eastAsia="en-GB"/>
        </w:rPr>
        <w:t xml:space="preserve">blinded </w:t>
      </w:r>
      <w:r w:rsidRPr="00B3015E">
        <w:rPr>
          <w:i/>
          <w:noProof/>
          <w:lang w:eastAsia="en-GB"/>
        </w:rPr>
        <w:t>study period (</w:t>
      </w:r>
      <w:r w:rsidR="00211002">
        <w:rPr>
          <w:i/>
          <w:noProof/>
          <w:lang w:eastAsia="en-GB"/>
        </w:rPr>
        <w:t>6 weeks</w:t>
      </w:r>
      <w:r w:rsidRPr="00B3015E">
        <w:rPr>
          <w:i/>
          <w:noProof/>
          <w:lang w:eastAsia="en-GB"/>
        </w:rPr>
        <w:t xml:space="preserve">), and inclusion of an open </w:t>
      </w:r>
      <w:r w:rsidR="002903CA">
        <w:rPr>
          <w:i/>
          <w:noProof/>
          <w:lang w:eastAsia="en-GB"/>
        </w:rPr>
        <w:t xml:space="preserve">extension </w:t>
      </w:r>
      <w:r w:rsidRPr="00B3015E">
        <w:rPr>
          <w:i/>
          <w:noProof/>
          <w:lang w:eastAsia="en-GB"/>
        </w:rPr>
        <w:t>phase</w:t>
      </w:r>
      <w:r>
        <w:rPr>
          <w:i/>
          <w:noProof/>
          <w:lang w:eastAsia="en-GB"/>
        </w:rPr>
        <w:t>.</w:t>
      </w:r>
      <w:r w:rsidR="00E93E40" w:rsidRPr="00B46F89">
        <w:rPr>
          <w:iCs/>
          <w:noProof/>
          <w:lang w:eastAsia="en-GB"/>
        </w:rPr>
        <w:t>(</w:t>
      </w:r>
      <w:r w:rsidR="00DD4B02" w:rsidRPr="00B46F89">
        <w:rPr>
          <w:iCs/>
          <w:noProof/>
          <w:lang w:eastAsia="en-GB"/>
        </w:rPr>
        <w:t>Figure 2</w:t>
      </w:r>
      <w:r w:rsidR="00E93E40" w:rsidRPr="00B46F89">
        <w:rPr>
          <w:iCs/>
          <w:noProof/>
          <w:lang w:eastAsia="en-GB"/>
        </w:rPr>
        <w:t>)</w:t>
      </w:r>
      <w:r w:rsidRPr="00B46F89">
        <w:rPr>
          <w:iCs/>
          <w:noProof/>
          <w:lang w:eastAsia="en-GB"/>
        </w:rPr>
        <w:t xml:space="preserve"> </w:t>
      </w:r>
      <w:r w:rsidRPr="00B3015E">
        <w:rPr>
          <w:noProof/>
          <w:lang w:eastAsia="en-GB"/>
        </w:rPr>
        <w:t>Th</w:t>
      </w:r>
      <w:r w:rsidR="00A76529">
        <w:rPr>
          <w:noProof/>
          <w:lang w:eastAsia="en-GB"/>
        </w:rPr>
        <w:t>ese two study-design features</w:t>
      </w:r>
      <w:r w:rsidRPr="00B3015E">
        <w:rPr>
          <w:noProof/>
          <w:lang w:eastAsia="en-GB"/>
        </w:rPr>
        <w:t xml:space="preserve"> </w:t>
      </w:r>
      <w:r w:rsidR="00A76529">
        <w:rPr>
          <w:noProof/>
          <w:lang w:eastAsia="en-GB"/>
        </w:rPr>
        <w:t xml:space="preserve">may have resulted in an improved retention of those patients perceiving no benefit in the randomised phase </w:t>
      </w:r>
      <w:r w:rsidR="00F93C72">
        <w:rPr>
          <w:noProof/>
          <w:lang w:eastAsia="en-GB"/>
        </w:rPr>
        <w:t xml:space="preserve">(see also </w:t>
      </w:r>
      <w:r w:rsidR="003D79F9">
        <w:rPr>
          <w:noProof/>
          <w:lang w:eastAsia="en-GB"/>
        </w:rPr>
        <w:t>Safeguard 3,</w:t>
      </w:r>
      <w:r w:rsidR="00F93C72">
        <w:rPr>
          <w:noProof/>
          <w:lang w:eastAsia="en-GB"/>
        </w:rPr>
        <w:t xml:space="preserve"> </w:t>
      </w:r>
      <w:r w:rsidR="00F93C72" w:rsidRPr="00F93C72">
        <w:rPr>
          <w:i/>
          <w:noProof/>
          <w:lang w:eastAsia="en-GB"/>
        </w:rPr>
        <w:t>refusal audit</w:t>
      </w:r>
      <w:r w:rsidR="003D79F9">
        <w:rPr>
          <w:i/>
          <w:noProof/>
          <w:lang w:eastAsia="en-GB"/>
        </w:rPr>
        <w:t>,</w:t>
      </w:r>
      <w:r w:rsidR="00F93C72">
        <w:rPr>
          <w:i/>
          <w:noProof/>
          <w:lang w:eastAsia="en-GB"/>
        </w:rPr>
        <w:t xml:space="preserve"> </w:t>
      </w:r>
      <w:r w:rsidR="00F93C72" w:rsidRPr="00F93C72">
        <w:rPr>
          <w:noProof/>
          <w:lang w:eastAsia="en-GB"/>
        </w:rPr>
        <w:t>above</w:t>
      </w:r>
      <w:r w:rsidR="00F93C72">
        <w:rPr>
          <w:noProof/>
          <w:lang w:eastAsia="en-GB"/>
        </w:rPr>
        <w:t>)</w:t>
      </w:r>
      <w:r>
        <w:rPr>
          <w:noProof/>
          <w:lang w:eastAsia="en-GB"/>
        </w:rPr>
        <w:t>.***</w:t>
      </w:r>
    </w:p>
    <w:p w14:paraId="7E932A88" w14:textId="7E08EC27" w:rsidR="009D3471" w:rsidRPr="009C2410" w:rsidRDefault="00BF05D3" w:rsidP="009D3471">
      <w:pPr>
        <w:rPr>
          <w:b/>
          <w:bCs/>
          <w:noProof/>
          <w:lang w:eastAsia="en-GB"/>
        </w:rPr>
      </w:pPr>
      <w:r w:rsidRPr="00B46F89">
        <w:rPr>
          <w:b/>
          <w:bCs/>
          <w:noProof/>
          <w:lang w:eastAsia="en-GB"/>
        </w:rPr>
        <w:t>Figure 2.</w:t>
      </w:r>
      <w:r w:rsidR="00F64A0A">
        <w:rPr>
          <w:b/>
          <w:bCs/>
          <w:noProof/>
          <w:lang w:eastAsia="en-GB"/>
        </w:rPr>
        <w:t xml:space="preserve"> Participant Flow Chart</w:t>
      </w:r>
      <w:r w:rsidR="00CB04AC">
        <w:rPr>
          <w:b/>
          <w:bCs/>
          <w:noProof/>
          <w:lang w:eastAsia="en-GB"/>
        </w:rPr>
        <w:t xml:space="preserve"> across </w:t>
      </w:r>
      <w:r w:rsidR="00741FD5">
        <w:rPr>
          <w:b/>
          <w:bCs/>
          <w:noProof/>
          <w:lang w:eastAsia="en-GB"/>
        </w:rPr>
        <w:t xml:space="preserve">the </w:t>
      </w:r>
      <w:r w:rsidR="00CB04AC">
        <w:rPr>
          <w:b/>
          <w:bCs/>
          <w:noProof/>
          <w:lang w:eastAsia="en-GB"/>
        </w:rPr>
        <w:t>LIPS Study Timelines</w:t>
      </w:r>
    </w:p>
    <w:p w14:paraId="686D59DE" w14:textId="77777777" w:rsidR="009D3471" w:rsidRPr="009D3471" w:rsidRDefault="009D3471" w:rsidP="009D3471">
      <w:pPr>
        <w:rPr>
          <w:rFonts w:ascii="Calibri" w:eastAsia="Calibri" w:hAnsi="Calibri" w:cs="Calibri"/>
          <w:sz w:val="20"/>
          <w:szCs w:val="20"/>
        </w:rPr>
      </w:pPr>
      <w:r w:rsidRPr="009D3471">
        <w:rPr>
          <w:rFonts w:ascii="Calibri" w:eastAsia="Calibri" w:hAnsi="Calibri" w:cs="Times New Roman"/>
          <w:noProof/>
          <w:lang w:eastAsia="en-GB"/>
        </w:rPr>
        <mc:AlternateContent>
          <mc:Choice Requires="wps">
            <w:drawing>
              <wp:anchor distT="0" distB="0" distL="114300" distR="114300" simplePos="0" relativeHeight="251671552" behindDoc="0" locked="0" layoutInCell="1" allowOverlap="1" wp14:anchorId="4D988798" wp14:editId="6F96A6CF">
                <wp:simplePos x="0" y="0"/>
                <wp:positionH relativeFrom="column">
                  <wp:posOffset>-351155</wp:posOffset>
                </wp:positionH>
                <wp:positionV relativeFrom="paragraph">
                  <wp:posOffset>124460</wp:posOffset>
                </wp:positionV>
                <wp:extent cx="1717040" cy="768350"/>
                <wp:effectExtent l="0" t="0" r="16510" b="1270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768350"/>
                        </a:xfrm>
                        <a:prstGeom prst="rect">
                          <a:avLst/>
                        </a:prstGeom>
                        <a:solidFill>
                          <a:srgbClr val="FFFFFF"/>
                        </a:solidFill>
                        <a:ln w="9525">
                          <a:solidFill>
                            <a:srgbClr val="000000"/>
                          </a:solidFill>
                          <a:miter lim="800000"/>
                          <a:headEnd/>
                          <a:tailEnd/>
                        </a:ln>
                      </wps:spPr>
                      <wps:txbx>
                        <w:txbxContent>
                          <w:p w14:paraId="2998521D" w14:textId="77777777" w:rsidR="009D3471" w:rsidRPr="009D3471" w:rsidRDefault="009D3471" w:rsidP="009D3471">
                            <w:pPr>
                              <w:rPr>
                                <w:rFonts w:cs="Calibri"/>
                                <w:sz w:val="18"/>
                                <w:szCs w:val="18"/>
                              </w:rPr>
                            </w:pPr>
                            <w:r w:rsidRPr="009D3471">
                              <w:rPr>
                                <w:rFonts w:cs="Calibri"/>
                                <w:sz w:val="18"/>
                                <w:szCs w:val="18"/>
                              </w:rPr>
                              <w:t xml:space="preserve">Non-eligible patients are entered onto an eligibility log and are excluded with the specific reason, e.g. ‘too early’, or ‘refusal’ documented.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988798" id="_x0000_t202" coordsize="21600,21600" o:spt="202" path="m,l,21600r21600,l21600,xe">
                <v:stroke joinstyle="miter"/>
                <v:path gradientshapeok="t" o:connecttype="rect"/>
              </v:shapetype>
              <v:shape id="Text Box 24" o:spid="_x0000_s1026" type="#_x0000_t202" style="position:absolute;margin-left:-27.65pt;margin-top:9.8pt;width:135.2pt;height: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">
                <v:textbox>
                  <w:txbxContent>
                    <w:p w14:paraId="2998521D" w14:textId="77777777" w:rsidR="009D3471" w:rsidRPr="009D3471" w:rsidRDefault="009D3471" w:rsidP="009D3471">
                      <w:pPr>
                        <w:rPr>
                          <w:rFonts w:cs="Calibri"/>
                          <w:sz w:val="18"/>
                          <w:szCs w:val="18"/>
                        </w:rPr>
                      </w:pPr>
                      <w:r w:rsidRPr="009D3471">
                        <w:rPr>
                          <w:rFonts w:cs="Calibri"/>
                          <w:sz w:val="18"/>
                          <w:szCs w:val="18"/>
                        </w:rPr>
                        <w:t xml:space="preserve">Non-eligible patients are entered onto an eligibility log and are excluded with the specific reason, e.g. ‘too early’, or ‘refusal’ documented. </w:t>
                      </w:r>
                    </w:p>
                  </w:txbxContent>
                </v:textbox>
              </v:shape>
            </w:pict>
          </mc:Fallback>
        </mc:AlternateContent>
      </w:r>
      <w:r w:rsidRPr="009D3471">
        <w:rPr>
          <w:rFonts w:ascii="Calibri" w:eastAsia="Calibri" w:hAnsi="Calibri" w:cs="Times New Roman"/>
          <w:noProof/>
          <w:lang w:eastAsia="en-GB"/>
        </w:rPr>
        <mc:AlternateContent>
          <mc:Choice Requires="wps">
            <w:drawing>
              <wp:anchor distT="0" distB="0" distL="114300" distR="114300" simplePos="0" relativeHeight="251659264" behindDoc="0" locked="0" layoutInCell="1" allowOverlap="1" wp14:anchorId="018A562E" wp14:editId="3318C34E">
                <wp:simplePos x="0" y="0"/>
                <wp:positionH relativeFrom="column">
                  <wp:posOffset>1593850</wp:posOffset>
                </wp:positionH>
                <wp:positionV relativeFrom="paragraph">
                  <wp:posOffset>141605</wp:posOffset>
                </wp:positionV>
                <wp:extent cx="4032885" cy="654050"/>
                <wp:effectExtent l="12700" t="10795" r="12065" b="1143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885" cy="654050"/>
                        </a:xfrm>
                        <a:prstGeom prst="rect">
                          <a:avLst/>
                        </a:prstGeom>
                        <a:solidFill>
                          <a:srgbClr val="FFFFFF"/>
                        </a:solidFill>
                        <a:ln w="9525">
                          <a:solidFill>
                            <a:srgbClr val="000000"/>
                          </a:solidFill>
                          <a:miter lim="800000"/>
                          <a:headEnd/>
                          <a:tailEnd/>
                        </a:ln>
                      </wps:spPr>
                      <wps:txbx>
                        <w:txbxContent>
                          <w:p w14:paraId="5392E4D9" w14:textId="77777777" w:rsidR="009D3471" w:rsidRPr="00CD3A63" w:rsidRDefault="009D3471" w:rsidP="009D3471">
                            <w:pPr>
                              <w:rPr>
                                <w:sz w:val="18"/>
                                <w:szCs w:val="18"/>
                              </w:rPr>
                            </w:pPr>
                            <w:r w:rsidRPr="00CD3A63">
                              <w:rPr>
                                <w:sz w:val="18"/>
                                <w:szCs w:val="18"/>
                                <w:u w:val="single"/>
                              </w:rPr>
                              <w:t xml:space="preserve">Visit 1 (screening): </w:t>
                            </w:r>
                            <w:r w:rsidRPr="00CD3A63">
                              <w:rPr>
                                <w:sz w:val="18"/>
                                <w:szCs w:val="18"/>
                              </w:rPr>
                              <w:t>Initial assessment for eligibility, consent, baseline QST, bloods, questionnaires. Distribution of screening pain diaries, to be completed over 14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A562E" id="Rectangle 23" o:spid="_x0000_s1027" style="position:absolute;margin-left:125.5pt;margin-top:11.15pt;width:317.55pt;height: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3RFLAIAAFA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">
                <v:textbox>
                  <w:txbxContent>
                    <w:p w14:paraId="5392E4D9" w14:textId="77777777" w:rsidR="009D3471" w:rsidRPr="00CD3A63" w:rsidRDefault="009D3471" w:rsidP="009D3471">
                      <w:pPr>
                        <w:rPr>
                          <w:sz w:val="18"/>
                          <w:szCs w:val="18"/>
                        </w:rPr>
                      </w:pPr>
                      <w:r w:rsidRPr="00CD3A63">
                        <w:rPr>
                          <w:sz w:val="18"/>
                          <w:szCs w:val="18"/>
                          <w:u w:val="single"/>
                        </w:rPr>
                        <w:t xml:space="preserve">Visit 1 (screening): </w:t>
                      </w:r>
                      <w:r w:rsidRPr="00CD3A63">
                        <w:rPr>
                          <w:sz w:val="18"/>
                          <w:szCs w:val="18"/>
                        </w:rPr>
                        <w:t>Initial assessment for eligibility, consent, baseline QST, bloods, questionnaires. Distribution of screening pain diaries, to be completed over 14 days.</w:t>
                      </w:r>
                    </w:p>
                  </w:txbxContent>
                </v:textbox>
              </v:rect>
            </w:pict>
          </mc:Fallback>
        </mc:AlternateContent>
      </w:r>
      <w:r w:rsidRPr="009D3471">
        <w:rPr>
          <w:rFonts w:ascii="Calibri" w:eastAsia="Calibri" w:hAnsi="Calibri" w:cs="Times New Roman"/>
        </w:rPr>
        <w:t xml:space="preserve"> </w:t>
      </w:r>
    </w:p>
    <w:p w14:paraId="461D8BC4" w14:textId="77777777" w:rsidR="009D3471" w:rsidRPr="009D3471" w:rsidRDefault="009D3471" w:rsidP="009D3471">
      <w:pPr>
        <w:rPr>
          <w:rFonts w:ascii="Calibri" w:eastAsia="Calibri" w:hAnsi="Calibri" w:cs="Calibri"/>
          <w:sz w:val="20"/>
          <w:szCs w:val="20"/>
        </w:rPr>
      </w:pPr>
      <w:r w:rsidRPr="009D3471">
        <w:rPr>
          <w:rFonts w:ascii="Calibri" w:eastAsia="Calibri" w:hAnsi="Calibri" w:cs="Calibri"/>
          <w:noProof/>
          <w:sz w:val="20"/>
          <w:szCs w:val="20"/>
          <w:lang w:eastAsia="en-GB"/>
        </w:rPr>
        <mc:AlternateContent>
          <mc:Choice Requires="wps">
            <w:drawing>
              <wp:anchor distT="0" distB="0" distL="114300" distR="114300" simplePos="0" relativeHeight="251670528" behindDoc="0" locked="0" layoutInCell="1" allowOverlap="1" wp14:anchorId="580961B3" wp14:editId="7AF5F79D">
                <wp:simplePos x="0" y="0"/>
                <wp:positionH relativeFrom="column">
                  <wp:posOffset>1372870</wp:posOffset>
                </wp:positionH>
                <wp:positionV relativeFrom="paragraph">
                  <wp:posOffset>145415</wp:posOffset>
                </wp:positionV>
                <wp:extent cx="220980" cy="0"/>
                <wp:effectExtent l="20320" t="61595" r="6350" b="52705"/>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AAC11" id="Line 2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1pt,11.45pt" to="12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">
                <v:stroke endarrow="block"/>
              </v:line>
            </w:pict>
          </mc:Fallback>
        </mc:AlternateContent>
      </w:r>
    </w:p>
    <w:p w14:paraId="7687AA2D" w14:textId="77777777" w:rsidR="009D3471" w:rsidRPr="009D3471" w:rsidRDefault="009D3471" w:rsidP="009D3471">
      <w:pPr>
        <w:rPr>
          <w:rFonts w:ascii="Calibri" w:eastAsia="Calibri" w:hAnsi="Calibri" w:cs="Calibri"/>
          <w:sz w:val="20"/>
          <w:szCs w:val="20"/>
        </w:rPr>
      </w:pPr>
      <w:r w:rsidRPr="009D3471">
        <w:rPr>
          <w:rFonts w:ascii="Calibri" w:eastAsia="Calibri" w:hAnsi="Calibri" w:cs="Calibri"/>
          <w:noProof/>
          <w:sz w:val="20"/>
          <w:szCs w:val="20"/>
          <w:lang w:eastAsia="en-GB"/>
        </w:rPr>
        <mc:AlternateContent>
          <mc:Choice Requires="wps">
            <w:drawing>
              <wp:anchor distT="0" distB="0" distL="114300" distR="114300" simplePos="0" relativeHeight="251663360" behindDoc="0" locked="0" layoutInCell="1" allowOverlap="1" wp14:anchorId="492933A0" wp14:editId="4CAE690D">
                <wp:simplePos x="0" y="0"/>
                <wp:positionH relativeFrom="column">
                  <wp:posOffset>2819400</wp:posOffset>
                </wp:positionH>
                <wp:positionV relativeFrom="paragraph">
                  <wp:posOffset>1186180</wp:posOffset>
                </wp:positionV>
                <wp:extent cx="1884045" cy="341630"/>
                <wp:effectExtent l="0" t="0" r="40005" b="7747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045" cy="341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567B1"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93.4pt" to="370.35pt,1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">
                <v:stroke endarrow="block"/>
              </v:line>
            </w:pict>
          </mc:Fallback>
        </mc:AlternateContent>
      </w:r>
      <w:r w:rsidRPr="009D3471">
        <w:rPr>
          <w:rFonts w:ascii="Calibri" w:eastAsia="Calibri" w:hAnsi="Calibri" w:cs="Calibri"/>
          <w:noProof/>
          <w:sz w:val="20"/>
          <w:szCs w:val="20"/>
          <w:lang w:eastAsia="en-GB"/>
        </w:rPr>
        <mc:AlternateContent>
          <mc:Choice Requires="wps">
            <w:drawing>
              <wp:anchor distT="0" distB="0" distL="114300" distR="114300" simplePos="0" relativeHeight="251662336" behindDoc="0" locked="0" layoutInCell="1" allowOverlap="1" wp14:anchorId="5A00EF16" wp14:editId="70E11740">
                <wp:simplePos x="0" y="0"/>
                <wp:positionH relativeFrom="column">
                  <wp:posOffset>1035050</wp:posOffset>
                </wp:positionH>
                <wp:positionV relativeFrom="paragraph">
                  <wp:posOffset>1205230</wp:posOffset>
                </wp:positionV>
                <wp:extent cx="1739900" cy="334010"/>
                <wp:effectExtent l="38100" t="0" r="12700" b="8509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9900" cy="334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BC854" id="Line 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94.9pt" to="218.5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">
                <v:stroke endarrow="block"/>
              </v:line>
            </w:pict>
          </mc:Fallback>
        </mc:AlternateContent>
      </w:r>
      <w:r w:rsidRPr="009D3471">
        <w:rPr>
          <w:rFonts w:ascii="Calibri" w:eastAsia="Calibri" w:hAnsi="Calibri" w:cs="Calibri"/>
          <w:noProof/>
          <w:sz w:val="20"/>
          <w:szCs w:val="20"/>
          <w:lang w:eastAsia="en-GB"/>
        </w:rPr>
        <mc:AlternateContent>
          <mc:Choice Requires="wps">
            <w:drawing>
              <wp:anchor distT="0" distB="0" distL="114300" distR="114300" simplePos="0" relativeHeight="251660288" behindDoc="0" locked="0" layoutInCell="1" allowOverlap="1" wp14:anchorId="0645E08C" wp14:editId="41C41CB9">
                <wp:simplePos x="0" y="0"/>
                <wp:positionH relativeFrom="column">
                  <wp:posOffset>1593850</wp:posOffset>
                </wp:positionH>
                <wp:positionV relativeFrom="paragraph">
                  <wp:posOffset>444500</wp:posOffset>
                </wp:positionV>
                <wp:extent cx="4025900" cy="750570"/>
                <wp:effectExtent l="0" t="0" r="12700" b="1143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0" cy="750570"/>
                        </a:xfrm>
                        <a:prstGeom prst="rect">
                          <a:avLst/>
                        </a:prstGeom>
                        <a:solidFill>
                          <a:srgbClr val="FFFFFF"/>
                        </a:solidFill>
                        <a:ln w="9525">
                          <a:solidFill>
                            <a:srgbClr val="000000"/>
                          </a:solidFill>
                          <a:miter lim="800000"/>
                          <a:headEnd/>
                          <a:tailEnd/>
                        </a:ln>
                      </wps:spPr>
                      <wps:txbx>
                        <w:txbxContent>
                          <w:p w14:paraId="45622928" w14:textId="77777777" w:rsidR="009D3471" w:rsidRPr="005F2160" w:rsidRDefault="009D3471" w:rsidP="009D3471">
                            <w:pPr>
                              <w:rPr>
                                <w:sz w:val="18"/>
                                <w:szCs w:val="18"/>
                              </w:rPr>
                            </w:pPr>
                            <w:r w:rsidRPr="005F2160">
                              <w:rPr>
                                <w:sz w:val="18"/>
                                <w:szCs w:val="18"/>
                                <w:u w:val="single"/>
                              </w:rPr>
                              <w:t>Randomisation eligibility:</w:t>
                            </w:r>
                            <w:r w:rsidRPr="005F2160">
                              <w:rPr>
                                <w:sz w:val="18"/>
                                <w:szCs w:val="18"/>
                              </w:rPr>
                              <w:t xml:space="preserve"> Conducted over the phone, 10 - 14 days after Visit 1: eligibility to be randomised is determined based on both screening diary </w:t>
                            </w:r>
                            <w:proofErr w:type="gramStart"/>
                            <w:r w:rsidRPr="005F2160">
                              <w:rPr>
                                <w:sz w:val="18"/>
                                <w:szCs w:val="18"/>
                              </w:rPr>
                              <w:t>data  and</w:t>
                            </w:r>
                            <w:proofErr w:type="gramEnd"/>
                            <w:r w:rsidRPr="005F2160">
                              <w:rPr>
                                <w:sz w:val="18"/>
                                <w:szCs w:val="18"/>
                              </w:rPr>
                              <w:t xml:space="preserve"> analysis of clinical blood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5E08C" id="Rectangle 3" o:spid="_x0000_s1028" style="position:absolute;margin-left:125.5pt;margin-top:35pt;width:317pt;height:5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">
                <v:textbox>
                  <w:txbxContent>
                    <w:p w14:paraId="45622928" w14:textId="77777777" w:rsidR="009D3471" w:rsidRPr="005F2160" w:rsidRDefault="009D3471" w:rsidP="009D3471">
                      <w:pPr>
                        <w:rPr>
                          <w:sz w:val="18"/>
                          <w:szCs w:val="18"/>
                        </w:rPr>
                      </w:pPr>
                      <w:r w:rsidRPr="005F2160">
                        <w:rPr>
                          <w:sz w:val="18"/>
                          <w:szCs w:val="18"/>
                          <w:u w:val="single"/>
                        </w:rPr>
                        <w:t>Randomisation eligibility:</w:t>
                      </w:r>
                      <w:r w:rsidRPr="005F2160">
                        <w:rPr>
                          <w:sz w:val="18"/>
                          <w:szCs w:val="18"/>
                        </w:rPr>
                        <w:t xml:space="preserve"> Conducted over the phone, 10 - 14 days after Visit 1: eligibility to be randomised is determined based on both screening diary </w:t>
                      </w:r>
                      <w:proofErr w:type="gramStart"/>
                      <w:r w:rsidRPr="005F2160">
                        <w:rPr>
                          <w:sz w:val="18"/>
                          <w:szCs w:val="18"/>
                        </w:rPr>
                        <w:t>data  and</w:t>
                      </w:r>
                      <w:proofErr w:type="gramEnd"/>
                      <w:r w:rsidRPr="005F2160">
                        <w:rPr>
                          <w:sz w:val="18"/>
                          <w:szCs w:val="18"/>
                        </w:rPr>
                        <w:t xml:space="preserve"> analysis of clinical blood results. </w:t>
                      </w:r>
                    </w:p>
                  </w:txbxContent>
                </v:textbox>
              </v:rect>
            </w:pict>
          </mc:Fallback>
        </mc:AlternateContent>
      </w:r>
      <w:r w:rsidRPr="009D3471">
        <w:rPr>
          <w:rFonts w:ascii="Calibri" w:eastAsia="Calibri" w:hAnsi="Calibri" w:cs="Calibri"/>
          <w:noProof/>
          <w:sz w:val="20"/>
          <w:szCs w:val="20"/>
          <w:lang w:eastAsia="en-GB"/>
        </w:rPr>
        <mc:AlternateContent>
          <mc:Choice Requires="wps">
            <w:drawing>
              <wp:anchor distT="0" distB="0" distL="114300" distR="114300" simplePos="0" relativeHeight="251677696" behindDoc="0" locked="0" layoutInCell="1" allowOverlap="1" wp14:anchorId="1B8EB216" wp14:editId="4C52B767">
                <wp:simplePos x="0" y="0"/>
                <wp:positionH relativeFrom="column">
                  <wp:posOffset>2914649</wp:posOffset>
                </wp:positionH>
                <wp:positionV relativeFrom="paragraph">
                  <wp:posOffset>3053080</wp:posOffset>
                </wp:positionV>
                <wp:extent cx="12700" cy="1592580"/>
                <wp:effectExtent l="76200" t="0" r="82550" b="64770"/>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1592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4D018" id="Line 18"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240.4pt" to="230.5pt,3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">
                <v:stroke endarrow="block"/>
              </v:line>
            </w:pict>
          </mc:Fallback>
        </mc:AlternateContent>
      </w:r>
      <w:r w:rsidRPr="009D3471">
        <w:rPr>
          <w:rFonts w:ascii="Calibri" w:eastAsia="Calibri" w:hAnsi="Calibri" w:cs="Calibri"/>
          <w:noProof/>
          <w:sz w:val="20"/>
          <w:szCs w:val="20"/>
          <w:lang w:eastAsia="en-GB"/>
        </w:rPr>
        <mc:AlternateContent>
          <mc:Choice Requires="wps">
            <w:drawing>
              <wp:anchor distT="0" distB="0" distL="114300" distR="114300" simplePos="0" relativeHeight="251668480" behindDoc="0" locked="0" layoutInCell="1" allowOverlap="1" wp14:anchorId="1C52DA37" wp14:editId="318A23C2">
                <wp:simplePos x="0" y="0"/>
                <wp:positionH relativeFrom="column">
                  <wp:posOffset>4660900</wp:posOffset>
                </wp:positionH>
                <wp:positionV relativeFrom="paragraph">
                  <wp:posOffset>4493896</wp:posOffset>
                </wp:positionV>
                <wp:extent cx="12700" cy="1445260"/>
                <wp:effectExtent l="76200" t="0" r="63500" b="59690"/>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144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A983D" id="Line 1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pt,353.85pt" to="368pt,4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">
                <v:stroke endarrow="block"/>
              </v:line>
            </w:pict>
          </mc:Fallback>
        </mc:AlternateContent>
      </w:r>
      <w:r w:rsidRPr="009D3471">
        <w:rPr>
          <w:rFonts w:ascii="Calibri" w:eastAsia="Calibri" w:hAnsi="Calibri" w:cs="Calibri"/>
          <w:noProof/>
          <w:sz w:val="20"/>
          <w:szCs w:val="20"/>
          <w:lang w:eastAsia="en-GB"/>
        </w:rPr>
        <mc:AlternateContent>
          <mc:Choice Requires="wps">
            <w:drawing>
              <wp:anchor distT="0" distB="0" distL="114300" distR="114300" simplePos="0" relativeHeight="251664384" behindDoc="0" locked="0" layoutInCell="1" allowOverlap="1" wp14:anchorId="1B8A90A9" wp14:editId="2DDC6C4D">
                <wp:simplePos x="0" y="0"/>
                <wp:positionH relativeFrom="column">
                  <wp:posOffset>-406400</wp:posOffset>
                </wp:positionH>
                <wp:positionV relativeFrom="paragraph">
                  <wp:posOffset>2138681</wp:posOffset>
                </wp:positionV>
                <wp:extent cx="3042285" cy="2279650"/>
                <wp:effectExtent l="0" t="0" r="24765" b="2540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2285" cy="2279650"/>
                        </a:xfrm>
                        <a:prstGeom prst="rect">
                          <a:avLst/>
                        </a:prstGeom>
                        <a:solidFill>
                          <a:srgbClr val="FFFFFF"/>
                        </a:solidFill>
                        <a:ln w="9525">
                          <a:solidFill>
                            <a:srgbClr val="000000"/>
                          </a:solidFill>
                          <a:miter lim="800000"/>
                          <a:headEnd/>
                          <a:tailEnd/>
                        </a:ln>
                      </wps:spPr>
                      <wps:txbx>
                        <w:txbxContent>
                          <w:p w14:paraId="61D1B294" w14:textId="0555C41F" w:rsidR="009D3471" w:rsidRPr="00CD3A63" w:rsidRDefault="009D3471" w:rsidP="009D3471">
                            <w:pPr>
                              <w:rPr>
                                <w:sz w:val="18"/>
                                <w:szCs w:val="18"/>
                              </w:rPr>
                            </w:pPr>
                            <w:r w:rsidRPr="00CD3A63">
                              <w:rPr>
                                <w:sz w:val="18"/>
                                <w:szCs w:val="18"/>
                                <w:u w:val="single"/>
                              </w:rPr>
                              <w:t>Day 1 (= visit 2, first infusion day) 2-3 weeks after visit 1:</w:t>
                            </w:r>
                            <w:r w:rsidRPr="00CD3A63">
                              <w:rPr>
                                <w:sz w:val="18"/>
                                <w:szCs w:val="18"/>
                              </w:rPr>
                              <w:t xml:space="preserve">  patients receive 0.5g/kg IVIG, </w:t>
                            </w:r>
                            <w:r>
                              <w:rPr>
                                <w:sz w:val="18"/>
                                <w:szCs w:val="18"/>
                              </w:rPr>
                              <w:t>QST if not done at visit 1,</w:t>
                            </w:r>
                            <w:r w:rsidRPr="00CD3A63">
                              <w:rPr>
                                <w:sz w:val="18"/>
                                <w:szCs w:val="18"/>
                              </w:rPr>
                              <w:t xml:space="preserve"> questionnaires</w:t>
                            </w:r>
                          </w:p>
                          <w:p w14:paraId="44BCC9CE" w14:textId="77777777" w:rsidR="009D3471" w:rsidRPr="00CD3A63" w:rsidRDefault="009D3471" w:rsidP="009D3471">
                            <w:pPr>
                              <w:rPr>
                                <w:sz w:val="18"/>
                                <w:szCs w:val="18"/>
                              </w:rPr>
                            </w:pPr>
                            <w:r w:rsidRPr="00CD3A63">
                              <w:rPr>
                                <w:sz w:val="18"/>
                                <w:szCs w:val="18"/>
                              </w:rPr>
                              <w:t>Days 2 – 43: completion of pain diaries (primary outcome: daily average 24h pain intensity between days 6-42)</w:t>
                            </w:r>
                          </w:p>
                          <w:p w14:paraId="1996CF36" w14:textId="77777777" w:rsidR="009D3471" w:rsidRPr="00CD3A63" w:rsidRDefault="009D3471" w:rsidP="009D3471">
                            <w:pPr>
                              <w:rPr>
                                <w:sz w:val="18"/>
                                <w:szCs w:val="18"/>
                              </w:rPr>
                            </w:pPr>
                            <w:r w:rsidRPr="00CD3A63">
                              <w:rPr>
                                <w:sz w:val="18"/>
                                <w:szCs w:val="18"/>
                                <w:u w:val="single"/>
                              </w:rPr>
                              <w:t>Day 22 (Visit 3):</w:t>
                            </w:r>
                            <w:r w:rsidRPr="00CD3A63">
                              <w:rPr>
                                <w:sz w:val="18"/>
                                <w:szCs w:val="18"/>
                              </w:rPr>
                              <w:t xml:space="preserve"> patients receive 0.5g/kg IVIG diluted in 5% dextrose, questionnaires  </w:t>
                            </w:r>
                          </w:p>
                          <w:p w14:paraId="49980942" w14:textId="77777777" w:rsidR="009D3471" w:rsidRPr="00CD3A63" w:rsidRDefault="009D3471" w:rsidP="009D3471">
                            <w:pPr>
                              <w:rPr>
                                <w:sz w:val="18"/>
                                <w:szCs w:val="18"/>
                              </w:rPr>
                            </w:pPr>
                            <w:r w:rsidRPr="00CD3A63">
                              <w:rPr>
                                <w:sz w:val="18"/>
                                <w:szCs w:val="18"/>
                                <w:u w:val="single"/>
                              </w:rPr>
                              <w:t>Day 43 (Visit 4):</w:t>
                            </w:r>
                            <w:r w:rsidRPr="00CD3A63">
                              <w:rPr>
                                <w:sz w:val="18"/>
                                <w:szCs w:val="18"/>
                              </w:rPr>
                              <w:t xml:space="preserve"> Repeat QST/research bloods/ questionnaires </w:t>
                            </w:r>
                          </w:p>
                          <w:p w14:paraId="68A7FD1E" w14:textId="77777777" w:rsidR="009D3471" w:rsidRDefault="009D3471" w:rsidP="009D3471">
                            <w:pPr>
                              <w:ind w:firstLine="720"/>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A90A9" id="Rectangle 13" o:spid="_x0000_s1029" style="position:absolute;margin-left:-32pt;margin-top:168.4pt;width:239.55pt;height:1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">
                <v:textbox>
                  <w:txbxContent>
                    <w:p w14:paraId="61D1B294" w14:textId="0555C41F" w:rsidR="009D3471" w:rsidRPr="00CD3A63" w:rsidRDefault="009D3471" w:rsidP="009D3471">
                      <w:pPr>
                        <w:rPr>
                          <w:sz w:val="18"/>
                          <w:szCs w:val="18"/>
                        </w:rPr>
                      </w:pPr>
                      <w:r w:rsidRPr="00CD3A63">
                        <w:rPr>
                          <w:sz w:val="18"/>
                          <w:szCs w:val="18"/>
                          <w:u w:val="single"/>
                        </w:rPr>
                        <w:t>Day 1 (= visit 2, first infusion day) 2-3 weeks after visit 1:</w:t>
                      </w:r>
                      <w:r w:rsidRPr="00CD3A63">
                        <w:rPr>
                          <w:sz w:val="18"/>
                          <w:szCs w:val="18"/>
                        </w:rPr>
                        <w:t xml:space="preserve">  patients receive 0.5g/kg IVIG, </w:t>
                      </w:r>
                      <w:r>
                        <w:rPr>
                          <w:sz w:val="18"/>
                          <w:szCs w:val="18"/>
                        </w:rPr>
                        <w:t>QST if not done at visit 1,</w:t>
                      </w:r>
                      <w:r w:rsidRPr="00CD3A63">
                        <w:rPr>
                          <w:sz w:val="18"/>
                          <w:szCs w:val="18"/>
                        </w:rPr>
                        <w:t xml:space="preserve"> questionnaires</w:t>
                      </w:r>
                    </w:p>
                    <w:p w14:paraId="44BCC9CE" w14:textId="77777777" w:rsidR="009D3471" w:rsidRPr="00CD3A63" w:rsidRDefault="009D3471" w:rsidP="009D3471">
                      <w:pPr>
                        <w:rPr>
                          <w:sz w:val="18"/>
                          <w:szCs w:val="18"/>
                        </w:rPr>
                      </w:pPr>
                      <w:r w:rsidRPr="00CD3A63">
                        <w:rPr>
                          <w:sz w:val="18"/>
                          <w:szCs w:val="18"/>
                        </w:rPr>
                        <w:t>Days 2 – 43: completion of pain diaries (primary outcome: daily average 24h pain intensity between days 6-42)</w:t>
                      </w:r>
                    </w:p>
                    <w:p w14:paraId="1996CF36" w14:textId="77777777" w:rsidR="009D3471" w:rsidRPr="00CD3A63" w:rsidRDefault="009D3471" w:rsidP="009D3471">
                      <w:pPr>
                        <w:rPr>
                          <w:sz w:val="18"/>
                          <w:szCs w:val="18"/>
                        </w:rPr>
                      </w:pPr>
                      <w:r w:rsidRPr="00CD3A63">
                        <w:rPr>
                          <w:sz w:val="18"/>
                          <w:szCs w:val="18"/>
                          <w:u w:val="single"/>
                        </w:rPr>
                        <w:t>Day 22 (Visit 3):</w:t>
                      </w:r>
                      <w:r w:rsidRPr="00CD3A63">
                        <w:rPr>
                          <w:sz w:val="18"/>
                          <w:szCs w:val="18"/>
                        </w:rPr>
                        <w:t xml:space="preserve"> patients receive 0.5g/kg IVIG diluted in 5% dextrose, questionnaires  </w:t>
                      </w:r>
                    </w:p>
                    <w:p w14:paraId="49980942" w14:textId="77777777" w:rsidR="009D3471" w:rsidRPr="00CD3A63" w:rsidRDefault="009D3471" w:rsidP="009D3471">
                      <w:pPr>
                        <w:rPr>
                          <w:sz w:val="18"/>
                          <w:szCs w:val="18"/>
                        </w:rPr>
                      </w:pPr>
                      <w:r w:rsidRPr="00CD3A63">
                        <w:rPr>
                          <w:sz w:val="18"/>
                          <w:szCs w:val="18"/>
                          <w:u w:val="single"/>
                        </w:rPr>
                        <w:t>Day 43 (Visit 4):</w:t>
                      </w:r>
                      <w:r w:rsidRPr="00CD3A63">
                        <w:rPr>
                          <w:sz w:val="18"/>
                          <w:szCs w:val="18"/>
                        </w:rPr>
                        <w:t xml:space="preserve"> Repeat QST/research bloods/ questionnaires </w:t>
                      </w:r>
                    </w:p>
                    <w:p w14:paraId="68A7FD1E" w14:textId="77777777" w:rsidR="009D3471" w:rsidRDefault="009D3471" w:rsidP="009D3471">
                      <w:pPr>
                        <w:ind w:firstLine="720"/>
                        <w:rPr>
                          <w:sz w:val="24"/>
                        </w:rPr>
                      </w:pPr>
                    </w:p>
                  </w:txbxContent>
                </v:textbox>
              </v:rect>
            </w:pict>
          </mc:Fallback>
        </mc:AlternateContent>
      </w:r>
      <w:r w:rsidRPr="009D3471">
        <w:rPr>
          <w:rFonts w:ascii="Calibri" w:eastAsia="Calibri" w:hAnsi="Calibri" w:cs="Calibri"/>
          <w:noProof/>
          <w:sz w:val="20"/>
          <w:szCs w:val="20"/>
          <w:lang w:eastAsia="en-GB"/>
        </w:rPr>
        <mc:AlternateContent>
          <mc:Choice Requires="wps">
            <w:drawing>
              <wp:anchor distT="0" distB="0" distL="114300" distR="114300" simplePos="0" relativeHeight="251665408" behindDoc="0" locked="0" layoutInCell="1" allowOverlap="1" wp14:anchorId="7C3395B1" wp14:editId="6202B1B1">
                <wp:simplePos x="0" y="0"/>
                <wp:positionH relativeFrom="column">
                  <wp:posOffset>3092450</wp:posOffset>
                </wp:positionH>
                <wp:positionV relativeFrom="paragraph">
                  <wp:posOffset>2106930</wp:posOffset>
                </wp:positionV>
                <wp:extent cx="3181350" cy="2386965"/>
                <wp:effectExtent l="0" t="0" r="19050" b="13335"/>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2386965"/>
                        </a:xfrm>
                        <a:prstGeom prst="rect">
                          <a:avLst/>
                        </a:prstGeom>
                        <a:solidFill>
                          <a:srgbClr val="FFFFFF"/>
                        </a:solidFill>
                        <a:ln w="9525">
                          <a:solidFill>
                            <a:srgbClr val="000000"/>
                          </a:solidFill>
                          <a:miter lim="800000"/>
                          <a:headEnd/>
                          <a:tailEnd/>
                        </a:ln>
                      </wps:spPr>
                      <wps:txbx>
                        <w:txbxContent>
                          <w:p w14:paraId="0FA6676E" w14:textId="465193EE" w:rsidR="009D3471" w:rsidRPr="00CD3A63" w:rsidRDefault="009D3471" w:rsidP="009D3471">
                            <w:pPr>
                              <w:rPr>
                                <w:sz w:val="18"/>
                                <w:szCs w:val="18"/>
                              </w:rPr>
                            </w:pPr>
                            <w:r w:rsidRPr="00CD3A63">
                              <w:rPr>
                                <w:sz w:val="18"/>
                                <w:szCs w:val="18"/>
                                <w:u w:val="single"/>
                              </w:rPr>
                              <w:t>Day 1 (= visit 2, first infusion day) 2-3 weeks after visit 1:</w:t>
                            </w:r>
                            <w:r w:rsidRPr="00CD3A63">
                              <w:rPr>
                                <w:sz w:val="18"/>
                                <w:szCs w:val="18"/>
                              </w:rPr>
                              <w:t xml:space="preserve"> patients receive a weight-equivalent volume of 0.1% Albumin in Normal Saline, </w:t>
                            </w:r>
                            <w:r>
                              <w:rPr>
                                <w:sz w:val="18"/>
                                <w:szCs w:val="18"/>
                              </w:rPr>
                              <w:t>QST if not done at visit 1</w:t>
                            </w:r>
                            <w:r w:rsidRPr="00CD3A63">
                              <w:rPr>
                                <w:sz w:val="18"/>
                                <w:szCs w:val="18"/>
                              </w:rPr>
                              <w:t xml:space="preserve">, questionnaires </w:t>
                            </w:r>
                          </w:p>
                          <w:p w14:paraId="7DDAA047" w14:textId="77777777" w:rsidR="009D3471" w:rsidRPr="00CD3A63" w:rsidRDefault="009D3471" w:rsidP="009D3471">
                            <w:pPr>
                              <w:rPr>
                                <w:sz w:val="18"/>
                                <w:szCs w:val="18"/>
                              </w:rPr>
                            </w:pPr>
                            <w:r w:rsidRPr="00CD3A63">
                              <w:rPr>
                                <w:sz w:val="18"/>
                                <w:szCs w:val="18"/>
                              </w:rPr>
                              <w:t>Days 2 – 43: completion of pain diaries (primary outcome: daily average 24h pain intensity between days 6-42)</w:t>
                            </w:r>
                          </w:p>
                          <w:p w14:paraId="4743C246" w14:textId="77777777" w:rsidR="009D3471" w:rsidRPr="00CD3A63" w:rsidRDefault="009D3471" w:rsidP="009D3471">
                            <w:pPr>
                              <w:rPr>
                                <w:sz w:val="18"/>
                                <w:szCs w:val="18"/>
                              </w:rPr>
                            </w:pPr>
                            <w:r w:rsidRPr="00CD3A63">
                              <w:rPr>
                                <w:sz w:val="18"/>
                                <w:szCs w:val="18"/>
                                <w:u w:val="single"/>
                              </w:rPr>
                              <w:t>Day 22 (Visit 3):</w:t>
                            </w:r>
                            <w:r w:rsidRPr="00CD3A63">
                              <w:rPr>
                                <w:sz w:val="18"/>
                                <w:szCs w:val="18"/>
                              </w:rPr>
                              <w:t xml:space="preserve"> patients receive a weight-equivalent volume of 0.1% Albumin in Normal Saline</w:t>
                            </w:r>
                            <w:r w:rsidRPr="00CD3A63">
                              <w:rPr>
                                <w:sz w:val="18"/>
                                <w:szCs w:val="18"/>
                                <w:u w:val="single"/>
                              </w:rPr>
                              <w:t xml:space="preserve">, </w:t>
                            </w:r>
                            <w:r w:rsidRPr="00CD3A63">
                              <w:rPr>
                                <w:sz w:val="18"/>
                                <w:szCs w:val="18"/>
                              </w:rPr>
                              <w:t>questionnaires</w:t>
                            </w:r>
                          </w:p>
                          <w:p w14:paraId="0D80C249" w14:textId="77777777" w:rsidR="009D3471" w:rsidRPr="00CD3A63" w:rsidRDefault="009D3471" w:rsidP="009D3471">
                            <w:pPr>
                              <w:rPr>
                                <w:sz w:val="18"/>
                                <w:szCs w:val="18"/>
                                <w:u w:val="single"/>
                              </w:rPr>
                            </w:pPr>
                            <w:r w:rsidRPr="00CD3A63">
                              <w:rPr>
                                <w:sz w:val="18"/>
                                <w:szCs w:val="18"/>
                                <w:u w:val="single"/>
                              </w:rPr>
                              <w:t>Day 43 (Visit 4):</w:t>
                            </w:r>
                            <w:r w:rsidRPr="00CD3A63">
                              <w:rPr>
                                <w:sz w:val="18"/>
                                <w:szCs w:val="18"/>
                              </w:rPr>
                              <w:t xml:space="preserve"> Repeat QST/research bloods/ questionnaires </w:t>
                            </w:r>
                          </w:p>
                          <w:p w14:paraId="1FAA2F9B" w14:textId="77777777" w:rsidR="009D3471" w:rsidRPr="00D45F57" w:rsidRDefault="009D3471" w:rsidP="009D3471">
                            <w:pPr>
                              <w:rPr>
                                <w:sz w:val="20"/>
                                <w:szCs w:val="20"/>
                              </w:rPr>
                            </w:pPr>
                          </w:p>
                          <w:p w14:paraId="5EF112EA" w14:textId="77777777" w:rsidR="009D3471" w:rsidRPr="00D45F57" w:rsidRDefault="009D3471" w:rsidP="009D3471">
                            <w:pPr>
                              <w:rPr>
                                <w:sz w:val="20"/>
                                <w:szCs w:val="20"/>
                              </w:rPr>
                            </w:pPr>
                          </w:p>
                          <w:p w14:paraId="616F9165" w14:textId="77777777" w:rsidR="009D3471" w:rsidRDefault="009D3471" w:rsidP="009D3471">
                            <w:pPr>
                              <w:ind w:firstLine="720"/>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395B1" id="Rectangle 14" o:spid="_x0000_s1030" style="position:absolute;margin-left:243.5pt;margin-top:165.9pt;width:250.5pt;height:18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">
                <v:textbox>
                  <w:txbxContent>
                    <w:p w14:paraId="0FA6676E" w14:textId="465193EE" w:rsidR="009D3471" w:rsidRPr="00CD3A63" w:rsidRDefault="009D3471" w:rsidP="009D3471">
                      <w:pPr>
                        <w:rPr>
                          <w:sz w:val="18"/>
                          <w:szCs w:val="18"/>
                        </w:rPr>
                      </w:pPr>
                      <w:r w:rsidRPr="00CD3A63">
                        <w:rPr>
                          <w:sz w:val="18"/>
                          <w:szCs w:val="18"/>
                          <w:u w:val="single"/>
                        </w:rPr>
                        <w:t>Day 1 (= visit 2, first infusion day) 2-3 weeks after visit 1:</w:t>
                      </w:r>
                      <w:r w:rsidRPr="00CD3A63">
                        <w:rPr>
                          <w:sz w:val="18"/>
                          <w:szCs w:val="18"/>
                        </w:rPr>
                        <w:t xml:space="preserve"> patients receive a weight-equivalent volume of 0.1% Albumin in Normal Saline, </w:t>
                      </w:r>
                      <w:r>
                        <w:rPr>
                          <w:sz w:val="18"/>
                          <w:szCs w:val="18"/>
                        </w:rPr>
                        <w:t>QST if not done at visit 1</w:t>
                      </w:r>
                      <w:r w:rsidRPr="00CD3A63">
                        <w:rPr>
                          <w:sz w:val="18"/>
                          <w:szCs w:val="18"/>
                        </w:rPr>
                        <w:t xml:space="preserve">, questionnaires </w:t>
                      </w:r>
                    </w:p>
                    <w:p w14:paraId="7DDAA047" w14:textId="77777777" w:rsidR="009D3471" w:rsidRPr="00CD3A63" w:rsidRDefault="009D3471" w:rsidP="009D3471">
                      <w:pPr>
                        <w:rPr>
                          <w:sz w:val="18"/>
                          <w:szCs w:val="18"/>
                        </w:rPr>
                      </w:pPr>
                      <w:r w:rsidRPr="00CD3A63">
                        <w:rPr>
                          <w:sz w:val="18"/>
                          <w:szCs w:val="18"/>
                        </w:rPr>
                        <w:t>Days 2 – 43: completion of pain diaries (primary outcome: daily average 24h pain intensity between days 6-42)</w:t>
                      </w:r>
                    </w:p>
                    <w:p w14:paraId="4743C246" w14:textId="77777777" w:rsidR="009D3471" w:rsidRPr="00CD3A63" w:rsidRDefault="009D3471" w:rsidP="009D3471">
                      <w:pPr>
                        <w:rPr>
                          <w:sz w:val="18"/>
                          <w:szCs w:val="18"/>
                        </w:rPr>
                      </w:pPr>
                      <w:r w:rsidRPr="00CD3A63">
                        <w:rPr>
                          <w:sz w:val="18"/>
                          <w:szCs w:val="18"/>
                          <w:u w:val="single"/>
                        </w:rPr>
                        <w:t>Day 22 (Visit 3):</w:t>
                      </w:r>
                      <w:r w:rsidRPr="00CD3A63">
                        <w:rPr>
                          <w:sz w:val="18"/>
                          <w:szCs w:val="18"/>
                        </w:rPr>
                        <w:t xml:space="preserve"> patients receive a weight-equivalent volume of 0.1% Albumin in Normal Saline</w:t>
                      </w:r>
                      <w:r w:rsidRPr="00CD3A63">
                        <w:rPr>
                          <w:sz w:val="18"/>
                          <w:szCs w:val="18"/>
                          <w:u w:val="single"/>
                        </w:rPr>
                        <w:t xml:space="preserve">, </w:t>
                      </w:r>
                      <w:r w:rsidRPr="00CD3A63">
                        <w:rPr>
                          <w:sz w:val="18"/>
                          <w:szCs w:val="18"/>
                        </w:rPr>
                        <w:t>questionnaires</w:t>
                      </w:r>
                    </w:p>
                    <w:p w14:paraId="0D80C249" w14:textId="77777777" w:rsidR="009D3471" w:rsidRPr="00CD3A63" w:rsidRDefault="009D3471" w:rsidP="009D3471">
                      <w:pPr>
                        <w:rPr>
                          <w:sz w:val="18"/>
                          <w:szCs w:val="18"/>
                          <w:u w:val="single"/>
                        </w:rPr>
                      </w:pPr>
                      <w:r w:rsidRPr="00CD3A63">
                        <w:rPr>
                          <w:sz w:val="18"/>
                          <w:szCs w:val="18"/>
                          <w:u w:val="single"/>
                        </w:rPr>
                        <w:t>Day 43 (Visit 4):</w:t>
                      </w:r>
                      <w:r w:rsidRPr="00CD3A63">
                        <w:rPr>
                          <w:sz w:val="18"/>
                          <w:szCs w:val="18"/>
                        </w:rPr>
                        <w:t xml:space="preserve"> Repeat QST/research bloods/ questionnaires </w:t>
                      </w:r>
                    </w:p>
                    <w:p w14:paraId="1FAA2F9B" w14:textId="77777777" w:rsidR="009D3471" w:rsidRPr="00D45F57" w:rsidRDefault="009D3471" w:rsidP="009D3471">
                      <w:pPr>
                        <w:rPr>
                          <w:sz w:val="20"/>
                          <w:szCs w:val="20"/>
                        </w:rPr>
                      </w:pPr>
                    </w:p>
                    <w:p w14:paraId="5EF112EA" w14:textId="77777777" w:rsidR="009D3471" w:rsidRPr="00D45F57" w:rsidRDefault="009D3471" w:rsidP="009D3471">
                      <w:pPr>
                        <w:rPr>
                          <w:sz w:val="20"/>
                          <w:szCs w:val="20"/>
                        </w:rPr>
                      </w:pPr>
                    </w:p>
                    <w:p w14:paraId="616F9165" w14:textId="77777777" w:rsidR="009D3471" w:rsidRDefault="009D3471" w:rsidP="009D3471">
                      <w:pPr>
                        <w:ind w:firstLine="720"/>
                        <w:rPr>
                          <w:sz w:val="24"/>
                        </w:rPr>
                      </w:pPr>
                    </w:p>
                  </w:txbxContent>
                </v:textbox>
              </v:rect>
            </w:pict>
          </mc:Fallback>
        </mc:AlternateContent>
      </w:r>
      <w:r w:rsidRPr="009D3471">
        <w:rPr>
          <w:rFonts w:ascii="Calibri" w:eastAsia="Calibri" w:hAnsi="Calibri" w:cs="Calibri"/>
          <w:noProof/>
          <w:sz w:val="20"/>
          <w:szCs w:val="20"/>
          <w:lang w:eastAsia="en-GB"/>
        </w:rPr>
        <mc:AlternateContent>
          <mc:Choice Requires="wps">
            <w:drawing>
              <wp:anchor distT="0" distB="0" distL="114300" distR="114300" simplePos="0" relativeHeight="251672576" behindDoc="0" locked="0" layoutInCell="1" allowOverlap="1" wp14:anchorId="1C67C006" wp14:editId="533E6F29">
                <wp:simplePos x="0" y="0"/>
                <wp:positionH relativeFrom="column">
                  <wp:posOffset>-351155</wp:posOffset>
                </wp:positionH>
                <wp:positionV relativeFrom="paragraph">
                  <wp:posOffset>444500</wp:posOffset>
                </wp:positionV>
                <wp:extent cx="1717040" cy="750570"/>
                <wp:effectExtent l="10795" t="7620" r="5715" b="13335"/>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750570"/>
                        </a:xfrm>
                        <a:prstGeom prst="rect">
                          <a:avLst/>
                        </a:prstGeom>
                        <a:solidFill>
                          <a:srgbClr val="FFFFFF"/>
                        </a:solidFill>
                        <a:ln w="9525">
                          <a:solidFill>
                            <a:srgbClr val="000000"/>
                          </a:solidFill>
                          <a:miter lim="800000"/>
                          <a:headEnd/>
                          <a:tailEnd/>
                        </a:ln>
                      </wps:spPr>
                      <wps:txbx>
                        <w:txbxContent>
                          <w:p w14:paraId="1029A93C" w14:textId="77777777" w:rsidR="009D3471" w:rsidRPr="009D3471" w:rsidRDefault="009D3471" w:rsidP="009D3471">
                            <w:pPr>
                              <w:rPr>
                                <w:rFonts w:cs="Calibri"/>
                                <w:sz w:val="18"/>
                                <w:szCs w:val="18"/>
                              </w:rPr>
                            </w:pPr>
                            <w:r w:rsidRPr="009D3471">
                              <w:rPr>
                                <w:rFonts w:cs="Calibri"/>
                                <w:sz w:val="18"/>
                                <w:szCs w:val="18"/>
                              </w:rPr>
                              <w:t>Noneligible patients (abnormal blood tests, pain intensity too low) are entered onto a screening log and are excluded with reason noted.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67C006" id="Text Box 21" o:spid="_x0000_s1031" type="#_x0000_t202" style="position:absolute;margin-left:-27.65pt;margin-top:35pt;width:135.2pt;height:5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">
                <v:textbox>
                  <w:txbxContent>
                    <w:p w14:paraId="1029A93C" w14:textId="77777777" w:rsidR="009D3471" w:rsidRPr="009D3471" w:rsidRDefault="009D3471" w:rsidP="009D3471">
                      <w:pPr>
                        <w:rPr>
                          <w:rFonts w:cs="Calibri"/>
                          <w:sz w:val="18"/>
                          <w:szCs w:val="18"/>
                        </w:rPr>
                      </w:pPr>
                      <w:r w:rsidRPr="009D3471">
                        <w:rPr>
                          <w:rFonts w:cs="Calibri"/>
                          <w:sz w:val="18"/>
                          <w:szCs w:val="18"/>
                        </w:rPr>
                        <w:t>Noneligible patients (abnormal blood tests, pain intensity too low) are entered onto a screening log and are excluded with reason noted.</w:t>
                      </w:r>
                    </w:p>
                  </w:txbxContent>
                </v:textbox>
              </v:shape>
            </w:pict>
          </mc:Fallback>
        </mc:AlternateContent>
      </w:r>
      <w:r w:rsidRPr="009D3471">
        <w:rPr>
          <w:rFonts w:ascii="Calibri" w:eastAsia="Calibri" w:hAnsi="Calibri" w:cs="Calibri"/>
          <w:noProof/>
          <w:sz w:val="20"/>
          <w:szCs w:val="20"/>
          <w:lang w:val="en-US" w:eastAsia="zh-TW"/>
        </w:rPr>
        <mc:AlternateContent>
          <mc:Choice Requires="wps">
            <w:drawing>
              <wp:anchor distT="0" distB="0" distL="114300" distR="114300" simplePos="0" relativeHeight="251669504" behindDoc="0" locked="0" layoutInCell="1" allowOverlap="1" wp14:anchorId="1D3B4E97" wp14:editId="0742B067">
                <wp:simplePos x="0" y="0"/>
                <wp:positionH relativeFrom="column">
                  <wp:posOffset>1300480</wp:posOffset>
                </wp:positionH>
                <wp:positionV relativeFrom="paragraph">
                  <wp:posOffset>4645660</wp:posOffset>
                </wp:positionV>
                <wp:extent cx="3187700" cy="1048385"/>
                <wp:effectExtent l="5080" t="8255" r="7620" b="1016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1048385"/>
                        </a:xfrm>
                        <a:prstGeom prst="rect">
                          <a:avLst/>
                        </a:prstGeom>
                        <a:solidFill>
                          <a:srgbClr val="FFFFFF"/>
                        </a:solidFill>
                        <a:ln w="9525">
                          <a:solidFill>
                            <a:srgbClr val="000000"/>
                          </a:solidFill>
                          <a:miter lim="800000"/>
                          <a:headEnd/>
                          <a:tailEnd/>
                        </a:ln>
                      </wps:spPr>
                      <wps:txbx>
                        <w:txbxContent>
                          <w:p w14:paraId="294E1899" w14:textId="77777777" w:rsidR="009D3471" w:rsidRPr="009D3471" w:rsidRDefault="009D3471" w:rsidP="009D3471">
                            <w:pPr>
                              <w:rPr>
                                <w:rFonts w:cs="Calibri"/>
                                <w:color w:val="000000"/>
                                <w:sz w:val="18"/>
                                <w:szCs w:val="18"/>
                              </w:rPr>
                            </w:pPr>
                            <w:r w:rsidRPr="009D3471">
                              <w:rPr>
                                <w:rFonts w:cs="Calibri"/>
                                <w:sz w:val="18"/>
                                <w:szCs w:val="18"/>
                                <w:u w:val="single"/>
                              </w:rPr>
                              <w:t>Exclusion from analysis:</w:t>
                            </w:r>
                            <w:r w:rsidRPr="009D3471">
                              <w:rPr>
                                <w:rFonts w:cs="Calibri"/>
                                <w:color w:val="000000"/>
                                <w:sz w:val="18"/>
                                <w:szCs w:val="18"/>
                              </w:rPr>
                              <w:t xml:space="preserve"> Randomised patients who receive no infusions or do not provide any data for days 6-43 will be excluded from the intention to treat analysis. </w:t>
                            </w:r>
                          </w:p>
                          <w:p w14:paraId="34126918" w14:textId="77777777" w:rsidR="009D3471" w:rsidRPr="009D3471" w:rsidRDefault="009D3471" w:rsidP="009D3471">
                            <w:pPr>
                              <w:rPr>
                                <w:rFonts w:cs="Calibri"/>
                                <w:color w:val="000000"/>
                                <w:sz w:val="18"/>
                                <w:szCs w:val="18"/>
                              </w:rPr>
                            </w:pPr>
                            <w:r w:rsidRPr="009D3471">
                              <w:rPr>
                                <w:rFonts w:cs="Calibri"/>
                                <w:color w:val="000000"/>
                                <w:sz w:val="18"/>
                                <w:szCs w:val="18"/>
                              </w:rPr>
                              <w:t xml:space="preserve">All other patients will be included in the ITT analysis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B4E97" id="Text Box 20" o:spid="_x0000_s1032" type="#_x0000_t202" style="position:absolute;margin-left:102.4pt;margin-top:365.8pt;width:251pt;height:8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">
                <v:textbox>
                  <w:txbxContent>
                    <w:p w14:paraId="294E1899" w14:textId="77777777" w:rsidR="009D3471" w:rsidRPr="009D3471" w:rsidRDefault="009D3471" w:rsidP="009D3471">
                      <w:pPr>
                        <w:rPr>
                          <w:rFonts w:cs="Calibri"/>
                          <w:color w:val="000000"/>
                          <w:sz w:val="18"/>
                          <w:szCs w:val="18"/>
                        </w:rPr>
                      </w:pPr>
                      <w:r w:rsidRPr="009D3471">
                        <w:rPr>
                          <w:rFonts w:cs="Calibri"/>
                          <w:sz w:val="18"/>
                          <w:szCs w:val="18"/>
                          <w:u w:val="single"/>
                        </w:rPr>
                        <w:t>Exclusion from analysis:</w:t>
                      </w:r>
                      <w:r w:rsidRPr="009D3471">
                        <w:rPr>
                          <w:rFonts w:cs="Calibri"/>
                          <w:color w:val="000000"/>
                          <w:sz w:val="18"/>
                          <w:szCs w:val="18"/>
                        </w:rPr>
                        <w:t xml:space="preserve"> Randomised patients who receive no infusions or do not provide any data for days 6-43 will be excluded from the intention to treat analysis. </w:t>
                      </w:r>
                    </w:p>
                    <w:p w14:paraId="34126918" w14:textId="77777777" w:rsidR="009D3471" w:rsidRPr="009D3471" w:rsidRDefault="009D3471" w:rsidP="009D3471">
                      <w:pPr>
                        <w:rPr>
                          <w:rFonts w:cs="Calibri"/>
                          <w:color w:val="000000"/>
                          <w:sz w:val="18"/>
                          <w:szCs w:val="18"/>
                        </w:rPr>
                      </w:pPr>
                      <w:r w:rsidRPr="009D3471">
                        <w:rPr>
                          <w:rFonts w:cs="Calibri"/>
                          <w:color w:val="000000"/>
                          <w:sz w:val="18"/>
                          <w:szCs w:val="18"/>
                        </w:rPr>
                        <w:t xml:space="preserve">All other patients will be included in the ITT analysis </w:t>
                      </w:r>
                    </w:p>
                  </w:txbxContent>
                </v:textbox>
              </v:shape>
            </w:pict>
          </mc:Fallback>
        </mc:AlternateContent>
      </w:r>
      <w:r w:rsidRPr="009D3471">
        <w:rPr>
          <w:rFonts w:ascii="Calibri" w:eastAsia="Calibri" w:hAnsi="Calibri" w:cs="Calibri"/>
          <w:noProof/>
          <w:sz w:val="20"/>
          <w:szCs w:val="20"/>
          <w:lang w:eastAsia="en-GB"/>
        </w:rPr>
        <mc:AlternateContent>
          <mc:Choice Requires="wps">
            <w:drawing>
              <wp:anchor distT="0" distB="0" distL="114300" distR="114300" simplePos="0" relativeHeight="251674624" behindDoc="0" locked="0" layoutInCell="1" allowOverlap="1" wp14:anchorId="24762614" wp14:editId="639F8BC1">
                <wp:simplePos x="0" y="0"/>
                <wp:positionH relativeFrom="column">
                  <wp:posOffset>2796540</wp:posOffset>
                </wp:positionH>
                <wp:positionV relativeFrom="paragraph">
                  <wp:posOffset>3070225</wp:posOffset>
                </wp:positionV>
                <wp:extent cx="0" cy="1575435"/>
                <wp:effectExtent l="53340" t="13970" r="60960" b="2032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5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DC26D" id="Line 1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241.75pt" to="220.2pt,3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">
                <v:stroke endarrow="block"/>
              </v:line>
            </w:pict>
          </mc:Fallback>
        </mc:AlternateContent>
      </w:r>
      <w:r w:rsidRPr="009D3471">
        <w:rPr>
          <w:rFonts w:ascii="Calibri" w:eastAsia="Calibri" w:hAnsi="Calibri" w:cs="Calibri"/>
          <w:noProof/>
          <w:sz w:val="20"/>
          <w:szCs w:val="20"/>
          <w:lang w:eastAsia="en-GB"/>
        </w:rPr>
        <mc:AlternateContent>
          <mc:Choice Requires="wps">
            <w:drawing>
              <wp:anchor distT="0" distB="0" distL="114300" distR="114300" simplePos="0" relativeHeight="251667456" behindDoc="0" locked="0" layoutInCell="1" allowOverlap="1" wp14:anchorId="7AC157AE" wp14:editId="664DB5FB">
                <wp:simplePos x="0" y="0"/>
                <wp:positionH relativeFrom="column">
                  <wp:posOffset>1121410</wp:posOffset>
                </wp:positionH>
                <wp:positionV relativeFrom="paragraph">
                  <wp:posOffset>4385945</wp:posOffset>
                </wp:positionV>
                <wp:extent cx="0" cy="1553210"/>
                <wp:effectExtent l="54610" t="5715" r="59690" b="2222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1D69A" id="Line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pt,345.35pt" to="88.3pt,4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">
                <v:stroke endarrow="block"/>
              </v:line>
            </w:pict>
          </mc:Fallback>
        </mc:AlternateContent>
      </w:r>
      <w:r w:rsidRPr="009D3471">
        <w:rPr>
          <w:rFonts w:ascii="Calibri" w:eastAsia="Calibri" w:hAnsi="Calibri" w:cs="Calibri"/>
          <w:noProof/>
          <w:sz w:val="20"/>
          <w:szCs w:val="20"/>
          <w:lang w:eastAsia="en-GB"/>
        </w:rPr>
        <mc:AlternateContent>
          <mc:Choice Requires="wps">
            <w:drawing>
              <wp:anchor distT="0" distB="0" distL="114300" distR="114300" simplePos="0" relativeHeight="251666432" behindDoc="0" locked="0" layoutInCell="1" allowOverlap="1" wp14:anchorId="4E4B3D1E" wp14:editId="3774870F">
                <wp:simplePos x="0" y="0"/>
                <wp:positionH relativeFrom="column">
                  <wp:posOffset>-351155</wp:posOffset>
                </wp:positionH>
                <wp:positionV relativeFrom="paragraph">
                  <wp:posOffset>5939155</wp:posOffset>
                </wp:positionV>
                <wp:extent cx="6715125" cy="971550"/>
                <wp:effectExtent l="10795" t="6350" r="8255" b="1270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971550"/>
                        </a:xfrm>
                        <a:prstGeom prst="rect">
                          <a:avLst/>
                        </a:prstGeom>
                        <a:solidFill>
                          <a:srgbClr val="FFFFFF"/>
                        </a:solidFill>
                        <a:ln w="9525">
                          <a:solidFill>
                            <a:srgbClr val="000000"/>
                          </a:solidFill>
                          <a:miter lim="800000"/>
                          <a:headEnd/>
                          <a:tailEnd/>
                        </a:ln>
                      </wps:spPr>
                      <wps:txbx>
                        <w:txbxContent>
                          <w:p w14:paraId="41568A72" w14:textId="42A4F3EB" w:rsidR="009D3471" w:rsidRPr="00CD3A63" w:rsidRDefault="009D3471" w:rsidP="009D3471">
                            <w:pPr>
                              <w:rPr>
                                <w:sz w:val="18"/>
                                <w:szCs w:val="18"/>
                              </w:rPr>
                            </w:pPr>
                            <w:r>
                              <w:rPr>
                                <w:sz w:val="20"/>
                                <w:szCs w:val="20"/>
                              </w:rPr>
                              <w:t xml:space="preserve"> </w:t>
                            </w:r>
                            <w:r w:rsidRPr="00CD3A63">
                              <w:rPr>
                                <w:sz w:val="18"/>
                                <w:szCs w:val="18"/>
                                <w:u w:val="single"/>
                              </w:rPr>
                              <w:t>Extension study and follow up:</w:t>
                            </w:r>
                            <w:r w:rsidRPr="00CD3A63">
                              <w:rPr>
                                <w:sz w:val="18"/>
                                <w:szCs w:val="18"/>
                              </w:rPr>
                              <w:t xml:space="preserve"> starting 6 weeks after the first infusion (day 43, visit 4): After completing their assessments (see above), patients can choose to receive 0.5g/kg IVIG openly on day 43, and again three weeks later on day 64. Alternatively, patients may choose not to have IVIG, complete simplified diaries for three weeks, and then </w:t>
                            </w:r>
                            <w:r>
                              <w:rPr>
                                <w:sz w:val="18"/>
                                <w:szCs w:val="18"/>
                              </w:rPr>
                              <w:t xml:space="preserve">complete study </w:t>
                            </w:r>
                            <w:proofErr w:type="gramStart"/>
                            <w:r>
                              <w:rPr>
                                <w:sz w:val="18"/>
                                <w:szCs w:val="18"/>
                              </w:rPr>
                              <w:t xml:space="preserve">participation </w:t>
                            </w:r>
                            <w:r w:rsidRPr="00CD3A63">
                              <w:rPr>
                                <w:sz w:val="18"/>
                                <w:szCs w:val="18"/>
                              </w:rPr>
                              <w:t>.</w:t>
                            </w:r>
                            <w:proofErr w:type="gramEnd"/>
                            <w:r w:rsidRPr="00CD3A63">
                              <w:rPr>
                                <w:sz w:val="18"/>
                                <w:szCs w:val="18"/>
                              </w:rPr>
                              <w:t xml:space="preserve"> Those receiving open infusion(s) will complete detailed diaries for 3 (1infusion)/6 (2infusions) weeks, and simplified diaries until 15 weeks after visit 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B3D1E" id="Rectangle 15" o:spid="_x0000_s1033" style="position:absolute;margin-left:-27.65pt;margin-top:467.65pt;width:528.75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">
                <v:textbox>
                  <w:txbxContent>
                    <w:p w14:paraId="41568A72" w14:textId="42A4F3EB" w:rsidR="009D3471" w:rsidRPr="00CD3A63" w:rsidRDefault="009D3471" w:rsidP="009D3471">
                      <w:pPr>
                        <w:rPr>
                          <w:sz w:val="18"/>
                          <w:szCs w:val="18"/>
                        </w:rPr>
                      </w:pPr>
                      <w:r>
                        <w:rPr>
                          <w:sz w:val="20"/>
                          <w:szCs w:val="20"/>
                        </w:rPr>
                        <w:t xml:space="preserve"> </w:t>
                      </w:r>
                      <w:r w:rsidRPr="00CD3A63">
                        <w:rPr>
                          <w:sz w:val="18"/>
                          <w:szCs w:val="18"/>
                          <w:u w:val="single"/>
                        </w:rPr>
                        <w:t>Extension study and follow up:</w:t>
                      </w:r>
                      <w:r w:rsidRPr="00CD3A63">
                        <w:rPr>
                          <w:sz w:val="18"/>
                          <w:szCs w:val="18"/>
                        </w:rPr>
                        <w:t xml:space="preserve"> starting 6 weeks after the first infusion (day 43, visit 4): After completing their assessments (see above), patients can choose to receive 0.5g/kg IVIG openly on day 43, and again three weeks later on day 64. Alternatively, patients may choose not to have IVIG, complete simplified diaries for three weeks, and then </w:t>
                      </w:r>
                      <w:r>
                        <w:rPr>
                          <w:sz w:val="18"/>
                          <w:szCs w:val="18"/>
                        </w:rPr>
                        <w:t xml:space="preserve">complete study </w:t>
                      </w:r>
                      <w:proofErr w:type="gramStart"/>
                      <w:r>
                        <w:rPr>
                          <w:sz w:val="18"/>
                          <w:szCs w:val="18"/>
                        </w:rPr>
                        <w:t xml:space="preserve">participation </w:t>
                      </w:r>
                      <w:r w:rsidRPr="00CD3A63">
                        <w:rPr>
                          <w:sz w:val="18"/>
                          <w:szCs w:val="18"/>
                        </w:rPr>
                        <w:t>.</w:t>
                      </w:r>
                      <w:proofErr w:type="gramEnd"/>
                      <w:r w:rsidRPr="00CD3A63">
                        <w:rPr>
                          <w:sz w:val="18"/>
                          <w:szCs w:val="18"/>
                        </w:rPr>
                        <w:t xml:space="preserve"> Those receiving open infusion(s) will complete detailed diaries for 3 (1infusion)/6 (2infusions) weeks, and simplified diaries until 15 weeks after visit 4. </w:t>
                      </w:r>
                    </w:p>
                  </w:txbxContent>
                </v:textbox>
              </v:rect>
            </w:pict>
          </mc:Fallback>
        </mc:AlternateContent>
      </w:r>
      <w:r w:rsidRPr="009D3471">
        <w:rPr>
          <w:rFonts w:ascii="Calibri" w:eastAsia="Calibri" w:hAnsi="Calibri" w:cs="Calibri"/>
          <w:noProof/>
          <w:sz w:val="20"/>
          <w:szCs w:val="20"/>
          <w:lang w:eastAsia="en-GB"/>
        </w:rPr>
        <mc:AlternateContent>
          <mc:Choice Requires="wps">
            <w:drawing>
              <wp:anchor distT="0" distB="0" distL="114300" distR="114300" simplePos="0" relativeHeight="251679744" behindDoc="0" locked="0" layoutInCell="1" allowOverlap="1" wp14:anchorId="0C6E1827" wp14:editId="76A15181">
                <wp:simplePos x="0" y="0"/>
                <wp:positionH relativeFrom="column">
                  <wp:posOffset>3076575</wp:posOffset>
                </wp:positionH>
                <wp:positionV relativeFrom="paragraph">
                  <wp:posOffset>1540510</wp:posOffset>
                </wp:positionV>
                <wp:extent cx="3131185" cy="303530"/>
                <wp:effectExtent l="9525" t="8255" r="12065" b="1206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303530"/>
                        </a:xfrm>
                        <a:prstGeom prst="rect">
                          <a:avLst/>
                        </a:prstGeom>
                        <a:solidFill>
                          <a:srgbClr val="FFFFFF"/>
                        </a:solidFill>
                        <a:ln w="9525">
                          <a:solidFill>
                            <a:srgbClr val="000000"/>
                          </a:solidFill>
                          <a:miter lim="800000"/>
                          <a:headEnd/>
                          <a:tailEnd/>
                        </a:ln>
                      </wps:spPr>
                      <wps:txbx>
                        <w:txbxContent>
                          <w:p w14:paraId="300A1141" w14:textId="77777777" w:rsidR="009D3471" w:rsidRPr="009D3471" w:rsidRDefault="009D3471" w:rsidP="009D3471">
                            <w:pPr>
                              <w:pStyle w:val="ListParagraph"/>
                              <w:numPr>
                                <w:ilvl w:val="0"/>
                                <w:numId w:val="14"/>
                              </w:numPr>
                              <w:rPr>
                                <w:rFonts w:cs="Calibri"/>
                                <w:sz w:val="18"/>
                                <w:szCs w:val="18"/>
                              </w:rPr>
                            </w:pPr>
                            <w:r w:rsidRPr="009D3471">
                              <w:rPr>
                                <w:rFonts w:cs="Calibri"/>
                                <w:sz w:val="18"/>
                                <w:szCs w:val="18"/>
                              </w:rPr>
                              <w:t>Randomised and allocated to Placebo group on day 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827" id="Text Box 12" o:spid="_x0000_s1034" type="#_x0000_t202" style="position:absolute;margin-left:242.25pt;margin-top:121.3pt;width:246.55pt;height:2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">
                <v:textbox>
                  <w:txbxContent>
                    <w:p w14:paraId="300A1141" w14:textId="77777777" w:rsidR="009D3471" w:rsidRPr="009D3471" w:rsidRDefault="009D3471" w:rsidP="009D3471">
                      <w:pPr>
                        <w:pStyle w:val="ListParagraph"/>
                        <w:numPr>
                          <w:ilvl w:val="0"/>
                          <w:numId w:val="14"/>
                        </w:numPr>
                        <w:rPr>
                          <w:rFonts w:cs="Calibri"/>
                          <w:sz w:val="18"/>
                          <w:szCs w:val="18"/>
                        </w:rPr>
                      </w:pPr>
                      <w:r w:rsidRPr="009D3471">
                        <w:rPr>
                          <w:rFonts w:cs="Calibri"/>
                          <w:sz w:val="18"/>
                          <w:szCs w:val="18"/>
                        </w:rPr>
                        <w:t>Randomised and allocated to Placebo group on day 0</w:t>
                      </w:r>
                    </w:p>
                  </w:txbxContent>
                </v:textbox>
              </v:shape>
            </w:pict>
          </mc:Fallback>
        </mc:AlternateContent>
      </w:r>
      <w:r w:rsidRPr="009D3471">
        <w:rPr>
          <w:rFonts w:ascii="Calibri" w:eastAsia="Calibri" w:hAnsi="Calibri" w:cs="Calibri"/>
          <w:noProof/>
          <w:sz w:val="20"/>
          <w:szCs w:val="20"/>
          <w:lang w:eastAsia="en-GB"/>
        </w:rPr>
        <mc:AlternateContent>
          <mc:Choice Requires="wps">
            <w:drawing>
              <wp:anchor distT="0" distB="0" distL="114300" distR="114300" simplePos="0" relativeHeight="251681792" behindDoc="0" locked="0" layoutInCell="1" allowOverlap="1" wp14:anchorId="25C0AAB1" wp14:editId="6B610045">
                <wp:simplePos x="0" y="0"/>
                <wp:positionH relativeFrom="column">
                  <wp:posOffset>4655820</wp:posOffset>
                </wp:positionH>
                <wp:positionV relativeFrom="paragraph">
                  <wp:posOffset>1853565</wp:posOffset>
                </wp:positionV>
                <wp:extent cx="0" cy="295275"/>
                <wp:effectExtent l="55245" t="6985" r="59055" b="2159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5CA3F" id="Line 1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6pt,145.95pt" to="366.6pt,1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">
                <v:stroke endarrow="block"/>
              </v:line>
            </w:pict>
          </mc:Fallback>
        </mc:AlternateContent>
      </w:r>
      <w:r w:rsidRPr="009D3471">
        <w:rPr>
          <w:rFonts w:ascii="Calibri" w:eastAsia="Calibri" w:hAnsi="Calibri" w:cs="Calibri"/>
          <w:noProof/>
          <w:sz w:val="20"/>
          <w:szCs w:val="20"/>
          <w:lang w:eastAsia="en-GB"/>
        </w:rPr>
        <mc:AlternateContent>
          <mc:Choice Requires="wps">
            <w:drawing>
              <wp:anchor distT="0" distB="0" distL="114300" distR="114300" simplePos="0" relativeHeight="251680768" behindDoc="0" locked="0" layoutInCell="1" allowOverlap="1" wp14:anchorId="03544B36" wp14:editId="53D5F8B5">
                <wp:simplePos x="0" y="0"/>
                <wp:positionH relativeFrom="column">
                  <wp:posOffset>1037590</wp:posOffset>
                </wp:positionH>
                <wp:positionV relativeFrom="paragraph">
                  <wp:posOffset>1844040</wp:posOffset>
                </wp:positionV>
                <wp:extent cx="0" cy="295275"/>
                <wp:effectExtent l="56515" t="6985" r="57785" b="2159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5F57C" id="Line 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pt,145.2pt" to="81.7pt,1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">
                <v:stroke endarrow="block"/>
              </v:line>
            </w:pict>
          </mc:Fallback>
        </mc:AlternateContent>
      </w:r>
      <w:r w:rsidRPr="009D3471">
        <w:rPr>
          <w:rFonts w:ascii="Calibri" w:eastAsia="Calibri" w:hAnsi="Calibri" w:cs="Calibri"/>
          <w:noProof/>
          <w:sz w:val="20"/>
          <w:szCs w:val="20"/>
          <w:lang w:eastAsia="en-GB"/>
        </w:rPr>
        <mc:AlternateContent>
          <mc:Choice Requires="wps">
            <w:drawing>
              <wp:anchor distT="0" distB="0" distL="114300" distR="114300" simplePos="0" relativeHeight="251678720" behindDoc="0" locked="0" layoutInCell="1" allowOverlap="1" wp14:anchorId="52B32A65" wp14:editId="3E6E5216">
                <wp:simplePos x="0" y="0"/>
                <wp:positionH relativeFrom="column">
                  <wp:posOffset>-337820</wp:posOffset>
                </wp:positionH>
                <wp:positionV relativeFrom="paragraph">
                  <wp:posOffset>1540510</wp:posOffset>
                </wp:positionV>
                <wp:extent cx="2980055" cy="303530"/>
                <wp:effectExtent l="5080" t="8255" r="5715" b="1206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303530"/>
                        </a:xfrm>
                        <a:prstGeom prst="rect">
                          <a:avLst/>
                        </a:prstGeom>
                        <a:solidFill>
                          <a:srgbClr val="FFFFFF"/>
                        </a:solidFill>
                        <a:ln w="9525">
                          <a:solidFill>
                            <a:srgbClr val="000000"/>
                          </a:solidFill>
                          <a:miter lim="800000"/>
                          <a:headEnd/>
                          <a:tailEnd/>
                        </a:ln>
                      </wps:spPr>
                      <wps:txbx>
                        <w:txbxContent>
                          <w:p w14:paraId="0D44BC4A" w14:textId="77777777" w:rsidR="009D3471" w:rsidRPr="009D3471" w:rsidRDefault="009D3471" w:rsidP="009D3471">
                            <w:pPr>
                              <w:pStyle w:val="ListParagraph"/>
                              <w:numPr>
                                <w:ilvl w:val="0"/>
                                <w:numId w:val="13"/>
                              </w:numPr>
                              <w:rPr>
                                <w:rFonts w:cs="Calibri"/>
                                <w:sz w:val="18"/>
                                <w:szCs w:val="18"/>
                              </w:rPr>
                            </w:pPr>
                            <w:r w:rsidRPr="009D3471">
                              <w:rPr>
                                <w:rFonts w:cs="Calibri"/>
                                <w:sz w:val="18"/>
                                <w:szCs w:val="18"/>
                              </w:rPr>
                              <w:t>Randomised and allocated to IVIG group on day 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B32A65" id="Text Box 7" o:spid="_x0000_s1035" type="#_x0000_t202" style="position:absolute;margin-left:-26.6pt;margin-top:121.3pt;width:234.65pt;height:2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">
                <v:textbox>
                  <w:txbxContent>
                    <w:p w14:paraId="0D44BC4A" w14:textId="77777777" w:rsidR="009D3471" w:rsidRPr="009D3471" w:rsidRDefault="009D3471" w:rsidP="009D3471">
                      <w:pPr>
                        <w:pStyle w:val="ListParagraph"/>
                        <w:numPr>
                          <w:ilvl w:val="0"/>
                          <w:numId w:val="13"/>
                        </w:numPr>
                        <w:rPr>
                          <w:rFonts w:cs="Calibri"/>
                          <w:sz w:val="18"/>
                          <w:szCs w:val="18"/>
                        </w:rPr>
                      </w:pPr>
                      <w:r w:rsidRPr="009D3471">
                        <w:rPr>
                          <w:rFonts w:cs="Calibri"/>
                          <w:sz w:val="18"/>
                          <w:szCs w:val="18"/>
                        </w:rPr>
                        <w:t>Randomised and allocated to IVIG group on day 0</w:t>
                      </w:r>
                    </w:p>
                  </w:txbxContent>
                </v:textbox>
              </v:shape>
            </w:pict>
          </mc:Fallback>
        </mc:AlternateContent>
      </w:r>
      <w:r w:rsidRPr="009D3471">
        <w:rPr>
          <w:rFonts w:ascii="Calibri" w:eastAsia="Calibri" w:hAnsi="Calibri" w:cs="Calibri"/>
          <w:noProof/>
          <w:sz w:val="20"/>
          <w:szCs w:val="20"/>
          <w:lang w:eastAsia="en-GB"/>
        </w:rPr>
        <mc:AlternateContent>
          <mc:Choice Requires="wps">
            <w:drawing>
              <wp:anchor distT="0" distB="0" distL="114300" distR="114300" simplePos="0" relativeHeight="251676672" behindDoc="0" locked="0" layoutInCell="1" allowOverlap="1" wp14:anchorId="294FF753" wp14:editId="7BD0031D">
                <wp:simplePos x="0" y="0"/>
                <wp:positionH relativeFrom="column">
                  <wp:posOffset>2915920</wp:posOffset>
                </wp:positionH>
                <wp:positionV relativeFrom="paragraph">
                  <wp:posOffset>3070225</wp:posOffset>
                </wp:positionV>
                <wp:extent cx="160655" cy="0"/>
                <wp:effectExtent l="10795" t="13970" r="9525" b="508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DB947F" id="_x0000_t32" coordsize="21600,21600" o:spt="32" o:oned="t" path="m,l21600,21600e" filled="f">
                <v:path arrowok="t" fillok="f" o:connecttype="none"/>
                <o:lock v:ext="edit" shapetype="t"/>
              </v:shapetype>
              <v:shape id="AutoShape 6" o:spid="_x0000_s1026" type="#_x0000_t32" style="position:absolute;margin-left:229.6pt;margin-top:241.75pt;width:12.6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"/>
            </w:pict>
          </mc:Fallback>
        </mc:AlternateContent>
      </w:r>
      <w:r w:rsidRPr="009D3471">
        <w:rPr>
          <w:rFonts w:ascii="Calibri" w:eastAsia="Calibri" w:hAnsi="Calibri" w:cs="Calibri"/>
          <w:noProof/>
          <w:sz w:val="20"/>
          <w:szCs w:val="20"/>
          <w:lang w:eastAsia="en-GB"/>
        </w:rPr>
        <mc:AlternateContent>
          <mc:Choice Requires="wps">
            <w:drawing>
              <wp:anchor distT="0" distB="0" distL="114300" distR="114300" simplePos="0" relativeHeight="251675648" behindDoc="0" locked="0" layoutInCell="1" allowOverlap="1" wp14:anchorId="7614792D" wp14:editId="0A79A71E">
                <wp:simplePos x="0" y="0"/>
                <wp:positionH relativeFrom="column">
                  <wp:posOffset>2635885</wp:posOffset>
                </wp:positionH>
                <wp:positionV relativeFrom="paragraph">
                  <wp:posOffset>3070225</wp:posOffset>
                </wp:positionV>
                <wp:extent cx="160655" cy="0"/>
                <wp:effectExtent l="6985" t="13970" r="13335" b="5080"/>
                <wp:wrapNone/>
                <wp:docPr id="50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0EFCF" id="AutoShape 5" o:spid="_x0000_s1026" type="#_x0000_t32" style="position:absolute;margin-left:207.55pt;margin-top:241.75pt;width:12.6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"/>
            </w:pict>
          </mc:Fallback>
        </mc:AlternateContent>
      </w:r>
      <w:r w:rsidRPr="009D3471">
        <w:rPr>
          <w:rFonts w:ascii="Calibri" w:eastAsia="Calibri" w:hAnsi="Calibri" w:cs="Calibri"/>
          <w:noProof/>
          <w:sz w:val="20"/>
          <w:szCs w:val="20"/>
          <w:lang w:eastAsia="en-GB"/>
        </w:rPr>
        <mc:AlternateContent>
          <mc:Choice Requires="wps">
            <w:drawing>
              <wp:anchor distT="0" distB="0" distL="114300" distR="114300" simplePos="0" relativeHeight="251673600" behindDoc="0" locked="0" layoutInCell="1" allowOverlap="1" wp14:anchorId="780CCF6F" wp14:editId="1E7ED59B">
                <wp:simplePos x="0" y="0"/>
                <wp:positionH relativeFrom="column">
                  <wp:posOffset>1365885</wp:posOffset>
                </wp:positionH>
                <wp:positionV relativeFrom="paragraph">
                  <wp:posOffset>761365</wp:posOffset>
                </wp:positionV>
                <wp:extent cx="220980" cy="0"/>
                <wp:effectExtent l="22860" t="57785" r="13335" b="565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0D8BB" id="Line 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5pt,59.95pt" to="124.9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">
                <v:stroke endarrow="block"/>
              </v:line>
            </w:pict>
          </mc:Fallback>
        </mc:AlternateContent>
      </w:r>
      <w:r w:rsidRPr="009D3471">
        <w:rPr>
          <w:rFonts w:ascii="Calibri" w:eastAsia="Calibri" w:hAnsi="Calibri" w:cs="Calibri"/>
          <w:noProof/>
          <w:sz w:val="20"/>
          <w:szCs w:val="20"/>
          <w:lang w:eastAsia="en-GB"/>
        </w:rPr>
        <mc:AlternateContent>
          <mc:Choice Requires="wps">
            <w:drawing>
              <wp:anchor distT="0" distB="0" distL="114300" distR="114300" simplePos="0" relativeHeight="251661312" behindDoc="0" locked="0" layoutInCell="1" allowOverlap="1" wp14:anchorId="02D54D97" wp14:editId="4C0E48C3">
                <wp:simplePos x="0" y="0"/>
                <wp:positionH relativeFrom="column">
                  <wp:posOffset>2832735</wp:posOffset>
                </wp:positionH>
                <wp:positionV relativeFrom="paragraph">
                  <wp:posOffset>149225</wp:posOffset>
                </wp:positionV>
                <wp:extent cx="0" cy="295275"/>
                <wp:effectExtent l="60960" t="7620" r="53340" b="20955"/>
                <wp:wrapNone/>
                <wp:docPr id="50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B7503"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05pt,11.75pt" to="223.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">
                <v:stroke endarrow="block"/>
              </v:line>
            </w:pict>
          </mc:Fallback>
        </mc:AlternateContent>
      </w:r>
      <w:r w:rsidRPr="009D3471">
        <w:rPr>
          <w:rFonts w:ascii="Calibri" w:eastAsia="Calibri" w:hAnsi="Calibri" w:cs="Calibri"/>
          <w:sz w:val="20"/>
          <w:szCs w:val="20"/>
        </w:rPr>
        <w:t>D</w:t>
      </w:r>
    </w:p>
    <w:p w14:paraId="242FA326" w14:textId="6ED3984B" w:rsidR="009D3471" w:rsidRDefault="009D3471" w:rsidP="00C63E03">
      <w:pPr>
        <w:rPr>
          <w:iCs/>
          <w:noProof/>
          <w:u w:val="single"/>
          <w:lang w:eastAsia="en-GB"/>
        </w:rPr>
      </w:pPr>
    </w:p>
    <w:p w14:paraId="46865CDF" w14:textId="2BA5B8F2" w:rsidR="009D3471" w:rsidRDefault="009D3471" w:rsidP="00C63E03">
      <w:pPr>
        <w:rPr>
          <w:iCs/>
          <w:noProof/>
          <w:u w:val="single"/>
          <w:lang w:eastAsia="en-GB"/>
        </w:rPr>
      </w:pPr>
    </w:p>
    <w:p w14:paraId="0FB4DEE7" w14:textId="28D8063B" w:rsidR="009D3471" w:rsidRDefault="009D3471" w:rsidP="00C63E03">
      <w:pPr>
        <w:rPr>
          <w:iCs/>
          <w:noProof/>
          <w:u w:val="single"/>
          <w:lang w:eastAsia="en-GB"/>
        </w:rPr>
      </w:pPr>
    </w:p>
    <w:p w14:paraId="0273D5C3" w14:textId="30DC4287" w:rsidR="009D3471" w:rsidRDefault="009D3471" w:rsidP="00C63E03">
      <w:pPr>
        <w:rPr>
          <w:iCs/>
          <w:noProof/>
          <w:u w:val="single"/>
          <w:lang w:eastAsia="en-GB"/>
        </w:rPr>
      </w:pPr>
    </w:p>
    <w:p w14:paraId="0CF100BA" w14:textId="14B59539" w:rsidR="009D3471" w:rsidRDefault="009D3471" w:rsidP="00C63E03">
      <w:pPr>
        <w:rPr>
          <w:iCs/>
          <w:noProof/>
          <w:u w:val="single"/>
          <w:lang w:eastAsia="en-GB"/>
        </w:rPr>
      </w:pPr>
    </w:p>
    <w:p w14:paraId="152A6149" w14:textId="15E2DC21" w:rsidR="009D3471" w:rsidRDefault="009D3471" w:rsidP="00C63E03">
      <w:pPr>
        <w:rPr>
          <w:iCs/>
          <w:noProof/>
          <w:u w:val="single"/>
          <w:lang w:eastAsia="en-GB"/>
        </w:rPr>
      </w:pPr>
    </w:p>
    <w:p w14:paraId="3B2390B7" w14:textId="5E739532" w:rsidR="009D3471" w:rsidRDefault="009D3471" w:rsidP="00C63E03">
      <w:pPr>
        <w:rPr>
          <w:iCs/>
          <w:noProof/>
          <w:u w:val="single"/>
          <w:lang w:eastAsia="en-GB"/>
        </w:rPr>
      </w:pPr>
    </w:p>
    <w:p w14:paraId="132F7B67" w14:textId="1F9DE8E6" w:rsidR="009D3471" w:rsidRDefault="009D3471" w:rsidP="00C63E03">
      <w:pPr>
        <w:rPr>
          <w:iCs/>
          <w:noProof/>
          <w:u w:val="single"/>
          <w:lang w:eastAsia="en-GB"/>
        </w:rPr>
      </w:pPr>
    </w:p>
    <w:p w14:paraId="07FC882A" w14:textId="7E00671B" w:rsidR="009D3471" w:rsidRDefault="009D3471" w:rsidP="00C63E03">
      <w:pPr>
        <w:rPr>
          <w:iCs/>
          <w:noProof/>
          <w:u w:val="single"/>
          <w:lang w:eastAsia="en-GB"/>
        </w:rPr>
      </w:pPr>
    </w:p>
    <w:p w14:paraId="70806B52" w14:textId="09A21404" w:rsidR="009D3471" w:rsidRDefault="009D3471" w:rsidP="00C63E03">
      <w:pPr>
        <w:rPr>
          <w:iCs/>
          <w:noProof/>
          <w:u w:val="single"/>
          <w:lang w:eastAsia="en-GB"/>
        </w:rPr>
      </w:pPr>
    </w:p>
    <w:p w14:paraId="29E68E3C" w14:textId="0CEB50CB" w:rsidR="009D3471" w:rsidRDefault="009D3471" w:rsidP="00C63E03">
      <w:pPr>
        <w:rPr>
          <w:iCs/>
          <w:noProof/>
          <w:u w:val="single"/>
          <w:lang w:eastAsia="en-GB"/>
        </w:rPr>
      </w:pPr>
    </w:p>
    <w:p w14:paraId="3A8729AE" w14:textId="6E56B8F2" w:rsidR="009D3471" w:rsidRDefault="009D3471" w:rsidP="00C63E03">
      <w:pPr>
        <w:rPr>
          <w:iCs/>
          <w:noProof/>
          <w:u w:val="single"/>
          <w:lang w:eastAsia="en-GB"/>
        </w:rPr>
      </w:pPr>
    </w:p>
    <w:p w14:paraId="100219B9" w14:textId="3BA180C9" w:rsidR="009D3471" w:rsidRDefault="009D3471" w:rsidP="00C63E03">
      <w:pPr>
        <w:rPr>
          <w:iCs/>
          <w:noProof/>
          <w:u w:val="single"/>
          <w:lang w:eastAsia="en-GB"/>
        </w:rPr>
      </w:pPr>
    </w:p>
    <w:p w14:paraId="3DD669CC" w14:textId="65A59B96" w:rsidR="009D3471" w:rsidRDefault="009D3471" w:rsidP="00C63E03">
      <w:pPr>
        <w:rPr>
          <w:iCs/>
          <w:noProof/>
          <w:u w:val="single"/>
          <w:lang w:eastAsia="en-GB"/>
        </w:rPr>
      </w:pPr>
    </w:p>
    <w:p w14:paraId="1D4EB996" w14:textId="70327F23" w:rsidR="009D3471" w:rsidRDefault="009D3471" w:rsidP="00C63E03">
      <w:pPr>
        <w:rPr>
          <w:iCs/>
          <w:noProof/>
          <w:u w:val="single"/>
          <w:lang w:eastAsia="en-GB"/>
        </w:rPr>
      </w:pPr>
    </w:p>
    <w:p w14:paraId="5C446523" w14:textId="46E8E0A2" w:rsidR="009D3471" w:rsidRDefault="009D3471" w:rsidP="00C63E03">
      <w:pPr>
        <w:rPr>
          <w:iCs/>
          <w:noProof/>
          <w:u w:val="single"/>
          <w:lang w:eastAsia="en-GB"/>
        </w:rPr>
      </w:pPr>
    </w:p>
    <w:p w14:paraId="6EFE766C" w14:textId="331209B1" w:rsidR="009D3471" w:rsidRDefault="009D3471" w:rsidP="00C63E03">
      <w:pPr>
        <w:rPr>
          <w:iCs/>
          <w:noProof/>
          <w:u w:val="single"/>
          <w:lang w:eastAsia="en-GB"/>
        </w:rPr>
      </w:pPr>
    </w:p>
    <w:p w14:paraId="560A99E6" w14:textId="6FBEFB25" w:rsidR="009D3471" w:rsidRDefault="009D3471" w:rsidP="00C63E03">
      <w:pPr>
        <w:rPr>
          <w:iCs/>
          <w:noProof/>
          <w:u w:val="single"/>
          <w:lang w:eastAsia="en-GB"/>
        </w:rPr>
      </w:pPr>
    </w:p>
    <w:p w14:paraId="0CB5BE8B" w14:textId="335B96F7" w:rsidR="009D3471" w:rsidRDefault="009D3471" w:rsidP="00C63E03">
      <w:pPr>
        <w:rPr>
          <w:iCs/>
          <w:noProof/>
          <w:u w:val="single"/>
          <w:lang w:eastAsia="en-GB"/>
        </w:rPr>
      </w:pPr>
    </w:p>
    <w:p w14:paraId="20068B73" w14:textId="24156588" w:rsidR="00C63E03" w:rsidRPr="00B171E9" w:rsidRDefault="00C63E03" w:rsidP="00C63E03">
      <w:pPr>
        <w:rPr>
          <w:i/>
          <w:noProof/>
          <w:u w:val="single"/>
          <w:lang w:eastAsia="en-GB"/>
        </w:rPr>
      </w:pPr>
      <w:r>
        <w:rPr>
          <w:i/>
          <w:noProof/>
          <w:u w:val="single"/>
          <w:lang w:eastAsia="en-GB"/>
        </w:rPr>
        <w:lastRenderedPageBreak/>
        <w:t>Safeguard 11</w:t>
      </w:r>
      <w:r w:rsidRPr="00F62381">
        <w:rPr>
          <w:i/>
          <w:noProof/>
          <w:lang w:eastAsia="en-GB"/>
        </w:rPr>
        <w:t xml:space="preserve"> </w:t>
      </w:r>
      <w:r>
        <w:rPr>
          <w:i/>
          <w:noProof/>
          <w:lang w:eastAsia="en-GB"/>
        </w:rPr>
        <w:t>P</w:t>
      </w:r>
      <w:r w:rsidRPr="00F62381">
        <w:rPr>
          <w:i/>
          <w:noProof/>
          <w:lang w:eastAsia="en-GB"/>
        </w:rPr>
        <w:t xml:space="preserve">atient </w:t>
      </w:r>
      <w:r>
        <w:rPr>
          <w:i/>
          <w:noProof/>
          <w:lang w:eastAsia="en-GB"/>
        </w:rPr>
        <w:t>involvement:</w:t>
      </w:r>
      <w:r>
        <w:rPr>
          <w:noProof/>
          <w:lang w:eastAsia="en-GB"/>
        </w:rPr>
        <w:t xml:space="preserve"> In preparation for the grant application (NIHR), an early study protocol version was sent to patients with CRPS, and </w:t>
      </w:r>
      <w:r w:rsidR="007877F3">
        <w:rPr>
          <w:noProof/>
          <w:lang w:eastAsia="en-GB"/>
        </w:rPr>
        <w:t>feedback was</w:t>
      </w:r>
      <w:r>
        <w:rPr>
          <w:noProof/>
          <w:lang w:eastAsia="en-GB"/>
        </w:rPr>
        <w:t xml:space="preserve"> integrated. The final study protocol for the full proposal was then sent to 18 patients with CRPS who had previously agreed to be contacted for this purpose. They were a subgroup of participants in the 'Liverpool CRPS pathway group', a regional patient support group. Suggestions related mostly to</w:t>
      </w:r>
      <w:r w:rsidR="003D79F9">
        <w:rPr>
          <w:noProof/>
          <w:lang w:eastAsia="en-GB"/>
        </w:rPr>
        <w:t xml:space="preserve"> the</w:t>
      </w:r>
      <w:r>
        <w:rPr>
          <w:noProof/>
          <w:lang w:eastAsia="en-GB"/>
        </w:rPr>
        <w:t xml:space="preserve"> convenience of attendance and</w:t>
      </w:r>
      <w:r w:rsidR="003D79F9">
        <w:rPr>
          <w:noProof/>
          <w:lang w:eastAsia="en-GB"/>
        </w:rPr>
        <w:t xml:space="preserve"> the</w:t>
      </w:r>
      <w:r>
        <w:rPr>
          <w:noProof/>
          <w:lang w:eastAsia="en-GB"/>
        </w:rPr>
        <w:t xml:space="preserve"> inclusion of additional outcomes – these were implemented</w:t>
      </w:r>
      <w:r w:rsidR="007877F3">
        <w:rPr>
          <w:noProof/>
          <w:lang w:eastAsia="en-GB"/>
        </w:rPr>
        <w:t>. F</w:t>
      </w:r>
      <w:r>
        <w:rPr>
          <w:noProof/>
          <w:lang w:eastAsia="en-GB"/>
        </w:rPr>
        <w:t>or example</w:t>
      </w:r>
      <w:r w:rsidR="007877F3">
        <w:rPr>
          <w:noProof/>
          <w:lang w:eastAsia="en-GB"/>
        </w:rPr>
        <w:t>,</w:t>
      </w:r>
      <w:r>
        <w:rPr>
          <w:noProof/>
          <w:lang w:eastAsia="en-GB"/>
        </w:rPr>
        <w:t xml:space="preserve"> the time-windows around the infusion dates were widened to meet patient concern about</w:t>
      </w:r>
      <w:r w:rsidR="007877F3">
        <w:rPr>
          <w:noProof/>
          <w:lang w:eastAsia="en-GB"/>
        </w:rPr>
        <w:t xml:space="preserve"> </w:t>
      </w:r>
      <w:r>
        <w:rPr>
          <w:noProof/>
          <w:lang w:eastAsia="en-GB"/>
        </w:rPr>
        <w:t xml:space="preserve">scheduling their travel. Patient information sheets were reviewed for acceptability by the same Liverpool patient group. A patient representative with a history of CRPS volunteered to join the </w:t>
      </w:r>
      <w:r w:rsidR="007877F3">
        <w:rPr>
          <w:noProof/>
          <w:lang w:eastAsia="en-GB"/>
        </w:rPr>
        <w:t>trial steering committee</w:t>
      </w:r>
      <w:r>
        <w:rPr>
          <w:noProof/>
          <w:lang w:eastAsia="en-GB"/>
        </w:rPr>
        <w:t xml:space="preserve"> and regularly attended meetings</w:t>
      </w:r>
      <w:r w:rsidR="00DC56D4">
        <w:rPr>
          <w:noProof/>
          <w:lang w:eastAsia="en-GB"/>
        </w:rPr>
        <w:t xml:space="preserve"> and offered</w:t>
      </w:r>
      <w:r>
        <w:rPr>
          <w:noProof/>
          <w:lang w:eastAsia="en-GB"/>
        </w:rPr>
        <w:t xml:space="preserve"> advice and guidance throughout the trial. We think that these PPI elements have contributed to make the trial ‘service-user friendly’, particularly as we realised the burden of travel on this patient group. **  </w:t>
      </w:r>
    </w:p>
    <w:p w14:paraId="2ECE142E" w14:textId="6F18C7C8" w:rsidR="006C207B" w:rsidRDefault="006C207B" w:rsidP="006C207B">
      <w:pPr>
        <w:rPr>
          <w:noProof/>
          <w:lang w:eastAsia="en-GB"/>
        </w:rPr>
      </w:pPr>
      <w:r>
        <w:rPr>
          <w:i/>
          <w:noProof/>
          <w:u w:val="single"/>
          <w:lang w:eastAsia="en-GB"/>
        </w:rPr>
        <w:t>Safeguard 1</w:t>
      </w:r>
      <w:r w:rsidR="006539F3">
        <w:rPr>
          <w:i/>
          <w:noProof/>
          <w:u w:val="single"/>
          <w:lang w:eastAsia="en-GB"/>
        </w:rPr>
        <w:t>2</w:t>
      </w:r>
      <w:r w:rsidRPr="00C63E03">
        <w:rPr>
          <w:i/>
          <w:noProof/>
          <w:lang w:eastAsia="en-GB"/>
        </w:rPr>
        <w:t xml:space="preserve"> </w:t>
      </w:r>
      <w:r w:rsidR="00C63E03">
        <w:rPr>
          <w:i/>
          <w:noProof/>
          <w:lang w:eastAsia="en-GB"/>
        </w:rPr>
        <w:t xml:space="preserve">Phone calls: </w:t>
      </w:r>
      <w:r w:rsidR="00C63E03" w:rsidRPr="00C63E03">
        <w:rPr>
          <w:noProof/>
          <w:lang w:eastAsia="en-GB"/>
        </w:rPr>
        <w:t xml:space="preserve">Patients </w:t>
      </w:r>
      <w:r w:rsidRPr="00C63E03">
        <w:rPr>
          <w:noProof/>
          <w:lang w:eastAsia="en-GB"/>
        </w:rPr>
        <w:t>were contacted per phone during the trial at set time points with one main objective to ensure adherence</w:t>
      </w:r>
      <w:r w:rsidR="00C63E03" w:rsidRPr="00C63E03">
        <w:rPr>
          <w:noProof/>
          <w:lang w:eastAsia="en-GB"/>
        </w:rPr>
        <w:t xml:space="preserve">; </w:t>
      </w:r>
      <w:r w:rsidR="00C63E03">
        <w:rPr>
          <w:noProof/>
          <w:lang w:eastAsia="en-GB"/>
        </w:rPr>
        <w:t xml:space="preserve">we suggest that this measure contributed to </w:t>
      </w:r>
      <w:r w:rsidR="004A0A63">
        <w:rPr>
          <w:noProof/>
          <w:lang w:eastAsia="en-GB"/>
        </w:rPr>
        <w:t>achieving a</w:t>
      </w:r>
      <w:r>
        <w:rPr>
          <w:noProof/>
          <w:lang w:eastAsia="en-GB"/>
        </w:rPr>
        <w:t xml:space="preserve"> high level of com</w:t>
      </w:r>
      <w:r w:rsidR="00081536">
        <w:rPr>
          <w:noProof/>
          <w:lang w:eastAsia="en-GB"/>
        </w:rPr>
        <w:t>p</w:t>
      </w:r>
      <w:r>
        <w:rPr>
          <w:noProof/>
          <w:lang w:eastAsia="en-GB"/>
        </w:rPr>
        <w:t>leted data and few drop outs (</w:t>
      </w:r>
      <w:r w:rsidR="004A0A63" w:rsidRPr="004A0A63">
        <w:rPr>
          <w:noProof/>
          <w:color w:val="000000" w:themeColor="text1"/>
          <w:lang w:eastAsia="en-GB"/>
        </w:rPr>
        <w:t xml:space="preserve">Table </w:t>
      </w:r>
      <w:r w:rsidR="005B5838">
        <w:rPr>
          <w:noProof/>
          <w:color w:val="000000" w:themeColor="text1"/>
          <w:lang w:eastAsia="en-GB"/>
        </w:rPr>
        <w:t>1</w:t>
      </w:r>
      <w:r>
        <w:rPr>
          <w:noProof/>
          <w:lang w:eastAsia="en-GB"/>
        </w:rPr>
        <w:t>).</w:t>
      </w:r>
      <w:r w:rsidR="00C63E03">
        <w:rPr>
          <w:noProof/>
          <w:lang w:eastAsia="en-GB"/>
        </w:rPr>
        <w:t>**</w:t>
      </w:r>
    </w:p>
    <w:p w14:paraId="783E7779" w14:textId="65BBD768" w:rsidR="00F76783" w:rsidRDefault="00320571" w:rsidP="004A0A63">
      <w:pPr>
        <w:pStyle w:val="CommentText"/>
        <w:spacing w:line="276" w:lineRule="auto"/>
        <w:rPr>
          <w:sz w:val="22"/>
          <w:szCs w:val="22"/>
        </w:rPr>
      </w:pPr>
      <w:r w:rsidRPr="006539F3">
        <w:rPr>
          <w:i/>
          <w:noProof/>
          <w:sz w:val="22"/>
          <w:szCs w:val="22"/>
          <w:u w:val="single"/>
          <w:lang w:eastAsia="en-GB"/>
        </w:rPr>
        <w:t>Safeguard 13</w:t>
      </w:r>
      <w:r w:rsidRPr="006539F3">
        <w:rPr>
          <w:i/>
          <w:noProof/>
          <w:sz w:val="22"/>
          <w:szCs w:val="22"/>
          <w:lang w:eastAsia="en-GB"/>
        </w:rPr>
        <w:t xml:space="preserve"> </w:t>
      </w:r>
      <w:r w:rsidR="006C207B" w:rsidRPr="006539F3">
        <w:rPr>
          <w:i/>
          <w:noProof/>
          <w:sz w:val="22"/>
          <w:szCs w:val="22"/>
          <w:lang w:eastAsia="en-GB"/>
        </w:rPr>
        <w:t>Generous travel reimbursement</w:t>
      </w:r>
      <w:r w:rsidR="00F76783" w:rsidRPr="006539F3">
        <w:rPr>
          <w:i/>
          <w:noProof/>
          <w:sz w:val="22"/>
          <w:szCs w:val="22"/>
          <w:lang w:eastAsia="en-GB"/>
        </w:rPr>
        <w:t xml:space="preserve">: </w:t>
      </w:r>
      <w:r w:rsidR="005B5838">
        <w:rPr>
          <w:noProof/>
          <w:sz w:val="22"/>
          <w:szCs w:val="22"/>
          <w:lang w:eastAsia="en-GB"/>
        </w:rPr>
        <w:t>T</w:t>
      </w:r>
      <w:r w:rsidR="00B62F4D">
        <w:rPr>
          <w:noProof/>
          <w:sz w:val="22"/>
          <w:szCs w:val="22"/>
          <w:lang w:eastAsia="en-GB"/>
        </w:rPr>
        <w:t xml:space="preserve">he </w:t>
      </w:r>
      <w:r w:rsidR="00377D0B">
        <w:rPr>
          <w:noProof/>
          <w:sz w:val="22"/>
          <w:szCs w:val="22"/>
          <w:lang w:eastAsia="en-GB"/>
        </w:rPr>
        <w:t>participants</w:t>
      </w:r>
      <w:r w:rsidR="004A0A63">
        <w:rPr>
          <w:sz w:val="22"/>
          <w:szCs w:val="22"/>
        </w:rPr>
        <w:t xml:space="preserve"> </w:t>
      </w:r>
      <w:r w:rsidR="00F76783" w:rsidRPr="006539F3">
        <w:rPr>
          <w:sz w:val="22"/>
          <w:szCs w:val="22"/>
        </w:rPr>
        <w:t>travel</w:t>
      </w:r>
      <w:r w:rsidR="004A0A63">
        <w:rPr>
          <w:sz w:val="22"/>
          <w:szCs w:val="22"/>
        </w:rPr>
        <w:t>-</w:t>
      </w:r>
      <w:r w:rsidR="00F76783" w:rsidRPr="006539F3">
        <w:rPr>
          <w:sz w:val="22"/>
          <w:szCs w:val="22"/>
        </w:rPr>
        <w:t>expenses were not capped at a set level although an upper limit guidance was provided; expenses</w:t>
      </w:r>
      <w:r w:rsidR="00B62F4D">
        <w:rPr>
          <w:sz w:val="22"/>
          <w:szCs w:val="22"/>
        </w:rPr>
        <w:t xml:space="preserve"> above that limit</w:t>
      </w:r>
      <w:r w:rsidR="00F76783" w:rsidRPr="006539F3">
        <w:rPr>
          <w:sz w:val="22"/>
          <w:szCs w:val="22"/>
        </w:rPr>
        <w:t xml:space="preserve"> were approved by the Chief Investigator on an individual case by case basis. Additionally, expenses were reimbursed promptly by the research site and then invoiced back to the study. </w:t>
      </w:r>
      <w:r w:rsidR="003E0037" w:rsidRPr="006539F3">
        <w:rPr>
          <w:sz w:val="22"/>
          <w:szCs w:val="22"/>
        </w:rPr>
        <w:t>F</w:t>
      </w:r>
      <w:r w:rsidR="00F76783" w:rsidRPr="006539F3">
        <w:rPr>
          <w:sz w:val="22"/>
          <w:szCs w:val="22"/>
        </w:rPr>
        <w:t>or more lengthy and expensive journeys</w:t>
      </w:r>
      <w:r w:rsidR="00B62F4D">
        <w:rPr>
          <w:sz w:val="22"/>
          <w:szCs w:val="22"/>
        </w:rPr>
        <w:t>,</w:t>
      </w:r>
      <w:r w:rsidR="00F76783" w:rsidRPr="006539F3">
        <w:rPr>
          <w:sz w:val="22"/>
          <w:szCs w:val="22"/>
        </w:rPr>
        <w:t xml:space="preserve"> taxis were organised </w:t>
      </w:r>
      <w:r w:rsidR="005B5838">
        <w:rPr>
          <w:sz w:val="22"/>
          <w:szCs w:val="22"/>
        </w:rPr>
        <w:t>by the respective study nurses,</w:t>
      </w:r>
      <w:r w:rsidR="00F76783" w:rsidRPr="006539F3">
        <w:rPr>
          <w:sz w:val="22"/>
          <w:szCs w:val="22"/>
        </w:rPr>
        <w:t xml:space="preserve"> which were paid for on account so that the participants had no initial financial outlay to attend study visits. </w:t>
      </w:r>
      <w:r w:rsidR="00CF4F2B" w:rsidRPr="006539F3">
        <w:rPr>
          <w:sz w:val="22"/>
          <w:szCs w:val="22"/>
        </w:rPr>
        <w:t xml:space="preserve">Carer travel costs were also reimbursed as many participants could not travel </w:t>
      </w:r>
      <w:proofErr w:type="gramStart"/>
      <w:r w:rsidR="00CF4F2B" w:rsidRPr="006539F3">
        <w:rPr>
          <w:sz w:val="22"/>
          <w:szCs w:val="22"/>
        </w:rPr>
        <w:t>alone.</w:t>
      </w:r>
      <w:r w:rsidR="00C63E03">
        <w:rPr>
          <w:sz w:val="22"/>
          <w:szCs w:val="22"/>
        </w:rPr>
        <w:t>*</w:t>
      </w:r>
      <w:proofErr w:type="gramEnd"/>
    </w:p>
    <w:p w14:paraId="53E4D364" w14:textId="148BB99D" w:rsidR="00586F89" w:rsidRDefault="007576AA">
      <w:pPr>
        <w:rPr>
          <w:i/>
          <w:noProof/>
          <w:u w:val="single"/>
          <w:lang w:eastAsia="en-GB"/>
        </w:rPr>
      </w:pPr>
      <w:r>
        <w:rPr>
          <w:b/>
          <w:i/>
          <w:noProof/>
          <w:u w:val="single"/>
          <w:lang w:eastAsia="en-GB"/>
        </w:rPr>
        <w:t>Unsu</w:t>
      </w:r>
      <w:r w:rsidR="00492720">
        <w:rPr>
          <w:b/>
          <w:i/>
          <w:noProof/>
          <w:u w:val="single"/>
          <w:lang w:eastAsia="en-GB"/>
        </w:rPr>
        <w:t>c</w:t>
      </w:r>
      <w:r>
        <w:rPr>
          <w:b/>
          <w:i/>
          <w:noProof/>
          <w:u w:val="single"/>
          <w:lang w:eastAsia="en-GB"/>
        </w:rPr>
        <w:t>cessful a</w:t>
      </w:r>
      <w:r w:rsidR="006C207B" w:rsidRPr="006C207B">
        <w:rPr>
          <w:b/>
          <w:i/>
          <w:noProof/>
          <w:u w:val="single"/>
          <w:lang w:eastAsia="en-GB"/>
        </w:rPr>
        <w:t>pproaches</w:t>
      </w:r>
      <w:r>
        <w:rPr>
          <w:b/>
          <w:i/>
          <w:noProof/>
          <w:u w:val="single"/>
          <w:lang w:eastAsia="en-GB"/>
        </w:rPr>
        <w:t xml:space="preserve"> designed to support</w:t>
      </w:r>
      <w:r w:rsidR="005B5838">
        <w:rPr>
          <w:b/>
          <w:i/>
          <w:noProof/>
          <w:u w:val="single"/>
          <w:lang w:eastAsia="en-GB"/>
        </w:rPr>
        <w:t>recruitment</w:t>
      </w:r>
      <w:r>
        <w:rPr>
          <w:b/>
          <w:i/>
          <w:noProof/>
          <w:u w:val="single"/>
          <w:lang w:eastAsia="en-GB"/>
        </w:rPr>
        <w:t xml:space="preserve"> and retention</w:t>
      </w:r>
      <w:r w:rsidR="006C207B">
        <w:rPr>
          <w:i/>
          <w:noProof/>
          <w:u w:val="single"/>
          <w:lang w:eastAsia="en-GB"/>
        </w:rPr>
        <w:t>:</w:t>
      </w:r>
    </w:p>
    <w:p w14:paraId="4B5257B8" w14:textId="2E97E91D" w:rsidR="00293A36" w:rsidRDefault="00316EF4">
      <w:pPr>
        <w:rPr>
          <w:noProof/>
          <w:lang w:eastAsia="en-GB"/>
        </w:rPr>
      </w:pPr>
      <w:r w:rsidRPr="00586F89">
        <w:rPr>
          <w:i/>
          <w:noProof/>
          <w:lang w:eastAsia="en-GB"/>
        </w:rPr>
        <w:t>Half-yearly adverts (1/4 page) in the professional journal of the British Pain Society (‘</w:t>
      </w:r>
      <w:r w:rsidR="005B5838">
        <w:rPr>
          <w:i/>
          <w:noProof/>
          <w:lang w:eastAsia="en-GB"/>
        </w:rPr>
        <w:t>P</w:t>
      </w:r>
      <w:r w:rsidRPr="00586F89">
        <w:rPr>
          <w:i/>
          <w:noProof/>
          <w:lang w:eastAsia="en-GB"/>
        </w:rPr>
        <w:t xml:space="preserve">ain </w:t>
      </w:r>
      <w:r w:rsidR="005B5838">
        <w:rPr>
          <w:i/>
          <w:noProof/>
          <w:lang w:eastAsia="en-GB"/>
        </w:rPr>
        <w:t>N</w:t>
      </w:r>
      <w:r w:rsidRPr="00586F89">
        <w:rPr>
          <w:i/>
          <w:noProof/>
          <w:lang w:eastAsia="en-GB"/>
        </w:rPr>
        <w:t>ews’) served as referral prompts throughout the UK; presence</w:t>
      </w:r>
      <w:r w:rsidR="00A940B2" w:rsidRPr="00586F89">
        <w:rPr>
          <w:i/>
          <w:noProof/>
          <w:lang w:eastAsia="en-GB"/>
        </w:rPr>
        <w:t xml:space="preserve"> with a poster</w:t>
      </w:r>
      <w:r w:rsidRPr="00586F89">
        <w:rPr>
          <w:i/>
          <w:noProof/>
          <w:lang w:eastAsia="en-GB"/>
        </w:rPr>
        <w:t xml:space="preserve"> on</w:t>
      </w:r>
      <w:r w:rsidR="00A940B2" w:rsidRPr="00586F89">
        <w:rPr>
          <w:i/>
          <w:noProof/>
          <w:lang w:eastAsia="en-GB"/>
        </w:rPr>
        <w:t xml:space="preserve"> one British Pain Society Congress</w:t>
      </w:r>
      <w:r w:rsidR="00AB2E44">
        <w:rPr>
          <w:i/>
          <w:noProof/>
          <w:lang w:eastAsia="en-GB"/>
        </w:rPr>
        <w:t>;</w:t>
      </w:r>
      <w:r w:rsidRPr="00586F89">
        <w:rPr>
          <w:i/>
          <w:noProof/>
          <w:lang w:eastAsia="en-GB"/>
        </w:rPr>
        <w:t xml:space="preserve"> twitter</w:t>
      </w:r>
      <w:r w:rsidR="00AB2E44">
        <w:rPr>
          <w:i/>
          <w:noProof/>
          <w:lang w:eastAsia="en-GB"/>
        </w:rPr>
        <w:t>;</w:t>
      </w:r>
      <w:r w:rsidRPr="00586F89">
        <w:rPr>
          <w:i/>
          <w:noProof/>
          <w:lang w:eastAsia="en-GB"/>
        </w:rPr>
        <w:t xml:space="preserve"> </w:t>
      </w:r>
      <w:r w:rsidR="00FE4E8B" w:rsidRPr="00586F89">
        <w:rPr>
          <w:i/>
          <w:noProof/>
          <w:lang w:eastAsia="en-GB"/>
        </w:rPr>
        <w:t xml:space="preserve">UK </w:t>
      </w:r>
      <w:r w:rsidR="005B5838">
        <w:rPr>
          <w:i/>
          <w:noProof/>
          <w:lang w:eastAsia="en-GB"/>
        </w:rPr>
        <w:t>P</w:t>
      </w:r>
      <w:r w:rsidR="00FE4E8B" w:rsidRPr="00586F89">
        <w:rPr>
          <w:i/>
          <w:noProof/>
          <w:lang w:eastAsia="en-GB"/>
        </w:rPr>
        <w:t xml:space="preserve">ain </w:t>
      </w:r>
      <w:r w:rsidR="005B5838">
        <w:rPr>
          <w:i/>
          <w:noProof/>
          <w:lang w:eastAsia="en-GB"/>
        </w:rPr>
        <w:t>F</w:t>
      </w:r>
      <w:r w:rsidR="00FE4E8B" w:rsidRPr="00586F89">
        <w:rPr>
          <w:i/>
          <w:noProof/>
          <w:lang w:eastAsia="en-GB"/>
        </w:rPr>
        <w:t xml:space="preserve">ellow’s </w:t>
      </w:r>
      <w:r w:rsidR="00BB575A">
        <w:rPr>
          <w:i/>
          <w:noProof/>
          <w:lang w:eastAsia="en-GB"/>
        </w:rPr>
        <w:t>online group (</w:t>
      </w:r>
      <w:r w:rsidR="005B5838">
        <w:rPr>
          <w:i/>
          <w:noProof/>
          <w:lang w:eastAsia="en-GB"/>
        </w:rPr>
        <w:t xml:space="preserve">a </w:t>
      </w:r>
      <w:r w:rsidR="00BB575A">
        <w:rPr>
          <w:i/>
          <w:noProof/>
          <w:lang w:eastAsia="en-GB"/>
        </w:rPr>
        <w:t>‘</w:t>
      </w:r>
      <w:r w:rsidR="00FE4E8B" w:rsidRPr="00586F89">
        <w:rPr>
          <w:i/>
          <w:noProof/>
          <w:lang w:eastAsia="en-GB"/>
        </w:rPr>
        <w:t>google group</w:t>
      </w:r>
      <w:r w:rsidR="00BB575A">
        <w:rPr>
          <w:i/>
          <w:noProof/>
          <w:lang w:eastAsia="en-GB"/>
        </w:rPr>
        <w:t>’</w:t>
      </w:r>
      <w:r w:rsidR="005B5838">
        <w:rPr>
          <w:i/>
          <w:noProof/>
          <w:lang w:eastAsia="en-GB"/>
        </w:rPr>
        <w:t xml:space="preserve"> for Doctors in training in pain medicine</w:t>
      </w:r>
      <w:r w:rsidR="00BB575A">
        <w:rPr>
          <w:i/>
          <w:noProof/>
          <w:lang w:eastAsia="en-GB"/>
        </w:rPr>
        <w:t>)</w:t>
      </w:r>
      <w:r w:rsidR="00AB2E44">
        <w:rPr>
          <w:i/>
          <w:noProof/>
          <w:lang w:eastAsia="en-GB"/>
        </w:rPr>
        <w:t>;</w:t>
      </w:r>
      <w:r w:rsidR="00FE4E8B" w:rsidRPr="00586F89">
        <w:rPr>
          <w:i/>
          <w:noProof/>
          <w:lang w:eastAsia="en-GB"/>
        </w:rPr>
        <w:t xml:space="preserve"> </w:t>
      </w:r>
      <w:r w:rsidRPr="00586F89">
        <w:rPr>
          <w:i/>
          <w:noProof/>
          <w:lang w:eastAsia="en-GB"/>
        </w:rPr>
        <w:t>contact of UK patient organisations</w:t>
      </w:r>
      <w:r w:rsidR="00AB2E44">
        <w:rPr>
          <w:i/>
          <w:noProof/>
          <w:lang w:eastAsia="en-GB"/>
        </w:rPr>
        <w:t>;</w:t>
      </w:r>
      <w:r w:rsidRPr="00586F89">
        <w:rPr>
          <w:i/>
          <w:noProof/>
          <w:lang w:eastAsia="en-GB"/>
        </w:rPr>
        <w:t xml:space="preserve"> </w:t>
      </w:r>
      <w:r w:rsidR="00293A36">
        <w:rPr>
          <w:i/>
          <w:noProof/>
          <w:lang w:eastAsia="en-GB"/>
        </w:rPr>
        <w:t xml:space="preserve">invitation </w:t>
      </w:r>
      <w:r w:rsidR="005B5838">
        <w:rPr>
          <w:i/>
          <w:noProof/>
          <w:lang w:eastAsia="en-GB"/>
        </w:rPr>
        <w:t>of</w:t>
      </w:r>
      <w:r w:rsidR="00BB575A">
        <w:rPr>
          <w:i/>
          <w:noProof/>
          <w:lang w:eastAsia="en-GB"/>
        </w:rPr>
        <w:t xml:space="preserve"> certain</w:t>
      </w:r>
      <w:r w:rsidRPr="00586F89">
        <w:rPr>
          <w:i/>
          <w:noProof/>
          <w:lang w:eastAsia="en-GB"/>
        </w:rPr>
        <w:t xml:space="preserve"> pain centres with a suspected or known interest in </w:t>
      </w:r>
      <w:r w:rsidR="00586F89">
        <w:rPr>
          <w:i/>
          <w:noProof/>
          <w:lang w:eastAsia="en-GB"/>
        </w:rPr>
        <w:t>CRPS care</w:t>
      </w:r>
      <w:r w:rsidR="00BB575A">
        <w:rPr>
          <w:i/>
          <w:noProof/>
          <w:lang w:eastAsia="en-GB"/>
        </w:rPr>
        <w:t xml:space="preserve"> </w:t>
      </w:r>
      <w:r w:rsidRPr="00586F89">
        <w:rPr>
          <w:i/>
          <w:noProof/>
          <w:lang w:eastAsia="en-GB"/>
        </w:rPr>
        <w:t>to become patient identification centres</w:t>
      </w:r>
      <w:r w:rsidR="00293A36">
        <w:rPr>
          <w:i/>
          <w:noProof/>
          <w:lang w:eastAsia="en-GB"/>
        </w:rPr>
        <w:t xml:space="preserve"> (PICS) </w:t>
      </w:r>
      <w:r w:rsidR="005B5838">
        <w:rPr>
          <w:i/>
          <w:noProof/>
          <w:lang w:eastAsia="en-GB"/>
        </w:rPr>
        <w:t>with consequent</w:t>
      </w:r>
      <w:r w:rsidR="00293A36">
        <w:rPr>
          <w:i/>
          <w:noProof/>
          <w:lang w:eastAsia="en-GB"/>
        </w:rPr>
        <w:t xml:space="preserve"> establishment of 9 </w:t>
      </w:r>
      <w:r w:rsidR="005B5838">
        <w:rPr>
          <w:i/>
          <w:noProof/>
          <w:lang w:eastAsia="en-GB"/>
        </w:rPr>
        <w:t xml:space="preserve">such </w:t>
      </w:r>
      <w:r w:rsidR="00293A36">
        <w:rPr>
          <w:i/>
          <w:noProof/>
          <w:lang w:eastAsia="en-GB"/>
        </w:rPr>
        <w:t>centres as PICS (with promise to include all PICS PIs into a secondary outcome publication who successfully identif</w:t>
      </w:r>
      <w:r w:rsidR="005B5838">
        <w:rPr>
          <w:i/>
          <w:noProof/>
          <w:lang w:eastAsia="en-GB"/>
        </w:rPr>
        <w:t>y</w:t>
      </w:r>
      <w:r w:rsidR="00293A36">
        <w:rPr>
          <w:i/>
          <w:noProof/>
          <w:lang w:eastAsia="en-GB"/>
        </w:rPr>
        <w:t xml:space="preserve"> at least 1 patient who would subsequently be enrolled)</w:t>
      </w:r>
      <w:r w:rsidR="00AB2E44">
        <w:rPr>
          <w:i/>
          <w:noProof/>
          <w:lang w:eastAsia="en-GB"/>
        </w:rPr>
        <w:t>;</w:t>
      </w:r>
      <w:r w:rsidR="00F05527" w:rsidRPr="00586F89">
        <w:rPr>
          <w:i/>
          <w:noProof/>
          <w:lang w:eastAsia="en-GB"/>
        </w:rPr>
        <w:t xml:space="preserve"> contact of all UK pain centres once per year </w:t>
      </w:r>
      <w:r w:rsidR="005B5838">
        <w:rPr>
          <w:i/>
          <w:noProof/>
          <w:lang w:eastAsia="en-GB"/>
        </w:rPr>
        <w:t xml:space="preserve">with </w:t>
      </w:r>
      <w:r w:rsidR="00F05527" w:rsidRPr="00586F89">
        <w:rPr>
          <w:i/>
          <w:noProof/>
          <w:lang w:eastAsia="en-GB"/>
        </w:rPr>
        <w:t xml:space="preserve">addresses obtained through </w:t>
      </w:r>
      <w:r w:rsidR="00293A36">
        <w:rPr>
          <w:i/>
          <w:noProof/>
          <w:lang w:eastAsia="en-GB"/>
        </w:rPr>
        <w:t>a national</w:t>
      </w:r>
      <w:r w:rsidR="00F05527" w:rsidRPr="00586F89">
        <w:rPr>
          <w:i/>
          <w:noProof/>
          <w:lang w:eastAsia="en-GB"/>
        </w:rPr>
        <w:t xml:space="preserve"> audit</w:t>
      </w:r>
      <w:r w:rsidR="00293A36">
        <w:rPr>
          <w:i/>
          <w:noProof/>
          <w:lang w:eastAsia="en-GB"/>
        </w:rPr>
        <w:t xml:space="preserve"> of all UK pain management institutions</w:t>
      </w:r>
      <w:r w:rsidR="00AB2E44">
        <w:rPr>
          <w:i/>
          <w:noProof/>
          <w:lang w:eastAsia="en-GB"/>
        </w:rPr>
        <w:t>;</w:t>
      </w:r>
      <w:r w:rsidR="00A940B2" w:rsidRPr="00586F89">
        <w:rPr>
          <w:i/>
          <w:noProof/>
          <w:lang w:eastAsia="en-GB"/>
        </w:rPr>
        <w:t xml:space="preserve"> registration on national or international registries (ISRCTN,  ICTRP, EUDRAC)</w:t>
      </w:r>
      <w:r w:rsidR="00F05527" w:rsidRPr="00586F89">
        <w:rPr>
          <w:noProof/>
          <w:lang w:eastAsia="en-GB"/>
        </w:rPr>
        <w:t xml:space="preserve"> -</w:t>
      </w:r>
      <w:r w:rsidR="00F05527">
        <w:rPr>
          <w:noProof/>
          <w:lang w:eastAsia="en-GB"/>
        </w:rPr>
        <w:t xml:space="preserve"> </w:t>
      </w:r>
      <w:r>
        <w:rPr>
          <w:noProof/>
          <w:lang w:eastAsia="en-GB"/>
        </w:rPr>
        <w:t xml:space="preserve"> these </w:t>
      </w:r>
      <w:r w:rsidR="00586F89">
        <w:rPr>
          <w:noProof/>
          <w:lang w:eastAsia="en-GB"/>
        </w:rPr>
        <w:t>approaches</w:t>
      </w:r>
      <w:r>
        <w:rPr>
          <w:noProof/>
          <w:lang w:eastAsia="en-GB"/>
        </w:rPr>
        <w:t xml:space="preserve"> did not </w:t>
      </w:r>
      <w:r w:rsidR="00CF4F2B">
        <w:rPr>
          <w:noProof/>
          <w:lang w:eastAsia="en-GB"/>
        </w:rPr>
        <w:t>measurably help</w:t>
      </w:r>
      <w:r>
        <w:rPr>
          <w:noProof/>
          <w:lang w:eastAsia="en-GB"/>
        </w:rPr>
        <w:t xml:space="preserve"> recruitment. </w:t>
      </w:r>
    </w:p>
    <w:p w14:paraId="59EB7D3A" w14:textId="14D6C4DF" w:rsidR="005B5838" w:rsidRDefault="00316EF4">
      <w:pPr>
        <w:rPr>
          <w:noProof/>
          <w:lang w:eastAsia="en-GB"/>
        </w:rPr>
      </w:pPr>
      <w:r>
        <w:rPr>
          <w:noProof/>
          <w:lang w:eastAsia="en-GB"/>
        </w:rPr>
        <w:t>No patient</w:t>
      </w:r>
      <w:r w:rsidR="00CF4F2B">
        <w:rPr>
          <w:noProof/>
          <w:lang w:eastAsia="en-GB"/>
        </w:rPr>
        <w:t>s</w:t>
      </w:r>
      <w:r>
        <w:rPr>
          <w:noProof/>
          <w:lang w:eastAsia="en-GB"/>
        </w:rPr>
        <w:t xml:space="preserve"> w</w:t>
      </w:r>
      <w:r w:rsidR="00CF4F2B">
        <w:rPr>
          <w:noProof/>
          <w:lang w:eastAsia="en-GB"/>
        </w:rPr>
        <w:t>ere</w:t>
      </w:r>
      <w:r>
        <w:rPr>
          <w:noProof/>
          <w:lang w:eastAsia="en-GB"/>
        </w:rPr>
        <w:t xml:space="preserve"> enrolled following referral from</w:t>
      </w:r>
      <w:r w:rsidR="00F05527">
        <w:rPr>
          <w:noProof/>
          <w:lang w:eastAsia="en-GB"/>
        </w:rPr>
        <w:t xml:space="preserve"> a</w:t>
      </w:r>
      <w:r>
        <w:rPr>
          <w:noProof/>
          <w:lang w:eastAsia="en-GB"/>
        </w:rPr>
        <w:t xml:space="preserve"> PIC</w:t>
      </w:r>
      <w:r w:rsidR="00F05527">
        <w:rPr>
          <w:noProof/>
          <w:lang w:eastAsia="en-GB"/>
        </w:rPr>
        <w:t xml:space="preserve"> site</w:t>
      </w:r>
      <w:r w:rsidR="00CF4F2B">
        <w:rPr>
          <w:noProof/>
          <w:lang w:eastAsia="en-GB"/>
        </w:rPr>
        <w:t>. O</w:t>
      </w:r>
      <w:r w:rsidR="00756E11">
        <w:rPr>
          <w:noProof/>
          <w:lang w:eastAsia="en-GB"/>
        </w:rPr>
        <w:t>ne issue</w:t>
      </w:r>
      <w:r w:rsidR="00CF4F2B">
        <w:rPr>
          <w:noProof/>
          <w:lang w:eastAsia="en-GB"/>
        </w:rPr>
        <w:t xml:space="preserve"> identified</w:t>
      </w:r>
      <w:r w:rsidR="00756E11">
        <w:rPr>
          <w:noProof/>
          <w:lang w:eastAsia="en-GB"/>
        </w:rPr>
        <w:t xml:space="preserve"> was the </w:t>
      </w:r>
      <w:r w:rsidR="00586F89">
        <w:rPr>
          <w:noProof/>
          <w:lang w:eastAsia="en-GB"/>
        </w:rPr>
        <w:t xml:space="preserve">often long </w:t>
      </w:r>
      <w:r w:rsidR="00756E11">
        <w:rPr>
          <w:noProof/>
          <w:lang w:eastAsia="en-GB"/>
        </w:rPr>
        <w:t xml:space="preserve">travel that was required from the </w:t>
      </w:r>
      <w:r w:rsidR="005B5838">
        <w:rPr>
          <w:noProof/>
          <w:lang w:eastAsia="en-GB"/>
        </w:rPr>
        <w:t xml:space="preserve">area of the </w:t>
      </w:r>
      <w:r w:rsidR="00756E11">
        <w:rPr>
          <w:noProof/>
          <w:lang w:eastAsia="en-GB"/>
        </w:rPr>
        <w:t>PIC site</w:t>
      </w:r>
      <w:r w:rsidR="005B5838">
        <w:rPr>
          <w:noProof/>
          <w:lang w:eastAsia="en-GB"/>
        </w:rPr>
        <w:t xml:space="preserve"> where a patient lived</w:t>
      </w:r>
      <w:r w:rsidR="00756E11">
        <w:rPr>
          <w:noProof/>
          <w:lang w:eastAsia="en-GB"/>
        </w:rPr>
        <w:t xml:space="preserve"> to a trial site</w:t>
      </w:r>
      <w:r w:rsidR="00CF4F2B">
        <w:rPr>
          <w:noProof/>
          <w:lang w:eastAsia="en-GB"/>
        </w:rPr>
        <w:t xml:space="preserve">. </w:t>
      </w:r>
      <w:r w:rsidR="005B5838">
        <w:rPr>
          <w:noProof/>
          <w:lang w:eastAsia="en-GB"/>
        </w:rPr>
        <w:t xml:space="preserve">Similary, only </w:t>
      </w:r>
      <w:r w:rsidR="005B5838" w:rsidRPr="00293A36">
        <w:rPr>
          <w:noProof/>
          <w:color w:val="000000" w:themeColor="text1"/>
          <w:lang w:eastAsia="en-GB"/>
        </w:rPr>
        <w:t xml:space="preserve">one patient </w:t>
      </w:r>
      <w:r w:rsidR="005B5838">
        <w:rPr>
          <w:noProof/>
          <w:lang w:eastAsia="en-GB"/>
        </w:rPr>
        <w:t>was enroled following referral from other (non PICS, non CRPS-specialising) pain clinics, even though we were grateful that such referrals were regularly received – strict enrolment criteria may have pla</w:t>
      </w:r>
      <w:r w:rsidR="00AB2E44">
        <w:rPr>
          <w:noProof/>
          <w:lang w:eastAsia="en-GB"/>
        </w:rPr>
        <w:t>yed</w:t>
      </w:r>
      <w:r w:rsidR="005B5838">
        <w:rPr>
          <w:noProof/>
          <w:lang w:eastAsia="en-GB"/>
        </w:rPr>
        <w:t xml:space="preserve"> a role.</w:t>
      </w:r>
    </w:p>
    <w:p w14:paraId="252CAD75" w14:textId="0E4B4F7E" w:rsidR="00325D88" w:rsidRDefault="00CF4F2B">
      <w:pPr>
        <w:rPr>
          <w:noProof/>
          <w:lang w:eastAsia="en-GB"/>
        </w:rPr>
      </w:pPr>
      <w:r>
        <w:rPr>
          <w:noProof/>
          <w:lang w:eastAsia="en-GB"/>
        </w:rPr>
        <w:t>A</w:t>
      </w:r>
      <w:r w:rsidR="00316EF4">
        <w:rPr>
          <w:noProof/>
          <w:lang w:eastAsia="en-GB"/>
        </w:rPr>
        <w:t xml:space="preserve"> steady stream of patient</w:t>
      </w:r>
      <w:r w:rsidR="00F05527">
        <w:rPr>
          <w:noProof/>
          <w:lang w:eastAsia="en-GB"/>
        </w:rPr>
        <w:t xml:space="preserve"> </w:t>
      </w:r>
      <w:r w:rsidR="002025A7">
        <w:rPr>
          <w:noProof/>
          <w:lang w:eastAsia="en-GB"/>
        </w:rPr>
        <w:t>self-referrals/enquiries</w:t>
      </w:r>
      <w:r w:rsidR="00316EF4">
        <w:rPr>
          <w:noProof/>
          <w:lang w:eastAsia="en-GB"/>
        </w:rPr>
        <w:t xml:space="preserve"> </w:t>
      </w:r>
      <w:r w:rsidR="00F05527">
        <w:rPr>
          <w:noProof/>
          <w:lang w:eastAsia="en-GB"/>
        </w:rPr>
        <w:t xml:space="preserve">did also not lead to </w:t>
      </w:r>
      <w:r>
        <w:rPr>
          <w:noProof/>
          <w:lang w:eastAsia="en-GB"/>
        </w:rPr>
        <w:t>any</w:t>
      </w:r>
      <w:r w:rsidR="00F05527">
        <w:rPr>
          <w:noProof/>
          <w:lang w:eastAsia="en-GB"/>
        </w:rPr>
        <w:t xml:space="preserve"> recruitment</w:t>
      </w:r>
      <w:r w:rsidR="00316EF4">
        <w:rPr>
          <w:noProof/>
          <w:lang w:eastAsia="en-GB"/>
        </w:rPr>
        <w:t xml:space="preserve"> </w:t>
      </w:r>
      <w:r w:rsidR="00F05527">
        <w:rPr>
          <w:noProof/>
          <w:lang w:eastAsia="en-GB"/>
        </w:rPr>
        <w:t xml:space="preserve">– in part because </w:t>
      </w:r>
      <w:r w:rsidR="00316EF4">
        <w:rPr>
          <w:noProof/>
          <w:lang w:eastAsia="en-GB"/>
        </w:rPr>
        <w:t xml:space="preserve">strict diagnostic criteria for CRPS were applied. </w:t>
      </w:r>
      <w:r w:rsidR="00F05527">
        <w:rPr>
          <w:noProof/>
          <w:lang w:eastAsia="en-GB"/>
        </w:rPr>
        <w:t xml:space="preserve"> </w:t>
      </w:r>
      <w:r w:rsidR="002025A7">
        <w:rPr>
          <w:noProof/>
          <w:lang w:eastAsia="en-GB"/>
        </w:rPr>
        <w:t xml:space="preserve"> Recruitment attempts through the national CRPS registry did not yield </w:t>
      </w:r>
      <w:r>
        <w:rPr>
          <w:noProof/>
          <w:lang w:eastAsia="en-GB"/>
        </w:rPr>
        <w:t>any recruits</w:t>
      </w:r>
      <w:r w:rsidR="002025A7">
        <w:rPr>
          <w:noProof/>
          <w:lang w:eastAsia="en-GB"/>
        </w:rPr>
        <w:t>, lik</w:t>
      </w:r>
      <w:r>
        <w:rPr>
          <w:noProof/>
          <w:lang w:eastAsia="en-GB"/>
        </w:rPr>
        <w:t>el</w:t>
      </w:r>
      <w:r w:rsidR="002025A7">
        <w:rPr>
          <w:noProof/>
          <w:lang w:eastAsia="en-GB"/>
        </w:rPr>
        <w:t xml:space="preserve">y </w:t>
      </w:r>
      <w:r w:rsidR="00293A36">
        <w:rPr>
          <w:noProof/>
          <w:lang w:eastAsia="en-GB"/>
        </w:rPr>
        <w:t>as</w:t>
      </w:r>
      <w:r w:rsidR="00293A36" w:rsidRPr="00293A36">
        <w:rPr>
          <w:noProof/>
          <w:lang w:eastAsia="en-GB"/>
        </w:rPr>
        <w:t xml:space="preserve"> </w:t>
      </w:r>
      <w:r w:rsidR="00293A36">
        <w:rPr>
          <w:noProof/>
          <w:lang w:eastAsia="en-GB"/>
        </w:rPr>
        <w:t xml:space="preserve">many patients on this registry have very </w:t>
      </w:r>
      <w:r w:rsidR="00293A36">
        <w:rPr>
          <w:noProof/>
          <w:lang w:eastAsia="en-GB"/>
        </w:rPr>
        <w:lastRenderedPageBreak/>
        <w:t>longstanding CRPS</w:t>
      </w:r>
      <w:r w:rsidR="002025A7">
        <w:rPr>
          <w:noProof/>
          <w:lang w:eastAsia="en-GB"/>
        </w:rPr>
        <w:t xml:space="preserve"> </w:t>
      </w:r>
      <w:r w:rsidR="00293A36">
        <w:rPr>
          <w:noProof/>
          <w:lang w:eastAsia="en-GB"/>
        </w:rPr>
        <w:t xml:space="preserve">exceeding </w:t>
      </w:r>
      <w:r w:rsidR="002025A7">
        <w:rPr>
          <w:noProof/>
          <w:lang w:eastAsia="en-GB"/>
        </w:rPr>
        <w:t>the LIPS upper disease duration cutoff 5 year</w:t>
      </w:r>
      <w:r w:rsidR="00586F89">
        <w:rPr>
          <w:noProof/>
          <w:lang w:eastAsia="en-GB"/>
        </w:rPr>
        <w:t>s</w:t>
      </w:r>
      <w:r w:rsidR="004D44F4" w:rsidRPr="004D44F4">
        <w:rPr>
          <w:noProof/>
          <w:vertAlign w:val="superscript"/>
          <w:lang w:eastAsia="en-GB"/>
        </w:rPr>
        <w:t>1</w:t>
      </w:r>
      <w:r w:rsidR="00B505A5">
        <w:rPr>
          <w:noProof/>
          <w:vertAlign w:val="superscript"/>
          <w:lang w:eastAsia="en-GB"/>
        </w:rPr>
        <w:t>5</w:t>
      </w:r>
      <w:r w:rsidR="00293A36">
        <w:rPr>
          <w:noProof/>
          <w:lang w:eastAsia="en-GB"/>
        </w:rPr>
        <w:t xml:space="preserve">, </w:t>
      </w:r>
      <w:r w:rsidR="002025A7">
        <w:rPr>
          <w:noProof/>
          <w:lang w:eastAsia="en-GB"/>
        </w:rPr>
        <w:t xml:space="preserve">and also since </w:t>
      </w:r>
      <w:r w:rsidR="00293A36">
        <w:rPr>
          <w:noProof/>
          <w:lang w:eastAsia="en-GB"/>
        </w:rPr>
        <w:t>some</w:t>
      </w:r>
      <w:r w:rsidR="002025A7">
        <w:rPr>
          <w:noProof/>
          <w:lang w:eastAsia="en-GB"/>
        </w:rPr>
        <w:t xml:space="preserve"> of these patients had already been contacted directly by those centres who had originally put them onto th</w:t>
      </w:r>
      <w:r w:rsidR="00293A36">
        <w:rPr>
          <w:noProof/>
          <w:lang w:eastAsia="en-GB"/>
        </w:rPr>
        <w:t>at</w:t>
      </w:r>
      <w:r w:rsidR="002025A7">
        <w:rPr>
          <w:noProof/>
          <w:lang w:eastAsia="en-GB"/>
        </w:rPr>
        <w:t xml:space="preserve"> </w:t>
      </w:r>
      <w:r w:rsidR="00293A36">
        <w:rPr>
          <w:noProof/>
          <w:lang w:eastAsia="en-GB"/>
        </w:rPr>
        <w:t>registry</w:t>
      </w:r>
      <w:r w:rsidR="002025A7">
        <w:rPr>
          <w:noProof/>
          <w:lang w:eastAsia="en-GB"/>
        </w:rPr>
        <w:t xml:space="preserve">; the 3 largest of these centres were part of the trial. </w:t>
      </w:r>
    </w:p>
    <w:p w14:paraId="1B212785" w14:textId="6C210E64" w:rsidR="00316EF4" w:rsidRPr="00325D88" w:rsidRDefault="00325D88">
      <w:pPr>
        <w:rPr>
          <w:noProof/>
          <w:lang w:eastAsia="en-GB"/>
        </w:rPr>
      </w:pPr>
      <w:r w:rsidRPr="00325D88">
        <w:rPr>
          <w:i/>
          <w:noProof/>
          <w:lang w:eastAsia="en-GB"/>
        </w:rPr>
        <w:t xml:space="preserve">Text </w:t>
      </w:r>
      <w:r w:rsidR="00E73ABB">
        <w:rPr>
          <w:i/>
          <w:noProof/>
          <w:lang w:eastAsia="en-GB"/>
        </w:rPr>
        <w:t>M</w:t>
      </w:r>
      <w:r w:rsidRPr="00325D88">
        <w:rPr>
          <w:i/>
          <w:noProof/>
          <w:lang w:eastAsia="en-GB"/>
        </w:rPr>
        <w:t xml:space="preserve">essaging </w:t>
      </w:r>
      <w:r w:rsidR="00E73ABB">
        <w:rPr>
          <w:i/>
          <w:noProof/>
          <w:lang w:eastAsia="en-GB"/>
        </w:rPr>
        <w:t>S</w:t>
      </w:r>
      <w:r w:rsidRPr="00325D88">
        <w:rPr>
          <w:i/>
          <w:noProof/>
          <w:lang w:eastAsia="en-GB"/>
        </w:rPr>
        <w:t>ervice</w:t>
      </w:r>
      <w:r w:rsidR="00293A36">
        <w:rPr>
          <w:i/>
          <w:noProof/>
          <w:lang w:eastAsia="en-GB"/>
        </w:rPr>
        <w:t xml:space="preserve"> (TMS)</w:t>
      </w:r>
      <w:r w:rsidRPr="00325D88">
        <w:rPr>
          <w:i/>
          <w:noProof/>
          <w:lang w:eastAsia="en-GB"/>
        </w:rPr>
        <w:t xml:space="preserve">: </w:t>
      </w:r>
      <w:r w:rsidR="00C101D4">
        <w:rPr>
          <w:noProof/>
          <w:lang w:eastAsia="en-GB"/>
        </w:rPr>
        <w:t>I</w:t>
      </w:r>
      <w:r w:rsidRPr="00325D88">
        <w:rPr>
          <w:noProof/>
          <w:lang w:eastAsia="en-GB"/>
        </w:rPr>
        <w:t>ntroduced as</w:t>
      </w:r>
      <w:r w:rsidR="00293A36">
        <w:rPr>
          <w:noProof/>
          <w:lang w:eastAsia="en-GB"/>
        </w:rPr>
        <w:t xml:space="preserve"> both </w:t>
      </w:r>
      <w:r w:rsidR="00CF4F2B">
        <w:rPr>
          <w:noProof/>
          <w:lang w:eastAsia="en-GB"/>
        </w:rPr>
        <w:t>a</w:t>
      </w:r>
      <w:r>
        <w:rPr>
          <w:i/>
          <w:noProof/>
          <w:lang w:eastAsia="en-GB"/>
        </w:rPr>
        <w:t xml:space="preserve"> </w:t>
      </w:r>
      <w:r>
        <w:rPr>
          <w:noProof/>
          <w:lang w:eastAsia="en-GB"/>
        </w:rPr>
        <w:t>retention strategy</w:t>
      </w:r>
      <w:r w:rsidR="00C101D4">
        <w:rPr>
          <w:noProof/>
          <w:lang w:eastAsia="en-GB"/>
        </w:rPr>
        <w:t xml:space="preserve"> and </w:t>
      </w:r>
      <w:r w:rsidR="00293A36">
        <w:rPr>
          <w:noProof/>
          <w:lang w:eastAsia="en-GB"/>
        </w:rPr>
        <w:t xml:space="preserve">a </w:t>
      </w:r>
      <w:r w:rsidR="00C101D4">
        <w:rPr>
          <w:noProof/>
          <w:lang w:eastAsia="en-GB"/>
        </w:rPr>
        <w:t>secondary primary data collection source</w:t>
      </w:r>
      <w:r w:rsidR="00293A36">
        <w:rPr>
          <w:noProof/>
          <w:lang w:eastAsia="en-GB"/>
        </w:rPr>
        <w:t>. It</w:t>
      </w:r>
      <w:r>
        <w:rPr>
          <w:noProof/>
          <w:lang w:eastAsia="en-GB"/>
        </w:rPr>
        <w:t xml:space="preserve"> </w:t>
      </w:r>
      <w:r w:rsidR="00C101D4">
        <w:rPr>
          <w:noProof/>
          <w:lang w:eastAsia="en-GB"/>
        </w:rPr>
        <w:t xml:space="preserve">was envisaged </w:t>
      </w:r>
      <w:r w:rsidR="00293A36">
        <w:rPr>
          <w:noProof/>
          <w:lang w:eastAsia="en-GB"/>
        </w:rPr>
        <w:t xml:space="preserve">that TMS </w:t>
      </w:r>
      <w:r w:rsidR="00C101D4">
        <w:rPr>
          <w:noProof/>
          <w:lang w:eastAsia="en-GB"/>
        </w:rPr>
        <w:t>would</w:t>
      </w:r>
      <w:r>
        <w:rPr>
          <w:noProof/>
          <w:lang w:eastAsia="en-GB"/>
        </w:rPr>
        <w:t xml:space="preserve"> keep participants engaged in the trial </w:t>
      </w:r>
      <w:r w:rsidR="00C101D4">
        <w:rPr>
          <w:noProof/>
          <w:lang w:eastAsia="en-GB"/>
        </w:rPr>
        <w:t xml:space="preserve">as they would receive a daily </w:t>
      </w:r>
      <w:r w:rsidR="005B5838">
        <w:rPr>
          <w:noProof/>
          <w:lang w:eastAsia="en-GB"/>
        </w:rPr>
        <w:t xml:space="preserve">reminder </w:t>
      </w:r>
      <w:r w:rsidR="00C101D4">
        <w:rPr>
          <w:noProof/>
          <w:lang w:eastAsia="en-GB"/>
        </w:rPr>
        <w:t>text</w:t>
      </w:r>
      <w:r w:rsidR="00293A36">
        <w:rPr>
          <w:noProof/>
          <w:lang w:eastAsia="en-GB"/>
        </w:rPr>
        <w:t>,</w:t>
      </w:r>
      <w:r w:rsidR="00C101D4">
        <w:rPr>
          <w:noProof/>
          <w:lang w:eastAsia="en-GB"/>
        </w:rPr>
        <w:t xml:space="preserve"> </w:t>
      </w:r>
      <w:r>
        <w:rPr>
          <w:noProof/>
          <w:lang w:eastAsia="en-GB"/>
        </w:rPr>
        <w:t xml:space="preserve">and </w:t>
      </w:r>
      <w:r w:rsidR="00293A36">
        <w:rPr>
          <w:noProof/>
          <w:lang w:eastAsia="en-GB"/>
        </w:rPr>
        <w:t xml:space="preserve">that </w:t>
      </w:r>
      <w:r w:rsidR="005B5838">
        <w:rPr>
          <w:noProof/>
          <w:lang w:eastAsia="en-GB"/>
        </w:rPr>
        <w:t>this</w:t>
      </w:r>
      <w:r w:rsidR="00293A36">
        <w:rPr>
          <w:noProof/>
          <w:lang w:eastAsia="en-GB"/>
        </w:rPr>
        <w:t xml:space="preserve"> would</w:t>
      </w:r>
      <w:r>
        <w:rPr>
          <w:noProof/>
          <w:lang w:eastAsia="en-GB"/>
        </w:rPr>
        <w:t xml:space="preserve"> maximise data quality (primary outcome, pain intensity – daily reminders to complete diaries</w:t>
      </w:r>
      <w:r w:rsidR="00FF1A1C">
        <w:rPr>
          <w:noProof/>
          <w:lang w:eastAsia="en-GB"/>
        </w:rPr>
        <w:t xml:space="preserve"> and text the score back</w:t>
      </w:r>
      <w:r>
        <w:rPr>
          <w:noProof/>
          <w:lang w:eastAsia="en-GB"/>
        </w:rPr>
        <w:t xml:space="preserve">) when used in parallel with the paper diaries. </w:t>
      </w:r>
      <w:r>
        <w:rPr>
          <w:i/>
          <w:noProof/>
          <w:lang w:eastAsia="en-GB"/>
        </w:rPr>
        <w:t xml:space="preserve"> </w:t>
      </w:r>
      <w:r>
        <w:rPr>
          <w:noProof/>
          <w:lang w:eastAsia="en-GB"/>
        </w:rPr>
        <w:t xml:space="preserve">The system was somewhat cumbersome to set up and run, so that implementation </w:t>
      </w:r>
      <w:r w:rsidR="00AB2E44">
        <w:rPr>
          <w:noProof/>
          <w:lang w:eastAsia="en-GB"/>
        </w:rPr>
        <w:t>at</w:t>
      </w:r>
      <w:r>
        <w:rPr>
          <w:noProof/>
          <w:lang w:eastAsia="en-GB"/>
        </w:rPr>
        <w:t xml:space="preserve"> the sites was slow. In addition, over time the trial team became aware of excellen</w:t>
      </w:r>
      <w:r w:rsidR="00CF4F2B">
        <w:rPr>
          <w:noProof/>
          <w:lang w:eastAsia="en-GB"/>
        </w:rPr>
        <w:t>t</w:t>
      </w:r>
      <w:r>
        <w:rPr>
          <w:noProof/>
          <w:lang w:eastAsia="en-GB"/>
        </w:rPr>
        <w:t xml:space="preserve"> completion rates with the paper diaries, so that this system was abandoned after the first recruitment year . </w:t>
      </w:r>
    </w:p>
    <w:p w14:paraId="0FCFF7A2" w14:textId="1C1BF699" w:rsidR="003E2CA5" w:rsidRPr="00A34E66" w:rsidRDefault="005B5838">
      <w:pPr>
        <w:rPr>
          <w:b/>
          <w:noProof/>
          <w:u w:val="single"/>
          <w:lang w:eastAsia="en-GB"/>
        </w:rPr>
      </w:pPr>
      <w:r>
        <w:rPr>
          <w:b/>
          <w:noProof/>
          <w:u w:val="single"/>
          <w:lang w:eastAsia="en-GB"/>
        </w:rPr>
        <w:t>R</w:t>
      </w:r>
      <w:r w:rsidR="00F62381" w:rsidRPr="00A34E66">
        <w:rPr>
          <w:b/>
          <w:noProof/>
          <w:u w:val="single"/>
          <w:lang w:eastAsia="en-GB"/>
        </w:rPr>
        <w:t xml:space="preserve">isks to recruitment </w:t>
      </w:r>
      <w:r w:rsidR="006539F3" w:rsidRPr="00A34E66">
        <w:rPr>
          <w:b/>
          <w:noProof/>
          <w:u w:val="single"/>
          <w:lang w:eastAsia="en-GB"/>
        </w:rPr>
        <w:t>and retention</w:t>
      </w:r>
    </w:p>
    <w:p w14:paraId="3CD5940A" w14:textId="7E521E84" w:rsidR="006539F3" w:rsidRDefault="00524BEB">
      <w:pPr>
        <w:rPr>
          <w:noProof/>
          <w:lang w:eastAsia="en-GB"/>
        </w:rPr>
      </w:pPr>
      <w:r>
        <w:rPr>
          <w:noProof/>
          <w:lang w:eastAsia="en-GB"/>
        </w:rPr>
        <w:t>W</w:t>
      </w:r>
      <w:r w:rsidR="003E2CA5">
        <w:rPr>
          <w:noProof/>
          <w:lang w:eastAsia="en-GB"/>
        </w:rPr>
        <w:t>e identified risks</w:t>
      </w:r>
      <w:r w:rsidR="00856A11">
        <w:rPr>
          <w:noProof/>
          <w:lang w:eastAsia="en-GB"/>
        </w:rPr>
        <w:t>; most of these (i-v)</w:t>
      </w:r>
      <w:r w:rsidR="003E2CA5">
        <w:rPr>
          <w:noProof/>
          <w:lang w:eastAsia="en-GB"/>
        </w:rPr>
        <w:t xml:space="preserve"> </w:t>
      </w:r>
      <w:r w:rsidR="00856A11">
        <w:rPr>
          <w:noProof/>
          <w:lang w:eastAsia="en-GB"/>
        </w:rPr>
        <w:t>related to the specific study population suffering from a</w:t>
      </w:r>
      <w:r w:rsidR="003E2CA5">
        <w:rPr>
          <w:noProof/>
          <w:lang w:eastAsia="en-GB"/>
        </w:rPr>
        <w:t xml:space="preserve"> severe chronic pain</w:t>
      </w:r>
      <w:r w:rsidR="00FD54B3">
        <w:rPr>
          <w:noProof/>
          <w:lang w:eastAsia="en-GB"/>
        </w:rPr>
        <w:t xml:space="preserve"> condition</w:t>
      </w:r>
      <w:r w:rsidR="003E2CA5">
        <w:rPr>
          <w:noProof/>
          <w:lang w:eastAsia="en-GB"/>
        </w:rPr>
        <w:t xml:space="preserve">: </w:t>
      </w:r>
    </w:p>
    <w:p w14:paraId="42A6360A" w14:textId="77777777" w:rsidR="00856A11" w:rsidRPr="00856A11" w:rsidRDefault="00856A11" w:rsidP="00856A11">
      <w:pPr>
        <w:pStyle w:val="ListParagraph"/>
        <w:numPr>
          <w:ilvl w:val="0"/>
          <w:numId w:val="6"/>
        </w:numPr>
        <w:rPr>
          <w:noProof/>
          <w:lang w:eastAsia="en-GB"/>
        </w:rPr>
      </w:pPr>
      <w:r>
        <w:rPr>
          <w:noProof/>
          <w:lang w:eastAsia="en-GB"/>
        </w:rPr>
        <w:t>patient concern about pain exacerbation with travel – determined by the distance to the closest trial centre and the number of visits needed</w:t>
      </w:r>
    </w:p>
    <w:p w14:paraId="5112711C" w14:textId="55191061" w:rsidR="006539F3" w:rsidRPr="00856A11" w:rsidRDefault="003E2CA5" w:rsidP="006539F3">
      <w:pPr>
        <w:pStyle w:val="ListParagraph"/>
        <w:numPr>
          <w:ilvl w:val="0"/>
          <w:numId w:val="6"/>
        </w:numPr>
        <w:rPr>
          <w:b/>
          <w:noProof/>
          <w:lang w:eastAsia="en-GB"/>
        </w:rPr>
      </w:pPr>
      <w:r>
        <w:rPr>
          <w:noProof/>
          <w:lang w:eastAsia="en-GB"/>
        </w:rPr>
        <w:t xml:space="preserve">patient fear of </w:t>
      </w:r>
      <w:r w:rsidR="00D27E6B">
        <w:rPr>
          <w:noProof/>
          <w:lang w:eastAsia="en-GB"/>
        </w:rPr>
        <w:t xml:space="preserve">potential </w:t>
      </w:r>
      <w:r>
        <w:rPr>
          <w:noProof/>
          <w:lang w:eastAsia="en-GB"/>
        </w:rPr>
        <w:t>pain increase with the intervention</w:t>
      </w:r>
    </w:p>
    <w:p w14:paraId="12FB14EA" w14:textId="5A350C07" w:rsidR="00856A11" w:rsidRPr="00856A11" w:rsidRDefault="003E2CA5" w:rsidP="006539F3">
      <w:pPr>
        <w:pStyle w:val="ListParagraph"/>
        <w:numPr>
          <w:ilvl w:val="0"/>
          <w:numId w:val="6"/>
        </w:numPr>
        <w:rPr>
          <w:b/>
          <w:noProof/>
          <w:lang w:eastAsia="en-GB"/>
        </w:rPr>
      </w:pPr>
      <w:r>
        <w:rPr>
          <w:noProof/>
          <w:lang w:eastAsia="en-GB"/>
        </w:rPr>
        <w:t>patient concern about commitment on the background pain flares (</w:t>
      </w:r>
      <w:r w:rsidR="00BF4973">
        <w:rPr>
          <w:noProof/>
          <w:lang w:eastAsia="en-GB"/>
        </w:rPr>
        <w:t>‘</w:t>
      </w:r>
      <w:r>
        <w:rPr>
          <w:noProof/>
          <w:lang w:eastAsia="en-GB"/>
        </w:rPr>
        <w:t>if my pain is bad I would not be able to travel</w:t>
      </w:r>
      <w:r w:rsidR="00BF4973">
        <w:rPr>
          <w:noProof/>
          <w:lang w:eastAsia="en-GB"/>
        </w:rPr>
        <w:t>’</w:t>
      </w:r>
      <w:r>
        <w:rPr>
          <w:noProof/>
          <w:lang w:eastAsia="en-GB"/>
        </w:rPr>
        <w:t xml:space="preserve">). </w:t>
      </w:r>
    </w:p>
    <w:p w14:paraId="6D31BA7E" w14:textId="3AA1FF6F" w:rsidR="006539F3" w:rsidRPr="00856A11" w:rsidRDefault="003E2CA5" w:rsidP="00856A11">
      <w:pPr>
        <w:ind w:left="40"/>
        <w:rPr>
          <w:b/>
          <w:noProof/>
          <w:lang w:eastAsia="en-GB"/>
        </w:rPr>
      </w:pPr>
      <w:r>
        <w:rPr>
          <w:noProof/>
          <w:lang w:eastAsia="en-GB"/>
        </w:rPr>
        <w:t>Measures to address these issues</w:t>
      </w:r>
      <w:r w:rsidR="00D27E6B">
        <w:rPr>
          <w:noProof/>
          <w:lang w:eastAsia="en-GB"/>
        </w:rPr>
        <w:t xml:space="preserve"> (i-iii)</w:t>
      </w:r>
      <w:r>
        <w:rPr>
          <w:noProof/>
          <w:lang w:eastAsia="en-GB"/>
        </w:rPr>
        <w:t xml:space="preserve"> include</w:t>
      </w:r>
      <w:r w:rsidR="00856A11">
        <w:rPr>
          <w:noProof/>
          <w:lang w:eastAsia="en-GB"/>
        </w:rPr>
        <w:t>d</w:t>
      </w:r>
      <w:r>
        <w:rPr>
          <w:noProof/>
          <w:lang w:eastAsia="en-GB"/>
        </w:rPr>
        <w:t xml:space="preserve"> trial-design adaptations to minimise the number of visits, good geographical spread of </w:t>
      </w:r>
      <w:r w:rsidR="00CF4F2B">
        <w:rPr>
          <w:noProof/>
          <w:lang w:eastAsia="en-GB"/>
        </w:rPr>
        <w:t>trial sites</w:t>
      </w:r>
      <w:r>
        <w:rPr>
          <w:noProof/>
          <w:lang w:eastAsia="en-GB"/>
        </w:rPr>
        <w:t xml:space="preserve">, </w:t>
      </w:r>
      <w:r w:rsidR="00BF4973">
        <w:rPr>
          <w:noProof/>
          <w:lang w:eastAsia="en-GB"/>
        </w:rPr>
        <w:t xml:space="preserve">and </w:t>
      </w:r>
      <w:r w:rsidR="00856A11">
        <w:rPr>
          <w:noProof/>
          <w:lang w:eastAsia="en-GB"/>
        </w:rPr>
        <w:t xml:space="preserve">introduction of more </w:t>
      </w:r>
      <w:r>
        <w:rPr>
          <w:noProof/>
          <w:lang w:eastAsia="en-GB"/>
        </w:rPr>
        <w:t>flexibility in the study visit times</w:t>
      </w:r>
      <w:r w:rsidR="00BF4973">
        <w:rPr>
          <w:noProof/>
          <w:lang w:eastAsia="en-GB"/>
        </w:rPr>
        <w:t>.</w:t>
      </w:r>
    </w:p>
    <w:p w14:paraId="64165502" w14:textId="36948331" w:rsidR="006539F3" w:rsidRPr="006539F3" w:rsidRDefault="006539F3" w:rsidP="006539F3">
      <w:pPr>
        <w:pStyle w:val="ListParagraph"/>
        <w:numPr>
          <w:ilvl w:val="0"/>
          <w:numId w:val="6"/>
        </w:numPr>
        <w:rPr>
          <w:b/>
          <w:noProof/>
          <w:lang w:eastAsia="en-GB"/>
        </w:rPr>
      </w:pPr>
      <w:r>
        <w:rPr>
          <w:noProof/>
          <w:lang w:eastAsia="en-GB"/>
        </w:rPr>
        <w:t>patient unfamiliarity with their respective PI - patients appeared more motivated if they knew the</w:t>
      </w:r>
      <w:r w:rsidR="00BF4973">
        <w:rPr>
          <w:noProof/>
          <w:lang w:eastAsia="en-GB"/>
        </w:rPr>
        <w:t>ir</w:t>
      </w:r>
      <w:r>
        <w:rPr>
          <w:noProof/>
          <w:lang w:eastAsia="en-GB"/>
        </w:rPr>
        <w:t xml:space="preserve"> respective PI from prior clinical encounters</w:t>
      </w:r>
    </w:p>
    <w:p w14:paraId="76A11039" w14:textId="21B5638B" w:rsidR="00F62381" w:rsidRPr="00444D95" w:rsidRDefault="006539F3" w:rsidP="006539F3">
      <w:pPr>
        <w:pStyle w:val="ListParagraph"/>
        <w:numPr>
          <w:ilvl w:val="0"/>
          <w:numId w:val="6"/>
        </w:numPr>
        <w:rPr>
          <w:b/>
          <w:noProof/>
          <w:lang w:eastAsia="en-GB"/>
        </w:rPr>
      </w:pPr>
      <w:r>
        <w:rPr>
          <w:noProof/>
          <w:lang w:eastAsia="en-GB"/>
        </w:rPr>
        <w:t xml:space="preserve">prior pain management program (PMP) attendance - chronic pain is a biopsychosocial condition. Patients who had previously attended a PMP appeared less distressed about potential side effects, in fact </w:t>
      </w:r>
      <w:r w:rsidR="00D27E6B">
        <w:rPr>
          <w:noProof/>
          <w:lang w:eastAsia="en-GB"/>
        </w:rPr>
        <w:t>our</w:t>
      </w:r>
      <w:r>
        <w:rPr>
          <w:noProof/>
          <w:lang w:eastAsia="en-GB"/>
        </w:rPr>
        <w:t xml:space="preserve"> impression was that they may have reported less side effects </w:t>
      </w:r>
      <w:r w:rsidR="00856A11">
        <w:rPr>
          <w:noProof/>
          <w:lang w:eastAsia="en-GB"/>
        </w:rPr>
        <w:t>(</w:t>
      </w:r>
      <w:r>
        <w:rPr>
          <w:noProof/>
          <w:lang w:eastAsia="en-GB"/>
        </w:rPr>
        <w:t>although we did not measure this</w:t>
      </w:r>
      <w:r w:rsidR="00856A11">
        <w:rPr>
          <w:noProof/>
          <w:lang w:eastAsia="en-GB"/>
        </w:rPr>
        <w:t>)</w:t>
      </w:r>
      <w:r>
        <w:rPr>
          <w:noProof/>
          <w:lang w:eastAsia="en-GB"/>
        </w:rPr>
        <w:t xml:space="preserve"> because they ha</w:t>
      </w:r>
      <w:r w:rsidR="00BF4973">
        <w:rPr>
          <w:noProof/>
          <w:lang w:eastAsia="en-GB"/>
        </w:rPr>
        <w:t>d</w:t>
      </w:r>
      <w:r>
        <w:rPr>
          <w:noProof/>
          <w:lang w:eastAsia="en-GB"/>
        </w:rPr>
        <w:t xml:space="preserve"> a better understanding about their </w:t>
      </w:r>
      <w:r w:rsidR="00856A11">
        <w:rPr>
          <w:noProof/>
          <w:lang w:eastAsia="en-GB"/>
        </w:rPr>
        <w:t xml:space="preserve">own </w:t>
      </w:r>
      <w:r>
        <w:rPr>
          <w:noProof/>
          <w:lang w:eastAsia="en-GB"/>
        </w:rPr>
        <w:t>condition including</w:t>
      </w:r>
      <w:r w:rsidR="00BF4973">
        <w:rPr>
          <w:noProof/>
          <w:lang w:eastAsia="en-GB"/>
        </w:rPr>
        <w:t xml:space="preserve"> its inherent</w:t>
      </w:r>
      <w:r>
        <w:rPr>
          <w:noProof/>
          <w:lang w:eastAsia="en-GB"/>
        </w:rPr>
        <w:t xml:space="preserve"> flare up’s. We thought that patients who had not attended a PMP needed more </w:t>
      </w:r>
      <w:r w:rsidR="00856A11">
        <w:rPr>
          <w:noProof/>
          <w:lang w:eastAsia="en-GB"/>
        </w:rPr>
        <w:t>support in their consideration about continuation</w:t>
      </w:r>
      <w:r>
        <w:rPr>
          <w:noProof/>
          <w:lang w:eastAsia="en-GB"/>
        </w:rPr>
        <w:t xml:space="preserve"> with the trial if they encountered any adverse circumstances.    </w:t>
      </w:r>
    </w:p>
    <w:p w14:paraId="4E726193" w14:textId="0957D3F4" w:rsidR="00364FEA" w:rsidRPr="00B46F89" w:rsidRDefault="00444D95" w:rsidP="00E22D76">
      <w:pPr>
        <w:pStyle w:val="ListParagraph"/>
        <w:numPr>
          <w:ilvl w:val="0"/>
          <w:numId w:val="6"/>
        </w:numPr>
        <w:rPr>
          <w:b/>
          <w:noProof/>
          <w:lang w:eastAsia="en-GB"/>
        </w:rPr>
      </w:pPr>
      <w:r>
        <w:rPr>
          <w:noProof/>
          <w:lang w:eastAsia="en-GB"/>
        </w:rPr>
        <w:t>Contract negotiations</w:t>
      </w:r>
      <w:r w:rsidR="00D27E6B">
        <w:rPr>
          <w:noProof/>
          <w:lang w:eastAsia="en-GB"/>
        </w:rPr>
        <w:t xml:space="preserve"> </w:t>
      </w:r>
      <w:r w:rsidR="00856A11">
        <w:rPr>
          <w:noProof/>
          <w:lang w:eastAsia="en-GB"/>
        </w:rPr>
        <w:t xml:space="preserve">were </w:t>
      </w:r>
      <w:r w:rsidR="00D27E6B">
        <w:rPr>
          <w:noProof/>
          <w:lang w:eastAsia="en-GB"/>
        </w:rPr>
        <w:t>outside the trial teams’ control</w:t>
      </w:r>
      <w:r w:rsidR="00BF4973">
        <w:rPr>
          <w:noProof/>
          <w:lang w:eastAsia="en-GB"/>
        </w:rPr>
        <w:t>. R</w:t>
      </w:r>
      <w:r>
        <w:rPr>
          <w:noProof/>
          <w:lang w:eastAsia="en-GB"/>
        </w:rPr>
        <w:t>ecruitment at the lead site started relatively early, but there was a delay at most other sites</w:t>
      </w:r>
      <w:r w:rsidR="00D27E6B">
        <w:rPr>
          <w:noProof/>
          <w:lang w:eastAsia="en-GB"/>
        </w:rPr>
        <w:t>,</w:t>
      </w:r>
      <w:r>
        <w:rPr>
          <w:noProof/>
          <w:lang w:eastAsia="en-GB"/>
        </w:rPr>
        <w:t xml:space="preserve"> leading </w:t>
      </w:r>
      <w:r w:rsidR="00D27E6B">
        <w:rPr>
          <w:noProof/>
          <w:lang w:eastAsia="en-GB"/>
        </w:rPr>
        <w:t>to</w:t>
      </w:r>
      <w:r w:rsidR="00856A11">
        <w:rPr>
          <w:noProof/>
          <w:lang w:eastAsia="en-GB"/>
        </w:rPr>
        <w:t xml:space="preserve"> initial</w:t>
      </w:r>
      <w:r>
        <w:rPr>
          <w:noProof/>
          <w:lang w:eastAsia="en-GB"/>
        </w:rPr>
        <w:t xml:space="preserve"> recruitment below plan (Figure 1)</w:t>
      </w:r>
      <w:r w:rsidR="00364FEA" w:rsidRPr="007447C6">
        <w:t>.</w:t>
      </w:r>
    </w:p>
    <w:p w14:paraId="2C9F8F0C" w14:textId="77777777" w:rsidR="00072F05" w:rsidRDefault="00072F05" w:rsidP="00072F05">
      <w:pPr>
        <w:spacing w:after="0"/>
        <w:jc w:val="both"/>
      </w:pPr>
    </w:p>
    <w:p w14:paraId="4926D23B" w14:textId="77777777" w:rsidR="00072F05" w:rsidRPr="00856A11" w:rsidRDefault="00072F05" w:rsidP="00856A11">
      <w:pPr>
        <w:rPr>
          <w:b/>
          <w:noProof/>
          <w:lang w:eastAsia="en-GB"/>
        </w:rPr>
      </w:pPr>
    </w:p>
    <w:p w14:paraId="14E782B9" w14:textId="77777777" w:rsidR="00665A28" w:rsidRDefault="00665A28" w:rsidP="00E22D76">
      <w:pPr>
        <w:rPr>
          <w:b/>
          <w:noProof/>
          <w:lang w:eastAsia="en-GB"/>
        </w:rPr>
      </w:pPr>
      <w:bookmarkStart w:id="4" w:name="_Hlk5933335"/>
    </w:p>
    <w:p w14:paraId="18551DB5" w14:textId="77777777" w:rsidR="00B171E9" w:rsidRDefault="00B171E9" w:rsidP="00E22D76">
      <w:pPr>
        <w:rPr>
          <w:b/>
          <w:noProof/>
          <w:lang w:eastAsia="en-GB"/>
        </w:rPr>
      </w:pPr>
    </w:p>
    <w:p w14:paraId="1C8375CC" w14:textId="1A7F14FE" w:rsidR="00C63E03" w:rsidRPr="00C63E03" w:rsidRDefault="00C63E03" w:rsidP="00E22D76">
      <w:pPr>
        <w:rPr>
          <w:b/>
          <w:noProof/>
          <w:lang w:eastAsia="en-GB"/>
        </w:rPr>
      </w:pPr>
      <w:r>
        <w:rPr>
          <w:b/>
          <w:noProof/>
          <w:lang w:eastAsia="en-GB"/>
        </w:rPr>
        <w:lastRenderedPageBreak/>
        <w:t xml:space="preserve">Table </w:t>
      </w:r>
      <w:r w:rsidR="005A4AB2">
        <w:rPr>
          <w:b/>
          <w:noProof/>
          <w:lang w:eastAsia="en-GB"/>
        </w:rPr>
        <w:t>3</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C85FA9" w14:paraId="6FE58784" w14:textId="77777777" w:rsidTr="00C85FA9">
        <w:tc>
          <w:tcPr>
            <w:tcW w:w="3005" w:type="dxa"/>
            <w:tcBorders>
              <w:top w:val="single" w:sz="4" w:space="0" w:color="auto"/>
              <w:bottom w:val="single" w:sz="4" w:space="0" w:color="auto"/>
            </w:tcBorders>
          </w:tcPr>
          <w:p w14:paraId="7982A8C5" w14:textId="295E54BB" w:rsidR="00C85FA9" w:rsidRPr="00C85FA9" w:rsidRDefault="00C85FA9" w:rsidP="00C63E03">
            <w:pPr>
              <w:spacing w:line="360" w:lineRule="auto"/>
              <w:rPr>
                <w:b/>
                <w:i/>
                <w:noProof/>
                <w:lang w:eastAsia="en-GB"/>
              </w:rPr>
            </w:pPr>
            <w:r w:rsidRPr="00C85FA9">
              <w:rPr>
                <w:b/>
                <w:i/>
                <w:noProof/>
                <w:lang w:eastAsia="en-GB"/>
              </w:rPr>
              <w:t>Safeguard Theme</w:t>
            </w:r>
          </w:p>
        </w:tc>
        <w:tc>
          <w:tcPr>
            <w:tcW w:w="3005" w:type="dxa"/>
            <w:tcBorders>
              <w:top w:val="single" w:sz="4" w:space="0" w:color="auto"/>
              <w:bottom w:val="single" w:sz="4" w:space="0" w:color="auto"/>
            </w:tcBorders>
          </w:tcPr>
          <w:p w14:paraId="24917FE9" w14:textId="6BA34F0F" w:rsidR="00C85FA9" w:rsidRPr="00C85FA9" w:rsidRDefault="00C85FA9" w:rsidP="00C63E03">
            <w:pPr>
              <w:spacing w:line="360" w:lineRule="auto"/>
              <w:rPr>
                <w:b/>
                <w:noProof/>
                <w:lang w:eastAsia="en-GB"/>
              </w:rPr>
            </w:pPr>
            <w:r w:rsidRPr="00C85FA9">
              <w:rPr>
                <w:b/>
                <w:noProof/>
                <w:lang w:eastAsia="en-GB"/>
              </w:rPr>
              <w:t>No.</w:t>
            </w:r>
          </w:p>
        </w:tc>
        <w:tc>
          <w:tcPr>
            <w:tcW w:w="3006" w:type="dxa"/>
            <w:tcBorders>
              <w:top w:val="single" w:sz="4" w:space="0" w:color="auto"/>
              <w:bottom w:val="single" w:sz="4" w:space="0" w:color="auto"/>
            </w:tcBorders>
          </w:tcPr>
          <w:p w14:paraId="7CE4C84F" w14:textId="6AD49C6D" w:rsidR="00C85FA9" w:rsidRPr="00C85FA9" w:rsidRDefault="00C85FA9" w:rsidP="00C63E03">
            <w:pPr>
              <w:spacing w:line="360" w:lineRule="auto"/>
              <w:rPr>
                <w:b/>
                <w:noProof/>
                <w:lang w:eastAsia="en-GB"/>
              </w:rPr>
            </w:pPr>
            <w:r w:rsidRPr="00C85FA9">
              <w:rPr>
                <w:b/>
                <w:noProof/>
                <w:lang w:eastAsia="en-GB"/>
              </w:rPr>
              <w:t>Title</w:t>
            </w:r>
          </w:p>
        </w:tc>
      </w:tr>
      <w:bookmarkEnd w:id="4"/>
      <w:tr w:rsidR="00D27E6B" w14:paraId="48B7E4CF" w14:textId="77777777" w:rsidTr="00C85FA9">
        <w:tc>
          <w:tcPr>
            <w:tcW w:w="3005" w:type="dxa"/>
            <w:tcBorders>
              <w:top w:val="single" w:sz="4" w:space="0" w:color="auto"/>
            </w:tcBorders>
          </w:tcPr>
          <w:p w14:paraId="7AD96E3C" w14:textId="55A9CAAD" w:rsidR="00D27E6B" w:rsidRPr="00DC1C19" w:rsidRDefault="00C63E03" w:rsidP="00C63E03">
            <w:pPr>
              <w:spacing w:line="360" w:lineRule="auto"/>
              <w:rPr>
                <w:i/>
                <w:noProof/>
                <w:lang w:eastAsia="en-GB"/>
              </w:rPr>
            </w:pPr>
            <w:r w:rsidRPr="00DC1C19">
              <w:rPr>
                <w:i/>
                <w:noProof/>
                <w:lang w:eastAsia="en-GB"/>
              </w:rPr>
              <w:t>Setting the recruitment rate</w:t>
            </w:r>
          </w:p>
        </w:tc>
        <w:tc>
          <w:tcPr>
            <w:tcW w:w="3005" w:type="dxa"/>
            <w:tcBorders>
              <w:top w:val="single" w:sz="4" w:space="0" w:color="auto"/>
            </w:tcBorders>
          </w:tcPr>
          <w:p w14:paraId="0266F6B3" w14:textId="2ABB823C" w:rsidR="00D27E6B" w:rsidRDefault="00D27E6B" w:rsidP="00C63E03">
            <w:pPr>
              <w:spacing w:line="360" w:lineRule="auto"/>
              <w:rPr>
                <w:noProof/>
                <w:lang w:eastAsia="en-GB"/>
              </w:rPr>
            </w:pPr>
            <w:r>
              <w:rPr>
                <w:noProof/>
                <w:lang w:eastAsia="en-GB"/>
              </w:rPr>
              <w:t>Safeguard 1</w:t>
            </w:r>
          </w:p>
        </w:tc>
        <w:tc>
          <w:tcPr>
            <w:tcW w:w="3006" w:type="dxa"/>
            <w:tcBorders>
              <w:top w:val="single" w:sz="4" w:space="0" w:color="auto"/>
            </w:tcBorders>
          </w:tcPr>
          <w:p w14:paraId="4312F117" w14:textId="7EF1FC05" w:rsidR="00D27E6B" w:rsidRDefault="00D27E6B" w:rsidP="00C63E03">
            <w:pPr>
              <w:spacing w:line="360" w:lineRule="auto"/>
              <w:rPr>
                <w:noProof/>
                <w:lang w:eastAsia="en-GB"/>
              </w:rPr>
            </w:pPr>
            <w:r>
              <w:rPr>
                <w:noProof/>
                <w:lang w:eastAsia="en-GB"/>
              </w:rPr>
              <w:t>Availability of a pilot study</w:t>
            </w:r>
          </w:p>
        </w:tc>
      </w:tr>
      <w:tr w:rsidR="00D27E6B" w14:paraId="5DF6531C" w14:textId="77777777" w:rsidTr="00C63E03">
        <w:tc>
          <w:tcPr>
            <w:tcW w:w="3005" w:type="dxa"/>
          </w:tcPr>
          <w:p w14:paraId="51D1C7CB" w14:textId="77777777" w:rsidR="00D27E6B" w:rsidRPr="00DC1C19" w:rsidRDefault="00D27E6B" w:rsidP="00C63E03">
            <w:pPr>
              <w:spacing w:line="360" w:lineRule="auto"/>
              <w:rPr>
                <w:i/>
                <w:noProof/>
                <w:lang w:eastAsia="en-GB"/>
              </w:rPr>
            </w:pPr>
          </w:p>
        </w:tc>
        <w:tc>
          <w:tcPr>
            <w:tcW w:w="3005" w:type="dxa"/>
          </w:tcPr>
          <w:p w14:paraId="77EA947A" w14:textId="2958B871" w:rsidR="00D27E6B" w:rsidRDefault="00D27E6B" w:rsidP="00C63E03">
            <w:pPr>
              <w:spacing w:line="360" w:lineRule="auto"/>
              <w:rPr>
                <w:noProof/>
                <w:lang w:eastAsia="en-GB"/>
              </w:rPr>
            </w:pPr>
            <w:r>
              <w:rPr>
                <w:noProof/>
                <w:lang w:eastAsia="en-GB"/>
              </w:rPr>
              <w:t>Safeguard 2</w:t>
            </w:r>
          </w:p>
        </w:tc>
        <w:tc>
          <w:tcPr>
            <w:tcW w:w="3006" w:type="dxa"/>
          </w:tcPr>
          <w:p w14:paraId="7D4F1570" w14:textId="1CA7F072" w:rsidR="00D27E6B" w:rsidRDefault="00C63E03" w:rsidP="00C63E03">
            <w:pPr>
              <w:spacing w:line="360" w:lineRule="auto"/>
              <w:rPr>
                <w:noProof/>
                <w:lang w:eastAsia="en-GB"/>
              </w:rPr>
            </w:pPr>
            <w:r>
              <w:rPr>
                <w:noProof/>
                <w:lang w:eastAsia="en-GB"/>
              </w:rPr>
              <w:t>Referral audit</w:t>
            </w:r>
          </w:p>
        </w:tc>
      </w:tr>
      <w:tr w:rsidR="00D27E6B" w14:paraId="2DE80DDE" w14:textId="77777777" w:rsidTr="00C63E03">
        <w:tc>
          <w:tcPr>
            <w:tcW w:w="3005" w:type="dxa"/>
          </w:tcPr>
          <w:p w14:paraId="4DDF48E4" w14:textId="77777777" w:rsidR="00D27E6B" w:rsidRPr="00DC1C19" w:rsidRDefault="00D27E6B" w:rsidP="00C63E03">
            <w:pPr>
              <w:spacing w:line="360" w:lineRule="auto"/>
              <w:rPr>
                <w:i/>
                <w:noProof/>
                <w:lang w:eastAsia="en-GB"/>
              </w:rPr>
            </w:pPr>
          </w:p>
        </w:tc>
        <w:tc>
          <w:tcPr>
            <w:tcW w:w="3005" w:type="dxa"/>
          </w:tcPr>
          <w:p w14:paraId="09FC2601" w14:textId="6DD56C88" w:rsidR="00D27E6B" w:rsidRDefault="00D27E6B" w:rsidP="00C63E03">
            <w:pPr>
              <w:spacing w:line="360" w:lineRule="auto"/>
              <w:rPr>
                <w:noProof/>
                <w:lang w:eastAsia="en-GB"/>
              </w:rPr>
            </w:pPr>
            <w:r>
              <w:rPr>
                <w:noProof/>
                <w:lang w:eastAsia="en-GB"/>
              </w:rPr>
              <w:t>Safeguard 3</w:t>
            </w:r>
          </w:p>
        </w:tc>
        <w:tc>
          <w:tcPr>
            <w:tcW w:w="3006" w:type="dxa"/>
          </w:tcPr>
          <w:p w14:paraId="294A994E" w14:textId="59426D4E" w:rsidR="00D27E6B" w:rsidRDefault="00C63E03" w:rsidP="00C63E03">
            <w:pPr>
              <w:spacing w:line="360" w:lineRule="auto"/>
              <w:rPr>
                <w:noProof/>
                <w:lang w:eastAsia="en-GB"/>
              </w:rPr>
            </w:pPr>
            <w:r>
              <w:rPr>
                <w:noProof/>
                <w:lang w:eastAsia="en-GB"/>
              </w:rPr>
              <w:t>Refusal audit</w:t>
            </w:r>
          </w:p>
        </w:tc>
      </w:tr>
      <w:tr w:rsidR="00D27E6B" w14:paraId="385E8733" w14:textId="77777777" w:rsidTr="00C63E03">
        <w:tc>
          <w:tcPr>
            <w:tcW w:w="3005" w:type="dxa"/>
          </w:tcPr>
          <w:p w14:paraId="3A68D0E5" w14:textId="77777777" w:rsidR="00D27E6B" w:rsidRPr="00DC1C19" w:rsidRDefault="00D27E6B" w:rsidP="00C63E03">
            <w:pPr>
              <w:spacing w:line="360" w:lineRule="auto"/>
              <w:rPr>
                <w:i/>
                <w:noProof/>
                <w:lang w:eastAsia="en-GB"/>
              </w:rPr>
            </w:pPr>
          </w:p>
        </w:tc>
        <w:tc>
          <w:tcPr>
            <w:tcW w:w="3005" w:type="dxa"/>
          </w:tcPr>
          <w:p w14:paraId="6222B376" w14:textId="07AABDFA" w:rsidR="00D27E6B" w:rsidRDefault="00D27E6B" w:rsidP="00C63E03">
            <w:pPr>
              <w:spacing w:line="360" w:lineRule="auto"/>
              <w:rPr>
                <w:noProof/>
                <w:lang w:eastAsia="en-GB"/>
              </w:rPr>
            </w:pPr>
            <w:r>
              <w:rPr>
                <w:noProof/>
                <w:lang w:eastAsia="en-GB"/>
              </w:rPr>
              <w:t>Safeguard 4</w:t>
            </w:r>
          </w:p>
        </w:tc>
        <w:tc>
          <w:tcPr>
            <w:tcW w:w="3006" w:type="dxa"/>
          </w:tcPr>
          <w:p w14:paraId="684BA0A3" w14:textId="222C6239" w:rsidR="00D27E6B" w:rsidRDefault="00C63E03" w:rsidP="00C63E03">
            <w:pPr>
              <w:spacing w:line="360" w:lineRule="auto"/>
              <w:rPr>
                <w:noProof/>
                <w:lang w:eastAsia="en-GB"/>
              </w:rPr>
            </w:pPr>
            <w:r>
              <w:rPr>
                <w:noProof/>
                <w:lang w:eastAsia="en-GB"/>
              </w:rPr>
              <w:t>Balanced recruitment period</w:t>
            </w:r>
          </w:p>
        </w:tc>
      </w:tr>
      <w:tr w:rsidR="00D27E6B" w14:paraId="7525FC6C" w14:textId="77777777" w:rsidTr="00C63E03">
        <w:tc>
          <w:tcPr>
            <w:tcW w:w="3005" w:type="dxa"/>
          </w:tcPr>
          <w:p w14:paraId="1D757E48" w14:textId="60D797DA" w:rsidR="00D27E6B" w:rsidRPr="00DC1C19" w:rsidRDefault="00D27E6B" w:rsidP="00C63E03">
            <w:pPr>
              <w:spacing w:line="360" w:lineRule="auto"/>
              <w:rPr>
                <w:i/>
                <w:noProof/>
                <w:lang w:eastAsia="en-GB"/>
              </w:rPr>
            </w:pPr>
          </w:p>
        </w:tc>
        <w:tc>
          <w:tcPr>
            <w:tcW w:w="3005" w:type="dxa"/>
          </w:tcPr>
          <w:p w14:paraId="3F7A3FF6" w14:textId="37C1CE86" w:rsidR="00D27E6B" w:rsidRDefault="00D27E6B" w:rsidP="00C63E03">
            <w:pPr>
              <w:spacing w:line="360" w:lineRule="auto"/>
              <w:rPr>
                <w:noProof/>
                <w:lang w:eastAsia="en-GB"/>
              </w:rPr>
            </w:pPr>
            <w:r>
              <w:rPr>
                <w:noProof/>
                <w:lang w:eastAsia="en-GB"/>
              </w:rPr>
              <w:t>Safeguard 5</w:t>
            </w:r>
          </w:p>
        </w:tc>
        <w:tc>
          <w:tcPr>
            <w:tcW w:w="3006" w:type="dxa"/>
          </w:tcPr>
          <w:p w14:paraId="4FF495DC" w14:textId="74D89BC1" w:rsidR="00D27E6B" w:rsidRDefault="00C63E03" w:rsidP="00C63E03">
            <w:pPr>
              <w:spacing w:line="360" w:lineRule="auto"/>
              <w:rPr>
                <w:noProof/>
                <w:lang w:eastAsia="en-GB"/>
              </w:rPr>
            </w:pPr>
            <w:r>
              <w:rPr>
                <w:noProof/>
                <w:lang w:eastAsia="en-GB"/>
              </w:rPr>
              <w:t>Use of patient registries</w:t>
            </w:r>
          </w:p>
        </w:tc>
      </w:tr>
      <w:tr w:rsidR="00D27E6B" w14:paraId="502EE563" w14:textId="77777777" w:rsidTr="00C63E03">
        <w:tc>
          <w:tcPr>
            <w:tcW w:w="3005" w:type="dxa"/>
          </w:tcPr>
          <w:p w14:paraId="4D51C3D4" w14:textId="49E96009" w:rsidR="00D27E6B" w:rsidRPr="00DC1C19" w:rsidRDefault="00C63E03" w:rsidP="00C63E03">
            <w:pPr>
              <w:spacing w:line="360" w:lineRule="auto"/>
              <w:rPr>
                <w:i/>
                <w:noProof/>
                <w:lang w:eastAsia="en-GB"/>
              </w:rPr>
            </w:pPr>
            <w:r w:rsidRPr="00DC1C19">
              <w:rPr>
                <w:i/>
                <w:noProof/>
                <w:lang w:eastAsia="en-GB"/>
              </w:rPr>
              <w:t>Networking</w:t>
            </w:r>
          </w:p>
        </w:tc>
        <w:tc>
          <w:tcPr>
            <w:tcW w:w="3005" w:type="dxa"/>
          </w:tcPr>
          <w:p w14:paraId="54D27AF3" w14:textId="6200081F" w:rsidR="00D27E6B" w:rsidRDefault="00D27E6B" w:rsidP="00C63E03">
            <w:pPr>
              <w:spacing w:line="360" w:lineRule="auto"/>
              <w:rPr>
                <w:noProof/>
                <w:lang w:eastAsia="en-GB"/>
              </w:rPr>
            </w:pPr>
            <w:r>
              <w:rPr>
                <w:noProof/>
                <w:lang w:eastAsia="en-GB"/>
              </w:rPr>
              <w:t>Safeguard 6</w:t>
            </w:r>
          </w:p>
        </w:tc>
        <w:tc>
          <w:tcPr>
            <w:tcW w:w="3006" w:type="dxa"/>
          </w:tcPr>
          <w:p w14:paraId="29C39B70" w14:textId="236D325A" w:rsidR="00D27E6B" w:rsidRDefault="00C63E03" w:rsidP="00C63E03">
            <w:pPr>
              <w:spacing w:line="360" w:lineRule="auto"/>
              <w:rPr>
                <w:noProof/>
                <w:lang w:eastAsia="en-GB"/>
              </w:rPr>
            </w:pPr>
            <w:r>
              <w:rPr>
                <w:noProof/>
                <w:lang w:eastAsia="en-GB"/>
              </w:rPr>
              <w:t>Research Networks</w:t>
            </w:r>
          </w:p>
        </w:tc>
      </w:tr>
      <w:tr w:rsidR="00D27E6B" w14:paraId="646C8522" w14:textId="77777777" w:rsidTr="00C63E03">
        <w:tc>
          <w:tcPr>
            <w:tcW w:w="3005" w:type="dxa"/>
          </w:tcPr>
          <w:p w14:paraId="3222EEAB" w14:textId="7A5EB4DC" w:rsidR="00D27E6B" w:rsidRPr="00DC1C19" w:rsidRDefault="00C63E03" w:rsidP="00C63E03">
            <w:pPr>
              <w:spacing w:line="360" w:lineRule="auto"/>
              <w:rPr>
                <w:i/>
                <w:noProof/>
                <w:lang w:eastAsia="en-GB"/>
              </w:rPr>
            </w:pPr>
            <w:r w:rsidRPr="00DC1C19">
              <w:rPr>
                <w:i/>
                <w:noProof/>
                <w:lang w:eastAsia="en-GB"/>
              </w:rPr>
              <w:t>Patient information</w:t>
            </w:r>
          </w:p>
        </w:tc>
        <w:tc>
          <w:tcPr>
            <w:tcW w:w="3005" w:type="dxa"/>
          </w:tcPr>
          <w:p w14:paraId="012AD896" w14:textId="0D39C335" w:rsidR="00D27E6B" w:rsidRDefault="00D27E6B" w:rsidP="00C63E03">
            <w:pPr>
              <w:spacing w:line="360" w:lineRule="auto"/>
              <w:rPr>
                <w:noProof/>
                <w:lang w:eastAsia="en-GB"/>
              </w:rPr>
            </w:pPr>
            <w:r>
              <w:rPr>
                <w:noProof/>
                <w:lang w:eastAsia="en-GB"/>
              </w:rPr>
              <w:t>Safeguard 7</w:t>
            </w:r>
          </w:p>
        </w:tc>
        <w:tc>
          <w:tcPr>
            <w:tcW w:w="3006" w:type="dxa"/>
          </w:tcPr>
          <w:p w14:paraId="63C3AA63" w14:textId="29711B7F" w:rsidR="00D27E6B" w:rsidRDefault="00C63E03" w:rsidP="00C63E03">
            <w:pPr>
              <w:spacing w:line="360" w:lineRule="auto"/>
              <w:rPr>
                <w:noProof/>
                <w:lang w:eastAsia="en-GB"/>
              </w:rPr>
            </w:pPr>
            <w:r>
              <w:rPr>
                <w:noProof/>
                <w:lang w:eastAsia="en-GB"/>
              </w:rPr>
              <w:t>Screening Video</w:t>
            </w:r>
          </w:p>
        </w:tc>
      </w:tr>
      <w:tr w:rsidR="00D27E6B" w14:paraId="561C161A" w14:textId="77777777" w:rsidTr="00C63E03">
        <w:tc>
          <w:tcPr>
            <w:tcW w:w="3005" w:type="dxa"/>
          </w:tcPr>
          <w:p w14:paraId="323C679B" w14:textId="0EAB7085" w:rsidR="00D27E6B" w:rsidRPr="00DC1C19" w:rsidRDefault="00C63E03" w:rsidP="00C63E03">
            <w:pPr>
              <w:spacing w:line="360" w:lineRule="auto"/>
              <w:rPr>
                <w:i/>
                <w:noProof/>
                <w:lang w:eastAsia="en-GB"/>
              </w:rPr>
            </w:pPr>
            <w:r w:rsidRPr="00DC1C19">
              <w:rPr>
                <w:i/>
                <w:noProof/>
                <w:lang w:eastAsia="en-GB"/>
              </w:rPr>
              <w:t>Trial management</w:t>
            </w:r>
          </w:p>
        </w:tc>
        <w:tc>
          <w:tcPr>
            <w:tcW w:w="3005" w:type="dxa"/>
          </w:tcPr>
          <w:p w14:paraId="525F819F" w14:textId="59BC4FBD" w:rsidR="00D27E6B" w:rsidRDefault="00D27E6B" w:rsidP="00C63E03">
            <w:pPr>
              <w:spacing w:line="360" w:lineRule="auto"/>
              <w:rPr>
                <w:noProof/>
                <w:lang w:eastAsia="en-GB"/>
              </w:rPr>
            </w:pPr>
            <w:r>
              <w:rPr>
                <w:noProof/>
                <w:lang w:eastAsia="en-GB"/>
              </w:rPr>
              <w:t>Safeguard 8</w:t>
            </w:r>
          </w:p>
        </w:tc>
        <w:tc>
          <w:tcPr>
            <w:tcW w:w="3006" w:type="dxa"/>
          </w:tcPr>
          <w:p w14:paraId="34FC8236" w14:textId="772168FF" w:rsidR="00D27E6B" w:rsidRDefault="00C63E03" w:rsidP="00C63E03">
            <w:pPr>
              <w:spacing w:line="360" w:lineRule="auto"/>
              <w:rPr>
                <w:noProof/>
                <w:lang w:eastAsia="en-GB"/>
              </w:rPr>
            </w:pPr>
            <w:r>
              <w:rPr>
                <w:noProof/>
                <w:lang w:eastAsia="en-GB"/>
              </w:rPr>
              <w:t>CI oversights</w:t>
            </w:r>
          </w:p>
        </w:tc>
      </w:tr>
      <w:tr w:rsidR="00D27E6B" w14:paraId="02E0180F" w14:textId="77777777" w:rsidTr="00C63E03">
        <w:tc>
          <w:tcPr>
            <w:tcW w:w="3005" w:type="dxa"/>
          </w:tcPr>
          <w:p w14:paraId="0E88BE09" w14:textId="7C5419FD" w:rsidR="00D27E6B" w:rsidRPr="00DC1C19" w:rsidRDefault="00D27E6B" w:rsidP="00C63E03">
            <w:pPr>
              <w:spacing w:line="360" w:lineRule="auto"/>
              <w:rPr>
                <w:i/>
                <w:noProof/>
                <w:lang w:eastAsia="en-GB"/>
              </w:rPr>
            </w:pPr>
          </w:p>
        </w:tc>
        <w:tc>
          <w:tcPr>
            <w:tcW w:w="3005" w:type="dxa"/>
          </w:tcPr>
          <w:p w14:paraId="2EEF29E6" w14:textId="0F95278D" w:rsidR="00D27E6B" w:rsidRDefault="00D27E6B" w:rsidP="00C63E03">
            <w:pPr>
              <w:spacing w:line="360" w:lineRule="auto"/>
              <w:rPr>
                <w:noProof/>
                <w:lang w:eastAsia="en-GB"/>
              </w:rPr>
            </w:pPr>
            <w:r>
              <w:rPr>
                <w:noProof/>
                <w:lang w:eastAsia="en-GB"/>
              </w:rPr>
              <w:t>Safeguard 9</w:t>
            </w:r>
          </w:p>
        </w:tc>
        <w:tc>
          <w:tcPr>
            <w:tcW w:w="3006" w:type="dxa"/>
          </w:tcPr>
          <w:p w14:paraId="28273319" w14:textId="51DD3472" w:rsidR="00D27E6B" w:rsidRDefault="00C63E03" w:rsidP="00C63E03">
            <w:pPr>
              <w:spacing w:line="360" w:lineRule="auto"/>
              <w:rPr>
                <w:noProof/>
                <w:lang w:eastAsia="en-GB"/>
              </w:rPr>
            </w:pPr>
            <w:r>
              <w:rPr>
                <w:noProof/>
                <w:lang w:eastAsia="en-GB"/>
              </w:rPr>
              <w:t>Experienced CTU</w:t>
            </w:r>
          </w:p>
        </w:tc>
      </w:tr>
      <w:tr w:rsidR="00D27E6B" w14:paraId="052074ED" w14:textId="77777777" w:rsidTr="00C63E03">
        <w:tc>
          <w:tcPr>
            <w:tcW w:w="3005" w:type="dxa"/>
          </w:tcPr>
          <w:p w14:paraId="6A079FFC" w14:textId="4175FB24" w:rsidR="00D27E6B" w:rsidRPr="00DC1C19" w:rsidRDefault="00C63E03" w:rsidP="00C63E03">
            <w:pPr>
              <w:spacing w:line="360" w:lineRule="auto"/>
              <w:rPr>
                <w:i/>
                <w:noProof/>
                <w:lang w:eastAsia="en-GB"/>
              </w:rPr>
            </w:pPr>
            <w:r w:rsidRPr="00DC1C19">
              <w:rPr>
                <w:i/>
                <w:noProof/>
                <w:lang w:eastAsia="en-GB"/>
              </w:rPr>
              <w:t>Patient retention</w:t>
            </w:r>
          </w:p>
        </w:tc>
        <w:tc>
          <w:tcPr>
            <w:tcW w:w="3005" w:type="dxa"/>
          </w:tcPr>
          <w:p w14:paraId="41916AA7" w14:textId="77969508" w:rsidR="00D27E6B" w:rsidRDefault="00D27E6B" w:rsidP="00C63E03">
            <w:pPr>
              <w:spacing w:line="360" w:lineRule="auto"/>
              <w:rPr>
                <w:noProof/>
                <w:lang w:eastAsia="en-GB"/>
              </w:rPr>
            </w:pPr>
            <w:r>
              <w:rPr>
                <w:noProof/>
                <w:lang w:eastAsia="en-GB"/>
              </w:rPr>
              <w:t>Safeguard 10</w:t>
            </w:r>
          </w:p>
        </w:tc>
        <w:tc>
          <w:tcPr>
            <w:tcW w:w="3006" w:type="dxa"/>
          </w:tcPr>
          <w:p w14:paraId="02B56CED" w14:textId="58CF710D" w:rsidR="00D27E6B" w:rsidRDefault="00C63E03" w:rsidP="00C63E03">
            <w:pPr>
              <w:spacing w:line="360" w:lineRule="auto"/>
              <w:rPr>
                <w:noProof/>
                <w:lang w:eastAsia="en-GB"/>
              </w:rPr>
            </w:pPr>
            <w:r>
              <w:rPr>
                <w:noProof/>
                <w:lang w:eastAsia="en-GB"/>
              </w:rPr>
              <w:t>Open treatment period</w:t>
            </w:r>
          </w:p>
        </w:tc>
      </w:tr>
      <w:tr w:rsidR="00D27E6B" w14:paraId="0A290E9A" w14:textId="77777777" w:rsidTr="00C63E03">
        <w:tc>
          <w:tcPr>
            <w:tcW w:w="3005" w:type="dxa"/>
          </w:tcPr>
          <w:p w14:paraId="49325DC0" w14:textId="77777777" w:rsidR="00D27E6B" w:rsidRPr="00DC1C19" w:rsidRDefault="00D27E6B" w:rsidP="00C63E03">
            <w:pPr>
              <w:spacing w:line="360" w:lineRule="auto"/>
              <w:rPr>
                <w:i/>
                <w:noProof/>
                <w:lang w:eastAsia="en-GB"/>
              </w:rPr>
            </w:pPr>
          </w:p>
        </w:tc>
        <w:tc>
          <w:tcPr>
            <w:tcW w:w="3005" w:type="dxa"/>
          </w:tcPr>
          <w:p w14:paraId="2C435B52" w14:textId="11F6F417" w:rsidR="00D27E6B" w:rsidRDefault="00D27E6B" w:rsidP="00C63E03">
            <w:pPr>
              <w:spacing w:line="360" w:lineRule="auto"/>
              <w:rPr>
                <w:noProof/>
                <w:lang w:eastAsia="en-GB"/>
              </w:rPr>
            </w:pPr>
            <w:r>
              <w:rPr>
                <w:noProof/>
                <w:lang w:eastAsia="en-GB"/>
              </w:rPr>
              <w:t>Safeguard 11</w:t>
            </w:r>
          </w:p>
        </w:tc>
        <w:tc>
          <w:tcPr>
            <w:tcW w:w="3006" w:type="dxa"/>
          </w:tcPr>
          <w:p w14:paraId="2F131568" w14:textId="673C71B8" w:rsidR="00D27E6B" w:rsidRDefault="00C63E03" w:rsidP="00C63E03">
            <w:pPr>
              <w:spacing w:line="360" w:lineRule="auto"/>
              <w:rPr>
                <w:noProof/>
                <w:lang w:eastAsia="en-GB"/>
              </w:rPr>
            </w:pPr>
            <w:r>
              <w:rPr>
                <w:noProof/>
                <w:lang w:eastAsia="en-GB"/>
              </w:rPr>
              <w:t>Patient design involvement</w:t>
            </w:r>
          </w:p>
        </w:tc>
      </w:tr>
      <w:tr w:rsidR="00D27E6B" w14:paraId="09F4228C" w14:textId="77777777" w:rsidTr="00C63E03">
        <w:tc>
          <w:tcPr>
            <w:tcW w:w="3005" w:type="dxa"/>
          </w:tcPr>
          <w:p w14:paraId="6421D8EC" w14:textId="77777777" w:rsidR="00D27E6B" w:rsidRDefault="00D27E6B" w:rsidP="00C63E03">
            <w:pPr>
              <w:spacing w:line="360" w:lineRule="auto"/>
              <w:rPr>
                <w:noProof/>
                <w:lang w:eastAsia="en-GB"/>
              </w:rPr>
            </w:pPr>
          </w:p>
        </w:tc>
        <w:tc>
          <w:tcPr>
            <w:tcW w:w="3005" w:type="dxa"/>
          </w:tcPr>
          <w:p w14:paraId="018BD1AB" w14:textId="1E1F558A" w:rsidR="00D27E6B" w:rsidRDefault="00D27E6B" w:rsidP="00C63E03">
            <w:pPr>
              <w:spacing w:line="360" w:lineRule="auto"/>
              <w:rPr>
                <w:noProof/>
                <w:lang w:eastAsia="en-GB"/>
              </w:rPr>
            </w:pPr>
            <w:r>
              <w:rPr>
                <w:noProof/>
                <w:lang w:eastAsia="en-GB"/>
              </w:rPr>
              <w:t>Safeguard 12</w:t>
            </w:r>
          </w:p>
        </w:tc>
        <w:tc>
          <w:tcPr>
            <w:tcW w:w="3006" w:type="dxa"/>
          </w:tcPr>
          <w:p w14:paraId="6BF7513B" w14:textId="32131F04" w:rsidR="00D27E6B" w:rsidRDefault="00C63E03" w:rsidP="00C63E03">
            <w:pPr>
              <w:spacing w:line="360" w:lineRule="auto"/>
              <w:rPr>
                <w:noProof/>
                <w:lang w:eastAsia="en-GB"/>
              </w:rPr>
            </w:pPr>
            <w:r>
              <w:rPr>
                <w:noProof/>
                <w:lang w:eastAsia="en-GB"/>
              </w:rPr>
              <w:t>Phone calls</w:t>
            </w:r>
          </w:p>
        </w:tc>
      </w:tr>
      <w:tr w:rsidR="00D27E6B" w14:paraId="6A47631A" w14:textId="77777777" w:rsidTr="00C63E03">
        <w:tc>
          <w:tcPr>
            <w:tcW w:w="3005" w:type="dxa"/>
          </w:tcPr>
          <w:p w14:paraId="75DE1944" w14:textId="77777777" w:rsidR="00D27E6B" w:rsidRDefault="00D27E6B" w:rsidP="00C63E03">
            <w:pPr>
              <w:spacing w:line="360" w:lineRule="auto"/>
              <w:rPr>
                <w:noProof/>
                <w:lang w:eastAsia="en-GB"/>
              </w:rPr>
            </w:pPr>
          </w:p>
        </w:tc>
        <w:tc>
          <w:tcPr>
            <w:tcW w:w="3005" w:type="dxa"/>
          </w:tcPr>
          <w:p w14:paraId="647C3FAF" w14:textId="3F77D24A" w:rsidR="00D27E6B" w:rsidRDefault="00D27E6B" w:rsidP="00C63E03">
            <w:pPr>
              <w:spacing w:line="360" w:lineRule="auto"/>
              <w:rPr>
                <w:noProof/>
                <w:lang w:eastAsia="en-GB"/>
              </w:rPr>
            </w:pPr>
            <w:r>
              <w:rPr>
                <w:noProof/>
                <w:lang w:eastAsia="en-GB"/>
              </w:rPr>
              <w:t>Safeguard 13</w:t>
            </w:r>
          </w:p>
        </w:tc>
        <w:tc>
          <w:tcPr>
            <w:tcW w:w="3006" w:type="dxa"/>
          </w:tcPr>
          <w:p w14:paraId="0DA411B1" w14:textId="4539BED9" w:rsidR="00D27E6B" w:rsidRDefault="00C63E03" w:rsidP="00C63E03">
            <w:pPr>
              <w:spacing w:line="360" w:lineRule="auto"/>
              <w:rPr>
                <w:noProof/>
                <w:lang w:eastAsia="en-GB"/>
              </w:rPr>
            </w:pPr>
            <w:r>
              <w:rPr>
                <w:noProof/>
                <w:lang w:eastAsia="en-GB"/>
              </w:rPr>
              <w:t>Travel reimbursement</w:t>
            </w:r>
          </w:p>
        </w:tc>
      </w:tr>
    </w:tbl>
    <w:p w14:paraId="1E5729F1" w14:textId="4FFB2692" w:rsidR="00A63562" w:rsidRDefault="00C63E03">
      <w:pPr>
        <w:rPr>
          <w:noProof/>
          <w:lang w:eastAsia="en-GB"/>
        </w:rPr>
      </w:pPr>
      <w:r w:rsidRPr="00C85FA9">
        <w:rPr>
          <w:b/>
          <w:noProof/>
          <w:lang w:eastAsia="en-GB"/>
        </w:rPr>
        <w:t xml:space="preserve">Table </w:t>
      </w:r>
      <w:r w:rsidR="005A4AB2">
        <w:rPr>
          <w:b/>
          <w:noProof/>
          <w:lang w:eastAsia="en-GB"/>
        </w:rPr>
        <w:t>3</w:t>
      </w:r>
      <w:r>
        <w:rPr>
          <w:noProof/>
          <w:lang w:eastAsia="en-GB"/>
        </w:rPr>
        <w:t xml:space="preserve">: </w:t>
      </w:r>
      <w:r w:rsidRPr="00C63E03">
        <w:rPr>
          <w:i/>
          <w:noProof/>
          <w:lang w:eastAsia="en-GB"/>
        </w:rPr>
        <w:t>Rectuitment and retention safeguard</w:t>
      </w:r>
      <w:r w:rsidR="00A34E66">
        <w:rPr>
          <w:i/>
          <w:noProof/>
          <w:lang w:eastAsia="en-GB"/>
        </w:rPr>
        <w:t xml:space="preserve">s. </w:t>
      </w:r>
      <w:r w:rsidR="00A34E66" w:rsidRPr="00A34E66">
        <w:rPr>
          <w:noProof/>
          <w:lang w:eastAsia="en-GB"/>
        </w:rPr>
        <w:t>CTU=</w:t>
      </w:r>
      <w:r w:rsidR="00D061CA">
        <w:rPr>
          <w:noProof/>
          <w:lang w:eastAsia="en-GB"/>
        </w:rPr>
        <w:t xml:space="preserve"> C</w:t>
      </w:r>
      <w:r w:rsidR="00A34E66" w:rsidRPr="00A34E66">
        <w:rPr>
          <w:noProof/>
          <w:lang w:eastAsia="en-GB"/>
        </w:rPr>
        <w:t xml:space="preserve">linical </w:t>
      </w:r>
      <w:r w:rsidR="00D061CA">
        <w:rPr>
          <w:noProof/>
          <w:lang w:eastAsia="en-GB"/>
        </w:rPr>
        <w:t>T</w:t>
      </w:r>
      <w:r w:rsidR="00A34E66" w:rsidRPr="00A34E66">
        <w:rPr>
          <w:noProof/>
          <w:lang w:eastAsia="en-GB"/>
        </w:rPr>
        <w:t xml:space="preserve">rials </w:t>
      </w:r>
      <w:r w:rsidR="00D061CA">
        <w:rPr>
          <w:noProof/>
          <w:lang w:eastAsia="en-GB"/>
        </w:rPr>
        <w:t>U</w:t>
      </w:r>
      <w:r w:rsidR="00A34E66" w:rsidRPr="00A34E66">
        <w:rPr>
          <w:noProof/>
          <w:lang w:eastAsia="en-GB"/>
        </w:rPr>
        <w:t>nit</w:t>
      </w:r>
    </w:p>
    <w:p w14:paraId="05FE7C25" w14:textId="77777777" w:rsidR="00C63E03" w:rsidRDefault="00C63E03">
      <w:pPr>
        <w:rPr>
          <w:b/>
          <w:noProof/>
          <w:lang w:eastAsia="en-GB"/>
        </w:rPr>
      </w:pPr>
    </w:p>
    <w:p w14:paraId="04E9E5B6" w14:textId="7B2643A8" w:rsidR="00F62381" w:rsidRPr="00F62381" w:rsidRDefault="00F62381">
      <w:pPr>
        <w:rPr>
          <w:b/>
          <w:noProof/>
          <w:lang w:eastAsia="en-GB"/>
        </w:rPr>
      </w:pPr>
      <w:r w:rsidRPr="00F62381">
        <w:rPr>
          <w:b/>
          <w:noProof/>
          <w:lang w:eastAsia="en-GB"/>
        </w:rPr>
        <w:t>Discussion:</w:t>
      </w:r>
    </w:p>
    <w:p w14:paraId="5A522C13" w14:textId="68077838" w:rsidR="00424278" w:rsidRDefault="009707FF">
      <w:pPr>
        <w:rPr>
          <w:noProof/>
          <w:lang w:eastAsia="en-GB"/>
        </w:rPr>
      </w:pPr>
      <w:bookmarkStart w:id="5" w:name="_Hlk13575555"/>
      <w:r>
        <w:rPr>
          <w:noProof/>
          <w:lang w:eastAsia="en-GB"/>
        </w:rPr>
        <w:t>Drawing from the experience in th</w:t>
      </w:r>
      <w:r w:rsidR="00D27E6B">
        <w:rPr>
          <w:noProof/>
          <w:lang w:eastAsia="en-GB"/>
        </w:rPr>
        <w:t>is</w:t>
      </w:r>
      <w:r w:rsidR="00F8695D">
        <w:rPr>
          <w:noProof/>
          <w:lang w:eastAsia="en-GB"/>
        </w:rPr>
        <w:t xml:space="preserve"> -</w:t>
      </w:r>
      <w:r>
        <w:rPr>
          <w:noProof/>
          <w:lang w:eastAsia="en-GB"/>
        </w:rPr>
        <w:t xml:space="preserve"> to date</w:t>
      </w:r>
      <w:r w:rsidR="00F500C8">
        <w:rPr>
          <w:noProof/>
          <w:lang w:eastAsia="en-GB"/>
        </w:rPr>
        <w:t xml:space="preserve"> the</w:t>
      </w:r>
      <w:r>
        <w:rPr>
          <w:noProof/>
          <w:lang w:eastAsia="en-GB"/>
        </w:rPr>
        <w:t xml:space="preserve"> largest academic trial in</w:t>
      </w:r>
      <w:r w:rsidR="006539F3">
        <w:rPr>
          <w:noProof/>
          <w:lang w:eastAsia="en-GB"/>
        </w:rPr>
        <w:t xml:space="preserve"> the rare chronic pain condition</w:t>
      </w:r>
      <w:r w:rsidR="00F500C8">
        <w:rPr>
          <w:noProof/>
          <w:lang w:eastAsia="en-GB"/>
        </w:rPr>
        <w:t xml:space="preserve">, </w:t>
      </w:r>
      <w:r>
        <w:rPr>
          <w:noProof/>
          <w:lang w:eastAsia="en-GB"/>
        </w:rPr>
        <w:t xml:space="preserve">Complex Regional Pain Syndrome, we </w:t>
      </w:r>
      <w:r w:rsidR="006539F3">
        <w:rPr>
          <w:noProof/>
          <w:lang w:eastAsia="en-GB"/>
        </w:rPr>
        <w:t xml:space="preserve">have </w:t>
      </w:r>
      <w:r>
        <w:rPr>
          <w:noProof/>
          <w:lang w:eastAsia="en-GB"/>
        </w:rPr>
        <w:t>outline</w:t>
      </w:r>
      <w:r w:rsidR="006539F3">
        <w:rPr>
          <w:noProof/>
          <w:lang w:eastAsia="en-GB"/>
        </w:rPr>
        <w:t>d</w:t>
      </w:r>
      <w:r>
        <w:rPr>
          <w:noProof/>
          <w:lang w:eastAsia="en-GB"/>
        </w:rPr>
        <w:t xml:space="preserve"> 13 recuitment strategies</w:t>
      </w:r>
      <w:r w:rsidR="00F8695D">
        <w:rPr>
          <w:noProof/>
          <w:lang w:eastAsia="en-GB"/>
        </w:rPr>
        <w:t xml:space="preserve"> for successful trial recruitment</w:t>
      </w:r>
      <w:r w:rsidR="00424278">
        <w:rPr>
          <w:noProof/>
          <w:lang w:eastAsia="en-GB"/>
        </w:rPr>
        <w:t xml:space="preserve">. There were </w:t>
      </w:r>
      <w:r w:rsidR="00C63E03">
        <w:rPr>
          <w:noProof/>
          <w:lang w:eastAsia="en-GB"/>
        </w:rPr>
        <w:t>5</w:t>
      </w:r>
      <w:r w:rsidR="00424278">
        <w:rPr>
          <w:noProof/>
          <w:lang w:eastAsia="en-GB"/>
        </w:rPr>
        <w:t xml:space="preserve"> strategies in the categorie</w:t>
      </w:r>
      <w:r w:rsidR="00F500C8">
        <w:rPr>
          <w:noProof/>
          <w:lang w:eastAsia="en-GB"/>
        </w:rPr>
        <w:t>s</w:t>
      </w:r>
      <w:r w:rsidR="006539F3">
        <w:rPr>
          <w:noProof/>
          <w:lang w:eastAsia="en-GB"/>
        </w:rPr>
        <w:t xml:space="preserve"> </w:t>
      </w:r>
      <w:r w:rsidR="00424278">
        <w:rPr>
          <w:noProof/>
          <w:lang w:eastAsia="en-GB"/>
        </w:rPr>
        <w:t>‘</w:t>
      </w:r>
      <w:r w:rsidR="00C63E03" w:rsidRPr="00424278">
        <w:rPr>
          <w:i/>
          <w:noProof/>
          <w:lang w:eastAsia="en-GB"/>
        </w:rPr>
        <w:t>setting the recruitment rate</w:t>
      </w:r>
      <w:r w:rsidR="00424278" w:rsidRPr="00424278">
        <w:rPr>
          <w:i/>
          <w:noProof/>
          <w:lang w:eastAsia="en-GB"/>
        </w:rPr>
        <w:t>’</w:t>
      </w:r>
      <w:r w:rsidR="006539F3">
        <w:rPr>
          <w:noProof/>
          <w:lang w:eastAsia="en-GB"/>
        </w:rPr>
        <w:t xml:space="preserve">, 1 </w:t>
      </w:r>
      <w:r w:rsidR="00424278">
        <w:rPr>
          <w:noProof/>
          <w:lang w:eastAsia="en-GB"/>
        </w:rPr>
        <w:t>in ‘</w:t>
      </w:r>
      <w:r w:rsidR="006539F3" w:rsidRPr="00424278">
        <w:rPr>
          <w:i/>
          <w:noProof/>
          <w:lang w:eastAsia="en-GB"/>
        </w:rPr>
        <w:t>networking</w:t>
      </w:r>
      <w:r w:rsidR="00424278">
        <w:rPr>
          <w:noProof/>
          <w:lang w:eastAsia="en-GB"/>
        </w:rPr>
        <w:t>’</w:t>
      </w:r>
      <w:r w:rsidR="006539F3">
        <w:rPr>
          <w:noProof/>
          <w:lang w:eastAsia="en-GB"/>
        </w:rPr>
        <w:t xml:space="preserve">, </w:t>
      </w:r>
      <w:r w:rsidR="00C63E03">
        <w:rPr>
          <w:noProof/>
          <w:lang w:eastAsia="en-GB"/>
        </w:rPr>
        <w:t xml:space="preserve">1 </w:t>
      </w:r>
      <w:r w:rsidR="00424278">
        <w:rPr>
          <w:noProof/>
          <w:lang w:eastAsia="en-GB"/>
        </w:rPr>
        <w:t>‘</w:t>
      </w:r>
      <w:r w:rsidR="00C63E03" w:rsidRPr="00424278">
        <w:rPr>
          <w:i/>
          <w:noProof/>
          <w:lang w:eastAsia="en-GB"/>
        </w:rPr>
        <w:t>patient information</w:t>
      </w:r>
      <w:r w:rsidR="00424278" w:rsidRPr="00424278">
        <w:rPr>
          <w:i/>
          <w:noProof/>
          <w:lang w:eastAsia="en-GB"/>
        </w:rPr>
        <w:t>’</w:t>
      </w:r>
      <w:r w:rsidR="00C63E03">
        <w:rPr>
          <w:noProof/>
          <w:lang w:eastAsia="en-GB"/>
        </w:rPr>
        <w:t>, 2</w:t>
      </w:r>
      <w:r w:rsidR="006539F3">
        <w:rPr>
          <w:noProof/>
          <w:lang w:eastAsia="en-GB"/>
        </w:rPr>
        <w:t xml:space="preserve"> </w:t>
      </w:r>
      <w:r w:rsidR="00424278" w:rsidRPr="00424278">
        <w:rPr>
          <w:i/>
          <w:noProof/>
          <w:lang w:eastAsia="en-GB"/>
        </w:rPr>
        <w:t>‘</w:t>
      </w:r>
      <w:r w:rsidR="006539F3" w:rsidRPr="00424278">
        <w:rPr>
          <w:i/>
          <w:noProof/>
          <w:lang w:eastAsia="en-GB"/>
        </w:rPr>
        <w:t>trial management</w:t>
      </w:r>
      <w:r w:rsidR="00424278" w:rsidRPr="00424278">
        <w:rPr>
          <w:i/>
          <w:noProof/>
          <w:lang w:eastAsia="en-GB"/>
        </w:rPr>
        <w:t>’</w:t>
      </w:r>
      <w:r w:rsidR="006539F3">
        <w:rPr>
          <w:noProof/>
          <w:lang w:eastAsia="en-GB"/>
        </w:rPr>
        <w:t xml:space="preserve">, </w:t>
      </w:r>
      <w:r w:rsidR="00C63E03">
        <w:rPr>
          <w:noProof/>
          <w:lang w:eastAsia="en-GB"/>
        </w:rPr>
        <w:t>4</w:t>
      </w:r>
      <w:r w:rsidR="006539F3">
        <w:rPr>
          <w:noProof/>
          <w:lang w:eastAsia="en-GB"/>
        </w:rPr>
        <w:t xml:space="preserve"> </w:t>
      </w:r>
      <w:r w:rsidR="00424278" w:rsidRPr="00424278">
        <w:rPr>
          <w:i/>
          <w:noProof/>
          <w:lang w:eastAsia="en-GB"/>
        </w:rPr>
        <w:t>‘</w:t>
      </w:r>
      <w:r w:rsidR="006539F3" w:rsidRPr="00424278">
        <w:rPr>
          <w:i/>
          <w:noProof/>
          <w:lang w:eastAsia="en-GB"/>
        </w:rPr>
        <w:t>patient retention</w:t>
      </w:r>
      <w:r w:rsidR="00424278" w:rsidRPr="00424278">
        <w:rPr>
          <w:i/>
          <w:noProof/>
          <w:lang w:eastAsia="en-GB"/>
        </w:rPr>
        <w:t>’</w:t>
      </w:r>
      <w:r w:rsidR="00424278">
        <w:rPr>
          <w:noProof/>
          <w:lang w:eastAsia="en-GB"/>
        </w:rPr>
        <w:t xml:space="preserve"> (</w:t>
      </w:r>
      <w:r w:rsidR="006539F3">
        <w:rPr>
          <w:noProof/>
          <w:lang w:eastAsia="en-GB"/>
        </w:rPr>
        <w:t xml:space="preserve">Table </w:t>
      </w:r>
      <w:r w:rsidR="005A4AB2">
        <w:rPr>
          <w:noProof/>
          <w:lang w:eastAsia="en-GB"/>
        </w:rPr>
        <w:t>3</w:t>
      </w:r>
      <w:r w:rsidR="006539F3">
        <w:rPr>
          <w:noProof/>
          <w:lang w:eastAsia="en-GB"/>
        </w:rPr>
        <w:t>)</w:t>
      </w:r>
      <w:r w:rsidR="00D27E6B">
        <w:rPr>
          <w:noProof/>
          <w:lang w:eastAsia="en-GB"/>
        </w:rPr>
        <w:t xml:space="preserve">. </w:t>
      </w:r>
    </w:p>
    <w:bookmarkEnd w:id="5"/>
    <w:p w14:paraId="6E5D45DB" w14:textId="27123311" w:rsidR="006539F3" w:rsidRDefault="00424278">
      <w:pPr>
        <w:rPr>
          <w:noProof/>
          <w:lang w:eastAsia="en-GB"/>
        </w:rPr>
      </w:pPr>
      <w:r>
        <w:rPr>
          <w:noProof/>
          <w:lang w:eastAsia="en-GB"/>
        </w:rPr>
        <w:t>T</w:t>
      </w:r>
      <w:r w:rsidR="006539F3">
        <w:rPr>
          <w:noProof/>
          <w:lang w:eastAsia="en-GB"/>
        </w:rPr>
        <w:t xml:space="preserve">he importance of planning is obvious. Based on </w:t>
      </w:r>
      <w:r w:rsidR="005954DD">
        <w:rPr>
          <w:noProof/>
          <w:lang w:eastAsia="en-GB"/>
        </w:rPr>
        <w:t>challenges</w:t>
      </w:r>
      <w:r w:rsidR="006539F3">
        <w:rPr>
          <w:noProof/>
          <w:lang w:eastAsia="en-GB"/>
        </w:rPr>
        <w:t xml:space="preserve"> </w:t>
      </w:r>
      <w:r w:rsidR="006753CA">
        <w:rPr>
          <w:noProof/>
          <w:lang w:eastAsia="en-GB"/>
        </w:rPr>
        <w:t>to</w:t>
      </w:r>
      <w:r w:rsidR="006539F3">
        <w:rPr>
          <w:noProof/>
          <w:lang w:eastAsia="en-GB"/>
        </w:rPr>
        <w:t xml:space="preserve"> recruit </w:t>
      </w:r>
      <w:r w:rsidR="006753CA">
        <w:rPr>
          <w:noProof/>
          <w:lang w:eastAsia="en-GB"/>
        </w:rPr>
        <w:t>into</w:t>
      </w:r>
      <w:r w:rsidR="006539F3">
        <w:rPr>
          <w:noProof/>
          <w:lang w:eastAsia="en-GB"/>
        </w:rPr>
        <w:t xml:space="preserve"> earlier trials in this condition, we estimated recruitment numbers in a</w:t>
      </w:r>
      <w:r w:rsidR="00F8695D">
        <w:rPr>
          <w:noProof/>
          <w:lang w:eastAsia="en-GB"/>
        </w:rPr>
        <w:t>n</w:t>
      </w:r>
      <w:r w:rsidR="006539F3">
        <w:rPr>
          <w:noProof/>
          <w:lang w:eastAsia="en-GB"/>
        </w:rPr>
        <w:t xml:space="preserve"> </w:t>
      </w:r>
      <w:r>
        <w:rPr>
          <w:noProof/>
          <w:lang w:eastAsia="en-GB"/>
        </w:rPr>
        <w:t xml:space="preserve">apparently conservative </w:t>
      </w:r>
      <w:r w:rsidR="006539F3">
        <w:rPr>
          <w:noProof/>
          <w:lang w:eastAsia="en-GB"/>
        </w:rPr>
        <w:t xml:space="preserve">way. For example, we conducted 2 referral audits at each trial centre to gauge the numbers of newly referred, potentially suitable patients, and we conducted a patient refusal audit; we then based our </w:t>
      </w:r>
      <w:r w:rsidR="00E86B6B">
        <w:rPr>
          <w:noProof/>
          <w:lang w:eastAsia="en-GB"/>
        </w:rPr>
        <w:t>recruitment</w:t>
      </w:r>
      <w:r w:rsidR="006539F3">
        <w:rPr>
          <w:noProof/>
          <w:lang w:eastAsia="en-GB"/>
        </w:rPr>
        <w:t xml:space="preserve"> estimate per site </w:t>
      </w:r>
      <w:r w:rsidR="006753CA">
        <w:rPr>
          <w:noProof/>
          <w:lang w:eastAsia="en-GB"/>
        </w:rPr>
        <w:t xml:space="preserve">on the number of newly referred patients and a generous refusal rate, </w:t>
      </w:r>
      <w:r>
        <w:rPr>
          <w:noProof/>
          <w:lang w:eastAsia="en-GB"/>
        </w:rPr>
        <w:t>without</w:t>
      </w:r>
      <w:r w:rsidR="00D27E6B">
        <w:rPr>
          <w:noProof/>
          <w:lang w:eastAsia="en-GB"/>
        </w:rPr>
        <w:t xml:space="preserve"> </w:t>
      </w:r>
      <w:r w:rsidR="006539F3">
        <w:rPr>
          <w:noProof/>
          <w:lang w:eastAsia="en-GB"/>
        </w:rPr>
        <w:t>taking into account any patients</w:t>
      </w:r>
      <w:r>
        <w:rPr>
          <w:noProof/>
          <w:lang w:eastAsia="en-GB"/>
        </w:rPr>
        <w:t xml:space="preserve"> seen previously </w:t>
      </w:r>
      <w:r w:rsidR="00F8695D">
        <w:rPr>
          <w:noProof/>
          <w:lang w:eastAsia="en-GB"/>
        </w:rPr>
        <w:t>at the trial centres</w:t>
      </w:r>
      <w:r w:rsidR="00AB2E44">
        <w:rPr>
          <w:noProof/>
          <w:lang w:eastAsia="en-GB"/>
        </w:rPr>
        <w:t>,</w:t>
      </w:r>
      <w:r w:rsidR="00F8695D">
        <w:rPr>
          <w:noProof/>
          <w:lang w:eastAsia="en-GB"/>
        </w:rPr>
        <w:t xml:space="preserve"> </w:t>
      </w:r>
      <w:r>
        <w:rPr>
          <w:noProof/>
          <w:lang w:eastAsia="en-GB"/>
        </w:rPr>
        <w:t>whose details had been entered</w:t>
      </w:r>
      <w:r w:rsidR="006539F3">
        <w:rPr>
          <w:noProof/>
          <w:lang w:eastAsia="en-GB"/>
        </w:rPr>
        <w:t xml:space="preserve"> on internal databases</w:t>
      </w:r>
      <w:r w:rsidR="00F8695D">
        <w:rPr>
          <w:noProof/>
          <w:lang w:eastAsia="en-GB"/>
        </w:rPr>
        <w:t xml:space="preserve"> and who would </w:t>
      </w:r>
      <w:r w:rsidR="006753CA">
        <w:rPr>
          <w:noProof/>
          <w:lang w:eastAsia="en-GB"/>
        </w:rPr>
        <w:t xml:space="preserve">later </w:t>
      </w:r>
      <w:r w:rsidR="00F8695D">
        <w:rPr>
          <w:noProof/>
          <w:lang w:eastAsia="en-GB"/>
        </w:rPr>
        <w:t>be contact</w:t>
      </w:r>
      <w:r w:rsidR="006753CA">
        <w:rPr>
          <w:noProof/>
          <w:lang w:eastAsia="en-GB"/>
        </w:rPr>
        <w:t>able</w:t>
      </w:r>
      <w:r w:rsidR="006539F3">
        <w:rPr>
          <w:noProof/>
          <w:lang w:eastAsia="en-GB"/>
        </w:rPr>
        <w:t>. We note</w:t>
      </w:r>
      <w:r>
        <w:rPr>
          <w:noProof/>
          <w:lang w:eastAsia="en-GB"/>
        </w:rPr>
        <w:t>,</w:t>
      </w:r>
      <w:r w:rsidR="006539F3">
        <w:rPr>
          <w:noProof/>
          <w:lang w:eastAsia="en-GB"/>
        </w:rPr>
        <w:t xml:space="preserve"> that while </w:t>
      </w:r>
      <w:r w:rsidR="00E86B6B">
        <w:rPr>
          <w:noProof/>
          <w:lang w:eastAsia="en-GB"/>
        </w:rPr>
        <w:t>recruitment</w:t>
      </w:r>
      <w:r w:rsidR="006539F3">
        <w:rPr>
          <w:noProof/>
          <w:lang w:eastAsia="en-GB"/>
        </w:rPr>
        <w:t xml:space="preserve"> was successful</w:t>
      </w:r>
      <w:r w:rsidR="006753CA">
        <w:rPr>
          <w:noProof/>
          <w:lang w:eastAsia="en-GB"/>
        </w:rPr>
        <w:t>,</w:t>
      </w:r>
      <w:r w:rsidR="006539F3">
        <w:rPr>
          <w:noProof/>
          <w:lang w:eastAsia="en-GB"/>
        </w:rPr>
        <w:t xml:space="preserve"> we were just 3 weeks </w:t>
      </w:r>
      <w:r>
        <w:rPr>
          <w:noProof/>
          <w:lang w:eastAsia="en-GB"/>
        </w:rPr>
        <w:t>‘</w:t>
      </w:r>
      <w:r w:rsidR="006539F3">
        <w:rPr>
          <w:noProof/>
          <w:lang w:eastAsia="en-GB"/>
        </w:rPr>
        <w:t>better</w:t>
      </w:r>
      <w:r>
        <w:rPr>
          <w:noProof/>
          <w:lang w:eastAsia="en-GB"/>
        </w:rPr>
        <w:t>’</w:t>
      </w:r>
      <w:r w:rsidR="006539F3">
        <w:rPr>
          <w:noProof/>
          <w:lang w:eastAsia="en-GB"/>
        </w:rPr>
        <w:t xml:space="preserve"> than </w:t>
      </w:r>
      <w:r w:rsidR="00D27E6B">
        <w:rPr>
          <w:noProof/>
          <w:lang w:eastAsia="en-GB"/>
        </w:rPr>
        <w:t xml:space="preserve">our </w:t>
      </w:r>
      <w:r w:rsidR="006539F3">
        <w:rPr>
          <w:noProof/>
          <w:lang w:eastAsia="en-GB"/>
        </w:rPr>
        <w:t>target</w:t>
      </w:r>
      <w:r w:rsidR="00D27E6B">
        <w:rPr>
          <w:noProof/>
          <w:lang w:eastAsia="en-GB"/>
        </w:rPr>
        <w:t>, which</w:t>
      </w:r>
      <w:r w:rsidR="006539F3">
        <w:rPr>
          <w:noProof/>
          <w:lang w:eastAsia="en-GB"/>
        </w:rPr>
        <w:t xml:space="preserve"> also highlights that </w:t>
      </w:r>
      <w:r w:rsidR="00F8695D">
        <w:rPr>
          <w:noProof/>
          <w:lang w:eastAsia="en-GB"/>
        </w:rPr>
        <w:t>this</w:t>
      </w:r>
      <w:r w:rsidR="006539F3">
        <w:rPr>
          <w:noProof/>
          <w:lang w:eastAsia="en-GB"/>
        </w:rPr>
        <w:t xml:space="preserve"> con</w:t>
      </w:r>
      <w:r>
        <w:rPr>
          <w:noProof/>
          <w:lang w:eastAsia="en-GB"/>
        </w:rPr>
        <w:t>s</w:t>
      </w:r>
      <w:r w:rsidR="006539F3">
        <w:rPr>
          <w:noProof/>
          <w:lang w:eastAsia="en-GB"/>
        </w:rPr>
        <w:t xml:space="preserve">ervative approach was </w:t>
      </w:r>
      <w:r w:rsidR="00AD24F2">
        <w:rPr>
          <w:noProof/>
          <w:lang w:eastAsia="en-GB"/>
        </w:rPr>
        <w:t>critical</w:t>
      </w:r>
      <w:r w:rsidR="006539F3">
        <w:rPr>
          <w:noProof/>
          <w:lang w:eastAsia="en-GB"/>
        </w:rPr>
        <w:t>. A more optimistic approach based on these same</w:t>
      </w:r>
      <w:r w:rsidR="00F8695D">
        <w:rPr>
          <w:noProof/>
          <w:lang w:eastAsia="en-GB"/>
        </w:rPr>
        <w:t xml:space="preserve"> audit</w:t>
      </w:r>
      <w:r w:rsidR="006539F3">
        <w:rPr>
          <w:noProof/>
          <w:lang w:eastAsia="en-GB"/>
        </w:rPr>
        <w:t xml:space="preserve"> numbers, </w:t>
      </w:r>
      <w:r w:rsidR="00AD24F2">
        <w:rPr>
          <w:noProof/>
          <w:lang w:eastAsia="en-GB"/>
        </w:rPr>
        <w:t>but also</w:t>
      </w:r>
      <w:r w:rsidR="006539F3">
        <w:rPr>
          <w:noProof/>
          <w:lang w:eastAsia="en-GB"/>
        </w:rPr>
        <w:t xml:space="preserve"> taking into account patients on internal databases would have at least doubled the recruitment estimate, with </w:t>
      </w:r>
      <w:r>
        <w:rPr>
          <w:noProof/>
          <w:lang w:eastAsia="en-GB"/>
        </w:rPr>
        <w:t>consequent</w:t>
      </w:r>
      <w:r w:rsidR="006539F3">
        <w:rPr>
          <w:noProof/>
          <w:lang w:eastAsia="en-GB"/>
        </w:rPr>
        <w:t xml:space="preserve"> failure to recruit</w:t>
      </w:r>
      <w:r>
        <w:rPr>
          <w:noProof/>
          <w:lang w:eastAsia="en-GB"/>
        </w:rPr>
        <w:t xml:space="preserve"> to target</w:t>
      </w:r>
      <w:r w:rsidR="006539F3">
        <w:rPr>
          <w:noProof/>
          <w:lang w:eastAsia="en-GB"/>
        </w:rPr>
        <w:t xml:space="preserve">. </w:t>
      </w:r>
    </w:p>
    <w:p w14:paraId="4792A72C" w14:textId="003DDE8F" w:rsidR="006539F3" w:rsidRDefault="006539F3">
      <w:pPr>
        <w:rPr>
          <w:noProof/>
          <w:lang w:eastAsia="en-GB"/>
        </w:rPr>
      </w:pPr>
      <w:r>
        <w:rPr>
          <w:noProof/>
          <w:lang w:eastAsia="en-GB"/>
        </w:rPr>
        <w:t xml:space="preserve">We have also highlighted </w:t>
      </w:r>
      <w:r w:rsidR="007128DE">
        <w:rPr>
          <w:noProof/>
          <w:lang w:eastAsia="en-GB"/>
        </w:rPr>
        <w:t>6</w:t>
      </w:r>
      <w:r>
        <w:rPr>
          <w:noProof/>
          <w:lang w:eastAsia="en-GB"/>
        </w:rPr>
        <w:t xml:space="preserve"> </w:t>
      </w:r>
      <w:r w:rsidR="007B68FA">
        <w:rPr>
          <w:noProof/>
          <w:lang w:eastAsia="en-GB"/>
        </w:rPr>
        <w:t xml:space="preserve">recruitment </w:t>
      </w:r>
      <w:r>
        <w:rPr>
          <w:noProof/>
          <w:lang w:eastAsia="en-GB"/>
        </w:rPr>
        <w:t>risks</w:t>
      </w:r>
      <w:r w:rsidR="007128DE">
        <w:rPr>
          <w:noProof/>
          <w:lang w:eastAsia="en-GB"/>
        </w:rPr>
        <w:t>, most of which are specific to the group of patients with moderate or severe chronic pain,</w:t>
      </w:r>
      <w:r w:rsidR="00424278">
        <w:rPr>
          <w:noProof/>
          <w:lang w:eastAsia="en-GB"/>
        </w:rPr>
        <w:t xml:space="preserve"> see Results section</w:t>
      </w:r>
      <w:r w:rsidR="00EC5814">
        <w:rPr>
          <w:noProof/>
          <w:lang w:eastAsia="en-GB"/>
        </w:rPr>
        <w:t>.</w:t>
      </w:r>
      <w:r>
        <w:rPr>
          <w:noProof/>
          <w:lang w:eastAsia="en-GB"/>
        </w:rPr>
        <w:t xml:space="preserve"> </w:t>
      </w:r>
      <w:r w:rsidR="00EC5814">
        <w:rPr>
          <w:noProof/>
          <w:lang w:eastAsia="en-GB"/>
        </w:rPr>
        <w:t>We</w:t>
      </w:r>
      <w:r>
        <w:rPr>
          <w:noProof/>
          <w:lang w:eastAsia="en-GB"/>
        </w:rPr>
        <w:t xml:space="preserve"> would like to emphasize the</w:t>
      </w:r>
      <w:r w:rsidR="00C86575">
        <w:rPr>
          <w:noProof/>
          <w:lang w:eastAsia="en-GB"/>
        </w:rPr>
        <w:t xml:space="preserve"> </w:t>
      </w:r>
      <w:r w:rsidR="00EC5814">
        <w:rPr>
          <w:noProof/>
          <w:lang w:eastAsia="en-GB"/>
        </w:rPr>
        <w:t>potential benefits of</w:t>
      </w:r>
      <w:r>
        <w:rPr>
          <w:noProof/>
          <w:lang w:eastAsia="en-GB"/>
        </w:rPr>
        <w:t xml:space="preserve"> including patients </w:t>
      </w:r>
      <w:r w:rsidR="00EC5814">
        <w:rPr>
          <w:noProof/>
          <w:lang w:eastAsia="en-GB"/>
        </w:rPr>
        <w:t xml:space="preserve">into analgesia trials, </w:t>
      </w:r>
      <w:r>
        <w:rPr>
          <w:noProof/>
          <w:lang w:eastAsia="en-GB"/>
        </w:rPr>
        <w:t>who have attended a multidisciplinary pain mangement program</w:t>
      </w:r>
      <w:r w:rsidR="00424278">
        <w:rPr>
          <w:noProof/>
          <w:lang w:eastAsia="en-GB"/>
        </w:rPr>
        <w:t>.</w:t>
      </w:r>
      <w:r>
        <w:rPr>
          <w:noProof/>
          <w:lang w:eastAsia="en-GB"/>
        </w:rPr>
        <w:t xml:space="preserve"> </w:t>
      </w:r>
      <w:r w:rsidR="00EC5814">
        <w:rPr>
          <w:noProof/>
          <w:lang w:eastAsia="en-GB"/>
        </w:rPr>
        <w:t>Having c</w:t>
      </w:r>
      <w:r>
        <w:rPr>
          <w:noProof/>
          <w:lang w:eastAsia="en-GB"/>
        </w:rPr>
        <w:t xml:space="preserve">hronic pain is </w:t>
      </w:r>
      <w:r w:rsidR="00EC5814">
        <w:rPr>
          <w:noProof/>
          <w:lang w:eastAsia="en-GB"/>
        </w:rPr>
        <w:t>usually</w:t>
      </w:r>
      <w:r>
        <w:rPr>
          <w:noProof/>
          <w:lang w:eastAsia="en-GB"/>
        </w:rPr>
        <w:t xml:space="preserve"> </w:t>
      </w:r>
      <w:r w:rsidR="00424278">
        <w:rPr>
          <w:noProof/>
          <w:lang w:eastAsia="en-GB"/>
        </w:rPr>
        <w:t xml:space="preserve">a </w:t>
      </w:r>
      <w:r>
        <w:rPr>
          <w:noProof/>
          <w:lang w:eastAsia="en-GB"/>
        </w:rPr>
        <w:t>distressing</w:t>
      </w:r>
      <w:r w:rsidR="00424278">
        <w:rPr>
          <w:noProof/>
          <w:lang w:eastAsia="en-GB"/>
        </w:rPr>
        <w:t xml:space="preserve"> experience</w:t>
      </w:r>
      <w:r>
        <w:rPr>
          <w:noProof/>
          <w:lang w:eastAsia="en-GB"/>
        </w:rPr>
        <w:t xml:space="preserve">, and </w:t>
      </w:r>
      <w:r w:rsidR="00EC5814">
        <w:rPr>
          <w:noProof/>
          <w:lang w:eastAsia="en-GB"/>
        </w:rPr>
        <w:t>where</w:t>
      </w:r>
      <w:r>
        <w:rPr>
          <w:noProof/>
          <w:lang w:eastAsia="en-GB"/>
        </w:rPr>
        <w:t xml:space="preserve"> unexpected </w:t>
      </w:r>
      <w:r w:rsidR="00EC5814">
        <w:rPr>
          <w:noProof/>
          <w:lang w:eastAsia="en-GB"/>
        </w:rPr>
        <w:lastRenderedPageBreak/>
        <w:t xml:space="preserve">drug </w:t>
      </w:r>
      <w:r>
        <w:rPr>
          <w:noProof/>
          <w:lang w:eastAsia="en-GB"/>
        </w:rPr>
        <w:t>side effects</w:t>
      </w:r>
      <w:r w:rsidR="00EC5814">
        <w:rPr>
          <w:noProof/>
          <w:lang w:eastAsia="en-GB"/>
        </w:rPr>
        <w:t>,</w:t>
      </w:r>
      <w:r>
        <w:rPr>
          <w:noProof/>
          <w:lang w:eastAsia="en-GB"/>
        </w:rPr>
        <w:t xml:space="preserve"> or flare-up’s of the </w:t>
      </w:r>
      <w:r w:rsidR="00EC5814">
        <w:rPr>
          <w:noProof/>
          <w:lang w:eastAsia="en-GB"/>
        </w:rPr>
        <w:t xml:space="preserve">pain </w:t>
      </w:r>
      <w:r>
        <w:rPr>
          <w:noProof/>
          <w:lang w:eastAsia="en-GB"/>
        </w:rPr>
        <w:t>condition occur</w:t>
      </w:r>
      <w:r w:rsidR="00EC5814">
        <w:rPr>
          <w:noProof/>
          <w:lang w:eastAsia="en-GB"/>
        </w:rPr>
        <w:t xml:space="preserve"> during participation in a trial,</w:t>
      </w:r>
      <w:r>
        <w:rPr>
          <w:noProof/>
          <w:lang w:eastAsia="en-GB"/>
        </w:rPr>
        <w:t xml:space="preserve"> patients who </w:t>
      </w:r>
      <w:r w:rsidR="00EC5814">
        <w:rPr>
          <w:noProof/>
          <w:lang w:eastAsia="en-GB"/>
        </w:rPr>
        <w:t>have acquired</w:t>
      </w:r>
      <w:r>
        <w:rPr>
          <w:noProof/>
          <w:lang w:eastAsia="en-GB"/>
        </w:rPr>
        <w:t xml:space="preserve"> techniques</w:t>
      </w:r>
      <w:r w:rsidR="00424278">
        <w:rPr>
          <w:noProof/>
          <w:lang w:eastAsia="en-GB"/>
        </w:rPr>
        <w:t xml:space="preserve"> to manage their condition</w:t>
      </w:r>
      <w:r w:rsidR="00C86575">
        <w:rPr>
          <w:noProof/>
          <w:lang w:eastAsia="en-GB"/>
        </w:rPr>
        <w:t xml:space="preserve"> </w:t>
      </w:r>
      <w:r w:rsidR="00EC5814">
        <w:rPr>
          <w:noProof/>
          <w:lang w:eastAsia="en-GB"/>
        </w:rPr>
        <w:t xml:space="preserve">may find it easier to put these effects into perspective and adhere to the trial protocol as appropriate. </w:t>
      </w:r>
      <w:r>
        <w:rPr>
          <w:noProof/>
          <w:lang w:eastAsia="en-GB"/>
        </w:rPr>
        <w:t xml:space="preserve"> We </w:t>
      </w:r>
      <w:r w:rsidR="00424278">
        <w:rPr>
          <w:noProof/>
          <w:lang w:eastAsia="en-GB"/>
        </w:rPr>
        <w:t xml:space="preserve">would like to </w:t>
      </w:r>
      <w:r>
        <w:rPr>
          <w:noProof/>
          <w:lang w:eastAsia="en-GB"/>
        </w:rPr>
        <w:t xml:space="preserve">suggest that more research in this area will be cruicial to </w:t>
      </w:r>
      <w:r w:rsidR="00EC5814">
        <w:rPr>
          <w:noProof/>
          <w:lang w:eastAsia="en-GB"/>
        </w:rPr>
        <w:t>the development of</w:t>
      </w:r>
      <w:r>
        <w:rPr>
          <w:noProof/>
          <w:lang w:eastAsia="en-GB"/>
        </w:rPr>
        <w:t xml:space="preserve"> </w:t>
      </w:r>
      <w:r w:rsidR="00E86B6B">
        <w:rPr>
          <w:noProof/>
          <w:lang w:eastAsia="en-GB"/>
        </w:rPr>
        <w:t>recruitment</w:t>
      </w:r>
      <w:r>
        <w:rPr>
          <w:noProof/>
          <w:lang w:eastAsia="en-GB"/>
        </w:rPr>
        <w:t xml:space="preserve"> strategies </w:t>
      </w:r>
      <w:r w:rsidR="00EC5814">
        <w:rPr>
          <w:noProof/>
          <w:lang w:eastAsia="en-GB"/>
        </w:rPr>
        <w:t>for chronic pain trials in</w:t>
      </w:r>
      <w:r>
        <w:rPr>
          <w:noProof/>
          <w:lang w:eastAsia="en-GB"/>
        </w:rPr>
        <w:t xml:space="preserve"> the future</w:t>
      </w:r>
      <w:r w:rsidR="00EC5814">
        <w:rPr>
          <w:noProof/>
          <w:lang w:eastAsia="en-GB"/>
        </w:rPr>
        <w:t>, particularly where drugs with an unknown safety profile in a pain population are being assessed.</w:t>
      </w:r>
      <w:r>
        <w:rPr>
          <w:noProof/>
          <w:lang w:eastAsia="en-GB"/>
        </w:rPr>
        <w:t xml:space="preserve"> </w:t>
      </w:r>
      <w:r w:rsidR="0099692F">
        <w:rPr>
          <w:noProof/>
          <w:lang w:eastAsia="en-GB"/>
        </w:rPr>
        <w:t xml:space="preserve">Independently, a risk not addressed in this trial was potential response bias due to a </w:t>
      </w:r>
      <w:r w:rsidR="00F62ACC">
        <w:rPr>
          <w:noProof/>
          <w:lang w:eastAsia="en-GB"/>
        </w:rPr>
        <w:t xml:space="preserve">patient </w:t>
      </w:r>
      <w:r w:rsidR="0099692F">
        <w:rPr>
          <w:noProof/>
          <w:lang w:eastAsia="en-GB"/>
        </w:rPr>
        <w:t xml:space="preserve">sense of </w:t>
      </w:r>
      <w:r w:rsidR="00F62ACC">
        <w:rPr>
          <w:noProof/>
          <w:lang w:eastAsia="en-GB"/>
        </w:rPr>
        <w:t xml:space="preserve">possible </w:t>
      </w:r>
      <w:r w:rsidR="00A57CB8">
        <w:rPr>
          <w:noProof/>
          <w:lang w:eastAsia="en-GB"/>
        </w:rPr>
        <w:t xml:space="preserve">de-validation </w:t>
      </w:r>
      <w:r w:rsidR="00683D49">
        <w:rPr>
          <w:noProof/>
          <w:lang w:eastAsia="en-GB"/>
        </w:rPr>
        <w:t>if they reported</w:t>
      </w:r>
      <w:r w:rsidR="0099692F">
        <w:rPr>
          <w:noProof/>
          <w:lang w:eastAsia="en-GB"/>
        </w:rPr>
        <w:t xml:space="preserve"> good pain relief while </w:t>
      </w:r>
      <w:r w:rsidR="00683D49">
        <w:rPr>
          <w:noProof/>
          <w:lang w:eastAsia="en-GB"/>
        </w:rPr>
        <w:t>receiving</w:t>
      </w:r>
      <w:r w:rsidR="0099692F">
        <w:rPr>
          <w:noProof/>
          <w:lang w:eastAsia="en-GB"/>
        </w:rPr>
        <w:t xml:space="preserve"> placebo. </w:t>
      </w:r>
      <w:r w:rsidR="00F62ACC">
        <w:rPr>
          <w:noProof/>
          <w:lang w:eastAsia="en-GB"/>
        </w:rPr>
        <w:t xml:space="preserve">This type of bias may be particularly relevant in academic trials such as </w:t>
      </w:r>
      <w:r w:rsidR="00793A17">
        <w:rPr>
          <w:noProof/>
          <w:lang w:eastAsia="en-GB"/>
        </w:rPr>
        <w:t>our</w:t>
      </w:r>
      <w:r w:rsidR="00F62ACC">
        <w:rPr>
          <w:noProof/>
          <w:lang w:eastAsia="en-GB"/>
        </w:rPr>
        <w:t xml:space="preserve"> where patients know their investigators also clinically</w:t>
      </w:r>
      <w:r w:rsidR="00793A17">
        <w:rPr>
          <w:noProof/>
          <w:lang w:eastAsia="en-GB"/>
        </w:rPr>
        <w:t>; this may need to be addressed in future patient education efforts</w:t>
      </w:r>
      <w:r w:rsidR="00F62ACC">
        <w:rPr>
          <w:noProof/>
          <w:lang w:eastAsia="en-GB"/>
        </w:rPr>
        <w:t xml:space="preserve">. </w:t>
      </w:r>
    </w:p>
    <w:p w14:paraId="2EDEBF4E" w14:textId="1147E709" w:rsidR="005323E0" w:rsidRDefault="005323E0">
      <w:pPr>
        <w:rPr>
          <w:noProof/>
          <w:lang w:eastAsia="en-GB"/>
        </w:rPr>
      </w:pPr>
      <w:r>
        <w:rPr>
          <w:noProof/>
          <w:lang w:eastAsia="en-GB"/>
        </w:rPr>
        <w:t xml:space="preserve">A limitation </w:t>
      </w:r>
      <w:r w:rsidR="007D079C">
        <w:rPr>
          <w:noProof/>
          <w:lang w:eastAsia="en-GB"/>
        </w:rPr>
        <w:t>to</w:t>
      </w:r>
      <w:r>
        <w:rPr>
          <w:noProof/>
          <w:lang w:eastAsia="en-GB"/>
        </w:rPr>
        <w:t xml:space="preserve"> our </w:t>
      </w:r>
      <w:r w:rsidR="007D079C">
        <w:rPr>
          <w:noProof/>
          <w:lang w:eastAsia="en-GB"/>
        </w:rPr>
        <w:t>report</w:t>
      </w:r>
      <w:r>
        <w:rPr>
          <w:noProof/>
          <w:lang w:eastAsia="en-GB"/>
        </w:rPr>
        <w:t xml:space="preserve"> is that we did not </w:t>
      </w:r>
      <w:r w:rsidR="00B272F0">
        <w:rPr>
          <w:noProof/>
          <w:lang w:eastAsia="en-GB"/>
        </w:rPr>
        <w:t>examine</w:t>
      </w:r>
      <w:r w:rsidR="00267C1C">
        <w:rPr>
          <w:noProof/>
          <w:lang w:eastAsia="en-GB"/>
        </w:rPr>
        <w:t xml:space="preserve"> </w:t>
      </w:r>
      <w:r>
        <w:rPr>
          <w:noProof/>
          <w:lang w:eastAsia="en-GB"/>
        </w:rPr>
        <w:t>the impact of</w:t>
      </w:r>
      <w:r w:rsidR="007D079C">
        <w:rPr>
          <w:noProof/>
          <w:lang w:eastAsia="en-GB"/>
        </w:rPr>
        <w:t xml:space="preserve"> </w:t>
      </w:r>
      <w:r>
        <w:rPr>
          <w:noProof/>
          <w:lang w:eastAsia="en-GB"/>
        </w:rPr>
        <w:t>patient inclusion/exclusion criteria on the LIPS recruitment rate</w:t>
      </w:r>
      <w:r w:rsidR="00267C1C">
        <w:rPr>
          <w:noProof/>
          <w:lang w:eastAsia="en-GB"/>
        </w:rPr>
        <w:t xml:space="preserve">; narrow </w:t>
      </w:r>
      <w:r>
        <w:rPr>
          <w:noProof/>
          <w:lang w:eastAsia="en-GB"/>
        </w:rPr>
        <w:t>criteria may increase screen failure rates</w:t>
      </w:r>
      <w:r w:rsidR="007D079C">
        <w:rPr>
          <w:noProof/>
          <w:lang w:eastAsia="en-GB"/>
        </w:rPr>
        <w:t xml:space="preserve"> and hence slow recruitment</w:t>
      </w:r>
      <w:r w:rsidR="00267C1C">
        <w:rPr>
          <w:noProof/>
          <w:lang w:eastAsia="en-GB"/>
        </w:rPr>
        <w:t>. W</w:t>
      </w:r>
      <w:r>
        <w:rPr>
          <w:noProof/>
          <w:lang w:eastAsia="en-GB"/>
        </w:rPr>
        <w:t>e note that the low screen failure rate in LIPS</w:t>
      </w:r>
      <w:r w:rsidR="007D079C">
        <w:rPr>
          <w:noProof/>
          <w:lang w:eastAsia="en-GB"/>
        </w:rPr>
        <w:t xml:space="preserve"> (table 2)</w:t>
      </w:r>
      <w:r>
        <w:rPr>
          <w:noProof/>
          <w:lang w:eastAsia="en-GB"/>
        </w:rPr>
        <w:t xml:space="preserve"> is likely reflective of </w:t>
      </w:r>
      <w:r w:rsidR="007D079C">
        <w:rPr>
          <w:noProof/>
          <w:lang w:eastAsia="en-GB"/>
        </w:rPr>
        <w:t xml:space="preserve">un-documented, </w:t>
      </w:r>
      <w:r>
        <w:rPr>
          <w:noProof/>
          <w:lang w:eastAsia="en-GB"/>
        </w:rPr>
        <w:t>effective pre-s</w:t>
      </w:r>
      <w:r w:rsidR="00267C1C">
        <w:rPr>
          <w:noProof/>
          <w:lang w:eastAsia="en-GB"/>
        </w:rPr>
        <w:t>creening</w:t>
      </w:r>
      <w:r>
        <w:rPr>
          <w:noProof/>
          <w:lang w:eastAsia="en-GB"/>
        </w:rPr>
        <w:t xml:space="preserve"> by study investigators based on clinical notes</w:t>
      </w:r>
      <w:r w:rsidR="00267C1C">
        <w:rPr>
          <w:noProof/>
          <w:lang w:eastAsia="en-GB"/>
        </w:rPr>
        <w:t xml:space="preserve"> </w:t>
      </w:r>
      <w:r>
        <w:rPr>
          <w:noProof/>
          <w:lang w:eastAsia="en-GB"/>
        </w:rPr>
        <w:t>or recall</w:t>
      </w:r>
      <w:r w:rsidR="00A03C43">
        <w:rPr>
          <w:noProof/>
          <w:lang w:eastAsia="en-GB"/>
        </w:rPr>
        <w:t xml:space="preserve"> taking </w:t>
      </w:r>
      <w:r w:rsidR="007D079C">
        <w:rPr>
          <w:noProof/>
          <w:lang w:eastAsia="en-GB"/>
        </w:rPr>
        <w:t xml:space="preserve">place </w:t>
      </w:r>
      <w:r w:rsidRPr="009C2410">
        <w:rPr>
          <w:i/>
          <w:noProof/>
          <w:lang w:eastAsia="en-GB"/>
        </w:rPr>
        <w:t>before</w:t>
      </w:r>
      <w:r>
        <w:rPr>
          <w:noProof/>
          <w:lang w:eastAsia="en-GB"/>
        </w:rPr>
        <w:t xml:space="preserve"> patients </w:t>
      </w:r>
      <w:r w:rsidR="00267C1C">
        <w:rPr>
          <w:noProof/>
          <w:lang w:eastAsia="en-GB"/>
        </w:rPr>
        <w:t xml:space="preserve">were invited to </w:t>
      </w:r>
      <w:r>
        <w:rPr>
          <w:noProof/>
          <w:lang w:eastAsia="en-GB"/>
        </w:rPr>
        <w:t>attend for screening</w:t>
      </w:r>
      <w:r w:rsidR="007D079C">
        <w:rPr>
          <w:noProof/>
          <w:lang w:eastAsia="en-GB"/>
        </w:rPr>
        <w:t xml:space="preserve">; </w:t>
      </w:r>
      <w:r>
        <w:rPr>
          <w:noProof/>
          <w:lang w:eastAsia="en-GB"/>
        </w:rPr>
        <w:t xml:space="preserve">available data </w:t>
      </w:r>
      <w:r w:rsidR="007D079C">
        <w:rPr>
          <w:noProof/>
          <w:lang w:eastAsia="en-GB"/>
        </w:rPr>
        <w:t>do therefore not allow us</w:t>
      </w:r>
      <w:r>
        <w:rPr>
          <w:noProof/>
          <w:lang w:eastAsia="en-GB"/>
        </w:rPr>
        <w:t xml:space="preserve"> to </w:t>
      </w:r>
      <w:r w:rsidR="007D079C">
        <w:rPr>
          <w:noProof/>
          <w:lang w:eastAsia="en-GB"/>
        </w:rPr>
        <w:t>investigate</w:t>
      </w:r>
      <w:r>
        <w:rPr>
          <w:noProof/>
          <w:lang w:eastAsia="en-GB"/>
        </w:rPr>
        <w:t xml:space="preserve"> this important </w:t>
      </w:r>
      <w:r w:rsidR="00267C1C">
        <w:rPr>
          <w:noProof/>
          <w:lang w:eastAsia="en-GB"/>
        </w:rPr>
        <w:t>factor</w:t>
      </w:r>
      <w:r w:rsidR="007D079C">
        <w:rPr>
          <w:noProof/>
          <w:lang w:eastAsia="en-GB"/>
        </w:rPr>
        <w:t xml:space="preserve"> further</w:t>
      </w:r>
      <w:r w:rsidR="00267C1C">
        <w:rPr>
          <w:noProof/>
          <w:lang w:eastAsia="en-GB"/>
        </w:rPr>
        <w:t xml:space="preserve">. </w:t>
      </w:r>
    </w:p>
    <w:p w14:paraId="2419F74E" w14:textId="608FBD15" w:rsidR="006539F3" w:rsidRDefault="00FD54B3">
      <w:pPr>
        <w:rPr>
          <w:noProof/>
          <w:lang w:eastAsia="en-GB"/>
        </w:rPr>
      </w:pPr>
      <w:r>
        <w:rPr>
          <w:noProof/>
          <w:lang w:eastAsia="en-GB"/>
        </w:rPr>
        <w:t>Additional</w:t>
      </w:r>
      <w:r w:rsidR="006539F3">
        <w:rPr>
          <w:noProof/>
          <w:lang w:eastAsia="en-GB"/>
        </w:rPr>
        <w:t xml:space="preserve"> </w:t>
      </w:r>
      <w:r w:rsidR="00064F03">
        <w:rPr>
          <w:noProof/>
          <w:lang w:eastAsia="en-GB"/>
        </w:rPr>
        <w:t xml:space="preserve">recruitment </w:t>
      </w:r>
      <w:r w:rsidR="006539F3">
        <w:rPr>
          <w:noProof/>
          <w:lang w:eastAsia="en-GB"/>
        </w:rPr>
        <w:t>strateg</w:t>
      </w:r>
      <w:r>
        <w:rPr>
          <w:noProof/>
          <w:lang w:eastAsia="en-GB"/>
        </w:rPr>
        <w:t>ies</w:t>
      </w:r>
      <w:r w:rsidR="00424278">
        <w:rPr>
          <w:noProof/>
          <w:lang w:eastAsia="en-GB"/>
        </w:rPr>
        <w:t xml:space="preserve"> </w:t>
      </w:r>
      <w:r w:rsidR="00424278" w:rsidRPr="007128DE">
        <w:rPr>
          <w:i/>
          <w:noProof/>
          <w:lang w:eastAsia="en-GB"/>
        </w:rPr>
        <w:t>not</w:t>
      </w:r>
      <w:r w:rsidR="00424278">
        <w:rPr>
          <w:noProof/>
          <w:lang w:eastAsia="en-GB"/>
        </w:rPr>
        <w:t xml:space="preserve"> utilised by us</w:t>
      </w:r>
      <w:r>
        <w:rPr>
          <w:noProof/>
          <w:lang w:eastAsia="en-GB"/>
        </w:rPr>
        <w:t xml:space="preserve"> </w:t>
      </w:r>
      <w:r w:rsidR="00EC5814">
        <w:rPr>
          <w:noProof/>
          <w:lang w:eastAsia="en-GB"/>
        </w:rPr>
        <w:t>include</w:t>
      </w:r>
      <w:r w:rsidR="00064F03">
        <w:rPr>
          <w:noProof/>
          <w:lang w:eastAsia="en-GB"/>
        </w:rPr>
        <w:t xml:space="preserve"> </w:t>
      </w:r>
      <w:r w:rsidR="00FA358C">
        <w:rPr>
          <w:noProof/>
          <w:lang w:eastAsia="en-GB"/>
        </w:rPr>
        <w:t>enlistment</w:t>
      </w:r>
      <w:r w:rsidR="00064F03">
        <w:rPr>
          <w:noProof/>
          <w:lang w:eastAsia="en-GB"/>
        </w:rPr>
        <w:t xml:space="preserve"> of international trial centres</w:t>
      </w:r>
      <w:r>
        <w:rPr>
          <w:noProof/>
          <w:lang w:eastAsia="en-GB"/>
        </w:rPr>
        <w:t xml:space="preserve">, </w:t>
      </w:r>
      <w:r w:rsidR="007128DE">
        <w:rPr>
          <w:noProof/>
          <w:lang w:eastAsia="en-GB"/>
        </w:rPr>
        <w:t>and</w:t>
      </w:r>
      <w:r w:rsidR="00424278">
        <w:rPr>
          <w:noProof/>
          <w:lang w:eastAsia="en-GB"/>
        </w:rPr>
        <w:t xml:space="preserve"> </w:t>
      </w:r>
      <w:r>
        <w:rPr>
          <w:noProof/>
          <w:lang w:eastAsia="en-GB"/>
        </w:rPr>
        <w:t xml:space="preserve">extension of the </w:t>
      </w:r>
      <w:r w:rsidR="00424278">
        <w:rPr>
          <w:noProof/>
          <w:lang w:eastAsia="en-GB"/>
        </w:rPr>
        <w:t xml:space="preserve">trial </w:t>
      </w:r>
      <w:r>
        <w:rPr>
          <w:noProof/>
          <w:lang w:eastAsia="en-GB"/>
        </w:rPr>
        <w:t>recruitment period</w:t>
      </w:r>
      <w:r w:rsidR="00064F03">
        <w:rPr>
          <w:noProof/>
          <w:lang w:eastAsia="en-GB"/>
        </w:rPr>
        <w:t>. Th</w:t>
      </w:r>
      <w:r>
        <w:rPr>
          <w:noProof/>
          <w:lang w:eastAsia="en-GB"/>
        </w:rPr>
        <w:t>e prior</w:t>
      </w:r>
      <w:r w:rsidR="00064F03">
        <w:rPr>
          <w:noProof/>
          <w:lang w:eastAsia="en-GB"/>
        </w:rPr>
        <w:t xml:space="preserve"> strategy was extensively</w:t>
      </w:r>
      <w:r w:rsidR="006539F3">
        <w:rPr>
          <w:noProof/>
          <w:lang w:eastAsia="en-GB"/>
        </w:rPr>
        <w:t xml:space="preserve"> used in a recent successful </w:t>
      </w:r>
      <w:r w:rsidR="006539F3" w:rsidRPr="00B46F89">
        <w:rPr>
          <w:i/>
          <w:noProof/>
          <w:lang w:eastAsia="en-GB"/>
        </w:rPr>
        <w:t>commerical</w:t>
      </w:r>
      <w:r w:rsidR="006539F3">
        <w:rPr>
          <w:noProof/>
          <w:lang w:eastAsia="en-GB"/>
        </w:rPr>
        <w:t xml:space="preserve"> trial in </w:t>
      </w:r>
      <w:r w:rsidR="00424278">
        <w:rPr>
          <w:noProof/>
          <w:lang w:eastAsia="en-GB"/>
        </w:rPr>
        <w:t xml:space="preserve">trigeminal neuralgia, </w:t>
      </w:r>
      <w:r w:rsidR="006539F3">
        <w:rPr>
          <w:noProof/>
          <w:lang w:eastAsia="en-GB"/>
        </w:rPr>
        <w:t>a</w:t>
      </w:r>
      <w:r w:rsidR="00424278">
        <w:rPr>
          <w:noProof/>
          <w:lang w:eastAsia="en-GB"/>
        </w:rPr>
        <w:t>nother</w:t>
      </w:r>
      <w:r w:rsidR="006539F3">
        <w:rPr>
          <w:noProof/>
          <w:lang w:eastAsia="en-GB"/>
        </w:rPr>
        <w:t xml:space="preserve"> rare chronic pain condition</w:t>
      </w:r>
      <w:r w:rsidR="004F517F">
        <w:rPr>
          <w:noProof/>
          <w:lang w:eastAsia="en-GB"/>
        </w:rPr>
        <w:t xml:space="preserve">, upon recognition that the original recruitment-estimates </w:t>
      </w:r>
      <w:r w:rsidR="00EC5814">
        <w:rPr>
          <w:noProof/>
          <w:lang w:eastAsia="en-GB"/>
        </w:rPr>
        <w:t>would not be achieved</w:t>
      </w:r>
      <w:r w:rsidR="00C301C8" w:rsidRPr="00C301C8">
        <w:rPr>
          <w:noProof/>
          <w:vertAlign w:val="superscript"/>
          <w:lang w:eastAsia="en-GB"/>
        </w:rPr>
        <w:t>1</w:t>
      </w:r>
      <w:r w:rsidR="00B505A5">
        <w:rPr>
          <w:noProof/>
          <w:vertAlign w:val="superscript"/>
          <w:lang w:eastAsia="en-GB"/>
        </w:rPr>
        <w:t>6</w:t>
      </w:r>
      <w:r w:rsidR="00064F03">
        <w:rPr>
          <w:noProof/>
          <w:lang w:eastAsia="en-GB"/>
        </w:rPr>
        <w:t>.</w:t>
      </w:r>
      <w:r>
        <w:rPr>
          <w:noProof/>
          <w:lang w:eastAsia="en-GB"/>
        </w:rPr>
        <w:t xml:space="preserve"> </w:t>
      </w:r>
      <w:r w:rsidR="00064F03">
        <w:rPr>
          <w:noProof/>
          <w:lang w:eastAsia="en-GB"/>
        </w:rPr>
        <w:t xml:space="preserve">However, </w:t>
      </w:r>
      <w:r w:rsidR="00FA358C">
        <w:rPr>
          <w:noProof/>
          <w:lang w:eastAsia="en-GB"/>
        </w:rPr>
        <w:t xml:space="preserve">it </w:t>
      </w:r>
      <w:r w:rsidR="007D0EE2">
        <w:rPr>
          <w:noProof/>
          <w:lang w:eastAsia="en-GB"/>
        </w:rPr>
        <w:t>may be</w:t>
      </w:r>
      <w:r w:rsidR="00FA358C">
        <w:rPr>
          <w:noProof/>
          <w:lang w:eastAsia="en-GB"/>
        </w:rPr>
        <w:t xml:space="preserve"> challenging to employ this</w:t>
      </w:r>
      <w:r w:rsidR="00EC5814">
        <w:rPr>
          <w:noProof/>
          <w:lang w:eastAsia="en-GB"/>
        </w:rPr>
        <w:t xml:space="preserve"> strategy</w:t>
      </w:r>
      <w:r w:rsidR="006539F3">
        <w:rPr>
          <w:noProof/>
          <w:lang w:eastAsia="en-GB"/>
        </w:rPr>
        <w:t xml:space="preserve"> </w:t>
      </w:r>
      <w:r>
        <w:rPr>
          <w:noProof/>
          <w:lang w:eastAsia="en-GB"/>
        </w:rPr>
        <w:t>in</w:t>
      </w:r>
      <w:r w:rsidR="006539F3">
        <w:rPr>
          <w:noProof/>
          <w:lang w:eastAsia="en-GB"/>
        </w:rPr>
        <w:t xml:space="preserve"> </w:t>
      </w:r>
      <w:r w:rsidR="006539F3" w:rsidRPr="00B46F89">
        <w:rPr>
          <w:i/>
          <w:noProof/>
          <w:lang w:eastAsia="en-GB"/>
        </w:rPr>
        <w:t>academic</w:t>
      </w:r>
      <w:r w:rsidR="006539F3">
        <w:rPr>
          <w:noProof/>
          <w:lang w:eastAsia="en-GB"/>
        </w:rPr>
        <w:t xml:space="preserve"> trial</w:t>
      </w:r>
      <w:r>
        <w:rPr>
          <w:noProof/>
          <w:lang w:eastAsia="en-GB"/>
        </w:rPr>
        <w:t>s</w:t>
      </w:r>
      <w:r w:rsidR="00E10ADE">
        <w:rPr>
          <w:noProof/>
          <w:lang w:eastAsia="en-GB"/>
        </w:rPr>
        <w:t xml:space="preserve"> because t</w:t>
      </w:r>
      <w:r w:rsidR="00424278">
        <w:rPr>
          <w:noProof/>
          <w:lang w:eastAsia="en-GB"/>
        </w:rPr>
        <w:t>he c</w:t>
      </w:r>
      <w:r w:rsidR="006539F3">
        <w:rPr>
          <w:noProof/>
          <w:lang w:eastAsia="en-GB"/>
        </w:rPr>
        <w:t xml:space="preserve">osts for establishing and monitoring sites abroad </w:t>
      </w:r>
      <w:r>
        <w:rPr>
          <w:noProof/>
          <w:lang w:eastAsia="en-GB"/>
        </w:rPr>
        <w:t>are</w:t>
      </w:r>
      <w:r w:rsidR="006539F3">
        <w:rPr>
          <w:noProof/>
          <w:lang w:eastAsia="en-GB"/>
        </w:rPr>
        <w:t xml:space="preserve"> </w:t>
      </w:r>
      <w:r w:rsidR="00FA358C">
        <w:rPr>
          <w:noProof/>
          <w:lang w:eastAsia="en-GB"/>
        </w:rPr>
        <w:t>often</w:t>
      </w:r>
      <w:r w:rsidR="004F517F">
        <w:rPr>
          <w:noProof/>
          <w:lang w:eastAsia="en-GB"/>
        </w:rPr>
        <w:t xml:space="preserve"> </w:t>
      </w:r>
      <w:r w:rsidR="006539F3">
        <w:rPr>
          <w:noProof/>
          <w:lang w:eastAsia="en-GB"/>
        </w:rPr>
        <w:t xml:space="preserve">not covered by academic </w:t>
      </w:r>
      <w:r w:rsidR="007D0EE2">
        <w:rPr>
          <w:noProof/>
          <w:lang w:eastAsia="en-GB"/>
        </w:rPr>
        <w:t>trial-</w:t>
      </w:r>
      <w:r w:rsidR="006539F3">
        <w:rPr>
          <w:noProof/>
          <w:lang w:eastAsia="en-GB"/>
        </w:rPr>
        <w:t>grant</w:t>
      </w:r>
      <w:r w:rsidR="00424278">
        <w:rPr>
          <w:noProof/>
          <w:lang w:eastAsia="en-GB"/>
        </w:rPr>
        <w:t xml:space="preserve"> agreements</w:t>
      </w:r>
      <w:r w:rsidR="00E10ADE">
        <w:rPr>
          <w:noProof/>
          <w:lang w:eastAsia="en-GB"/>
        </w:rPr>
        <w:t>; s</w:t>
      </w:r>
      <w:r w:rsidR="00424278">
        <w:rPr>
          <w:noProof/>
          <w:lang w:eastAsia="en-GB"/>
        </w:rPr>
        <w:t xml:space="preserve">imilarly, extension of the recruitment period </w:t>
      </w:r>
      <w:r w:rsidR="00FA358C">
        <w:rPr>
          <w:noProof/>
          <w:lang w:eastAsia="en-GB"/>
        </w:rPr>
        <w:t>incurs</w:t>
      </w:r>
      <w:r w:rsidR="000110B0">
        <w:rPr>
          <w:noProof/>
          <w:lang w:eastAsia="en-GB"/>
        </w:rPr>
        <w:t xml:space="preserve"> additional </w:t>
      </w:r>
      <w:r w:rsidR="00FA358C">
        <w:rPr>
          <w:noProof/>
          <w:lang w:eastAsia="en-GB"/>
        </w:rPr>
        <w:t>staffing costs,</w:t>
      </w:r>
      <w:r w:rsidR="000110B0">
        <w:rPr>
          <w:noProof/>
          <w:lang w:eastAsia="en-GB"/>
        </w:rPr>
        <w:t xml:space="preserve"> and in the UK such costs are generally</w:t>
      </w:r>
      <w:r>
        <w:rPr>
          <w:noProof/>
          <w:lang w:eastAsia="en-GB"/>
        </w:rPr>
        <w:t xml:space="preserve"> </w:t>
      </w:r>
      <w:r w:rsidR="00FA358C">
        <w:rPr>
          <w:noProof/>
          <w:lang w:eastAsia="en-GB"/>
        </w:rPr>
        <w:t xml:space="preserve">not being </w:t>
      </w:r>
      <w:r w:rsidR="00424278">
        <w:rPr>
          <w:noProof/>
          <w:lang w:eastAsia="en-GB"/>
        </w:rPr>
        <w:t>covered</w:t>
      </w:r>
      <w:r w:rsidR="007128DE">
        <w:rPr>
          <w:noProof/>
          <w:lang w:eastAsia="en-GB"/>
        </w:rPr>
        <w:t xml:space="preserve"> by public research funding bodies.</w:t>
      </w:r>
      <w:r>
        <w:rPr>
          <w:noProof/>
          <w:lang w:eastAsia="en-GB"/>
        </w:rPr>
        <w:t xml:space="preserve"> </w:t>
      </w:r>
      <w:r w:rsidR="005323E0">
        <w:rPr>
          <w:noProof/>
          <w:lang w:eastAsia="en-GB"/>
        </w:rPr>
        <w:t xml:space="preserve">We made only minimal use of social media, and we did not use primary care databases, strategies which are increasingly employed in other studies. </w:t>
      </w:r>
    </w:p>
    <w:p w14:paraId="0C9832D7" w14:textId="11AD6AFA" w:rsidR="00D27E6B" w:rsidRDefault="00D27E6B">
      <w:pPr>
        <w:rPr>
          <w:noProof/>
          <w:lang w:eastAsia="en-GB"/>
        </w:rPr>
      </w:pPr>
      <w:r>
        <w:rPr>
          <w:noProof/>
          <w:lang w:eastAsia="en-GB"/>
        </w:rPr>
        <w:t xml:space="preserve">In summary, </w:t>
      </w:r>
      <w:r w:rsidR="006265DB">
        <w:rPr>
          <w:noProof/>
          <w:lang w:eastAsia="en-GB"/>
        </w:rPr>
        <w:t xml:space="preserve">we </w:t>
      </w:r>
      <w:bookmarkStart w:id="6" w:name="_Hlk13575516"/>
      <w:r w:rsidR="006265DB">
        <w:rPr>
          <w:noProof/>
          <w:lang w:eastAsia="en-GB"/>
        </w:rPr>
        <w:t xml:space="preserve">have presented 13 recruitment strategies and </w:t>
      </w:r>
      <w:r w:rsidR="007128DE">
        <w:rPr>
          <w:noProof/>
          <w:lang w:eastAsia="en-GB"/>
        </w:rPr>
        <w:t>6</w:t>
      </w:r>
      <w:r w:rsidR="006265DB">
        <w:rPr>
          <w:noProof/>
          <w:lang w:eastAsia="en-GB"/>
        </w:rPr>
        <w:t xml:space="preserve"> recruitment risks </w:t>
      </w:r>
      <w:r w:rsidR="007128DE">
        <w:rPr>
          <w:noProof/>
          <w:lang w:eastAsia="en-GB"/>
        </w:rPr>
        <w:t>identified from</w:t>
      </w:r>
      <w:r w:rsidR="006265DB">
        <w:rPr>
          <w:noProof/>
          <w:lang w:eastAsia="en-GB"/>
        </w:rPr>
        <w:t xml:space="preserve"> a successful randomised controlled trials in a rare chronic pain condition. It is hoped that </w:t>
      </w:r>
      <w:r w:rsidR="00E453B2">
        <w:rPr>
          <w:noProof/>
          <w:lang w:eastAsia="en-GB"/>
        </w:rPr>
        <w:t xml:space="preserve">the findings may contribute to supporting prospective investigators when they design such trials. </w:t>
      </w:r>
      <w:bookmarkEnd w:id="6"/>
    </w:p>
    <w:p w14:paraId="3173205F" w14:textId="58D85D2A" w:rsidR="00A34E66" w:rsidRPr="00A34E66" w:rsidRDefault="006539F3" w:rsidP="00A34E66">
      <w:pPr>
        <w:pStyle w:val="EndNoteBibliographyTitle"/>
        <w:rPr>
          <w:noProof/>
        </w:rPr>
      </w:pPr>
      <w:r>
        <w:rPr>
          <w:noProof/>
          <w:lang w:eastAsia="en-GB"/>
        </w:rPr>
        <w:t xml:space="preserve"> </w:t>
      </w:r>
      <w:r w:rsidR="002F4D0E">
        <w:fldChar w:fldCharType="begin"/>
      </w:r>
      <w:r w:rsidR="002F4D0E">
        <w:instrText xml:space="preserve"> ADDIN EN.REFLIST </w:instrText>
      </w:r>
      <w:r w:rsidR="002F4D0E">
        <w:fldChar w:fldCharType="separate"/>
      </w:r>
      <w:r w:rsidR="00F862BF">
        <w:rPr>
          <w:noProof/>
        </w:rPr>
        <w:t>References</w:t>
      </w:r>
    </w:p>
    <w:p w14:paraId="2BCEE5A5" w14:textId="77777777" w:rsidR="00A34E66" w:rsidRPr="00A34E66" w:rsidRDefault="00A34E66" w:rsidP="00A34E66">
      <w:pPr>
        <w:pStyle w:val="EndNoteBibliographyTitle"/>
        <w:rPr>
          <w:noProof/>
        </w:rPr>
      </w:pPr>
    </w:p>
    <w:p w14:paraId="21D1F7C0" w14:textId="77777777" w:rsidR="00A34E66" w:rsidRPr="00A34E66" w:rsidRDefault="00A34E66" w:rsidP="00A34E66">
      <w:pPr>
        <w:pStyle w:val="EndNoteBibliography"/>
        <w:spacing w:after="0"/>
        <w:rPr>
          <w:noProof/>
        </w:rPr>
      </w:pPr>
      <w:r w:rsidRPr="00A34E66">
        <w:rPr>
          <w:noProof/>
        </w:rPr>
        <w:t>1.</w:t>
      </w:r>
      <w:r w:rsidRPr="00A34E66">
        <w:rPr>
          <w:noProof/>
        </w:rPr>
        <w:tab/>
        <w:t>Dworkin RH, Turk DC, Peirce-Sandner S, et al. Research design considerations for confirmatory chronic pain clinical trials: IMMPACT recommendations. Pain 2010;149:177-93.</w:t>
      </w:r>
    </w:p>
    <w:p w14:paraId="7772F54B" w14:textId="77777777" w:rsidR="00A34E66" w:rsidRPr="00A34E66" w:rsidRDefault="00A34E66" w:rsidP="00A34E66">
      <w:pPr>
        <w:pStyle w:val="EndNoteBibliography"/>
        <w:spacing w:after="0"/>
        <w:rPr>
          <w:noProof/>
        </w:rPr>
      </w:pPr>
      <w:r w:rsidRPr="00A34E66">
        <w:rPr>
          <w:noProof/>
        </w:rPr>
        <w:t>2.</w:t>
      </w:r>
      <w:r w:rsidRPr="00A34E66">
        <w:rPr>
          <w:noProof/>
        </w:rPr>
        <w:tab/>
        <w:t>Treweek S, Lockhart P, Pitkethly M, et al. Methods to improve recruitment to randomised controlled trials: Cochrane systematic review and meta-analysis. BMJ Open 2013;3.</w:t>
      </w:r>
    </w:p>
    <w:p w14:paraId="382141E6" w14:textId="7F7B0C24" w:rsidR="00CB1A10" w:rsidRPr="00A34E66" w:rsidRDefault="00CB1A10" w:rsidP="00CB1A10">
      <w:pPr>
        <w:pStyle w:val="EndNoteBibliography"/>
        <w:spacing w:after="0"/>
        <w:rPr>
          <w:noProof/>
        </w:rPr>
      </w:pPr>
      <w:bookmarkStart w:id="7" w:name="_Hlk5933774"/>
      <w:r>
        <w:rPr>
          <w:noProof/>
        </w:rPr>
        <w:t>3</w:t>
      </w:r>
      <w:r w:rsidRPr="00A34E66">
        <w:rPr>
          <w:noProof/>
        </w:rPr>
        <w:t>.</w:t>
      </w:r>
      <w:r w:rsidRPr="00A34E66">
        <w:rPr>
          <w:noProof/>
        </w:rPr>
        <w:tab/>
        <w:t>Zakrzewska</w:t>
      </w:r>
      <w:bookmarkEnd w:id="7"/>
      <w:r w:rsidRPr="00A34E66">
        <w:rPr>
          <w:noProof/>
        </w:rPr>
        <w:t xml:space="preserve"> JM, Palmer J, Bendtsen L, et al. Challenges recruiting to a proof-of-concept pharmaceutical trial for a rare disease: the trigeminal neuralgia experience. Trials 2018;19:704.</w:t>
      </w:r>
    </w:p>
    <w:p w14:paraId="7FCFCB81" w14:textId="3A71C02E" w:rsidR="00A34E66" w:rsidRDefault="00CB1A10" w:rsidP="00A34E66">
      <w:pPr>
        <w:pStyle w:val="EndNoteBibliography"/>
        <w:spacing w:after="0"/>
        <w:rPr>
          <w:noProof/>
        </w:rPr>
      </w:pPr>
      <w:r>
        <w:rPr>
          <w:noProof/>
        </w:rPr>
        <w:t>4</w:t>
      </w:r>
      <w:r w:rsidR="00A34E66" w:rsidRPr="00A34E66">
        <w:rPr>
          <w:noProof/>
        </w:rPr>
        <w:t>.</w:t>
      </w:r>
      <w:r w:rsidR="00A34E66" w:rsidRPr="00A34E66">
        <w:rPr>
          <w:noProof/>
        </w:rPr>
        <w:tab/>
        <w:t>Gul RB, Ali PA. Clinical trials: the challenge of recruitment and retention of participants. J Clin Nurs 2010;19:227-33.</w:t>
      </w:r>
    </w:p>
    <w:p w14:paraId="6545A51A" w14:textId="7F29E687" w:rsidR="00EF7648" w:rsidRPr="00A34E66" w:rsidRDefault="00CB1A10" w:rsidP="00A34E66">
      <w:pPr>
        <w:pStyle w:val="EndNoteBibliography"/>
        <w:spacing w:after="0"/>
        <w:rPr>
          <w:noProof/>
        </w:rPr>
      </w:pPr>
      <w:r>
        <w:rPr>
          <w:noProof/>
        </w:rPr>
        <w:t>5</w:t>
      </w:r>
      <w:r w:rsidR="00EF7648">
        <w:rPr>
          <w:noProof/>
        </w:rPr>
        <w:t xml:space="preserve">. </w:t>
      </w:r>
      <w:r w:rsidR="00EF7648">
        <w:rPr>
          <w:noProof/>
        </w:rPr>
        <w:tab/>
      </w:r>
      <w:r w:rsidR="00265CA4">
        <w:rPr>
          <w:noProof/>
        </w:rPr>
        <w:t xml:space="preserve">Fisher L, Hessler D, Naranjo D, et al. </w:t>
      </w:r>
      <w:r w:rsidR="00265CA4" w:rsidRPr="00265CA4">
        <w:rPr>
          <w:noProof/>
        </w:rPr>
        <w:t>AASAP: A program to increase recruitment and retention in clinical trials</w:t>
      </w:r>
      <w:r w:rsidR="00265CA4">
        <w:rPr>
          <w:noProof/>
        </w:rPr>
        <w:t>. Patient Education and Counseling 2012; 86: 3 372-377.</w:t>
      </w:r>
    </w:p>
    <w:p w14:paraId="34037B4B" w14:textId="44175939" w:rsidR="00DF28C6" w:rsidRPr="00A34E66" w:rsidRDefault="00CB1A10" w:rsidP="00DF28C6">
      <w:pPr>
        <w:pStyle w:val="EndNoteBibliography"/>
        <w:spacing w:after="0"/>
        <w:rPr>
          <w:noProof/>
        </w:rPr>
      </w:pPr>
      <w:r>
        <w:rPr>
          <w:noProof/>
        </w:rPr>
        <w:t>6</w:t>
      </w:r>
      <w:r w:rsidR="00DF28C6">
        <w:rPr>
          <w:noProof/>
        </w:rPr>
        <w:t xml:space="preserve">. </w:t>
      </w:r>
      <w:r w:rsidR="00DF28C6">
        <w:rPr>
          <w:noProof/>
        </w:rPr>
        <w:tab/>
        <w:t>Huang GD, Bull C,  McKee KJ , et al.</w:t>
      </w:r>
      <w:r w:rsidR="00DF28C6" w:rsidRPr="004C3A92">
        <w:t xml:space="preserve"> </w:t>
      </w:r>
      <w:r w:rsidR="00DF28C6" w:rsidRPr="004C3A92">
        <w:rPr>
          <w:noProof/>
        </w:rPr>
        <w:t>Clinical trials recruitment planning: A proposed framework from the Clinical Trials Transformation Initiative</w:t>
      </w:r>
      <w:r w:rsidR="00DF28C6">
        <w:rPr>
          <w:noProof/>
        </w:rPr>
        <w:t>. Contemporary Clinical Trials 2018; 66: 74-79</w:t>
      </w:r>
    </w:p>
    <w:p w14:paraId="555108AA" w14:textId="2E8DB2E5" w:rsidR="00A34E66" w:rsidRDefault="00CB1A10" w:rsidP="00A34E66">
      <w:pPr>
        <w:pStyle w:val="EndNoteBibliography"/>
        <w:spacing w:after="0"/>
        <w:rPr>
          <w:noProof/>
        </w:rPr>
      </w:pPr>
      <w:r>
        <w:rPr>
          <w:noProof/>
        </w:rPr>
        <w:lastRenderedPageBreak/>
        <w:t>7</w:t>
      </w:r>
      <w:r w:rsidR="00A34E66" w:rsidRPr="00A34E66">
        <w:rPr>
          <w:noProof/>
        </w:rPr>
        <w:t>.</w:t>
      </w:r>
      <w:r w:rsidR="00A34E66" w:rsidRPr="00A34E66">
        <w:rPr>
          <w:noProof/>
        </w:rPr>
        <w:tab/>
        <w:t>Campbell MK, Snowdon C, Francis D, et al. Recruitment to randomised trials: strategies for trial enrollment and participation study. The STEPS study. Health Technol Assess 2007;11:iii, ix-105.</w:t>
      </w:r>
    </w:p>
    <w:p w14:paraId="450B7291" w14:textId="70AAFA45" w:rsidR="00A34E66" w:rsidRPr="00A34E66" w:rsidRDefault="008310F3" w:rsidP="00A34E66">
      <w:pPr>
        <w:pStyle w:val="EndNoteBibliography"/>
        <w:spacing w:after="0"/>
        <w:rPr>
          <w:noProof/>
        </w:rPr>
      </w:pPr>
      <w:r>
        <w:rPr>
          <w:noProof/>
        </w:rPr>
        <w:t>8</w:t>
      </w:r>
      <w:r w:rsidR="00A34E66" w:rsidRPr="00A34E66">
        <w:rPr>
          <w:noProof/>
        </w:rPr>
        <w:t>.</w:t>
      </w:r>
      <w:r w:rsidR="00A34E66" w:rsidRPr="00A34E66">
        <w:rPr>
          <w:noProof/>
        </w:rPr>
        <w:tab/>
        <w:t>Goebel A, Bisla J, Carganillo R, et al. Low-Dose Intravenous Immunoglobulin Treatment for Long-Standing Complex Regional Pain Syndrome: A Randomized Trial. Annals of internal medicine 2017;167:476-83.</w:t>
      </w:r>
    </w:p>
    <w:p w14:paraId="50FF91EA" w14:textId="70F0EAD8" w:rsidR="00A34E66" w:rsidRDefault="00EE63F1" w:rsidP="00A34E66">
      <w:pPr>
        <w:pStyle w:val="EndNoteBibliography"/>
        <w:spacing w:after="0"/>
        <w:rPr>
          <w:noProof/>
        </w:rPr>
      </w:pPr>
      <w:r>
        <w:rPr>
          <w:noProof/>
        </w:rPr>
        <w:t>9</w:t>
      </w:r>
      <w:r w:rsidR="00A34E66" w:rsidRPr="00A34E66">
        <w:rPr>
          <w:noProof/>
        </w:rPr>
        <w:t>.</w:t>
      </w:r>
      <w:r w:rsidR="00A34E66" w:rsidRPr="00A34E66">
        <w:rPr>
          <w:noProof/>
        </w:rPr>
        <w:tab/>
        <w:t>Harden RN, Bruehl S, Perez RS, et al. Validation of proposed diagnostic criteria (the "Budapest Criteria") for Complex Regional Pain Syndrome. Pain 2010/8;150:268-74.</w:t>
      </w:r>
    </w:p>
    <w:p w14:paraId="656E494B" w14:textId="0C4BA692" w:rsidR="00454C72" w:rsidRDefault="00454C72" w:rsidP="00A34E66">
      <w:pPr>
        <w:pStyle w:val="EndNoteBibliography"/>
        <w:spacing w:after="0"/>
        <w:rPr>
          <w:noProof/>
        </w:rPr>
      </w:pPr>
      <w:r>
        <w:rPr>
          <w:noProof/>
        </w:rPr>
        <w:t xml:space="preserve">10. </w:t>
      </w:r>
      <w:r>
        <w:rPr>
          <w:noProof/>
        </w:rPr>
        <w:tab/>
      </w:r>
      <w:r w:rsidR="00B640B6">
        <w:rPr>
          <w:noProof/>
        </w:rPr>
        <w:t>Scholz-Odermatt</w:t>
      </w:r>
      <w:r w:rsidR="000806F7">
        <w:rPr>
          <w:noProof/>
        </w:rPr>
        <w:t xml:space="preserve"> SM, Luthi F, </w:t>
      </w:r>
      <w:r w:rsidR="001B10A8">
        <w:rPr>
          <w:noProof/>
        </w:rPr>
        <w:t>Wertli MM, Brunner F</w:t>
      </w:r>
      <w:r w:rsidR="005F3E5B">
        <w:rPr>
          <w:noProof/>
        </w:rPr>
        <w:t>.</w:t>
      </w:r>
      <w:r w:rsidR="005F3E5B" w:rsidRPr="005F3E5B">
        <w:t xml:space="preserve"> </w:t>
      </w:r>
      <w:r w:rsidR="005F3E5B" w:rsidRPr="005F3E5B">
        <w:rPr>
          <w:noProof/>
        </w:rPr>
        <w:t>Direct Health Care Cost and Work Incapacity Related to Complex Regional Pain Syndrome in Switzerland: A Retrospective Analysis from 2008 to 2015</w:t>
      </w:r>
      <w:r w:rsidR="0039649D">
        <w:rPr>
          <w:noProof/>
        </w:rPr>
        <w:t xml:space="preserve">. </w:t>
      </w:r>
      <w:r w:rsidR="00E201D3" w:rsidRPr="00E201D3">
        <w:rPr>
          <w:noProof/>
        </w:rPr>
        <w:t>Pain Medicine</w:t>
      </w:r>
      <w:r w:rsidR="00E201D3">
        <w:rPr>
          <w:noProof/>
        </w:rPr>
        <w:t xml:space="preserve"> 2019</w:t>
      </w:r>
      <w:r w:rsidR="00E201D3" w:rsidRPr="00E201D3">
        <w:rPr>
          <w:noProof/>
        </w:rPr>
        <w:t>, 0(0), 2019, 1–11</w:t>
      </w:r>
      <w:r w:rsidR="0002590F">
        <w:rPr>
          <w:noProof/>
        </w:rPr>
        <w:t xml:space="preserve"> </w:t>
      </w:r>
      <w:r w:rsidR="005F3E5B">
        <w:rPr>
          <w:noProof/>
        </w:rPr>
        <w:t xml:space="preserve">  </w:t>
      </w:r>
    </w:p>
    <w:p w14:paraId="4D41EEF4" w14:textId="732B20DF" w:rsidR="00647833" w:rsidRPr="00A34E66" w:rsidRDefault="00647833" w:rsidP="00A34E66">
      <w:pPr>
        <w:pStyle w:val="EndNoteBibliography"/>
        <w:spacing w:after="0"/>
        <w:rPr>
          <w:noProof/>
        </w:rPr>
      </w:pPr>
      <w:r>
        <w:rPr>
          <w:noProof/>
        </w:rPr>
        <w:t xml:space="preserve">11. </w:t>
      </w:r>
      <w:r w:rsidR="00B234E1">
        <w:rPr>
          <w:noProof/>
        </w:rPr>
        <w:tab/>
        <w:t xml:space="preserve">Kemler MA, </w:t>
      </w:r>
      <w:r w:rsidR="00A01003">
        <w:rPr>
          <w:noProof/>
        </w:rPr>
        <w:t xml:space="preserve">de Vet HC. </w:t>
      </w:r>
      <w:r w:rsidR="00A01003" w:rsidRPr="00A01003">
        <w:rPr>
          <w:noProof/>
        </w:rPr>
        <w:t>Health-related quality of life in chronic refractory reflex sympathetic dystrophy (complex regional pain syndrome type I)</w:t>
      </w:r>
      <w:r w:rsidR="00A01003">
        <w:rPr>
          <w:noProof/>
        </w:rPr>
        <w:t xml:space="preserve">. </w:t>
      </w:r>
      <w:r w:rsidR="00A01003" w:rsidRPr="00A01003">
        <w:rPr>
          <w:noProof/>
          <w:lang w:val="en-GB"/>
        </w:rPr>
        <w:t>J Pain Symptom Manage. 2000 Jul;20(1):68-76.</w:t>
      </w:r>
    </w:p>
    <w:p w14:paraId="73CF39BB" w14:textId="11508773" w:rsidR="00D10D75" w:rsidRDefault="00D10D75" w:rsidP="00D10D75">
      <w:pPr>
        <w:pStyle w:val="EndNoteBibliography"/>
        <w:spacing w:after="0"/>
        <w:rPr>
          <w:noProof/>
        </w:rPr>
      </w:pPr>
      <w:r>
        <w:rPr>
          <w:noProof/>
        </w:rPr>
        <w:t>12</w:t>
      </w:r>
      <w:r w:rsidRPr="00A34E66">
        <w:rPr>
          <w:noProof/>
        </w:rPr>
        <w:t>.</w:t>
      </w:r>
      <w:r w:rsidRPr="00A34E66">
        <w:rPr>
          <w:noProof/>
        </w:rPr>
        <w:tab/>
        <w:t>Goebel A, Shenker N, Padfield N, et al. Low-dose intravenous immunoglobulin treatment for complex regional pain syndrome (LIPS): study protocol for a randomized controlled trial. Trials 2014;15:404.</w:t>
      </w:r>
    </w:p>
    <w:p w14:paraId="5968F96D" w14:textId="070272AC" w:rsidR="006B67EC" w:rsidRPr="00A34E66" w:rsidRDefault="006B67EC" w:rsidP="00B171E9">
      <w:pPr>
        <w:pStyle w:val="EndNoteBibliography"/>
        <w:spacing w:after="0"/>
        <w:rPr>
          <w:noProof/>
        </w:rPr>
      </w:pPr>
      <w:r>
        <w:rPr>
          <w:noProof/>
        </w:rPr>
        <w:t xml:space="preserve">13. </w:t>
      </w:r>
      <w:r w:rsidR="007D61C1">
        <w:rPr>
          <w:noProof/>
        </w:rPr>
        <w:tab/>
      </w:r>
      <w:r w:rsidR="007D61C1" w:rsidRPr="00A34E66">
        <w:rPr>
          <w:noProof/>
        </w:rPr>
        <w:t>Goebel A, Baranowski AP, Maurer K, Ghiai A, McCabe C, Ambler G. Intravenous Immunoglobulin Treatment of Complex Regional Pain Syndrome: A Randomized Trial. AnnInternMed 2010;152:152-8.</w:t>
      </w:r>
    </w:p>
    <w:p w14:paraId="447A275E" w14:textId="77777777" w:rsidR="00B171E9" w:rsidRDefault="00E97282" w:rsidP="00B171E9">
      <w:pPr>
        <w:pStyle w:val="EndNoteBibliography"/>
        <w:rPr>
          <w:b/>
          <w:bCs/>
          <w:noProof/>
          <w:lang w:val="en-GB"/>
        </w:rPr>
      </w:pPr>
      <w:r>
        <w:rPr>
          <w:noProof/>
        </w:rPr>
        <w:t>1</w:t>
      </w:r>
      <w:r w:rsidR="006B67EC">
        <w:rPr>
          <w:noProof/>
        </w:rPr>
        <w:t>4</w:t>
      </w:r>
      <w:r w:rsidRPr="00A34E66">
        <w:rPr>
          <w:noProof/>
        </w:rPr>
        <w:t>.</w:t>
      </w:r>
      <w:r w:rsidRPr="00A34E66">
        <w:rPr>
          <w:noProof/>
        </w:rPr>
        <w:tab/>
      </w:r>
      <w:r w:rsidR="002F0075">
        <w:rPr>
          <w:noProof/>
        </w:rPr>
        <w:t>Furnham A</w:t>
      </w:r>
      <w:r w:rsidR="003003DA">
        <w:rPr>
          <w:noProof/>
        </w:rPr>
        <w:t xml:space="preserve">. </w:t>
      </w:r>
      <w:r w:rsidR="003003DA" w:rsidRPr="0018429A">
        <w:rPr>
          <w:noProof/>
          <w:lang w:val="en-GB"/>
        </w:rPr>
        <w:t>Response bias, social desirability and dissimulation</w:t>
      </w:r>
      <w:r w:rsidR="00131A55" w:rsidRPr="0018429A">
        <w:rPr>
          <w:noProof/>
          <w:lang w:val="en-GB"/>
        </w:rPr>
        <w:t>. Personality and Individual Differences</w:t>
      </w:r>
      <w:r w:rsidR="00671701" w:rsidRPr="0018429A">
        <w:rPr>
          <w:noProof/>
          <w:lang w:val="en-GB"/>
        </w:rPr>
        <w:t xml:space="preserve"> 1986;7 385-400</w:t>
      </w:r>
      <w:r w:rsidR="00F04338" w:rsidRPr="0018429A">
        <w:rPr>
          <w:noProof/>
          <w:lang w:val="en-GB"/>
        </w:rPr>
        <w:t>.</w:t>
      </w:r>
    </w:p>
    <w:p w14:paraId="7AD9E48B" w14:textId="54C27E75" w:rsidR="00A34E66" w:rsidRPr="0018429A" w:rsidRDefault="00A34E66" w:rsidP="00B171E9">
      <w:pPr>
        <w:pStyle w:val="EndNoteBibliography"/>
        <w:rPr>
          <w:b/>
          <w:bCs/>
          <w:noProof/>
          <w:lang w:val="en-GB"/>
        </w:rPr>
      </w:pPr>
      <w:r w:rsidRPr="00A34E66">
        <w:rPr>
          <w:noProof/>
        </w:rPr>
        <w:t>1</w:t>
      </w:r>
      <w:r w:rsidR="006B67EC">
        <w:rPr>
          <w:noProof/>
        </w:rPr>
        <w:t>5</w:t>
      </w:r>
      <w:r w:rsidRPr="00A34E66">
        <w:rPr>
          <w:noProof/>
        </w:rPr>
        <w:t>.</w:t>
      </w:r>
      <w:r w:rsidRPr="00A34E66">
        <w:rPr>
          <w:noProof/>
        </w:rPr>
        <w:tab/>
        <w:t>Shenker N, Goebel A, Rockett M, et al. Establishing the characteristics for patients with chronic Complex Regional Pain Syndrome: the value of the CRPS-UK Registry. British journal of pain 2015;9:122-8.</w:t>
      </w:r>
    </w:p>
    <w:p w14:paraId="19A8D079" w14:textId="427DDBE9" w:rsidR="00A34E66" w:rsidRPr="00A34E66" w:rsidRDefault="00A34E66" w:rsidP="00B171E9">
      <w:pPr>
        <w:pStyle w:val="EndNoteBibliography"/>
        <w:rPr>
          <w:noProof/>
        </w:rPr>
      </w:pPr>
      <w:r w:rsidRPr="00A34E66">
        <w:rPr>
          <w:noProof/>
        </w:rPr>
        <w:t>1</w:t>
      </w:r>
      <w:r w:rsidR="006B67EC">
        <w:rPr>
          <w:noProof/>
        </w:rPr>
        <w:t>6</w:t>
      </w:r>
      <w:r w:rsidRPr="00A34E66">
        <w:rPr>
          <w:noProof/>
        </w:rPr>
        <w:t>.</w:t>
      </w:r>
      <w:r w:rsidRPr="00A34E66">
        <w:rPr>
          <w:noProof/>
        </w:rPr>
        <w:tab/>
        <w:t>Zakrzewska JM, Palmer J, Morisset V, et al. Safety and efficacy of a Nav1.7 selective sodium channel blocker in patients with trigeminal neuralgia: a double-blind, placebo-controlled, randomised withdrawal phase 2a trial. Lancet neurology 2017;16:291-300.</w:t>
      </w:r>
    </w:p>
    <w:p w14:paraId="570155BF" w14:textId="39029908" w:rsidR="00BF7CB4" w:rsidRDefault="002F4D0E">
      <w:r>
        <w:fldChar w:fldCharType="end"/>
      </w:r>
    </w:p>
    <w:sectPr w:rsidR="00BF7CB4" w:rsidSect="00541F0B">
      <w:footerReference w:type="even" r:id="rId38"/>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82229" w14:textId="77777777" w:rsidR="00E32857" w:rsidRDefault="00E32857" w:rsidP="00586F89">
      <w:pPr>
        <w:spacing w:after="0" w:line="240" w:lineRule="auto"/>
      </w:pPr>
      <w:r>
        <w:separator/>
      </w:r>
    </w:p>
  </w:endnote>
  <w:endnote w:type="continuationSeparator" w:id="0">
    <w:p w14:paraId="73E9F1A8" w14:textId="77777777" w:rsidR="00E32857" w:rsidRDefault="00E32857" w:rsidP="00586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9877479"/>
      <w:docPartObj>
        <w:docPartGallery w:val="Page Numbers (Bottom of Page)"/>
        <w:docPartUnique/>
      </w:docPartObj>
    </w:sdtPr>
    <w:sdtEndPr>
      <w:rPr>
        <w:rStyle w:val="PageNumber"/>
      </w:rPr>
    </w:sdtEndPr>
    <w:sdtContent>
      <w:p w14:paraId="14288AFA" w14:textId="2799E1E5" w:rsidR="009D3471" w:rsidRDefault="009D3471" w:rsidP="00C101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A77461" w14:textId="77777777" w:rsidR="009D3471" w:rsidRDefault="009D3471" w:rsidP="00586F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7040596"/>
      <w:docPartObj>
        <w:docPartGallery w:val="Page Numbers (Bottom of Page)"/>
        <w:docPartUnique/>
      </w:docPartObj>
    </w:sdtPr>
    <w:sdtEndPr>
      <w:rPr>
        <w:rStyle w:val="PageNumber"/>
      </w:rPr>
    </w:sdtEndPr>
    <w:sdtContent>
      <w:p w14:paraId="43B3F752" w14:textId="503C7BAC" w:rsidR="009D3471" w:rsidRDefault="009D3471" w:rsidP="00C101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12E0589B" w14:textId="77777777" w:rsidR="009D3471" w:rsidRDefault="009D3471" w:rsidP="00586F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0ED4E" w14:textId="77777777" w:rsidR="00E32857" w:rsidRDefault="00E32857" w:rsidP="00586F89">
      <w:pPr>
        <w:spacing w:after="0" w:line="240" w:lineRule="auto"/>
      </w:pPr>
      <w:r>
        <w:separator/>
      </w:r>
    </w:p>
  </w:footnote>
  <w:footnote w:type="continuationSeparator" w:id="0">
    <w:p w14:paraId="033814D8" w14:textId="77777777" w:rsidR="00E32857" w:rsidRDefault="00E32857" w:rsidP="00586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6E55"/>
    <w:multiLevelType w:val="hybridMultilevel"/>
    <w:tmpl w:val="C1765094"/>
    <w:lvl w:ilvl="0" w:tplc="18F488B4">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627304"/>
    <w:multiLevelType w:val="hybridMultilevel"/>
    <w:tmpl w:val="B614A4F4"/>
    <w:lvl w:ilvl="0" w:tplc="EB56F7D8">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322B8"/>
    <w:multiLevelType w:val="hybridMultilevel"/>
    <w:tmpl w:val="75F6D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B611A6"/>
    <w:multiLevelType w:val="hybridMultilevel"/>
    <w:tmpl w:val="9EA21EDC"/>
    <w:lvl w:ilvl="0" w:tplc="0DEA0D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C2927"/>
    <w:multiLevelType w:val="hybridMultilevel"/>
    <w:tmpl w:val="1CC4E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0956EA"/>
    <w:multiLevelType w:val="hybridMultilevel"/>
    <w:tmpl w:val="BC0A6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E47982"/>
    <w:multiLevelType w:val="hybridMultilevel"/>
    <w:tmpl w:val="D48C8734"/>
    <w:lvl w:ilvl="0" w:tplc="5296BB92">
      <w:start w:val="1"/>
      <w:numFmt w:val="lowerRoman"/>
      <w:lvlText w:val="%1)"/>
      <w:lvlJc w:val="left"/>
      <w:pPr>
        <w:ind w:left="760" w:hanging="720"/>
      </w:pPr>
      <w:rPr>
        <w:rFonts w:hint="default"/>
        <w:b/>
        <w:bCs/>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7" w15:restartNumberingAfterBreak="0">
    <w:nsid w:val="5D2A5A32"/>
    <w:multiLevelType w:val="hybridMultilevel"/>
    <w:tmpl w:val="8200D1D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9977D8"/>
    <w:multiLevelType w:val="hybridMultilevel"/>
    <w:tmpl w:val="D278F314"/>
    <w:lvl w:ilvl="0" w:tplc="05BA0C28">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9" w15:restartNumberingAfterBreak="0">
    <w:nsid w:val="6A2429C7"/>
    <w:multiLevelType w:val="hybridMultilevel"/>
    <w:tmpl w:val="39ACD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F250B4"/>
    <w:multiLevelType w:val="hybridMultilevel"/>
    <w:tmpl w:val="BE9AAE44"/>
    <w:lvl w:ilvl="0" w:tplc="8E2E0D4E">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071CAE"/>
    <w:multiLevelType w:val="hybridMultilevel"/>
    <w:tmpl w:val="3EACC4F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2D5FEF"/>
    <w:multiLevelType w:val="hybridMultilevel"/>
    <w:tmpl w:val="3B28BFD8"/>
    <w:lvl w:ilvl="0" w:tplc="1B2252B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E215E2"/>
    <w:multiLevelType w:val="hybridMultilevel"/>
    <w:tmpl w:val="17A8D2A4"/>
    <w:lvl w:ilvl="0" w:tplc="F7FAC7A8">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4"/>
  </w:num>
  <w:num w:numId="5">
    <w:abstractNumId w:val="8"/>
  </w:num>
  <w:num w:numId="6">
    <w:abstractNumId w:val="6"/>
  </w:num>
  <w:num w:numId="7">
    <w:abstractNumId w:val="11"/>
  </w:num>
  <w:num w:numId="8">
    <w:abstractNumId w:val="7"/>
  </w:num>
  <w:num w:numId="9">
    <w:abstractNumId w:val="3"/>
  </w:num>
  <w:num w:numId="10">
    <w:abstractNumId w:val="10"/>
  </w:num>
  <w:num w:numId="11">
    <w:abstractNumId w:val="13"/>
  </w:num>
  <w:num w:numId="12">
    <w:abstractNumId w:val="1"/>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Bibliography&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pdfwxw2q9v0a7esvvj5pd2gwd0rfp2a2zt5&quot;&gt;Pain V&lt;record-ids&gt;&lt;item&gt;404&lt;/item&gt;&lt;item&gt;459&lt;/item&gt;&lt;item&gt;1619&lt;/item&gt;&lt;item&gt;1836&lt;/item&gt;&lt;item&gt;1998&lt;/item&gt;&lt;item&gt;1999&lt;/item&gt;&lt;item&gt;2000&lt;/item&gt;&lt;item&gt;2006&lt;/item&gt;&lt;item&gt;2007&lt;/item&gt;&lt;item&gt;2008&lt;/item&gt;&lt;item&gt;2009&lt;/item&gt;&lt;/record-ids&gt;&lt;/item&gt;&lt;/Libraries&gt;"/>
  </w:docVars>
  <w:rsids>
    <w:rsidRoot w:val="00BF7CB4"/>
    <w:rsid w:val="00005979"/>
    <w:rsid w:val="000110B0"/>
    <w:rsid w:val="00017DB5"/>
    <w:rsid w:val="00023EE7"/>
    <w:rsid w:val="0002590F"/>
    <w:rsid w:val="0003016E"/>
    <w:rsid w:val="000321D7"/>
    <w:rsid w:val="000325A7"/>
    <w:rsid w:val="0003441B"/>
    <w:rsid w:val="000406FB"/>
    <w:rsid w:val="00041402"/>
    <w:rsid w:val="00041D2B"/>
    <w:rsid w:val="00042780"/>
    <w:rsid w:val="0004278E"/>
    <w:rsid w:val="00047827"/>
    <w:rsid w:val="00050581"/>
    <w:rsid w:val="00052E00"/>
    <w:rsid w:val="00053120"/>
    <w:rsid w:val="00064F03"/>
    <w:rsid w:val="000714F6"/>
    <w:rsid w:val="00072F05"/>
    <w:rsid w:val="00073B01"/>
    <w:rsid w:val="00074E80"/>
    <w:rsid w:val="000806F7"/>
    <w:rsid w:val="00080F69"/>
    <w:rsid w:val="00081536"/>
    <w:rsid w:val="00084156"/>
    <w:rsid w:val="000A0689"/>
    <w:rsid w:val="000A2277"/>
    <w:rsid w:val="000B7D81"/>
    <w:rsid w:val="000D359B"/>
    <w:rsid w:val="000E3CCD"/>
    <w:rsid w:val="000F37B0"/>
    <w:rsid w:val="000F6B83"/>
    <w:rsid w:val="00101D76"/>
    <w:rsid w:val="001025A6"/>
    <w:rsid w:val="00107024"/>
    <w:rsid w:val="001227A7"/>
    <w:rsid w:val="00122AD6"/>
    <w:rsid w:val="0012376B"/>
    <w:rsid w:val="00131A55"/>
    <w:rsid w:val="00134980"/>
    <w:rsid w:val="001414B4"/>
    <w:rsid w:val="00141AA6"/>
    <w:rsid w:val="00142B30"/>
    <w:rsid w:val="00147601"/>
    <w:rsid w:val="001479A1"/>
    <w:rsid w:val="00150ACC"/>
    <w:rsid w:val="00153369"/>
    <w:rsid w:val="0015382F"/>
    <w:rsid w:val="00182DC1"/>
    <w:rsid w:val="0018429A"/>
    <w:rsid w:val="001912D8"/>
    <w:rsid w:val="001B10A8"/>
    <w:rsid w:val="001B1A83"/>
    <w:rsid w:val="001B2143"/>
    <w:rsid w:val="001C6908"/>
    <w:rsid w:val="001D0C53"/>
    <w:rsid w:val="001D2635"/>
    <w:rsid w:val="001D6CE8"/>
    <w:rsid w:val="001E68BC"/>
    <w:rsid w:val="001E7CAF"/>
    <w:rsid w:val="001F227D"/>
    <w:rsid w:val="001F5DB2"/>
    <w:rsid w:val="002025A7"/>
    <w:rsid w:val="002041CD"/>
    <w:rsid w:val="0020740A"/>
    <w:rsid w:val="00211002"/>
    <w:rsid w:val="00223ED0"/>
    <w:rsid w:val="002247C3"/>
    <w:rsid w:val="00226A06"/>
    <w:rsid w:val="00231E30"/>
    <w:rsid w:val="0023418D"/>
    <w:rsid w:val="00234F58"/>
    <w:rsid w:val="002519CB"/>
    <w:rsid w:val="002578BD"/>
    <w:rsid w:val="00263A95"/>
    <w:rsid w:val="00265CA4"/>
    <w:rsid w:val="00267C1C"/>
    <w:rsid w:val="002705BF"/>
    <w:rsid w:val="00270C68"/>
    <w:rsid w:val="00272F57"/>
    <w:rsid w:val="00280354"/>
    <w:rsid w:val="00284D40"/>
    <w:rsid w:val="002903CA"/>
    <w:rsid w:val="00293A36"/>
    <w:rsid w:val="002A409A"/>
    <w:rsid w:val="002C0AE4"/>
    <w:rsid w:val="002C5492"/>
    <w:rsid w:val="002C66C8"/>
    <w:rsid w:val="002D4B52"/>
    <w:rsid w:val="002D7405"/>
    <w:rsid w:val="002E64BB"/>
    <w:rsid w:val="002F0075"/>
    <w:rsid w:val="002F3FC1"/>
    <w:rsid w:val="002F4CF4"/>
    <w:rsid w:val="002F4D0E"/>
    <w:rsid w:val="002F5783"/>
    <w:rsid w:val="003003DA"/>
    <w:rsid w:val="00303062"/>
    <w:rsid w:val="0030346E"/>
    <w:rsid w:val="00303CB1"/>
    <w:rsid w:val="003040D9"/>
    <w:rsid w:val="00310126"/>
    <w:rsid w:val="003128DD"/>
    <w:rsid w:val="0031685B"/>
    <w:rsid w:val="00316EF4"/>
    <w:rsid w:val="00320571"/>
    <w:rsid w:val="003251FA"/>
    <w:rsid w:val="00325D88"/>
    <w:rsid w:val="0032610E"/>
    <w:rsid w:val="0033450C"/>
    <w:rsid w:val="0033476C"/>
    <w:rsid w:val="003359C0"/>
    <w:rsid w:val="003513CF"/>
    <w:rsid w:val="00356A72"/>
    <w:rsid w:val="00361B6B"/>
    <w:rsid w:val="00364FEA"/>
    <w:rsid w:val="00373C8F"/>
    <w:rsid w:val="003750D6"/>
    <w:rsid w:val="00377D0B"/>
    <w:rsid w:val="00384EB2"/>
    <w:rsid w:val="00386958"/>
    <w:rsid w:val="003907E9"/>
    <w:rsid w:val="0039649D"/>
    <w:rsid w:val="003B3120"/>
    <w:rsid w:val="003B53FC"/>
    <w:rsid w:val="003B5C9D"/>
    <w:rsid w:val="003B64CD"/>
    <w:rsid w:val="003D52A1"/>
    <w:rsid w:val="003D79F9"/>
    <w:rsid w:val="003E0037"/>
    <w:rsid w:val="003E01A0"/>
    <w:rsid w:val="003E12EA"/>
    <w:rsid w:val="003E1F3C"/>
    <w:rsid w:val="003E2783"/>
    <w:rsid w:val="003E2CA5"/>
    <w:rsid w:val="003F1FF2"/>
    <w:rsid w:val="003F6DE4"/>
    <w:rsid w:val="004007FF"/>
    <w:rsid w:val="00400F6E"/>
    <w:rsid w:val="00404ADD"/>
    <w:rsid w:val="004064BB"/>
    <w:rsid w:val="00411B4A"/>
    <w:rsid w:val="004156B8"/>
    <w:rsid w:val="00417B10"/>
    <w:rsid w:val="0042075D"/>
    <w:rsid w:val="00424278"/>
    <w:rsid w:val="00427F47"/>
    <w:rsid w:val="00444D95"/>
    <w:rsid w:val="00453A7F"/>
    <w:rsid w:val="00454C72"/>
    <w:rsid w:val="00457EBA"/>
    <w:rsid w:val="00462115"/>
    <w:rsid w:val="0046266D"/>
    <w:rsid w:val="00470593"/>
    <w:rsid w:val="004715E6"/>
    <w:rsid w:val="004720AD"/>
    <w:rsid w:val="00475F77"/>
    <w:rsid w:val="0048351D"/>
    <w:rsid w:val="0048520D"/>
    <w:rsid w:val="00487B55"/>
    <w:rsid w:val="00492720"/>
    <w:rsid w:val="004A0A63"/>
    <w:rsid w:val="004A46E0"/>
    <w:rsid w:val="004B1DFF"/>
    <w:rsid w:val="004B3956"/>
    <w:rsid w:val="004B7222"/>
    <w:rsid w:val="004C3A92"/>
    <w:rsid w:val="004C7F48"/>
    <w:rsid w:val="004D03DB"/>
    <w:rsid w:val="004D244D"/>
    <w:rsid w:val="004D2821"/>
    <w:rsid w:val="004D4244"/>
    <w:rsid w:val="004D44F4"/>
    <w:rsid w:val="004E0917"/>
    <w:rsid w:val="004F4275"/>
    <w:rsid w:val="004F4863"/>
    <w:rsid w:val="004F517F"/>
    <w:rsid w:val="00523005"/>
    <w:rsid w:val="00524BEB"/>
    <w:rsid w:val="0052588C"/>
    <w:rsid w:val="00531320"/>
    <w:rsid w:val="005323E0"/>
    <w:rsid w:val="00540581"/>
    <w:rsid w:val="00541F0B"/>
    <w:rsid w:val="00555E3C"/>
    <w:rsid w:val="005571CD"/>
    <w:rsid w:val="0055771F"/>
    <w:rsid w:val="00557888"/>
    <w:rsid w:val="005615E8"/>
    <w:rsid w:val="00561736"/>
    <w:rsid w:val="0056507D"/>
    <w:rsid w:val="005669CD"/>
    <w:rsid w:val="00567FB1"/>
    <w:rsid w:val="005721B0"/>
    <w:rsid w:val="00577046"/>
    <w:rsid w:val="00586F89"/>
    <w:rsid w:val="005954DD"/>
    <w:rsid w:val="005A4AB2"/>
    <w:rsid w:val="005B374D"/>
    <w:rsid w:val="005B5838"/>
    <w:rsid w:val="005D2061"/>
    <w:rsid w:val="005D3156"/>
    <w:rsid w:val="005E1571"/>
    <w:rsid w:val="005F15A3"/>
    <w:rsid w:val="005F3E5B"/>
    <w:rsid w:val="005F456C"/>
    <w:rsid w:val="0060078F"/>
    <w:rsid w:val="00612244"/>
    <w:rsid w:val="00614F3C"/>
    <w:rsid w:val="00620FB0"/>
    <w:rsid w:val="00622D8A"/>
    <w:rsid w:val="00623B3D"/>
    <w:rsid w:val="00625FB4"/>
    <w:rsid w:val="006265DB"/>
    <w:rsid w:val="006278A3"/>
    <w:rsid w:val="00640DE9"/>
    <w:rsid w:val="00641E89"/>
    <w:rsid w:val="00647833"/>
    <w:rsid w:val="006514FB"/>
    <w:rsid w:val="006539F3"/>
    <w:rsid w:val="00665A28"/>
    <w:rsid w:val="00666439"/>
    <w:rsid w:val="00666556"/>
    <w:rsid w:val="00671674"/>
    <w:rsid w:val="00671701"/>
    <w:rsid w:val="006753CA"/>
    <w:rsid w:val="00677CF1"/>
    <w:rsid w:val="00683D49"/>
    <w:rsid w:val="0069105A"/>
    <w:rsid w:val="006A3E9B"/>
    <w:rsid w:val="006B05CC"/>
    <w:rsid w:val="006B67EC"/>
    <w:rsid w:val="006C207B"/>
    <w:rsid w:val="006C21B4"/>
    <w:rsid w:val="006D3F71"/>
    <w:rsid w:val="006D47CE"/>
    <w:rsid w:val="006D69B6"/>
    <w:rsid w:val="006E4DBC"/>
    <w:rsid w:val="006E5BC0"/>
    <w:rsid w:val="007001EB"/>
    <w:rsid w:val="00704A4D"/>
    <w:rsid w:val="0071165A"/>
    <w:rsid w:val="007128DE"/>
    <w:rsid w:val="0071319C"/>
    <w:rsid w:val="00714177"/>
    <w:rsid w:val="00716EEC"/>
    <w:rsid w:val="00725DDD"/>
    <w:rsid w:val="0072693D"/>
    <w:rsid w:val="00727225"/>
    <w:rsid w:val="00741FD5"/>
    <w:rsid w:val="00742586"/>
    <w:rsid w:val="00742B7D"/>
    <w:rsid w:val="00743772"/>
    <w:rsid w:val="00744928"/>
    <w:rsid w:val="00754A0B"/>
    <w:rsid w:val="0075526D"/>
    <w:rsid w:val="00756E11"/>
    <w:rsid w:val="007576AA"/>
    <w:rsid w:val="00757AC3"/>
    <w:rsid w:val="007877F3"/>
    <w:rsid w:val="00793A17"/>
    <w:rsid w:val="0079705E"/>
    <w:rsid w:val="007B68FA"/>
    <w:rsid w:val="007B6D57"/>
    <w:rsid w:val="007C52A8"/>
    <w:rsid w:val="007C70F9"/>
    <w:rsid w:val="007D079C"/>
    <w:rsid w:val="007D0EE2"/>
    <w:rsid w:val="007D563E"/>
    <w:rsid w:val="007D61C1"/>
    <w:rsid w:val="007D7F08"/>
    <w:rsid w:val="007E2E64"/>
    <w:rsid w:val="007F32AD"/>
    <w:rsid w:val="00801C85"/>
    <w:rsid w:val="008061C0"/>
    <w:rsid w:val="008215BD"/>
    <w:rsid w:val="00826261"/>
    <w:rsid w:val="008310F3"/>
    <w:rsid w:val="008336E5"/>
    <w:rsid w:val="00843F05"/>
    <w:rsid w:val="0085361A"/>
    <w:rsid w:val="00856582"/>
    <w:rsid w:val="00856A11"/>
    <w:rsid w:val="00856B24"/>
    <w:rsid w:val="00866BAB"/>
    <w:rsid w:val="008757B0"/>
    <w:rsid w:val="00877810"/>
    <w:rsid w:val="00881D6D"/>
    <w:rsid w:val="00883956"/>
    <w:rsid w:val="008A2BCA"/>
    <w:rsid w:val="008A7880"/>
    <w:rsid w:val="008B20B2"/>
    <w:rsid w:val="008B3EEF"/>
    <w:rsid w:val="008B728C"/>
    <w:rsid w:val="008C16DE"/>
    <w:rsid w:val="008C19EC"/>
    <w:rsid w:val="008D64D5"/>
    <w:rsid w:val="008F304F"/>
    <w:rsid w:val="008F438C"/>
    <w:rsid w:val="0090202E"/>
    <w:rsid w:val="00902731"/>
    <w:rsid w:val="009228AD"/>
    <w:rsid w:val="00927260"/>
    <w:rsid w:val="009319F9"/>
    <w:rsid w:val="00932971"/>
    <w:rsid w:val="00932C4C"/>
    <w:rsid w:val="009456B2"/>
    <w:rsid w:val="009528AF"/>
    <w:rsid w:val="009658F1"/>
    <w:rsid w:val="009707FF"/>
    <w:rsid w:val="00973285"/>
    <w:rsid w:val="009810AF"/>
    <w:rsid w:val="00982747"/>
    <w:rsid w:val="00984033"/>
    <w:rsid w:val="00985396"/>
    <w:rsid w:val="0099692F"/>
    <w:rsid w:val="00996DD9"/>
    <w:rsid w:val="009A0E77"/>
    <w:rsid w:val="009B0112"/>
    <w:rsid w:val="009C2410"/>
    <w:rsid w:val="009C5178"/>
    <w:rsid w:val="009C7722"/>
    <w:rsid w:val="009D3471"/>
    <w:rsid w:val="009D4D06"/>
    <w:rsid w:val="009E0D2E"/>
    <w:rsid w:val="009E0D78"/>
    <w:rsid w:val="009E21DE"/>
    <w:rsid w:val="009E4CD9"/>
    <w:rsid w:val="009E7846"/>
    <w:rsid w:val="009F1D4E"/>
    <w:rsid w:val="00A01003"/>
    <w:rsid w:val="00A03C43"/>
    <w:rsid w:val="00A103E0"/>
    <w:rsid w:val="00A24AC0"/>
    <w:rsid w:val="00A30723"/>
    <w:rsid w:val="00A34E66"/>
    <w:rsid w:val="00A41854"/>
    <w:rsid w:val="00A43A58"/>
    <w:rsid w:val="00A4431D"/>
    <w:rsid w:val="00A507C6"/>
    <w:rsid w:val="00A53C60"/>
    <w:rsid w:val="00A56BA4"/>
    <w:rsid w:val="00A56C58"/>
    <w:rsid w:val="00A57CB8"/>
    <w:rsid w:val="00A60AB5"/>
    <w:rsid w:val="00A63562"/>
    <w:rsid w:val="00A635CF"/>
    <w:rsid w:val="00A640F4"/>
    <w:rsid w:val="00A64880"/>
    <w:rsid w:val="00A74094"/>
    <w:rsid w:val="00A76529"/>
    <w:rsid w:val="00A77A98"/>
    <w:rsid w:val="00A8367D"/>
    <w:rsid w:val="00A84EDB"/>
    <w:rsid w:val="00A909EF"/>
    <w:rsid w:val="00A940B2"/>
    <w:rsid w:val="00AB2E44"/>
    <w:rsid w:val="00AB6DCD"/>
    <w:rsid w:val="00AC326E"/>
    <w:rsid w:val="00AD24F2"/>
    <w:rsid w:val="00AE0A5E"/>
    <w:rsid w:val="00AE10CB"/>
    <w:rsid w:val="00AF0415"/>
    <w:rsid w:val="00B02386"/>
    <w:rsid w:val="00B171E9"/>
    <w:rsid w:val="00B175F5"/>
    <w:rsid w:val="00B234E1"/>
    <w:rsid w:val="00B272F0"/>
    <w:rsid w:val="00B27C4B"/>
    <w:rsid w:val="00B3015E"/>
    <w:rsid w:val="00B302FD"/>
    <w:rsid w:val="00B35B66"/>
    <w:rsid w:val="00B403ED"/>
    <w:rsid w:val="00B46F89"/>
    <w:rsid w:val="00B505A5"/>
    <w:rsid w:val="00B530F8"/>
    <w:rsid w:val="00B56FA8"/>
    <w:rsid w:val="00B62F4D"/>
    <w:rsid w:val="00B640B6"/>
    <w:rsid w:val="00B74EAF"/>
    <w:rsid w:val="00B76293"/>
    <w:rsid w:val="00B769FF"/>
    <w:rsid w:val="00B77494"/>
    <w:rsid w:val="00B83402"/>
    <w:rsid w:val="00B87776"/>
    <w:rsid w:val="00B9191F"/>
    <w:rsid w:val="00B95200"/>
    <w:rsid w:val="00BB2EAF"/>
    <w:rsid w:val="00BB4812"/>
    <w:rsid w:val="00BB48FC"/>
    <w:rsid w:val="00BB575A"/>
    <w:rsid w:val="00BC6B44"/>
    <w:rsid w:val="00BE52F0"/>
    <w:rsid w:val="00BF05D3"/>
    <w:rsid w:val="00BF4973"/>
    <w:rsid w:val="00BF54B3"/>
    <w:rsid w:val="00BF7563"/>
    <w:rsid w:val="00BF7CB4"/>
    <w:rsid w:val="00C101D4"/>
    <w:rsid w:val="00C13715"/>
    <w:rsid w:val="00C14573"/>
    <w:rsid w:val="00C22E53"/>
    <w:rsid w:val="00C23C50"/>
    <w:rsid w:val="00C301C8"/>
    <w:rsid w:val="00C35288"/>
    <w:rsid w:val="00C35E02"/>
    <w:rsid w:val="00C41860"/>
    <w:rsid w:val="00C42B0A"/>
    <w:rsid w:val="00C47F96"/>
    <w:rsid w:val="00C50A46"/>
    <w:rsid w:val="00C629A8"/>
    <w:rsid w:val="00C63E03"/>
    <w:rsid w:val="00C752B5"/>
    <w:rsid w:val="00C75FDA"/>
    <w:rsid w:val="00C77519"/>
    <w:rsid w:val="00C77FA3"/>
    <w:rsid w:val="00C82E86"/>
    <w:rsid w:val="00C85FA9"/>
    <w:rsid w:val="00C86575"/>
    <w:rsid w:val="00C93AC8"/>
    <w:rsid w:val="00C979EF"/>
    <w:rsid w:val="00CA6A60"/>
    <w:rsid w:val="00CA733D"/>
    <w:rsid w:val="00CB04AC"/>
    <w:rsid w:val="00CB0C11"/>
    <w:rsid w:val="00CB1A10"/>
    <w:rsid w:val="00CB2163"/>
    <w:rsid w:val="00CB33BD"/>
    <w:rsid w:val="00CC1822"/>
    <w:rsid w:val="00CC6BB4"/>
    <w:rsid w:val="00CD40A2"/>
    <w:rsid w:val="00CE2C76"/>
    <w:rsid w:val="00CE48C2"/>
    <w:rsid w:val="00CF304B"/>
    <w:rsid w:val="00CF4F2B"/>
    <w:rsid w:val="00CF5C65"/>
    <w:rsid w:val="00D024B1"/>
    <w:rsid w:val="00D057DB"/>
    <w:rsid w:val="00D061CA"/>
    <w:rsid w:val="00D0654C"/>
    <w:rsid w:val="00D10D75"/>
    <w:rsid w:val="00D14F74"/>
    <w:rsid w:val="00D15034"/>
    <w:rsid w:val="00D21619"/>
    <w:rsid w:val="00D27AB1"/>
    <w:rsid w:val="00D27BA9"/>
    <w:rsid w:val="00D27E6B"/>
    <w:rsid w:val="00D30BE0"/>
    <w:rsid w:val="00D373A7"/>
    <w:rsid w:val="00D40CB4"/>
    <w:rsid w:val="00D43BD3"/>
    <w:rsid w:val="00D5658D"/>
    <w:rsid w:val="00D60847"/>
    <w:rsid w:val="00D60EB8"/>
    <w:rsid w:val="00D61A9F"/>
    <w:rsid w:val="00D63581"/>
    <w:rsid w:val="00D70901"/>
    <w:rsid w:val="00D750D0"/>
    <w:rsid w:val="00D8025E"/>
    <w:rsid w:val="00D84625"/>
    <w:rsid w:val="00D852A6"/>
    <w:rsid w:val="00D917B6"/>
    <w:rsid w:val="00D91897"/>
    <w:rsid w:val="00D92269"/>
    <w:rsid w:val="00D94365"/>
    <w:rsid w:val="00D96A8E"/>
    <w:rsid w:val="00D97AC2"/>
    <w:rsid w:val="00DA163D"/>
    <w:rsid w:val="00DA7166"/>
    <w:rsid w:val="00DB48EF"/>
    <w:rsid w:val="00DB51DD"/>
    <w:rsid w:val="00DC0392"/>
    <w:rsid w:val="00DC1C19"/>
    <w:rsid w:val="00DC27F6"/>
    <w:rsid w:val="00DC4306"/>
    <w:rsid w:val="00DC56D4"/>
    <w:rsid w:val="00DC733A"/>
    <w:rsid w:val="00DD4B02"/>
    <w:rsid w:val="00DE02CD"/>
    <w:rsid w:val="00DF0A92"/>
    <w:rsid w:val="00DF28C6"/>
    <w:rsid w:val="00E05C71"/>
    <w:rsid w:val="00E10ADE"/>
    <w:rsid w:val="00E1318C"/>
    <w:rsid w:val="00E201D3"/>
    <w:rsid w:val="00E22D76"/>
    <w:rsid w:val="00E24AAE"/>
    <w:rsid w:val="00E26ED5"/>
    <w:rsid w:val="00E32857"/>
    <w:rsid w:val="00E35F66"/>
    <w:rsid w:val="00E4169A"/>
    <w:rsid w:val="00E453B2"/>
    <w:rsid w:val="00E467FF"/>
    <w:rsid w:val="00E70BFC"/>
    <w:rsid w:val="00E72ED4"/>
    <w:rsid w:val="00E73AAD"/>
    <w:rsid w:val="00E73ABB"/>
    <w:rsid w:val="00E823FF"/>
    <w:rsid w:val="00E86B6B"/>
    <w:rsid w:val="00E913D8"/>
    <w:rsid w:val="00E93A7C"/>
    <w:rsid w:val="00E93E40"/>
    <w:rsid w:val="00E9503A"/>
    <w:rsid w:val="00E97282"/>
    <w:rsid w:val="00EA24C9"/>
    <w:rsid w:val="00EA3B4D"/>
    <w:rsid w:val="00EC44C6"/>
    <w:rsid w:val="00EC5814"/>
    <w:rsid w:val="00EC6BA5"/>
    <w:rsid w:val="00ED1B01"/>
    <w:rsid w:val="00ED245D"/>
    <w:rsid w:val="00EE5A60"/>
    <w:rsid w:val="00EE63F1"/>
    <w:rsid w:val="00EE6464"/>
    <w:rsid w:val="00EF6C7B"/>
    <w:rsid w:val="00EF7648"/>
    <w:rsid w:val="00F04338"/>
    <w:rsid w:val="00F05527"/>
    <w:rsid w:val="00F07983"/>
    <w:rsid w:val="00F10161"/>
    <w:rsid w:val="00F10770"/>
    <w:rsid w:val="00F11535"/>
    <w:rsid w:val="00F23839"/>
    <w:rsid w:val="00F23DC4"/>
    <w:rsid w:val="00F500C8"/>
    <w:rsid w:val="00F57029"/>
    <w:rsid w:val="00F62381"/>
    <w:rsid w:val="00F62ACC"/>
    <w:rsid w:val="00F634A7"/>
    <w:rsid w:val="00F64A0A"/>
    <w:rsid w:val="00F64FC0"/>
    <w:rsid w:val="00F74757"/>
    <w:rsid w:val="00F76783"/>
    <w:rsid w:val="00F76C30"/>
    <w:rsid w:val="00F770E1"/>
    <w:rsid w:val="00F778BA"/>
    <w:rsid w:val="00F862BF"/>
    <w:rsid w:val="00F8695D"/>
    <w:rsid w:val="00F93C72"/>
    <w:rsid w:val="00F94BC7"/>
    <w:rsid w:val="00F966CB"/>
    <w:rsid w:val="00FA0006"/>
    <w:rsid w:val="00FA358C"/>
    <w:rsid w:val="00FA5ADD"/>
    <w:rsid w:val="00FA71FF"/>
    <w:rsid w:val="00FB1951"/>
    <w:rsid w:val="00FB2471"/>
    <w:rsid w:val="00FC1EB2"/>
    <w:rsid w:val="00FD1CAA"/>
    <w:rsid w:val="00FD1F37"/>
    <w:rsid w:val="00FD54B3"/>
    <w:rsid w:val="00FE4032"/>
    <w:rsid w:val="00FE4E8B"/>
    <w:rsid w:val="00FE5A5F"/>
    <w:rsid w:val="00FF1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78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7166"/>
  </w:style>
  <w:style w:type="paragraph" w:styleId="Heading1">
    <w:name w:val="heading 1"/>
    <w:basedOn w:val="Normal"/>
    <w:next w:val="Normal"/>
    <w:link w:val="Heading1Char"/>
    <w:uiPriority w:val="9"/>
    <w:qFormat/>
    <w:rsid w:val="003003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CB4"/>
    <w:rPr>
      <w:rFonts w:ascii="Tahoma" w:hAnsi="Tahoma" w:cs="Tahoma"/>
      <w:sz w:val="16"/>
      <w:szCs w:val="16"/>
    </w:rPr>
  </w:style>
  <w:style w:type="character" w:styleId="Hyperlink">
    <w:name w:val="Hyperlink"/>
    <w:basedOn w:val="DefaultParagraphFont"/>
    <w:uiPriority w:val="99"/>
    <w:unhideWhenUsed/>
    <w:rsid w:val="00C23C50"/>
    <w:rPr>
      <w:color w:val="0000FF" w:themeColor="hyperlink"/>
      <w:u w:val="single"/>
    </w:rPr>
  </w:style>
  <w:style w:type="paragraph" w:styleId="ListParagraph">
    <w:name w:val="List Paragraph"/>
    <w:basedOn w:val="Normal"/>
    <w:uiPriority w:val="34"/>
    <w:qFormat/>
    <w:rsid w:val="0055771F"/>
    <w:pPr>
      <w:ind w:left="720"/>
      <w:contextualSpacing/>
    </w:pPr>
  </w:style>
  <w:style w:type="table" w:customStyle="1" w:styleId="TableGrid1">
    <w:name w:val="Table Grid1"/>
    <w:basedOn w:val="TableNormal"/>
    <w:next w:val="TableGrid"/>
    <w:uiPriority w:val="39"/>
    <w:rsid w:val="000F3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F3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05BF"/>
    <w:rPr>
      <w:sz w:val="18"/>
      <w:szCs w:val="18"/>
    </w:rPr>
  </w:style>
  <w:style w:type="paragraph" w:styleId="CommentText">
    <w:name w:val="annotation text"/>
    <w:basedOn w:val="Normal"/>
    <w:link w:val="CommentTextChar"/>
    <w:uiPriority w:val="99"/>
    <w:semiHidden/>
    <w:unhideWhenUsed/>
    <w:rsid w:val="002705BF"/>
    <w:pPr>
      <w:spacing w:line="240" w:lineRule="auto"/>
    </w:pPr>
    <w:rPr>
      <w:sz w:val="24"/>
      <w:szCs w:val="24"/>
    </w:rPr>
  </w:style>
  <w:style w:type="character" w:customStyle="1" w:styleId="CommentTextChar">
    <w:name w:val="Comment Text Char"/>
    <w:basedOn w:val="DefaultParagraphFont"/>
    <w:link w:val="CommentText"/>
    <w:uiPriority w:val="99"/>
    <w:semiHidden/>
    <w:rsid w:val="002705BF"/>
    <w:rPr>
      <w:sz w:val="24"/>
      <w:szCs w:val="24"/>
    </w:rPr>
  </w:style>
  <w:style w:type="paragraph" w:styleId="CommentSubject">
    <w:name w:val="annotation subject"/>
    <w:basedOn w:val="CommentText"/>
    <w:next w:val="CommentText"/>
    <w:link w:val="CommentSubjectChar"/>
    <w:uiPriority w:val="99"/>
    <w:semiHidden/>
    <w:unhideWhenUsed/>
    <w:rsid w:val="002705BF"/>
    <w:rPr>
      <w:b/>
      <w:bCs/>
      <w:sz w:val="20"/>
      <w:szCs w:val="20"/>
    </w:rPr>
  </w:style>
  <w:style w:type="character" w:customStyle="1" w:styleId="CommentSubjectChar">
    <w:name w:val="Comment Subject Char"/>
    <w:basedOn w:val="CommentTextChar"/>
    <w:link w:val="CommentSubject"/>
    <w:uiPriority w:val="99"/>
    <w:semiHidden/>
    <w:rsid w:val="002705BF"/>
    <w:rPr>
      <w:b/>
      <w:bCs/>
      <w:sz w:val="20"/>
      <w:szCs w:val="20"/>
    </w:rPr>
  </w:style>
  <w:style w:type="paragraph" w:customStyle="1" w:styleId="EndNoteBibliographyTitle">
    <w:name w:val="EndNote Bibliography Title"/>
    <w:basedOn w:val="Normal"/>
    <w:link w:val="EndNoteBibliographyTitleChar"/>
    <w:rsid w:val="002F4D0E"/>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2F4D0E"/>
    <w:rPr>
      <w:rFonts w:ascii="Calibri" w:hAnsi="Calibri" w:cs="Calibri"/>
      <w:lang w:val="en-US"/>
    </w:rPr>
  </w:style>
  <w:style w:type="paragraph" w:customStyle="1" w:styleId="EndNoteBibliography">
    <w:name w:val="EndNote Bibliography"/>
    <w:basedOn w:val="Normal"/>
    <w:link w:val="EndNoteBibliographyChar"/>
    <w:rsid w:val="002F4D0E"/>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2F4D0E"/>
    <w:rPr>
      <w:rFonts w:ascii="Calibri" w:hAnsi="Calibri" w:cs="Calibri"/>
      <w:lang w:val="en-US"/>
    </w:rPr>
  </w:style>
  <w:style w:type="paragraph" w:customStyle="1" w:styleId="Default">
    <w:name w:val="Default"/>
    <w:rsid w:val="00CF304B"/>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rsid w:val="00CF4F2B"/>
    <w:rPr>
      <w:color w:val="605E5C"/>
      <w:shd w:val="clear" w:color="auto" w:fill="E1DFDD"/>
    </w:rPr>
  </w:style>
  <w:style w:type="paragraph" w:styleId="Footer">
    <w:name w:val="footer"/>
    <w:basedOn w:val="Normal"/>
    <w:link w:val="FooterChar"/>
    <w:uiPriority w:val="99"/>
    <w:unhideWhenUsed/>
    <w:rsid w:val="00586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F89"/>
  </w:style>
  <w:style w:type="character" w:styleId="PageNumber">
    <w:name w:val="page number"/>
    <w:basedOn w:val="DefaultParagraphFont"/>
    <w:uiPriority w:val="99"/>
    <w:semiHidden/>
    <w:unhideWhenUsed/>
    <w:rsid w:val="00586F89"/>
  </w:style>
  <w:style w:type="paragraph" w:styleId="EndnoteText">
    <w:name w:val="endnote text"/>
    <w:basedOn w:val="Normal"/>
    <w:link w:val="EndnoteTextChar"/>
    <w:uiPriority w:val="99"/>
    <w:semiHidden/>
    <w:unhideWhenUsed/>
    <w:rsid w:val="00A84E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4EDB"/>
    <w:rPr>
      <w:sz w:val="20"/>
      <w:szCs w:val="20"/>
    </w:rPr>
  </w:style>
  <w:style w:type="character" w:styleId="EndnoteReference">
    <w:name w:val="endnote reference"/>
    <w:basedOn w:val="DefaultParagraphFont"/>
    <w:uiPriority w:val="99"/>
    <w:semiHidden/>
    <w:unhideWhenUsed/>
    <w:rsid w:val="00A84EDB"/>
    <w:rPr>
      <w:vertAlign w:val="superscript"/>
    </w:rPr>
  </w:style>
  <w:style w:type="character" w:styleId="UnresolvedMention">
    <w:name w:val="Unresolved Mention"/>
    <w:basedOn w:val="DefaultParagraphFont"/>
    <w:uiPriority w:val="99"/>
    <w:semiHidden/>
    <w:unhideWhenUsed/>
    <w:rsid w:val="00B76293"/>
    <w:rPr>
      <w:color w:val="605E5C"/>
      <w:shd w:val="clear" w:color="auto" w:fill="E1DFDD"/>
    </w:rPr>
  </w:style>
  <w:style w:type="paragraph" w:styleId="Header">
    <w:name w:val="header"/>
    <w:basedOn w:val="Normal"/>
    <w:link w:val="HeaderChar"/>
    <w:uiPriority w:val="99"/>
    <w:unhideWhenUsed/>
    <w:rsid w:val="00C22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E53"/>
  </w:style>
  <w:style w:type="character" w:styleId="FollowedHyperlink">
    <w:name w:val="FollowedHyperlink"/>
    <w:basedOn w:val="DefaultParagraphFont"/>
    <w:uiPriority w:val="99"/>
    <w:semiHidden/>
    <w:unhideWhenUsed/>
    <w:rsid w:val="00263A95"/>
    <w:rPr>
      <w:color w:val="800080" w:themeColor="followedHyperlink"/>
      <w:u w:val="single"/>
    </w:rPr>
  </w:style>
  <w:style w:type="character" w:customStyle="1" w:styleId="Heading1Char">
    <w:name w:val="Heading 1 Char"/>
    <w:basedOn w:val="DefaultParagraphFont"/>
    <w:link w:val="Heading1"/>
    <w:uiPriority w:val="9"/>
    <w:rsid w:val="003003DA"/>
    <w:rPr>
      <w:rFonts w:asciiTheme="majorHAnsi" w:eastAsiaTheme="majorEastAsia" w:hAnsiTheme="majorHAnsi" w:cstheme="majorBidi"/>
      <w:color w:val="365F91" w:themeColor="accent1" w:themeShade="BF"/>
      <w:sz w:val="32"/>
      <w:szCs w:val="32"/>
    </w:rPr>
  </w:style>
  <w:style w:type="character" w:styleId="LineNumber">
    <w:name w:val="line number"/>
    <w:basedOn w:val="DefaultParagraphFont"/>
    <w:uiPriority w:val="99"/>
    <w:semiHidden/>
    <w:unhideWhenUsed/>
    <w:rsid w:val="00541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90427">
      <w:bodyDiv w:val="1"/>
      <w:marLeft w:val="0"/>
      <w:marRight w:val="0"/>
      <w:marTop w:val="0"/>
      <w:marBottom w:val="0"/>
      <w:divBdr>
        <w:top w:val="none" w:sz="0" w:space="0" w:color="auto"/>
        <w:left w:val="none" w:sz="0" w:space="0" w:color="auto"/>
        <w:bottom w:val="none" w:sz="0" w:space="0" w:color="auto"/>
        <w:right w:val="none" w:sz="0" w:space="0" w:color="auto"/>
      </w:divBdr>
    </w:div>
    <w:div w:id="295334556">
      <w:bodyDiv w:val="1"/>
      <w:marLeft w:val="0"/>
      <w:marRight w:val="0"/>
      <w:marTop w:val="0"/>
      <w:marBottom w:val="0"/>
      <w:divBdr>
        <w:top w:val="none" w:sz="0" w:space="0" w:color="auto"/>
        <w:left w:val="none" w:sz="0" w:space="0" w:color="auto"/>
        <w:bottom w:val="none" w:sz="0" w:space="0" w:color="auto"/>
        <w:right w:val="none" w:sz="0" w:space="0" w:color="auto"/>
      </w:divBdr>
    </w:div>
    <w:div w:id="434592413">
      <w:bodyDiv w:val="1"/>
      <w:marLeft w:val="0"/>
      <w:marRight w:val="0"/>
      <w:marTop w:val="0"/>
      <w:marBottom w:val="0"/>
      <w:divBdr>
        <w:top w:val="none" w:sz="0" w:space="0" w:color="auto"/>
        <w:left w:val="none" w:sz="0" w:space="0" w:color="auto"/>
        <w:bottom w:val="none" w:sz="0" w:space="0" w:color="auto"/>
        <w:right w:val="none" w:sz="0" w:space="0" w:color="auto"/>
      </w:divBdr>
    </w:div>
    <w:div w:id="555160706">
      <w:bodyDiv w:val="1"/>
      <w:marLeft w:val="0"/>
      <w:marRight w:val="0"/>
      <w:marTop w:val="0"/>
      <w:marBottom w:val="0"/>
      <w:divBdr>
        <w:top w:val="none" w:sz="0" w:space="0" w:color="auto"/>
        <w:left w:val="none" w:sz="0" w:space="0" w:color="auto"/>
        <w:bottom w:val="none" w:sz="0" w:space="0" w:color="auto"/>
        <w:right w:val="none" w:sz="0" w:space="0" w:color="auto"/>
      </w:divBdr>
    </w:div>
    <w:div w:id="755248217">
      <w:bodyDiv w:val="1"/>
      <w:marLeft w:val="0"/>
      <w:marRight w:val="0"/>
      <w:marTop w:val="0"/>
      <w:marBottom w:val="0"/>
      <w:divBdr>
        <w:top w:val="none" w:sz="0" w:space="0" w:color="auto"/>
        <w:left w:val="none" w:sz="0" w:space="0" w:color="auto"/>
        <w:bottom w:val="none" w:sz="0" w:space="0" w:color="auto"/>
        <w:right w:val="none" w:sz="0" w:space="0" w:color="auto"/>
      </w:divBdr>
    </w:div>
    <w:div w:id="758525427">
      <w:bodyDiv w:val="1"/>
      <w:marLeft w:val="0"/>
      <w:marRight w:val="0"/>
      <w:marTop w:val="0"/>
      <w:marBottom w:val="0"/>
      <w:divBdr>
        <w:top w:val="none" w:sz="0" w:space="0" w:color="auto"/>
        <w:left w:val="none" w:sz="0" w:space="0" w:color="auto"/>
        <w:bottom w:val="none" w:sz="0" w:space="0" w:color="auto"/>
        <w:right w:val="none" w:sz="0" w:space="0" w:color="auto"/>
      </w:divBdr>
    </w:div>
    <w:div w:id="900336700">
      <w:bodyDiv w:val="1"/>
      <w:marLeft w:val="0"/>
      <w:marRight w:val="0"/>
      <w:marTop w:val="0"/>
      <w:marBottom w:val="0"/>
      <w:divBdr>
        <w:top w:val="none" w:sz="0" w:space="0" w:color="auto"/>
        <w:left w:val="none" w:sz="0" w:space="0" w:color="auto"/>
        <w:bottom w:val="none" w:sz="0" w:space="0" w:color="auto"/>
        <w:right w:val="none" w:sz="0" w:space="0" w:color="auto"/>
      </w:divBdr>
    </w:div>
    <w:div w:id="1173690691">
      <w:bodyDiv w:val="1"/>
      <w:marLeft w:val="0"/>
      <w:marRight w:val="0"/>
      <w:marTop w:val="0"/>
      <w:marBottom w:val="0"/>
      <w:divBdr>
        <w:top w:val="none" w:sz="0" w:space="0" w:color="auto"/>
        <w:left w:val="none" w:sz="0" w:space="0" w:color="auto"/>
        <w:bottom w:val="none" w:sz="0" w:space="0" w:color="auto"/>
        <w:right w:val="none" w:sz="0" w:space="0" w:color="auto"/>
      </w:divBdr>
    </w:div>
    <w:div w:id="1230650063">
      <w:bodyDiv w:val="1"/>
      <w:marLeft w:val="0"/>
      <w:marRight w:val="0"/>
      <w:marTop w:val="0"/>
      <w:marBottom w:val="0"/>
      <w:divBdr>
        <w:top w:val="none" w:sz="0" w:space="0" w:color="auto"/>
        <w:left w:val="none" w:sz="0" w:space="0" w:color="auto"/>
        <w:bottom w:val="none" w:sz="0" w:space="0" w:color="auto"/>
        <w:right w:val="none" w:sz="0" w:space="0" w:color="auto"/>
      </w:divBdr>
    </w:div>
    <w:div w:id="1342002792">
      <w:bodyDiv w:val="1"/>
      <w:marLeft w:val="0"/>
      <w:marRight w:val="0"/>
      <w:marTop w:val="0"/>
      <w:marBottom w:val="0"/>
      <w:divBdr>
        <w:top w:val="none" w:sz="0" w:space="0" w:color="auto"/>
        <w:left w:val="none" w:sz="0" w:space="0" w:color="auto"/>
        <w:bottom w:val="none" w:sz="0" w:space="0" w:color="auto"/>
        <w:right w:val="none" w:sz="0" w:space="0" w:color="auto"/>
      </w:divBdr>
    </w:div>
    <w:div w:id="1389186366">
      <w:bodyDiv w:val="1"/>
      <w:marLeft w:val="0"/>
      <w:marRight w:val="0"/>
      <w:marTop w:val="0"/>
      <w:marBottom w:val="0"/>
      <w:divBdr>
        <w:top w:val="none" w:sz="0" w:space="0" w:color="auto"/>
        <w:left w:val="none" w:sz="0" w:space="0" w:color="auto"/>
        <w:bottom w:val="none" w:sz="0" w:space="0" w:color="auto"/>
        <w:right w:val="none" w:sz="0" w:space="0" w:color="auto"/>
      </w:divBdr>
    </w:div>
    <w:div w:id="1439564716">
      <w:bodyDiv w:val="1"/>
      <w:marLeft w:val="0"/>
      <w:marRight w:val="0"/>
      <w:marTop w:val="0"/>
      <w:marBottom w:val="0"/>
      <w:divBdr>
        <w:top w:val="none" w:sz="0" w:space="0" w:color="auto"/>
        <w:left w:val="none" w:sz="0" w:space="0" w:color="auto"/>
        <w:bottom w:val="none" w:sz="0" w:space="0" w:color="auto"/>
        <w:right w:val="none" w:sz="0" w:space="0" w:color="auto"/>
      </w:divBdr>
    </w:div>
    <w:div w:id="1467241800">
      <w:bodyDiv w:val="1"/>
      <w:marLeft w:val="0"/>
      <w:marRight w:val="0"/>
      <w:marTop w:val="0"/>
      <w:marBottom w:val="0"/>
      <w:divBdr>
        <w:top w:val="none" w:sz="0" w:space="0" w:color="auto"/>
        <w:left w:val="none" w:sz="0" w:space="0" w:color="auto"/>
        <w:bottom w:val="none" w:sz="0" w:space="0" w:color="auto"/>
        <w:right w:val="none" w:sz="0" w:space="0" w:color="auto"/>
      </w:divBdr>
    </w:div>
    <w:div w:id="1487475453">
      <w:bodyDiv w:val="1"/>
      <w:marLeft w:val="0"/>
      <w:marRight w:val="0"/>
      <w:marTop w:val="0"/>
      <w:marBottom w:val="0"/>
      <w:divBdr>
        <w:top w:val="none" w:sz="0" w:space="0" w:color="auto"/>
        <w:left w:val="none" w:sz="0" w:space="0" w:color="auto"/>
        <w:bottom w:val="none" w:sz="0" w:space="0" w:color="auto"/>
        <w:right w:val="none" w:sz="0" w:space="0" w:color="auto"/>
      </w:divBdr>
    </w:div>
    <w:div w:id="1622224718">
      <w:bodyDiv w:val="1"/>
      <w:marLeft w:val="0"/>
      <w:marRight w:val="0"/>
      <w:marTop w:val="0"/>
      <w:marBottom w:val="0"/>
      <w:divBdr>
        <w:top w:val="none" w:sz="0" w:space="0" w:color="auto"/>
        <w:left w:val="none" w:sz="0" w:space="0" w:color="auto"/>
        <w:bottom w:val="none" w:sz="0" w:space="0" w:color="auto"/>
        <w:right w:val="none" w:sz="0" w:space="0" w:color="auto"/>
      </w:divBdr>
    </w:div>
    <w:div w:id="2026398746">
      <w:bodyDiv w:val="1"/>
      <w:marLeft w:val="0"/>
      <w:marRight w:val="0"/>
      <w:marTop w:val="0"/>
      <w:marBottom w:val="0"/>
      <w:divBdr>
        <w:top w:val="none" w:sz="0" w:space="0" w:color="auto"/>
        <w:left w:val="none" w:sz="0" w:space="0" w:color="auto"/>
        <w:bottom w:val="none" w:sz="0" w:space="0" w:color="auto"/>
        <w:right w:val="none" w:sz="0" w:space="0" w:color="auto"/>
      </w:divBdr>
    </w:div>
    <w:div w:id="20364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rnhard.frank@thewaltoncentre.nhs.uk" TargetMode="External"/><Relationship Id="rId18" Type="http://schemas.openxmlformats.org/officeDocument/2006/relationships/hyperlink" Target="mailto:jocelyn.keshet-price@nnuh.nhs.uk" TargetMode="External"/><Relationship Id="rId26" Type="http://schemas.openxmlformats.org/officeDocument/2006/relationships/hyperlink" Target="mailto:nicholas.shenker@addenbrookes.nhs.uk"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n.padfield@btconnect.com" TargetMode="External"/><Relationship Id="rId34" Type="http://schemas.openxmlformats.org/officeDocument/2006/relationships/hyperlink" Target="mailto:andreas.goebel@liv.ac.uk" TargetMode="External"/><Relationship Id="rId7" Type="http://schemas.openxmlformats.org/officeDocument/2006/relationships/settings" Target="settings.xml"/><Relationship Id="rId12" Type="http://schemas.openxmlformats.org/officeDocument/2006/relationships/hyperlink" Target="mailto:g.ambler@ucl.ac.uk" TargetMode="External"/><Relationship Id="rId17" Type="http://schemas.openxmlformats.org/officeDocument/2006/relationships/hyperlink" Target="mailto:joanna.kelly@kcl.ac.uk" TargetMode="External"/><Relationship Id="rId25" Type="http://schemas.openxmlformats.org/officeDocument/2006/relationships/hyperlink" Target="mailto:michael.serpell@glasgow.ac.uk%20mgserpell@cheerful.com" TargetMode="External"/><Relationship Id="rId33" Type="http://schemas.openxmlformats.org/officeDocument/2006/relationships/hyperlink" Target="mailto:andreasgoebel@rocketmail.com"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airijames@hotmail.com" TargetMode="External"/><Relationship Id="rId20" Type="http://schemas.openxmlformats.org/officeDocument/2006/relationships/hyperlink" Target="mailto:Nicholas.Padfield@gstt.nhs.uk/" TargetMode="External"/><Relationship Id="rId29" Type="http://schemas.openxmlformats.org/officeDocument/2006/relationships/hyperlink" Target="mailto:Margaret.A.Weston@uhl-tr.nhs.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tinder.bisla@kcl.ac.uk" TargetMode="External"/><Relationship Id="rId24" Type="http://schemas.openxmlformats.org/officeDocument/2006/relationships/hyperlink" Target="mailto:mark.sanders@nnuh.nhs.uk" TargetMode="External"/><Relationship Id="rId32" Type="http://schemas.openxmlformats.org/officeDocument/2006/relationships/hyperlink" Target="mailto:caroline.murphy@kcl.ac.uk" TargetMode="External"/><Relationship Id="rId37" Type="http://schemas.openxmlformats.org/officeDocument/2006/relationships/hyperlink" Target="https://www.ukctg.nihr.ac.uk/home/"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oppy.hocken@nhs.net" TargetMode="External"/><Relationship Id="rId23" Type="http://schemas.openxmlformats.org/officeDocument/2006/relationships/hyperlink" Target="mailto:gill.pout@nnuh.nhs.uk" TargetMode="External"/><Relationship Id="rId28" Type="http://schemas.openxmlformats.org/officeDocument/2006/relationships/hyperlink" Target="mailto:Samuel.Wesley@gstt.nhs.uk" TargetMode="External"/><Relationship Id="rId36" Type="http://schemas.openxmlformats.org/officeDocument/2006/relationships/hyperlink" Target="https://www.nihr.ac.uk/research-and-impact/nihr-clinical-research-network-portfolio/" TargetMode="External"/><Relationship Id="rId10" Type="http://schemas.openxmlformats.org/officeDocument/2006/relationships/endnotes" Target="endnotes.xml"/><Relationship Id="rId19" Type="http://schemas.openxmlformats.org/officeDocument/2006/relationships/hyperlink" Target="mailto:Deborah.McGlynn@ggc.scot.nhs.uk" TargetMode="External"/><Relationship Id="rId31" Type="http://schemas.openxmlformats.org/officeDocument/2006/relationships/hyperlink" Target="mailto:lynne.wyatt@thewaltoncentre.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mit.gulati@thewaltoncentre.nhs.uk" TargetMode="External"/><Relationship Id="rId22" Type="http://schemas.openxmlformats.org/officeDocument/2006/relationships/hyperlink" Target="mailto:david.pang@gstt.nhs.uk" TargetMode="External"/><Relationship Id="rId27" Type="http://schemas.openxmlformats.org/officeDocument/2006/relationships/hyperlink" Target="mailto:drshoukrey@yahoo.com" TargetMode="External"/><Relationship Id="rId30" Type="http://schemas.openxmlformats.org/officeDocument/2006/relationships/hyperlink" Target="mailto:beverley.white@kcl.ac.uk" TargetMode="External"/><Relationship Id="rId35"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LIPS</a:t>
            </a:r>
            <a:r>
              <a:rPr lang="en-US" baseline="0"/>
              <a:t> Study Projected &amp; Actual Recruitment</a:t>
            </a:r>
            <a:endParaRPr lang="en-US"/>
          </a:p>
        </c:rich>
      </c:tx>
      <c:layout>
        <c:manualLayout>
          <c:xMode val="edge"/>
          <c:yMode val="edge"/>
          <c:x val="0.1644139462486868"/>
          <c:y val="2.1027248238707E-2"/>
        </c:manualLayout>
      </c:layout>
      <c:overlay val="1"/>
    </c:title>
    <c:autoTitleDeleted val="0"/>
    <c:plotArea>
      <c:layout/>
      <c:lineChart>
        <c:grouping val="standard"/>
        <c:varyColors val="0"/>
        <c:ser>
          <c:idx val="0"/>
          <c:order val="0"/>
          <c:tx>
            <c:strRef>
              <c:f>Sheet1!$B$1</c:f>
              <c:strCache>
                <c:ptCount val="1"/>
                <c:pt idx="0">
                  <c:v>Projected</c:v>
                </c:pt>
              </c:strCache>
            </c:strRef>
          </c:tx>
          <c:marker>
            <c:symbol val="none"/>
          </c:marker>
          <c:cat>
            <c:numRef>
              <c:f>Sheet1!$A$2:$A$33</c:f>
              <c:numCache>
                <c:formatCode>mmm\-yy</c:formatCode>
                <c:ptCount val="32"/>
                <c:pt idx="0">
                  <c:v>41365</c:v>
                </c:pt>
                <c:pt idx="1">
                  <c:v>41395</c:v>
                </c:pt>
                <c:pt idx="2">
                  <c:v>41426</c:v>
                </c:pt>
                <c:pt idx="3">
                  <c:v>41456</c:v>
                </c:pt>
                <c:pt idx="4">
                  <c:v>41487</c:v>
                </c:pt>
                <c:pt idx="5">
                  <c:v>41518</c:v>
                </c:pt>
                <c:pt idx="6">
                  <c:v>41548</c:v>
                </c:pt>
                <c:pt idx="7">
                  <c:v>41579</c:v>
                </c:pt>
                <c:pt idx="8">
                  <c:v>41609</c:v>
                </c:pt>
                <c:pt idx="9">
                  <c:v>41640</c:v>
                </c:pt>
                <c:pt idx="10">
                  <c:v>41671</c:v>
                </c:pt>
                <c:pt idx="11">
                  <c:v>41699</c:v>
                </c:pt>
                <c:pt idx="12">
                  <c:v>41730</c:v>
                </c:pt>
                <c:pt idx="13">
                  <c:v>41760</c:v>
                </c:pt>
                <c:pt idx="14">
                  <c:v>41791</c:v>
                </c:pt>
                <c:pt idx="15">
                  <c:v>41821</c:v>
                </c:pt>
                <c:pt idx="16">
                  <c:v>41852</c:v>
                </c:pt>
                <c:pt idx="17">
                  <c:v>41883</c:v>
                </c:pt>
                <c:pt idx="18">
                  <c:v>41913</c:v>
                </c:pt>
                <c:pt idx="19">
                  <c:v>41944</c:v>
                </c:pt>
                <c:pt idx="20">
                  <c:v>41974</c:v>
                </c:pt>
                <c:pt idx="21">
                  <c:v>42005</c:v>
                </c:pt>
                <c:pt idx="22">
                  <c:v>42036</c:v>
                </c:pt>
                <c:pt idx="23">
                  <c:v>42064</c:v>
                </c:pt>
                <c:pt idx="24">
                  <c:v>42095</c:v>
                </c:pt>
                <c:pt idx="25">
                  <c:v>42125</c:v>
                </c:pt>
                <c:pt idx="26">
                  <c:v>42156</c:v>
                </c:pt>
                <c:pt idx="27">
                  <c:v>42186</c:v>
                </c:pt>
                <c:pt idx="28">
                  <c:v>42217</c:v>
                </c:pt>
                <c:pt idx="29">
                  <c:v>42248</c:v>
                </c:pt>
                <c:pt idx="30">
                  <c:v>42278</c:v>
                </c:pt>
                <c:pt idx="31">
                  <c:v>42309</c:v>
                </c:pt>
              </c:numCache>
            </c:numRef>
          </c:cat>
          <c:val>
            <c:numRef>
              <c:f>Sheet1!$B$2:$B$33</c:f>
              <c:numCache>
                <c:formatCode>General</c:formatCode>
                <c:ptCount val="32"/>
                <c:pt idx="0">
                  <c:v>3</c:v>
                </c:pt>
                <c:pt idx="1">
                  <c:v>5</c:v>
                </c:pt>
                <c:pt idx="2">
                  <c:v>8</c:v>
                </c:pt>
                <c:pt idx="3">
                  <c:v>11</c:v>
                </c:pt>
                <c:pt idx="4">
                  <c:v>13</c:v>
                </c:pt>
                <c:pt idx="5">
                  <c:v>16</c:v>
                </c:pt>
                <c:pt idx="6">
                  <c:v>19</c:v>
                </c:pt>
                <c:pt idx="7">
                  <c:v>21</c:v>
                </c:pt>
                <c:pt idx="8">
                  <c:v>23</c:v>
                </c:pt>
                <c:pt idx="9">
                  <c:v>26</c:v>
                </c:pt>
                <c:pt idx="10">
                  <c:v>28</c:v>
                </c:pt>
                <c:pt idx="11">
                  <c:v>30</c:v>
                </c:pt>
                <c:pt idx="12">
                  <c:v>34</c:v>
                </c:pt>
                <c:pt idx="13">
                  <c:v>38</c:v>
                </c:pt>
                <c:pt idx="14">
                  <c:v>42</c:v>
                </c:pt>
                <c:pt idx="15">
                  <c:v>46</c:v>
                </c:pt>
                <c:pt idx="16">
                  <c:v>50</c:v>
                </c:pt>
                <c:pt idx="17">
                  <c:v>54</c:v>
                </c:pt>
                <c:pt idx="18">
                  <c:v>58</c:v>
                </c:pt>
                <c:pt idx="19">
                  <c:v>62</c:v>
                </c:pt>
                <c:pt idx="20">
                  <c:v>66</c:v>
                </c:pt>
                <c:pt idx="21">
                  <c:v>70</c:v>
                </c:pt>
                <c:pt idx="22">
                  <c:v>74</c:v>
                </c:pt>
                <c:pt idx="23">
                  <c:v>78</c:v>
                </c:pt>
                <c:pt idx="24">
                  <c:v>82</c:v>
                </c:pt>
                <c:pt idx="25">
                  <c:v>86</c:v>
                </c:pt>
                <c:pt idx="26">
                  <c:v>89</c:v>
                </c:pt>
                <c:pt idx="27">
                  <c:v>93</c:v>
                </c:pt>
                <c:pt idx="28">
                  <c:v>97</c:v>
                </c:pt>
                <c:pt idx="29">
                  <c:v>101</c:v>
                </c:pt>
                <c:pt idx="30">
                  <c:v>104</c:v>
                </c:pt>
                <c:pt idx="31">
                  <c:v>108</c:v>
                </c:pt>
              </c:numCache>
            </c:numRef>
          </c:val>
          <c:smooth val="0"/>
          <c:extLst>
            <c:ext xmlns:c16="http://schemas.microsoft.com/office/drawing/2014/chart" uri="{C3380CC4-5D6E-409C-BE32-E72D297353CC}">
              <c16:uniqueId val="{00000000-44DF-D749-B8B6-E615EC082D77}"/>
            </c:ext>
          </c:extLst>
        </c:ser>
        <c:ser>
          <c:idx val="1"/>
          <c:order val="1"/>
          <c:tx>
            <c:strRef>
              <c:f>Sheet1!$C$1</c:f>
              <c:strCache>
                <c:ptCount val="1"/>
                <c:pt idx="0">
                  <c:v>Actual</c:v>
                </c:pt>
              </c:strCache>
            </c:strRef>
          </c:tx>
          <c:marker>
            <c:symbol val="none"/>
          </c:marker>
          <c:cat>
            <c:numRef>
              <c:f>Sheet1!$A$2:$A$33</c:f>
              <c:numCache>
                <c:formatCode>mmm\-yy</c:formatCode>
                <c:ptCount val="32"/>
                <c:pt idx="0">
                  <c:v>41365</c:v>
                </c:pt>
                <c:pt idx="1">
                  <c:v>41395</c:v>
                </c:pt>
                <c:pt idx="2">
                  <c:v>41426</c:v>
                </c:pt>
                <c:pt idx="3">
                  <c:v>41456</c:v>
                </c:pt>
                <c:pt idx="4">
                  <c:v>41487</c:v>
                </c:pt>
                <c:pt idx="5">
                  <c:v>41518</c:v>
                </c:pt>
                <c:pt idx="6">
                  <c:v>41548</c:v>
                </c:pt>
                <c:pt idx="7">
                  <c:v>41579</c:v>
                </c:pt>
                <c:pt idx="8">
                  <c:v>41609</c:v>
                </c:pt>
                <c:pt idx="9">
                  <c:v>41640</c:v>
                </c:pt>
                <c:pt idx="10">
                  <c:v>41671</c:v>
                </c:pt>
                <c:pt idx="11">
                  <c:v>41699</c:v>
                </c:pt>
                <c:pt idx="12">
                  <c:v>41730</c:v>
                </c:pt>
                <c:pt idx="13">
                  <c:v>41760</c:v>
                </c:pt>
                <c:pt idx="14">
                  <c:v>41791</c:v>
                </c:pt>
                <c:pt idx="15">
                  <c:v>41821</c:v>
                </c:pt>
                <c:pt idx="16">
                  <c:v>41852</c:v>
                </c:pt>
                <c:pt idx="17">
                  <c:v>41883</c:v>
                </c:pt>
                <c:pt idx="18">
                  <c:v>41913</c:v>
                </c:pt>
                <c:pt idx="19">
                  <c:v>41944</c:v>
                </c:pt>
                <c:pt idx="20">
                  <c:v>41974</c:v>
                </c:pt>
                <c:pt idx="21">
                  <c:v>42005</c:v>
                </c:pt>
                <c:pt idx="22">
                  <c:v>42036</c:v>
                </c:pt>
                <c:pt idx="23">
                  <c:v>42064</c:v>
                </c:pt>
                <c:pt idx="24">
                  <c:v>42095</c:v>
                </c:pt>
                <c:pt idx="25">
                  <c:v>42125</c:v>
                </c:pt>
                <c:pt idx="26">
                  <c:v>42156</c:v>
                </c:pt>
                <c:pt idx="27">
                  <c:v>42186</c:v>
                </c:pt>
                <c:pt idx="28">
                  <c:v>42217</c:v>
                </c:pt>
                <c:pt idx="29">
                  <c:v>42248</c:v>
                </c:pt>
                <c:pt idx="30">
                  <c:v>42278</c:v>
                </c:pt>
                <c:pt idx="31">
                  <c:v>42309</c:v>
                </c:pt>
              </c:numCache>
            </c:numRef>
          </c:cat>
          <c:val>
            <c:numRef>
              <c:f>Sheet1!$C$2:$C$33</c:f>
              <c:numCache>
                <c:formatCode>General</c:formatCode>
                <c:ptCount val="32"/>
                <c:pt idx="0">
                  <c:v>0</c:v>
                </c:pt>
                <c:pt idx="1">
                  <c:v>0</c:v>
                </c:pt>
                <c:pt idx="2">
                  <c:v>0</c:v>
                </c:pt>
                <c:pt idx="3">
                  <c:v>0</c:v>
                </c:pt>
                <c:pt idx="4">
                  <c:v>1</c:v>
                </c:pt>
                <c:pt idx="5">
                  <c:v>3</c:v>
                </c:pt>
                <c:pt idx="6">
                  <c:v>5</c:v>
                </c:pt>
                <c:pt idx="7">
                  <c:v>6</c:v>
                </c:pt>
                <c:pt idx="8">
                  <c:v>8</c:v>
                </c:pt>
                <c:pt idx="9">
                  <c:v>9</c:v>
                </c:pt>
                <c:pt idx="10">
                  <c:v>14</c:v>
                </c:pt>
                <c:pt idx="11">
                  <c:v>20</c:v>
                </c:pt>
                <c:pt idx="12">
                  <c:v>31</c:v>
                </c:pt>
                <c:pt idx="13">
                  <c:v>35</c:v>
                </c:pt>
                <c:pt idx="14">
                  <c:v>40</c:v>
                </c:pt>
                <c:pt idx="15">
                  <c:v>41</c:v>
                </c:pt>
                <c:pt idx="16">
                  <c:v>44</c:v>
                </c:pt>
                <c:pt idx="17">
                  <c:v>50</c:v>
                </c:pt>
                <c:pt idx="18">
                  <c:v>55</c:v>
                </c:pt>
                <c:pt idx="19">
                  <c:v>62</c:v>
                </c:pt>
                <c:pt idx="20">
                  <c:v>63</c:v>
                </c:pt>
                <c:pt idx="21">
                  <c:v>70</c:v>
                </c:pt>
                <c:pt idx="22">
                  <c:v>78</c:v>
                </c:pt>
                <c:pt idx="23">
                  <c:v>84</c:v>
                </c:pt>
                <c:pt idx="24">
                  <c:v>88</c:v>
                </c:pt>
                <c:pt idx="25">
                  <c:v>91</c:v>
                </c:pt>
                <c:pt idx="26">
                  <c:v>95</c:v>
                </c:pt>
                <c:pt idx="27">
                  <c:v>97</c:v>
                </c:pt>
                <c:pt idx="28">
                  <c:v>100</c:v>
                </c:pt>
                <c:pt idx="29">
                  <c:v>106</c:v>
                </c:pt>
                <c:pt idx="30">
                  <c:v>111</c:v>
                </c:pt>
                <c:pt idx="31">
                  <c:v>111</c:v>
                </c:pt>
              </c:numCache>
            </c:numRef>
          </c:val>
          <c:smooth val="0"/>
          <c:extLst>
            <c:ext xmlns:c16="http://schemas.microsoft.com/office/drawing/2014/chart" uri="{C3380CC4-5D6E-409C-BE32-E72D297353CC}">
              <c16:uniqueId val="{00000001-44DF-D749-B8B6-E615EC082D77}"/>
            </c:ext>
          </c:extLst>
        </c:ser>
        <c:dLbls>
          <c:showLegendKey val="0"/>
          <c:showVal val="0"/>
          <c:showCatName val="0"/>
          <c:showSerName val="0"/>
          <c:showPercent val="0"/>
          <c:showBubbleSize val="0"/>
        </c:dLbls>
        <c:smooth val="0"/>
        <c:axId val="112783744"/>
        <c:axId val="112786048"/>
      </c:lineChart>
      <c:dateAx>
        <c:axId val="112783744"/>
        <c:scaling>
          <c:orientation val="minMax"/>
        </c:scaling>
        <c:delete val="0"/>
        <c:axPos val="b"/>
        <c:title>
          <c:tx>
            <c:rich>
              <a:bodyPr/>
              <a:lstStyle/>
              <a:p>
                <a:pPr>
                  <a:defRPr sz="1600"/>
                </a:pPr>
                <a:r>
                  <a:rPr lang="en-US" sz="1600"/>
                  <a:t>Month</a:t>
                </a:r>
              </a:p>
            </c:rich>
          </c:tx>
          <c:overlay val="0"/>
        </c:title>
        <c:numFmt formatCode="mmm\-yy" sourceLinked="1"/>
        <c:majorTickMark val="out"/>
        <c:minorTickMark val="none"/>
        <c:tickLblPos val="nextTo"/>
        <c:crossAx val="112786048"/>
        <c:crosses val="autoZero"/>
        <c:auto val="1"/>
        <c:lblOffset val="100"/>
        <c:baseTimeUnit val="months"/>
      </c:dateAx>
      <c:valAx>
        <c:axId val="112786048"/>
        <c:scaling>
          <c:orientation val="minMax"/>
        </c:scaling>
        <c:delete val="0"/>
        <c:axPos val="l"/>
        <c:title>
          <c:tx>
            <c:rich>
              <a:bodyPr rot="-5400000" vert="horz"/>
              <a:lstStyle/>
              <a:p>
                <a:pPr>
                  <a:defRPr sz="1600"/>
                </a:pPr>
                <a:r>
                  <a:rPr lang="en-US" sz="1600"/>
                  <a:t>Ra</a:t>
                </a:r>
                <a:r>
                  <a:rPr lang="en-US" sz="1600" baseline="0"/>
                  <a:t>ndomised Participants</a:t>
                </a:r>
                <a:endParaRPr lang="en-US" sz="1600"/>
              </a:p>
            </c:rich>
          </c:tx>
          <c:layout>
            <c:manualLayout>
              <c:xMode val="edge"/>
              <c:yMode val="edge"/>
              <c:x val="2.4670229474327756E-2"/>
              <c:y val="0.26191272965879264"/>
            </c:manualLayout>
          </c:layout>
          <c:overlay val="0"/>
        </c:title>
        <c:numFmt formatCode="General" sourceLinked="1"/>
        <c:majorTickMark val="out"/>
        <c:minorTickMark val="none"/>
        <c:tickLblPos val="nextTo"/>
        <c:crossAx val="112783744"/>
        <c:crosses val="autoZero"/>
        <c:crossBetween val="between"/>
      </c:valAx>
      <c:spPr>
        <a:noFill/>
      </c:spPr>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4B2BC17F4F8B47A1E72FE6D42F86C0" ma:contentTypeVersion="11" ma:contentTypeDescription="Create a new document." ma:contentTypeScope="" ma:versionID="87e146b4e0607c15a9504ae8cbc23c35">
  <xsd:schema xmlns:xsd="http://www.w3.org/2001/XMLSchema" xmlns:xs="http://www.w3.org/2001/XMLSchema" xmlns:p="http://schemas.microsoft.com/office/2006/metadata/properties" xmlns:ns3="d7d216f2-ca53-4485-8288-a4bb3a36d32e" xmlns:ns4="42282fad-34f6-46f5-a408-1b6e28b4a020" targetNamespace="http://schemas.microsoft.com/office/2006/metadata/properties" ma:root="true" ma:fieldsID="9076209800f29855468d1b48088b7c81" ns3:_="" ns4:_="">
    <xsd:import namespace="d7d216f2-ca53-4485-8288-a4bb3a36d32e"/>
    <xsd:import namespace="42282fad-34f6-46f5-a408-1b6e28b4a0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216f2-ca53-4485-8288-a4bb3a36d3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82fad-34f6-46f5-a408-1b6e28b4a0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3AFFF-21C8-4102-B8B7-4DC2E026EDCF}">
  <ds:schemaRefs>
    <ds:schemaRef ds:uri="http://schemas.microsoft.com/sharepoint/v3/contenttype/forms"/>
  </ds:schemaRefs>
</ds:datastoreItem>
</file>

<file path=customXml/itemProps2.xml><?xml version="1.0" encoding="utf-8"?>
<ds:datastoreItem xmlns:ds="http://schemas.openxmlformats.org/officeDocument/2006/customXml" ds:itemID="{6CFBB829-1754-43E7-A4DE-676F64FD5E6B}">
  <ds:schemaRefs>
    <ds:schemaRef ds:uri="http://purl.org/dc/elements/1.1/"/>
    <ds:schemaRef ds:uri="http://schemas.microsoft.com/office/2006/metadata/properties"/>
    <ds:schemaRef ds:uri="42282fad-34f6-46f5-a408-1b6e28b4a020"/>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d7d216f2-ca53-4485-8288-a4bb3a36d32e"/>
    <ds:schemaRef ds:uri="http://www.w3.org/XML/1998/namespace"/>
  </ds:schemaRefs>
</ds:datastoreItem>
</file>

<file path=customXml/itemProps3.xml><?xml version="1.0" encoding="utf-8"?>
<ds:datastoreItem xmlns:ds="http://schemas.openxmlformats.org/officeDocument/2006/customXml" ds:itemID="{BC0EE109-BD2A-4199-A6D1-BA4848A17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216f2-ca53-4485-8288-a4bb3a36d32e"/>
    <ds:schemaRef ds:uri="42282fad-34f6-46f5-a408-1b6e28b4a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2B1CC5-4294-426C-B88F-2A10B56D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5890</Words>
  <Characters>33578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39390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 College London</dc:creator>
  <cp:lastModifiedBy>Bisla, Jatinder</cp:lastModifiedBy>
  <cp:revision>2</cp:revision>
  <cp:lastPrinted>2019-07-09T09:50:00Z</cp:lastPrinted>
  <dcterms:created xsi:type="dcterms:W3CDTF">2020-01-24T08:25:00Z</dcterms:created>
  <dcterms:modified xsi:type="dcterms:W3CDTF">2020-01-24T08:25:00Z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0x0101000F4B2BC17F4F8B47A1E72FE6D42F86C0</vt:lpwstr>
  </property>
</Properties>
</file>