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FB133" w14:textId="029B4962" w:rsidR="001F61C5" w:rsidRPr="003078DF" w:rsidRDefault="001F61C5" w:rsidP="003A4B1D">
      <w:pPr>
        <w:pStyle w:val="Heading3"/>
        <w:spacing w:before="0" w:after="0"/>
        <w:rPr>
          <w:rFonts w:asciiTheme="minorHAnsi" w:hAnsiTheme="minorHAnsi" w:cstheme="minorHAnsi"/>
          <w:i w:val="0"/>
          <w:lang w:val="en-GB"/>
        </w:rPr>
      </w:pPr>
      <w:r w:rsidRPr="003078DF">
        <w:rPr>
          <w:rFonts w:asciiTheme="minorHAnsi" w:hAnsiTheme="minorHAnsi" w:cstheme="minorHAnsi"/>
          <w:lang w:val="en-GB"/>
        </w:rPr>
        <w:t xml:space="preserve">Sebastian Dembski, Thomas Hartmann, </w:t>
      </w:r>
      <w:r w:rsidR="0030260E" w:rsidRPr="003078DF">
        <w:rPr>
          <w:rFonts w:asciiTheme="minorHAnsi" w:hAnsiTheme="minorHAnsi" w:cstheme="minorHAnsi"/>
          <w:lang w:val="en-GB"/>
        </w:rPr>
        <w:t>An</w:t>
      </w:r>
      <w:bookmarkStart w:id="0" w:name="_GoBack"/>
      <w:bookmarkEnd w:id="0"/>
      <w:r w:rsidR="0030260E" w:rsidRPr="003078DF">
        <w:rPr>
          <w:rFonts w:asciiTheme="minorHAnsi" w:hAnsiTheme="minorHAnsi" w:cstheme="minorHAnsi"/>
          <w:lang w:val="en-GB"/>
        </w:rPr>
        <w:t xml:space="preserve">dreas </w:t>
      </w:r>
      <w:proofErr w:type="spellStart"/>
      <w:r w:rsidR="0030260E" w:rsidRPr="003078DF">
        <w:rPr>
          <w:rFonts w:asciiTheme="minorHAnsi" w:hAnsiTheme="minorHAnsi" w:cstheme="minorHAnsi"/>
          <w:lang w:val="en-GB"/>
        </w:rPr>
        <w:t>Hengstermann</w:t>
      </w:r>
      <w:proofErr w:type="spellEnd"/>
      <w:r w:rsidR="0030260E" w:rsidRPr="003078DF">
        <w:rPr>
          <w:rFonts w:asciiTheme="minorHAnsi" w:hAnsiTheme="minorHAnsi" w:cstheme="minorHAnsi"/>
          <w:lang w:val="en-GB"/>
        </w:rPr>
        <w:t xml:space="preserve"> and </w:t>
      </w:r>
      <w:r w:rsidR="00B67404" w:rsidRPr="003078DF">
        <w:rPr>
          <w:rFonts w:asciiTheme="minorHAnsi" w:hAnsiTheme="minorHAnsi" w:cstheme="minorHAnsi"/>
          <w:lang w:val="en-GB"/>
        </w:rPr>
        <w:t>Richard Dunning</w:t>
      </w:r>
    </w:p>
    <w:p w14:paraId="6B8DE391" w14:textId="77777777" w:rsidR="001F61C5" w:rsidRPr="003078DF" w:rsidRDefault="001F61C5" w:rsidP="003A4B1D">
      <w:pPr>
        <w:rPr>
          <w:rFonts w:asciiTheme="minorHAnsi" w:hAnsiTheme="minorHAnsi" w:cstheme="minorHAnsi"/>
          <w:lang w:val="en-GB"/>
        </w:rPr>
      </w:pPr>
    </w:p>
    <w:p w14:paraId="3D601D0C" w14:textId="2FD9F08F" w:rsidR="001F61C5" w:rsidRPr="003078DF" w:rsidRDefault="001F61C5" w:rsidP="003A4B1D">
      <w:pPr>
        <w:pStyle w:val="Heading1"/>
        <w:spacing w:before="0"/>
        <w:rPr>
          <w:rFonts w:asciiTheme="minorHAnsi" w:hAnsiTheme="minorHAnsi" w:cstheme="minorHAnsi"/>
          <w:b/>
          <w:sz w:val="24"/>
          <w:szCs w:val="24"/>
          <w:lang w:val="en-GB"/>
        </w:rPr>
      </w:pPr>
      <w:r w:rsidRPr="003078DF">
        <w:rPr>
          <w:rFonts w:asciiTheme="minorHAnsi" w:hAnsiTheme="minorHAnsi" w:cstheme="minorHAnsi"/>
          <w:b/>
          <w:sz w:val="24"/>
          <w:szCs w:val="24"/>
          <w:lang w:val="en-GB"/>
        </w:rPr>
        <w:t>Introduction</w:t>
      </w:r>
      <w:r w:rsidRPr="003078DF">
        <w:rPr>
          <w:rFonts w:asciiTheme="minorHAnsi" w:hAnsiTheme="minorHAnsi" w:cstheme="minorHAnsi"/>
          <w:b/>
          <w:sz w:val="24"/>
          <w:szCs w:val="24"/>
          <w:lang w:val="en-GB"/>
        </w:rPr>
        <w:br/>
      </w:r>
      <w:r w:rsidR="00722226">
        <w:rPr>
          <w:rFonts w:asciiTheme="minorHAnsi" w:hAnsiTheme="minorHAnsi" w:cstheme="minorHAnsi"/>
          <w:b/>
          <w:sz w:val="24"/>
          <w:szCs w:val="24"/>
          <w:lang w:val="en-GB"/>
        </w:rPr>
        <w:t>Enhancing understanding of s</w:t>
      </w:r>
      <w:r w:rsidRPr="003078DF">
        <w:rPr>
          <w:rFonts w:asciiTheme="minorHAnsi" w:hAnsiTheme="minorHAnsi" w:cstheme="minorHAnsi"/>
          <w:b/>
          <w:sz w:val="24"/>
          <w:szCs w:val="24"/>
          <w:lang w:val="en-GB"/>
        </w:rPr>
        <w:t xml:space="preserve">trategies of </w:t>
      </w:r>
      <w:r>
        <w:rPr>
          <w:rFonts w:asciiTheme="minorHAnsi" w:hAnsiTheme="minorHAnsi" w:cstheme="minorHAnsi"/>
          <w:b/>
          <w:sz w:val="24"/>
          <w:szCs w:val="24"/>
          <w:lang w:val="en-GB"/>
        </w:rPr>
        <w:t>l</w:t>
      </w:r>
      <w:r w:rsidRPr="003078DF">
        <w:rPr>
          <w:rFonts w:asciiTheme="minorHAnsi" w:hAnsiTheme="minorHAnsi" w:cstheme="minorHAnsi"/>
          <w:b/>
          <w:sz w:val="24"/>
          <w:szCs w:val="24"/>
          <w:lang w:val="en-GB"/>
        </w:rPr>
        <w:t xml:space="preserve">and </w:t>
      </w:r>
      <w:r>
        <w:rPr>
          <w:rFonts w:asciiTheme="minorHAnsi" w:hAnsiTheme="minorHAnsi" w:cstheme="minorHAnsi"/>
          <w:b/>
          <w:sz w:val="24"/>
          <w:szCs w:val="24"/>
          <w:lang w:val="en-GB"/>
        </w:rPr>
        <w:t>p</w:t>
      </w:r>
      <w:r w:rsidRPr="003078DF">
        <w:rPr>
          <w:rFonts w:asciiTheme="minorHAnsi" w:hAnsiTheme="minorHAnsi" w:cstheme="minorHAnsi"/>
          <w:b/>
          <w:sz w:val="24"/>
          <w:szCs w:val="24"/>
          <w:lang w:val="en-GB"/>
        </w:rPr>
        <w:t xml:space="preserve">olicy for </w:t>
      </w:r>
      <w:r>
        <w:rPr>
          <w:rFonts w:asciiTheme="minorHAnsi" w:hAnsiTheme="minorHAnsi" w:cstheme="minorHAnsi"/>
          <w:b/>
          <w:sz w:val="24"/>
          <w:szCs w:val="24"/>
          <w:lang w:val="en-GB"/>
        </w:rPr>
        <w:t>u</w:t>
      </w:r>
      <w:r w:rsidRPr="003078DF">
        <w:rPr>
          <w:rFonts w:asciiTheme="minorHAnsi" w:hAnsiTheme="minorHAnsi" w:cstheme="minorHAnsi"/>
          <w:b/>
          <w:sz w:val="24"/>
          <w:szCs w:val="24"/>
          <w:lang w:val="en-GB"/>
        </w:rPr>
        <w:t xml:space="preserve">rban </w:t>
      </w:r>
      <w:r>
        <w:rPr>
          <w:rFonts w:asciiTheme="minorHAnsi" w:hAnsiTheme="minorHAnsi" w:cstheme="minorHAnsi"/>
          <w:b/>
          <w:sz w:val="24"/>
          <w:szCs w:val="24"/>
          <w:lang w:val="en-GB"/>
        </w:rPr>
        <w:t>d</w:t>
      </w:r>
      <w:r w:rsidRPr="003078DF">
        <w:rPr>
          <w:rFonts w:asciiTheme="minorHAnsi" w:hAnsiTheme="minorHAnsi" w:cstheme="minorHAnsi"/>
          <w:b/>
          <w:sz w:val="24"/>
          <w:szCs w:val="24"/>
          <w:lang w:val="en-GB"/>
        </w:rPr>
        <w:t>ensification</w:t>
      </w:r>
    </w:p>
    <w:p w14:paraId="2B473A70" w14:textId="77777777" w:rsidR="001F61C5" w:rsidRPr="003078DF" w:rsidRDefault="001F61C5" w:rsidP="003A4B1D">
      <w:pPr>
        <w:rPr>
          <w:rFonts w:asciiTheme="minorHAnsi" w:hAnsiTheme="minorHAnsi" w:cstheme="minorHAnsi"/>
          <w:lang w:val="en-GB"/>
        </w:rPr>
      </w:pPr>
    </w:p>
    <w:p w14:paraId="6699B5CC" w14:textId="7CA2D471" w:rsidR="001F61C5" w:rsidRDefault="001F61C5" w:rsidP="003A4B1D">
      <w:pPr>
        <w:rPr>
          <w:rFonts w:asciiTheme="minorHAnsi" w:hAnsiTheme="minorHAnsi" w:cstheme="minorHAnsi"/>
          <w:lang w:val="en-GB"/>
        </w:rPr>
      </w:pPr>
      <w:r w:rsidRPr="003078DF">
        <w:rPr>
          <w:rFonts w:asciiTheme="minorHAnsi" w:hAnsiTheme="minorHAnsi" w:cstheme="minorHAnsi"/>
          <w:lang w:val="en-GB"/>
        </w:rPr>
        <w:t>There is growing interest in</w:t>
      </w:r>
      <w:r>
        <w:rPr>
          <w:rFonts w:asciiTheme="minorHAnsi" w:hAnsiTheme="minorHAnsi" w:cstheme="minorHAnsi"/>
          <w:lang w:val="en-GB"/>
        </w:rPr>
        <w:t xml:space="preserve"> urban</w:t>
      </w:r>
      <w:r w:rsidRPr="003078DF">
        <w:rPr>
          <w:rFonts w:asciiTheme="minorHAnsi" w:hAnsiTheme="minorHAnsi" w:cstheme="minorHAnsi"/>
          <w:lang w:val="en-GB"/>
        </w:rPr>
        <w:t xml:space="preserve"> densification </w:t>
      </w:r>
      <w:r>
        <w:rPr>
          <w:rFonts w:asciiTheme="minorHAnsi" w:hAnsiTheme="minorHAnsi" w:cstheme="minorHAnsi"/>
          <w:lang w:val="en-GB"/>
        </w:rPr>
        <w:t>across</w:t>
      </w:r>
      <w:r w:rsidRPr="003078DF">
        <w:rPr>
          <w:rFonts w:asciiTheme="minorHAnsi" w:hAnsiTheme="minorHAnsi" w:cstheme="minorHAnsi"/>
          <w:lang w:val="en-GB"/>
        </w:rPr>
        <w:t xml:space="preserve"> the planning literature </w:t>
      </w:r>
      <w:r>
        <w:rPr>
          <w:rFonts w:asciiTheme="minorHAnsi" w:hAnsiTheme="minorHAnsi" w:cstheme="minorHAnsi"/>
          <w:noProof/>
          <w:lang w:val="en-GB"/>
        </w:rPr>
        <w:t>(e.g. Schmidt-</w:t>
      </w:r>
      <w:r w:rsidRPr="00B67404">
        <w:rPr>
          <w:rFonts w:asciiTheme="minorHAnsi" w:hAnsiTheme="minorHAnsi" w:cstheme="minorHAnsi"/>
          <w:noProof/>
          <w:lang w:val="en-GB"/>
        </w:rPr>
        <w:t>Tomé et al., 2013</w:t>
      </w:r>
      <w:r w:rsidR="00B67404">
        <w:rPr>
          <w:rFonts w:asciiTheme="minorHAnsi" w:hAnsiTheme="minorHAnsi" w:cstheme="minorHAnsi"/>
          <w:noProof/>
          <w:lang w:val="en-GB"/>
        </w:rPr>
        <w:t>;</w:t>
      </w:r>
      <w:r w:rsidRPr="00B67404">
        <w:rPr>
          <w:rFonts w:asciiTheme="minorHAnsi" w:hAnsiTheme="minorHAnsi" w:cstheme="minorHAnsi"/>
          <w:noProof/>
          <w:lang w:val="en-GB"/>
        </w:rPr>
        <w:t xml:space="preserve"> Charmes and Keil, 2015</w:t>
      </w:r>
      <w:r w:rsidR="00B67404">
        <w:rPr>
          <w:rFonts w:asciiTheme="minorHAnsi" w:hAnsiTheme="minorHAnsi" w:cstheme="minorHAnsi"/>
          <w:noProof/>
          <w:lang w:val="en-GB"/>
        </w:rPr>
        <w:t>;</w:t>
      </w:r>
      <w:r w:rsidRPr="00B67404">
        <w:rPr>
          <w:rFonts w:asciiTheme="minorHAnsi" w:hAnsiTheme="minorHAnsi" w:cstheme="minorHAnsi"/>
          <w:noProof/>
          <w:lang w:val="en-GB"/>
        </w:rPr>
        <w:t xml:space="preserve"> Holman et al.,</w:t>
      </w:r>
      <w:r>
        <w:rPr>
          <w:rFonts w:asciiTheme="minorHAnsi" w:hAnsiTheme="minorHAnsi" w:cstheme="minorHAnsi"/>
          <w:noProof/>
          <w:lang w:val="en-GB"/>
        </w:rPr>
        <w:t xml:space="preserve"> 2015)</w:t>
      </w:r>
      <w:r>
        <w:rPr>
          <w:rFonts w:asciiTheme="minorHAnsi" w:hAnsiTheme="minorHAnsi" w:cstheme="minorHAnsi"/>
          <w:lang w:val="en-GB"/>
        </w:rPr>
        <w:t xml:space="preserve"> and planning practice</w:t>
      </w:r>
      <w:r w:rsidRPr="003078DF">
        <w:rPr>
          <w:rFonts w:asciiTheme="minorHAnsi" w:hAnsiTheme="minorHAnsi" w:cstheme="minorHAnsi"/>
          <w:lang w:val="en-GB"/>
        </w:rPr>
        <w:t xml:space="preserve">. </w:t>
      </w:r>
      <w:r>
        <w:rPr>
          <w:rFonts w:asciiTheme="minorHAnsi" w:hAnsiTheme="minorHAnsi" w:cstheme="minorHAnsi"/>
          <w:lang w:val="en-GB"/>
        </w:rPr>
        <w:t xml:space="preserve">The revival of the city has encountered the reawakening of </w:t>
      </w:r>
      <w:r w:rsidR="00F96D8E">
        <w:rPr>
          <w:rFonts w:asciiTheme="minorHAnsi" w:hAnsiTheme="minorHAnsi" w:cstheme="minorHAnsi"/>
          <w:lang w:val="en-GB"/>
        </w:rPr>
        <w:t xml:space="preserve">the </w:t>
      </w:r>
      <w:r>
        <w:rPr>
          <w:rFonts w:asciiTheme="minorHAnsi" w:hAnsiTheme="minorHAnsi" w:cstheme="minorHAnsi"/>
          <w:lang w:val="en-GB"/>
        </w:rPr>
        <w:t>densification debate. Many European governments</w:t>
      </w:r>
      <w:r w:rsidR="00A40101">
        <w:rPr>
          <w:rFonts w:asciiTheme="minorHAnsi" w:hAnsiTheme="minorHAnsi" w:cstheme="minorHAnsi"/>
          <w:lang w:val="en-GB"/>
        </w:rPr>
        <w:t xml:space="preserve"> are responding to similar issues arising from urban population </w:t>
      </w:r>
      <w:proofErr w:type="spellStart"/>
      <w:r w:rsidR="00A40101">
        <w:rPr>
          <w:rFonts w:asciiTheme="minorHAnsi" w:hAnsiTheme="minorHAnsi" w:cstheme="minorHAnsi"/>
          <w:lang w:val="en-GB"/>
        </w:rPr>
        <w:t>deconcentration</w:t>
      </w:r>
      <w:proofErr w:type="spellEnd"/>
      <w:r w:rsidR="00A40101">
        <w:rPr>
          <w:rFonts w:asciiTheme="minorHAnsi" w:hAnsiTheme="minorHAnsi" w:cstheme="minorHAnsi"/>
          <w:lang w:val="en-GB"/>
        </w:rPr>
        <w:t xml:space="preserve"> (Dembski et al., 2019) and are</w:t>
      </w:r>
      <w:r>
        <w:rPr>
          <w:rFonts w:asciiTheme="minorHAnsi" w:hAnsiTheme="minorHAnsi" w:cstheme="minorHAnsi"/>
          <w:lang w:val="en-GB"/>
        </w:rPr>
        <w:t xml:space="preserve"> now directly or indirectly </w:t>
      </w:r>
      <w:r w:rsidR="00A40101">
        <w:rPr>
          <w:rFonts w:asciiTheme="minorHAnsi" w:hAnsiTheme="minorHAnsi" w:cstheme="minorHAnsi"/>
          <w:lang w:val="en-GB"/>
        </w:rPr>
        <w:t xml:space="preserve">promoting </w:t>
      </w:r>
      <w:r>
        <w:rPr>
          <w:rFonts w:asciiTheme="minorHAnsi" w:hAnsiTheme="minorHAnsi" w:cstheme="minorHAnsi"/>
          <w:lang w:val="en-GB"/>
        </w:rPr>
        <w:t>densification. T</w:t>
      </w:r>
      <w:r w:rsidRPr="003078DF">
        <w:rPr>
          <w:rFonts w:asciiTheme="minorHAnsi" w:hAnsiTheme="minorHAnsi" w:cstheme="minorHAnsi"/>
          <w:lang w:val="en-GB"/>
        </w:rPr>
        <w:t xml:space="preserve">he </w:t>
      </w:r>
      <w:r>
        <w:rPr>
          <w:rFonts w:asciiTheme="minorHAnsi" w:hAnsiTheme="minorHAnsi" w:cstheme="minorHAnsi"/>
          <w:lang w:val="en-GB"/>
        </w:rPr>
        <w:t xml:space="preserve">German </w:t>
      </w:r>
      <w:r w:rsidRPr="003078DF">
        <w:rPr>
          <w:rFonts w:asciiTheme="minorHAnsi" w:hAnsiTheme="minorHAnsi" w:cstheme="minorHAnsi"/>
          <w:lang w:val="en-GB"/>
        </w:rPr>
        <w:t xml:space="preserve">federal government has set the target of </w:t>
      </w:r>
      <w:r>
        <w:rPr>
          <w:rFonts w:asciiTheme="minorHAnsi" w:hAnsiTheme="minorHAnsi" w:cstheme="minorHAnsi"/>
          <w:lang w:val="en-GB"/>
        </w:rPr>
        <w:t>reducing</w:t>
      </w:r>
      <w:r w:rsidR="0030260E">
        <w:rPr>
          <w:rFonts w:asciiTheme="minorHAnsi" w:hAnsiTheme="minorHAnsi" w:cstheme="minorHAnsi"/>
          <w:lang w:val="en-GB"/>
        </w:rPr>
        <w:t xml:space="preserve"> </w:t>
      </w:r>
      <w:r w:rsidR="00E7058F">
        <w:rPr>
          <w:rFonts w:asciiTheme="minorHAnsi" w:hAnsiTheme="minorHAnsi" w:cstheme="minorHAnsi"/>
          <w:lang w:val="en-GB"/>
        </w:rPr>
        <w:t xml:space="preserve">additional land uptake for settlements and transport purposes </w:t>
      </w:r>
      <w:r>
        <w:rPr>
          <w:rFonts w:asciiTheme="minorHAnsi" w:hAnsiTheme="minorHAnsi" w:cstheme="minorHAnsi"/>
          <w:lang w:val="en-GB"/>
        </w:rPr>
        <w:t xml:space="preserve">below </w:t>
      </w:r>
      <w:r w:rsidRPr="003078DF">
        <w:rPr>
          <w:rFonts w:asciiTheme="minorHAnsi" w:hAnsiTheme="minorHAnsi" w:cstheme="minorHAnsi"/>
          <w:lang w:val="en-GB"/>
        </w:rPr>
        <w:t xml:space="preserve">30ha per day </w:t>
      </w:r>
      <w:r>
        <w:rPr>
          <w:rFonts w:asciiTheme="minorHAnsi" w:hAnsiTheme="minorHAnsi" w:cstheme="minorHAnsi"/>
          <w:noProof/>
          <w:lang w:val="en-GB"/>
        </w:rPr>
        <w:t>(</w:t>
      </w:r>
      <w:r w:rsidR="00E7058F">
        <w:rPr>
          <w:rFonts w:asciiTheme="minorHAnsi" w:hAnsiTheme="minorHAnsi" w:cstheme="minorHAnsi"/>
          <w:noProof/>
          <w:lang w:val="en-GB"/>
        </w:rPr>
        <w:t>The Federal Government, 2016)</w:t>
      </w:r>
      <w:r>
        <w:rPr>
          <w:rFonts w:asciiTheme="minorHAnsi" w:hAnsiTheme="minorHAnsi" w:cstheme="minorHAnsi"/>
          <w:lang w:val="en-GB"/>
        </w:rPr>
        <w:t xml:space="preserve">, and Switzerland </w:t>
      </w:r>
      <w:r w:rsidR="00A40101">
        <w:rPr>
          <w:rFonts w:asciiTheme="minorHAnsi" w:hAnsiTheme="minorHAnsi" w:cstheme="minorHAnsi"/>
          <w:lang w:val="en-GB"/>
        </w:rPr>
        <w:t xml:space="preserve">revised its Spatial Planning Act to </w:t>
      </w:r>
      <w:r>
        <w:rPr>
          <w:rFonts w:asciiTheme="minorHAnsi" w:hAnsiTheme="minorHAnsi" w:cstheme="minorHAnsi"/>
          <w:lang w:val="en-GB"/>
        </w:rPr>
        <w:t xml:space="preserve">significantly limit urban expansion by forcing cantons and communes to </w:t>
      </w:r>
      <w:r w:rsidR="00A40101">
        <w:rPr>
          <w:rFonts w:asciiTheme="minorHAnsi" w:hAnsiTheme="minorHAnsi" w:cstheme="minorHAnsi"/>
          <w:lang w:val="en-GB"/>
        </w:rPr>
        <w:t>update</w:t>
      </w:r>
      <w:r>
        <w:rPr>
          <w:rFonts w:asciiTheme="minorHAnsi" w:hAnsiTheme="minorHAnsi" w:cstheme="minorHAnsi"/>
          <w:lang w:val="en-GB"/>
        </w:rPr>
        <w:t xml:space="preserve"> zoning plans if building land exceeds the objectively assessed need. The Netherlands introduced the </w:t>
      </w:r>
      <w:r w:rsidR="00B67404">
        <w:rPr>
          <w:rFonts w:asciiTheme="minorHAnsi" w:hAnsiTheme="minorHAnsi" w:cstheme="minorHAnsi"/>
          <w:lang w:val="en-GB"/>
        </w:rPr>
        <w:t>‘</w:t>
      </w:r>
      <w:r>
        <w:rPr>
          <w:rFonts w:asciiTheme="minorHAnsi" w:hAnsiTheme="minorHAnsi" w:cstheme="minorHAnsi"/>
          <w:lang w:val="en-GB"/>
        </w:rPr>
        <w:t>Ladder of Sustainable Urbanisation</w:t>
      </w:r>
      <w:r w:rsidR="00B67404">
        <w:rPr>
          <w:rFonts w:asciiTheme="minorHAnsi" w:hAnsiTheme="minorHAnsi" w:cstheme="minorHAnsi"/>
          <w:lang w:val="en-GB"/>
        </w:rPr>
        <w:t>’</w:t>
      </w:r>
      <w:r>
        <w:rPr>
          <w:rFonts w:asciiTheme="minorHAnsi" w:hAnsiTheme="minorHAnsi" w:cstheme="minorHAnsi"/>
          <w:lang w:val="en-GB"/>
        </w:rPr>
        <w:t xml:space="preserve"> to prioritise development within built-up areas. In England, urban containment, reuse of brownfield land and density uplifts are stated goals in the latest National Planning Policy Framework (MHCLG, 2019)</w:t>
      </w:r>
      <w:r w:rsidRPr="003078DF">
        <w:rPr>
          <w:rFonts w:asciiTheme="minorHAnsi" w:hAnsiTheme="minorHAnsi" w:cstheme="minorHAnsi"/>
          <w:lang w:val="en-GB"/>
        </w:rPr>
        <w:t>.</w:t>
      </w:r>
      <w:r>
        <w:rPr>
          <w:rFonts w:asciiTheme="minorHAnsi" w:hAnsiTheme="minorHAnsi" w:cstheme="minorHAnsi"/>
          <w:lang w:val="en-GB"/>
        </w:rPr>
        <w:t xml:space="preserve"> Although d</w:t>
      </w:r>
      <w:r w:rsidRPr="003078DF">
        <w:rPr>
          <w:rFonts w:asciiTheme="minorHAnsi" w:hAnsiTheme="minorHAnsi" w:cstheme="minorHAnsi"/>
          <w:lang w:val="en-GB"/>
        </w:rPr>
        <w:t>ensi</w:t>
      </w:r>
      <w:r>
        <w:rPr>
          <w:rFonts w:asciiTheme="minorHAnsi" w:hAnsiTheme="minorHAnsi" w:cstheme="minorHAnsi"/>
          <w:lang w:val="en-GB"/>
        </w:rPr>
        <w:t>fication</w:t>
      </w:r>
      <w:r w:rsidRPr="003078DF">
        <w:rPr>
          <w:rFonts w:asciiTheme="minorHAnsi" w:hAnsiTheme="minorHAnsi" w:cstheme="minorHAnsi"/>
          <w:lang w:val="en-GB"/>
        </w:rPr>
        <w:t xml:space="preserve"> has been </w:t>
      </w:r>
      <w:r>
        <w:rPr>
          <w:rFonts w:asciiTheme="minorHAnsi" w:hAnsiTheme="minorHAnsi" w:cstheme="minorHAnsi"/>
          <w:lang w:val="en-GB"/>
        </w:rPr>
        <w:t xml:space="preserve">with us for quite a while as </w:t>
      </w:r>
      <w:r w:rsidRPr="003078DF">
        <w:rPr>
          <w:rFonts w:asciiTheme="minorHAnsi" w:hAnsiTheme="minorHAnsi" w:cstheme="minorHAnsi"/>
          <w:lang w:val="en-GB"/>
        </w:rPr>
        <w:t xml:space="preserve">a policy goal to achieve compact cities </w:t>
      </w:r>
      <w:r>
        <w:rPr>
          <w:rFonts w:asciiTheme="minorHAnsi" w:hAnsiTheme="minorHAnsi" w:cstheme="minorHAnsi"/>
          <w:noProof/>
          <w:lang w:val="en-GB"/>
        </w:rPr>
        <w:t>(Breheny, 1992</w:t>
      </w:r>
      <w:r w:rsidR="00B67404">
        <w:rPr>
          <w:rFonts w:asciiTheme="minorHAnsi" w:hAnsiTheme="minorHAnsi" w:cstheme="minorHAnsi"/>
          <w:noProof/>
          <w:lang w:val="en-GB"/>
        </w:rPr>
        <w:t>;</w:t>
      </w:r>
      <w:r>
        <w:rPr>
          <w:rFonts w:asciiTheme="minorHAnsi" w:hAnsiTheme="minorHAnsi" w:cstheme="minorHAnsi"/>
          <w:noProof/>
          <w:lang w:val="en-GB"/>
        </w:rPr>
        <w:t xml:space="preserve"> 1997</w:t>
      </w:r>
      <w:r w:rsidR="0096423E">
        <w:rPr>
          <w:rFonts w:asciiTheme="minorHAnsi" w:hAnsiTheme="minorHAnsi" w:cstheme="minorHAnsi"/>
          <w:noProof/>
          <w:lang w:val="en-GB"/>
        </w:rPr>
        <w:t>; Burton et al., 1996; Dieleman and Wegener, 2004</w:t>
      </w:r>
      <w:r>
        <w:rPr>
          <w:rFonts w:asciiTheme="minorHAnsi" w:hAnsiTheme="minorHAnsi" w:cstheme="minorHAnsi"/>
          <w:noProof/>
          <w:lang w:val="en-GB"/>
        </w:rPr>
        <w:t>)</w:t>
      </w:r>
      <w:r>
        <w:rPr>
          <w:rFonts w:asciiTheme="minorHAnsi" w:hAnsiTheme="minorHAnsi" w:cstheme="minorHAnsi"/>
          <w:lang w:val="en-GB"/>
        </w:rPr>
        <w:t xml:space="preserve">, two macro trends have brought it back into the spotlight. </w:t>
      </w:r>
    </w:p>
    <w:p w14:paraId="31E04E84" w14:textId="7C1A357F" w:rsidR="001F61C5" w:rsidRDefault="001F61C5" w:rsidP="0089450A">
      <w:pPr>
        <w:ind w:firstLine="426"/>
        <w:rPr>
          <w:rFonts w:asciiTheme="minorHAnsi" w:hAnsiTheme="minorHAnsi" w:cstheme="minorHAnsi"/>
          <w:lang w:val="en-GB"/>
        </w:rPr>
      </w:pPr>
      <w:r>
        <w:rPr>
          <w:rFonts w:asciiTheme="minorHAnsi" w:hAnsiTheme="minorHAnsi" w:cstheme="minorHAnsi"/>
          <w:lang w:val="en-GB"/>
        </w:rPr>
        <w:t>First, t</w:t>
      </w:r>
      <w:r w:rsidRPr="003078DF">
        <w:rPr>
          <w:rFonts w:asciiTheme="minorHAnsi" w:hAnsiTheme="minorHAnsi" w:cstheme="minorHAnsi"/>
          <w:lang w:val="en-GB"/>
        </w:rPr>
        <w:t>he resurgence of cities has result</w:t>
      </w:r>
      <w:r>
        <w:rPr>
          <w:rFonts w:asciiTheme="minorHAnsi" w:hAnsiTheme="minorHAnsi" w:cstheme="minorHAnsi"/>
          <w:lang w:val="en-GB"/>
        </w:rPr>
        <w:t>ed</w:t>
      </w:r>
      <w:r w:rsidRPr="003078DF">
        <w:rPr>
          <w:rFonts w:asciiTheme="minorHAnsi" w:hAnsiTheme="minorHAnsi" w:cstheme="minorHAnsi"/>
          <w:lang w:val="en-GB"/>
        </w:rPr>
        <w:t xml:space="preserve"> in new growth of metropolitan areas in Europe </w:t>
      </w:r>
      <w:r>
        <w:rPr>
          <w:rFonts w:asciiTheme="minorHAnsi" w:hAnsiTheme="minorHAnsi" w:cstheme="minorHAnsi"/>
          <w:noProof/>
          <w:lang w:val="en-GB"/>
        </w:rPr>
        <w:t>(Turok and Mykhnenko, 2007</w:t>
      </w:r>
      <w:r w:rsidR="00B67404">
        <w:rPr>
          <w:rFonts w:asciiTheme="minorHAnsi" w:hAnsiTheme="minorHAnsi" w:cstheme="minorHAnsi"/>
          <w:noProof/>
          <w:lang w:val="en-GB"/>
        </w:rPr>
        <w:t>;</w:t>
      </w:r>
      <w:r>
        <w:rPr>
          <w:rFonts w:asciiTheme="minorHAnsi" w:hAnsiTheme="minorHAnsi" w:cstheme="minorHAnsi"/>
          <w:noProof/>
          <w:lang w:val="en-GB"/>
        </w:rPr>
        <w:t xml:space="preserve"> Wolff, 2018</w:t>
      </w:r>
      <w:r w:rsidR="00B67404">
        <w:rPr>
          <w:rFonts w:asciiTheme="minorHAnsi" w:hAnsiTheme="minorHAnsi" w:cstheme="minorHAnsi"/>
          <w:noProof/>
          <w:lang w:val="en-GB"/>
        </w:rPr>
        <w:t>;</w:t>
      </w:r>
      <w:r>
        <w:rPr>
          <w:rFonts w:asciiTheme="minorHAnsi" w:hAnsiTheme="minorHAnsi" w:cstheme="minorHAnsi"/>
          <w:noProof/>
          <w:lang w:val="en-GB"/>
        </w:rPr>
        <w:t xml:space="preserve"> </w:t>
      </w:r>
      <w:r w:rsidRPr="00B67404">
        <w:rPr>
          <w:rFonts w:asciiTheme="minorHAnsi" w:hAnsiTheme="minorHAnsi" w:cstheme="minorHAnsi"/>
          <w:noProof/>
          <w:lang w:val="en-GB"/>
        </w:rPr>
        <w:t>Dembski et al., 2019</w:t>
      </w:r>
      <w:r>
        <w:rPr>
          <w:rFonts w:asciiTheme="minorHAnsi" w:hAnsiTheme="minorHAnsi" w:cstheme="minorHAnsi"/>
          <w:noProof/>
          <w:lang w:val="en-GB"/>
        </w:rPr>
        <w:t>)</w:t>
      </w:r>
      <w:r w:rsidRPr="003078DF">
        <w:rPr>
          <w:rFonts w:asciiTheme="minorHAnsi" w:hAnsiTheme="minorHAnsi" w:cstheme="minorHAnsi"/>
          <w:lang w:val="en-GB"/>
        </w:rPr>
        <w:t>.</w:t>
      </w:r>
      <w:r>
        <w:rPr>
          <w:rFonts w:asciiTheme="minorHAnsi" w:hAnsiTheme="minorHAnsi" w:cstheme="minorHAnsi"/>
          <w:lang w:val="en-GB"/>
        </w:rPr>
        <w:t xml:space="preserve"> </w:t>
      </w:r>
      <w:r w:rsidRPr="003078DF">
        <w:rPr>
          <w:rFonts w:asciiTheme="minorHAnsi" w:hAnsiTheme="minorHAnsi" w:cstheme="minorHAnsi"/>
          <w:lang w:val="en-GB"/>
        </w:rPr>
        <w:t>The global trend of urbanisation and the claim that more than half of the world’s population now live</w:t>
      </w:r>
      <w:r>
        <w:rPr>
          <w:rFonts w:asciiTheme="minorHAnsi" w:hAnsiTheme="minorHAnsi" w:cstheme="minorHAnsi"/>
          <w:lang w:val="en-GB"/>
        </w:rPr>
        <w:t>s</w:t>
      </w:r>
      <w:r w:rsidRPr="003078DF">
        <w:rPr>
          <w:rFonts w:asciiTheme="minorHAnsi" w:hAnsiTheme="minorHAnsi" w:cstheme="minorHAnsi"/>
          <w:lang w:val="en-GB"/>
        </w:rPr>
        <w:t xml:space="preserve"> in cities has resulted in the assertion that we are living in an </w:t>
      </w:r>
      <w:r>
        <w:rPr>
          <w:rFonts w:asciiTheme="minorHAnsi" w:hAnsiTheme="minorHAnsi" w:cstheme="minorHAnsi"/>
          <w:lang w:val="en-GB"/>
        </w:rPr>
        <w:t>‘</w:t>
      </w:r>
      <w:r w:rsidRPr="003078DF">
        <w:rPr>
          <w:rFonts w:asciiTheme="minorHAnsi" w:hAnsiTheme="minorHAnsi" w:cstheme="minorHAnsi"/>
          <w:lang w:val="en-GB"/>
        </w:rPr>
        <w:t>urban age</w:t>
      </w:r>
      <w:r>
        <w:rPr>
          <w:rFonts w:asciiTheme="minorHAnsi" w:hAnsiTheme="minorHAnsi" w:cstheme="minorHAnsi"/>
          <w:lang w:val="en-GB"/>
        </w:rPr>
        <w:t>’</w:t>
      </w:r>
      <w:r w:rsidRPr="003078DF">
        <w:rPr>
          <w:rFonts w:asciiTheme="minorHAnsi" w:hAnsiTheme="minorHAnsi" w:cstheme="minorHAnsi"/>
          <w:lang w:val="en-GB"/>
        </w:rPr>
        <w:t xml:space="preserve"> </w:t>
      </w:r>
      <w:r>
        <w:rPr>
          <w:rFonts w:asciiTheme="minorHAnsi" w:hAnsiTheme="minorHAnsi" w:cstheme="minorHAnsi"/>
          <w:noProof/>
          <w:lang w:val="en-GB"/>
        </w:rPr>
        <w:t xml:space="preserve">(see </w:t>
      </w:r>
      <w:r w:rsidR="003A4B1D">
        <w:rPr>
          <w:rFonts w:asciiTheme="minorHAnsi" w:hAnsiTheme="minorHAnsi" w:cstheme="minorHAnsi"/>
          <w:noProof/>
          <w:lang w:val="en-GB"/>
        </w:rPr>
        <w:t xml:space="preserve">Brenner and Schmid, 2014, </w:t>
      </w:r>
      <w:r>
        <w:rPr>
          <w:rFonts w:asciiTheme="minorHAnsi" w:hAnsiTheme="minorHAnsi" w:cstheme="minorHAnsi"/>
          <w:noProof/>
          <w:lang w:val="en-GB"/>
        </w:rPr>
        <w:t>for a critical discussion)</w:t>
      </w:r>
      <w:r w:rsidRPr="003078DF">
        <w:rPr>
          <w:rFonts w:asciiTheme="minorHAnsi" w:hAnsiTheme="minorHAnsi" w:cstheme="minorHAnsi"/>
          <w:lang w:val="en-GB"/>
        </w:rPr>
        <w:t>. Whilst much of th</w:t>
      </w:r>
      <w:r>
        <w:rPr>
          <w:rFonts w:asciiTheme="minorHAnsi" w:hAnsiTheme="minorHAnsi" w:cstheme="minorHAnsi"/>
          <w:lang w:val="en-GB"/>
        </w:rPr>
        <w:t>is</w:t>
      </w:r>
      <w:r w:rsidRPr="003078DF">
        <w:rPr>
          <w:rFonts w:asciiTheme="minorHAnsi" w:hAnsiTheme="minorHAnsi" w:cstheme="minorHAnsi"/>
          <w:lang w:val="en-GB"/>
        </w:rPr>
        <w:t xml:space="preserve"> urbanisation has taken place in the Global South, many European cities are </w:t>
      </w:r>
      <w:r>
        <w:rPr>
          <w:rFonts w:asciiTheme="minorHAnsi" w:hAnsiTheme="minorHAnsi" w:cstheme="minorHAnsi"/>
          <w:lang w:val="en-GB"/>
        </w:rPr>
        <w:t xml:space="preserve">also </w:t>
      </w:r>
      <w:r w:rsidRPr="003078DF">
        <w:rPr>
          <w:rFonts w:asciiTheme="minorHAnsi" w:hAnsiTheme="minorHAnsi" w:cstheme="minorHAnsi"/>
          <w:lang w:val="en-GB"/>
        </w:rPr>
        <w:t xml:space="preserve">experiencing sustained and rapid population growth </w:t>
      </w:r>
      <w:r>
        <w:rPr>
          <w:rFonts w:asciiTheme="minorHAnsi" w:hAnsiTheme="minorHAnsi" w:cstheme="minorHAnsi"/>
          <w:lang w:val="en-GB"/>
        </w:rPr>
        <w:t>following</w:t>
      </w:r>
      <w:r w:rsidRPr="003078DF">
        <w:rPr>
          <w:rFonts w:asciiTheme="minorHAnsi" w:hAnsiTheme="minorHAnsi" w:cstheme="minorHAnsi"/>
          <w:lang w:val="en-GB"/>
        </w:rPr>
        <w:t xml:space="preserve"> decades of suburbanisation and deindustrialisation </w:t>
      </w:r>
      <w:r>
        <w:rPr>
          <w:rFonts w:asciiTheme="minorHAnsi" w:hAnsiTheme="minorHAnsi" w:cstheme="minorHAnsi"/>
          <w:noProof/>
          <w:lang w:val="en-GB"/>
        </w:rPr>
        <w:t>(Cheshire, 2006</w:t>
      </w:r>
      <w:r w:rsidR="00B67404">
        <w:rPr>
          <w:rFonts w:asciiTheme="minorHAnsi" w:hAnsiTheme="minorHAnsi" w:cstheme="minorHAnsi"/>
          <w:noProof/>
          <w:lang w:val="en-GB"/>
        </w:rPr>
        <w:t>;</w:t>
      </w:r>
      <w:r>
        <w:rPr>
          <w:rFonts w:asciiTheme="minorHAnsi" w:hAnsiTheme="minorHAnsi" w:cstheme="minorHAnsi"/>
          <w:noProof/>
          <w:lang w:val="en-GB"/>
        </w:rPr>
        <w:t xml:space="preserve"> Turok and Mykhnenko, 2007</w:t>
      </w:r>
      <w:r w:rsidR="00B67404">
        <w:rPr>
          <w:rFonts w:asciiTheme="minorHAnsi" w:hAnsiTheme="minorHAnsi" w:cstheme="minorHAnsi"/>
          <w:noProof/>
          <w:lang w:val="en-GB"/>
        </w:rPr>
        <w:t>;</w:t>
      </w:r>
      <w:r>
        <w:rPr>
          <w:rFonts w:asciiTheme="minorHAnsi" w:hAnsiTheme="minorHAnsi" w:cstheme="minorHAnsi"/>
          <w:noProof/>
          <w:lang w:val="en-GB"/>
        </w:rPr>
        <w:t xml:space="preserve"> Wolff, 2018)</w:t>
      </w:r>
      <w:r w:rsidRPr="003078DF">
        <w:rPr>
          <w:rFonts w:asciiTheme="minorHAnsi" w:hAnsiTheme="minorHAnsi" w:cstheme="minorHAnsi"/>
          <w:lang w:val="en-GB"/>
        </w:rPr>
        <w:t xml:space="preserve">. </w:t>
      </w:r>
      <w:r>
        <w:rPr>
          <w:rFonts w:asciiTheme="minorHAnsi" w:hAnsiTheme="minorHAnsi" w:cstheme="minorHAnsi"/>
          <w:lang w:val="en-GB"/>
        </w:rPr>
        <w:t>For</w:t>
      </w:r>
      <w:r w:rsidRPr="003078DF">
        <w:rPr>
          <w:rFonts w:asciiTheme="minorHAnsi" w:hAnsiTheme="minorHAnsi" w:cstheme="minorHAnsi"/>
          <w:lang w:val="en-GB"/>
        </w:rPr>
        <w:t xml:space="preserve"> most of the second half of the twentieth century, cities </w:t>
      </w:r>
      <w:r>
        <w:rPr>
          <w:rFonts w:asciiTheme="minorHAnsi" w:hAnsiTheme="minorHAnsi" w:cstheme="minorHAnsi"/>
          <w:lang w:val="en-GB"/>
        </w:rPr>
        <w:t>grew</w:t>
      </w:r>
      <w:r w:rsidRPr="003078DF">
        <w:rPr>
          <w:rFonts w:asciiTheme="minorHAnsi" w:hAnsiTheme="minorHAnsi" w:cstheme="minorHAnsi"/>
          <w:lang w:val="en-GB"/>
        </w:rPr>
        <w:t xml:space="preserve"> </w:t>
      </w:r>
      <w:r>
        <w:rPr>
          <w:rFonts w:asciiTheme="minorHAnsi" w:hAnsiTheme="minorHAnsi" w:cstheme="minorHAnsi"/>
          <w:lang w:val="en-GB"/>
        </w:rPr>
        <w:t>at the periphery</w:t>
      </w:r>
      <w:r w:rsidRPr="003078DF">
        <w:rPr>
          <w:rFonts w:asciiTheme="minorHAnsi" w:hAnsiTheme="minorHAnsi" w:cstheme="minorHAnsi"/>
          <w:lang w:val="en-GB"/>
        </w:rPr>
        <w:t xml:space="preserve">. However, since the turn of the millennium we can not only observe the return of the city but also the ‘return to the city’ </w:t>
      </w:r>
      <w:r w:rsidRPr="003078DF">
        <w:rPr>
          <w:rFonts w:asciiTheme="minorHAnsi" w:hAnsiTheme="minorHAnsi" w:cstheme="minorHAnsi"/>
          <w:noProof/>
          <w:lang w:val="en-GB"/>
        </w:rPr>
        <w:t>(Rae, 2013)</w:t>
      </w:r>
      <w:r w:rsidRPr="003078DF">
        <w:rPr>
          <w:rFonts w:asciiTheme="minorHAnsi" w:hAnsiTheme="minorHAnsi" w:cstheme="minorHAnsi"/>
          <w:lang w:val="en-GB"/>
        </w:rPr>
        <w:t xml:space="preserve"> in a number of countries. This phenomenon is widely known as </w:t>
      </w:r>
      <w:proofErr w:type="spellStart"/>
      <w:r w:rsidRPr="003078DF">
        <w:rPr>
          <w:rFonts w:asciiTheme="minorHAnsi" w:hAnsiTheme="minorHAnsi" w:cstheme="minorHAnsi"/>
          <w:lang w:val="en-GB"/>
        </w:rPr>
        <w:t>reurbanisation</w:t>
      </w:r>
      <w:proofErr w:type="spellEnd"/>
      <w:r>
        <w:rPr>
          <w:rFonts w:asciiTheme="minorHAnsi" w:hAnsiTheme="minorHAnsi" w:cstheme="minorHAnsi"/>
          <w:lang w:val="en-GB"/>
        </w:rPr>
        <w:t xml:space="preserve"> and results in enlarging population concentrations in urban regions </w:t>
      </w:r>
      <w:r>
        <w:rPr>
          <w:rFonts w:asciiTheme="minorHAnsi" w:hAnsiTheme="minorHAnsi" w:cstheme="minorHAnsi"/>
          <w:noProof/>
          <w:lang w:val="en-GB"/>
        </w:rPr>
        <w:t>(</w:t>
      </w:r>
      <w:r w:rsidRPr="00853A4C">
        <w:rPr>
          <w:rFonts w:asciiTheme="minorHAnsi" w:hAnsiTheme="minorHAnsi" w:cstheme="minorHAnsi"/>
          <w:noProof/>
          <w:lang w:val="en-GB"/>
        </w:rPr>
        <w:t>Dembski et al.,</w:t>
      </w:r>
      <w:r>
        <w:rPr>
          <w:rFonts w:asciiTheme="minorHAnsi" w:hAnsiTheme="minorHAnsi" w:cstheme="minorHAnsi"/>
          <w:noProof/>
          <w:lang w:val="en-GB"/>
        </w:rPr>
        <w:t xml:space="preserve"> 2019)</w:t>
      </w:r>
      <w:r w:rsidRPr="003078DF">
        <w:rPr>
          <w:rFonts w:asciiTheme="minorHAnsi" w:hAnsiTheme="minorHAnsi" w:cstheme="minorHAnsi"/>
          <w:lang w:val="en-GB"/>
        </w:rPr>
        <w:t xml:space="preserve">. The result of increasing demand for housing in the centre combined with population and household growth in many metropolitan areas </w:t>
      </w:r>
      <w:r>
        <w:rPr>
          <w:rFonts w:asciiTheme="minorHAnsi" w:hAnsiTheme="minorHAnsi" w:cstheme="minorHAnsi"/>
          <w:lang w:val="en-GB"/>
        </w:rPr>
        <w:t xml:space="preserve">led to </w:t>
      </w:r>
      <w:r w:rsidRPr="003078DF">
        <w:rPr>
          <w:rFonts w:asciiTheme="minorHAnsi" w:hAnsiTheme="minorHAnsi" w:cstheme="minorHAnsi"/>
          <w:lang w:val="en-GB"/>
        </w:rPr>
        <w:t xml:space="preserve">a process of transformation both in the central urban areas as well as in the existing suburban fabric </w:t>
      </w:r>
      <w:r w:rsidRPr="003078DF">
        <w:rPr>
          <w:rFonts w:asciiTheme="minorHAnsi" w:hAnsiTheme="minorHAnsi" w:cstheme="minorHAnsi"/>
          <w:noProof/>
          <w:lang w:val="en-GB"/>
        </w:rPr>
        <w:t>(Charmes and Keil, 2015)</w:t>
      </w:r>
      <w:r w:rsidRPr="003078DF">
        <w:rPr>
          <w:rFonts w:asciiTheme="minorHAnsi" w:hAnsiTheme="minorHAnsi" w:cstheme="minorHAnsi"/>
          <w:lang w:val="en-GB"/>
        </w:rPr>
        <w:t xml:space="preserve">. </w:t>
      </w:r>
      <w:r>
        <w:rPr>
          <w:rFonts w:asciiTheme="minorHAnsi" w:hAnsiTheme="minorHAnsi" w:cstheme="minorHAnsi"/>
          <w:lang w:val="en-GB"/>
        </w:rPr>
        <w:t xml:space="preserve">These processes exacerbate the challenge of providing sufficient and appropriate affordable housing, </w:t>
      </w:r>
      <w:r w:rsidR="000726FD">
        <w:rPr>
          <w:rFonts w:asciiTheme="minorHAnsi" w:hAnsiTheme="minorHAnsi" w:cstheme="minorHAnsi"/>
          <w:lang w:val="en-GB"/>
        </w:rPr>
        <w:t>which</w:t>
      </w:r>
      <w:r>
        <w:rPr>
          <w:rFonts w:asciiTheme="minorHAnsi" w:hAnsiTheme="minorHAnsi" w:cstheme="minorHAnsi"/>
          <w:lang w:val="en-GB"/>
        </w:rPr>
        <w:t xml:space="preserve"> in rapidly growing cities </w:t>
      </w:r>
      <w:r w:rsidR="000726FD">
        <w:rPr>
          <w:rFonts w:asciiTheme="minorHAnsi" w:hAnsiTheme="minorHAnsi" w:cstheme="minorHAnsi"/>
          <w:lang w:val="en-GB"/>
        </w:rPr>
        <w:t xml:space="preserve">with overheated housing markets increasingly </w:t>
      </w:r>
      <w:r w:rsidR="009761FF">
        <w:rPr>
          <w:rFonts w:asciiTheme="minorHAnsi" w:hAnsiTheme="minorHAnsi" w:cstheme="minorHAnsi"/>
          <w:lang w:val="en-GB"/>
        </w:rPr>
        <w:t>affects</w:t>
      </w:r>
      <w:r w:rsidR="000726FD">
        <w:rPr>
          <w:rFonts w:asciiTheme="minorHAnsi" w:hAnsiTheme="minorHAnsi" w:cstheme="minorHAnsi"/>
          <w:lang w:val="en-GB"/>
        </w:rPr>
        <w:t xml:space="preserve"> middle</w:t>
      </w:r>
      <w:r w:rsidR="009761FF">
        <w:rPr>
          <w:rFonts w:asciiTheme="minorHAnsi" w:hAnsiTheme="minorHAnsi" w:cstheme="minorHAnsi"/>
          <w:lang w:val="en-GB"/>
        </w:rPr>
        <w:t>-class residents –</w:t>
      </w:r>
      <w:r>
        <w:rPr>
          <w:rFonts w:asciiTheme="minorHAnsi" w:hAnsiTheme="minorHAnsi" w:cstheme="minorHAnsi"/>
          <w:lang w:val="en-GB"/>
        </w:rPr>
        <w:t xml:space="preserve"> </w:t>
      </w:r>
      <w:r w:rsidR="009761FF">
        <w:rPr>
          <w:rFonts w:asciiTheme="minorHAnsi" w:hAnsiTheme="minorHAnsi" w:cstheme="minorHAnsi"/>
          <w:lang w:val="en-GB"/>
        </w:rPr>
        <w:t xml:space="preserve">a </w:t>
      </w:r>
      <w:r>
        <w:rPr>
          <w:rFonts w:asciiTheme="minorHAnsi" w:hAnsiTheme="minorHAnsi" w:cstheme="minorHAnsi"/>
          <w:lang w:val="en-GB"/>
        </w:rPr>
        <w:t>problematic phenomenon for planning where urban housing aspirations are weakly conceptualised and in flux (</w:t>
      </w:r>
      <w:proofErr w:type="spellStart"/>
      <w:r>
        <w:rPr>
          <w:rFonts w:asciiTheme="minorHAnsi" w:hAnsiTheme="minorHAnsi" w:cstheme="minorHAnsi"/>
          <w:lang w:val="en-GB"/>
        </w:rPr>
        <w:t>Opit</w:t>
      </w:r>
      <w:proofErr w:type="spellEnd"/>
      <w:r>
        <w:rPr>
          <w:rFonts w:asciiTheme="minorHAnsi" w:hAnsiTheme="minorHAnsi" w:cstheme="minorHAnsi"/>
          <w:lang w:val="en-GB"/>
        </w:rPr>
        <w:t xml:space="preserve"> et al., 2020). In these market and policy contexts </w:t>
      </w:r>
      <w:proofErr w:type="spellStart"/>
      <w:r>
        <w:rPr>
          <w:rFonts w:asciiTheme="minorHAnsi" w:hAnsiTheme="minorHAnsi" w:cstheme="minorHAnsi"/>
          <w:lang w:val="en-GB"/>
        </w:rPr>
        <w:t>reurbanisation</w:t>
      </w:r>
      <w:proofErr w:type="spellEnd"/>
      <w:r>
        <w:rPr>
          <w:rFonts w:asciiTheme="minorHAnsi" w:hAnsiTheme="minorHAnsi" w:cstheme="minorHAnsi"/>
          <w:lang w:val="en-GB"/>
        </w:rPr>
        <w:t xml:space="preserve"> is a force for the densification of cities. </w:t>
      </w:r>
    </w:p>
    <w:p w14:paraId="0530FE04" w14:textId="76E56AF2" w:rsidR="001F61C5" w:rsidRDefault="001F61C5" w:rsidP="0089450A">
      <w:pPr>
        <w:ind w:firstLine="426"/>
        <w:rPr>
          <w:rFonts w:asciiTheme="minorHAnsi" w:hAnsiTheme="minorHAnsi" w:cstheme="minorHAnsi"/>
          <w:lang w:val="en-GB"/>
        </w:rPr>
      </w:pPr>
      <w:r>
        <w:rPr>
          <w:rFonts w:asciiTheme="minorHAnsi" w:hAnsiTheme="minorHAnsi" w:cstheme="minorHAnsi"/>
          <w:lang w:val="en-GB"/>
        </w:rPr>
        <w:t xml:space="preserve">The second macro trend that triggers attention for densification is the increased awareness of an emerging climate crisis. This has highlighted the importance of sustainable urban development, as evidenced in the UN’s </w:t>
      </w:r>
      <w:r w:rsidRPr="00563CD8">
        <w:rPr>
          <w:rFonts w:asciiTheme="minorHAnsi" w:hAnsiTheme="minorHAnsi" w:cstheme="minorHAnsi"/>
          <w:i/>
          <w:iCs/>
          <w:lang w:val="en-GB"/>
        </w:rPr>
        <w:t>Sustainable Development Goals</w:t>
      </w:r>
      <w:r>
        <w:rPr>
          <w:rFonts w:asciiTheme="minorHAnsi" w:hAnsiTheme="minorHAnsi" w:cstheme="minorHAnsi"/>
          <w:lang w:val="en-GB"/>
        </w:rPr>
        <w:t xml:space="preserve"> and </w:t>
      </w:r>
      <w:r w:rsidRPr="00563CD8">
        <w:rPr>
          <w:rFonts w:asciiTheme="minorHAnsi" w:hAnsiTheme="minorHAnsi" w:cstheme="minorHAnsi"/>
          <w:i/>
          <w:iCs/>
          <w:lang w:val="en-GB"/>
        </w:rPr>
        <w:t xml:space="preserve">New Urban </w:t>
      </w:r>
      <w:r w:rsidRPr="00D442F7">
        <w:rPr>
          <w:rFonts w:asciiTheme="minorHAnsi" w:hAnsiTheme="minorHAnsi" w:cstheme="minorHAnsi"/>
          <w:i/>
          <w:iCs/>
          <w:lang w:val="en-GB"/>
        </w:rPr>
        <w:t>Agenda</w:t>
      </w:r>
      <w:r w:rsidRPr="00D442F7">
        <w:rPr>
          <w:rFonts w:asciiTheme="minorHAnsi" w:hAnsiTheme="minorHAnsi" w:cstheme="minorHAnsi"/>
          <w:lang w:val="en-GB"/>
        </w:rPr>
        <w:t xml:space="preserve"> (</w:t>
      </w:r>
      <w:r w:rsidRPr="00DC2596">
        <w:rPr>
          <w:rFonts w:asciiTheme="minorHAnsi" w:hAnsiTheme="minorHAnsi" w:cstheme="minorHAnsi"/>
          <w:lang w:val="en-GB"/>
        </w:rPr>
        <w:t>UN, 2015</w:t>
      </w:r>
      <w:r w:rsidR="00B67404">
        <w:rPr>
          <w:rFonts w:asciiTheme="minorHAnsi" w:hAnsiTheme="minorHAnsi" w:cstheme="minorHAnsi"/>
          <w:lang w:val="en-GB"/>
        </w:rPr>
        <w:t>;</w:t>
      </w:r>
      <w:r w:rsidRPr="00DC2596">
        <w:rPr>
          <w:rFonts w:asciiTheme="minorHAnsi" w:hAnsiTheme="minorHAnsi" w:cstheme="minorHAnsi"/>
          <w:lang w:val="en-GB"/>
        </w:rPr>
        <w:t xml:space="preserve"> 2016</w:t>
      </w:r>
      <w:r w:rsidRPr="00D442F7">
        <w:rPr>
          <w:rFonts w:asciiTheme="minorHAnsi" w:hAnsiTheme="minorHAnsi" w:cstheme="minorHAnsi"/>
          <w:lang w:val="en-GB"/>
        </w:rPr>
        <w:t>). Despite the increasing attractiveness of city-living, urban sprawl continues in</w:t>
      </w:r>
      <w:r w:rsidRPr="003078DF">
        <w:rPr>
          <w:rFonts w:asciiTheme="minorHAnsi" w:hAnsiTheme="minorHAnsi" w:cstheme="minorHAnsi"/>
          <w:lang w:val="en-GB"/>
        </w:rPr>
        <w:t xml:space="preserve"> virtually all European countries due to </w:t>
      </w:r>
      <w:r w:rsidRPr="003078DF">
        <w:rPr>
          <w:rFonts w:asciiTheme="minorHAnsi" w:hAnsiTheme="minorHAnsi" w:cstheme="minorHAnsi"/>
          <w:lang w:val="en-GB"/>
        </w:rPr>
        <w:lastRenderedPageBreak/>
        <w:t xml:space="preserve">population and/or household growth </w:t>
      </w:r>
      <w:r w:rsidRPr="003078DF">
        <w:rPr>
          <w:rFonts w:asciiTheme="minorHAnsi" w:hAnsiTheme="minorHAnsi" w:cstheme="minorHAnsi"/>
          <w:noProof/>
          <w:lang w:val="en-GB"/>
        </w:rPr>
        <w:t>(</w:t>
      </w:r>
      <w:r w:rsidR="00B67404">
        <w:rPr>
          <w:rFonts w:asciiTheme="minorHAnsi" w:hAnsiTheme="minorHAnsi" w:cstheme="minorHAnsi"/>
          <w:noProof/>
          <w:lang w:val="en-GB"/>
        </w:rPr>
        <w:t xml:space="preserve">Siedentop and Fina, 2012; </w:t>
      </w:r>
      <w:r w:rsidRPr="00B67404">
        <w:rPr>
          <w:rFonts w:asciiTheme="minorHAnsi" w:hAnsiTheme="minorHAnsi" w:cstheme="minorHAnsi"/>
          <w:noProof/>
          <w:lang w:val="en-GB"/>
        </w:rPr>
        <w:t>Haase et al.,</w:t>
      </w:r>
      <w:r w:rsidRPr="003078DF">
        <w:rPr>
          <w:rFonts w:asciiTheme="minorHAnsi" w:hAnsiTheme="minorHAnsi" w:cstheme="minorHAnsi"/>
          <w:noProof/>
          <w:lang w:val="en-GB"/>
        </w:rPr>
        <w:t xml:space="preserve"> 2013</w:t>
      </w:r>
      <w:r w:rsidR="00B67404">
        <w:rPr>
          <w:rFonts w:asciiTheme="minorHAnsi" w:hAnsiTheme="minorHAnsi" w:cstheme="minorHAnsi"/>
          <w:noProof/>
          <w:lang w:val="en-GB"/>
        </w:rPr>
        <w:t>;</w:t>
      </w:r>
      <w:r w:rsidRPr="003078DF">
        <w:rPr>
          <w:rFonts w:asciiTheme="minorHAnsi" w:hAnsiTheme="minorHAnsi" w:cstheme="minorHAnsi"/>
          <w:noProof/>
          <w:lang w:val="en-GB"/>
        </w:rPr>
        <w:t xml:space="preserve"> EEA and FOE</w:t>
      </w:r>
      <w:r w:rsidR="00B67404">
        <w:rPr>
          <w:rFonts w:asciiTheme="minorHAnsi" w:hAnsiTheme="minorHAnsi" w:cstheme="minorHAnsi"/>
          <w:noProof/>
          <w:lang w:val="en-GB"/>
        </w:rPr>
        <w:t>N</w:t>
      </w:r>
      <w:r w:rsidRPr="003078DF">
        <w:rPr>
          <w:rFonts w:asciiTheme="minorHAnsi" w:hAnsiTheme="minorHAnsi" w:cstheme="minorHAnsi"/>
          <w:noProof/>
          <w:lang w:val="en-GB"/>
        </w:rPr>
        <w:t>, 2016)</w:t>
      </w:r>
      <w:r w:rsidRPr="003078DF">
        <w:rPr>
          <w:rFonts w:asciiTheme="minorHAnsi" w:hAnsiTheme="minorHAnsi" w:cstheme="minorHAnsi"/>
          <w:lang w:val="en-GB"/>
        </w:rPr>
        <w:t xml:space="preserve">. </w:t>
      </w:r>
      <w:r>
        <w:rPr>
          <w:rFonts w:asciiTheme="minorHAnsi" w:hAnsiTheme="minorHAnsi" w:cstheme="minorHAnsi"/>
          <w:lang w:val="en-GB"/>
        </w:rPr>
        <w:t xml:space="preserve">Given the mixed results in limiting urban sprawl, densification poses a formidable policy challenge. Next to environmental concerns and landscape protection, agricultural land preservation triggers the densification of cities </w:t>
      </w:r>
      <w:r>
        <w:rPr>
          <w:rFonts w:asciiTheme="minorHAnsi" w:hAnsiTheme="minorHAnsi" w:cstheme="minorHAnsi"/>
          <w:noProof/>
          <w:lang w:val="en-GB"/>
        </w:rPr>
        <w:t>(Vejchodská and Pelucha, 2019)</w:t>
      </w:r>
      <w:r>
        <w:rPr>
          <w:rFonts w:asciiTheme="minorHAnsi" w:hAnsiTheme="minorHAnsi" w:cstheme="minorHAnsi"/>
          <w:lang w:val="en-GB"/>
        </w:rPr>
        <w:t xml:space="preserve">. So, </w:t>
      </w:r>
      <w:proofErr w:type="spellStart"/>
      <w:r>
        <w:rPr>
          <w:rFonts w:asciiTheme="minorHAnsi" w:hAnsiTheme="minorHAnsi" w:cstheme="minorHAnsi"/>
          <w:lang w:val="en-GB"/>
        </w:rPr>
        <w:t>reurbanisation</w:t>
      </w:r>
      <w:proofErr w:type="spellEnd"/>
      <w:r>
        <w:rPr>
          <w:rFonts w:asciiTheme="minorHAnsi" w:hAnsiTheme="minorHAnsi" w:cstheme="minorHAnsi"/>
          <w:lang w:val="en-GB"/>
        </w:rPr>
        <w:t xml:space="preserve"> and land thrift for various reasons both support densification. </w:t>
      </w:r>
    </w:p>
    <w:p w14:paraId="438D8DAF" w14:textId="1015A9F3" w:rsidR="001F61C5" w:rsidRPr="003078DF" w:rsidRDefault="001F61C5" w:rsidP="0089450A">
      <w:pPr>
        <w:ind w:firstLine="426"/>
        <w:rPr>
          <w:rFonts w:asciiTheme="minorHAnsi" w:hAnsiTheme="minorHAnsi" w:cstheme="minorHAnsi"/>
          <w:lang w:val="en-GB"/>
        </w:rPr>
      </w:pPr>
      <w:r>
        <w:rPr>
          <w:rFonts w:asciiTheme="minorHAnsi" w:hAnsiTheme="minorHAnsi" w:cstheme="minorHAnsi"/>
          <w:lang w:val="en-GB"/>
        </w:rPr>
        <w:t xml:space="preserve">Approaches to implementing densification differ across Europe, in particular regarding urban land policies. </w:t>
      </w:r>
      <w:r w:rsidRPr="003078DF">
        <w:rPr>
          <w:rFonts w:asciiTheme="minorHAnsi" w:hAnsiTheme="minorHAnsi" w:cstheme="minorHAnsi"/>
          <w:lang w:val="en-GB"/>
        </w:rPr>
        <w:t>This special issue brings togethe</w:t>
      </w:r>
      <w:r>
        <w:rPr>
          <w:rFonts w:asciiTheme="minorHAnsi" w:hAnsiTheme="minorHAnsi" w:cstheme="minorHAnsi"/>
          <w:lang w:val="en-GB"/>
        </w:rPr>
        <w:t xml:space="preserve">r evidence and analysis of the processes and outcomes of strategies of land policy for urban densification in European countries. This editorial sets the frame </w:t>
      </w:r>
      <w:r w:rsidR="00F96D8E">
        <w:rPr>
          <w:rFonts w:asciiTheme="minorHAnsi" w:hAnsiTheme="minorHAnsi" w:cstheme="minorHAnsi"/>
          <w:lang w:val="en-GB"/>
        </w:rPr>
        <w:t xml:space="preserve">for these discussions </w:t>
      </w:r>
      <w:r>
        <w:rPr>
          <w:rFonts w:asciiTheme="minorHAnsi" w:hAnsiTheme="minorHAnsi" w:cstheme="minorHAnsi"/>
          <w:lang w:val="en-GB"/>
        </w:rPr>
        <w:t xml:space="preserve">by elaborating on what densification means and the role of land policy in realising it, before elaborating on the contributions to this special issue. </w:t>
      </w:r>
    </w:p>
    <w:p w14:paraId="28814F30" w14:textId="77777777" w:rsidR="001F61C5" w:rsidRPr="003078DF" w:rsidRDefault="001F61C5" w:rsidP="003A4B1D">
      <w:pPr>
        <w:rPr>
          <w:rFonts w:asciiTheme="minorHAnsi" w:hAnsiTheme="minorHAnsi" w:cstheme="minorHAnsi"/>
          <w:lang w:val="en-GB"/>
        </w:rPr>
      </w:pPr>
    </w:p>
    <w:p w14:paraId="03C7AB66" w14:textId="77777777" w:rsidR="001F61C5" w:rsidRPr="003078DF" w:rsidRDefault="001F61C5" w:rsidP="003A4B1D">
      <w:pPr>
        <w:pStyle w:val="Heading1"/>
        <w:spacing w:before="0"/>
        <w:rPr>
          <w:rFonts w:asciiTheme="minorHAnsi" w:hAnsiTheme="minorHAnsi" w:cstheme="minorHAnsi"/>
          <w:b/>
          <w:sz w:val="24"/>
          <w:szCs w:val="24"/>
          <w:lang w:val="en-GB"/>
        </w:rPr>
      </w:pPr>
      <w:r w:rsidRPr="003078DF">
        <w:rPr>
          <w:rFonts w:asciiTheme="minorHAnsi" w:hAnsiTheme="minorHAnsi" w:cstheme="minorHAnsi"/>
          <w:b/>
          <w:sz w:val="24"/>
          <w:szCs w:val="24"/>
          <w:lang w:val="en-GB"/>
        </w:rPr>
        <w:t>What</w:t>
      </w:r>
      <w:r>
        <w:rPr>
          <w:rFonts w:asciiTheme="minorHAnsi" w:hAnsiTheme="minorHAnsi" w:cstheme="minorHAnsi"/>
          <w:b/>
          <w:sz w:val="24"/>
          <w:szCs w:val="24"/>
          <w:lang w:val="en-GB"/>
        </w:rPr>
        <w:t xml:space="preserve"> </w:t>
      </w:r>
      <w:r w:rsidRPr="003078DF">
        <w:rPr>
          <w:rFonts w:asciiTheme="minorHAnsi" w:hAnsiTheme="minorHAnsi" w:cstheme="minorHAnsi"/>
          <w:b/>
          <w:sz w:val="24"/>
          <w:szCs w:val="24"/>
          <w:lang w:val="en-GB"/>
        </w:rPr>
        <w:t>densification?</w:t>
      </w:r>
    </w:p>
    <w:p w14:paraId="1E071C0F" w14:textId="1187665F" w:rsidR="001F61C5" w:rsidRPr="003078DF" w:rsidRDefault="001F61C5" w:rsidP="003A4B1D">
      <w:pPr>
        <w:rPr>
          <w:rFonts w:asciiTheme="minorHAnsi" w:hAnsiTheme="minorHAnsi" w:cstheme="minorHAnsi"/>
          <w:lang w:val="en-GB"/>
        </w:rPr>
      </w:pPr>
      <w:r>
        <w:rPr>
          <w:rFonts w:asciiTheme="minorHAnsi" w:hAnsiTheme="minorHAnsi" w:cstheme="minorHAnsi"/>
          <w:lang w:val="en-GB"/>
        </w:rPr>
        <w:t>D</w:t>
      </w:r>
      <w:r w:rsidRPr="003078DF">
        <w:rPr>
          <w:rFonts w:asciiTheme="minorHAnsi" w:hAnsiTheme="minorHAnsi" w:cstheme="minorHAnsi"/>
          <w:lang w:val="en-GB"/>
        </w:rPr>
        <w:t xml:space="preserve">ensification is </w:t>
      </w:r>
      <w:r>
        <w:rPr>
          <w:rFonts w:asciiTheme="minorHAnsi" w:hAnsiTheme="minorHAnsi" w:cstheme="minorHAnsi"/>
          <w:lang w:val="en-GB"/>
        </w:rPr>
        <w:t xml:space="preserve">not a clearly defined </w:t>
      </w:r>
      <w:r w:rsidRPr="003078DF">
        <w:rPr>
          <w:rFonts w:asciiTheme="minorHAnsi" w:hAnsiTheme="minorHAnsi" w:cstheme="minorHAnsi"/>
          <w:lang w:val="en-GB"/>
        </w:rPr>
        <w:t xml:space="preserve">concept </w:t>
      </w:r>
      <w:r w:rsidRPr="003078DF">
        <w:rPr>
          <w:rFonts w:asciiTheme="minorHAnsi" w:hAnsiTheme="minorHAnsi" w:cstheme="minorHAnsi"/>
          <w:noProof/>
          <w:lang w:val="en-GB"/>
        </w:rPr>
        <w:t>(Boyko and Cooper, 2011</w:t>
      </w:r>
      <w:r w:rsidR="00B67404">
        <w:rPr>
          <w:rFonts w:asciiTheme="minorHAnsi" w:hAnsiTheme="minorHAnsi" w:cstheme="minorHAnsi"/>
          <w:noProof/>
          <w:lang w:val="en-GB"/>
        </w:rPr>
        <w:t>;</w:t>
      </w:r>
      <w:r w:rsidRPr="003078DF">
        <w:rPr>
          <w:rFonts w:asciiTheme="minorHAnsi" w:hAnsiTheme="minorHAnsi" w:cstheme="minorHAnsi"/>
          <w:noProof/>
          <w:lang w:val="en-GB"/>
        </w:rPr>
        <w:t xml:space="preserve"> Forsyth, 2018)</w:t>
      </w:r>
      <w:r w:rsidRPr="003078DF">
        <w:rPr>
          <w:rFonts w:asciiTheme="minorHAnsi" w:hAnsiTheme="minorHAnsi" w:cstheme="minorHAnsi"/>
          <w:lang w:val="en-GB"/>
        </w:rPr>
        <w:t xml:space="preserve">. </w:t>
      </w:r>
      <w:r>
        <w:rPr>
          <w:rFonts w:asciiTheme="minorHAnsi" w:hAnsiTheme="minorHAnsi" w:cstheme="minorHAnsi"/>
          <w:lang w:val="en-GB"/>
        </w:rPr>
        <w:t>Generally</w:t>
      </w:r>
      <w:r w:rsidRPr="003078DF">
        <w:rPr>
          <w:rFonts w:asciiTheme="minorHAnsi" w:hAnsiTheme="minorHAnsi" w:cstheme="minorHAnsi"/>
          <w:lang w:val="en-GB"/>
        </w:rPr>
        <w:t xml:space="preserve">, density refers to a ratio of any unit within a given area. </w:t>
      </w:r>
      <w:r>
        <w:rPr>
          <w:rFonts w:asciiTheme="minorHAnsi" w:hAnsiTheme="minorHAnsi" w:cstheme="minorHAnsi"/>
          <w:lang w:val="en-GB"/>
        </w:rPr>
        <w:t>Thus, d</w:t>
      </w:r>
      <w:r w:rsidRPr="003078DF">
        <w:rPr>
          <w:rFonts w:asciiTheme="minorHAnsi" w:hAnsiTheme="minorHAnsi" w:cstheme="minorHAnsi"/>
          <w:lang w:val="en-GB"/>
        </w:rPr>
        <w:t xml:space="preserve">ensification </w:t>
      </w:r>
      <w:r>
        <w:rPr>
          <w:rFonts w:asciiTheme="minorHAnsi" w:hAnsiTheme="minorHAnsi" w:cstheme="minorHAnsi"/>
          <w:lang w:val="en-GB"/>
        </w:rPr>
        <w:t xml:space="preserve">in planning </w:t>
      </w:r>
      <w:r w:rsidRPr="003078DF">
        <w:rPr>
          <w:rFonts w:asciiTheme="minorHAnsi" w:hAnsiTheme="minorHAnsi" w:cstheme="minorHAnsi"/>
          <w:lang w:val="en-GB"/>
        </w:rPr>
        <w:t xml:space="preserve">means that land is used more </w:t>
      </w:r>
      <w:r>
        <w:rPr>
          <w:rFonts w:asciiTheme="minorHAnsi" w:hAnsiTheme="minorHAnsi" w:cstheme="minorHAnsi"/>
          <w:lang w:val="en-GB"/>
        </w:rPr>
        <w:t>in</w:t>
      </w:r>
      <w:r w:rsidRPr="003078DF">
        <w:rPr>
          <w:rFonts w:asciiTheme="minorHAnsi" w:hAnsiTheme="minorHAnsi" w:cstheme="minorHAnsi"/>
          <w:lang w:val="en-GB"/>
        </w:rPr>
        <w:t>tensively</w:t>
      </w:r>
      <w:r>
        <w:rPr>
          <w:rFonts w:asciiTheme="minorHAnsi" w:hAnsiTheme="minorHAnsi" w:cstheme="minorHAnsi"/>
          <w:lang w:val="en-GB"/>
        </w:rPr>
        <w:t xml:space="preserve">. However, for determining which </w:t>
      </w:r>
      <w:r w:rsidRPr="003078DF">
        <w:rPr>
          <w:rFonts w:asciiTheme="minorHAnsi" w:hAnsiTheme="minorHAnsi" w:cstheme="minorHAnsi"/>
          <w:lang w:val="en-GB"/>
        </w:rPr>
        <w:t xml:space="preserve">uses </w:t>
      </w:r>
      <w:r>
        <w:rPr>
          <w:rFonts w:asciiTheme="minorHAnsi" w:hAnsiTheme="minorHAnsi" w:cstheme="minorHAnsi"/>
          <w:lang w:val="en-GB"/>
        </w:rPr>
        <w:t xml:space="preserve">and which </w:t>
      </w:r>
      <w:r w:rsidRPr="003078DF">
        <w:rPr>
          <w:rFonts w:asciiTheme="minorHAnsi" w:hAnsiTheme="minorHAnsi" w:cstheme="minorHAnsi"/>
          <w:lang w:val="en-GB"/>
        </w:rPr>
        <w:t>land</w:t>
      </w:r>
      <w:r>
        <w:rPr>
          <w:rFonts w:asciiTheme="minorHAnsi" w:hAnsiTheme="minorHAnsi" w:cstheme="minorHAnsi"/>
          <w:lang w:val="en-GB"/>
        </w:rPr>
        <w:t>, t</w:t>
      </w:r>
      <w:r w:rsidRPr="003078DF">
        <w:rPr>
          <w:rFonts w:asciiTheme="minorHAnsi" w:hAnsiTheme="minorHAnsi" w:cstheme="minorHAnsi"/>
          <w:lang w:val="en-GB"/>
        </w:rPr>
        <w:t xml:space="preserve">wo distinctions are crucial. First, </w:t>
      </w:r>
      <w:r>
        <w:rPr>
          <w:rFonts w:asciiTheme="minorHAnsi" w:hAnsiTheme="minorHAnsi" w:cstheme="minorHAnsi"/>
          <w:lang w:val="en-GB"/>
        </w:rPr>
        <w:t xml:space="preserve">density can be related </w:t>
      </w:r>
      <w:r w:rsidRPr="003078DF">
        <w:rPr>
          <w:rFonts w:asciiTheme="minorHAnsi" w:hAnsiTheme="minorHAnsi" w:cstheme="minorHAnsi"/>
          <w:lang w:val="en-GB"/>
        </w:rPr>
        <w:t xml:space="preserve">to population or dwellings </w:t>
      </w:r>
      <w:r w:rsidRPr="003078DF">
        <w:rPr>
          <w:rFonts w:asciiTheme="minorHAnsi" w:hAnsiTheme="minorHAnsi" w:cstheme="minorHAnsi"/>
          <w:noProof/>
          <w:lang w:val="en-GB"/>
        </w:rPr>
        <w:t>(Boyko and Cooper, 2011)</w:t>
      </w:r>
      <w:r w:rsidRPr="003078DF">
        <w:rPr>
          <w:rFonts w:asciiTheme="minorHAnsi" w:hAnsiTheme="minorHAnsi" w:cstheme="minorHAnsi"/>
          <w:lang w:val="en-GB"/>
        </w:rPr>
        <w:t xml:space="preserve">. </w:t>
      </w:r>
      <w:r>
        <w:rPr>
          <w:rFonts w:asciiTheme="minorHAnsi" w:hAnsiTheme="minorHAnsi" w:cstheme="minorHAnsi"/>
          <w:lang w:val="en-GB"/>
        </w:rPr>
        <w:t xml:space="preserve">Both variables can be influenced by land use </w:t>
      </w:r>
      <w:r w:rsidRPr="003078DF">
        <w:rPr>
          <w:rFonts w:asciiTheme="minorHAnsi" w:hAnsiTheme="minorHAnsi" w:cstheme="minorHAnsi"/>
          <w:lang w:val="en-GB"/>
        </w:rPr>
        <w:t>planning</w:t>
      </w:r>
      <w:r>
        <w:rPr>
          <w:rFonts w:asciiTheme="minorHAnsi" w:hAnsiTheme="minorHAnsi" w:cstheme="minorHAnsi"/>
          <w:lang w:val="en-GB"/>
        </w:rPr>
        <w:t xml:space="preserve">, but the planning system ultimately regulates land uses and building densities, not the occupancy rates of buildings </w:t>
      </w:r>
      <w:r>
        <w:rPr>
          <w:rFonts w:asciiTheme="minorHAnsi" w:hAnsiTheme="minorHAnsi" w:cstheme="minorHAnsi"/>
          <w:noProof/>
          <w:lang w:val="en-GB"/>
        </w:rPr>
        <w:t>(</w:t>
      </w:r>
      <w:r w:rsidRPr="003A4B1D">
        <w:rPr>
          <w:rFonts w:asciiTheme="minorHAnsi" w:hAnsiTheme="minorHAnsi" w:cstheme="minorHAnsi"/>
          <w:noProof/>
          <w:lang w:val="en-GB"/>
        </w:rPr>
        <w:t>Bibby et al.,</w:t>
      </w:r>
      <w:r>
        <w:rPr>
          <w:rFonts w:asciiTheme="minorHAnsi" w:hAnsiTheme="minorHAnsi" w:cstheme="minorHAnsi"/>
          <w:noProof/>
          <w:lang w:val="en-GB"/>
        </w:rPr>
        <w:t xml:space="preserve"> 2020)</w:t>
      </w:r>
      <w:r w:rsidRPr="003078DF">
        <w:rPr>
          <w:rFonts w:asciiTheme="minorHAnsi" w:hAnsiTheme="minorHAnsi" w:cstheme="minorHAnsi"/>
          <w:lang w:val="en-GB"/>
        </w:rPr>
        <w:t xml:space="preserve">. </w:t>
      </w:r>
      <w:r>
        <w:rPr>
          <w:rFonts w:asciiTheme="minorHAnsi" w:hAnsiTheme="minorHAnsi" w:cstheme="minorHAnsi"/>
          <w:lang w:val="en-GB"/>
        </w:rPr>
        <w:t>Planning for d</w:t>
      </w:r>
      <w:r w:rsidRPr="003078DF">
        <w:rPr>
          <w:rFonts w:asciiTheme="minorHAnsi" w:hAnsiTheme="minorHAnsi" w:cstheme="minorHAnsi"/>
          <w:lang w:val="en-GB"/>
        </w:rPr>
        <w:t xml:space="preserve">ensification </w:t>
      </w:r>
      <w:r>
        <w:rPr>
          <w:rFonts w:asciiTheme="minorHAnsi" w:hAnsiTheme="minorHAnsi" w:cstheme="minorHAnsi"/>
          <w:lang w:val="en-GB"/>
        </w:rPr>
        <w:t xml:space="preserve">does </w:t>
      </w:r>
      <w:r w:rsidRPr="003078DF">
        <w:rPr>
          <w:rFonts w:asciiTheme="minorHAnsi" w:hAnsiTheme="minorHAnsi" w:cstheme="minorHAnsi"/>
          <w:lang w:val="en-GB"/>
        </w:rPr>
        <w:t xml:space="preserve">not </w:t>
      </w:r>
      <w:r>
        <w:rPr>
          <w:rFonts w:asciiTheme="minorHAnsi" w:hAnsiTheme="minorHAnsi" w:cstheme="minorHAnsi"/>
          <w:lang w:val="en-GB"/>
        </w:rPr>
        <w:t xml:space="preserve">necessarily lead to </w:t>
      </w:r>
      <w:r w:rsidRPr="003078DF">
        <w:rPr>
          <w:rFonts w:asciiTheme="minorHAnsi" w:hAnsiTheme="minorHAnsi" w:cstheme="minorHAnsi"/>
          <w:lang w:val="en-GB"/>
        </w:rPr>
        <w:t>higher population densities</w:t>
      </w:r>
      <w:r>
        <w:rPr>
          <w:rFonts w:asciiTheme="minorHAnsi" w:hAnsiTheme="minorHAnsi" w:cstheme="minorHAnsi"/>
          <w:lang w:val="en-GB"/>
        </w:rPr>
        <w:t>, as de</w:t>
      </w:r>
      <w:r w:rsidRPr="003078DF">
        <w:rPr>
          <w:rFonts w:asciiTheme="minorHAnsi" w:hAnsiTheme="minorHAnsi" w:cstheme="minorHAnsi"/>
          <w:lang w:val="en-GB"/>
        </w:rPr>
        <w:t xml:space="preserve">clining household sizes and increased per capita living space </w:t>
      </w:r>
      <w:r>
        <w:rPr>
          <w:rFonts w:asciiTheme="minorHAnsi" w:hAnsiTheme="minorHAnsi" w:cstheme="minorHAnsi"/>
          <w:lang w:val="en-GB"/>
        </w:rPr>
        <w:t xml:space="preserve">can counteract land thrift via densification and foster </w:t>
      </w:r>
      <w:r w:rsidRPr="003078DF">
        <w:rPr>
          <w:rFonts w:asciiTheme="minorHAnsi" w:hAnsiTheme="minorHAnsi" w:cstheme="minorHAnsi"/>
          <w:lang w:val="en-GB"/>
        </w:rPr>
        <w:t xml:space="preserve">land consumption </w:t>
      </w:r>
      <w:r w:rsidRPr="003078DF">
        <w:rPr>
          <w:rFonts w:asciiTheme="minorHAnsi" w:hAnsiTheme="minorHAnsi" w:cstheme="minorHAnsi"/>
          <w:noProof/>
          <w:lang w:val="en-GB"/>
        </w:rPr>
        <w:t>(</w:t>
      </w:r>
      <w:r w:rsidRPr="003A4B1D">
        <w:rPr>
          <w:rFonts w:asciiTheme="minorHAnsi" w:hAnsiTheme="minorHAnsi" w:cstheme="minorHAnsi"/>
          <w:noProof/>
          <w:lang w:val="en-GB"/>
        </w:rPr>
        <w:t>Haase et al.,</w:t>
      </w:r>
      <w:r w:rsidRPr="003078DF">
        <w:rPr>
          <w:rFonts w:asciiTheme="minorHAnsi" w:hAnsiTheme="minorHAnsi" w:cstheme="minorHAnsi"/>
          <w:noProof/>
          <w:lang w:val="en-GB"/>
        </w:rPr>
        <w:t xml:space="preserve"> 2013)</w:t>
      </w:r>
      <w:r w:rsidRPr="003078DF">
        <w:rPr>
          <w:rFonts w:asciiTheme="minorHAnsi" w:hAnsiTheme="minorHAnsi" w:cstheme="minorHAnsi"/>
          <w:lang w:val="en-GB"/>
        </w:rPr>
        <w:t xml:space="preserve">. Second, a distinction needs to be made between urban densification and expansion. Both </w:t>
      </w:r>
      <w:r>
        <w:rPr>
          <w:rFonts w:asciiTheme="minorHAnsi" w:hAnsiTheme="minorHAnsi" w:cstheme="minorHAnsi"/>
          <w:lang w:val="en-GB"/>
        </w:rPr>
        <w:t xml:space="preserve">can </w:t>
      </w:r>
      <w:r w:rsidRPr="003078DF">
        <w:rPr>
          <w:rFonts w:asciiTheme="minorHAnsi" w:hAnsiTheme="minorHAnsi" w:cstheme="minorHAnsi"/>
          <w:lang w:val="en-GB"/>
        </w:rPr>
        <w:t>result in higher densities within</w:t>
      </w:r>
      <w:r>
        <w:rPr>
          <w:rFonts w:asciiTheme="minorHAnsi" w:hAnsiTheme="minorHAnsi" w:cstheme="minorHAnsi"/>
          <w:lang w:val="en-GB"/>
        </w:rPr>
        <w:t>, for example,</w:t>
      </w:r>
      <w:r w:rsidRPr="003078DF">
        <w:rPr>
          <w:rFonts w:asciiTheme="minorHAnsi" w:hAnsiTheme="minorHAnsi" w:cstheme="minorHAnsi"/>
          <w:lang w:val="en-GB"/>
        </w:rPr>
        <w:t xml:space="preserve"> the territory of a local authority. Clearly</w:t>
      </w:r>
      <w:r>
        <w:rPr>
          <w:rFonts w:asciiTheme="minorHAnsi" w:hAnsiTheme="minorHAnsi" w:cstheme="minorHAnsi"/>
          <w:lang w:val="en-GB"/>
        </w:rPr>
        <w:t>,</w:t>
      </w:r>
      <w:r w:rsidRPr="003078DF">
        <w:rPr>
          <w:rFonts w:asciiTheme="minorHAnsi" w:hAnsiTheme="minorHAnsi" w:cstheme="minorHAnsi"/>
          <w:lang w:val="en-GB"/>
        </w:rPr>
        <w:t xml:space="preserve"> urban expansion increases the built-up area and therefore counteracts land </w:t>
      </w:r>
      <w:r>
        <w:rPr>
          <w:rFonts w:asciiTheme="minorHAnsi" w:hAnsiTheme="minorHAnsi" w:cstheme="minorHAnsi"/>
          <w:lang w:val="en-GB"/>
        </w:rPr>
        <w:t>thrift</w:t>
      </w:r>
      <w:r w:rsidRPr="003078DF">
        <w:rPr>
          <w:rFonts w:asciiTheme="minorHAnsi" w:hAnsiTheme="minorHAnsi" w:cstheme="minorHAnsi"/>
          <w:lang w:val="en-GB"/>
        </w:rPr>
        <w:t xml:space="preserve">. However, while urban expansion might in some cases also contribute to sustainable development by delivering new homes in the centre of the urban agglomeration, the planning challenges are completely different than for the densification of the </w:t>
      </w:r>
      <w:r>
        <w:rPr>
          <w:rFonts w:asciiTheme="minorHAnsi" w:hAnsiTheme="minorHAnsi" w:cstheme="minorHAnsi"/>
          <w:lang w:val="en-GB"/>
        </w:rPr>
        <w:t xml:space="preserve">existing </w:t>
      </w:r>
      <w:r w:rsidRPr="003078DF">
        <w:rPr>
          <w:rFonts w:asciiTheme="minorHAnsi" w:hAnsiTheme="minorHAnsi" w:cstheme="minorHAnsi"/>
          <w:lang w:val="en-GB"/>
        </w:rPr>
        <w:t xml:space="preserve">built-up area. For this special issue, we therefore define densification as a </w:t>
      </w:r>
      <w:r w:rsidR="003A4B1D">
        <w:rPr>
          <w:rFonts w:asciiTheme="minorHAnsi" w:hAnsiTheme="minorHAnsi" w:cstheme="minorHAnsi"/>
          <w:lang w:val="en-GB"/>
        </w:rPr>
        <w:t>‘</w:t>
      </w:r>
      <w:r w:rsidRPr="003078DF">
        <w:rPr>
          <w:rFonts w:asciiTheme="minorHAnsi" w:hAnsiTheme="minorHAnsi" w:cstheme="minorHAnsi"/>
          <w:lang w:val="en-GB"/>
        </w:rPr>
        <w:t>net increase in housing units</w:t>
      </w:r>
      <w:r w:rsidR="003A4B1D">
        <w:rPr>
          <w:rFonts w:asciiTheme="minorHAnsi" w:hAnsiTheme="minorHAnsi" w:cstheme="minorHAnsi"/>
          <w:lang w:val="en-GB"/>
        </w:rPr>
        <w:t>’</w:t>
      </w:r>
      <w:r w:rsidR="00853A4C">
        <w:rPr>
          <w:rFonts w:asciiTheme="minorHAnsi" w:hAnsiTheme="minorHAnsi" w:cstheme="minorHAnsi"/>
          <w:lang w:val="en-GB"/>
        </w:rPr>
        <w:t xml:space="preserve"> </w:t>
      </w:r>
      <w:r w:rsidRPr="003078DF">
        <w:rPr>
          <w:rFonts w:asciiTheme="minorHAnsi" w:hAnsiTheme="minorHAnsi" w:cstheme="minorHAnsi"/>
          <w:lang w:val="en-GB"/>
        </w:rPr>
        <w:t xml:space="preserve">within </w:t>
      </w:r>
      <w:r>
        <w:rPr>
          <w:rFonts w:asciiTheme="minorHAnsi" w:hAnsiTheme="minorHAnsi" w:cstheme="minorHAnsi"/>
          <w:lang w:val="en-GB"/>
        </w:rPr>
        <w:t xml:space="preserve">some or all of </w:t>
      </w:r>
      <w:r w:rsidRPr="003078DF">
        <w:rPr>
          <w:rFonts w:asciiTheme="minorHAnsi" w:hAnsiTheme="minorHAnsi" w:cstheme="minorHAnsi"/>
          <w:lang w:val="en-GB"/>
        </w:rPr>
        <w:t xml:space="preserve">the pre-existing built-up area </w:t>
      </w:r>
      <w:r>
        <w:rPr>
          <w:rFonts w:asciiTheme="minorHAnsi" w:hAnsiTheme="minorHAnsi" w:cstheme="minorHAnsi"/>
          <w:noProof/>
          <w:lang w:val="en-GB"/>
        </w:rPr>
        <w:t>(Broitman and Koomen, 2015, 34)</w:t>
      </w:r>
      <w:r>
        <w:rPr>
          <w:rFonts w:asciiTheme="minorHAnsi" w:hAnsiTheme="minorHAnsi" w:cstheme="minorHAnsi"/>
          <w:lang w:val="en-GB"/>
        </w:rPr>
        <w:t>.</w:t>
      </w:r>
      <w:r w:rsidRPr="003078DF">
        <w:rPr>
          <w:rFonts w:asciiTheme="minorHAnsi" w:hAnsiTheme="minorHAnsi" w:cstheme="minorHAnsi"/>
          <w:lang w:val="en-GB"/>
        </w:rPr>
        <w:t xml:space="preserve"> </w:t>
      </w:r>
    </w:p>
    <w:p w14:paraId="11CC212D" w14:textId="010A3E33" w:rsidR="001F61C5" w:rsidRPr="003078DF" w:rsidRDefault="001F61C5" w:rsidP="0089450A">
      <w:pPr>
        <w:ind w:firstLine="426"/>
        <w:rPr>
          <w:rFonts w:asciiTheme="minorHAnsi" w:hAnsiTheme="minorHAnsi" w:cstheme="minorHAnsi"/>
          <w:lang w:val="en-GB"/>
        </w:rPr>
      </w:pPr>
      <w:r w:rsidRPr="003078DF">
        <w:rPr>
          <w:rFonts w:asciiTheme="minorHAnsi" w:hAnsiTheme="minorHAnsi" w:cstheme="minorHAnsi"/>
          <w:lang w:val="en-GB"/>
        </w:rPr>
        <w:t>Densification can take a variety of forms</w:t>
      </w:r>
      <w:r>
        <w:rPr>
          <w:rFonts w:asciiTheme="minorHAnsi" w:hAnsiTheme="minorHAnsi" w:cstheme="minorHAnsi"/>
          <w:lang w:val="en-GB"/>
        </w:rPr>
        <w:t>, of which location is a key factor.</w:t>
      </w:r>
      <w:r w:rsidRPr="003078DF">
        <w:rPr>
          <w:rFonts w:asciiTheme="minorHAnsi" w:hAnsiTheme="minorHAnsi" w:cstheme="minorHAnsi"/>
          <w:lang w:val="en-GB"/>
        </w:rPr>
        <w:t xml:space="preserve"> Traditionally, densification is more likely to be associat</w:t>
      </w:r>
      <w:r w:rsidR="00F96D8E">
        <w:rPr>
          <w:rFonts w:asciiTheme="minorHAnsi" w:hAnsiTheme="minorHAnsi" w:cstheme="minorHAnsi"/>
          <w:lang w:val="en-GB"/>
        </w:rPr>
        <w:t>ed</w:t>
      </w:r>
      <w:r w:rsidRPr="003078DF">
        <w:rPr>
          <w:rFonts w:asciiTheme="minorHAnsi" w:hAnsiTheme="minorHAnsi" w:cstheme="minorHAnsi"/>
          <w:lang w:val="en-GB"/>
        </w:rPr>
        <w:t xml:space="preserve"> with inner-city transformation, in particular the redevelopment of brownfield sites as part of concerted regeneration efforts. There is, however, an increasing interest in the transformation and densification of suburbia, often referred to as post-suburban densification </w:t>
      </w:r>
      <w:r w:rsidRPr="003078DF">
        <w:rPr>
          <w:rFonts w:asciiTheme="minorHAnsi" w:hAnsiTheme="minorHAnsi" w:cstheme="minorHAnsi"/>
          <w:noProof/>
          <w:lang w:val="en-GB"/>
        </w:rPr>
        <w:t>(Charmes and Keil, 2015)</w:t>
      </w:r>
      <w:r w:rsidRPr="003078DF">
        <w:rPr>
          <w:rFonts w:asciiTheme="minorHAnsi" w:hAnsiTheme="minorHAnsi" w:cstheme="minorHAnsi"/>
          <w:lang w:val="en-GB"/>
        </w:rPr>
        <w:t xml:space="preserve">. Others have distinguished the types of physical change, distinguishing soft and hard forms of densification, the former referring to incremental changes of the built environment and </w:t>
      </w:r>
      <w:r>
        <w:rPr>
          <w:rFonts w:asciiTheme="minorHAnsi" w:hAnsiTheme="minorHAnsi" w:cstheme="minorHAnsi"/>
          <w:lang w:val="en-GB"/>
        </w:rPr>
        <w:t xml:space="preserve">the latter to </w:t>
      </w:r>
      <w:r w:rsidRPr="003078DF">
        <w:rPr>
          <w:rFonts w:asciiTheme="minorHAnsi" w:hAnsiTheme="minorHAnsi" w:cstheme="minorHAnsi"/>
          <w:lang w:val="en-GB"/>
        </w:rPr>
        <w:t xml:space="preserve">large-scale urban development projects </w:t>
      </w:r>
      <w:r>
        <w:rPr>
          <w:rFonts w:asciiTheme="minorHAnsi" w:hAnsiTheme="minorHAnsi" w:cstheme="minorHAnsi"/>
          <w:noProof/>
          <w:lang w:val="en-GB"/>
        </w:rPr>
        <w:t>(Touati-Morel, 2015)</w:t>
      </w:r>
      <w:r w:rsidRPr="003078DF">
        <w:rPr>
          <w:rFonts w:asciiTheme="minorHAnsi" w:hAnsiTheme="minorHAnsi" w:cstheme="minorHAnsi"/>
          <w:lang w:val="en-GB"/>
        </w:rPr>
        <w:t xml:space="preserve">. A well-known example of soft densification includes garden development (or ‘grabbing’) </w:t>
      </w:r>
      <w:r w:rsidRPr="003078DF">
        <w:rPr>
          <w:rFonts w:asciiTheme="minorHAnsi" w:hAnsiTheme="minorHAnsi" w:cstheme="minorHAnsi"/>
          <w:noProof/>
          <w:lang w:val="en-GB"/>
        </w:rPr>
        <w:t>(</w:t>
      </w:r>
      <w:r w:rsidRPr="00B67404">
        <w:rPr>
          <w:rFonts w:asciiTheme="minorHAnsi" w:hAnsiTheme="minorHAnsi" w:cstheme="minorHAnsi"/>
          <w:noProof/>
          <w:lang w:val="en-GB"/>
        </w:rPr>
        <w:t>Sayce et al.,</w:t>
      </w:r>
      <w:r w:rsidRPr="003078DF">
        <w:rPr>
          <w:rFonts w:asciiTheme="minorHAnsi" w:hAnsiTheme="minorHAnsi" w:cstheme="minorHAnsi"/>
          <w:noProof/>
          <w:lang w:val="en-GB"/>
        </w:rPr>
        <w:t xml:space="preserve"> 2012)</w:t>
      </w:r>
      <w:r w:rsidRPr="003078DF">
        <w:rPr>
          <w:rFonts w:asciiTheme="minorHAnsi" w:hAnsiTheme="minorHAnsi" w:cstheme="minorHAnsi"/>
          <w:lang w:val="en-GB"/>
        </w:rPr>
        <w:t xml:space="preserve">. In the UK and elsewhere, conversions from office to residential spaces have become a factor in densification, which are found predominantly in central locations </w:t>
      </w:r>
      <w:r w:rsidRPr="003078DF">
        <w:rPr>
          <w:rFonts w:asciiTheme="minorHAnsi" w:hAnsiTheme="minorHAnsi" w:cstheme="minorHAnsi"/>
          <w:noProof/>
          <w:lang w:val="en-GB"/>
        </w:rPr>
        <w:t>(</w:t>
      </w:r>
      <w:r w:rsidRPr="00B67404">
        <w:rPr>
          <w:rFonts w:asciiTheme="minorHAnsi" w:hAnsiTheme="minorHAnsi" w:cstheme="minorHAnsi"/>
          <w:noProof/>
          <w:lang w:val="en-GB"/>
        </w:rPr>
        <w:t>Clifford et al.,</w:t>
      </w:r>
      <w:r w:rsidRPr="003078DF">
        <w:rPr>
          <w:rFonts w:asciiTheme="minorHAnsi" w:hAnsiTheme="minorHAnsi" w:cstheme="minorHAnsi"/>
          <w:noProof/>
          <w:lang w:val="en-GB"/>
        </w:rPr>
        <w:t xml:space="preserve"> 2019)</w:t>
      </w:r>
      <w:r w:rsidRPr="003078DF">
        <w:rPr>
          <w:rFonts w:asciiTheme="minorHAnsi" w:hAnsiTheme="minorHAnsi" w:cstheme="minorHAnsi"/>
          <w:lang w:val="en-GB"/>
        </w:rPr>
        <w:t xml:space="preserve">. Cumulatively, soft densification makes a significant contribution to housing </w:t>
      </w:r>
      <w:r w:rsidRPr="003078DF">
        <w:rPr>
          <w:rFonts w:asciiTheme="minorHAnsi" w:hAnsiTheme="minorHAnsi" w:cstheme="minorHAnsi"/>
          <w:lang w:val="en-GB"/>
        </w:rPr>
        <w:lastRenderedPageBreak/>
        <w:t xml:space="preserve">delivery, which over time may result in significant neighbourhood change too </w:t>
      </w:r>
      <w:r>
        <w:rPr>
          <w:rFonts w:asciiTheme="minorHAnsi" w:hAnsiTheme="minorHAnsi" w:cstheme="minorHAnsi"/>
          <w:noProof/>
          <w:lang w:val="en-GB"/>
        </w:rPr>
        <w:t>(</w:t>
      </w:r>
      <w:r w:rsidRPr="00B67404">
        <w:rPr>
          <w:rFonts w:asciiTheme="minorHAnsi" w:hAnsiTheme="minorHAnsi" w:cstheme="minorHAnsi"/>
          <w:noProof/>
          <w:lang w:val="en-GB"/>
        </w:rPr>
        <w:t>Pinnegar et al., 2015</w:t>
      </w:r>
      <w:r w:rsidR="00B67404">
        <w:rPr>
          <w:rFonts w:asciiTheme="minorHAnsi" w:hAnsiTheme="minorHAnsi" w:cstheme="minorHAnsi"/>
          <w:noProof/>
          <w:lang w:val="en-GB"/>
        </w:rPr>
        <w:t>;</w:t>
      </w:r>
      <w:r>
        <w:rPr>
          <w:rFonts w:asciiTheme="minorHAnsi" w:hAnsiTheme="minorHAnsi" w:cstheme="minorHAnsi"/>
          <w:noProof/>
          <w:lang w:val="en-GB"/>
        </w:rPr>
        <w:t xml:space="preserve"> </w:t>
      </w:r>
      <w:r w:rsidRPr="00B67404">
        <w:rPr>
          <w:rFonts w:asciiTheme="minorHAnsi" w:hAnsiTheme="minorHAnsi" w:cstheme="minorHAnsi"/>
          <w:noProof/>
          <w:lang w:val="en-GB"/>
        </w:rPr>
        <w:t>Bibby et al., 2020</w:t>
      </w:r>
      <w:r>
        <w:rPr>
          <w:rFonts w:asciiTheme="minorHAnsi" w:hAnsiTheme="minorHAnsi" w:cstheme="minorHAnsi"/>
          <w:noProof/>
          <w:lang w:val="en-GB"/>
        </w:rPr>
        <w:t>)</w:t>
      </w:r>
      <w:r w:rsidRPr="003078DF">
        <w:rPr>
          <w:rFonts w:asciiTheme="minorHAnsi" w:hAnsiTheme="minorHAnsi" w:cstheme="minorHAnsi"/>
          <w:lang w:val="en-GB"/>
        </w:rPr>
        <w:t xml:space="preserve">. </w:t>
      </w:r>
    </w:p>
    <w:p w14:paraId="5F2177E3" w14:textId="212EAF9A" w:rsidR="001F61C5" w:rsidRDefault="001F61C5" w:rsidP="0089450A">
      <w:pPr>
        <w:ind w:firstLine="426"/>
        <w:rPr>
          <w:rFonts w:asciiTheme="minorHAnsi" w:hAnsiTheme="minorHAnsi" w:cstheme="minorHAnsi"/>
          <w:lang w:val="en-GB"/>
        </w:rPr>
      </w:pPr>
      <w:r>
        <w:rPr>
          <w:rFonts w:asciiTheme="minorHAnsi" w:hAnsiTheme="minorHAnsi" w:cstheme="minorHAnsi"/>
          <w:lang w:val="en-GB"/>
        </w:rPr>
        <w:t>We are also interested in</w:t>
      </w:r>
      <w:r w:rsidRPr="003078DF">
        <w:rPr>
          <w:rFonts w:asciiTheme="minorHAnsi" w:hAnsiTheme="minorHAnsi" w:cstheme="minorHAnsi"/>
          <w:lang w:val="en-GB"/>
        </w:rPr>
        <w:t xml:space="preserve"> the role of planning policy in shaping densification</w:t>
      </w:r>
      <w:r>
        <w:rPr>
          <w:rFonts w:asciiTheme="minorHAnsi" w:hAnsiTheme="minorHAnsi" w:cstheme="minorHAnsi"/>
          <w:lang w:val="en-GB"/>
        </w:rPr>
        <w:t>,</w:t>
      </w:r>
      <w:r w:rsidRPr="003078DF">
        <w:rPr>
          <w:rFonts w:asciiTheme="minorHAnsi" w:hAnsiTheme="minorHAnsi" w:cstheme="minorHAnsi"/>
          <w:lang w:val="en-GB"/>
        </w:rPr>
        <w:t xml:space="preserve"> whether </w:t>
      </w:r>
      <w:r>
        <w:rPr>
          <w:rFonts w:asciiTheme="minorHAnsi" w:hAnsiTheme="minorHAnsi" w:cstheme="minorHAnsi"/>
          <w:lang w:val="en-GB"/>
        </w:rPr>
        <w:t xml:space="preserve">and how </w:t>
      </w:r>
      <w:r w:rsidRPr="003078DF">
        <w:rPr>
          <w:rFonts w:asciiTheme="minorHAnsi" w:hAnsiTheme="minorHAnsi" w:cstheme="minorHAnsi"/>
          <w:lang w:val="en-GB"/>
        </w:rPr>
        <w:t>it is planned</w:t>
      </w:r>
      <w:r>
        <w:rPr>
          <w:rFonts w:asciiTheme="minorHAnsi" w:hAnsiTheme="minorHAnsi" w:cstheme="minorHAnsi"/>
          <w:lang w:val="en-GB"/>
        </w:rPr>
        <w:t xml:space="preserve">, whether the intended outcomes emerge and what tensions arise through the planning of densification. </w:t>
      </w:r>
      <w:r w:rsidRPr="003078DF">
        <w:rPr>
          <w:rFonts w:asciiTheme="minorHAnsi" w:hAnsiTheme="minorHAnsi" w:cstheme="minorHAnsi"/>
          <w:lang w:val="en-GB"/>
        </w:rPr>
        <w:t>The fact that densification happen</w:t>
      </w:r>
      <w:r>
        <w:rPr>
          <w:rFonts w:asciiTheme="minorHAnsi" w:hAnsiTheme="minorHAnsi" w:cstheme="minorHAnsi"/>
          <w:lang w:val="en-GB"/>
        </w:rPr>
        <w:t>s</w:t>
      </w:r>
      <w:r w:rsidRPr="003078DF">
        <w:rPr>
          <w:rFonts w:asciiTheme="minorHAnsi" w:hAnsiTheme="minorHAnsi" w:cstheme="minorHAnsi"/>
          <w:lang w:val="en-GB"/>
        </w:rPr>
        <w:t xml:space="preserve"> ‘under the radar’ </w:t>
      </w:r>
      <w:r>
        <w:rPr>
          <w:rFonts w:asciiTheme="minorHAnsi" w:hAnsiTheme="minorHAnsi" w:cstheme="minorHAnsi"/>
          <w:noProof/>
          <w:lang w:val="en-GB"/>
        </w:rPr>
        <w:t>(</w:t>
      </w:r>
      <w:r w:rsidRPr="00B67404">
        <w:rPr>
          <w:rFonts w:asciiTheme="minorHAnsi" w:hAnsiTheme="minorHAnsi" w:cstheme="minorHAnsi"/>
          <w:noProof/>
          <w:lang w:val="en-GB"/>
        </w:rPr>
        <w:t>Bibby et al.,</w:t>
      </w:r>
      <w:r>
        <w:rPr>
          <w:rFonts w:asciiTheme="minorHAnsi" w:hAnsiTheme="minorHAnsi" w:cstheme="minorHAnsi"/>
          <w:noProof/>
          <w:lang w:val="en-GB"/>
        </w:rPr>
        <w:t xml:space="preserve"> 2020)</w:t>
      </w:r>
      <w:r>
        <w:rPr>
          <w:rFonts w:asciiTheme="minorHAnsi" w:hAnsiTheme="minorHAnsi" w:cstheme="minorHAnsi"/>
          <w:lang w:val="en-GB"/>
        </w:rPr>
        <w:t xml:space="preserve"> </w:t>
      </w:r>
      <w:r w:rsidRPr="003078DF">
        <w:rPr>
          <w:rFonts w:asciiTheme="minorHAnsi" w:hAnsiTheme="minorHAnsi" w:cstheme="minorHAnsi"/>
          <w:lang w:val="en-GB"/>
        </w:rPr>
        <w:t xml:space="preserve">suggests that it </w:t>
      </w:r>
      <w:r>
        <w:rPr>
          <w:rFonts w:asciiTheme="minorHAnsi" w:hAnsiTheme="minorHAnsi" w:cstheme="minorHAnsi"/>
          <w:lang w:val="en-GB"/>
        </w:rPr>
        <w:t>may be</w:t>
      </w:r>
      <w:r w:rsidRPr="003078DF">
        <w:rPr>
          <w:rFonts w:asciiTheme="minorHAnsi" w:hAnsiTheme="minorHAnsi" w:cstheme="minorHAnsi"/>
          <w:lang w:val="en-GB"/>
        </w:rPr>
        <w:t xml:space="preserve"> unplanned. The argument that much development, particularly in the urban fringe </w:t>
      </w:r>
      <w:r w:rsidR="003A4B1D">
        <w:rPr>
          <w:rFonts w:asciiTheme="minorHAnsi" w:hAnsiTheme="minorHAnsi" w:cstheme="minorHAnsi"/>
          <w:lang w:val="en-GB"/>
        </w:rPr>
        <w:t>‘</w:t>
      </w:r>
      <w:r w:rsidRPr="003078DF">
        <w:rPr>
          <w:rFonts w:asciiTheme="minorHAnsi" w:hAnsiTheme="minorHAnsi" w:cstheme="minorHAnsi"/>
          <w:lang w:val="en-GB"/>
        </w:rPr>
        <w:t>takes place both beyond the gaze of urban theory and outside the regulatory ambit of planning systems</w:t>
      </w:r>
      <w:r w:rsidR="003A4B1D">
        <w:rPr>
          <w:rFonts w:asciiTheme="minorHAnsi" w:hAnsiTheme="minorHAnsi" w:cstheme="minorHAnsi"/>
          <w:lang w:val="en-GB"/>
        </w:rPr>
        <w:t>’</w:t>
      </w:r>
      <w:r w:rsidRPr="003078DF">
        <w:rPr>
          <w:rFonts w:asciiTheme="minorHAnsi" w:hAnsiTheme="minorHAnsi" w:cstheme="minorHAnsi"/>
          <w:lang w:val="en-GB"/>
        </w:rPr>
        <w:t xml:space="preserve"> </w:t>
      </w:r>
      <w:r>
        <w:rPr>
          <w:rFonts w:asciiTheme="minorHAnsi" w:hAnsiTheme="minorHAnsi" w:cstheme="minorHAnsi"/>
          <w:noProof/>
          <w:lang w:val="en-GB"/>
        </w:rPr>
        <w:t>(</w:t>
      </w:r>
      <w:r w:rsidRPr="00B67404">
        <w:rPr>
          <w:rFonts w:asciiTheme="minorHAnsi" w:hAnsiTheme="minorHAnsi" w:cstheme="minorHAnsi"/>
          <w:noProof/>
          <w:lang w:val="en-GB"/>
        </w:rPr>
        <w:t>Pinnegar et al., 2015</w:t>
      </w:r>
      <w:r>
        <w:rPr>
          <w:rFonts w:asciiTheme="minorHAnsi" w:hAnsiTheme="minorHAnsi" w:cstheme="minorHAnsi"/>
          <w:noProof/>
          <w:lang w:val="en-GB"/>
        </w:rPr>
        <w:t>, 279)</w:t>
      </w:r>
      <w:r w:rsidRPr="003078DF">
        <w:rPr>
          <w:rFonts w:asciiTheme="minorHAnsi" w:hAnsiTheme="minorHAnsi" w:cstheme="minorHAnsi"/>
          <w:lang w:val="en-GB"/>
        </w:rPr>
        <w:t xml:space="preserve"> is true to the extent that no ‘positive’ planning is undertaken, yet this does not necessarily imply that these places are not subject to planning regulations. Densification is the result of planning policy and the application of instruments to regulate land use, which </w:t>
      </w:r>
      <w:r>
        <w:rPr>
          <w:rFonts w:asciiTheme="minorHAnsi" w:hAnsiTheme="minorHAnsi" w:cstheme="minorHAnsi"/>
          <w:lang w:val="en-GB"/>
        </w:rPr>
        <w:t>can</w:t>
      </w:r>
      <w:r w:rsidRPr="003078DF">
        <w:rPr>
          <w:rFonts w:asciiTheme="minorHAnsi" w:hAnsiTheme="minorHAnsi" w:cstheme="minorHAnsi"/>
          <w:lang w:val="en-GB"/>
        </w:rPr>
        <w:t xml:space="preserve"> be a deliberate strategy</w:t>
      </w:r>
      <w:r>
        <w:rPr>
          <w:rFonts w:asciiTheme="minorHAnsi" w:hAnsiTheme="minorHAnsi" w:cstheme="minorHAnsi"/>
          <w:lang w:val="en-GB"/>
        </w:rPr>
        <w:t xml:space="preserve">, </w:t>
      </w:r>
      <w:r w:rsidRPr="003078DF">
        <w:rPr>
          <w:rFonts w:asciiTheme="minorHAnsi" w:hAnsiTheme="minorHAnsi" w:cstheme="minorHAnsi"/>
          <w:lang w:val="en-GB"/>
        </w:rPr>
        <w:t xml:space="preserve">an unintended consequence of planning policy or the lack of enforcement. </w:t>
      </w:r>
    </w:p>
    <w:p w14:paraId="220136AE" w14:textId="77777777" w:rsidR="001F61C5" w:rsidRPr="003078DF" w:rsidRDefault="001F61C5" w:rsidP="003A4B1D">
      <w:pPr>
        <w:rPr>
          <w:rFonts w:asciiTheme="minorHAnsi" w:hAnsiTheme="minorHAnsi" w:cstheme="minorHAnsi"/>
          <w:lang w:val="en-GB"/>
        </w:rPr>
      </w:pPr>
    </w:p>
    <w:p w14:paraId="239B6450" w14:textId="6C3009A4" w:rsidR="001F61C5" w:rsidRPr="00846676" w:rsidRDefault="001F61C5" w:rsidP="003A4B1D">
      <w:pPr>
        <w:pStyle w:val="Heading1"/>
        <w:spacing w:before="0"/>
        <w:rPr>
          <w:rFonts w:asciiTheme="minorHAnsi" w:hAnsiTheme="minorHAnsi" w:cstheme="minorHAnsi"/>
          <w:sz w:val="24"/>
          <w:szCs w:val="24"/>
          <w:lang w:val="en-GB"/>
        </w:rPr>
      </w:pPr>
      <w:r w:rsidRPr="00846676">
        <w:rPr>
          <w:rFonts w:asciiTheme="minorHAnsi" w:hAnsiTheme="minorHAnsi" w:cstheme="minorHAnsi"/>
          <w:b/>
          <w:sz w:val="24"/>
          <w:szCs w:val="24"/>
          <w:lang w:val="en-GB"/>
        </w:rPr>
        <w:t>Strategies</w:t>
      </w:r>
      <w:r w:rsidR="00544FFD" w:rsidRPr="00846676">
        <w:rPr>
          <w:rFonts w:asciiTheme="minorHAnsi" w:hAnsiTheme="minorHAnsi" w:cstheme="minorHAnsi"/>
          <w:b/>
          <w:sz w:val="24"/>
          <w:szCs w:val="24"/>
          <w:lang w:val="en-GB"/>
        </w:rPr>
        <w:t xml:space="preserve"> of land policy</w:t>
      </w:r>
      <w:r w:rsidRPr="00846676">
        <w:rPr>
          <w:rFonts w:asciiTheme="minorHAnsi" w:hAnsiTheme="minorHAnsi" w:cstheme="minorHAnsi"/>
          <w:b/>
          <w:sz w:val="24"/>
          <w:szCs w:val="24"/>
          <w:lang w:val="en-GB"/>
        </w:rPr>
        <w:t xml:space="preserve"> for urban densification</w:t>
      </w:r>
    </w:p>
    <w:p w14:paraId="1B642642" w14:textId="04A85076" w:rsidR="001F61C5" w:rsidRDefault="001F61C5" w:rsidP="003A4B1D">
      <w:pPr>
        <w:rPr>
          <w:rFonts w:asciiTheme="minorHAnsi" w:hAnsiTheme="minorHAnsi" w:cstheme="minorHAnsi"/>
          <w:lang w:val="en-GB"/>
        </w:rPr>
      </w:pPr>
      <w:r w:rsidRPr="003078DF">
        <w:rPr>
          <w:rFonts w:asciiTheme="minorHAnsi" w:hAnsiTheme="minorHAnsi" w:cstheme="minorHAnsi"/>
          <w:lang w:val="en-GB"/>
        </w:rPr>
        <w:t xml:space="preserve">This special issue explores how planning authorities </w:t>
      </w:r>
      <w:r>
        <w:rPr>
          <w:rFonts w:asciiTheme="minorHAnsi" w:hAnsiTheme="minorHAnsi" w:cstheme="minorHAnsi"/>
          <w:lang w:val="en-GB"/>
        </w:rPr>
        <w:t>engage with</w:t>
      </w:r>
      <w:r w:rsidRPr="003078DF">
        <w:rPr>
          <w:rFonts w:asciiTheme="minorHAnsi" w:hAnsiTheme="minorHAnsi" w:cstheme="minorHAnsi"/>
          <w:lang w:val="en-GB"/>
        </w:rPr>
        <w:t xml:space="preserve"> instruments of land policy strategically to </w:t>
      </w:r>
      <w:r>
        <w:rPr>
          <w:rFonts w:asciiTheme="minorHAnsi" w:hAnsiTheme="minorHAnsi" w:cstheme="minorHAnsi"/>
          <w:lang w:val="en-GB"/>
        </w:rPr>
        <w:t>control and achieve densification</w:t>
      </w:r>
      <w:r w:rsidRPr="003078DF">
        <w:rPr>
          <w:rFonts w:asciiTheme="minorHAnsi" w:hAnsiTheme="minorHAnsi" w:cstheme="minorHAnsi"/>
          <w:lang w:val="en-GB"/>
        </w:rPr>
        <w:t xml:space="preserve">. </w:t>
      </w:r>
      <w:r>
        <w:rPr>
          <w:rFonts w:asciiTheme="minorHAnsi" w:hAnsiTheme="minorHAnsi" w:cstheme="minorHAnsi"/>
          <w:lang w:val="en-GB"/>
        </w:rPr>
        <w:t>As outlined above, d</w:t>
      </w:r>
      <w:r w:rsidRPr="003078DF">
        <w:rPr>
          <w:rFonts w:asciiTheme="minorHAnsi" w:hAnsiTheme="minorHAnsi" w:cstheme="minorHAnsi"/>
          <w:lang w:val="en-GB"/>
        </w:rPr>
        <w:t>ensification is a fundamentally different process from urban ex</w:t>
      </w:r>
      <w:r>
        <w:rPr>
          <w:rFonts w:asciiTheme="minorHAnsi" w:hAnsiTheme="minorHAnsi" w:cstheme="minorHAnsi"/>
          <w:lang w:val="en-GB"/>
        </w:rPr>
        <w:t>pansion as it is sited within and not beyond the existing built environment and its property rights</w:t>
      </w:r>
      <w:r w:rsidRPr="003078DF">
        <w:rPr>
          <w:rFonts w:asciiTheme="minorHAnsi" w:hAnsiTheme="minorHAnsi" w:cstheme="minorHAnsi"/>
          <w:lang w:val="en-GB"/>
        </w:rPr>
        <w:t>.</w:t>
      </w:r>
      <w:r>
        <w:rPr>
          <w:rFonts w:asciiTheme="minorHAnsi" w:hAnsiTheme="minorHAnsi" w:cstheme="minorHAnsi"/>
          <w:lang w:val="en-GB"/>
        </w:rPr>
        <w:t xml:space="preserve"> Influencing such existing rights, in particular in the built-up area is challenging (</w:t>
      </w:r>
      <w:r w:rsidRPr="00282B02">
        <w:rPr>
          <w:rFonts w:asciiTheme="minorHAnsi" w:hAnsiTheme="minorHAnsi" w:cstheme="minorHAnsi"/>
          <w:lang w:val="en-GB"/>
        </w:rPr>
        <w:t>Hartmann and Needham, 2012</w:t>
      </w:r>
      <w:r>
        <w:rPr>
          <w:rFonts w:asciiTheme="minorHAnsi" w:hAnsiTheme="minorHAnsi" w:cstheme="minorHAnsi"/>
          <w:lang w:val="en-GB"/>
        </w:rPr>
        <w:t xml:space="preserve">). The effectiveness, efficiency, legitimacy and practicability of amending and working with these urban property rights to shape densification depends on the specific way instruments of land policy are used to implement planning goals (Needham et al., 2018). </w:t>
      </w:r>
    </w:p>
    <w:p w14:paraId="5B701D30" w14:textId="77777777" w:rsidR="000726FD" w:rsidRDefault="001F61C5" w:rsidP="0089450A">
      <w:pPr>
        <w:ind w:firstLine="426"/>
        <w:rPr>
          <w:rFonts w:ascii="Calibri" w:hAnsi="Calibri" w:cstheme="minorHAnsi"/>
          <w:lang w:val="en-GB"/>
        </w:rPr>
      </w:pPr>
      <w:r>
        <w:rPr>
          <w:rFonts w:asciiTheme="minorHAnsi" w:hAnsiTheme="minorHAnsi" w:cstheme="minorHAnsi"/>
          <w:lang w:val="en-GB"/>
        </w:rPr>
        <w:t xml:space="preserve">Implementation of land policy reflects a certain relation between the state and landowners, as the target group of planning interventions </w:t>
      </w:r>
      <w:r>
        <w:rPr>
          <w:rFonts w:ascii="Calibri" w:hAnsi="Calibri" w:cstheme="minorHAnsi"/>
          <w:noProof/>
          <w:lang w:val="en-GB"/>
        </w:rPr>
        <w:t>(</w:t>
      </w:r>
      <w:r w:rsidRPr="00B67404">
        <w:rPr>
          <w:rFonts w:ascii="Calibri" w:hAnsi="Calibri" w:cstheme="minorHAnsi"/>
          <w:noProof/>
          <w:lang w:val="en-GB"/>
        </w:rPr>
        <w:t>Gerber et al., 2018</w:t>
      </w:r>
      <w:r>
        <w:rPr>
          <w:rFonts w:ascii="Calibri" w:hAnsi="Calibri" w:cstheme="minorHAnsi"/>
          <w:noProof/>
          <w:lang w:val="en-GB"/>
        </w:rPr>
        <w:t>)</w:t>
      </w:r>
      <w:r>
        <w:rPr>
          <w:rFonts w:asciiTheme="minorHAnsi" w:hAnsiTheme="minorHAnsi" w:cstheme="minorHAnsi"/>
          <w:lang w:val="en-GB"/>
        </w:rPr>
        <w:t xml:space="preserve">. This relation has been described by </w:t>
      </w:r>
      <w:r w:rsidRPr="008E1EF1">
        <w:rPr>
          <w:rFonts w:ascii="Calibri" w:hAnsi="Calibri" w:cstheme="minorHAnsi"/>
          <w:lang w:val="en-GB"/>
        </w:rPr>
        <w:t>planning scholars</w:t>
      </w:r>
      <w:r>
        <w:rPr>
          <w:rFonts w:ascii="Calibri" w:hAnsi="Calibri" w:cstheme="minorHAnsi"/>
          <w:lang w:val="en-GB"/>
        </w:rPr>
        <w:t xml:space="preserve"> in a number of</w:t>
      </w:r>
      <w:r w:rsidRPr="008E1EF1" w:rsidDel="0009550C">
        <w:rPr>
          <w:rFonts w:ascii="Calibri" w:hAnsi="Calibri" w:cstheme="minorHAnsi"/>
          <w:lang w:val="en-GB"/>
        </w:rPr>
        <w:t xml:space="preserve"> </w:t>
      </w:r>
      <w:r w:rsidRPr="008E1EF1">
        <w:rPr>
          <w:rFonts w:ascii="Calibri" w:hAnsi="Calibri" w:cstheme="minorHAnsi"/>
          <w:lang w:val="en-GB"/>
        </w:rPr>
        <w:t xml:space="preserve">dichotomies and typologies. </w:t>
      </w:r>
      <w:r w:rsidR="00846676">
        <w:rPr>
          <w:rFonts w:ascii="Calibri" w:hAnsi="Calibri" w:cstheme="minorHAnsi"/>
          <w:lang w:val="en-GB"/>
        </w:rPr>
        <w:t xml:space="preserve">This needs to be seen against the backdrop of a wider shift </w:t>
      </w:r>
      <w:r w:rsidR="00846676" w:rsidRPr="006634AA">
        <w:rPr>
          <w:rFonts w:ascii="Calibri" w:hAnsi="Calibri" w:cstheme="minorHAnsi"/>
          <w:lang w:val="en-GB"/>
        </w:rPr>
        <w:t xml:space="preserve">from the </w:t>
      </w:r>
      <w:r w:rsidR="00846676">
        <w:rPr>
          <w:rFonts w:ascii="Calibri" w:hAnsi="Calibri" w:cstheme="minorHAnsi"/>
          <w:lang w:val="en-GB"/>
        </w:rPr>
        <w:t>positive</w:t>
      </w:r>
      <w:r w:rsidR="00846676" w:rsidRPr="006634AA">
        <w:rPr>
          <w:rFonts w:ascii="Calibri" w:hAnsi="Calibri" w:cstheme="minorHAnsi"/>
          <w:lang w:val="en-GB"/>
        </w:rPr>
        <w:t xml:space="preserve"> towards the regulatory state</w:t>
      </w:r>
      <w:r w:rsidR="00846676">
        <w:rPr>
          <w:rFonts w:ascii="Calibri" w:hAnsi="Calibri" w:cstheme="minorHAnsi"/>
          <w:lang w:val="en-GB"/>
        </w:rPr>
        <w:t xml:space="preserve">, whereby there is a shift in emphasis </w:t>
      </w:r>
      <w:r w:rsidR="00846676" w:rsidRPr="006634AA">
        <w:rPr>
          <w:rFonts w:ascii="Calibri" w:hAnsi="Calibri" w:cstheme="minorHAnsi"/>
          <w:lang w:val="en-GB"/>
        </w:rPr>
        <w:t xml:space="preserve">from the state being a </w:t>
      </w:r>
      <w:r w:rsidR="00846676">
        <w:rPr>
          <w:rFonts w:ascii="Calibri" w:hAnsi="Calibri" w:cstheme="minorHAnsi"/>
          <w:lang w:val="en-GB"/>
        </w:rPr>
        <w:t>‘</w:t>
      </w:r>
      <w:r w:rsidR="00846676" w:rsidRPr="006634AA">
        <w:rPr>
          <w:rFonts w:ascii="Calibri" w:hAnsi="Calibri" w:cstheme="minorHAnsi"/>
          <w:lang w:val="en-GB"/>
        </w:rPr>
        <w:t>producer</w:t>
      </w:r>
      <w:r w:rsidR="00846676">
        <w:rPr>
          <w:rFonts w:ascii="Calibri" w:hAnsi="Calibri" w:cstheme="minorHAnsi"/>
          <w:lang w:val="en-GB"/>
        </w:rPr>
        <w:t>’</w:t>
      </w:r>
      <w:r w:rsidR="00846676" w:rsidRPr="006634AA">
        <w:rPr>
          <w:rFonts w:ascii="Calibri" w:hAnsi="Calibri" w:cstheme="minorHAnsi"/>
          <w:lang w:val="en-GB"/>
        </w:rPr>
        <w:t xml:space="preserve"> of public goods </w:t>
      </w:r>
      <w:r w:rsidR="00846676">
        <w:rPr>
          <w:rFonts w:ascii="Calibri" w:hAnsi="Calibri" w:cstheme="minorHAnsi"/>
          <w:lang w:val="en-GB"/>
        </w:rPr>
        <w:t xml:space="preserve">through public ownership, subsidies and direct service provision, </w:t>
      </w:r>
      <w:r w:rsidR="00846676" w:rsidRPr="006634AA">
        <w:rPr>
          <w:rFonts w:ascii="Calibri" w:hAnsi="Calibri" w:cstheme="minorHAnsi"/>
          <w:lang w:val="en-GB"/>
        </w:rPr>
        <w:t>towards</w:t>
      </w:r>
      <w:r w:rsidR="00846676">
        <w:rPr>
          <w:rFonts w:ascii="Calibri" w:hAnsi="Calibri" w:cstheme="minorHAnsi"/>
          <w:lang w:val="en-GB"/>
        </w:rPr>
        <w:t xml:space="preserve"> an ‘umpire’ overseeing the delivery of public objectives through private actors</w:t>
      </w:r>
      <w:r w:rsidR="00846676" w:rsidRPr="006634AA">
        <w:rPr>
          <w:rFonts w:ascii="Calibri" w:hAnsi="Calibri" w:cstheme="minorHAnsi"/>
          <w:lang w:val="en-GB"/>
        </w:rPr>
        <w:t xml:space="preserve"> </w:t>
      </w:r>
      <w:r w:rsidR="00846676">
        <w:rPr>
          <w:rFonts w:ascii="Calibri" w:hAnsi="Calibri" w:cstheme="minorHAnsi"/>
          <w:lang w:val="en-GB"/>
        </w:rPr>
        <w:fldChar w:fldCharType="begin">
          <w:fldData xml:space="preserve">PEVuZE5vdGU+PENpdGU+PEF1dGhvcj5NYWpvbmU8L0F1dGhvcj48WWVhcj4xOTk0PC9ZZWFyPjxJ
RFRleHQ+VGhlIHJpc2Ugb2YgdGhlIHJlZ3VsYXRvcnkgc3RhdGUgaW4gRXVyb3BlPC9JRFRleHQ+
PERpc3BsYXlUZXh0PihNYWpvbmUsIDE5OTQsIDE5OTcpPC9EaXNwbGF5VGV4dD48cmVjb3JkPjxk
YXRlcz48cHViLWRhdGVzPjxkYXRlPjE5OTQvMDcvMDE8L2RhdGU+PC9wdWItZGF0ZXM+PHllYXI+
MTk5NDwveWVhcj48L2RhdGVzPjx1cmxzPjxyZWxhdGVkLXVybHM+PHVybD5odHRwczovL2RvaS5v
cmcvMTAuMTA4MC8wMTQwMjM4OTQwODQyNTAzMTwvdXJsPjwvcmVsYXRlZC11cmxzPjwvdXJscz48
aXNibj4wMTQwLTIzODI8L2lzYm4+PHRpdGxlcz48dGl0bGU+VGhlIHJpc2Ugb2YgdGhlIHJlZ3Vs
YXRvcnkgc3RhdGUgaW4gRXVyb3BlPC90aXRsZT48c2Vjb25kYXJ5LXRpdGxlPldlc3QgRXVyb3Bl
YW4gUG9saXRpY3M8L3NlY29uZGFyeS10aXRsZT48L3RpdGxlcz48cGFnZXM+NzctMTAxPC9wYWdl
cz48bnVtYmVyPjM8L251bWJlcj48Y29udHJpYnV0b3JzPjxhdXRob3JzPjxhdXRob3I+TWFqb25l
LCBHaWFuZG9tZW5pY288L2F1dGhvcj48L2F1dGhvcnM+PC9jb250cmlidXRvcnM+PGFkZGVkLWRh
dGUgZm9ybWF0PSJ1dGMiPjE1Nzg0MTAxMTQ8L2FkZGVkLWRhdGU+PHJlZi10eXBlIG5hbWU9Ikpv
dXJuYWwgQXJ0aWNsZSI+MTc8L3JlZi10eXBlPjxyZWMtbnVtYmVyPjQyNTwvcmVjLW51bWJlcj48
cHVibGlzaGVyPlJvdXRsZWRnZTwvcHVibGlzaGVyPjxsYXN0LXVwZGF0ZWQtZGF0ZSBmb3JtYXQ9
InV0YyI+MTU3ODQxMDExNDwvbGFzdC11cGRhdGVkLWRhdGU+PGVsZWN0cm9uaWMtcmVzb3VyY2Ut
bnVtPjEwLjEwODAvMDE0MDIzODk0MDg0MjUwMzE8L2VsZWN0cm9uaWMtcmVzb3VyY2UtbnVtPjx2
b2x1bWU+MTc8L3ZvbHVtZT48L3JlY29yZD48L0NpdGU+PENpdGU+PEF1dGhvcj5NYWpvbmU8L0F1
dGhvcj48WWVhcj4xOTk3PC9ZZWFyPjxJRFRleHQ+RnJvbSB0aGUgUG9zaXRpdmUgdG8gdGhlIFJl
Z3VsYXRvcnkgU3RhdGU6IENhdXNlcyBhbmQgQ29uc2VxdWVuY2VzIG9mIENoYW5nZXMgaW4gdGhl
IE1vZGUgb2YgR292ZXJuYW5jZTwvSURUZXh0PjxyZWNvcmQ+PHVybHM+PHJlbGF0ZWQtdXJscz48
dXJsPmh0dHBzOi8vd3d3LmNhbWJyaWRnZS5vcmcvY29yZS9hcnRpY2xlL2Zyb20tdGhlLXBvc2l0
aXZlLXRvLXRoZS1yZWd1bGF0b3J5LXN0YXRlLWNhdXNlcy1hbmQtY29uc2VxdWVuY2VzLW9mLWNo
YW5nZXMtaW4tdGhlLW1vZGUtb2YtZ292ZXJuYW5jZS9FMkEzOTQxNDJENkFENjk3QTQwNzNBRkZC
M0FGQzEyNzwvdXJsPjwvcmVsYXRlZC11cmxzPjwvdXJscz48aXNibj4wMTQzLTgxNFg8L2lzYm4+
PHRpdGxlcz48dGl0bGU+RnJvbSB0aGUgUG9zaXRpdmUgdG8gdGhlIFJlZ3VsYXRvcnkgU3RhdGU6
IENhdXNlcyBhbmQgQ29uc2VxdWVuY2VzIG9mIENoYW5nZXMgaW4gdGhlIE1vZGUgb2YgR292ZXJu
YW5jZTwvdGl0bGU+PHNlY29uZGFyeS10aXRsZT5Kb3VybmFsIG9mIFB1YmxpYyBQb2xpY3k8L3Nl
Y29uZGFyeS10aXRsZT48L3RpdGxlcz48cGFnZXM+MTM5LTE2NzwvcGFnZXM+PG51bWJlcj4yPC9u
dW1iZXI+PGNvbnRyaWJ1dG9ycz48YXV0aG9ycz48YXV0aG9yPk1ham9uZSwgR2lhbmRvbWVuaWNv
PC9hdXRob3I+PC9hdXRob3JzPjwvY29udHJpYnV0b3JzPjxlZGl0aW9uPjIwMDgvMTEvMjg8L2Vk
aXRpb24+PGFkZGVkLWRhdGUgZm9ybWF0PSJ1dGMiPjE1MDA5MTY4ODI8L2FkZGVkLWRhdGU+PHJl
Zi10eXBlIG5hbWU9IkpvdXJuYWwgQXJ0aWNsZSI+MTc8L3JlZi10eXBlPjxkYXRlcz48eWVhcj4x
OTk3PC95ZWFyPjwvZGF0ZXM+PHJlbW90ZS1kYXRhYmFzZS1wcm92aWRlcj5DYW1icmlkZ2UgVW5p
dmVyc2l0eSBQcmVzczwvcmVtb3RlLWRhdGFiYXNlLXByb3ZpZGVyPjxyZWMtbnVtYmVyPjM3PC9y
ZWMtbnVtYmVyPjxwdWJsaXNoZXI+Q2FtYnJpZGdlIFVuaXZlcnNpdHkgUHJlc3M8L3B1Ymxpc2hl
cj48bGFzdC11cGRhdGVkLWRhdGUgZm9ybWF0PSJ1dGMiPjE1MDA5MTY4ODI8L2xhc3QtdXBkYXRl
ZC1kYXRlPjxlbGVjdHJvbmljLXJlc291cmNlLW51bT4xMC4xMDE3L1MwMTQzODE0WDAwMDAzNTI0
PC9lbGVjdHJvbmljLXJlc291cmNlLW51bT48dm9sdW1lPjE3PC92b2x1bWU+PHJlbW90ZS1kYXRh
YmFzZS1uYW1lPkNhbWJyaWRnZSBDb3JlPC9yZW1vdGUtZGF0YWJhc2UtbmFtZT48L3JlY29yZD48
L0NpdGU+PC9FbmROb3RlPgB=
</w:fldData>
        </w:fldChar>
      </w:r>
      <w:r w:rsidR="00846676">
        <w:rPr>
          <w:rFonts w:ascii="Calibri" w:hAnsi="Calibri" w:cstheme="minorHAnsi"/>
          <w:lang w:val="en-GB"/>
        </w:rPr>
        <w:instrText xml:space="preserve"> ADDIN EN.CITE </w:instrText>
      </w:r>
      <w:r w:rsidR="00846676">
        <w:rPr>
          <w:rFonts w:ascii="Calibri" w:hAnsi="Calibri" w:cstheme="minorHAnsi"/>
          <w:lang w:val="en-GB"/>
        </w:rPr>
        <w:fldChar w:fldCharType="begin">
          <w:fldData xml:space="preserve">PEVuZE5vdGU+PENpdGU+PEF1dGhvcj5NYWpvbmU8L0F1dGhvcj48WWVhcj4xOTk0PC9ZZWFyPjxJ
RFRleHQ+VGhlIHJpc2Ugb2YgdGhlIHJlZ3VsYXRvcnkgc3RhdGUgaW4gRXVyb3BlPC9JRFRleHQ+
PERpc3BsYXlUZXh0PihNYWpvbmUsIDE5OTQsIDE5OTcpPC9EaXNwbGF5VGV4dD48cmVjb3JkPjxk
YXRlcz48cHViLWRhdGVzPjxkYXRlPjE5OTQvMDcvMDE8L2RhdGU+PC9wdWItZGF0ZXM+PHllYXI+
MTk5NDwveWVhcj48L2RhdGVzPjx1cmxzPjxyZWxhdGVkLXVybHM+PHVybD5odHRwczovL2RvaS5v
cmcvMTAuMTA4MC8wMTQwMjM4OTQwODQyNTAzMTwvdXJsPjwvcmVsYXRlZC11cmxzPjwvdXJscz48
aXNibj4wMTQwLTIzODI8L2lzYm4+PHRpdGxlcz48dGl0bGU+VGhlIHJpc2Ugb2YgdGhlIHJlZ3Vs
YXRvcnkgc3RhdGUgaW4gRXVyb3BlPC90aXRsZT48c2Vjb25kYXJ5LXRpdGxlPldlc3QgRXVyb3Bl
YW4gUG9saXRpY3M8L3NlY29uZGFyeS10aXRsZT48L3RpdGxlcz48cGFnZXM+NzctMTAxPC9wYWdl
cz48bnVtYmVyPjM8L251bWJlcj48Y29udHJpYnV0b3JzPjxhdXRob3JzPjxhdXRob3I+TWFqb25l
LCBHaWFuZG9tZW5pY288L2F1dGhvcj48L2F1dGhvcnM+PC9jb250cmlidXRvcnM+PGFkZGVkLWRh
dGUgZm9ybWF0PSJ1dGMiPjE1Nzg0MTAxMTQ8L2FkZGVkLWRhdGU+PHJlZi10eXBlIG5hbWU9Ikpv
dXJuYWwgQXJ0aWNsZSI+MTc8L3JlZi10eXBlPjxyZWMtbnVtYmVyPjQyNTwvcmVjLW51bWJlcj48
cHVibGlzaGVyPlJvdXRsZWRnZTwvcHVibGlzaGVyPjxsYXN0LXVwZGF0ZWQtZGF0ZSBmb3JtYXQ9
InV0YyI+MTU3ODQxMDExNDwvbGFzdC11cGRhdGVkLWRhdGU+PGVsZWN0cm9uaWMtcmVzb3VyY2Ut
bnVtPjEwLjEwODAvMDE0MDIzODk0MDg0MjUwMzE8L2VsZWN0cm9uaWMtcmVzb3VyY2UtbnVtPjx2
b2x1bWU+MTc8L3ZvbHVtZT48L3JlY29yZD48L0NpdGU+PENpdGU+PEF1dGhvcj5NYWpvbmU8L0F1
dGhvcj48WWVhcj4xOTk3PC9ZZWFyPjxJRFRleHQ+RnJvbSB0aGUgUG9zaXRpdmUgdG8gdGhlIFJl
Z3VsYXRvcnkgU3RhdGU6IENhdXNlcyBhbmQgQ29uc2VxdWVuY2VzIG9mIENoYW5nZXMgaW4gdGhl
IE1vZGUgb2YgR292ZXJuYW5jZTwvSURUZXh0PjxyZWNvcmQ+PHVybHM+PHJlbGF0ZWQtdXJscz48
dXJsPmh0dHBzOi8vd3d3LmNhbWJyaWRnZS5vcmcvY29yZS9hcnRpY2xlL2Zyb20tdGhlLXBvc2l0
aXZlLXRvLXRoZS1yZWd1bGF0b3J5LXN0YXRlLWNhdXNlcy1hbmQtY29uc2VxdWVuY2VzLW9mLWNo
YW5nZXMtaW4tdGhlLW1vZGUtb2YtZ292ZXJuYW5jZS9FMkEzOTQxNDJENkFENjk3QTQwNzNBRkZC
M0FGQzEyNzwvdXJsPjwvcmVsYXRlZC11cmxzPjwvdXJscz48aXNibj4wMTQzLTgxNFg8L2lzYm4+
PHRpdGxlcz48dGl0bGU+RnJvbSB0aGUgUG9zaXRpdmUgdG8gdGhlIFJlZ3VsYXRvcnkgU3RhdGU6
IENhdXNlcyBhbmQgQ29uc2VxdWVuY2VzIG9mIENoYW5nZXMgaW4gdGhlIE1vZGUgb2YgR292ZXJu
YW5jZTwvdGl0bGU+PHNlY29uZGFyeS10aXRsZT5Kb3VybmFsIG9mIFB1YmxpYyBQb2xpY3k8L3Nl
Y29uZGFyeS10aXRsZT48L3RpdGxlcz48cGFnZXM+MTM5LTE2NzwvcGFnZXM+PG51bWJlcj4yPC9u
dW1iZXI+PGNvbnRyaWJ1dG9ycz48YXV0aG9ycz48YXV0aG9yPk1ham9uZSwgR2lhbmRvbWVuaWNv
PC9hdXRob3I+PC9hdXRob3JzPjwvY29udHJpYnV0b3JzPjxlZGl0aW9uPjIwMDgvMTEvMjg8L2Vk
aXRpb24+PGFkZGVkLWRhdGUgZm9ybWF0PSJ1dGMiPjE1MDA5MTY4ODI8L2FkZGVkLWRhdGU+PHJl
Zi10eXBlIG5hbWU9IkpvdXJuYWwgQXJ0aWNsZSI+MTc8L3JlZi10eXBlPjxkYXRlcz48eWVhcj4x
OTk3PC95ZWFyPjwvZGF0ZXM+PHJlbW90ZS1kYXRhYmFzZS1wcm92aWRlcj5DYW1icmlkZ2UgVW5p
dmVyc2l0eSBQcmVzczwvcmVtb3RlLWRhdGFiYXNlLXByb3ZpZGVyPjxyZWMtbnVtYmVyPjM3PC9y
ZWMtbnVtYmVyPjxwdWJsaXNoZXI+Q2FtYnJpZGdlIFVuaXZlcnNpdHkgUHJlc3M8L3B1Ymxpc2hl
cj48bGFzdC11cGRhdGVkLWRhdGUgZm9ybWF0PSJ1dGMiPjE1MDA5MTY4ODI8L2xhc3QtdXBkYXRl
ZC1kYXRlPjxlbGVjdHJvbmljLXJlc291cmNlLW51bT4xMC4xMDE3L1MwMTQzODE0WDAwMDAzNTI0
PC9lbGVjdHJvbmljLXJlc291cmNlLW51bT48dm9sdW1lPjE3PC92b2x1bWU+PHJlbW90ZS1kYXRh
YmFzZS1uYW1lPkNhbWJyaWRnZSBDb3JlPC9yZW1vdGUtZGF0YWJhc2UtbmFtZT48L3JlY29yZD48
L0NpdGU+PC9FbmROb3RlPgB=
</w:fldData>
        </w:fldChar>
      </w:r>
      <w:r w:rsidR="00846676">
        <w:rPr>
          <w:rFonts w:ascii="Calibri" w:hAnsi="Calibri" w:cstheme="minorHAnsi"/>
          <w:lang w:val="en-GB"/>
        </w:rPr>
        <w:instrText xml:space="preserve"> ADDIN EN.CITE.DATA </w:instrText>
      </w:r>
      <w:r w:rsidR="00846676">
        <w:rPr>
          <w:rFonts w:ascii="Calibri" w:hAnsi="Calibri" w:cstheme="minorHAnsi"/>
          <w:lang w:val="en-GB"/>
        </w:rPr>
      </w:r>
      <w:r w:rsidR="00846676">
        <w:rPr>
          <w:rFonts w:ascii="Calibri" w:hAnsi="Calibri" w:cstheme="minorHAnsi"/>
          <w:lang w:val="en-GB"/>
        </w:rPr>
        <w:fldChar w:fldCharType="end"/>
      </w:r>
      <w:r w:rsidR="00846676">
        <w:rPr>
          <w:rFonts w:ascii="Calibri" w:hAnsi="Calibri" w:cstheme="minorHAnsi"/>
          <w:lang w:val="en-GB"/>
        </w:rPr>
      </w:r>
      <w:r w:rsidR="00846676">
        <w:rPr>
          <w:rFonts w:ascii="Calibri" w:hAnsi="Calibri" w:cstheme="minorHAnsi"/>
          <w:lang w:val="en-GB"/>
        </w:rPr>
        <w:fldChar w:fldCharType="separate"/>
      </w:r>
      <w:r w:rsidR="00846676">
        <w:rPr>
          <w:rFonts w:ascii="Calibri" w:hAnsi="Calibri" w:cstheme="minorHAnsi"/>
          <w:noProof/>
          <w:lang w:val="en-GB"/>
        </w:rPr>
        <w:t>(Majone, 1994, 1997)</w:t>
      </w:r>
      <w:r w:rsidR="00846676">
        <w:rPr>
          <w:rFonts w:ascii="Calibri" w:hAnsi="Calibri" w:cstheme="minorHAnsi"/>
          <w:lang w:val="en-GB"/>
        </w:rPr>
        <w:fldChar w:fldCharType="end"/>
      </w:r>
      <w:r w:rsidR="00846676" w:rsidRPr="006634AA">
        <w:rPr>
          <w:rFonts w:ascii="Calibri" w:hAnsi="Calibri" w:cstheme="minorHAnsi"/>
          <w:lang w:val="en-GB"/>
        </w:rPr>
        <w:t xml:space="preserve">. </w:t>
      </w:r>
      <w:r w:rsidRPr="008E1EF1">
        <w:rPr>
          <w:rFonts w:ascii="Calibri" w:hAnsi="Calibri" w:cstheme="minorHAnsi"/>
          <w:lang w:val="en-GB"/>
        </w:rPr>
        <w:t>Th</w:t>
      </w:r>
      <w:r>
        <w:rPr>
          <w:rFonts w:ascii="Calibri" w:hAnsi="Calibri" w:cstheme="minorHAnsi"/>
          <w:lang w:val="en-GB"/>
        </w:rPr>
        <w:t>e</w:t>
      </w:r>
      <w:r w:rsidRPr="008E1EF1">
        <w:rPr>
          <w:rFonts w:ascii="Calibri" w:hAnsi="Calibri" w:cstheme="minorHAnsi"/>
          <w:lang w:val="en-GB"/>
        </w:rPr>
        <w:t xml:space="preserve"> distinction between a productive state and a regulatory state is implicitly also incorporated in </w:t>
      </w:r>
      <w:proofErr w:type="spellStart"/>
      <w:r w:rsidRPr="008E1EF1">
        <w:rPr>
          <w:rFonts w:ascii="Calibri" w:hAnsi="Calibri" w:cstheme="minorHAnsi"/>
          <w:lang w:val="en-GB"/>
        </w:rPr>
        <w:t>Touati</w:t>
      </w:r>
      <w:proofErr w:type="spellEnd"/>
      <w:r w:rsidRPr="008E1EF1">
        <w:rPr>
          <w:rFonts w:ascii="Calibri" w:hAnsi="Calibri" w:cstheme="minorHAnsi"/>
          <w:lang w:val="en-GB"/>
        </w:rPr>
        <w:t xml:space="preserve">-Morel’s (2015) work on densification, distinguishing the use of incentives and direct intervention. In a similar vein, Hartmann and Spit </w:t>
      </w:r>
      <w:r w:rsidRPr="008E1EF1">
        <w:rPr>
          <w:rFonts w:ascii="Calibri" w:hAnsi="Calibri" w:cstheme="minorHAnsi"/>
          <w:noProof/>
          <w:lang w:val="en-GB"/>
        </w:rPr>
        <w:t>(2015)</w:t>
      </w:r>
      <w:r w:rsidRPr="008E1EF1">
        <w:rPr>
          <w:rFonts w:ascii="Calibri" w:hAnsi="Calibri" w:cstheme="minorHAnsi"/>
          <w:lang w:val="en-GB"/>
        </w:rPr>
        <w:t xml:space="preserve"> compare</w:t>
      </w:r>
      <w:r>
        <w:rPr>
          <w:rFonts w:ascii="Calibri" w:hAnsi="Calibri" w:cstheme="minorHAnsi"/>
          <w:lang w:val="en-GB"/>
        </w:rPr>
        <w:t>d</w:t>
      </w:r>
      <w:r w:rsidRPr="008E1EF1">
        <w:rPr>
          <w:rFonts w:ascii="Calibri" w:hAnsi="Calibri" w:cstheme="minorHAnsi"/>
          <w:lang w:val="en-GB"/>
        </w:rPr>
        <w:t xml:space="preserve"> the active Dutch and passive German approach</w:t>
      </w:r>
      <w:r>
        <w:rPr>
          <w:rFonts w:ascii="Calibri" w:hAnsi="Calibri" w:cstheme="minorHAnsi"/>
          <w:lang w:val="en-GB"/>
        </w:rPr>
        <w:t>es</w:t>
      </w:r>
      <w:r w:rsidRPr="008E1EF1">
        <w:rPr>
          <w:rFonts w:ascii="Calibri" w:hAnsi="Calibri" w:cstheme="minorHAnsi"/>
          <w:lang w:val="en-GB"/>
        </w:rPr>
        <w:t xml:space="preserve"> to land policy, based on the degree in which the state </w:t>
      </w:r>
      <w:r>
        <w:rPr>
          <w:rFonts w:ascii="Calibri" w:hAnsi="Calibri" w:cstheme="minorHAnsi"/>
          <w:lang w:val="en-GB"/>
        </w:rPr>
        <w:t>wa</w:t>
      </w:r>
      <w:r w:rsidRPr="008E1EF1">
        <w:rPr>
          <w:rFonts w:ascii="Calibri" w:hAnsi="Calibri" w:cstheme="minorHAnsi"/>
          <w:lang w:val="en-GB"/>
        </w:rPr>
        <w:t xml:space="preserve">s prepared to take on financial risks in order to achieve its policy objectives. </w:t>
      </w:r>
      <w:proofErr w:type="spellStart"/>
      <w:r w:rsidRPr="003078DF">
        <w:rPr>
          <w:rFonts w:asciiTheme="minorHAnsi" w:hAnsiTheme="minorHAnsi" w:cstheme="minorHAnsi"/>
          <w:lang w:val="en-GB"/>
        </w:rPr>
        <w:t>Buitelaar</w:t>
      </w:r>
      <w:proofErr w:type="spellEnd"/>
      <w:r w:rsidRPr="003078DF">
        <w:rPr>
          <w:rFonts w:asciiTheme="minorHAnsi" w:hAnsiTheme="minorHAnsi" w:cstheme="minorHAnsi"/>
          <w:lang w:val="en-GB"/>
        </w:rPr>
        <w:t xml:space="preserve"> (2012) distinguishes between conservation plans, development-led plans and steering plans, the latter two being oriented towards change but implying a very different public sector role: development plans facilitate a concrete project put forward by the state directly or by any other party, while steering plans are far less connected to concrete projects and therefore less prescriptive and interventionist. </w:t>
      </w:r>
      <w:r w:rsidRPr="008E1EF1">
        <w:rPr>
          <w:rFonts w:ascii="Calibri" w:hAnsi="Calibri" w:cstheme="minorHAnsi"/>
          <w:lang w:val="en-GB"/>
        </w:rPr>
        <w:t xml:space="preserve">Gerber et al. </w:t>
      </w:r>
      <w:r>
        <w:rPr>
          <w:rFonts w:ascii="Calibri" w:hAnsi="Calibri" w:cstheme="minorHAnsi"/>
          <w:noProof/>
          <w:lang w:val="en-GB"/>
        </w:rPr>
        <w:t>(2018)</w:t>
      </w:r>
      <w:r>
        <w:rPr>
          <w:rFonts w:ascii="Calibri" w:hAnsi="Calibri" w:cstheme="minorHAnsi"/>
          <w:lang w:val="en-GB"/>
        </w:rPr>
        <w:t xml:space="preserve"> </w:t>
      </w:r>
      <w:r w:rsidRPr="008E1EF1">
        <w:rPr>
          <w:rFonts w:ascii="Calibri" w:hAnsi="Calibri" w:cstheme="minorHAnsi"/>
          <w:lang w:val="en-GB"/>
        </w:rPr>
        <w:t>classify policy instruments according to the degree of interference in property rights, ranging from no impact, via regulation, redefinition to redistribution</w:t>
      </w:r>
      <w:r>
        <w:rPr>
          <w:rFonts w:ascii="Calibri" w:hAnsi="Calibri" w:cstheme="minorHAnsi"/>
          <w:lang w:val="en-GB"/>
        </w:rPr>
        <w:t xml:space="preserve"> (see </w:t>
      </w:r>
      <w:r w:rsidR="00B67404">
        <w:rPr>
          <w:rFonts w:ascii="Calibri" w:hAnsi="Calibri" w:cstheme="minorHAnsi"/>
          <w:lang w:val="en-GB"/>
        </w:rPr>
        <w:t>T</w:t>
      </w:r>
      <w:r>
        <w:rPr>
          <w:rFonts w:ascii="Calibri" w:hAnsi="Calibri" w:cstheme="minorHAnsi"/>
          <w:lang w:val="en-GB"/>
        </w:rPr>
        <w:t>able 1)</w:t>
      </w:r>
      <w:r w:rsidRPr="008E1EF1">
        <w:rPr>
          <w:rFonts w:ascii="Calibri" w:hAnsi="Calibri" w:cstheme="minorHAnsi"/>
          <w:lang w:val="en-GB"/>
        </w:rPr>
        <w:t xml:space="preserve">. </w:t>
      </w:r>
    </w:p>
    <w:p w14:paraId="6C1C799B" w14:textId="717A53C3" w:rsidR="001F61C5" w:rsidRDefault="001F61C5" w:rsidP="0089450A">
      <w:pPr>
        <w:ind w:firstLine="426"/>
        <w:rPr>
          <w:rFonts w:asciiTheme="minorHAnsi" w:hAnsiTheme="minorHAnsi" w:cstheme="minorHAnsi"/>
          <w:lang w:val="en-GB"/>
        </w:rPr>
      </w:pPr>
      <w:r>
        <w:rPr>
          <w:rFonts w:ascii="Calibri" w:hAnsi="Calibri" w:cstheme="minorHAnsi"/>
          <w:lang w:val="en-GB"/>
        </w:rPr>
        <w:t xml:space="preserve">Some authors have approached the issue </w:t>
      </w:r>
      <w:r w:rsidR="000726FD">
        <w:rPr>
          <w:rFonts w:ascii="Calibri" w:hAnsi="Calibri" w:cstheme="minorHAnsi"/>
          <w:lang w:val="en-GB"/>
        </w:rPr>
        <w:t xml:space="preserve">of state–society relationships </w:t>
      </w:r>
      <w:r>
        <w:rPr>
          <w:rFonts w:ascii="Calibri" w:hAnsi="Calibri" w:cstheme="minorHAnsi"/>
          <w:lang w:val="en-GB"/>
        </w:rPr>
        <w:t>more normatively asking</w:t>
      </w:r>
      <w:r w:rsidRPr="00FF47FC">
        <w:rPr>
          <w:rFonts w:ascii="Calibri" w:hAnsi="Calibri" w:cstheme="minorHAnsi"/>
          <w:lang w:val="en-GB"/>
        </w:rPr>
        <w:t xml:space="preserve"> how much state intervention is desirable. In a special issue in this journal </w:t>
      </w:r>
      <w:r>
        <w:rPr>
          <w:rFonts w:ascii="Calibri" w:hAnsi="Calibri" w:cstheme="minorHAnsi"/>
          <w:lang w:val="en-GB"/>
        </w:rPr>
        <w:t>over a</w:t>
      </w:r>
      <w:r w:rsidRPr="00FF47FC">
        <w:rPr>
          <w:rFonts w:ascii="Calibri" w:hAnsi="Calibri" w:cstheme="minorHAnsi"/>
          <w:lang w:val="en-GB"/>
        </w:rPr>
        <w:t xml:space="preserve"> decade ago, </w:t>
      </w:r>
      <w:proofErr w:type="spellStart"/>
      <w:r w:rsidRPr="00FF47FC">
        <w:rPr>
          <w:rFonts w:ascii="Calibri" w:hAnsi="Calibri" w:cstheme="minorHAnsi"/>
          <w:lang w:val="en-GB"/>
        </w:rPr>
        <w:t>Buitelaar</w:t>
      </w:r>
      <w:proofErr w:type="spellEnd"/>
      <w:r w:rsidRPr="00FF47FC">
        <w:rPr>
          <w:rFonts w:ascii="Calibri" w:hAnsi="Calibri" w:cstheme="minorHAnsi"/>
          <w:lang w:val="en-GB"/>
        </w:rPr>
        <w:t xml:space="preserve"> and Needham </w:t>
      </w:r>
      <w:r>
        <w:rPr>
          <w:rFonts w:ascii="Calibri" w:hAnsi="Calibri" w:cstheme="minorHAnsi"/>
          <w:noProof/>
          <w:lang w:val="en-GB"/>
        </w:rPr>
        <w:t>(2007, 1)</w:t>
      </w:r>
      <w:r w:rsidRPr="00FF47FC">
        <w:rPr>
          <w:rFonts w:ascii="Calibri" w:hAnsi="Calibri" w:cstheme="minorHAnsi"/>
          <w:lang w:val="en-GB"/>
        </w:rPr>
        <w:t xml:space="preserve"> explored alternatives to </w:t>
      </w:r>
      <w:r w:rsidRPr="00FF47FC">
        <w:rPr>
          <w:rFonts w:ascii="Calibri" w:hAnsi="Calibri" w:cstheme="minorHAnsi"/>
          <w:lang w:val="en-GB"/>
        </w:rPr>
        <w:lastRenderedPageBreak/>
        <w:t xml:space="preserve">customary land use planning, asking whether the </w:t>
      </w:r>
      <w:r w:rsidR="0089450A">
        <w:rPr>
          <w:rFonts w:ascii="Calibri" w:hAnsi="Calibri" w:cstheme="minorHAnsi"/>
          <w:lang w:val="en-GB"/>
        </w:rPr>
        <w:t>‘</w:t>
      </w:r>
      <w:r w:rsidRPr="00FF47FC">
        <w:rPr>
          <w:rFonts w:ascii="Calibri" w:hAnsi="Calibri" w:cstheme="minorHAnsi"/>
          <w:lang w:val="en-GB"/>
        </w:rPr>
        <w:t>general goals of land use planning [can] be retained and achieved but with a less direct involvement from public bodies?</w:t>
      </w:r>
      <w:r w:rsidR="0089450A">
        <w:rPr>
          <w:rFonts w:ascii="Calibri" w:hAnsi="Calibri" w:cstheme="minorHAnsi"/>
          <w:lang w:val="en-GB"/>
        </w:rPr>
        <w:t>’</w:t>
      </w:r>
      <w:r w:rsidRPr="00FF47FC">
        <w:rPr>
          <w:rFonts w:ascii="Calibri" w:hAnsi="Calibri" w:cstheme="minorHAnsi"/>
          <w:lang w:val="en-GB"/>
        </w:rPr>
        <w:t xml:space="preserve"> </w:t>
      </w:r>
      <w:r>
        <w:rPr>
          <w:rFonts w:ascii="Calibri" w:hAnsi="Calibri" w:cstheme="minorHAnsi"/>
          <w:lang w:val="en-GB"/>
        </w:rPr>
        <w:t xml:space="preserve">The question of how to best manage our </w:t>
      </w:r>
      <w:r w:rsidRPr="0089450A">
        <w:rPr>
          <w:rFonts w:asciiTheme="minorHAnsi" w:hAnsiTheme="minorHAnsi" w:cstheme="minorHAnsi"/>
          <w:lang w:val="en-GB"/>
        </w:rPr>
        <w:t>cities</w:t>
      </w:r>
      <w:r>
        <w:rPr>
          <w:rFonts w:ascii="Calibri" w:hAnsi="Calibri" w:cstheme="minorHAnsi"/>
          <w:lang w:val="en-GB"/>
        </w:rPr>
        <w:t xml:space="preserve"> is also central in the work of Webster and Lai (2003) and, more recently, discussed under the terms of nomocratic (grown order) and teleocratic (made order) planning </w:t>
      </w:r>
      <w:r>
        <w:rPr>
          <w:rFonts w:ascii="Calibri" w:hAnsi="Calibri" w:cstheme="minorHAnsi"/>
          <w:noProof/>
          <w:lang w:val="en-GB"/>
        </w:rPr>
        <w:t>(Moroni, 2010</w:t>
      </w:r>
      <w:r w:rsidR="00B67404">
        <w:rPr>
          <w:rFonts w:ascii="Calibri" w:hAnsi="Calibri" w:cstheme="minorHAnsi"/>
          <w:noProof/>
          <w:lang w:val="en-GB"/>
        </w:rPr>
        <w:t>;</w:t>
      </w:r>
      <w:r>
        <w:rPr>
          <w:rFonts w:ascii="Calibri" w:hAnsi="Calibri" w:cstheme="minorHAnsi"/>
          <w:noProof/>
          <w:lang w:val="en-GB"/>
        </w:rPr>
        <w:t xml:space="preserve"> Slaev, 2016)</w:t>
      </w:r>
      <w:r>
        <w:rPr>
          <w:rFonts w:ascii="Calibri" w:hAnsi="Calibri" w:cstheme="minorHAnsi"/>
          <w:lang w:val="en-GB"/>
        </w:rPr>
        <w:t>, placing a cautious note on when and how the state needs to intervene</w:t>
      </w:r>
      <w:r w:rsidRPr="00B67D77">
        <w:rPr>
          <w:rFonts w:ascii="Calibri" w:hAnsi="Calibri" w:cstheme="minorHAnsi"/>
          <w:lang w:val="en-GB"/>
        </w:rPr>
        <w:t xml:space="preserve">. </w:t>
      </w:r>
      <w:r>
        <w:rPr>
          <w:rFonts w:asciiTheme="minorHAnsi" w:hAnsiTheme="minorHAnsi" w:cstheme="minorHAnsi"/>
          <w:lang w:val="en-GB"/>
        </w:rPr>
        <w:t>Such views are also reflected in</w:t>
      </w:r>
      <w:r w:rsidRPr="00DA16E3">
        <w:rPr>
          <w:rFonts w:asciiTheme="minorHAnsi" w:hAnsiTheme="minorHAnsi" w:cstheme="minorHAnsi"/>
          <w:lang w:val="en-GB"/>
        </w:rPr>
        <w:t xml:space="preserve"> the recent interest in self-organisation as an emerging paradigm in planning</w:t>
      </w:r>
      <w:r>
        <w:rPr>
          <w:rFonts w:asciiTheme="minorHAnsi" w:hAnsiTheme="minorHAnsi" w:cstheme="minorHAnsi"/>
          <w:lang w:val="en-GB"/>
        </w:rPr>
        <w:t xml:space="preserve"> </w:t>
      </w:r>
      <w:r>
        <w:rPr>
          <w:rFonts w:asciiTheme="minorHAnsi" w:hAnsiTheme="minorHAnsi" w:cstheme="minorHAnsi"/>
          <w:noProof/>
          <w:lang w:val="en-GB"/>
        </w:rPr>
        <w:t xml:space="preserve">(see for instance the special issue in this journal by </w:t>
      </w:r>
      <w:r w:rsidRPr="00B67404">
        <w:rPr>
          <w:rFonts w:asciiTheme="minorHAnsi" w:hAnsiTheme="minorHAnsi" w:cstheme="minorHAnsi"/>
          <w:noProof/>
          <w:lang w:val="en-GB"/>
        </w:rPr>
        <w:t>Rauws et al.,</w:t>
      </w:r>
      <w:r>
        <w:rPr>
          <w:rFonts w:asciiTheme="minorHAnsi" w:hAnsiTheme="minorHAnsi" w:cstheme="minorHAnsi"/>
          <w:noProof/>
          <w:lang w:val="en-GB"/>
        </w:rPr>
        <w:t xml:space="preserve"> 2016)</w:t>
      </w:r>
      <w:r w:rsidRPr="00DA16E3">
        <w:rPr>
          <w:rFonts w:asciiTheme="minorHAnsi" w:hAnsiTheme="minorHAnsi" w:cstheme="minorHAnsi"/>
          <w:lang w:val="en-GB"/>
        </w:rPr>
        <w:t>.</w:t>
      </w:r>
      <w:r w:rsidRPr="008E1EF1">
        <w:rPr>
          <w:rFonts w:ascii="Calibri" w:hAnsi="Calibri" w:cstheme="minorHAnsi"/>
          <w:lang w:val="en-GB"/>
        </w:rPr>
        <w:t xml:space="preserve"> </w:t>
      </w:r>
      <w:r w:rsidRPr="003078DF">
        <w:rPr>
          <w:rFonts w:asciiTheme="minorHAnsi" w:hAnsiTheme="minorHAnsi" w:cstheme="minorHAnsi"/>
          <w:lang w:val="en-GB"/>
        </w:rPr>
        <w:t xml:space="preserve">This brief overview is far from complete but illustrates the richness of </w:t>
      </w:r>
      <w:r>
        <w:rPr>
          <w:rFonts w:asciiTheme="minorHAnsi" w:hAnsiTheme="minorHAnsi" w:cstheme="minorHAnsi"/>
          <w:lang w:val="en-GB"/>
        </w:rPr>
        <w:t xml:space="preserve">different notions of the relation between the state and society in determining land uses and planning outcomes. </w:t>
      </w:r>
    </w:p>
    <w:p w14:paraId="1B722207" w14:textId="77777777" w:rsidR="001F61C5" w:rsidRPr="009E510B" w:rsidRDefault="001F61C5" w:rsidP="003A4B1D">
      <w:pPr>
        <w:rPr>
          <w:rFonts w:asciiTheme="minorHAnsi" w:hAnsiTheme="minorHAnsi" w:cstheme="minorHAnsi"/>
          <w:lang w:val="en-GB"/>
        </w:rPr>
      </w:pPr>
    </w:p>
    <w:p w14:paraId="04901D9F" w14:textId="0CF7A0F1" w:rsidR="001F61C5" w:rsidRPr="009E510B" w:rsidRDefault="001F61C5" w:rsidP="003A4B1D">
      <w:pPr>
        <w:rPr>
          <w:rFonts w:ascii="Calibri" w:hAnsi="Calibri" w:cstheme="minorHAnsi"/>
          <w:lang w:val="en-GB"/>
        </w:rPr>
      </w:pPr>
      <w:r w:rsidRPr="009E510B">
        <w:rPr>
          <w:rFonts w:ascii="Calibri" w:hAnsi="Calibri" w:cstheme="minorHAnsi"/>
          <w:b/>
          <w:bCs/>
          <w:lang w:val="en-GB"/>
        </w:rPr>
        <w:t>Table 1</w:t>
      </w:r>
      <w:r w:rsidR="00B67404">
        <w:rPr>
          <w:rFonts w:ascii="Calibri" w:hAnsi="Calibri" w:cstheme="minorHAnsi"/>
          <w:b/>
          <w:bCs/>
          <w:lang w:val="en-GB"/>
        </w:rPr>
        <w:t xml:space="preserve">. </w:t>
      </w:r>
      <w:r w:rsidRPr="009E510B">
        <w:rPr>
          <w:rFonts w:ascii="Calibri" w:hAnsi="Calibri" w:cstheme="minorHAnsi"/>
          <w:lang w:val="en-GB"/>
        </w:rPr>
        <w:t xml:space="preserve">Policy instruments according to the degree of interference in property rights </w:t>
      </w:r>
      <w:r w:rsidRPr="009E510B">
        <w:rPr>
          <w:rFonts w:ascii="Calibri" w:hAnsi="Calibri" w:cstheme="minorHAnsi"/>
          <w:noProof/>
          <w:lang w:val="en-GB"/>
        </w:rPr>
        <w:t xml:space="preserve">(based on </w:t>
      </w:r>
      <w:r w:rsidRPr="00B67404">
        <w:rPr>
          <w:rFonts w:ascii="Calibri" w:hAnsi="Calibri" w:cstheme="minorHAnsi"/>
          <w:noProof/>
          <w:lang w:val="en-GB"/>
        </w:rPr>
        <w:t>Gerber et al.,</w:t>
      </w:r>
      <w:r w:rsidRPr="009E510B">
        <w:rPr>
          <w:rFonts w:ascii="Calibri" w:hAnsi="Calibri" w:cstheme="minorHAnsi"/>
          <w:noProof/>
          <w:lang w:val="en-GB"/>
        </w:rPr>
        <w:t xml:space="preserve"> 2018)</w:t>
      </w:r>
    </w:p>
    <w:tbl>
      <w:tblPr>
        <w:tblStyle w:val="TableGrid"/>
        <w:tblW w:w="0" w:type="auto"/>
        <w:tblBorders>
          <w:left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2122"/>
        <w:gridCol w:w="2122"/>
        <w:gridCol w:w="2122"/>
        <w:gridCol w:w="2122"/>
      </w:tblGrid>
      <w:tr w:rsidR="001F61C5" w:rsidRPr="009E510B" w14:paraId="71724324" w14:textId="77777777" w:rsidTr="003A4B1D">
        <w:tc>
          <w:tcPr>
            <w:tcW w:w="2122" w:type="dxa"/>
            <w:tcBorders>
              <w:top w:val="single" w:sz="4" w:space="0" w:color="auto"/>
              <w:bottom w:val="single" w:sz="4" w:space="0" w:color="auto"/>
            </w:tcBorders>
          </w:tcPr>
          <w:p w14:paraId="27CCFD48" w14:textId="77777777" w:rsidR="001F61C5" w:rsidRPr="009E510B" w:rsidRDefault="001F61C5" w:rsidP="003A4B1D">
            <w:pPr>
              <w:rPr>
                <w:rFonts w:ascii="Calibri" w:hAnsi="Calibri" w:cstheme="minorHAnsi"/>
                <w:b/>
                <w:bCs/>
                <w:lang w:val="en-GB"/>
              </w:rPr>
            </w:pPr>
            <w:r w:rsidRPr="009E510B">
              <w:rPr>
                <w:rFonts w:ascii="Calibri" w:hAnsi="Calibri" w:cstheme="minorHAnsi"/>
                <w:b/>
                <w:bCs/>
                <w:lang w:val="en-GB"/>
              </w:rPr>
              <w:t>No impact</w:t>
            </w:r>
          </w:p>
        </w:tc>
        <w:tc>
          <w:tcPr>
            <w:tcW w:w="2122" w:type="dxa"/>
            <w:tcBorders>
              <w:top w:val="single" w:sz="4" w:space="0" w:color="auto"/>
              <w:bottom w:val="single" w:sz="4" w:space="0" w:color="auto"/>
            </w:tcBorders>
          </w:tcPr>
          <w:p w14:paraId="7E1D868C" w14:textId="77777777" w:rsidR="001F61C5" w:rsidRPr="009E510B" w:rsidRDefault="001F61C5" w:rsidP="003A4B1D">
            <w:pPr>
              <w:rPr>
                <w:rFonts w:ascii="Calibri" w:hAnsi="Calibri" w:cstheme="minorHAnsi"/>
                <w:b/>
                <w:bCs/>
                <w:lang w:val="en-GB"/>
              </w:rPr>
            </w:pPr>
            <w:r w:rsidRPr="009E510B">
              <w:rPr>
                <w:rFonts w:ascii="Calibri" w:hAnsi="Calibri" w:cstheme="minorHAnsi"/>
                <w:b/>
                <w:bCs/>
                <w:lang w:val="en-GB"/>
              </w:rPr>
              <w:t>Regulating</w:t>
            </w:r>
          </w:p>
        </w:tc>
        <w:tc>
          <w:tcPr>
            <w:tcW w:w="2122" w:type="dxa"/>
            <w:tcBorders>
              <w:top w:val="single" w:sz="4" w:space="0" w:color="auto"/>
              <w:bottom w:val="single" w:sz="4" w:space="0" w:color="auto"/>
            </w:tcBorders>
          </w:tcPr>
          <w:p w14:paraId="4DBFAF6E" w14:textId="77777777" w:rsidR="001F61C5" w:rsidRPr="009E510B" w:rsidRDefault="001F61C5" w:rsidP="003A4B1D">
            <w:pPr>
              <w:rPr>
                <w:rFonts w:ascii="Calibri" w:hAnsi="Calibri" w:cstheme="minorHAnsi"/>
                <w:b/>
                <w:bCs/>
                <w:lang w:val="en-GB"/>
              </w:rPr>
            </w:pPr>
            <w:r w:rsidRPr="009E510B">
              <w:rPr>
                <w:rFonts w:ascii="Calibri" w:hAnsi="Calibri" w:cstheme="minorHAnsi"/>
                <w:b/>
                <w:bCs/>
                <w:lang w:val="en-GB"/>
              </w:rPr>
              <w:t>Redefining</w:t>
            </w:r>
          </w:p>
        </w:tc>
        <w:tc>
          <w:tcPr>
            <w:tcW w:w="2122" w:type="dxa"/>
            <w:tcBorders>
              <w:top w:val="single" w:sz="4" w:space="0" w:color="auto"/>
              <w:bottom w:val="single" w:sz="4" w:space="0" w:color="auto"/>
            </w:tcBorders>
          </w:tcPr>
          <w:p w14:paraId="4DB9F17E" w14:textId="77777777" w:rsidR="001F61C5" w:rsidRPr="009E510B" w:rsidRDefault="001F61C5" w:rsidP="003A4B1D">
            <w:pPr>
              <w:rPr>
                <w:rFonts w:ascii="Calibri" w:hAnsi="Calibri" w:cstheme="minorHAnsi"/>
                <w:b/>
                <w:bCs/>
                <w:lang w:val="en-GB"/>
              </w:rPr>
            </w:pPr>
            <w:r w:rsidRPr="009E510B">
              <w:rPr>
                <w:rFonts w:ascii="Calibri" w:hAnsi="Calibri" w:cstheme="minorHAnsi"/>
                <w:b/>
                <w:bCs/>
                <w:lang w:val="en-GB"/>
              </w:rPr>
              <w:t>Redistributing</w:t>
            </w:r>
          </w:p>
        </w:tc>
      </w:tr>
      <w:tr w:rsidR="001F61C5" w:rsidRPr="009E510B" w14:paraId="6755B662" w14:textId="77777777" w:rsidTr="003A4B1D">
        <w:tc>
          <w:tcPr>
            <w:tcW w:w="2122" w:type="dxa"/>
            <w:tcBorders>
              <w:top w:val="single" w:sz="4" w:space="0" w:color="auto"/>
            </w:tcBorders>
          </w:tcPr>
          <w:p w14:paraId="4786AA26" w14:textId="77777777" w:rsidR="001F61C5" w:rsidRPr="009E510B" w:rsidRDefault="001F61C5" w:rsidP="003A4B1D">
            <w:pPr>
              <w:rPr>
                <w:rFonts w:ascii="Calibri" w:hAnsi="Calibri" w:cstheme="minorHAnsi"/>
                <w:lang w:val="en-GB"/>
              </w:rPr>
            </w:pPr>
            <w:r w:rsidRPr="009E510B">
              <w:rPr>
                <w:rFonts w:ascii="Calibri" w:hAnsi="Calibri" w:cstheme="minorHAnsi"/>
                <w:lang w:val="en-GB"/>
              </w:rPr>
              <w:t>Reference land values, added value capture, land taxation</w:t>
            </w:r>
          </w:p>
        </w:tc>
        <w:tc>
          <w:tcPr>
            <w:tcW w:w="2122" w:type="dxa"/>
            <w:tcBorders>
              <w:top w:val="single" w:sz="4" w:space="0" w:color="auto"/>
            </w:tcBorders>
          </w:tcPr>
          <w:p w14:paraId="143A4734" w14:textId="77777777" w:rsidR="001F61C5" w:rsidRPr="009E510B" w:rsidRDefault="001F61C5" w:rsidP="003A4B1D">
            <w:pPr>
              <w:rPr>
                <w:rFonts w:ascii="Calibri" w:hAnsi="Calibri" w:cstheme="minorHAnsi"/>
                <w:lang w:val="en-GB"/>
              </w:rPr>
            </w:pPr>
            <w:r w:rsidRPr="009E510B">
              <w:rPr>
                <w:rFonts w:ascii="Calibri" w:hAnsi="Calibri" w:cstheme="minorHAnsi"/>
                <w:lang w:val="en-GB"/>
              </w:rPr>
              <w:t>Land use plans, urban growth boundaries, land readjustment, building obligations</w:t>
            </w:r>
          </w:p>
        </w:tc>
        <w:tc>
          <w:tcPr>
            <w:tcW w:w="2122" w:type="dxa"/>
            <w:tcBorders>
              <w:top w:val="single" w:sz="4" w:space="0" w:color="auto"/>
            </w:tcBorders>
          </w:tcPr>
          <w:p w14:paraId="1ACA4FBD" w14:textId="77777777" w:rsidR="001F61C5" w:rsidRPr="009E510B" w:rsidRDefault="001F61C5" w:rsidP="003A4B1D">
            <w:pPr>
              <w:rPr>
                <w:rFonts w:ascii="Calibri" w:hAnsi="Calibri" w:cstheme="minorHAnsi"/>
                <w:lang w:val="en-GB"/>
              </w:rPr>
            </w:pPr>
            <w:r w:rsidRPr="009E510B">
              <w:rPr>
                <w:rFonts w:ascii="Calibri" w:hAnsi="Calibri" w:cstheme="minorHAnsi"/>
                <w:lang w:val="en-GB"/>
              </w:rPr>
              <w:t>Pre-emption rights, tradable development rights, time-limited property rights</w:t>
            </w:r>
          </w:p>
        </w:tc>
        <w:tc>
          <w:tcPr>
            <w:tcW w:w="2122" w:type="dxa"/>
            <w:tcBorders>
              <w:top w:val="single" w:sz="4" w:space="0" w:color="auto"/>
            </w:tcBorders>
          </w:tcPr>
          <w:p w14:paraId="5E61C1D3" w14:textId="77777777" w:rsidR="001F61C5" w:rsidRPr="009E510B" w:rsidRDefault="001F61C5" w:rsidP="003A4B1D">
            <w:pPr>
              <w:rPr>
                <w:rFonts w:ascii="Calibri" w:hAnsi="Calibri" w:cstheme="minorHAnsi"/>
                <w:lang w:val="en-GB"/>
              </w:rPr>
            </w:pPr>
            <w:r w:rsidRPr="009E510B">
              <w:rPr>
                <w:rFonts w:ascii="Calibri" w:hAnsi="Calibri" w:cstheme="minorHAnsi"/>
                <w:lang w:val="en-GB"/>
              </w:rPr>
              <w:t>Land banking, expropriation, nationalisation</w:t>
            </w:r>
          </w:p>
        </w:tc>
      </w:tr>
    </w:tbl>
    <w:p w14:paraId="5E42BBAB" w14:textId="77777777" w:rsidR="001F61C5" w:rsidRPr="009E510B" w:rsidRDefault="001F61C5" w:rsidP="003A4B1D">
      <w:pPr>
        <w:rPr>
          <w:rFonts w:asciiTheme="minorHAnsi" w:hAnsiTheme="minorHAnsi" w:cstheme="minorHAnsi"/>
          <w:lang w:val="en-GB"/>
        </w:rPr>
      </w:pPr>
    </w:p>
    <w:p w14:paraId="412688CE" w14:textId="2DFB5303" w:rsidR="001F61C5" w:rsidRDefault="001F61C5" w:rsidP="0089450A">
      <w:pPr>
        <w:ind w:firstLine="426"/>
        <w:rPr>
          <w:rFonts w:asciiTheme="minorHAnsi" w:hAnsiTheme="minorHAnsi" w:cstheme="minorHAnsi"/>
          <w:lang w:val="en-GB"/>
        </w:rPr>
      </w:pPr>
      <w:r>
        <w:rPr>
          <w:rFonts w:asciiTheme="minorHAnsi" w:hAnsiTheme="minorHAnsi" w:cstheme="minorHAnsi"/>
          <w:lang w:val="en-GB"/>
        </w:rPr>
        <w:t xml:space="preserve">This relationship is linked to the way </w:t>
      </w:r>
      <w:r w:rsidRPr="003078DF">
        <w:rPr>
          <w:rFonts w:asciiTheme="minorHAnsi" w:hAnsiTheme="minorHAnsi" w:cstheme="minorHAnsi"/>
          <w:lang w:val="en-GB"/>
        </w:rPr>
        <w:t xml:space="preserve">instruments </w:t>
      </w:r>
      <w:r>
        <w:rPr>
          <w:rFonts w:asciiTheme="minorHAnsi" w:hAnsiTheme="minorHAnsi" w:cstheme="minorHAnsi"/>
          <w:lang w:val="en-GB"/>
        </w:rPr>
        <w:t xml:space="preserve">of land policy are applied to </w:t>
      </w:r>
      <w:r w:rsidRPr="003078DF">
        <w:rPr>
          <w:rFonts w:asciiTheme="minorHAnsi" w:hAnsiTheme="minorHAnsi" w:cstheme="minorHAnsi"/>
          <w:lang w:val="en-GB"/>
        </w:rPr>
        <w:t>pursue public policy objectives such as urban densification. There is large variety in instruments at the national, regional and local scale and their application and combination in concrete cases of densification strategies</w:t>
      </w:r>
      <w:r>
        <w:rPr>
          <w:rFonts w:asciiTheme="minorHAnsi" w:hAnsiTheme="minorHAnsi" w:cstheme="minorHAnsi"/>
          <w:lang w:val="en-GB"/>
        </w:rPr>
        <w:t xml:space="preserve"> is thus more than an administrative functional choice, but a normative and political one </w:t>
      </w:r>
      <w:r w:rsidRPr="008E1EF1">
        <w:rPr>
          <w:rFonts w:ascii="Calibri" w:hAnsi="Calibri" w:cstheme="minorHAnsi"/>
          <w:noProof/>
          <w:lang w:val="en-GB"/>
        </w:rPr>
        <w:t>(</w:t>
      </w:r>
      <w:r w:rsidRPr="00B67404">
        <w:rPr>
          <w:rFonts w:ascii="Calibri" w:hAnsi="Calibri" w:cstheme="minorHAnsi"/>
          <w:noProof/>
          <w:lang w:val="en-GB"/>
        </w:rPr>
        <w:t>Gerber et al., 2018</w:t>
      </w:r>
      <w:r w:rsidRPr="008E1EF1">
        <w:rPr>
          <w:rFonts w:ascii="Calibri" w:hAnsi="Calibri" w:cstheme="minorHAnsi"/>
          <w:noProof/>
          <w:lang w:val="en-GB"/>
        </w:rPr>
        <w:t>)</w:t>
      </w:r>
      <w:r w:rsidRPr="003078DF">
        <w:rPr>
          <w:rFonts w:asciiTheme="minorHAnsi" w:hAnsiTheme="minorHAnsi" w:cstheme="minorHAnsi"/>
          <w:lang w:val="en-GB"/>
        </w:rPr>
        <w:t>. Subsequently, strategies for densification imply and require the use of certain instruments of land policy – such as taxation, zoning, land readjustment or even expropriation, but also negotiation or collaborative instruments. In other words, a certain use of instruments of land policy complies with certain strategies.</w:t>
      </w:r>
    </w:p>
    <w:p w14:paraId="7E5B2012" w14:textId="77777777" w:rsidR="001F61C5" w:rsidRDefault="001F61C5" w:rsidP="003A4B1D">
      <w:pPr>
        <w:rPr>
          <w:rFonts w:ascii="Calibri" w:hAnsi="Calibri" w:cstheme="minorHAnsi"/>
          <w:lang w:val="en-GB"/>
        </w:rPr>
      </w:pPr>
    </w:p>
    <w:p w14:paraId="08EA5F8F" w14:textId="34DED448" w:rsidR="001F61C5" w:rsidRPr="001B2956" w:rsidRDefault="001F61C5" w:rsidP="003A4B1D">
      <w:pPr>
        <w:pStyle w:val="Heading1"/>
        <w:spacing w:before="0"/>
        <w:rPr>
          <w:rFonts w:asciiTheme="minorHAnsi" w:hAnsiTheme="minorHAnsi" w:cstheme="minorHAnsi"/>
          <w:b/>
          <w:sz w:val="24"/>
          <w:szCs w:val="24"/>
          <w:lang w:val="en-GB"/>
        </w:rPr>
      </w:pPr>
      <w:r>
        <w:rPr>
          <w:rFonts w:asciiTheme="minorHAnsi" w:hAnsiTheme="minorHAnsi" w:cstheme="minorHAnsi"/>
          <w:b/>
          <w:sz w:val="24"/>
          <w:szCs w:val="24"/>
          <w:lang w:val="en-GB"/>
        </w:rPr>
        <w:t>A</w:t>
      </w:r>
      <w:r w:rsidRPr="001B2956">
        <w:rPr>
          <w:rFonts w:asciiTheme="minorHAnsi" w:hAnsiTheme="minorHAnsi" w:cstheme="minorHAnsi"/>
          <w:b/>
          <w:sz w:val="24"/>
          <w:szCs w:val="24"/>
          <w:lang w:val="en-GB"/>
        </w:rPr>
        <w:t xml:space="preserve"> special issue</w:t>
      </w:r>
      <w:r>
        <w:rPr>
          <w:rFonts w:asciiTheme="minorHAnsi" w:hAnsiTheme="minorHAnsi" w:cstheme="minorHAnsi"/>
          <w:b/>
          <w:sz w:val="24"/>
          <w:szCs w:val="24"/>
          <w:lang w:val="en-GB"/>
        </w:rPr>
        <w:t xml:space="preserve"> on i</w:t>
      </w:r>
      <w:r w:rsidRPr="001B2956">
        <w:rPr>
          <w:rFonts w:asciiTheme="minorHAnsi" w:hAnsiTheme="minorHAnsi" w:cstheme="minorHAnsi"/>
          <w:b/>
          <w:sz w:val="24"/>
          <w:szCs w:val="24"/>
          <w:lang w:val="en-GB"/>
        </w:rPr>
        <w:t xml:space="preserve">nstruments </w:t>
      </w:r>
      <w:r w:rsidR="00062C51">
        <w:rPr>
          <w:rFonts w:asciiTheme="minorHAnsi" w:hAnsiTheme="minorHAnsi" w:cstheme="minorHAnsi"/>
          <w:b/>
          <w:sz w:val="24"/>
          <w:szCs w:val="24"/>
          <w:lang w:val="en-GB"/>
        </w:rPr>
        <w:t>of land</w:t>
      </w:r>
      <w:r>
        <w:rPr>
          <w:rFonts w:asciiTheme="minorHAnsi" w:hAnsiTheme="minorHAnsi" w:cstheme="minorHAnsi"/>
          <w:b/>
          <w:sz w:val="24"/>
          <w:szCs w:val="24"/>
          <w:lang w:val="en-GB"/>
        </w:rPr>
        <w:t xml:space="preserve"> for urban densification</w:t>
      </w:r>
    </w:p>
    <w:p w14:paraId="22609EBC" w14:textId="2BF4420A" w:rsidR="001F61C5" w:rsidRDefault="001F61C5" w:rsidP="003A4B1D">
      <w:pPr>
        <w:rPr>
          <w:rFonts w:asciiTheme="minorHAnsi" w:hAnsiTheme="minorHAnsi" w:cstheme="minorHAnsi"/>
          <w:lang w:val="en-GB"/>
        </w:rPr>
      </w:pPr>
      <w:r w:rsidRPr="003078DF">
        <w:rPr>
          <w:rFonts w:asciiTheme="minorHAnsi" w:hAnsiTheme="minorHAnsi" w:cstheme="minorHAnsi"/>
          <w:lang w:val="en-GB"/>
        </w:rPr>
        <w:t xml:space="preserve">This special issue brings together contributions exploring the application and combination of instruments </w:t>
      </w:r>
      <w:r>
        <w:rPr>
          <w:rFonts w:asciiTheme="minorHAnsi" w:hAnsiTheme="minorHAnsi" w:cstheme="minorHAnsi"/>
          <w:lang w:val="en-GB"/>
        </w:rPr>
        <w:t xml:space="preserve">of land policy and planning </w:t>
      </w:r>
      <w:r w:rsidRPr="003078DF">
        <w:rPr>
          <w:rFonts w:asciiTheme="minorHAnsi" w:hAnsiTheme="minorHAnsi" w:cstheme="minorHAnsi"/>
          <w:lang w:val="en-GB"/>
        </w:rPr>
        <w:t xml:space="preserve">to </w:t>
      </w:r>
      <w:r>
        <w:rPr>
          <w:rFonts w:asciiTheme="minorHAnsi" w:hAnsiTheme="minorHAnsi" w:cstheme="minorHAnsi"/>
          <w:lang w:val="en-GB"/>
        </w:rPr>
        <w:t xml:space="preserve">facilitate </w:t>
      </w:r>
      <w:r w:rsidRPr="003078DF">
        <w:rPr>
          <w:rFonts w:asciiTheme="minorHAnsi" w:hAnsiTheme="minorHAnsi" w:cstheme="minorHAnsi"/>
          <w:lang w:val="en-GB"/>
        </w:rPr>
        <w:t xml:space="preserve">densification in urban areas. </w:t>
      </w:r>
      <w:r>
        <w:rPr>
          <w:rFonts w:asciiTheme="minorHAnsi" w:hAnsiTheme="minorHAnsi" w:cstheme="minorHAnsi"/>
          <w:lang w:val="en-GB"/>
        </w:rPr>
        <w:t xml:space="preserve">The papers show the variety of densification strategies between </w:t>
      </w:r>
      <w:r w:rsidR="000726FD">
        <w:rPr>
          <w:rFonts w:asciiTheme="minorHAnsi" w:hAnsiTheme="minorHAnsi" w:cstheme="minorHAnsi"/>
          <w:lang w:val="en-GB"/>
        </w:rPr>
        <w:t>public policy</w:t>
      </w:r>
      <w:r>
        <w:rPr>
          <w:rFonts w:asciiTheme="minorHAnsi" w:hAnsiTheme="minorHAnsi" w:cstheme="minorHAnsi"/>
          <w:lang w:val="en-GB"/>
        </w:rPr>
        <w:t xml:space="preserve">-led and property-led approaches. </w:t>
      </w:r>
    </w:p>
    <w:p w14:paraId="6FB64518" w14:textId="4CF5F922" w:rsidR="001F61C5" w:rsidRPr="00EE153B" w:rsidRDefault="001F61C5" w:rsidP="0089450A">
      <w:pPr>
        <w:ind w:firstLine="426"/>
        <w:rPr>
          <w:rFonts w:asciiTheme="minorHAnsi" w:hAnsiTheme="minorHAnsi" w:cstheme="minorHAnsi"/>
          <w:lang w:val="en-GB"/>
        </w:rPr>
      </w:pPr>
      <w:r>
        <w:rPr>
          <w:rFonts w:asciiTheme="minorHAnsi" w:hAnsiTheme="minorHAnsi" w:cstheme="minorHAnsi"/>
          <w:lang w:val="en-GB"/>
        </w:rPr>
        <w:t>Strong state interventions lay at the base of the densification strategies in the Frankfurt Rhine-Main region, Germany, and in two Dutch cities</w:t>
      </w:r>
      <w:r w:rsidRPr="00416859">
        <w:rPr>
          <w:rFonts w:asciiTheme="minorHAnsi" w:hAnsiTheme="minorHAnsi" w:cstheme="minorHAnsi"/>
          <w:lang w:val="en-GB"/>
        </w:rPr>
        <w:t xml:space="preserve">. </w:t>
      </w:r>
      <w:r>
        <w:rPr>
          <w:rFonts w:asciiTheme="minorHAnsi" w:hAnsiTheme="minorHAnsi" w:cstheme="minorHAnsi"/>
          <w:lang w:val="en-GB"/>
        </w:rPr>
        <w:t xml:space="preserve">Mathias </w:t>
      </w:r>
      <w:proofErr w:type="spellStart"/>
      <w:r w:rsidRPr="00416859">
        <w:rPr>
          <w:rFonts w:asciiTheme="minorHAnsi" w:hAnsiTheme="minorHAnsi" w:cstheme="minorHAnsi"/>
          <w:lang w:val="en-GB"/>
        </w:rPr>
        <w:t>Jehling</w:t>
      </w:r>
      <w:proofErr w:type="spellEnd"/>
      <w:r>
        <w:rPr>
          <w:rFonts w:asciiTheme="minorHAnsi" w:hAnsiTheme="minorHAnsi" w:cstheme="minorHAnsi"/>
          <w:lang w:val="en-GB"/>
        </w:rPr>
        <w:t>, Robert Hecht and Thomas Hartmann</w:t>
      </w:r>
      <w:r w:rsidRPr="00416859">
        <w:rPr>
          <w:rFonts w:asciiTheme="minorHAnsi" w:hAnsiTheme="minorHAnsi" w:cstheme="minorHAnsi"/>
          <w:lang w:val="en-GB"/>
        </w:rPr>
        <w:t xml:space="preserve"> </w:t>
      </w:r>
      <w:r>
        <w:rPr>
          <w:rFonts w:asciiTheme="minorHAnsi" w:hAnsiTheme="minorHAnsi" w:cstheme="minorHAnsi"/>
          <w:lang w:val="en-GB"/>
        </w:rPr>
        <w:t>(</w:t>
      </w:r>
      <w:r w:rsidR="0089450A">
        <w:rPr>
          <w:rFonts w:asciiTheme="minorHAnsi" w:hAnsiTheme="minorHAnsi" w:cstheme="minorHAnsi"/>
          <w:lang w:val="en-GB"/>
        </w:rPr>
        <w:t>2020</w:t>
      </w:r>
      <w:r>
        <w:rPr>
          <w:rFonts w:asciiTheme="minorHAnsi" w:hAnsiTheme="minorHAnsi" w:cstheme="minorHAnsi"/>
          <w:lang w:val="en-GB"/>
        </w:rPr>
        <w:t xml:space="preserve">) </w:t>
      </w:r>
      <w:r w:rsidRPr="00416859">
        <w:rPr>
          <w:rFonts w:asciiTheme="minorHAnsi" w:hAnsiTheme="minorHAnsi" w:cstheme="minorHAnsi"/>
          <w:lang w:val="en-GB"/>
        </w:rPr>
        <w:t xml:space="preserve">analyse the regional land use plan as a densification strategy in the Frankfurt Rhine-Main region. Looking at both the instrument and the regional pattern of densification since the publication of the plan, the authors highlight the different and </w:t>
      </w:r>
      <w:r>
        <w:rPr>
          <w:rFonts w:asciiTheme="minorHAnsi" w:hAnsiTheme="minorHAnsi" w:cstheme="minorHAnsi"/>
          <w:lang w:val="en-GB"/>
        </w:rPr>
        <w:t>at</w:t>
      </w:r>
      <w:r w:rsidRPr="00416859">
        <w:rPr>
          <w:rFonts w:asciiTheme="minorHAnsi" w:hAnsiTheme="minorHAnsi" w:cstheme="minorHAnsi"/>
          <w:lang w:val="en-GB"/>
        </w:rPr>
        <w:t xml:space="preserve"> times contradictory logics of justice that can be applied. </w:t>
      </w:r>
      <w:r>
        <w:rPr>
          <w:rFonts w:asciiTheme="minorHAnsi" w:hAnsiTheme="minorHAnsi" w:cstheme="minorHAnsi"/>
          <w:lang w:val="en-GB"/>
        </w:rPr>
        <w:t xml:space="preserve">Rick </w:t>
      </w:r>
      <w:r w:rsidRPr="00416859">
        <w:rPr>
          <w:rFonts w:asciiTheme="minorHAnsi" w:hAnsiTheme="minorHAnsi" w:cstheme="minorHAnsi"/>
          <w:lang w:val="en-GB"/>
        </w:rPr>
        <w:t xml:space="preserve">Meijer and </w:t>
      </w:r>
      <w:proofErr w:type="spellStart"/>
      <w:r>
        <w:rPr>
          <w:rFonts w:asciiTheme="minorHAnsi" w:hAnsiTheme="minorHAnsi" w:cstheme="minorHAnsi"/>
          <w:lang w:val="en-GB"/>
        </w:rPr>
        <w:t>Arend</w:t>
      </w:r>
      <w:proofErr w:type="spellEnd"/>
      <w:r>
        <w:rPr>
          <w:rFonts w:asciiTheme="minorHAnsi" w:hAnsiTheme="minorHAnsi" w:cstheme="minorHAnsi"/>
          <w:lang w:val="en-GB"/>
        </w:rPr>
        <w:t xml:space="preserve"> </w:t>
      </w:r>
      <w:proofErr w:type="spellStart"/>
      <w:r w:rsidRPr="00416859">
        <w:rPr>
          <w:rFonts w:asciiTheme="minorHAnsi" w:hAnsiTheme="minorHAnsi" w:cstheme="minorHAnsi"/>
          <w:lang w:val="en-GB"/>
        </w:rPr>
        <w:t>Jonkman</w:t>
      </w:r>
      <w:proofErr w:type="spellEnd"/>
      <w:r w:rsidRPr="00416859">
        <w:rPr>
          <w:rFonts w:asciiTheme="minorHAnsi" w:hAnsiTheme="minorHAnsi" w:cstheme="minorHAnsi"/>
          <w:lang w:val="en-GB"/>
        </w:rPr>
        <w:t xml:space="preserve"> </w:t>
      </w:r>
      <w:r>
        <w:rPr>
          <w:rFonts w:asciiTheme="minorHAnsi" w:hAnsiTheme="minorHAnsi" w:cstheme="minorHAnsi"/>
          <w:lang w:val="en-GB"/>
        </w:rPr>
        <w:t>(</w:t>
      </w:r>
      <w:r w:rsidR="003A4B1D">
        <w:rPr>
          <w:rFonts w:asciiTheme="minorHAnsi" w:hAnsiTheme="minorHAnsi" w:cstheme="minorHAnsi"/>
          <w:lang w:val="en-GB"/>
        </w:rPr>
        <w:t>2020</w:t>
      </w:r>
      <w:r>
        <w:rPr>
          <w:rFonts w:asciiTheme="minorHAnsi" w:hAnsiTheme="minorHAnsi" w:cstheme="minorHAnsi"/>
          <w:lang w:val="en-GB"/>
        </w:rPr>
        <w:t xml:space="preserve">) </w:t>
      </w:r>
      <w:r w:rsidRPr="00416859">
        <w:rPr>
          <w:rFonts w:asciiTheme="minorHAnsi" w:hAnsiTheme="minorHAnsi" w:cstheme="minorHAnsi"/>
          <w:lang w:val="en-GB"/>
        </w:rPr>
        <w:t>show how contextual factors such as landownership shape the strategic use of land</w:t>
      </w:r>
      <w:r w:rsidRPr="00EE153B">
        <w:rPr>
          <w:rFonts w:asciiTheme="minorHAnsi" w:hAnsiTheme="minorHAnsi" w:cstheme="minorHAnsi"/>
          <w:lang w:val="en-GB"/>
        </w:rPr>
        <w:t xml:space="preserve"> policy instruments in two comparable Dutch municipalities</w:t>
      </w:r>
      <w:r>
        <w:rPr>
          <w:rFonts w:asciiTheme="minorHAnsi" w:hAnsiTheme="minorHAnsi" w:cstheme="minorHAnsi"/>
          <w:lang w:val="en-GB"/>
        </w:rPr>
        <w:t xml:space="preserve">. While one municipality opts for densification, the other goes for extension. </w:t>
      </w:r>
    </w:p>
    <w:p w14:paraId="3E85AFC4" w14:textId="0937644B" w:rsidR="001F61C5" w:rsidRDefault="001F61C5" w:rsidP="0089450A">
      <w:pPr>
        <w:ind w:firstLine="426"/>
        <w:rPr>
          <w:rFonts w:asciiTheme="minorHAnsi" w:hAnsiTheme="minorHAnsi" w:cstheme="minorHAnsi"/>
          <w:lang w:val="en-GB"/>
        </w:rPr>
      </w:pPr>
      <w:r>
        <w:rPr>
          <w:rFonts w:asciiTheme="minorHAnsi" w:hAnsiTheme="minorHAnsi" w:cstheme="minorHAnsi"/>
          <w:lang w:val="en-GB"/>
        </w:rPr>
        <w:lastRenderedPageBreak/>
        <w:t xml:space="preserve">The contributions of Gabi </w:t>
      </w:r>
      <w:proofErr w:type="spellStart"/>
      <w:r>
        <w:rPr>
          <w:rFonts w:asciiTheme="minorHAnsi" w:hAnsiTheme="minorHAnsi" w:cstheme="minorHAnsi"/>
          <w:lang w:val="en-GB"/>
        </w:rPr>
        <w:t>Debrunner</w:t>
      </w:r>
      <w:proofErr w:type="spellEnd"/>
      <w:r>
        <w:rPr>
          <w:rFonts w:asciiTheme="minorHAnsi" w:hAnsiTheme="minorHAnsi" w:cstheme="minorHAnsi"/>
          <w:lang w:val="en-GB"/>
        </w:rPr>
        <w:t xml:space="preserve">, Andreas </w:t>
      </w:r>
      <w:proofErr w:type="spellStart"/>
      <w:r>
        <w:rPr>
          <w:rFonts w:asciiTheme="minorHAnsi" w:hAnsiTheme="minorHAnsi" w:cstheme="minorHAnsi"/>
          <w:lang w:val="en-GB"/>
        </w:rPr>
        <w:t>Hengstermann</w:t>
      </w:r>
      <w:proofErr w:type="spellEnd"/>
      <w:r>
        <w:rPr>
          <w:rFonts w:asciiTheme="minorHAnsi" w:hAnsiTheme="minorHAnsi" w:cstheme="minorHAnsi"/>
          <w:lang w:val="en-GB"/>
        </w:rPr>
        <w:t xml:space="preserve"> and Jean-David Gerber (</w:t>
      </w:r>
      <w:r w:rsidR="00846676">
        <w:rPr>
          <w:rFonts w:asciiTheme="minorHAnsi" w:hAnsiTheme="minorHAnsi" w:cstheme="minorHAnsi"/>
          <w:lang w:val="en-GB"/>
        </w:rPr>
        <w:t>2020</w:t>
      </w:r>
      <w:r>
        <w:rPr>
          <w:rFonts w:asciiTheme="minorHAnsi" w:hAnsiTheme="minorHAnsi" w:cstheme="minorHAnsi"/>
          <w:lang w:val="en-GB"/>
        </w:rPr>
        <w:t>) on the Swiss national policy on densification and Sebastian Dembski (</w:t>
      </w:r>
      <w:r w:rsidR="003A4B1D">
        <w:rPr>
          <w:rFonts w:asciiTheme="minorHAnsi" w:hAnsiTheme="minorHAnsi" w:cstheme="minorHAnsi"/>
          <w:lang w:val="en-GB"/>
        </w:rPr>
        <w:t>2020</w:t>
      </w:r>
      <w:r>
        <w:rPr>
          <w:rFonts w:asciiTheme="minorHAnsi" w:hAnsiTheme="minorHAnsi" w:cstheme="minorHAnsi"/>
          <w:lang w:val="en-GB"/>
        </w:rPr>
        <w:t xml:space="preserve">) on a Dutch densification project in Amsterdam are examples of mixed strategies. With the recent radical reform of the Swiss Planning Act, densification became a legally binding policy objective. The implementation, however, is largely left to the market. Combined with other policies pushing for the ecological renewal of buildings, it seems to result in a ‘business of densification’ benefitting property owners while tenants bear the brunt. </w:t>
      </w:r>
      <w:r w:rsidRPr="00EE153B">
        <w:rPr>
          <w:rFonts w:asciiTheme="minorHAnsi" w:hAnsiTheme="minorHAnsi" w:cstheme="minorHAnsi"/>
          <w:lang w:val="en-GB"/>
        </w:rPr>
        <w:t xml:space="preserve">The </w:t>
      </w:r>
      <w:r>
        <w:rPr>
          <w:rFonts w:asciiTheme="minorHAnsi" w:hAnsiTheme="minorHAnsi" w:cstheme="minorHAnsi"/>
          <w:lang w:val="en-GB"/>
        </w:rPr>
        <w:t xml:space="preserve">case study of the </w:t>
      </w:r>
      <w:proofErr w:type="spellStart"/>
      <w:r>
        <w:rPr>
          <w:rFonts w:asciiTheme="minorHAnsi" w:hAnsiTheme="minorHAnsi" w:cstheme="minorHAnsi"/>
          <w:lang w:val="en-GB"/>
        </w:rPr>
        <w:t>Buiksloterham</w:t>
      </w:r>
      <w:proofErr w:type="spellEnd"/>
      <w:r>
        <w:rPr>
          <w:rFonts w:asciiTheme="minorHAnsi" w:hAnsiTheme="minorHAnsi" w:cstheme="minorHAnsi"/>
          <w:lang w:val="en-GB"/>
        </w:rPr>
        <w:t xml:space="preserve"> in Amsterdam shows a novel approach to densification in the Netherlands with a more passive role of the public sector than in the past. Moving away from traditional masterplans towards a more flexible and open-ended approach, which is commonly referred to as ‘organic development’, the case study of the </w:t>
      </w:r>
      <w:proofErr w:type="spellStart"/>
      <w:r>
        <w:rPr>
          <w:rFonts w:asciiTheme="minorHAnsi" w:hAnsiTheme="minorHAnsi" w:cstheme="minorHAnsi"/>
          <w:lang w:val="en-GB"/>
        </w:rPr>
        <w:t>Buiksloterham</w:t>
      </w:r>
      <w:proofErr w:type="spellEnd"/>
      <w:r>
        <w:rPr>
          <w:rFonts w:asciiTheme="minorHAnsi" w:hAnsiTheme="minorHAnsi" w:cstheme="minorHAnsi"/>
          <w:lang w:val="en-GB"/>
        </w:rPr>
        <w:t xml:space="preserve"> area in Amsterdam demonstrates an inherent tension between planners desire to be less prescriptive and the requirement of legal certainty, which proves particularly demanding in mix-use development. Given these challenges, organic development strategies are unlikely to become a panacea for urban development in the Netherlands. </w:t>
      </w:r>
    </w:p>
    <w:p w14:paraId="29B4CA65" w14:textId="5FBCC827" w:rsidR="001F61C5" w:rsidRDefault="001F61C5" w:rsidP="0089450A">
      <w:pPr>
        <w:ind w:firstLine="426"/>
        <w:rPr>
          <w:rFonts w:asciiTheme="minorHAnsi" w:hAnsiTheme="minorHAnsi" w:cstheme="minorHAnsi"/>
          <w:lang w:val="en-GB"/>
        </w:rPr>
      </w:pPr>
      <w:r>
        <w:rPr>
          <w:rFonts w:asciiTheme="minorHAnsi" w:hAnsiTheme="minorHAnsi" w:cstheme="minorHAnsi"/>
          <w:lang w:val="en-GB"/>
        </w:rPr>
        <w:t>The contributions by Richard Dunning, Hannah Hickman and Aidan While (</w:t>
      </w:r>
      <w:r w:rsidR="003A4B1D">
        <w:rPr>
          <w:rFonts w:asciiTheme="minorHAnsi" w:hAnsiTheme="minorHAnsi" w:cstheme="minorHAnsi"/>
          <w:lang w:val="en-GB"/>
        </w:rPr>
        <w:t>2020</w:t>
      </w:r>
      <w:r>
        <w:rPr>
          <w:rFonts w:asciiTheme="minorHAnsi" w:hAnsiTheme="minorHAnsi" w:cstheme="minorHAnsi"/>
          <w:lang w:val="en-GB"/>
        </w:rPr>
        <w:t xml:space="preserve">) on the case of suburban densification in two English cities and </w:t>
      </w:r>
      <w:proofErr w:type="spellStart"/>
      <w:r>
        <w:rPr>
          <w:rFonts w:asciiTheme="minorHAnsi" w:hAnsiTheme="minorHAnsi" w:cstheme="minorHAnsi"/>
          <w:lang w:val="en-GB"/>
        </w:rPr>
        <w:t>Helén</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Elvestad</w:t>
      </w:r>
      <w:proofErr w:type="spellEnd"/>
      <w:r>
        <w:rPr>
          <w:rFonts w:asciiTheme="minorHAnsi" w:hAnsiTheme="minorHAnsi" w:cstheme="minorHAnsi"/>
          <w:lang w:val="en-GB"/>
        </w:rPr>
        <w:t xml:space="preserve"> and </w:t>
      </w:r>
      <w:proofErr w:type="spellStart"/>
      <w:r>
        <w:rPr>
          <w:rFonts w:asciiTheme="minorHAnsi" w:hAnsiTheme="minorHAnsi" w:cstheme="minorHAnsi"/>
          <w:lang w:val="en-GB"/>
        </w:rPr>
        <w:t>Terje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Holsen</w:t>
      </w:r>
      <w:proofErr w:type="spellEnd"/>
      <w:r>
        <w:rPr>
          <w:rFonts w:asciiTheme="minorHAnsi" w:hAnsiTheme="minorHAnsi" w:cstheme="minorHAnsi"/>
          <w:lang w:val="en-GB"/>
        </w:rPr>
        <w:t xml:space="preserve"> (</w:t>
      </w:r>
      <w:r w:rsidR="00BD2D61">
        <w:rPr>
          <w:rFonts w:asciiTheme="minorHAnsi" w:hAnsiTheme="minorHAnsi" w:cstheme="minorHAnsi"/>
          <w:lang w:val="en-GB"/>
        </w:rPr>
        <w:t>2020</w:t>
      </w:r>
      <w:r>
        <w:rPr>
          <w:rFonts w:asciiTheme="minorHAnsi" w:hAnsiTheme="minorHAnsi" w:cstheme="minorHAnsi"/>
          <w:lang w:val="en-GB"/>
        </w:rPr>
        <w:t xml:space="preserve">) on negative contracts in Oslo, Norway are examples of the prevalence of private property rights. In England, the government has relaxed development control in a series of reforms, particularly promoting soft forms of densification. Such a </w:t>
      </w:r>
      <w:r w:rsidRPr="00EE153B">
        <w:rPr>
          <w:rFonts w:asciiTheme="minorHAnsi" w:hAnsiTheme="minorHAnsi" w:cstheme="minorHAnsi"/>
          <w:lang w:val="en-GB"/>
        </w:rPr>
        <w:t>strateg</w:t>
      </w:r>
      <w:r>
        <w:rPr>
          <w:rFonts w:asciiTheme="minorHAnsi" w:hAnsiTheme="minorHAnsi" w:cstheme="minorHAnsi"/>
          <w:lang w:val="en-GB"/>
        </w:rPr>
        <w:t>y is not without its problems</w:t>
      </w:r>
      <w:r w:rsidRPr="00EE153B">
        <w:rPr>
          <w:rFonts w:asciiTheme="minorHAnsi" w:hAnsiTheme="minorHAnsi" w:cstheme="minorHAnsi"/>
          <w:lang w:val="en-GB"/>
        </w:rPr>
        <w:t>, in particular the cumulative impacts of small-scale change</w:t>
      </w:r>
      <w:r>
        <w:rPr>
          <w:rFonts w:asciiTheme="minorHAnsi" w:hAnsiTheme="minorHAnsi" w:cstheme="minorHAnsi"/>
          <w:lang w:val="en-GB"/>
        </w:rPr>
        <w:t>s</w:t>
      </w:r>
      <w:r w:rsidRPr="00EE153B">
        <w:rPr>
          <w:rFonts w:asciiTheme="minorHAnsi" w:hAnsiTheme="minorHAnsi" w:cstheme="minorHAnsi"/>
          <w:lang w:val="en-GB"/>
        </w:rPr>
        <w:t xml:space="preserve"> in urban areas. Density is not a problem as such – on the contrary it is a central policy objective to meet housing need – but a more strategic approach is needed, including regaining control in the planning process. </w:t>
      </w:r>
      <w:r>
        <w:rPr>
          <w:rFonts w:asciiTheme="minorHAnsi" w:hAnsiTheme="minorHAnsi" w:cstheme="minorHAnsi"/>
          <w:lang w:val="en-GB"/>
        </w:rPr>
        <w:t xml:space="preserve">In Oslo rulings of the Norwegian supreme court have negative covenants forbidding high-density and mix-use development of land, creating a conflict between municipal land use planning and private property rights. The potential of these covenants being enforced through private law poses a risk for developers. </w:t>
      </w:r>
    </w:p>
    <w:p w14:paraId="17C55684" w14:textId="1DAC56EF" w:rsidR="001F61C5" w:rsidRPr="00267564" w:rsidRDefault="001F61C5" w:rsidP="0089450A">
      <w:pPr>
        <w:ind w:firstLine="426"/>
        <w:rPr>
          <w:rFonts w:asciiTheme="minorHAnsi" w:hAnsiTheme="minorHAnsi" w:cstheme="minorHAnsi"/>
          <w:lang w:val="en-GB"/>
        </w:rPr>
      </w:pPr>
      <w:r>
        <w:rPr>
          <w:rFonts w:asciiTheme="minorHAnsi" w:hAnsiTheme="minorHAnsi" w:cstheme="minorHAnsi"/>
          <w:lang w:val="en-GB"/>
        </w:rPr>
        <w:t xml:space="preserve">By exploring </w:t>
      </w:r>
      <w:r w:rsidRPr="003078DF">
        <w:rPr>
          <w:rFonts w:asciiTheme="minorHAnsi" w:hAnsiTheme="minorHAnsi" w:cstheme="minorHAnsi"/>
          <w:lang w:val="en-GB"/>
        </w:rPr>
        <w:t xml:space="preserve">how urban densification is implemented in different planning contexts </w:t>
      </w:r>
      <w:r>
        <w:rPr>
          <w:rFonts w:asciiTheme="minorHAnsi" w:hAnsiTheme="minorHAnsi" w:cstheme="minorHAnsi"/>
          <w:lang w:val="en-GB"/>
        </w:rPr>
        <w:t xml:space="preserve">with </w:t>
      </w:r>
      <w:r w:rsidRPr="003078DF">
        <w:rPr>
          <w:rFonts w:asciiTheme="minorHAnsi" w:hAnsiTheme="minorHAnsi" w:cstheme="minorHAnsi"/>
          <w:lang w:val="en-GB"/>
        </w:rPr>
        <w:t>different strategies</w:t>
      </w:r>
      <w:r>
        <w:rPr>
          <w:rFonts w:asciiTheme="minorHAnsi" w:hAnsiTheme="minorHAnsi" w:cstheme="minorHAnsi"/>
          <w:lang w:val="en-GB"/>
        </w:rPr>
        <w:t>, this special issue contributes to both a better understanding of the strategies of land policy and the way densification is defined and pursued as a policy goal</w:t>
      </w:r>
      <w:r w:rsidRPr="003078DF">
        <w:rPr>
          <w:rFonts w:asciiTheme="minorHAnsi" w:hAnsiTheme="minorHAnsi" w:cstheme="minorHAnsi"/>
          <w:lang w:val="en-GB"/>
        </w:rPr>
        <w:t>.</w:t>
      </w:r>
      <w:r w:rsidR="00062C51">
        <w:rPr>
          <w:rFonts w:asciiTheme="minorHAnsi" w:hAnsiTheme="minorHAnsi" w:cstheme="minorHAnsi"/>
          <w:lang w:val="en-GB"/>
        </w:rPr>
        <w:t xml:space="preserve"> </w:t>
      </w:r>
    </w:p>
    <w:p w14:paraId="0894C6EB" w14:textId="77777777" w:rsidR="001F61C5" w:rsidRPr="003078DF" w:rsidRDefault="001F61C5" w:rsidP="003A4B1D">
      <w:pPr>
        <w:rPr>
          <w:rFonts w:asciiTheme="minorHAnsi" w:hAnsiTheme="minorHAnsi" w:cstheme="minorHAnsi"/>
          <w:lang w:val="en-GB"/>
        </w:rPr>
      </w:pPr>
    </w:p>
    <w:p w14:paraId="4E9FEB5B" w14:textId="77777777" w:rsidR="001F61C5" w:rsidRPr="009C2B25" w:rsidRDefault="001F61C5" w:rsidP="003A4B1D">
      <w:pPr>
        <w:pStyle w:val="Heading1"/>
        <w:spacing w:before="0"/>
        <w:rPr>
          <w:rFonts w:asciiTheme="minorHAnsi" w:hAnsiTheme="minorHAnsi" w:cstheme="minorHAnsi"/>
          <w:b/>
          <w:sz w:val="20"/>
          <w:szCs w:val="20"/>
          <w:lang w:val="en-GB"/>
        </w:rPr>
      </w:pPr>
      <w:r w:rsidRPr="009C2B25">
        <w:rPr>
          <w:rFonts w:asciiTheme="minorHAnsi" w:hAnsiTheme="minorHAnsi" w:cstheme="minorHAnsi"/>
          <w:b/>
          <w:sz w:val="20"/>
          <w:szCs w:val="20"/>
          <w:lang w:val="en-GB"/>
        </w:rPr>
        <w:t>References</w:t>
      </w:r>
    </w:p>
    <w:p w14:paraId="6814CE8F" w14:textId="574D55C1" w:rsidR="001F61C5" w:rsidRPr="00DC2596" w:rsidRDefault="002F675A" w:rsidP="0089450A">
      <w:pPr>
        <w:pStyle w:val="EndNoteBibliography"/>
        <w:ind w:left="426" w:hanging="426"/>
        <w:rPr>
          <w:noProof/>
        </w:rPr>
      </w:pPr>
      <w:r>
        <w:rPr>
          <w:noProof/>
        </w:rPr>
        <w:t>BIBBY</w:t>
      </w:r>
      <w:r w:rsidR="001F61C5" w:rsidRPr="00DC2596">
        <w:rPr>
          <w:noProof/>
        </w:rPr>
        <w:t xml:space="preserve">, P., </w:t>
      </w:r>
      <w:r w:rsidRPr="00DC2596">
        <w:rPr>
          <w:noProof/>
        </w:rPr>
        <w:t>HENNEBERRY</w:t>
      </w:r>
      <w:r>
        <w:rPr>
          <w:noProof/>
        </w:rPr>
        <w:t>,</w:t>
      </w:r>
      <w:r w:rsidR="001F61C5" w:rsidRPr="00DC2596">
        <w:rPr>
          <w:noProof/>
        </w:rPr>
        <w:t xml:space="preserve"> </w:t>
      </w:r>
      <w:r w:rsidRPr="00DC2596">
        <w:rPr>
          <w:noProof/>
        </w:rPr>
        <w:t xml:space="preserve">J. </w:t>
      </w:r>
      <w:r w:rsidR="001F61C5" w:rsidRPr="00DC2596">
        <w:rPr>
          <w:noProof/>
        </w:rPr>
        <w:t xml:space="preserve">and </w:t>
      </w:r>
      <w:r w:rsidRPr="00DC2596">
        <w:rPr>
          <w:noProof/>
        </w:rPr>
        <w:t>HALLEUX</w:t>
      </w:r>
      <w:r>
        <w:rPr>
          <w:noProof/>
        </w:rPr>
        <w:t>,</w:t>
      </w:r>
      <w:r w:rsidR="001F61C5" w:rsidRPr="00DC2596">
        <w:rPr>
          <w:noProof/>
        </w:rPr>
        <w:t xml:space="preserve"> </w:t>
      </w:r>
      <w:r w:rsidRPr="00DC2596">
        <w:rPr>
          <w:noProof/>
        </w:rPr>
        <w:t xml:space="preserve">J.-M. </w:t>
      </w:r>
      <w:r w:rsidR="001F61C5" w:rsidRPr="00DC2596">
        <w:rPr>
          <w:noProof/>
        </w:rPr>
        <w:t>(2020)</w:t>
      </w:r>
      <w:r w:rsidR="00601DD5">
        <w:rPr>
          <w:noProof/>
        </w:rPr>
        <w:t>,</w:t>
      </w:r>
      <w:r w:rsidR="001F61C5" w:rsidRPr="00DC2596">
        <w:rPr>
          <w:noProof/>
        </w:rPr>
        <w:t xml:space="preserve"> </w:t>
      </w:r>
      <w:r w:rsidR="00601DD5">
        <w:rPr>
          <w:noProof/>
        </w:rPr>
        <w:t>‘</w:t>
      </w:r>
      <w:r w:rsidR="001F61C5" w:rsidRPr="00DC2596">
        <w:rPr>
          <w:noProof/>
        </w:rPr>
        <w:t>Under the radar? ‘Soft’ residential densification in England, 2001–2011</w:t>
      </w:r>
      <w:r w:rsidR="00601DD5">
        <w:rPr>
          <w:noProof/>
        </w:rPr>
        <w:t>’,</w:t>
      </w:r>
      <w:r w:rsidR="001F61C5" w:rsidRPr="00DC2596">
        <w:rPr>
          <w:noProof/>
        </w:rPr>
        <w:t xml:space="preserve"> </w:t>
      </w:r>
      <w:r w:rsidR="001F61C5" w:rsidRPr="00DC2596">
        <w:rPr>
          <w:i/>
          <w:noProof/>
        </w:rPr>
        <w:t>Environment and Planning B: Urban Analytics and City Science</w:t>
      </w:r>
      <w:r w:rsidR="00601DD5">
        <w:rPr>
          <w:noProof/>
        </w:rPr>
        <w:t xml:space="preserve">, </w:t>
      </w:r>
      <w:r w:rsidR="001F61C5" w:rsidRPr="00601DD5">
        <w:rPr>
          <w:b/>
          <w:bCs/>
          <w:noProof/>
        </w:rPr>
        <w:t>47</w:t>
      </w:r>
      <w:r w:rsidR="001F61C5" w:rsidRPr="00DC2596">
        <w:rPr>
          <w:noProof/>
        </w:rPr>
        <w:t>, 102</w:t>
      </w:r>
      <w:r w:rsidR="00601DD5">
        <w:rPr>
          <w:noProof/>
        </w:rPr>
        <w:t>–</w:t>
      </w:r>
      <w:r w:rsidR="001F61C5" w:rsidRPr="00DC2596">
        <w:rPr>
          <w:noProof/>
        </w:rPr>
        <w:t>18.</w:t>
      </w:r>
    </w:p>
    <w:p w14:paraId="01452F40" w14:textId="7E999F7E" w:rsidR="001F61C5" w:rsidRPr="00DC2596" w:rsidRDefault="002F675A" w:rsidP="0089450A">
      <w:pPr>
        <w:pStyle w:val="EndNoteBibliography"/>
        <w:ind w:left="426" w:hanging="426"/>
        <w:rPr>
          <w:noProof/>
        </w:rPr>
      </w:pPr>
      <w:r>
        <w:rPr>
          <w:noProof/>
        </w:rPr>
        <w:t>BOYKO</w:t>
      </w:r>
      <w:r w:rsidR="001F61C5" w:rsidRPr="00DC2596">
        <w:rPr>
          <w:noProof/>
        </w:rPr>
        <w:t>, C.</w:t>
      </w:r>
      <w:r>
        <w:rPr>
          <w:noProof/>
        </w:rPr>
        <w:t xml:space="preserve"> </w:t>
      </w:r>
      <w:r w:rsidR="001F61C5" w:rsidRPr="00DC2596">
        <w:rPr>
          <w:noProof/>
        </w:rPr>
        <w:t xml:space="preserve">T. and </w:t>
      </w:r>
      <w:r>
        <w:rPr>
          <w:noProof/>
        </w:rPr>
        <w:t xml:space="preserve">COOPER, </w:t>
      </w:r>
      <w:r w:rsidRPr="00DC2596">
        <w:rPr>
          <w:noProof/>
        </w:rPr>
        <w:t>R.</w:t>
      </w:r>
      <w:r w:rsidR="001F61C5" w:rsidRPr="00DC2596">
        <w:rPr>
          <w:noProof/>
        </w:rPr>
        <w:t xml:space="preserve"> (2011)</w:t>
      </w:r>
      <w:r>
        <w:rPr>
          <w:noProof/>
        </w:rPr>
        <w:t>,</w:t>
      </w:r>
      <w:r w:rsidR="001F61C5" w:rsidRPr="00DC2596">
        <w:rPr>
          <w:noProof/>
        </w:rPr>
        <w:t xml:space="preserve"> </w:t>
      </w:r>
      <w:r>
        <w:rPr>
          <w:noProof/>
        </w:rPr>
        <w:t>‘</w:t>
      </w:r>
      <w:r w:rsidR="001F61C5" w:rsidRPr="00DC2596">
        <w:rPr>
          <w:noProof/>
        </w:rPr>
        <w:t>Clarifying and re-conceptualising density</w:t>
      </w:r>
      <w:r>
        <w:rPr>
          <w:noProof/>
        </w:rPr>
        <w:t>’,</w:t>
      </w:r>
      <w:r w:rsidR="001F61C5" w:rsidRPr="00DC2596">
        <w:rPr>
          <w:noProof/>
        </w:rPr>
        <w:t xml:space="preserve"> </w:t>
      </w:r>
      <w:r w:rsidR="001F61C5" w:rsidRPr="00DC2596">
        <w:rPr>
          <w:i/>
          <w:noProof/>
        </w:rPr>
        <w:t>Progress in Planning</w:t>
      </w:r>
      <w:r>
        <w:rPr>
          <w:noProof/>
        </w:rPr>
        <w:t xml:space="preserve">, </w:t>
      </w:r>
      <w:r w:rsidR="001F61C5" w:rsidRPr="002F675A">
        <w:rPr>
          <w:b/>
          <w:bCs/>
          <w:noProof/>
        </w:rPr>
        <w:t>76</w:t>
      </w:r>
      <w:r w:rsidR="001F61C5" w:rsidRPr="00DC2596">
        <w:rPr>
          <w:noProof/>
        </w:rPr>
        <w:t>, 1</w:t>
      </w:r>
      <w:r>
        <w:rPr>
          <w:noProof/>
        </w:rPr>
        <w:t>–</w:t>
      </w:r>
      <w:r w:rsidR="001F61C5" w:rsidRPr="00DC2596">
        <w:rPr>
          <w:noProof/>
        </w:rPr>
        <w:t>61.</w:t>
      </w:r>
    </w:p>
    <w:p w14:paraId="563261EC" w14:textId="12609064" w:rsidR="001F61C5" w:rsidRPr="00DC2596" w:rsidRDefault="002F675A" w:rsidP="0089450A">
      <w:pPr>
        <w:pStyle w:val="EndNoteBibliography"/>
        <w:ind w:left="426" w:hanging="426"/>
        <w:rPr>
          <w:noProof/>
        </w:rPr>
      </w:pPr>
      <w:r>
        <w:rPr>
          <w:noProof/>
        </w:rPr>
        <w:t>BREHENY</w:t>
      </w:r>
      <w:r w:rsidR="001F61C5" w:rsidRPr="00DC2596">
        <w:rPr>
          <w:noProof/>
        </w:rPr>
        <w:t>, M. (1992)</w:t>
      </w:r>
      <w:r>
        <w:rPr>
          <w:noProof/>
        </w:rPr>
        <w:t>,</w:t>
      </w:r>
      <w:r w:rsidR="001F61C5" w:rsidRPr="00DC2596">
        <w:rPr>
          <w:noProof/>
        </w:rPr>
        <w:t xml:space="preserve"> </w:t>
      </w:r>
      <w:r>
        <w:rPr>
          <w:noProof/>
        </w:rPr>
        <w:t>‘</w:t>
      </w:r>
      <w:r w:rsidR="001F61C5" w:rsidRPr="00DC2596">
        <w:rPr>
          <w:noProof/>
        </w:rPr>
        <w:t xml:space="preserve">The </w:t>
      </w:r>
      <w:r>
        <w:rPr>
          <w:noProof/>
        </w:rPr>
        <w:t>c</w:t>
      </w:r>
      <w:r w:rsidR="001F61C5" w:rsidRPr="00DC2596">
        <w:rPr>
          <w:noProof/>
        </w:rPr>
        <w:t xml:space="preserve">ompact </w:t>
      </w:r>
      <w:r>
        <w:rPr>
          <w:noProof/>
        </w:rPr>
        <w:t>c</w:t>
      </w:r>
      <w:r w:rsidR="001F61C5" w:rsidRPr="00DC2596">
        <w:rPr>
          <w:noProof/>
        </w:rPr>
        <w:t xml:space="preserve">ity: </w:t>
      </w:r>
      <w:r>
        <w:rPr>
          <w:noProof/>
        </w:rPr>
        <w:t>a</w:t>
      </w:r>
      <w:r w:rsidR="001F61C5" w:rsidRPr="00DC2596">
        <w:rPr>
          <w:noProof/>
        </w:rPr>
        <w:t xml:space="preserve">n </w:t>
      </w:r>
      <w:r>
        <w:rPr>
          <w:noProof/>
        </w:rPr>
        <w:t>i</w:t>
      </w:r>
      <w:r w:rsidR="001F61C5" w:rsidRPr="00DC2596">
        <w:rPr>
          <w:noProof/>
        </w:rPr>
        <w:t>ntroduction</w:t>
      </w:r>
      <w:r>
        <w:rPr>
          <w:noProof/>
        </w:rPr>
        <w:t>’,</w:t>
      </w:r>
      <w:r w:rsidR="001F61C5" w:rsidRPr="00DC2596">
        <w:rPr>
          <w:noProof/>
        </w:rPr>
        <w:t xml:space="preserve"> </w:t>
      </w:r>
      <w:r w:rsidR="001F61C5" w:rsidRPr="00DC2596">
        <w:rPr>
          <w:i/>
          <w:noProof/>
        </w:rPr>
        <w:t>Built Environment</w:t>
      </w:r>
      <w:r>
        <w:rPr>
          <w:noProof/>
        </w:rPr>
        <w:t xml:space="preserve">, </w:t>
      </w:r>
      <w:r w:rsidR="001F61C5" w:rsidRPr="002F675A">
        <w:rPr>
          <w:b/>
          <w:bCs/>
          <w:noProof/>
        </w:rPr>
        <w:t>18</w:t>
      </w:r>
      <w:r w:rsidR="001F61C5" w:rsidRPr="00DC2596">
        <w:rPr>
          <w:noProof/>
        </w:rPr>
        <w:t>, 240</w:t>
      </w:r>
      <w:r>
        <w:rPr>
          <w:noProof/>
        </w:rPr>
        <w:t>–</w:t>
      </w:r>
      <w:r w:rsidR="001F61C5" w:rsidRPr="00DC2596">
        <w:rPr>
          <w:noProof/>
        </w:rPr>
        <w:t>6.</w:t>
      </w:r>
    </w:p>
    <w:p w14:paraId="65E37300" w14:textId="6A93BE38" w:rsidR="001F61C5" w:rsidRPr="00DC2596" w:rsidRDefault="002F675A" w:rsidP="0089450A">
      <w:pPr>
        <w:pStyle w:val="EndNoteBibliography"/>
        <w:ind w:left="426" w:hanging="426"/>
        <w:rPr>
          <w:noProof/>
        </w:rPr>
      </w:pPr>
      <w:r>
        <w:rPr>
          <w:noProof/>
        </w:rPr>
        <w:t>BREHENY</w:t>
      </w:r>
      <w:r w:rsidR="001F61C5" w:rsidRPr="00DC2596">
        <w:rPr>
          <w:noProof/>
        </w:rPr>
        <w:t>, M. (1997)</w:t>
      </w:r>
      <w:r>
        <w:rPr>
          <w:noProof/>
        </w:rPr>
        <w:t>,</w:t>
      </w:r>
      <w:r w:rsidR="001F61C5" w:rsidRPr="00DC2596">
        <w:rPr>
          <w:noProof/>
        </w:rPr>
        <w:t xml:space="preserve"> </w:t>
      </w:r>
      <w:r>
        <w:rPr>
          <w:noProof/>
        </w:rPr>
        <w:t>‘</w:t>
      </w:r>
      <w:r w:rsidR="001F61C5" w:rsidRPr="00DC2596">
        <w:rPr>
          <w:noProof/>
        </w:rPr>
        <w:t>Urban compaction: feasible and acceptable?</w:t>
      </w:r>
      <w:r>
        <w:rPr>
          <w:noProof/>
        </w:rPr>
        <w:t>’,</w:t>
      </w:r>
      <w:r w:rsidR="001F61C5" w:rsidRPr="00DC2596">
        <w:rPr>
          <w:noProof/>
        </w:rPr>
        <w:t xml:space="preserve"> </w:t>
      </w:r>
      <w:r w:rsidR="001F61C5" w:rsidRPr="00DC2596">
        <w:rPr>
          <w:i/>
          <w:noProof/>
        </w:rPr>
        <w:t>Cities</w:t>
      </w:r>
      <w:r>
        <w:rPr>
          <w:noProof/>
        </w:rPr>
        <w:t xml:space="preserve">, </w:t>
      </w:r>
      <w:r w:rsidR="001F61C5" w:rsidRPr="002F675A">
        <w:rPr>
          <w:b/>
          <w:bCs/>
          <w:noProof/>
        </w:rPr>
        <w:t>14</w:t>
      </w:r>
      <w:r w:rsidR="001F61C5" w:rsidRPr="00DC2596">
        <w:rPr>
          <w:noProof/>
        </w:rPr>
        <w:t>, 209</w:t>
      </w:r>
      <w:r>
        <w:rPr>
          <w:noProof/>
        </w:rPr>
        <w:t>–</w:t>
      </w:r>
      <w:r w:rsidR="001F61C5" w:rsidRPr="00DC2596">
        <w:rPr>
          <w:noProof/>
        </w:rPr>
        <w:t>17.</w:t>
      </w:r>
    </w:p>
    <w:p w14:paraId="61BFAB41" w14:textId="41E6D722" w:rsidR="001F61C5" w:rsidRPr="00DC2596" w:rsidRDefault="002F675A" w:rsidP="0089450A">
      <w:pPr>
        <w:pStyle w:val="EndNoteBibliography"/>
        <w:ind w:left="426" w:hanging="426"/>
        <w:rPr>
          <w:noProof/>
        </w:rPr>
      </w:pPr>
      <w:r>
        <w:rPr>
          <w:noProof/>
        </w:rPr>
        <w:t>BRENNER</w:t>
      </w:r>
      <w:r w:rsidR="001F61C5" w:rsidRPr="00DC2596">
        <w:rPr>
          <w:noProof/>
        </w:rPr>
        <w:t xml:space="preserve">, N. and </w:t>
      </w:r>
      <w:r>
        <w:rPr>
          <w:noProof/>
        </w:rPr>
        <w:t>SCHMID,</w:t>
      </w:r>
      <w:r w:rsidR="001F61C5" w:rsidRPr="00DC2596">
        <w:rPr>
          <w:noProof/>
        </w:rPr>
        <w:t xml:space="preserve"> </w:t>
      </w:r>
      <w:r w:rsidRPr="00DC2596">
        <w:rPr>
          <w:noProof/>
        </w:rPr>
        <w:t xml:space="preserve">C. </w:t>
      </w:r>
      <w:r w:rsidR="001F61C5" w:rsidRPr="00DC2596">
        <w:rPr>
          <w:noProof/>
        </w:rPr>
        <w:t>(2014)</w:t>
      </w:r>
      <w:r>
        <w:rPr>
          <w:noProof/>
        </w:rPr>
        <w:t>,</w:t>
      </w:r>
      <w:r w:rsidR="001F61C5" w:rsidRPr="00DC2596">
        <w:rPr>
          <w:noProof/>
        </w:rPr>
        <w:t xml:space="preserve"> </w:t>
      </w:r>
      <w:r>
        <w:rPr>
          <w:noProof/>
        </w:rPr>
        <w:t>‘</w:t>
      </w:r>
      <w:r w:rsidR="001F61C5" w:rsidRPr="00DC2596">
        <w:rPr>
          <w:noProof/>
        </w:rPr>
        <w:t>The ‘urban age’ in question</w:t>
      </w:r>
      <w:r>
        <w:rPr>
          <w:noProof/>
        </w:rPr>
        <w:t>’,</w:t>
      </w:r>
      <w:r w:rsidR="001F61C5" w:rsidRPr="00DC2596">
        <w:rPr>
          <w:noProof/>
        </w:rPr>
        <w:t xml:space="preserve"> </w:t>
      </w:r>
      <w:r w:rsidR="001F61C5" w:rsidRPr="00DC2596">
        <w:rPr>
          <w:i/>
          <w:noProof/>
        </w:rPr>
        <w:t>International Journal of Urban and Regional Research</w:t>
      </w:r>
      <w:r>
        <w:rPr>
          <w:noProof/>
        </w:rPr>
        <w:t xml:space="preserve">, </w:t>
      </w:r>
      <w:r w:rsidR="001F61C5" w:rsidRPr="002F675A">
        <w:rPr>
          <w:b/>
          <w:bCs/>
          <w:noProof/>
        </w:rPr>
        <w:t>38</w:t>
      </w:r>
      <w:r w:rsidR="001F61C5" w:rsidRPr="00DC2596">
        <w:rPr>
          <w:noProof/>
        </w:rPr>
        <w:t>, 731</w:t>
      </w:r>
      <w:r>
        <w:rPr>
          <w:noProof/>
        </w:rPr>
        <w:t>–</w:t>
      </w:r>
      <w:r w:rsidR="001F61C5" w:rsidRPr="00DC2596">
        <w:rPr>
          <w:noProof/>
        </w:rPr>
        <w:t>55.</w:t>
      </w:r>
    </w:p>
    <w:p w14:paraId="1119B7CE" w14:textId="697037F0" w:rsidR="001F61C5" w:rsidRPr="00DC2596" w:rsidRDefault="002F675A" w:rsidP="0089450A">
      <w:pPr>
        <w:pStyle w:val="EndNoteBibliography"/>
        <w:ind w:left="426" w:hanging="426"/>
        <w:rPr>
          <w:noProof/>
        </w:rPr>
      </w:pPr>
      <w:r>
        <w:rPr>
          <w:noProof/>
        </w:rPr>
        <w:t>BROITMAN</w:t>
      </w:r>
      <w:r w:rsidR="001F61C5" w:rsidRPr="00DC2596">
        <w:rPr>
          <w:noProof/>
        </w:rPr>
        <w:t xml:space="preserve">, D. and </w:t>
      </w:r>
      <w:r>
        <w:rPr>
          <w:noProof/>
        </w:rPr>
        <w:t>KOOMEN,</w:t>
      </w:r>
      <w:r w:rsidR="001F61C5" w:rsidRPr="00DC2596">
        <w:rPr>
          <w:noProof/>
        </w:rPr>
        <w:t xml:space="preserve"> </w:t>
      </w:r>
      <w:r w:rsidRPr="00DC2596">
        <w:rPr>
          <w:noProof/>
        </w:rPr>
        <w:t xml:space="preserve">E. </w:t>
      </w:r>
      <w:r w:rsidR="001F61C5" w:rsidRPr="00DC2596">
        <w:rPr>
          <w:noProof/>
        </w:rPr>
        <w:t>(2015)</w:t>
      </w:r>
      <w:r>
        <w:rPr>
          <w:noProof/>
        </w:rPr>
        <w:t>,</w:t>
      </w:r>
      <w:r w:rsidR="001F61C5" w:rsidRPr="00DC2596">
        <w:rPr>
          <w:noProof/>
        </w:rPr>
        <w:t xml:space="preserve"> </w:t>
      </w:r>
      <w:r>
        <w:rPr>
          <w:noProof/>
        </w:rPr>
        <w:t>‘</w:t>
      </w:r>
      <w:r w:rsidR="001F61C5" w:rsidRPr="00DC2596">
        <w:rPr>
          <w:noProof/>
        </w:rPr>
        <w:t>Residential density change: densification and urban expansion</w:t>
      </w:r>
      <w:r>
        <w:rPr>
          <w:noProof/>
        </w:rPr>
        <w:t>’,</w:t>
      </w:r>
      <w:r w:rsidR="001F61C5" w:rsidRPr="00DC2596">
        <w:rPr>
          <w:noProof/>
        </w:rPr>
        <w:t xml:space="preserve"> </w:t>
      </w:r>
      <w:r w:rsidR="001F61C5" w:rsidRPr="00DC2596">
        <w:rPr>
          <w:i/>
          <w:noProof/>
        </w:rPr>
        <w:t>Computers, Environment and Urban Systems</w:t>
      </w:r>
      <w:r>
        <w:rPr>
          <w:noProof/>
        </w:rPr>
        <w:t xml:space="preserve">, </w:t>
      </w:r>
      <w:r w:rsidR="001F61C5" w:rsidRPr="002F675A">
        <w:rPr>
          <w:b/>
          <w:bCs/>
          <w:noProof/>
        </w:rPr>
        <w:t>54</w:t>
      </w:r>
      <w:r w:rsidR="001F61C5" w:rsidRPr="00DC2596">
        <w:rPr>
          <w:noProof/>
        </w:rPr>
        <w:t>, 32</w:t>
      </w:r>
      <w:r>
        <w:rPr>
          <w:noProof/>
        </w:rPr>
        <w:t>–</w:t>
      </w:r>
      <w:r w:rsidR="001F61C5" w:rsidRPr="00DC2596">
        <w:rPr>
          <w:noProof/>
        </w:rPr>
        <w:t>46.</w:t>
      </w:r>
    </w:p>
    <w:p w14:paraId="4393D8D4" w14:textId="0731A220" w:rsidR="00BD2D61" w:rsidRPr="006B046F" w:rsidRDefault="00BD2D61" w:rsidP="0089450A">
      <w:pPr>
        <w:pStyle w:val="EndNoteBibliography"/>
        <w:ind w:left="426" w:hanging="426"/>
        <w:rPr>
          <w:lang w:val="en-GB"/>
        </w:rPr>
      </w:pPr>
      <w:r w:rsidRPr="006B046F">
        <w:rPr>
          <w:lang w:val="en-GB"/>
        </w:rPr>
        <w:t>BUITELAAR, E. (2012)</w:t>
      </w:r>
      <w:r>
        <w:rPr>
          <w:lang w:val="en-GB"/>
        </w:rPr>
        <w:t>,</w:t>
      </w:r>
      <w:r w:rsidRPr="006B046F">
        <w:rPr>
          <w:lang w:val="en-GB"/>
        </w:rPr>
        <w:t xml:space="preserve"> </w:t>
      </w:r>
      <w:r>
        <w:rPr>
          <w:lang w:val="en-GB"/>
        </w:rPr>
        <w:t>‘</w:t>
      </w:r>
      <w:r w:rsidRPr="006B046F">
        <w:rPr>
          <w:lang w:val="en-GB"/>
        </w:rPr>
        <w:t xml:space="preserve">The fraught relationship between planning and regulation: </w:t>
      </w:r>
      <w:r w:rsidR="00601DD5">
        <w:rPr>
          <w:lang w:val="en-GB"/>
        </w:rPr>
        <w:t>l</w:t>
      </w:r>
      <w:r w:rsidRPr="006B046F">
        <w:rPr>
          <w:lang w:val="en-GB"/>
        </w:rPr>
        <w:t>and use plans and the conflicts in dealing with uncertainty</w:t>
      </w:r>
      <w:r>
        <w:rPr>
          <w:lang w:val="en-GB"/>
        </w:rPr>
        <w:t>’,</w:t>
      </w:r>
      <w:r w:rsidRPr="006B046F">
        <w:rPr>
          <w:lang w:val="en-GB"/>
        </w:rPr>
        <w:t xml:space="preserve"> </w:t>
      </w:r>
      <w:r>
        <w:rPr>
          <w:lang w:val="en-GB"/>
        </w:rPr>
        <w:t>i</w:t>
      </w:r>
      <w:r w:rsidRPr="006B046F">
        <w:rPr>
          <w:lang w:val="en-GB"/>
        </w:rPr>
        <w:t xml:space="preserve">n T. Hartmann </w:t>
      </w:r>
      <w:r>
        <w:rPr>
          <w:lang w:val="en-GB"/>
        </w:rPr>
        <w:t>and</w:t>
      </w:r>
      <w:r w:rsidRPr="006B046F">
        <w:rPr>
          <w:lang w:val="en-GB"/>
        </w:rPr>
        <w:t xml:space="preserve"> B. Needham (</w:t>
      </w:r>
      <w:r>
        <w:rPr>
          <w:lang w:val="en-GB"/>
        </w:rPr>
        <w:t>e</w:t>
      </w:r>
      <w:r w:rsidRPr="006B046F">
        <w:rPr>
          <w:lang w:val="en-GB"/>
        </w:rPr>
        <w:t>ds)</w:t>
      </w:r>
      <w:r>
        <w:rPr>
          <w:lang w:val="en-GB"/>
        </w:rPr>
        <w:t xml:space="preserve">, </w:t>
      </w:r>
      <w:r w:rsidRPr="006B046F">
        <w:rPr>
          <w:lang w:val="en-GB"/>
        </w:rPr>
        <w:t>207–18.</w:t>
      </w:r>
    </w:p>
    <w:p w14:paraId="22AD0F7D" w14:textId="52870600" w:rsidR="001F61C5" w:rsidRPr="00DC2596" w:rsidRDefault="002F675A" w:rsidP="0089450A">
      <w:pPr>
        <w:pStyle w:val="EndNoteBibliography"/>
        <w:ind w:left="426" w:hanging="426"/>
        <w:rPr>
          <w:noProof/>
        </w:rPr>
      </w:pPr>
      <w:r w:rsidRPr="006B046F">
        <w:rPr>
          <w:lang w:val="en-GB"/>
        </w:rPr>
        <w:t>BUITELAAR</w:t>
      </w:r>
      <w:r w:rsidR="001F61C5" w:rsidRPr="00DC2596">
        <w:rPr>
          <w:noProof/>
        </w:rPr>
        <w:t xml:space="preserve">, E. and </w:t>
      </w:r>
      <w:r>
        <w:rPr>
          <w:noProof/>
        </w:rPr>
        <w:t>NEEDHAM</w:t>
      </w:r>
      <w:r w:rsidR="003A4B1D">
        <w:rPr>
          <w:noProof/>
        </w:rPr>
        <w:t>,</w:t>
      </w:r>
      <w:r w:rsidR="001F61C5" w:rsidRPr="00DC2596">
        <w:rPr>
          <w:noProof/>
        </w:rPr>
        <w:t xml:space="preserve"> </w:t>
      </w:r>
      <w:r w:rsidR="003A4B1D" w:rsidRPr="00DC2596">
        <w:rPr>
          <w:noProof/>
        </w:rPr>
        <w:t xml:space="preserve">B. </w:t>
      </w:r>
      <w:r w:rsidR="001F61C5" w:rsidRPr="00DC2596">
        <w:rPr>
          <w:noProof/>
        </w:rPr>
        <w:t>(2007)</w:t>
      </w:r>
      <w:r>
        <w:rPr>
          <w:noProof/>
        </w:rPr>
        <w:t>,</w:t>
      </w:r>
      <w:r w:rsidR="001F61C5" w:rsidRPr="00DC2596">
        <w:rPr>
          <w:noProof/>
        </w:rPr>
        <w:t xml:space="preserve"> </w:t>
      </w:r>
      <w:r>
        <w:rPr>
          <w:noProof/>
        </w:rPr>
        <w:t>‘</w:t>
      </w:r>
      <w:r w:rsidR="001F61C5" w:rsidRPr="00DC2596">
        <w:rPr>
          <w:noProof/>
        </w:rPr>
        <w:t>Property rights and private initiatives: an introduction</w:t>
      </w:r>
      <w:r>
        <w:rPr>
          <w:noProof/>
        </w:rPr>
        <w:t>’,</w:t>
      </w:r>
      <w:r w:rsidR="001F61C5" w:rsidRPr="00DC2596">
        <w:rPr>
          <w:noProof/>
        </w:rPr>
        <w:t xml:space="preserve"> </w:t>
      </w:r>
      <w:r w:rsidR="001F61C5" w:rsidRPr="00DC2596">
        <w:rPr>
          <w:i/>
          <w:noProof/>
        </w:rPr>
        <w:t>Town Planning Review</w:t>
      </w:r>
      <w:r>
        <w:rPr>
          <w:noProof/>
        </w:rPr>
        <w:t xml:space="preserve">, </w:t>
      </w:r>
      <w:r w:rsidR="001F61C5" w:rsidRPr="002F675A">
        <w:rPr>
          <w:b/>
          <w:bCs/>
          <w:noProof/>
        </w:rPr>
        <w:t>78</w:t>
      </w:r>
      <w:r w:rsidR="001F61C5" w:rsidRPr="00DC2596">
        <w:rPr>
          <w:noProof/>
        </w:rPr>
        <w:t>, 1</w:t>
      </w:r>
      <w:r>
        <w:rPr>
          <w:noProof/>
        </w:rPr>
        <w:t>–</w:t>
      </w:r>
      <w:r w:rsidR="001F61C5" w:rsidRPr="00DC2596">
        <w:rPr>
          <w:noProof/>
        </w:rPr>
        <w:t>8.</w:t>
      </w:r>
    </w:p>
    <w:p w14:paraId="3934DC59" w14:textId="18A529A3" w:rsidR="00051F59" w:rsidRPr="00051F59" w:rsidRDefault="00051F59" w:rsidP="00051F59">
      <w:pPr>
        <w:pStyle w:val="EndNoteBibliography"/>
        <w:ind w:left="426" w:hanging="426"/>
        <w:rPr>
          <w:noProof/>
        </w:rPr>
      </w:pPr>
      <w:r w:rsidRPr="00051F59">
        <w:rPr>
          <w:noProof/>
        </w:rPr>
        <w:lastRenderedPageBreak/>
        <w:t xml:space="preserve">BURTON, E., JENKS, M. </w:t>
      </w:r>
      <w:r>
        <w:rPr>
          <w:noProof/>
        </w:rPr>
        <w:t>and</w:t>
      </w:r>
      <w:r w:rsidRPr="00051F59">
        <w:rPr>
          <w:noProof/>
        </w:rPr>
        <w:t xml:space="preserve"> WILLIAMS, K. (1996), </w:t>
      </w:r>
      <w:r w:rsidRPr="00051F59">
        <w:rPr>
          <w:i/>
          <w:iCs/>
          <w:noProof/>
        </w:rPr>
        <w:t xml:space="preserve">The </w:t>
      </w:r>
      <w:r>
        <w:rPr>
          <w:i/>
          <w:iCs/>
          <w:noProof/>
        </w:rPr>
        <w:t>C</w:t>
      </w:r>
      <w:r w:rsidRPr="00051F59">
        <w:rPr>
          <w:i/>
          <w:iCs/>
          <w:noProof/>
        </w:rPr>
        <w:t xml:space="preserve">ompact </w:t>
      </w:r>
      <w:r>
        <w:rPr>
          <w:i/>
          <w:iCs/>
          <w:noProof/>
        </w:rPr>
        <w:t>C</w:t>
      </w:r>
      <w:r w:rsidRPr="00051F59">
        <w:rPr>
          <w:i/>
          <w:iCs/>
          <w:noProof/>
        </w:rPr>
        <w:t xml:space="preserve">ity: </w:t>
      </w:r>
      <w:r>
        <w:rPr>
          <w:i/>
          <w:iCs/>
          <w:noProof/>
        </w:rPr>
        <w:t>A</w:t>
      </w:r>
      <w:r w:rsidRPr="00051F59">
        <w:rPr>
          <w:i/>
          <w:iCs/>
          <w:noProof/>
        </w:rPr>
        <w:t xml:space="preserve"> </w:t>
      </w:r>
      <w:r>
        <w:rPr>
          <w:i/>
          <w:iCs/>
          <w:noProof/>
        </w:rPr>
        <w:t>S</w:t>
      </w:r>
      <w:r w:rsidRPr="00051F59">
        <w:rPr>
          <w:i/>
          <w:iCs/>
          <w:noProof/>
        </w:rPr>
        <w:t xml:space="preserve">ustainable </w:t>
      </w:r>
      <w:r>
        <w:rPr>
          <w:i/>
          <w:iCs/>
          <w:noProof/>
        </w:rPr>
        <w:t>U</w:t>
      </w:r>
      <w:r w:rsidRPr="00051F59">
        <w:rPr>
          <w:i/>
          <w:iCs/>
          <w:noProof/>
        </w:rPr>
        <w:t xml:space="preserve">rban </w:t>
      </w:r>
      <w:r>
        <w:rPr>
          <w:i/>
          <w:iCs/>
          <w:noProof/>
        </w:rPr>
        <w:t>F</w:t>
      </w:r>
      <w:r w:rsidRPr="00051F59">
        <w:rPr>
          <w:i/>
          <w:iCs/>
          <w:noProof/>
        </w:rPr>
        <w:t>orm?</w:t>
      </w:r>
      <w:r>
        <w:rPr>
          <w:noProof/>
        </w:rPr>
        <w:t>,</w:t>
      </w:r>
      <w:r w:rsidRPr="00051F59">
        <w:rPr>
          <w:noProof/>
        </w:rPr>
        <w:t xml:space="preserve"> Spon, London.</w:t>
      </w:r>
    </w:p>
    <w:p w14:paraId="6437E3FB" w14:textId="45CB8CEE" w:rsidR="001F61C5" w:rsidRPr="00DC2596" w:rsidRDefault="002F675A" w:rsidP="0089450A">
      <w:pPr>
        <w:pStyle w:val="EndNoteBibliography"/>
        <w:ind w:left="426" w:hanging="426"/>
        <w:rPr>
          <w:noProof/>
        </w:rPr>
      </w:pPr>
      <w:r>
        <w:rPr>
          <w:noProof/>
        </w:rPr>
        <w:t>CHARMES</w:t>
      </w:r>
      <w:r w:rsidR="001F61C5" w:rsidRPr="00DC2596">
        <w:rPr>
          <w:noProof/>
        </w:rPr>
        <w:t>, E. and</w:t>
      </w:r>
      <w:r>
        <w:rPr>
          <w:noProof/>
        </w:rPr>
        <w:t xml:space="preserve"> KEIL, R.</w:t>
      </w:r>
      <w:r w:rsidR="001F61C5" w:rsidRPr="00DC2596">
        <w:rPr>
          <w:noProof/>
        </w:rPr>
        <w:t xml:space="preserve"> (2015)</w:t>
      </w:r>
      <w:r>
        <w:rPr>
          <w:noProof/>
        </w:rPr>
        <w:t>,</w:t>
      </w:r>
      <w:r w:rsidR="001F61C5" w:rsidRPr="00DC2596">
        <w:rPr>
          <w:noProof/>
        </w:rPr>
        <w:t xml:space="preserve"> </w:t>
      </w:r>
      <w:r>
        <w:rPr>
          <w:noProof/>
        </w:rPr>
        <w:t>‘</w:t>
      </w:r>
      <w:r w:rsidR="001F61C5" w:rsidRPr="00DC2596">
        <w:rPr>
          <w:noProof/>
        </w:rPr>
        <w:t xml:space="preserve">The </w:t>
      </w:r>
      <w:r>
        <w:rPr>
          <w:noProof/>
        </w:rPr>
        <w:t>p</w:t>
      </w:r>
      <w:r w:rsidR="001F61C5" w:rsidRPr="00DC2596">
        <w:rPr>
          <w:noProof/>
        </w:rPr>
        <w:t xml:space="preserve">olitics of </w:t>
      </w:r>
      <w:r>
        <w:rPr>
          <w:noProof/>
        </w:rPr>
        <w:t>p</w:t>
      </w:r>
      <w:r w:rsidR="001F61C5" w:rsidRPr="00DC2596">
        <w:rPr>
          <w:noProof/>
        </w:rPr>
        <w:t>ost-</w:t>
      </w:r>
      <w:r>
        <w:rPr>
          <w:noProof/>
        </w:rPr>
        <w:t>s</w:t>
      </w:r>
      <w:r w:rsidR="001F61C5" w:rsidRPr="00DC2596">
        <w:rPr>
          <w:noProof/>
        </w:rPr>
        <w:t xml:space="preserve">uburban </w:t>
      </w:r>
      <w:r>
        <w:rPr>
          <w:noProof/>
        </w:rPr>
        <w:t>d</w:t>
      </w:r>
      <w:r w:rsidR="001F61C5" w:rsidRPr="00DC2596">
        <w:rPr>
          <w:noProof/>
        </w:rPr>
        <w:t>ensification in Canada and France</w:t>
      </w:r>
      <w:r>
        <w:rPr>
          <w:noProof/>
        </w:rPr>
        <w:t>’,</w:t>
      </w:r>
      <w:r w:rsidR="001F61C5" w:rsidRPr="00DC2596">
        <w:rPr>
          <w:noProof/>
        </w:rPr>
        <w:t xml:space="preserve"> </w:t>
      </w:r>
      <w:r w:rsidR="001F61C5" w:rsidRPr="00DC2596">
        <w:rPr>
          <w:i/>
          <w:noProof/>
        </w:rPr>
        <w:t>International Journal of Urban and Regional Research</w:t>
      </w:r>
      <w:r>
        <w:rPr>
          <w:noProof/>
        </w:rPr>
        <w:t xml:space="preserve">, </w:t>
      </w:r>
      <w:r w:rsidR="001F61C5" w:rsidRPr="002F675A">
        <w:rPr>
          <w:b/>
          <w:bCs/>
          <w:noProof/>
        </w:rPr>
        <w:t>39</w:t>
      </w:r>
      <w:r w:rsidR="001F61C5" w:rsidRPr="00DC2596">
        <w:rPr>
          <w:noProof/>
        </w:rPr>
        <w:t>, 581</w:t>
      </w:r>
      <w:r>
        <w:rPr>
          <w:noProof/>
        </w:rPr>
        <w:t>–</w:t>
      </w:r>
      <w:r w:rsidR="001F61C5" w:rsidRPr="00DC2596">
        <w:rPr>
          <w:noProof/>
        </w:rPr>
        <w:t>602.</w:t>
      </w:r>
    </w:p>
    <w:p w14:paraId="4F320F84" w14:textId="7B6C67B2" w:rsidR="001F61C5" w:rsidRPr="00DC2596" w:rsidRDefault="002F675A" w:rsidP="0089450A">
      <w:pPr>
        <w:pStyle w:val="EndNoteBibliography"/>
        <w:ind w:left="426" w:hanging="426"/>
        <w:rPr>
          <w:noProof/>
        </w:rPr>
      </w:pPr>
      <w:r w:rsidRPr="00DC2596">
        <w:rPr>
          <w:noProof/>
        </w:rPr>
        <w:t>CHESHIRE</w:t>
      </w:r>
      <w:r w:rsidR="001F61C5" w:rsidRPr="00DC2596">
        <w:rPr>
          <w:noProof/>
        </w:rPr>
        <w:t>, P. (2006)</w:t>
      </w:r>
      <w:r>
        <w:rPr>
          <w:noProof/>
        </w:rPr>
        <w:t>,</w:t>
      </w:r>
      <w:r w:rsidR="001F61C5" w:rsidRPr="00DC2596">
        <w:rPr>
          <w:noProof/>
        </w:rPr>
        <w:t xml:space="preserve"> </w:t>
      </w:r>
      <w:r>
        <w:rPr>
          <w:noProof/>
        </w:rPr>
        <w:t>‘</w:t>
      </w:r>
      <w:r w:rsidR="001F61C5" w:rsidRPr="00DC2596">
        <w:rPr>
          <w:noProof/>
        </w:rPr>
        <w:t xml:space="preserve">Resurgent cities, urban myths and policy hubris: </w:t>
      </w:r>
      <w:r>
        <w:rPr>
          <w:noProof/>
        </w:rPr>
        <w:t>w</w:t>
      </w:r>
      <w:r w:rsidR="001F61C5" w:rsidRPr="00DC2596">
        <w:rPr>
          <w:noProof/>
        </w:rPr>
        <w:t>hat we need to know</w:t>
      </w:r>
      <w:r>
        <w:rPr>
          <w:noProof/>
        </w:rPr>
        <w:t>’,</w:t>
      </w:r>
      <w:r w:rsidR="001F61C5" w:rsidRPr="00DC2596">
        <w:rPr>
          <w:noProof/>
        </w:rPr>
        <w:t xml:space="preserve"> </w:t>
      </w:r>
      <w:r w:rsidR="001F61C5" w:rsidRPr="00DC2596">
        <w:rPr>
          <w:i/>
          <w:noProof/>
        </w:rPr>
        <w:t>Urban Studies</w:t>
      </w:r>
      <w:r>
        <w:rPr>
          <w:noProof/>
        </w:rPr>
        <w:t xml:space="preserve">, </w:t>
      </w:r>
      <w:r w:rsidR="001F61C5" w:rsidRPr="002F675A">
        <w:rPr>
          <w:b/>
          <w:bCs/>
          <w:noProof/>
        </w:rPr>
        <w:t>43</w:t>
      </w:r>
      <w:r w:rsidR="001F61C5" w:rsidRPr="00DC2596">
        <w:rPr>
          <w:noProof/>
        </w:rPr>
        <w:t>, 1231</w:t>
      </w:r>
      <w:r>
        <w:rPr>
          <w:noProof/>
        </w:rPr>
        <w:t>–</w:t>
      </w:r>
      <w:r w:rsidR="001F61C5" w:rsidRPr="00DC2596">
        <w:rPr>
          <w:noProof/>
        </w:rPr>
        <w:t>46.</w:t>
      </w:r>
    </w:p>
    <w:p w14:paraId="4E8A140B" w14:textId="418A4377" w:rsidR="001F61C5" w:rsidRDefault="003A4B1D" w:rsidP="0089450A">
      <w:pPr>
        <w:pStyle w:val="EndNoteBibliography"/>
        <w:ind w:left="426" w:hanging="426"/>
        <w:rPr>
          <w:noProof/>
        </w:rPr>
      </w:pPr>
      <w:r w:rsidRPr="00DC2596">
        <w:rPr>
          <w:noProof/>
        </w:rPr>
        <w:t>CLIFFORD</w:t>
      </w:r>
      <w:r w:rsidR="001F61C5" w:rsidRPr="00DC2596">
        <w:rPr>
          <w:noProof/>
        </w:rPr>
        <w:t xml:space="preserve">, B., </w:t>
      </w:r>
      <w:r w:rsidR="00601DD5">
        <w:rPr>
          <w:noProof/>
        </w:rPr>
        <w:t>FERM</w:t>
      </w:r>
      <w:r w:rsidR="001F61C5" w:rsidRPr="00DC2596">
        <w:rPr>
          <w:noProof/>
        </w:rPr>
        <w:t xml:space="preserve">, </w:t>
      </w:r>
      <w:r w:rsidRPr="00DC2596">
        <w:rPr>
          <w:noProof/>
        </w:rPr>
        <w:t>J.</w:t>
      </w:r>
      <w:r>
        <w:rPr>
          <w:noProof/>
        </w:rPr>
        <w:t>,</w:t>
      </w:r>
      <w:r w:rsidRPr="00DC2596">
        <w:rPr>
          <w:noProof/>
        </w:rPr>
        <w:t xml:space="preserve"> </w:t>
      </w:r>
      <w:r w:rsidR="00601DD5" w:rsidRPr="00DC2596">
        <w:rPr>
          <w:noProof/>
        </w:rPr>
        <w:t>LIVINGSTONE</w:t>
      </w:r>
      <w:r>
        <w:rPr>
          <w:noProof/>
        </w:rPr>
        <w:t>,</w:t>
      </w:r>
      <w:r w:rsidR="001F61C5" w:rsidRPr="00DC2596">
        <w:rPr>
          <w:noProof/>
        </w:rPr>
        <w:t xml:space="preserve"> </w:t>
      </w:r>
      <w:r w:rsidRPr="00DC2596">
        <w:rPr>
          <w:noProof/>
        </w:rPr>
        <w:t xml:space="preserve">N. </w:t>
      </w:r>
      <w:r w:rsidR="001F61C5" w:rsidRPr="00DC2596">
        <w:rPr>
          <w:noProof/>
        </w:rPr>
        <w:t xml:space="preserve">and </w:t>
      </w:r>
      <w:r w:rsidR="00601DD5" w:rsidRPr="00DC2596">
        <w:rPr>
          <w:noProof/>
        </w:rPr>
        <w:t>CANELAS</w:t>
      </w:r>
      <w:r>
        <w:rPr>
          <w:noProof/>
        </w:rPr>
        <w:t>,</w:t>
      </w:r>
      <w:r w:rsidR="001F61C5" w:rsidRPr="00DC2596">
        <w:rPr>
          <w:noProof/>
        </w:rPr>
        <w:t xml:space="preserve"> </w:t>
      </w:r>
      <w:r w:rsidRPr="00DC2596">
        <w:rPr>
          <w:noProof/>
        </w:rPr>
        <w:t xml:space="preserve">P. </w:t>
      </w:r>
      <w:r w:rsidR="001F61C5" w:rsidRPr="00DC2596">
        <w:rPr>
          <w:noProof/>
        </w:rPr>
        <w:t>(2019)</w:t>
      </w:r>
      <w:r>
        <w:rPr>
          <w:noProof/>
        </w:rPr>
        <w:t>,</w:t>
      </w:r>
      <w:r w:rsidR="001F61C5" w:rsidRPr="00DC2596">
        <w:rPr>
          <w:noProof/>
        </w:rPr>
        <w:t xml:space="preserve"> </w:t>
      </w:r>
      <w:r w:rsidR="001F61C5" w:rsidRPr="00DC2596">
        <w:rPr>
          <w:i/>
          <w:noProof/>
        </w:rPr>
        <w:t>Understanding the Impacts of Deregulation in Planning: Turning Offices into Homes?</w:t>
      </w:r>
      <w:r w:rsidR="00601DD5" w:rsidRPr="00DC2596">
        <w:rPr>
          <w:noProof/>
        </w:rPr>
        <w:t>, Basingstoke</w:t>
      </w:r>
      <w:r>
        <w:rPr>
          <w:noProof/>
        </w:rPr>
        <w:t xml:space="preserve">, </w:t>
      </w:r>
      <w:r w:rsidR="001F61C5" w:rsidRPr="00DC2596">
        <w:rPr>
          <w:noProof/>
        </w:rPr>
        <w:t>Palgrave Macmillan.</w:t>
      </w:r>
    </w:p>
    <w:p w14:paraId="2209EE8F" w14:textId="38A94FAF" w:rsidR="002F675A" w:rsidRDefault="002F675A" w:rsidP="0089450A">
      <w:pPr>
        <w:pStyle w:val="EndNoteBibliography"/>
        <w:ind w:left="426" w:hanging="426"/>
        <w:rPr>
          <w:noProof/>
        </w:rPr>
      </w:pPr>
      <w:r>
        <w:rPr>
          <w:noProof/>
        </w:rPr>
        <w:t xml:space="preserve">DEBRUNNER, G., </w:t>
      </w:r>
      <w:r w:rsidRPr="00DC2596">
        <w:rPr>
          <w:noProof/>
        </w:rPr>
        <w:t>HENGSTERMANN</w:t>
      </w:r>
      <w:r>
        <w:rPr>
          <w:noProof/>
        </w:rPr>
        <w:t>, A. and GERBER</w:t>
      </w:r>
      <w:r w:rsidRPr="00DC2596">
        <w:rPr>
          <w:noProof/>
        </w:rPr>
        <w:t>, J.-D.</w:t>
      </w:r>
      <w:r>
        <w:rPr>
          <w:noProof/>
        </w:rPr>
        <w:t xml:space="preserve"> (2020), ‘</w:t>
      </w:r>
      <w:r w:rsidRPr="002F675A">
        <w:rPr>
          <w:noProof/>
          <w:highlight w:val="yellow"/>
        </w:rPr>
        <w:t>…</w:t>
      </w:r>
      <w:r>
        <w:rPr>
          <w:noProof/>
        </w:rPr>
        <w:t xml:space="preserve">’, </w:t>
      </w:r>
      <w:r>
        <w:rPr>
          <w:i/>
          <w:iCs/>
          <w:noProof/>
        </w:rPr>
        <w:t>Town Planning Review</w:t>
      </w:r>
      <w:r>
        <w:rPr>
          <w:noProof/>
        </w:rPr>
        <w:t xml:space="preserve">, </w:t>
      </w:r>
      <w:r>
        <w:rPr>
          <w:b/>
          <w:bCs/>
          <w:noProof/>
        </w:rPr>
        <w:t>91</w:t>
      </w:r>
      <w:r>
        <w:rPr>
          <w:noProof/>
        </w:rPr>
        <w:t xml:space="preserve">, </w:t>
      </w:r>
      <w:r w:rsidRPr="002F675A">
        <w:rPr>
          <w:noProof/>
          <w:highlight w:val="yellow"/>
        </w:rPr>
        <w:t>xxx</w:t>
      </w:r>
      <w:r>
        <w:rPr>
          <w:noProof/>
        </w:rPr>
        <w:t>–</w:t>
      </w:r>
      <w:r w:rsidRPr="002F675A">
        <w:rPr>
          <w:noProof/>
          <w:highlight w:val="yellow"/>
        </w:rPr>
        <w:t>xxx</w:t>
      </w:r>
      <w:r>
        <w:rPr>
          <w:noProof/>
        </w:rPr>
        <w:t>.</w:t>
      </w:r>
    </w:p>
    <w:p w14:paraId="5E564FDE" w14:textId="2A2A1CB8" w:rsidR="0089450A" w:rsidRPr="00DC2596" w:rsidRDefault="0089450A" w:rsidP="0089450A">
      <w:pPr>
        <w:pStyle w:val="EndNoteBibliography"/>
        <w:ind w:left="426" w:hanging="426"/>
        <w:rPr>
          <w:noProof/>
        </w:rPr>
      </w:pPr>
      <w:r>
        <w:rPr>
          <w:noProof/>
        </w:rPr>
        <w:t xml:space="preserve">DEMBSKI, S. (2020), </w:t>
      </w:r>
      <w:r w:rsidR="00601DD5">
        <w:rPr>
          <w:noProof/>
        </w:rPr>
        <w:t>‘</w:t>
      </w:r>
      <w:r w:rsidR="00601DD5" w:rsidRPr="002F675A">
        <w:rPr>
          <w:noProof/>
          <w:highlight w:val="yellow"/>
        </w:rPr>
        <w:t>…</w:t>
      </w:r>
      <w:r w:rsidR="00601DD5">
        <w:rPr>
          <w:noProof/>
        </w:rPr>
        <w:t xml:space="preserve">’, </w:t>
      </w:r>
      <w:r w:rsidR="00601DD5">
        <w:rPr>
          <w:i/>
          <w:iCs/>
          <w:noProof/>
        </w:rPr>
        <w:t>Town Planning Review</w:t>
      </w:r>
      <w:r w:rsidR="00601DD5">
        <w:rPr>
          <w:noProof/>
        </w:rPr>
        <w:t xml:space="preserve">, </w:t>
      </w:r>
      <w:r w:rsidR="00601DD5">
        <w:rPr>
          <w:b/>
          <w:bCs/>
          <w:noProof/>
        </w:rPr>
        <w:t>91</w:t>
      </w:r>
      <w:r w:rsidR="00601DD5">
        <w:rPr>
          <w:noProof/>
        </w:rPr>
        <w:t xml:space="preserve">, </w:t>
      </w:r>
      <w:r w:rsidR="00601DD5" w:rsidRPr="002F675A">
        <w:rPr>
          <w:noProof/>
          <w:highlight w:val="yellow"/>
        </w:rPr>
        <w:t>xxx</w:t>
      </w:r>
      <w:r w:rsidR="00601DD5">
        <w:rPr>
          <w:noProof/>
        </w:rPr>
        <w:t>–</w:t>
      </w:r>
      <w:r w:rsidR="00601DD5" w:rsidRPr="002F675A">
        <w:rPr>
          <w:noProof/>
          <w:highlight w:val="yellow"/>
        </w:rPr>
        <w:t>xxx</w:t>
      </w:r>
      <w:r w:rsidR="00601DD5">
        <w:rPr>
          <w:noProof/>
        </w:rPr>
        <w:t>.</w:t>
      </w:r>
    </w:p>
    <w:p w14:paraId="6524618D" w14:textId="7025058C" w:rsidR="00601DD5" w:rsidRPr="00601DD5" w:rsidRDefault="0089450A" w:rsidP="00601DD5">
      <w:pPr>
        <w:pStyle w:val="EndNoteBibliography"/>
        <w:ind w:left="426" w:hanging="426"/>
        <w:rPr>
          <w:noProof/>
        </w:rPr>
      </w:pPr>
      <w:r>
        <w:rPr>
          <w:noProof/>
        </w:rPr>
        <w:t>DEMBSKI</w:t>
      </w:r>
      <w:r w:rsidR="001F61C5" w:rsidRPr="00DC2596">
        <w:rPr>
          <w:noProof/>
        </w:rPr>
        <w:t xml:space="preserve">, S., </w:t>
      </w:r>
      <w:r>
        <w:rPr>
          <w:noProof/>
        </w:rPr>
        <w:t>SYKES</w:t>
      </w:r>
      <w:r w:rsidR="001F61C5" w:rsidRPr="00DC2596">
        <w:rPr>
          <w:noProof/>
        </w:rPr>
        <w:t xml:space="preserve">, </w:t>
      </w:r>
      <w:r w:rsidRPr="00DC2596">
        <w:rPr>
          <w:noProof/>
        </w:rPr>
        <w:t>O.</w:t>
      </w:r>
      <w:r>
        <w:rPr>
          <w:noProof/>
        </w:rPr>
        <w:t>,</w:t>
      </w:r>
      <w:r w:rsidRPr="00DC2596">
        <w:rPr>
          <w:noProof/>
        </w:rPr>
        <w:t xml:space="preserve"> </w:t>
      </w:r>
      <w:r>
        <w:rPr>
          <w:noProof/>
        </w:rPr>
        <w:t>COUCH</w:t>
      </w:r>
      <w:r w:rsidR="001F61C5" w:rsidRPr="00DC2596">
        <w:rPr>
          <w:noProof/>
        </w:rPr>
        <w:t xml:space="preserve">, </w:t>
      </w:r>
      <w:r w:rsidRPr="00DC2596">
        <w:rPr>
          <w:noProof/>
        </w:rPr>
        <w:t>C.</w:t>
      </w:r>
      <w:r>
        <w:rPr>
          <w:noProof/>
        </w:rPr>
        <w:t>,</w:t>
      </w:r>
      <w:r w:rsidRPr="00DC2596">
        <w:rPr>
          <w:noProof/>
        </w:rPr>
        <w:t xml:space="preserve"> </w:t>
      </w:r>
      <w:r>
        <w:rPr>
          <w:noProof/>
        </w:rPr>
        <w:t>DESJARDINS</w:t>
      </w:r>
      <w:r w:rsidR="001F61C5" w:rsidRPr="00DC2596">
        <w:rPr>
          <w:noProof/>
        </w:rPr>
        <w:t xml:space="preserve">, </w:t>
      </w:r>
      <w:r w:rsidRPr="00DC2596">
        <w:rPr>
          <w:noProof/>
        </w:rPr>
        <w:t>X.</w:t>
      </w:r>
      <w:r>
        <w:rPr>
          <w:noProof/>
        </w:rPr>
        <w:t>,</w:t>
      </w:r>
      <w:r w:rsidRPr="00DC2596">
        <w:rPr>
          <w:noProof/>
        </w:rPr>
        <w:t xml:space="preserve"> </w:t>
      </w:r>
      <w:r>
        <w:rPr>
          <w:noProof/>
        </w:rPr>
        <w:t>EVERS</w:t>
      </w:r>
      <w:r w:rsidR="001F61C5" w:rsidRPr="00DC2596">
        <w:rPr>
          <w:noProof/>
        </w:rPr>
        <w:t xml:space="preserve">, </w:t>
      </w:r>
      <w:r w:rsidRPr="00DC2596">
        <w:rPr>
          <w:noProof/>
        </w:rPr>
        <w:t>D.</w:t>
      </w:r>
      <w:r>
        <w:rPr>
          <w:noProof/>
        </w:rPr>
        <w:t>, OSTERHAGE</w:t>
      </w:r>
      <w:r w:rsidR="001F61C5" w:rsidRPr="00DC2596">
        <w:rPr>
          <w:noProof/>
        </w:rPr>
        <w:t xml:space="preserve">, </w:t>
      </w:r>
      <w:r w:rsidRPr="00DC2596">
        <w:rPr>
          <w:noProof/>
        </w:rPr>
        <w:t>F.</w:t>
      </w:r>
      <w:r>
        <w:rPr>
          <w:noProof/>
        </w:rPr>
        <w:t>,</w:t>
      </w:r>
      <w:r w:rsidRPr="00DC2596">
        <w:rPr>
          <w:noProof/>
        </w:rPr>
        <w:t xml:space="preserve"> </w:t>
      </w:r>
      <w:r>
        <w:rPr>
          <w:noProof/>
        </w:rPr>
        <w:t>SIEDENTOP</w:t>
      </w:r>
      <w:r w:rsidR="003A4B1D">
        <w:rPr>
          <w:noProof/>
        </w:rPr>
        <w:t>,</w:t>
      </w:r>
      <w:r w:rsidR="001F61C5" w:rsidRPr="00DC2596">
        <w:rPr>
          <w:noProof/>
        </w:rPr>
        <w:t xml:space="preserve"> </w:t>
      </w:r>
      <w:r w:rsidRPr="00DC2596">
        <w:rPr>
          <w:noProof/>
        </w:rPr>
        <w:t xml:space="preserve">S. </w:t>
      </w:r>
      <w:r w:rsidR="001F61C5" w:rsidRPr="00DC2596">
        <w:rPr>
          <w:noProof/>
        </w:rPr>
        <w:t xml:space="preserve">and </w:t>
      </w:r>
      <w:r>
        <w:rPr>
          <w:noProof/>
        </w:rPr>
        <w:t>ZIMMERMANN,</w:t>
      </w:r>
      <w:r w:rsidR="001F61C5" w:rsidRPr="00DC2596">
        <w:rPr>
          <w:noProof/>
        </w:rPr>
        <w:t xml:space="preserve"> </w:t>
      </w:r>
      <w:r w:rsidRPr="00DC2596">
        <w:rPr>
          <w:noProof/>
        </w:rPr>
        <w:t xml:space="preserve">K. </w:t>
      </w:r>
      <w:r w:rsidR="001F61C5" w:rsidRPr="00DC2596">
        <w:rPr>
          <w:noProof/>
        </w:rPr>
        <w:t>(</w:t>
      </w:r>
      <w:r>
        <w:rPr>
          <w:noProof/>
        </w:rPr>
        <w:t>2019</w:t>
      </w:r>
      <w:r w:rsidR="001F61C5" w:rsidRPr="00DC2596">
        <w:rPr>
          <w:noProof/>
        </w:rPr>
        <w:t>)</w:t>
      </w:r>
      <w:r w:rsidR="003A4B1D">
        <w:rPr>
          <w:noProof/>
        </w:rPr>
        <w:t>,</w:t>
      </w:r>
      <w:r w:rsidR="001F61C5" w:rsidRPr="00DC2596">
        <w:rPr>
          <w:noProof/>
        </w:rPr>
        <w:t xml:space="preserve"> </w:t>
      </w:r>
      <w:r w:rsidR="003A4B1D">
        <w:rPr>
          <w:noProof/>
        </w:rPr>
        <w:t>‘</w:t>
      </w:r>
      <w:r w:rsidR="001F61C5" w:rsidRPr="00DC2596">
        <w:rPr>
          <w:noProof/>
        </w:rPr>
        <w:t>Reurbanisation and suburbia in Northwest Europe: A comparative perspective on spatial trends and policy approaches</w:t>
      </w:r>
      <w:r w:rsidR="003A4B1D">
        <w:rPr>
          <w:noProof/>
        </w:rPr>
        <w:t>’,</w:t>
      </w:r>
      <w:r w:rsidR="001F61C5" w:rsidRPr="00DC2596">
        <w:rPr>
          <w:noProof/>
        </w:rPr>
        <w:t xml:space="preserve"> </w:t>
      </w:r>
      <w:r w:rsidR="001F61C5" w:rsidRPr="00DC2596">
        <w:rPr>
          <w:i/>
          <w:noProof/>
        </w:rPr>
        <w:t>Progress in Planning</w:t>
      </w:r>
      <w:r w:rsidR="001F61C5" w:rsidRPr="00DC2596">
        <w:rPr>
          <w:noProof/>
        </w:rPr>
        <w:t xml:space="preserve">, </w:t>
      </w:r>
      <w:r w:rsidR="00601DD5" w:rsidRPr="00601DD5">
        <w:rPr>
          <w:noProof/>
        </w:rPr>
        <w:t>https://doi.org/10.1016/j.progress.2019.100462</w:t>
      </w:r>
      <w:r w:rsidR="00601DD5">
        <w:rPr>
          <w:noProof/>
        </w:rPr>
        <w:t>.</w:t>
      </w:r>
    </w:p>
    <w:p w14:paraId="6C889508" w14:textId="437ED78F" w:rsidR="00051F59" w:rsidRPr="00051F59" w:rsidRDefault="00051F59" w:rsidP="00051F59">
      <w:pPr>
        <w:pStyle w:val="EndNoteBibliography"/>
        <w:ind w:left="426" w:hanging="426"/>
        <w:rPr>
          <w:noProof/>
        </w:rPr>
      </w:pPr>
      <w:r>
        <w:rPr>
          <w:noProof/>
        </w:rPr>
        <w:t>DIELEMAN</w:t>
      </w:r>
      <w:r w:rsidRPr="00051F59">
        <w:rPr>
          <w:noProof/>
        </w:rPr>
        <w:t>, F.,</w:t>
      </w:r>
      <w:r>
        <w:rPr>
          <w:noProof/>
        </w:rPr>
        <w:t xml:space="preserve"> and</w:t>
      </w:r>
      <w:r w:rsidRPr="00051F59">
        <w:rPr>
          <w:noProof/>
        </w:rPr>
        <w:t xml:space="preserve"> W</w:t>
      </w:r>
      <w:r>
        <w:rPr>
          <w:noProof/>
        </w:rPr>
        <w:t>EGENER</w:t>
      </w:r>
      <w:r w:rsidRPr="00051F59">
        <w:rPr>
          <w:noProof/>
        </w:rPr>
        <w:t>, M. (2004)</w:t>
      </w:r>
      <w:r>
        <w:rPr>
          <w:noProof/>
        </w:rPr>
        <w:t>,</w:t>
      </w:r>
      <w:r w:rsidRPr="00051F59">
        <w:rPr>
          <w:noProof/>
        </w:rPr>
        <w:t xml:space="preserve"> </w:t>
      </w:r>
      <w:r>
        <w:rPr>
          <w:noProof/>
        </w:rPr>
        <w:t>‘</w:t>
      </w:r>
      <w:r w:rsidRPr="00051F59">
        <w:rPr>
          <w:noProof/>
        </w:rPr>
        <w:t>Compact city and urban sprawl</w:t>
      </w:r>
      <w:r>
        <w:rPr>
          <w:noProof/>
        </w:rPr>
        <w:t>’,</w:t>
      </w:r>
      <w:r w:rsidRPr="00051F59">
        <w:rPr>
          <w:noProof/>
        </w:rPr>
        <w:t xml:space="preserve"> </w:t>
      </w:r>
      <w:r w:rsidRPr="00051F59">
        <w:rPr>
          <w:i/>
          <w:iCs/>
          <w:noProof/>
        </w:rPr>
        <w:t>Built Environment</w:t>
      </w:r>
      <w:r w:rsidRPr="00051F59">
        <w:rPr>
          <w:noProof/>
        </w:rPr>
        <w:t xml:space="preserve">, </w:t>
      </w:r>
      <w:r w:rsidRPr="00051F59">
        <w:rPr>
          <w:b/>
          <w:bCs/>
          <w:noProof/>
        </w:rPr>
        <w:t>30</w:t>
      </w:r>
      <w:r w:rsidRPr="00051F59">
        <w:rPr>
          <w:noProof/>
        </w:rPr>
        <w:t>, 308–23.</w:t>
      </w:r>
    </w:p>
    <w:p w14:paraId="324BA337" w14:textId="1055EAEA" w:rsidR="002F675A" w:rsidRDefault="002F675A" w:rsidP="00051F59">
      <w:pPr>
        <w:pStyle w:val="EndNoteBibliography"/>
        <w:rPr>
          <w:noProof/>
        </w:rPr>
      </w:pPr>
      <w:r>
        <w:rPr>
          <w:noProof/>
        </w:rPr>
        <w:t>DUNNING, R. J., HICKMAN, H. and WHILE, A. (2020), ‘</w:t>
      </w:r>
      <w:r w:rsidRPr="002F675A">
        <w:rPr>
          <w:noProof/>
          <w:highlight w:val="yellow"/>
        </w:rPr>
        <w:t>…</w:t>
      </w:r>
      <w:r>
        <w:rPr>
          <w:noProof/>
        </w:rPr>
        <w:t xml:space="preserve">’, </w:t>
      </w:r>
      <w:r>
        <w:rPr>
          <w:i/>
          <w:iCs/>
          <w:noProof/>
        </w:rPr>
        <w:t>Town Planning Review</w:t>
      </w:r>
      <w:r>
        <w:rPr>
          <w:noProof/>
        </w:rPr>
        <w:t xml:space="preserve">, </w:t>
      </w:r>
      <w:r>
        <w:rPr>
          <w:b/>
          <w:bCs/>
          <w:noProof/>
        </w:rPr>
        <w:t>91</w:t>
      </w:r>
      <w:r>
        <w:rPr>
          <w:noProof/>
        </w:rPr>
        <w:t xml:space="preserve">, </w:t>
      </w:r>
      <w:r w:rsidRPr="002F675A">
        <w:rPr>
          <w:noProof/>
          <w:highlight w:val="yellow"/>
        </w:rPr>
        <w:t>xxx</w:t>
      </w:r>
      <w:r>
        <w:rPr>
          <w:noProof/>
        </w:rPr>
        <w:t>–</w:t>
      </w:r>
      <w:r w:rsidRPr="002F675A">
        <w:rPr>
          <w:noProof/>
          <w:highlight w:val="yellow"/>
        </w:rPr>
        <w:t>xxx</w:t>
      </w:r>
      <w:r>
        <w:rPr>
          <w:noProof/>
        </w:rPr>
        <w:t>.</w:t>
      </w:r>
    </w:p>
    <w:p w14:paraId="1D4D9C5B" w14:textId="0A1666EB" w:rsidR="001F61C5" w:rsidRPr="00DC2596" w:rsidRDefault="0089450A" w:rsidP="0089450A">
      <w:pPr>
        <w:pStyle w:val="EndNoteBibliography"/>
        <w:ind w:left="426" w:hanging="426"/>
        <w:rPr>
          <w:noProof/>
        </w:rPr>
      </w:pPr>
      <w:r>
        <w:rPr>
          <w:noProof/>
        </w:rPr>
        <w:t>EEA (</w:t>
      </w:r>
      <w:r w:rsidRPr="00DC2596">
        <w:rPr>
          <w:noProof/>
        </w:rPr>
        <w:t>EUROPEAN ENVIRONMENT AGENCY</w:t>
      </w:r>
      <w:r>
        <w:rPr>
          <w:noProof/>
        </w:rPr>
        <w:t>)</w:t>
      </w:r>
      <w:r w:rsidR="001F61C5" w:rsidRPr="00DC2596">
        <w:rPr>
          <w:noProof/>
        </w:rPr>
        <w:t xml:space="preserve"> and </w:t>
      </w:r>
      <w:r>
        <w:rPr>
          <w:noProof/>
        </w:rPr>
        <w:t>FOEN (</w:t>
      </w:r>
      <w:r w:rsidRPr="00DC2596">
        <w:rPr>
          <w:noProof/>
        </w:rPr>
        <w:t>FEDERAL OFFICE FOR THE ENVIRONMENT</w:t>
      </w:r>
      <w:r>
        <w:rPr>
          <w:noProof/>
        </w:rPr>
        <w:t>)</w:t>
      </w:r>
      <w:r w:rsidR="001F61C5" w:rsidRPr="00DC2596">
        <w:rPr>
          <w:noProof/>
        </w:rPr>
        <w:t xml:space="preserve"> (2016)</w:t>
      </w:r>
      <w:r>
        <w:rPr>
          <w:noProof/>
        </w:rPr>
        <w:t>,</w:t>
      </w:r>
      <w:r w:rsidR="001F61C5" w:rsidRPr="00DC2596">
        <w:rPr>
          <w:noProof/>
        </w:rPr>
        <w:t xml:space="preserve"> </w:t>
      </w:r>
      <w:r w:rsidR="001F61C5" w:rsidRPr="003A4B1D">
        <w:rPr>
          <w:i/>
          <w:iCs/>
          <w:noProof/>
        </w:rPr>
        <w:t>Urban sprawl in Europe: Joint EEA-FOEN report</w:t>
      </w:r>
      <w:r w:rsidR="003A4B1D">
        <w:rPr>
          <w:noProof/>
        </w:rPr>
        <w:t>,</w:t>
      </w:r>
      <w:r w:rsidR="001F61C5" w:rsidRPr="00DC2596">
        <w:rPr>
          <w:noProof/>
        </w:rPr>
        <w:t xml:space="preserve"> </w:t>
      </w:r>
      <w:r w:rsidR="00601DD5" w:rsidRPr="00DC2596">
        <w:rPr>
          <w:noProof/>
        </w:rPr>
        <w:t>Luxembourg</w:t>
      </w:r>
      <w:r w:rsidR="00601DD5">
        <w:rPr>
          <w:noProof/>
        </w:rPr>
        <w:t>,</w:t>
      </w:r>
      <w:r w:rsidR="00601DD5" w:rsidRPr="00DC2596">
        <w:rPr>
          <w:noProof/>
        </w:rPr>
        <w:t xml:space="preserve"> </w:t>
      </w:r>
      <w:r w:rsidR="001F61C5" w:rsidRPr="00DC2596">
        <w:rPr>
          <w:noProof/>
        </w:rPr>
        <w:t>Publications Office of the European Union.</w:t>
      </w:r>
    </w:p>
    <w:p w14:paraId="39A8C83F" w14:textId="61F43C9E" w:rsidR="003A4B1D" w:rsidRDefault="003A4B1D" w:rsidP="0089450A">
      <w:pPr>
        <w:pStyle w:val="EndNoteBibliography"/>
        <w:ind w:left="426" w:hanging="426"/>
        <w:rPr>
          <w:noProof/>
        </w:rPr>
      </w:pPr>
      <w:r>
        <w:rPr>
          <w:noProof/>
        </w:rPr>
        <w:t xml:space="preserve">ELVESTAD, H. and </w:t>
      </w:r>
      <w:r w:rsidR="002F675A">
        <w:rPr>
          <w:noProof/>
        </w:rPr>
        <w:t>HOLSEN</w:t>
      </w:r>
      <w:r>
        <w:rPr>
          <w:noProof/>
        </w:rPr>
        <w:t>, T. (2020), ‘</w:t>
      </w:r>
      <w:r w:rsidRPr="002F675A">
        <w:rPr>
          <w:noProof/>
          <w:highlight w:val="yellow"/>
        </w:rPr>
        <w:t>…</w:t>
      </w:r>
      <w:r>
        <w:rPr>
          <w:noProof/>
        </w:rPr>
        <w:t xml:space="preserve">’, </w:t>
      </w:r>
      <w:r>
        <w:rPr>
          <w:i/>
          <w:iCs/>
          <w:noProof/>
        </w:rPr>
        <w:t>Town Planning Review</w:t>
      </w:r>
      <w:r>
        <w:rPr>
          <w:noProof/>
        </w:rPr>
        <w:t xml:space="preserve">, </w:t>
      </w:r>
      <w:r>
        <w:rPr>
          <w:b/>
          <w:bCs/>
          <w:noProof/>
        </w:rPr>
        <w:t>91</w:t>
      </w:r>
      <w:r>
        <w:rPr>
          <w:noProof/>
        </w:rPr>
        <w:t xml:space="preserve">, </w:t>
      </w:r>
      <w:r w:rsidRPr="002F675A">
        <w:rPr>
          <w:noProof/>
          <w:highlight w:val="yellow"/>
        </w:rPr>
        <w:t>xxx</w:t>
      </w:r>
      <w:r>
        <w:rPr>
          <w:noProof/>
        </w:rPr>
        <w:t>–</w:t>
      </w:r>
      <w:r w:rsidRPr="002F675A">
        <w:rPr>
          <w:noProof/>
          <w:highlight w:val="yellow"/>
        </w:rPr>
        <w:t>xxx</w:t>
      </w:r>
      <w:r>
        <w:rPr>
          <w:noProof/>
        </w:rPr>
        <w:t>.</w:t>
      </w:r>
    </w:p>
    <w:p w14:paraId="4574198A" w14:textId="6A86CFC3" w:rsidR="001F61C5" w:rsidRPr="00DC2596" w:rsidRDefault="002F675A" w:rsidP="0089450A">
      <w:pPr>
        <w:pStyle w:val="EndNoteBibliography"/>
        <w:ind w:left="426" w:hanging="426"/>
        <w:rPr>
          <w:noProof/>
        </w:rPr>
      </w:pPr>
      <w:r w:rsidRPr="00DC2596">
        <w:rPr>
          <w:noProof/>
        </w:rPr>
        <w:t>FORSYTH</w:t>
      </w:r>
      <w:r w:rsidR="001F61C5" w:rsidRPr="00DC2596">
        <w:rPr>
          <w:noProof/>
        </w:rPr>
        <w:t>, A. (2018)</w:t>
      </w:r>
      <w:r>
        <w:rPr>
          <w:noProof/>
        </w:rPr>
        <w:t>,</w:t>
      </w:r>
      <w:r w:rsidR="001F61C5" w:rsidRPr="00DC2596">
        <w:rPr>
          <w:noProof/>
        </w:rPr>
        <w:t xml:space="preserve"> </w:t>
      </w:r>
      <w:r>
        <w:rPr>
          <w:noProof/>
        </w:rPr>
        <w:t>‘</w:t>
      </w:r>
      <w:r w:rsidR="001F61C5" w:rsidRPr="00DC2596">
        <w:rPr>
          <w:noProof/>
        </w:rPr>
        <w:t>Congested cities vs. sprawl makes you fat: unpacking the health effects of planning density</w:t>
      </w:r>
      <w:r>
        <w:rPr>
          <w:noProof/>
        </w:rPr>
        <w:t>’,</w:t>
      </w:r>
      <w:r w:rsidR="001F61C5" w:rsidRPr="00DC2596">
        <w:rPr>
          <w:noProof/>
        </w:rPr>
        <w:t xml:space="preserve"> </w:t>
      </w:r>
      <w:r w:rsidR="001F61C5" w:rsidRPr="00DC2596">
        <w:rPr>
          <w:i/>
          <w:noProof/>
        </w:rPr>
        <w:t>Town Planning Review</w:t>
      </w:r>
      <w:r>
        <w:rPr>
          <w:noProof/>
        </w:rPr>
        <w:t xml:space="preserve">, </w:t>
      </w:r>
      <w:r w:rsidR="001F61C5" w:rsidRPr="002F675A">
        <w:rPr>
          <w:b/>
          <w:bCs/>
          <w:noProof/>
        </w:rPr>
        <w:t>89</w:t>
      </w:r>
      <w:r w:rsidR="001F61C5" w:rsidRPr="00DC2596">
        <w:rPr>
          <w:noProof/>
        </w:rPr>
        <w:t>, 333</w:t>
      </w:r>
      <w:r>
        <w:rPr>
          <w:noProof/>
        </w:rPr>
        <w:t>–</w:t>
      </w:r>
      <w:r w:rsidR="001F61C5" w:rsidRPr="00DC2596">
        <w:rPr>
          <w:noProof/>
        </w:rPr>
        <w:t>54.</w:t>
      </w:r>
    </w:p>
    <w:p w14:paraId="12048BBE" w14:textId="0CE213F1" w:rsidR="001F61C5" w:rsidRPr="00DC2596" w:rsidRDefault="002F675A" w:rsidP="0089450A">
      <w:pPr>
        <w:pStyle w:val="EndNoteBibliography"/>
        <w:ind w:left="426" w:hanging="426"/>
        <w:rPr>
          <w:noProof/>
        </w:rPr>
      </w:pPr>
      <w:r>
        <w:rPr>
          <w:noProof/>
        </w:rPr>
        <w:t>GERBER</w:t>
      </w:r>
      <w:r w:rsidR="001F61C5" w:rsidRPr="00DC2596">
        <w:rPr>
          <w:noProof/>
        </w:rPr>
        <w:t xml:space="preserve">, J.-D., </w:t>
      </w:r>
      <w:r w:rsidR="003A4B1D" w:rsidRPr="00282B02">
        <w:rPr>
          <w:lang w:val="en-GB"/>
        </w:rPr>
        <w:t>HARTMANN, T</w:t>
      </w:r>
      <w:r w:rsidR="003A4B1D">
        <w:rPr>
          <w:lang w:val="en-GB"/>
        </w:rPr>
        <w:t>.</w:t>
      </w:r>
      <w:r w:rsidR="003A4B1D" w:rsidRPr="00282B02">
        <w:rPr>
          <w:lang w:val="en-GB"/>
        </w:rPr>
        <w:t xml:space="preserve"> </w:t>
      </w:r>
      <w:r w:rsidR="001F61C5" w:rsidRPr="00DC2596">
        <w:rPr>
          <w:noProof/>
        </w:rPr>
        <w:t xml:space="preserve">and </w:t>
      </w:r>
      <w:r w:rsidR="003A4B1D" w:rsidRPr="00DC2596">
        <w:rPr>
          <w:noProof/>
        </w:rPr>
        <w:t>HENGSTERMANN</w:t>
      </w:r>
      <w:r w:rsidR="003A4B1D">
        <w:rPr>
          <w:noProof/>
        </w:rPr>
        <w:t>,</w:t>
      </w:r>
      <w:r w:rsidR="003A4B1D" w:rsidRPr="00DC2596">
        <w:rPr>
          <w:noProof/>
        </w:rPr>
        <w:t xml:space="preserve"> A. </w:t>
      </w:r>
      <w:r w:rsidR="001F61C5" w:rsidRPr="00DC2596">
        <w:rPr>
          <w:noProof/>
        </w:rPr>
        <w:t>(eds.) (2018)</w:t>
      </w:r>
      <w:r w:rsidR="003A4B1D">
        <w:rPr>
          <w:noProof/>
        </w:rPr>
        <w:t>,</w:t>
      </w:r>
      <w:r w:rsidR="001F61C5" w:rsidRPr="00DC2596">
        <w:rPr>
          <w:noProof/>
        </w:rPr>
        <w:t xml:space="preserve"> </w:t>
      </w:r>
      <w:r w:rsidR="001F61C5" w:rsidRPr="00DC2596">
        <w:rPr>
          <w:i/>
          <w:noProof/>
        </w:rPr>
        <w:t>Instruments of Land Policy: Dealing with Scarcity of Land</w:t>
      </w:r>
      <w:r w:rsidR="003A4B1D" w:rsidRPr="003A4B1D">
        <w:rPr>
          <w:noProof/>
        </w:rPr>
        <w:t xml:space="preserve">, </w:t>
      </w:r>
      <w:r w:rsidR="003A4B1D" w:rsidRPr="00DC2596">
        <w:rPr>
          <w:noProof/>
        </w:rPr>
        <w:t>Abingdon</w:t>
      </w:r>
      <w:r w:rsidR="003A4B1D">
        <w:rPr>
          <w:noProof/>
        </w:rPr>
        <w:t>,</w:t>
      </w:r>
      <w:r w:rsidR="001F61C5" w:rsidRPr="00DC2596">
        <w:rPr>
          <w:noProof/>
        </w:rPr>
        <w:t xml:space="preserve"> Routledge.</w:t>
      </w:r>
    </w:p>
    <w:p w14:paraId="5371ABDF" w14:textId="1B3FDEF2" w:rsidR="001F61C5" w:rsidRPr="00DC2596" w:rsidRDefault="00601DD5" w:rsidP="0089450A">
      <w:pPr>
        <w:pStyle w:val="EndNoteBibliography"/>
        <w:ind w:left="426" w:hanging="426"/>
        <w:rPr>
          <w:noProof/>
        </w:rPr>
      </w:pPr>
      <w:r>
        <w:rPr>
          <w:noProof/>
        </w:rPr>
        <w:t>HAASE</w:t>
      </w:r>
      <w:r w:rsidR="001F61C5" w:rsidRPr="00DC2596">
        <w:rPr>
          <w:noProof/>
        </w:rPr>
        <w:t xml:space="preserve">, D., </w:t>
      </w:r>
      <w:r>
        <w:rPr>
          <w:noProof/>
        </w:rPr>
        <w:t>KABISCH</w:t>
      </w:r>
      <w:r w:rsidR="00BD2D61">
        <w:rPr>
          <w:noProof/>
        </w:rPr>
        <w:t>,</w:t>
      </w:r>
      <w:r w:rsidR="001F61C5" w:rsidRPr="00DC2596">
        <w:rPr>
          <w:noProof/>
        </w:rPr>
        <w:t xml:space="preserve"> </w:t>
      </w:r>
      <w:r w:rsidR="00BD2D61" w:rsidRPr="00DC2596">
        <w:rPr>
          <w:noProof/>
        </w:rPr>
        <w:t xml:space="preserve">N. </w:t>
      </w:r>
      <w:r w:rsidR="001F61C5" w:rsidRPr="00DC2596">
        <w:rPr>
          <w:noProof/>
        </w:rPr>
        <w:t xml:space="preserve">and </w:t>
      </w:r>
      <w:r>
        <w:rPr>
          <w:noProof/>
        </w:rPr>
        <w:t>HAASE</w:t>
      </w:r>
      <w:r w:rsidR="00BD2D61">
        <w:rPr>
          <w:noProof/>
        </w:rPr>
        <w:t>,</w:t>
      </w:r>
      <w:r w:rsidR="001F61C5" w:rsidRPr="00DC2596">
        <w:rPr>
          <w:noProof/>
        </w:rPr>
        <w:t xml:space="preserve"> </w:t>
      </w:r>
      <w:r w:rsidR="00BD2D61" w:rsidRPr="00DC2596">
        <w:rPr>
          <w:noProof/>
        </w:rPr>
        <w:t xml:space="preserve">A. </w:t>
      </w:r>
      <w:r w:rsidR="001F61C5" w:rsidRPr="00DC2596">
        <w:rPr>
          <w:noProof/>
        </w:rPr>
        <w:t>(2013)</w:t>
      </w:r>
      <w:r>
        <w:rPr>
          <w:noProof/>
        </w:rPr>
        <w:t>,</w:t>
      </w:r>
      <w:r w:rsidR="001F61C5" w:rsidRPr="00DC2596">
        <w:rPr>
          <w:noProof/>
        </w:rPr>
        <w:t xml:space="preserve"> </w:t>
      </w:r>
      <w:r>
        <w:rPr>
          <w:noProof/>
        </w:rPr>
        <w:t>‘</w:t>
      </w:r>
      <w:r w:rsidR="001F61C5" w:rsidRPr="00DC2596">
        <w:rPr>
          <w:noProof/>
        </w:rPr>
        <w:t>Endless urban growth? On the mismatch of population, household and urban land area growth and its effects on the urban debate</w:t>
      </w:r>
      <w:r w:rsidR="00BD2D61">
        <w:rPr>
          <w:noProof/>
        </w:rPr>
        <w:t>’,</w:t>
      </w:r>
      <w:r w:rsidR="001F61C5" w:rsidRPr="00DC2596">
        <w:rPr>
          <w:noProof/>
        </w:rPr>
        <w:t xml:space="preserve"> </w:t>
      </w:r>
      <w:r w:rsidR="001F61C5" w:rsidRPr="00DC2596">
        <w:rPr>
          <w:i/>
          <w:noProof/>
        </w:rPr>
        <w:t>PLOS ONE</w:t>
      </w:r>
      <w:r>
        <w:rPr>
          <w:noProof/>
        </w:rPr>
        <w:t xml:space="preserve">, </w:t>
      </w:r>
      <w:r w:rsidR="001F61C5" w:rsidRPr="00601DD5">
        <w:rPr>
          <w:b/>
          <w:bCs/>
          <w:noProof/>
        </w:rPr>
        <w:t>8</w:t>
      </w:r>
      <w:r w:rsidR="001F61C5" w:rsidRPr="00DC2596">
        <w:rPr>
          <w:noProof/>
        </w:rPr>
        <w:t>, e66531.</w:t>
      </w:r>
    </w:p>
    <w:p w14:paraId="5FAD3504" w14:textId="77777777" w:rsidR="00BD2D61" w:rsidRDefault="00BD2D61" w:rsidP="0089450A">
      <w:pPr>
        <w:pStyle w:val="EndNoteBibliography"/>
        <w:ind w:left="426" w:hanging="426"/>
        <w:rPr>
          <w:lang w:val="en-GB"/>
        </w:rPr>
      </w:pPr>
      <w:r w:rsidRPr="00282B02">
        <w:rPr>
          <w:lang w:val="en-GB"/>
        </w:rPr>
        <w:t>HARTMANN, T</w:t>
      </w:r>
      <w:r>
        <w:rPr>
          <w:lang w:val="en-GB"/>
        </w:rPr>
        <w:t>.</w:t>
      </w:r>
      <w:r w:rsidRPr="00282B02">
        <w:rPr>
          <w:lang w:val="en-GB"/>
        </w:rPr>
        <w:t xml:space="preserve"> </w:t>
      </w:r>
      <w:r>
        <w:rPr>
          <w:lang w:val="en-GB"/>
        </w:rPr>
        <w:t xml:space="preserve">and </w:t>
      </w:r>
      <w:r w:rsidRPr="00282B02">
        <w:rPr>
          <w:lang w:val="en-GB"/>
        </w:rPr>
        <w:t>NEEDHAM, B</w:t>
      </w:r>
      <w:r>
        <w:rPr>
          <w:lang w:val="en-GB"/>
        </w:rPr>
        <w:t>.</w:t>
      </w:r>
      <w:r w:rsidRPr="00282B02">
        <w:rPr>
          <w:lang w:val="en-GB"/>
        </w:rPr>
        <w:t xml:space="preserve"> (eds) (2012)</w:t>
      </w:r>
      <w:r>
        <w:rPr>
          <w:lang w:val="en-GB"/>
        </w:rPr>
        <w:t>,</w:t>
      </w:r>
      <w:r w:rsidRPr="00282B02">
        <w:rPr>
          <w:lang w:val="en-GB"/>
        </w:rPr>
        <w:t xml:space="preserve"> </w:t>
      </w:r>
      <w:r w:rsidRPr="00282B02">
        <w:rPr>
          <w:rStyle w:val="Emphasis"/>
          <w:lang w:val="en-GB"/>
        </w:rPr>
        <w:t xml:space="preserve">Planning by </w:t>
      </w:r>
      <w:r>
        <w:rPr>
          <w:rStyle w:val="Emphasis"/>
          <w:lang w:val="en-GB"/>
        </w:rPr>
        <w:t>L</w:t>
      </w:r>
      <w:r w:rsidRPr="00282B02">
        <w:rPr>
          <w:rStyle w:val="Emphasis"/>
          <w:lang w:val="en-GB"/>
        </w:rPr>
        <w:t xml:space="preserve">aw and </w:t>
      </w:r>
      <w:r>
        <w:rPr>
          <w:rStyle w:val="Emphasis"/>
          <w:lang w:val="en-GB"/>
        </w:rPr>
        <w:t>P</w:t>
      </w:r>
      <w:r w:rsidRPr="00282B02">
        <w:rPr>
          <w:rStyle w:val="Emphasis"/>
          <w:lang w:val="en-GB"/>
        </w:rPr>
        <w:t xml:space="preserve">roperty </w:t>
      </w:r>
      <w:r>
        <w:rPr>
          <w:rStyle w:val="Emphasis"/>
          <w:lang w:val="en-GB"/>
        </w:rPr>
        <w:t>R</w:t>
      </w:r>
      <w:r w:rsidRPr="00282B02">
        <w:rPr>
          <w:rStyle w:val="Emphasis"/>
          <w:lang w:val="en-GB"/>
        </w:rPr>
        <w:t xml:space="preserve">ights </w:t>
      </w:r>
      <w:r>
        <w:rPr>
          <w:rStyle w:val="Emphasis"/>
          <w:lang w:val="en-GB"/>
        </w:rPr>
        <w:t>R</w:t>
      </w:r>
      <w:r w:rsidRPr="00282B02">
        <w:rPr>
          <w:rStyle w:val="Emphasis"/>
          <w:lang w:val="en-GB"/>
        </w:rPr>
        <w:t>econsidered</w:t>
      </w:r>
      <w:r>
        <w:rPr>
          <w:lang w:val="en-GB"/>
        </w:rPr>
        <w:t>,</w:t>
      </w:r>
      <w:r w:rsidRPr="00282B02">
        <w:rPr>
          <w:lang w:val="en-GB"/>
        </w:rPr>
        <w:t xml:space="preserve"> Farnham</w:t>
      </w:r>
      <w:r>
        <w:rPr>
          <w:lang w:val="en-GB"/>
        </w:rPr>
        <w:t>,</w:t>
      </w:r>
      <w:r w:rsidRPr="00282B02">
        <w:rPr>
          <w:lang w:val="en-GB"/>
        </w:rPr>
        <w:t xml:space="preserve"> Ashgate.</w:t>
      </w:r>
    </w:p>
    <w:p w14:paraId="4ADB7E86" w14:textId="700AC672" w:rsidR="001F61C5" w:rsidRPr="00DC2596" w:rsidRDefault="00BD2D61" w:rsidP="0089450A">
      <w:pPr>
        <w:pStyle w:val="EndNoteBibliography"/>
        <w:ind w:left="426" w:hanging="426"/>
        <w:rPr>
          <w:noProof/>
        </w:rPr>
      </w:pPr>
      <w:r w:rsidRPr="00282B02">
        <w:rPr>
          <w:lang w:val="en-GB"/>
        </w:rPr>
        <w:t>HARTMANN</w:t>
      </w:r>
      <w:r w:rsidR="001F61C5" w:rsidRPr="00DC2596">
        <w:rPr>
          <w:noProof/>
        </w:rPr>
        <w:t xml:space="preserve">, T. and </w:t>
      </w:r>
      <w:r>
        <w:rPr>
          <w:noProof/>
        </w:rPr>
        <w:t>SPIT,</w:t>
      </w:r>
      <w:r w:rsidR="001F61C5" w:rsidRPr="00DC2596">
        <w:rPr>
          <w:noProof/>
        </w:rPr>
        <w:t xml:space="preserve"> </w:t>
      </w:r>
      <w:r w:rsidRPr="00DC2596">
        <w:rPr>
          <w:noProof/>
        </w:rPr>
        <w:t xml:space="preserve">T. </w:t>
      </w:r>
      <w:r w:rsidR="001F61C5" w:rsidRPr="00DC2596">
        <w:rPr>
          <w:noProof/>
        </w:rPr>
        <w:t>(2015)</w:t>
      </w:r>
      <w:r>
        <w:rPr>
          <w:noProof/>
        </w:rPr>
        <w:t>,</w:t>
      </w:r>
      <w:r w:rsidR="001F61C5" w:rsidRPr="00DC2596">
        <w:rPr>
          <w:noProof/>
        </w:rPr>
        <w:t xml:space="preserve"> </w:t>
      </w:r>
      <w:r>
        <w:rPr>
          <w:noProof/>
        </w:rPr>
        <w:t>‘</w:t>
      </w:r>
      <w:r w:rsidR="001F61C5" w:rsidRPr="00DC2596">
        <w:rPr>
          <w:noProof/>
        </w:rPr>
        <w:t xml:space="preserve">Dilemmas of involvement in land management – </w:t>
      </w:r>
      <w:r w:rsidR="00601DD5">
        <w:rPr>
          <w:noProof/>
        </w:rPr>
        <w:t>c</w:t>
      </w:r>
      <w:r w:rsidR="001F61C5" w:rsidRPr="00DC2596">
        <w:rPr>
          <w:noProof/>
        </w:rPr>
        <w:t>omparing an active (Dutch) and a passive (German) approach</w:t>
      </w:r>
      <w:r>
        <w:rPr>
          <w:noProof/>
        </w:rPr>
        <w:t>’,</w:t>
      </w:r>
      <w:r w:rsidR="001F61C5" w:rsidRPr="00DC2596">
        <w:rPr>
          <w:noProof/>
        </w:rPr>
        <w:t xml:space="preserve"> </w:t>
      </w:r>
      <w:r w:rsidR="001F61C5" w:rsidRPr="00DC2596">
        <w:rPr>
          <w:i/>
          <w:noProof/>
        </w:rPr>
        <w:t>Land Use Policy</w:t>
      </w:r>
      <w:r>
        <w:rPr>
          <w:noProof/>
        </w:rPr>
        <w:t xml:space="preserve">, </w:t>
      </w:r>
      <w:r w:rsidR="001F61C5" w:rsidRPr="00BD2D61">
        <w:rPr>
          <w:b/>
          <w:bCs/>
          <w:noProof/>
        </w:rPr>
        <w:t>42</w:t>
      </w:r>
      <w:r w:rsidR="001F61C5" w:rsidRPr="00DC2596">
        <w:rPr>
          <w:noProof/>
        </w:rPr>
        <w:t>, 729</w:t>
      </w:r>
      <w:r>
        <w:rPr>
          <w:noProof/>
        </w:rPr>
        <w:t>–</w:t>
      </w:r>
      <w:r w:rsidR="001F61C5" w:rsidRPr="00DC2596">
        <w:rPr>
          <w:noProof/>
        </w:rPr>
        <w:t>37.</w:t>
      </w:r>
    </w:p>
    <w:p w14:paraId="6191C5D3" w14:textId="48D3E59D" w:rsidR="001F61C5" w:rsidRPr="00DC2596" w:rsidRDefault="00BD2D61" w:rsidP="0089450A">
      <w:pPr>
        <w:pStyle w:val="EndNoteBibliography"/>
        <w:ind w:left="426" w:hanging="426"/>
        <w:rPr>
          <w:noProof/>
        </w:rPr>
      </w:pPr>
      <w:r w:rsidRPr="00DC2596">
        <w:rPr>
          <w:noProof/>
        </w:rPr>
        <w:t>HOLMAN</w:t>
      </w:r>
      <w:r w:rsidR="001F61C5" w:rsidRPr="00DC2596">
        <w:rPr>
          <w:noProof/>
        </w:rPr>
        <w:t xml:space="preserve">, N., </w:t>
      </w:r>
      <w:r>
        <w:rPr>
          <w:noProof/>
        </w:rPr>
        <w:t>MACE</w:t>
      </w:r>
      <w:r w:rsidR="001F61C5" w:rsidRPr="00DC2596">
        <w:rPr>
          <w:noProof/>
        </w:rPr>
        <w:t xml:space="preserve">, </w:t>
      </w:r>
      <w:r w:rsidRPr="00DC2596">
        <w:rPr>
          <w:noProof/>
        </w:rPr>
        <w:t>A.</w:t>
      </w:r>
      <w:r>
        <w:rPr>
          <w:noProof/>
        </w:rPr>
        <w:t>,</w:t>
      </w:r>
      <w:r w:rsidRPr="00DC2596">
        <w:rPr>
          <w:noProof/>
        </w:rPr>
        <w:t xml:space="preserve"> PACCOUD</w:t>
      </w:r>
      <w:r>
        <w:rPr>
          <w:noProof/>
        </w:rPr>
        <w:t>,</w:t>
      </w:r>
      <w:r w:rsidR="001F61C5" w:rsidRPr="00DC2596">
        <w:rPr>
          <w:noProof/>
        </w:rPr>
        <w:t xml:space="preserve"> </w:t>
      </w:r>
      <w:r w:rsidRPr="00DC2596">
        <w:rPr>
          <w:noProof/>
        </w:rPr>
        <w:t xml:space="preserve">A. </w:t>
      </w:r>
      <w:r w:rsidR="001F61C5" w:rsidRPr="00DC2596">
        <w:rPr>
          <w:noProof/>
        </w:rPr>
        <w:t xml:space="preserve">and </w:t>
      </w:r>
      <w:r w:rsidRPr="00DC2596">
        <w:rPr>
          <w:noProof/>
        </w:rPr>
        <w:t>SUNDARESAN</w:t>
      </w:r>
      <w:r>
        <w:rPr>
          <w:noProof/>
        </w:rPr>
        <w:t>,</w:t>
      </w:r>
      <w:r w:rsidR="001F61C5" w:rsidRPr="00DC2596">
        <w:rPr>
          <w:noProof/>
        </w:rPr>
        <w:t xml:space="preserve"> </w:t>
      </w:r>
      <w:r w:rsidRPr="00DC2596">
        <w:rPr>
          <w:noProof/>
        </w:rPr>
        <w:t xml:space="preserve">J. </w:t>
      </w:r>
      <w:r w:rsidR="001F61C5" w:rsidRPr="00DC2596">
        <w:rPr>
          <w:noProof/>
        </w:rPr>
        <w:t>(2015)</w:t>
      </w:r>
      <w:r>
        <w:rPr>
          <w:noProof/>
        </w:rPr>
        <w:t>,</w:t>
      </w:r>
      <w:r w:rsidR="001F61C5" w:rsidRPr="00DC2596">
        <w:rPr>
          <w:noProof/>
        </w:rPr>
        <w:t xml:space="preserve"> </w:t>
      </w:r>
      <w:r>
        <w:rPr>
          <w:noProof/>
        </w:rPr>
        <w:t>‘</w:t>
      </w:r>
      <w:r w:rsidR="001F61C5" w:rsidRPr="00DC2596">
        <w:rPr>
          <w:noProof/>
        </w:rPr>
        <w:t>Coordinating density; working through conviction, suspicion and pragmatism</w:t>
      </w:r>
      <w:r>
        <w:rPr>
          <w:noProof/>
        </w:rPr>
        <w:t>’,</w:t>
      </w:r>
      <w:r w:rsidR="001F61C5" w:rsidRPr="00DC2596">
        <w:rPr>
          <w:noProof/>
        </w:rPr>
        <w:t xml:space="preserve"> </w:t>
      </w:r>
      <w:r w:rsidR="001F61C5" w:rsidRPr="00DC2596">
        <w:rPr>
          <w:i/>
          <w:noProof/>
        </w:rPr>
        <w:t>Progress in Planning</w:t>
      </w:r>
      <w:r>
        <w:rPr>
          <w:noProof/>
        </w:rPr>
        <w:t xml:space="preserve">, </w:t>
      </w:r>
      <w:r w:rsidR="001F61C5" w:rsidRPr="00BD2D61">
        <w:rPr>
          <w:b/>
          <w:bCs/>
          <w:noProof/>
        </w:rPr>
        <w:t>101</w:t>
      </w:r>
      <w:r w:rsidR="001F61C5" w:rsidRPr="00DC2596">
        <w:rPr>
          <w:noProof/>
        </w:rPr>
        <w:t>, 1</w:t>
      </w:r>
      <w:r>
        <w:rPr>
          <w:noProof/>
        </w:rPr>
        <w:t>–</w:t>
      </w:r>
      <w:r w:rsidR="001F61C5" w:rsidRPr="00DC2596">
        <w:rPr>
          <w:noProof/>
        </w:rPr>
        <w:t>38.</w:t>
      </w:r>
    </w:p>
    <w:p w14:paraId="21F7F110" w14:textId="377B6C39" w:rsidR="0089450A" w:rsidRDefault="0089450A" w:rsidP="0089450A">
      <w:pPr>
        <w:pStyle w:val="EndNoteBibliography"/>
        <w:ind w:left="426" w:hanging="426"/>
        <w:rPr>
          <w:szCs w:val="20"/>
          <w:lang w:val="en-GB"/>
        </w:rPr>
      </w:pPr>
      <w:r>
        <w:rPr>
          <w:szCs w:val="20"/>
          <w:lang w:val="en-GB"/>
        </w:rPr>
        <w:t xml:space="preserve">JEHLING, M., HECHT, R. and HARTMANN, T. </w:t>
      </w:r>
      <w:r w:rsidR="00601DD5">
        <w:rPr>
          <w:noProof/>
        </w:rPr>
        <w:t>(2020), ‘</w:t>
      </w:r>
      <w:r w:rsidR="00601DD5" w:rsidRPr="002F675A">
        <w:rPr>
          <w:noProof/>
          <w:highlight w:val="yellow"/>
        </w:rPr>
        <w:t>…</w:t>
      </w:r>
      <w:r w:rsidR="00601DD5">
        <w:rPr>
          <w:noProof/>
        </w:rPr>
        <w:t xml:space="preserve">’, </w:t>
      </w:r>
      <w:r w:rsidR="00601DD5">
        <w:rPr>
          <w:i/>
          <w:iCs/>
          <w:noProof/>
        </w:rPr>
        <w:t>Town Planning Review</w:t>
      </w:r>
      <w:r w:rsidR="00601DD5">
        <w:rPr>
          <w:noProof/>
        </w:rPr>
        <w:t xml:space="preserve">, </w:t>
      </w:r>
      <w:r w:rsidR="00601DD5">
        <w:rPr>
          <w:b/>
          <w:bCs/>
          <w:noProof/>
        </w:rPr>
        <w:t>91</w:t>
      </w:r>
      <w:r w:rsidR="00601DD5">
        <w:rPr>
          <w:noProof/>
        </w:rPr>
        <w:t xml:space="preserve">, </w:t>
      </w:r>
      <w:r w:rsidR="00601DD5" w:rsidRPr="002F675A">
        <w:rPr>
          <w:noProof/>
          <w:highlight w:val="yellow"/>
        </w:rPr>
        <w:t>xxx</w:t>
      </w:r>
      <w:r w:rsidR="00601DD5">
        <w:rPr>
          <w:noProof/>
        </w:rPr>
        <w:t>–</w:t>
      </w:r>
      <w:r w:rsidR="00601DD5" w:rsidRPr="002F675A">
        <w:rPr>
          <w:noProof/>
          <w:highlight w:val="yellow"/>
        </w:rPr>
        <w:t>xxx</w:t>
      </w:r>
      <w:r w:rsidR="00601DD5">
        <w:rPr>
          <w:noProof/>
        </w:rPr>
        <w:t>.</w:t>
      </w:r>
    </w:p>
    <w:p w14:paraId="6B601F88" w14:textId="6B74D128" w:rsidR="00846676" w:rsidRPr="00E92622" w:rsidRDefault="00846676" w:rsidP="00846676">
      <w:pPr>
        <w:pStyle w:val="EndNoteBibliography"/>
        <w:ind w:left="284" w:hanging="284"/>
        <w:rPr>
          <w:noProof/>
        </w:rPr>
      </w:pPr>
      <w:r>
        <w:rPr>
          <w:noProof/>
        </w:rPr>
        <w:t>MAJONE</w:t>
      </w:r>
      <w:r w:rsidRPr="00E92622">
        <w:rPr>
          <w:noProof/>
        </w:rPr>
        <w:t>, G. (1994)</w:t>
      </w:r>
      <w:r>
        <w:rPr>
          <w:noProof/>
        </w:rPr>
        <w:t>,</w:t>
      </w:r>
      <w:r w:rsidRPr="00E92622">
        <w:rPr>
          <w:noProof/>
        </w:rPr>
        <w:t xml:space="preserve"> </w:t>
      </w:r>
      <w:r>
        <w:rPr>
          <w:noProof/>
        </w:rPr>
        <w:t>‘</w:t>
      </w:r>
      <w:r w:rsidRPr="00E92622">
        <w:rPr>
          <w:noProof/>
        </w:rPr>
        <w:t>The rise of the regulatory state in Europe</w:t>
      </w:r>
      <w:r>
        <w:rPr>
          <w:noProof/>
        </w:rPr>
        <w:t>’,</w:t>
      </w:r>
      <w:r w:rsidRPr="00E92622">
        <w:rPr>
          <w:noProof/>
        </w:rPr>
        <w:t xml:space="preserve"> </w:t>
      </w:r>
      <w:r w:rsidRPr="00E92622">
        <w:rPr>
          <w:i/>
          <w:noProof/>
        </w:rPr>
        <w:t>West European Politics</w:t>
      </w:r>
      <w:r>
        <w:rPr>
          <w:noProof/>
        </w:rPr>
        <w:t xml:space="preserve">, </w:t>
      </w:r>
      <w:r w:rsidRPr="00846676">
        <w:rPr>
          <w:b/>
          <w:bCs/>
          <w:noProof/>
        </w:rPr>
        <w:t>17</w:t>
      </w:r>
      <w:r w:rsidRPr="00E92622">
        <w:rPr>
          <w:noProof/>
        </w:rPr>
        <w:t>, 77</w:t>
      </w:r>
      <w:r>
        <w:rPr>
          <w:noProof/>
        </w:rPr>
        <w:t>–</w:t>
      </w:r>
      <w:r w:rsidRPr="00E92622">
        <w:rPr>
          <w:noProof/>
        </w:rPr>
        <w:t>101.</w:t>
      </w:r>
    </w:p>
    <w:p w14:paraId="61A683B7" w14:textId="4EF9960D" w:rsidR="00846676" w:rsidRPr="00E92622" w:rsidRDefault="00846676" w:rsidP="00846676">
      <w:pPr>
        <w:pStyle w:val="EndNoteBibliography"/>
        <w:ind w:left="284" w:hanging="284"/>
        <w:rPr>
          <w:noProof/>
        </w:rPr>
      </w:pPr>
      <w:r>
        <w:rPr>
          <w:noProof/>
        </w:rPr>
        <w:t>MAJONE</w:t>
      </w:r>
      <w:r w:rsidRPr="00E92622">
        <w:rPr>
          <w:noProof/>
        </w:rPr>
        <w:t>, G. (1997)</w:t>
      </w:r>
      <w:r>
        <w:rPr>
          <w:noProof/>
        </w:rPr>
        <w:t>,</w:t>
      </w:r>
      <w:r w:rsidRPr="00E92622">
        <w:rPr>
          <w:noProof/>
        </w:rPr>
        <w:t xml:space="preserve"> </w:t>
      </w:r>
      <w:r>
        <w:rPr>
          <w:noProof/>
        </w:rPr>
        <w:t>‘</w:t>
      </w:r>
      <w:r w:rsidRPr="00E92622">
        <w:rPr>
          <w:noProof/>
        </w:rPr>
        <w:t xml:space="preserve">From the </w:t>
      </w:r>
      <w:r>
        <w:rPr>
          <w:noProof/>
        </w:rPr>
        <w:t>p</w:t>
      </w:r>
      <w:r w:rsidRPr="00E92622">
        <w:rPr>
          <w:noProof/>
        </w:rPr>
        <w:t xml:space="preserve">ositive to the </w:t>
      </w:r>
      <w:r>
        <w:rPr>
          <w:noProof/>
        </w:rPr>
        <w:t>r</w:t>
      </w:r>
      <w:r w:rsidRPr="00E92622">
        <w:rPr>
          <w:noProof/>
        </w:rPr>
        <w:t xml:space="preserve">egulatory </w:t>
      </w:r>
      <w:r>
        <w:rPr>
          <w:noProof/>
        </w:rPr>
        <w:t>s</w:t>
      </w:r>
      <w:r w:rsidRPr="00E92622">
        <w:rPr>
          <w:noProof/>
        </w:rPr>
        <w:t xml:space="preserve">tate: </w:t>
      </w:r>
      <w:r>
        <w:rPr>
          <w:noProof/>
        </w:rPr>
        <w:t>c</w:t>
      </w:r>
      <w:r w:rsidRPr="00E92622">
        <w:rPr>
          <w:noProof/>
        </w:rPr>
        <w:t xml:space="preserve">auses and </w:t>
      </w:r>
      <w:r>
        <w:rPr>
          <w:noProof/>
        </w:rPr>
        <w:t>c</w:t>
      </w:r>
      <w:r w:rsidRPr="00E92622">
        <w:rPr>
          <w:noProof/>
        </w:rPr>
        <w:t xml:space="preserve">onsequences of </w:t>
      </w:r>
      <w:r>
        <w:rPr>
          <w:noProof/>
        </w:rPr>
        <w:t>c</w:t>
      </w:r>
      <w:r w:rsidRPr="00E92622">
        <w:rPr>
          <w:noProof/>
        </w:rPr>
        <w:t xml:space="preserve">hanges in the </w:t>
      </w:r>
      <w:r>
        <w:rPr>
          <w:noProof/>
        </w:rPr>
        <w:t>m</w:t>
      </w:r>
      <w:r w:rsidRPr="00E92622">
        <w:rPr>
          <w:noProof/>
        </w:rPr>
        <w:t xml:space="preserve">ode of </w:t>
      </w:r>
      <w:r>
        <w:rPr>
          <w:noProof/>
        </w:rPr>
        <w:t>g</w:t>
      </w:r>
      <w:r w:rsidRPr="00E92622">
        <w:rPr>
          <w:noProof/>
        </w:rPr>
        <w:t>overnance</w:t>
      </w:r>
      <w:r>
        <w:rPr>
          <w:noProof/>
        </w:rPr>
        <w:t>’,</w:t>
      </w:r>
      <w:r w:rsidRPr="00E92622">
        <w:rPr>
          <w:noProof/>
        </w:rPr>
        <w:t xml:space="preserve"> </w:t>
      </w:r>
      <w:r w:rsidRPr="00E92622">
        <w:rPr>
          <w:i/>
          <w:noProof/>
        </w:rPr>
        <w:t>Journal of Public Policy</w:t>
      </w:r>
      <w:r>
        <w:rPr>
          <w:noProof/>
        </w:rPr>
        <w:t xml:space="preserve">, </w:t>
      </w:r>
      <w:r w:rsidRPr="00846676">
        <w:rPr>
          <w:b/>
          <w:bCs/>
          <w:noProof/>
        </w:rPr>
        <w:t>17</w:t>
      </w:r>
      <w:r w:rsidRPr="00E92622">
        <w:rPr>
          <w:noProof/>
        </w:rPr>
        <w:t>, 139</w:t>
      </w:r>
      <w:r>
        <w:rPr>
          <w:noProof/>
        </w:rPr>
        <w:t>–</w:t>
      </w:r>
      <w:r w:rsidRPr="00E92622">
        <w:rPr>
          <w:noProof/>
        </w:rPr>
        <w:t>67.</w:t>
      </w:r>
    </w:p>
    <w:p w14:paraId="08C43086" w14:textId="626F2033" w:rsidR="00792830" w:rsidRDefault="00792830" w:rsidP="0089450A">
      <w:pPr>
        <w:pStyle w:val="EndNoteBibliography"/>
        <w:ind w:left="426" w:hanging="426"/>
        <w:rPr>
          <w:szCs w:val="20"/>
          <w:lang w:val="en-GB"/>
        </w:rPr>
      </w:pPr>
      <w:r>
        <w:rPr>
          <w:szCs w:val="20"/>
          <w:lang w:val="en-GB"/>
        </w:rPr>
        <w:t xml:space="preserve">MEIJER, R. and JONKMAN, A. </w:t>
      </w:r>
      <w:r w:rsidR="0030260E">
        <w:rPr>
          <w:noProof/>
        </w:rPr>
        <w:t>(2020), ‘</w:t>
      </w:r>
      <w:r w:rsidR="0030260E" w:rsidRPr="002F675A">
        <w:rPr>
          <w:noProof/>
          <w:highlight w:val="yellow"/>
        </w:rPr>
        <w:t>…</w:t>
      </w:r>
      <w:r w:rsidR="0030260E">
        <w:rPr>
          <w:noProof/>
        </w:rPr>
        <w:t xml:space="preserve">’, </w:t>
      </w:r>
      <w:r w:rsidR="0030260E">
        <w:rPr>
          <w:i/>
          <w:iCs/>
          <w:noProof/>
        </w:rPr>
        <w:t>Town Planning Review</w:t>
      </w:r>
      <w:r w:rsidR="0030260E">
        <w:rPr>
          <w:noProof/>
        </w:rPr>
        <w:t xml:space="preserve">, </w:t>
      </w:r>
      <w:r w:rsidR="0030260E">
        <w:rPr>
          <w:b/>
          <w:bCs/>
          <w:noProof/>
        </w:rPr>
        <w:t>91</w:t>
      </w:r>
      <w:r w:rsidR="0030260E">
        <w:rPr>
          <w:noProof/>
        </w:rPr>
        <w:t xml:space="preserve">, </w:t>
      </w:r>
      <w:r w:rsidR="0030260E" w:rsidRPr="002F675A">
        <w:rPr>
          <w:noProof/>
          <w:highlight w:val="yellow"/>
        </w:rPr>
        <w:t>xxx</w:t>
      </w:r>
      <w:r w:rsidR="0030260E">
        <w:rPr>
          <w:noProof/>
        </w:rPr>
        <w:t>–</w:t>
      </w:r>
      <w:r w:rsidR="0030260E" w:rsidRPr="002F675A">
        <w:rPr>
          <w:noProof/>
          <w:highlight w:val="yellow"/>
        </w:rPr>
        <w:t>xxx</w:t>
      </w:r>
      <w:r w:rsidR="0030260E">
        <w:rPr>
          <w:noProof/>
        </w:rPr>
        <w:t>.</w:t>
      </w:r>
    </w:p>
    <w:p w14:paraId="5DBA0850" w14:textId="5DC5CFDD" w:rsidR="00BD2D61" w:rsidRPr="00CA1CEC" w:rsidRDefault="00BD2D61" w:rsidP="0089450A">
      <w:pPr>
        <w:pStyle w:val="EndNoteBibliography"/>
        <w:ind w:left="426" w:hanging="426"/>
        <w:rPr>
          <w:szCs w:val="20"/>
          <w:lang w:val="en-GB"/>
        </w:rPr>
      </w:pPr>
      <w:r>
        <w:rPr>
          <w:szCs w:val="20"/>
          <w:lang w:val="en-GB"/>
        </w:rPr>
        <w:t>MHCLG</w:t>
      </w:r>
      <w:r w:rsidRPr="00CA1CEC">
        <w:rPr>
          <w:szCs w:val="20"/>
          <w:lang w:val="en-GB"/>
        </w:rPr>
        <w:t xml:space="preserve"> </w:t>
      </w:r>
      <w:r>
        <w:rPr>
          <w:szCs w:val="20"/>
          <w:lang w:val="en-GB"/>
        </w:rPr>
        <w:t>(</w:t>
      </w:r>
      <w:r w:rsidRPr="00CA1CEC">
        <w:rPr>
          <w:szCs w:val="20"/>
          <w:lang w:val="en-GB"/>
        </w:rPr>
        <w:t>MINISTRY OF HOUSING, COMMUNITIES AND LOCAL GOVERNMENT</w:t>
      </w:r>
      <w:r>
        <w:rPr>
          <w:szCs w:val="20"/>
          <w:lang w:val="en-GB"/>
        </w:rPr>
        <w:t>)</w:t>
      </w:r>
      <w:r w:rsidRPr="00CA1CEC">
        <w:rPr>
          <w:szCs w:val="20"/>
          <w:lang w:val="en-GB"/>
        </w:rPr>
        <w:t xml:space="preserve"> (201</w:t>
      </w:r>
      <w:r>
        <w:rPr>
          <w:szCs w:val="20"/>
          <w:lang w:val="en-GB"/>
        </w:rPr>
        <w:t>9</w:t>
      </w:r>
      <w:r w:rsidRPr="00CA1CEC">
        <w:rPr>
          <w:szCs w:val="20"/>
          <w:lang w:val="en-GB"/>
        </w:rPr>
        <w:t xml:space="preserve">), </w:t>
      </w:r>
      <w:r w:rsidRPr="00B67D77">
        <w:rPr>
          <w:i/>
          <w:iCs/>
          <w:szCs w:val="20"/>
          <w:lang w:val="en-GB"/>
        </w:rPr>
        <w:t>National Planning Policy Framework</w:t>
      </w:r>
      <w:r w:rsidR="00601DD5">
        <w:rPr>
          <w:szCs w:val="20"/>
          <w:lang w:val="en-GB"/>
        </w:rPr>
        <w:t>,</w:t>
      </w:r>
      <w:r>
        <w:rPr>
          <w:szCs w:val="20"/>
          <w:lang w:val="en-GB"/>
        </w:rPr>
        <w:t xml:space="preserve"> London, MHCLG</w:t>
      </w:r>
    </w:p>
    <w:p w14:paraId="305F261E" w14:textId="2AC3465E" w:rsidR="001F61C5" w:rsidRPr="00DC2596" w:rsidRDefault="00BD2D61" w:rsidP="0089450A">
      <w:pPr>
        <w:pStyle w:val="EndNoteBibliography"/>
        <w:ind w:left="426" w:hanging="426"/>
        <w:rPr>
          <w:noProof/>
        </w:rPr>
      </w:pPr>
      <w:r w:rsidRPr="00DC2596">
        <w:rPr>
          <w:noProof/>
        </w:rPr>
        <w:t>MORONI</w:t>
      </w:r>
      <w:r w:rsidR="001F61C5" w:rsidRPr="00DC2596">
        <w:rPr>
          <w:noProof/>
        </w:rPr>
        <w:t>, S. (2010)</w:t>
      </w:r>
      <w:r w:rsidR="00601DD5">
        <w:rPr>
          <w:noProof/>
        </w:rPr>
        <w:t>,</w:t>
      </w:r>
      <w:r w:rsidR="001F61C5" w:rsidRPr="00DC2596">
        <w:rPr>
          <w:noProof/>
        </w:rPr>
        <w:t xml:space="preserve"> </w:t>
      </w:r>
      <w:r w:rsidR="00601DD5">
        <w:rPr>
          <w:noProof/>
        </w:rPr>
        <w:t>‘</w:t>
      </w:r>
      <w:r w:rsidR="001F61C5" w:rsidRPr="00DC2596">
        <w:rPr>
          <w:noProof/>
        </w:rPr>
        <w:t>Rethinking the theory and practice of land-use regulation: towards nomocracy</w:t>
      </w:r>
      <w:r>
        <w:rPr>
          <w:noProof/>
        </w:rPr>
        <w:t>’,</w:t>
      </w:r>
      <w:r w:rsidR="001F61C5" w:rsidRPr="00DC2596">
        <w:rPr>
          <w:noProof/>
        </w:rPr>
        <w:t xml:space="preserve"> </w:t>
      </w:r>
      <w:r w:rsidR="001F61C5" w:rsidRPr="00DC2596">
        <w:rPr>
          <w:i/>
          <w:noProof/>
        </w:rPr>
        <w:t>Planning Theory</w:t>
      </w:r>
      <w:r>
        <w:rPr>
          <w:iCs/>
          <w:noProof/>
        </w:rPr>
        <w:t>,</w:t>
      </w:r>
      <w:r w:rsidR="001F61C5" w:rsidRPr="00DC2596">
        <w:rPr>
          <w:noProof/>
        </w:rPr>
        <w:t xml:space="preserve"> </w:t>
      </w:r>
      <w:r w:rsidR="001F61C5" w:rsidRPr="00BD2D61">
        <w:rPr>
          <w:b/>
          <w:bCs/>
          <w:noProof/>
        </w:rPr>
        <w:t>9</w:t>
      </w:r>
      <w:r w:rsidR="001F61C5" w:rsidRPr="00DC2596">
        <w:rPr>
          <w:noProof/>
        </w:rPr>
        <w:t>, 137</w:t>
      </w:r>
      <w:r>
        <w:rPr>
          <w:noProof/>
        </w:rPr>
        <w:t>–</w:t>
      </w:r>
      <w:r w:rsidR="001F61C5" w:rsidRPr="00DC2596">
        <w:rPr>
          <w:noProof/>
        </w:rPr>
        <w:t>55.</w:t>
      </w:r>
    </w:p>
    <w:p w14:paraId="12C231B8" w14:textId="206F44BD" w:rsidR="00BD2D61" w:rsidRDefault="00BD2D61" w:rsidP="0089450A">
      <w:pPr>
        <w:pStyle w:val="EndNoteBibliography"/>
        <w:ind w:left="426" w:hanging="426"/>
        <w:rPr>
          <w:lang w:val="en-GB"/>
        </w:rPr>
      </w:pPr>
      <w:r w:rsidRPr="00282B02">
        <w:rPr>
          <w:lang w:val="en-GB"/>
        </w:rPr>
        <w:t>NEEDHAM, B</w:t>
      </w:r>
      <w:r>
        <w:rPr>
          <w:lang w:val="en-GB"/>
        </w:rPr>
        <w:t>.,</w:t>
      </w:r>
      <w:r w:rsidRPr="00282B02">
        <w:rPr>
          <w:lang w:val="en-GB"/>
        </w:rPr>
        <w:t xml:space="preserve"> BUITELAAR, E</w:t>
      </w:r>
      <w:r>
        <w:rPr>
          <w:lang w:val="en-GB"/>
        </w:rPr>
        <w:t>.,</w:t>
      </w:r>
      <w:r w:rsidRPr="00282B02">
        <w:rPr>
          <w:lang w:val="en-GB"/>
        </w:rPr>
        <w:t xml:space="preserve"> </w:t>
      </w:r>
      <w:r>
        <w:rPr>
          <w:lang w:val="en-GB"/>
        </w:rPr>
        <w:t xml:space="preserve">and </w:t>
      </w:r>
      <w:r w:rsidRPr="00282B02">
        <w:rPr>
          <w:lang w:val="en-GB"/>
        </w:rPr>
        <w:t>HARTMANN, T</w:t>
      </w:r>
      <w:r>
        <w:rPr>
          <w:lang w:val="en-GB"/>
        </w:rPr>
        <w:t>.</w:t>
      </w:r>
      <w:r w:rsidRPr="00282B02">
        <w:rPr>
          <w:lang w:val="en-GB"/>
        </w:rPr>
        <w:t xml:space="preserve"> (2018)</w:t>
      </w:r>
      <w:r>
        <w:rPr>
          <w:lang w:val="en-GB"/>
        </w:rPr>
        <w:t>,</w:t>
      </w:r>
      <w:r w:rsidRPr="00282B02">
        <w:rPr>
          <w:lang w:val="en-GB"/>
        </w:rPr>
        <w:t xml:space="preserve"> </w:t>
      </w:r>
      <w:r w:rsidRPr="00EA1093">
        <w:rPr>
          <w:i/>
          <w:iCs/>
        </w:rPr>
        <w:t>Planning, Law and Economics: The Rules We Make for Using Land</w:t>
      </w:r>
      <w:r w:rsidRPr="00EA1093">
        <w:t>, 2nd ed.</w:t>
      </w:r>
      <w:r>
        <w:rPr>
          <w:lang w:val="en-GB"/>
        </w:rPr>
        <w:t>,</w:t>
      </w:r>
      <w:r w:rsidRPr="00282B02">
        <w:rPr>
          <w:lang w:val="en-GB"/>
        </w:rPr>
        <w:t xml:space="preserve"> Abing</w:t>
      </w:r>
      <w:r>
        <w:rPr>
          <w:lang w:val="en-GB"/>
        </w:rPr>
        <w:t>d</w:t>
      </w:r>
      <w:r w:rsidRPr="00282B02">
        <w:rPr>
          <w:lang w:val="en-GB"/>
        </w:rPr>
        <w:t>on</w:t>
      </w:r>
      <w:r>
        <w:rPr>
          <w:lang w:val="en-GB"/>
        </w:rPr>
        <w:t>,</w:t>
      </w:r>
      <w:r w:rsidRPr="00282B02">
        <w:rPr>
          <w:lang w:val="en-GB"/>
        </w:rPr>
        <w:t xml:space="preserve"> Routledge.</w:t>
      </w:r>
    </w:p>
    <w:p w14:paraId="0538845B" w14:textId="7C32E2D2" w:rsidR="00BD2D61" w:rsidRDefault="00BD2D61" w:rsidP="0089450A">
      <w:pPr>
        <w:pStyle w:val="EndNoteBibliography"/>
        <w:ind w:left="426" w:hanging="426"/>
        <w:rPr>
          <w:szCs w:val="20"/>
          <w:lang w:val="en-GB"/>
        </w:rPr>
      </w:pPr>
      <w:r>
        <w:rPr>
          <w:szCs w:val="20"/>
          <w:lang w:val="en-GB"/>
        </w:rPr>
        <w:t xml:space="preserve">OPIT, S., </w:t>
      </w:r>
      <w:r w:rsidR="009761FF">
        <w:rPr>
          <w:szCs w:val="20"/>
          <w:lang w:val="en-GB"/>
        </w:rPr>
        <w:t>WITTEN</w:t>
      </w:r>
      <w:r>
        <w:rPr>
          <w:szCs w:val="20"/>
          <w:lang w:val="en-GB"/>
        </w:rPr>
        <w:t xml:space="preserve">, K. and KEARNS, R. (2020), ‘Housing pathways, aspirations and preferences of young adults within increasing urban density’, </w:t>
      </w:r>
      <w:r w:rsidRPr="0030260E">
        <w:rPr>
          <w:i/>
          <w:iCs/>
          <w:szCs w:val="20"/>
          <w:lang w:val="en-GB"/>
        </w:rPr>
        <w:t>Housing Studies</w:t>
      </w:r>
      <w:r>
        <w:rPr>
          <w:szCs w:val="20"/>
          <w:lang w:val="en-GB"/>
        </w:rPr>
        <w:t xml:space="preserve">, </w:t>
      </w:r>
      <w:r w:rsidRPr="00BD2D61">
        <w:rPr>
          <w:b/>
          <w:bCs/>
          <w:szCs w:val="20"/>
          <w:lang w:val="en-GB"/>
        </w:rPr>
        <w:t>35</w:t>
      </w:r>
      <w:r>
        <w:rPr>
          <w:szCs w:val="20"/>
          <w:lang w:val="en-GB"/>
        </w:rPr>
        <w:t>, 123–42</w:t>
      </w:r>
      <w:r w:rsidR="00601DD5">
        <w:rPr>
          <w:szCs w:val="20"/>
          <w:lang w:val="en-GB"/>
        </w:rPr>
        <w:t>.</w:t>
      </w:r>
    </w:p>
    <w:p w14:paraId="4D46070B" w14:textId="795CE4CA" w:rsidR="001F61C5" w:rsidRPr="00DC2596" w:rsidRDefault="00601DD5" w:rsidP="0089450A">
      <w:pPr>
        <w:pStyle w:val="EndNoteBibliography"/>
        <w:ind w:left="426" w:hanging="426"/>
        <w:rPr>
          <w:noProof/>
        </w:rPr>
      </w:pPr>
      <w:r w:rsidRPr="00DC2596">
        <w:rPr>
          <w:noProof/>
        </w:rPr>
        <w:t>PINNEGAR</w:t>
      </w:r>
      <w:r w:rsidR="001F61C5" w:rsidRPr="00DC2596">
        <w:rPr>
          <w:noProof/>
        </w:rPr>
        <w:t xml:space="preserve">, S., </w:t>
      </w:r>
      <w:r w:rsidRPr="00DC2596">
        <w:rPr>
          <w:noProof/>
        </w:rPr>
        <w:t>RANDOLPH</w:t>
      </w:r>
      <w:r>
        <w:rPr>
          <w:noProof/>
        </w:rPr>
        <w:t>,</w:t>
      </w:r>
      <w:r w:rsidRPr="00DC2596">
        <w:rPr>
          <w:noProof/>
        </w:rPr>
        <w:t xml:space="preserve"> B. </w:t>
      </w:r>
      <w:r w:rsidR="001F61C5" w:rsidRPr="00DC2596">
        <w:rPr>
          <w:noProof/>
        </w:rPr>
        <w:t xml:space="preserve">and </w:t>
      </w:r>
      <w:r w:rsidRPr="00DC2596">
        <w:rPr>
          <w:noProof/>
        </w:rPr>
        <w:t>FREESTONE</w:t>
      </w:r>
      <w:r>
        <w:rPr>
          <w:noProof/>
        </w:rPr>
        <w:t>,</w:t>
      </w:r>
      <w:r w:rsidRPr="00DC2596">
        <w:rPr>
          <w:noProof/>
        </w:rPr>
        <w:t xml:space="preserve"> R. </w:t>
      </w:r>
      <w:r w:rsidR="001F61C5" w:rsidRPr="00DC2596">
        <w:rPr>
          <w:noProof/>
        </w:rPr>
        <w:t>(2015)</w:t>
      </w:r>
      <w:r>
        <w:rPr>
          <w:noProof/>
        </w:rPr>
        <w:t>,</w:t>
      </w:r>
      <w:r w:rsidR="001F61C5" w:rsidRPr="00DC2596">
        <w:rPr>
          <w:noProof/>
        </w:rPr>
        <w:t xml:space="preserve"> </w:t>
      </w:r>
      <w:r>
        <w:rPr>
          <w:noProof/>
        </w:rPr>
        <w:t>‘</w:t>
      </w:r>
      <w:r w:rsidR="001F61C5" w:rsidRPr="00DC2596">
        <w:rPr>
          <w:noProof/>
        </w:rPr>
        <w:t>Incremental urbanism: characteristics and implications of residential renewal through owner-driven demolition and rebuilding</w:t>
      </w:r>
      <w:r>
        <w:rPr>
          <w:noProof/>
        </w:rPr>
        <w:t>’,</w:t>
      </w:r>
      <w:r w:rsidR="001F61C5" w:rsidRPr="00DC2596">
        <w:rPr>
          <w:noProof/>
        </w:rPr>
        <w:t xml:space="preserve"> </w:t>
      </w:r>
      <w:r w:rsidR="001F61C5" w:rsidRPr="00DC2596">
        <w:rPr>
          <w:i/>
          <w:noProof/>
        </w:rPr>
        <w:t>Town Planning Review</w:t>
      </w:r>
      <w:r>
        <w:rPr>
          <w:noProof/>
        </w:rPr>
        <w:t xml:space="preserve">, </w:t>
      </w:r>
      <w:r w:rsidR="001F61C5" w:rsidRPr="00601DD5">
        <w:rPr>
          <w:b/>
          <w:bCs/>
          <w:noProof/>
        </w:rPr>
        <w:t>86</w:t>
      </w:r>
      <w:r w:rsidR="001F61C5" w:rsidRPr="00DC2596">
        <w:rPr>
          <w:noProof/>
        </w:rPr>
        <w:t>, 279</w:t>
      </w:r>
      <w:r>
        <w:rPr>
          <w:noProof/>
        </w:rPr>
        <w:t>–</w:t>
      </w:r>
      <w:r w:rsidR="001F61C5" w:rsidRPr="00DC2596">
        <w:rPr>
          <w:noProof/>
        </w:rPr>
        <w:t>301.</w:t>
      </w:r>
    </w:p>
    <w:p w14:paraId="1289090A" w14:textId="500006C2" w:rsidR="001F61C5" w:rsidRPr="00DC2596" w:rsidRDefault="003A4B1D" w:rsidP="0089450A">
      <w:pPr>
        <w:pStyle w:val="EndNoteBibliography"/>
        <w:ind w:left="426" w:hanging="426"/>
        <w:rPr>
          <w:noProof/>
        </w:rPr>
      </w:pPr>
      <w:r>
        <w:rPr>
          <w:noProof/>
        </w:rPr>
        <w:t>RAE</w:t>
      </w:r>
      <w:r w:rsidR="001F61C5" w:rsidRPr="00DC2596">
        <w:rPr>
          <w:noProof/>
        </w:rPr>
        <w:t>, A. (2013)</w:t>
      </w:r>
      <w:r>
        <w:rPr>
          <w:noProof/>
        </w:rPr>
        <w:t>,</w:t>
      </w:r>
      <w:r w:rsidR="001F61C5" w:rsidRPr="00DC2596">
        <w:rPr>
          <w:noProof/>
        </w:rPr>
        <w:t xml:space="preserve"> </w:t>
      </w:r>
      <w:r>
        <w:rPr>
          <w:noProof/>
        </w:rPr>
        <w:t>‘</w:t>
      </w:r>
      <w:r w:rsidR="001F61C5" w:rsidRPr="00DC2596">
        <w:rPr>
          <w:noProof/>
        </w:rPr>
        <w:t>English urban policy and the return to the city: a decade of growth, 2001–2011</w:t>
      </w:r>
      <w:r>
        <w:rPr>
          <w:noProof/>
        </w:rPr>
        <w:t>’,</w:t>
      </w:r>
      <w:r w:rsidR="001F61C5" w:rsidRPr="00DC2596">
        <w:rPr>
          <w:noProof/>
        </w:rPr>
        <w:t xml:space="preserve"> </w:t>
      </w:r>
      <w:r w:rsidR="001F61C5" w:rsidRPr="00DC2596">
        <w:rPr>
          <w:i/>
          <w:noProof/>
        </w:rPr>
        <w:t>Cities</w:t>
      </w:r>
      <w:r>
        <w:rPr>
          <w:noProof/>
        </w:rPr>
        <w:t xml:space="preserve">, </w:t>
      </w:r>
      <w:r w:rsidR="001F61C5" w:rsidRPr="003A4B1D">
        <w:rPr>
          <w:b/>
          <w:bCs/>
          <w:noProof/>
        </w:rPr>
        <w:t>32</w:t>
      </w:r>
      <w:r w:rsidR="001F61C5" w:rsidRPr="00DC2596">
        <w:rPr>
          <w:noProof/>
        </w:rPr>
        <w:t>, 94</w:t>
      </w:r>
      <w:r>
        <w:rPr>
          <w:noProof/>
        </w:rPr>
        <w:t>–</w:t>
      </w:r>
      <w:r w:rsidR="001F61C5" w:rsidRPr="00DC2596">
        <w:rPr>
          <w:noProof/>
        </w:rPr>
        <w:t>101.</w:t>
      </w:r>
    </w:p>
    <w:p w14:paraId="2E2C8885" w14:textId="52356059" w:rsidR="001F61C5" w:rsidRPr="00DC2596" w:rsidRDefault="003A4B1D" w:rsidP="0089450A">
      <w:pPr>
        <w:pStyle w:val="EndNoteBibliography"/>
        <w:ind w:left="426" w:hanging="426"/>
        <w:rPr>
          <w:noProof/>
        </w:rPr>
      </w:pPr>
      <w:r>
        <w:rPr>
          <w:noProof/>
        </w:rPr>
        <w:t>RAUWS</w:t>
      </w:r>
      <w:r w:rsidR="001F61C5" w:rsidRPr="00DC2596">
        <w:rPr>
          <w:noProof/>
        </w:rPr>
        <w:t xml:space="preserve">, W., </w:t>
      </w:r>
      <w:r>
        <w:rPr>
          <w:noProof/>
        </w:rPr>
        <w:t>DE</w:t>
      </w:r>
      <w:r w:rsidR="001F61C5" w:rsidRPr="00DC2596">
        <w:rPr>
          <w:noProof/>
        </w:rPr>
        <w:t xml:space="preserve"> R</w:t>
      </w:r>
      <w:r>
        <w:rPr>
          <w:noProof/>
        </w:rPr>
        <w:t>OO,</w:t>
      </w:r>
      <w:r w:rsidR="001F61C5" w:rsidRPr="00DC2596">
        <w:rPr>
          <w:noProof/>
        </w:rPr>
        <w:t xml:space="preserve"> </w:t>
      </w:r>
      <w:r w:rsidRPr="00DC2596">
        <w:rPr>
          <w:noProof/>
        </w:rPr>
        <w:t>G.</w:t>
      </w:r>
      <w:r>
        <w:rPr>
          <w:noProof/>
        </w:rPr>
        <w:t>,</w:t>
      </w:r>
      <w:r w:rsidRPr="00DC2596">
        <w:rPr>
          <w:noProof/>
        </w:rPr>
        <w:t xml:space="preserve"> </w:t>
      </w:r>
      <w:r w:rsidR="001F61C5" w:rsidRPr="00DC2596">
        <w:rPr>
          <w:noProof/>
        </w:rPr>
        <w:t xml:space="preserve">and </w:t>
      </w:r>
      <w:r>
        <w:rPr>
          <w:noProof/>
        </w:rPr>
        <w:t>ZHANG,</w:t>
      </w:r>
      <w:r w:rsidR="001F61C5" w:rsidRPr="00DC2596">
        <w:rPr>
          <w:noProof/>
        </w:rPr>
        <w:t xml:space="preserve"> </w:t>
      </w:r>
      <w:r w:rsidRPr="00DC2596">
        <w:rPr>
          <w:noProof/>
        </w:rPr>
        <w:t xml:space="preserve">S. </w:t>
      </w:r>
      <w:r w:rsidR="001F61C5" w:rsidRPr="00DC2596">
        <w:rPr>
          <w:noProof/>
        </w:rPr>
        <w:t>(2016)</w:t>
      </w:r>
      <w:r>
        <w:rPr>
          <w:noProof/>
        </w:rPr>
        <w:t>,</w:t>
      </w:r>
      <w:r w:rsidR="001F61C5" w:rsidRPr="00DC2596">
        <w:rPr>
          <w:noProof/>
        </w:rPr>
        <w:t xml:space="preserve"> </w:t>
      </w:r>
      <w:r>
        <w:rPr>
          <w:noProof/>
        </w:rPr>
        <w:t>‘</w:t>
      </w:r>
      <w:r w:rsidR="001F61C5" w:rsidRPr="00DC2596">
        <w:rPr>
          <w:noProof/>
        </w:rPr>
        <w:t>Self-organisation and spatial planning: an editorial introduction</w:t>
      </w:r>
      <w:r>
        <w:rPr>
          <w:noProof/>
        </w:rPr>
        <w:t>’,</w:t>
      </w:r>
      <w:r w:rsidR="001F61C5" w:rsidRPr="00DC2596">
        <w:rPr>
          <w:noProof/>
        </w:rPr>
        <w:t xml:space="preserve"> </w:t>
      </w:r>
      <w:r w:rsidR="001F61C5" w:rsidRPr="00DC2596">
        <w:rPr>
          <w:i/>
          <w:noProof/>
        </w:rPr>
        <w:t>Town Planning Review</w:t>
      </w:r>
      <w:r>
        <w:rPr>
          <w:noProof/>
        </w:rPr>
        <w:t xml:space="preserve">, </w:t>
      </w:r>
      <w:r w:rsidR="001F61C5" w:rsidRPr="003A4B1D">
        <w:rPr>
          <w:b/>
          <w:bCs/>
          <w:noProof/>
        </w:rPr>
        <w:t>87</w:t>
      </w:r>
      <w:r w:rsidR="001F61C5" w:rsidRPr="00DC2596">
        <w:rPr>
          <w:noProof/>
        </w:rPr>
        <w:t>, 241</w:t>
      </w:r>
      <w:r>
        <w:rPr>
          <w:noProof/>
        </w:rPr>
        <w:t>–</w:t>
      </w:r>
      <w:r w:rsidR="001F61C5" w:rsidRPr="00DC2596">
        <w:rPr>
          <w:noProof/>
        </w:rPr>
        <w:t>51.</w:t>
      </w:r>
    </w:p>
    <w:p w14:paraId="7D7E1F85" w14:textId="3E96CF1E" w:rsidR="001F61C5" w:rsidRPr="00DC2596" w:rsidRDefault="003A4B1D" w:rsidP="0089450A">
      <w:pPr>
        <w:pStyle w:val="EndNoteBibliography"/>
        <w:ind w:left="426" w:hanging="426"/>
        <w:rPr>
          <w:noProof/>
        </w:rPr>
      </w:pPr>
      <w:r w:rsidRPr="00DC2596">
        <w:rPr>
          <w:noProof/>
        </w:rPr>
        <w:t>SAYCE</w:t>
      </w:r>
      <w:r w:rsidR="001F61C5" w:rsidRPr="00DC2596">
        <w:rPr>
          <w:noProof/>
        </w:rPr>
        <w:t xml:space="preserve">, S., </w:t>
      </w:r>
      <w:r w:rsidRPr="00DC2596">
        <w:rPr>
          <w:noProof/>
        </w:rPr>
        <w:t>WALFORD</w:t>
      </w:r>
      <w:r>
        <w:rPr>
          <w:noProof/>
        </w:rPr>
        <w:t>,</w:t>
      </w:r>
      <w:r w:rsidR="001F61C5" w:rsidRPr="00DC2596">
        <w:rPr>
          <w:noProof/>
        </w:rPr>
        <w:t xml:space="preserve"> </w:t>
      </w:r>
      <w:r w:rsidRPr="00DC2596">
        <w:rPr>
          <w:noProof/>
        </w:rPr>
        <w:t xml:space="preserve">N. </w:t>
      </w:r>
      <w:r w:rsidR="001F61C5" w:rsidRPr="00DC2596">
        <w:rPr>
          <w:noProof/>
        </w:rPr>
        <w:t xml:space="preserve">and </w:t>
      </w:r>
      <w:r w:rsidRPr="00DC2596">
        <w:rPr>
          <w:noProof/>
        </w:rPr>
        <w:t>GARSIDE</w:t>
      </w:r>
      <w:r>
        <w:rPr>
          <w:noProof/>
        </w:rPr>
        <w:t>,</w:t>
      </w:r>
      <w:r w:rsidR="001F61C5" w:rsidRPr="00DC2596">
        <w:rPr>
          <w:noProof/>
        </w:rPr>
        <w:t xml:space="preserve"> </w:t>
      </w:r>
      <w:r w:rsidRPr="00DC2596">
        <w:rPr>
          <w:noProof/>
        </w:rPr>
        <w:t xml:space="preserve">P. </w:t>
      </w:r>
      <w:r w:rsidR="001F61C5" w:rsidRPr="00DC2596">
        <w:rPr>
          <w:noProof/>
        </w:rPr>
        <w:t>(2012)</w:t>
      </w:r>
      <w:r>
        <w:rPr>
          <w:noProof/>
        </w:rPr>
        <w:t>,</w:t>
      </w:r>
      <w:r w:rsidR="001F61C5" w:rsidRPr="00DC2596">
        <w:rPr>
          <w:noProof/>
        </w:rPr>
        <w:t xml:space="preserve"> </w:t>
      </w:r>
      <w:r>
        <w:rPr>
          <w:noProof/>
        </w:rPr>
        <w:t>‘</w:t>
      </w:r>
      <w:r w:rsidR="001F61C5" w:rsidRPr="00DC2596">
        <w:rPr>
          <w:noProof/>
        </w:rPr>
        <w:t>Residential development on gardens in England: Their role in providing sustainable housing supply</w:t>
      </w:r>
      <w:r>
        <w:rPr>
          <w:noProof/>
        </w:rPr>
        <w:t>’,</w:t>
      </w:r>
      <w:r w:rsidR="001F61C5" w:rsidRPr="00DC2596">
        <w:rPr>
          <w:noProof/>
        </w:rPr>
        <w:t xml:space="preserve"> </w:t>
      </w:r>
      <w:r w:rsidR="001F61C5" w:rsidRPr="00DC2596">
        <w:rPr>
          <w:i/>
          <w:noProof/>
        </w:rPr>
        <w:t>Land Use Policy</w:t>
      </w:r>
      <w:r>
        <w:rPr>
          <w:noProof/>
        </w:rPr>
        <w:t xml:space="preserve">, </w:t>
      </w:r>
      <w:r w:rsidR="001F61C5" w:rsidRPr="003A4B1D">
        <w:rPr>
          <w:b/>
          <w:bCs/>
          <w:noProof/>
        </w:rPr>
        <w:t>29</w:t>
      </w:r>
      <w:r w:rsidR="001F61C5" w:rsidRPr="00DC2596">
        <w:rPr>
          <w:noProof/>
        </w:rPr>
        <w:t>, 771</w:t>
      </w:r>
      <w:r>
        <w:rPr>
          <w:noProof/>
        </w:rPr>
        <w:t>–</w:t>
      </w:r>
      <w:r w:rsidR="001F61C5" w:rsidRPr="00DC2596">
        <w:rPr>
          <w:noProof/>
        </w:rPr>
        <w:t>80.</w:t>
      </w:r>
    </w:p>
    <w:p w14:paraId="6A8C1CE9" w14:textId="13522BAB" w:rsidR="001F61C5" w:rsidRPr="00DC2596" w:rsidRDefault="003A4B1D" w:rsidP="0089450A">
      <w:pPr>
        <w:pStyle w:val="EndNoteBibliography"/>
        <w:ind w:left="426" w:hanging="426"/>
        <w:rPr>
          <w:noProof/>
        </w:rPr>
      </w:pPr>
      <w:r w:rsidRPr="00DC2596">
        <w:rPr>
          <w:noProof/>
        </w:rPr>
        <w:t>SCHMIDT-TOMÉ</w:t>
      </w:r>
      <w:r w:rsidR="001F61C5" w:rsidRPr="00DC2596">
        <w:rPr>
          <w:noProof/>
        </w:rPr>
        <w:t xml:space="preserve">, K., </w:t>
      </w:r>
      <w:r w:rsidR="00601DD5" w:rsidRPr="00DC2596">
        <w:rPr>
          <w:noProof/>
        </w:rPr>
        <w:t>HAYBATOLLAHI</w:t>
      </w:r>
      <w:r w:rsidR="001F61C5" w:rsidRPr="00DC2596">
        <w:rPr>
          <w:noProof/>
        </w:rPr>
        <w:t xml:space="preserve">, </w:t>
      </w:r>
      <w:r w:rsidRPr="00DC2596">
        <w:rPr>
          <w:noProof/>
        </w:rPr>
        <w:t>M.</w:t>
      </w:r>
      <w:r>
        <w:rPr>
          <w:noProof/>
        </w:rPr>
        <w:t>,</w:t>
      </w:r>
      <w:r w:rsidRPr="00DC2596">
        <w:rPr>
          <w:noProof/>
        </w:rPr>
        <w:t xml:space="preserve"> </w:t>
      </w:r>
      <w:r w:rsidR="00601DD5" w:rsidRPr="00DC2596">
        <w:rPr>
          <w:noProof/>
        </w:rPr>
        <w:t>KYTTÄ</w:t>
      </w:r>
      <w:r>
        <w:rPr>
          <w:noProof/>
        </w:rPr>
        <w:t>,</w:t>
      </w:r>
      <w:r w:rsidR="001F61C5" w:rsidRPr="00DC2596">
        <w:rPr>
          <w:noProof/>
        </w:rPr>
        <w:t xml:space="preserve"> </w:t>
      </w:r>
      <w:r w:rsidRPr="00DC2596">
        <w:rPr>
          <w:noProof/>
        </w:rPr>
        <w:t xml:space="preserve">M. </w:t>
      </w:r>
      <w:r w:rsidR="001F61C5" w:rsidRPr="00DC2596">
        <w:rPr>
          <w:noProof/>
        </w:rPr>
        <w:t xml:space="preserve">and </w:t>
      </w:r>
      <w:r w:rsidR="00601DD5" w:rsidRPr="00DC2596">
        <w:rPr>
          <w:noProof/>
        </w:rPr>
        <w:t>KORPI</w:t>
      </w:r>
      <w:r>
        <w:rPr>
          <w:noProof/>
        </w:rPr>
        <w:t>,</w:t>
      </w:r>
      <w:r w:rsidR="001F61C5" w:rsidRPr="00DC2596">
        <w:rPr>
          <w:noProof/>
        </w:rPr>
        <w:t xml:space="preserve"> </w:t>
      </w:r>
      <w:r w:rsidRPr="00DC2596">
        <w:rPr>
          <w:noProof/>
        </w:rPr>
        <w:t xml:space="preserve">J. </w:t>
      </w:r>
      <w:r w:rsidR="001F61C5" w:rsidRPr="00DC2596">
        <w:rPr>
          <w:noProof/>
        </w:rPr>
        <w:t>(2013)</w:t>
      </w:r>
      <w:r>
        <w:rPr>
          <w:noProof/>
        </w:rPr>
        <w:t>,</w:t>
      </w:r>
      <w:r w:rsidR="001F61C5" w:rsidRPr="00DC2596">
        <w:rPr>
          <w:noProof/>
        </w:rPr>
        <w:t xml:space="preserve"> </w:t>
      </w:r>
      <w:r>
        <w:rPr>
          <w:noProof/>
        </w:rPr>
        <w:t>‘</w:t>
      </w:r>
      <w:r w:rsidR="001F61C5" w:rsidRPr="00DC2596">
        <w:rPr>
          <w:noProof/>
        </w:rPr>
        <w:t>The prospects for urban densification: a place-based study</w:t>
      </w:r>
      <w:r>
        <w:rPr>
          <w:noProof/>
        </w:rPr>
        <w:t>’,</w:t>
      </w:r>
      <w:r w:rsidR="001F61C5" w:rsidRPr="00DC2596">
        <w:rPr>
          <w:noProof/>
        </w:rPr>
        <w:t xml:space="preserve"> </w:t>
      </w:r>
      <w:r w:rsidR="001F61C5" w:rsidRPr="00DC2596">
        <w:rPr>
          <w:i/>
          <w:noProof/>
        </w:rPr>
        <w:t>Environmental Research Letters</w:t>
      </w:r>
      <w:r>
        <w:rPr>
          <w:noProof/>
        </w:rPr>
        <w:t xml:space="preserve">, </w:t>
      </w:r>
      <w:r w:rsidR="001F61C5" w:rsidRPr="003A4B1D">
        <w:rPr>
          <w:b/>
          <w:bCs/>
          <w:noProof/>
        </w:rPr>
        <w:t>8</w:t>
      </w:r>
      <w:r w:rsidR="001F61C5" w:rsidRPr="00DC2596">
        <w:rPr>
          <w:noProof/>
        </w:rPr>
        <w:t>, 025020.</w:t>
      </w:r>
    </w:p>
    <w:p w14:paraId="1C3E108E" w14:textId="52620D92" w:rsidR="001F61C5" w:rsidRPr="00DC2596" w:rsidRDefault="003A4B1D" w:rsidP="0089450A">
      <w:pPr>
        <w:pStyle w:val="EndNoteBibliography"/>
        <w:ind w:left="426" w:hanging="426"/>
        <w:rPr>
          <w:noProof/>
        </w:rPr>
      </w:pPr>
      <w:r>
        <w:rPr>
          <w:noProof/>
        </w:rPr>
        <w:lastRenderedPageBreak/>
        <w:t>SIEDENTOP</w:t>
      </w:r>
      <w:r w:rsidR="001F61C5" w:rsidRPr="00DC2596">
        <w:rPr>
          <w:noProof/>
        </w:rPr>
        <w:t xml:space="preserve">, S. and </w:t>
      </w:r>
      <w:r>
        <w:rPr>
          <w:noProof/>
        </w:rPr>
        <w:t>FINA, S.</w:t>
      </w:r>
      <w:r w:rsidR="001F61C5" w:rsidRPr="00DC2596">
        <w:rPr>
          <w:noProof/>
        </w:rPr>
        <w:t xml:space="preserve"> (2012)</w:t>
      </w:r>
      <w:r w:rsidR="0089450A">
        <w:rPr>
          <w:noProof/>
        </w:rPr>
        <w:t>,</w:t>
      </w:r>
      <w:r w:rsidR="001F61C5" w:rsidRPr="00DC2596">
        <w:rPr>
          <w:noProof/>
        </w:rPr>
        <w:t xml:space="preserve"> </w:t>
      </w:r>
      <w:r w:rsidR="0089450A">
        <w:rPr>
          <w:noProof/>
        </w:rPr>
        <w:t>‘</w:t>
      </w:r>
      <w:r w:rsidR="001F61C5" w:rsidRPr="00DC2596">
        <w:rPr>
          <w:noProof/>
        </w:rPr>
        <w:t xml:space="preserve">Who </w:t>
      </w:r>
      <w:r w:rsidR="0089450A">
        <w:rPr>
          <w:noProof/>
        </w:rPr>
        <w:t>s</w:t>
      </w:r>
      <w:r w:rsidR="001F61C5" w:rsidRPr="00DC2596">
        <w:rPr>
          <w:noProof/>
        </w:rPr>
        <w:t xml:space="preserve">prawls </w:t>
      </w:r>
      <w:r w:rsidR="0089450A">
        <w:rPr>
          <w:noProof/>
        </w:rPr>
        <w:t>m</w:t>
      </w:r>
      <w:r w:rsidR="001F61C5" w:rsidRPr="00DC2596">
        <w:rPr>
          <w:noProof/>
        </w:rPr>
        <w:t xml:space="preserve">ost? Exploring the </w:t>
      </w:r>
      <w:r w:rsidR="0089450A">
        <w:rPr>
          <w:noProof/>
        </w:rPr>
        <w:t>p</w:t>
      </w:r>
      <w:r w:rsidR="001F61C5" w:rsidRPr="00DC2596">
        <w:rPr>
          <w:noProof/>
        </w:rPr>
        <w:t xml:space="preserve">atterns of </w:t>
      </w:r>
      <w:r w:rsidR="0089450A">
        <w:rPr>
          <w:noProof/>
        </w:rPr>
        <w:t>u</w:t>
      </w:r>
      <w:r w:rsidR="001F61C5" w:rsidRPr="00DC2596">
        <w:rPr>
          <w:noProof/>
        </w:rPr>
        <w:t xml:space="preserve">rban </w:t>
      </w:r>
      <w:r w:rsidR="0089450A">
        <w:rPr>
          <w:noProof/>
        </w:rPr>
        <w:t>g</w:t>
      </w:r>
      <w:r w:rsidR="001F61C5" w:rsidRPr="00DC2596">
        <w:rPr>
          <w:noProof/>
        </w:rPr>
        <w:t xml:space="preserve">rowth across 26 European </w:t>
      </w:r>
      <w:r w:rsidR="0089450A">
        <w:rPr>
          <w:noProof/>
        </w:rPr>
        <w:t>c</w:t>
      </w:r>
      <w:r w:rsidR="001F61C5" w:rsidRPr="00DC2596">
        <w:rPr>
          <w:noProof/>
        </w:rPr>
        <w:t>ountries</w:t>
      </w:r>
      <w:r w:rsidR="0089450A">
        <w:rPr>
          <w:noProof/>
        </w:rPr>
        <w:t>’,</w:t>
      </w:r>
      <w:r w:rsidR="001F61C5" w:rsidRPr="00DC2596">
        <w:rPr>
          <w:noProof/>
        </w:rPr>
        <w:t xml:space="preserve"> </w:t>
      </w:r>
      <w:r w:rsidR="001F61C5" w:rsidRPr="00DC2596">
        <w:rPr>
          <w:i/>
          <w:noProof/>
        </w:rPr>
        <w:t>Environment and Planning A</w:t>
      </w:r>
      <w:r w:rsidR="0089450A">
        <w:rPr>
          <w:noProof/>
        </w:rPr>
        <w:t xml:space="preserve">, </w:t>
      </w:r>
      <w:r w:rsidR="001F61C5" w:rsidRPr="0089450A">
        <w:rPr>
          <w:b/>
          <w:bCs/>
          <w:noProof/>
        </w:rPr>
        <w:t>44</w:t>
      </w:r>
      <w:r w:rsidR="001F61C5" w:rsidRPr="00DC2596">
        <w:rPr>
          <w:noProof/>
        </w:rPr>
        <w:t>, 2765</w:t>
      </w:r>
      <w:r w:rsidR="0089450A">
        <w:rPr>
          <w:noProof/>
        </w:rPr>
        <w:t>–</w:t>
      </w:r>
      <w:r w:rsidR="001F61C5" w:rsidRPr="00DC2596">
        <w:rPr>
          <w:noProof/>
        </w:rPr>
        <w:t>84.</w:t>
      </w:r>
    </w:p>
    <w:p w14:paraId="140DDF5F" w14:textId="721786C3" w:rsidR="001F61C5" w:rsidRPr="00DC2596" w:rsidRDefault="0089450A" w:rsidP="0089450A">
      <w:pPr>
        <w:pStyle w:val="EndNoteBibliography"/>
        <w:ind w:left="426" w:hanging="426"/>
        <w:rPr>
          <w:noProof/>
        </w:rPr>
      </w:pPr>
      <w:r>
        <w:rPr>
          <w:noProof/>
        </w:rPr>
        <w:t>SLAEV</w:t>
      </w:r>
      <w:r w:rsidR="001F61C5" w:rsidRPr="00DC2596">
        <w:rPr>
          <w:noProof/>
        </w:rPr>
        <w:t>, A.D. (2016)</w:t>
      </w:r>
      <w:r>
        <w:rPr>
          <w:noProof/>
        </w:rPr>
        <w:t>,</w:t>
      </w:r>
      <w:r w:rsidR="001F61C5" w:rsidRPr="00DC2596">
        <w:rPr>
          <w:noProof/>
        </w:rPr>
        <w:t xml:space="preserve"> </w:t>
      </w:r>
      <w:r>
        <w:rPr>
          <w:noProof/>
        </w:rPr>
        <w:t>‘</w:t>
      </w:r>
      <w:r w:rsidR="001F61C5" w:rsidRPr="00DC2596">
        <w:rPr>
          <w:noProof/>
        </w:rPr>
        <w:t>Types of planning and property rights</w:t>
      </w:r>
      <w:r>
        <w:rPr>
          <w:noProof/>
        </w:rPr>
        <w:t>’,</w:t>
      </w:r>
      <w:r w:rsidR="001F61C5" w:rsidRPr="00DC2596">
        <w:rPr>
          <w:noProof/>
        </w:rPr>
        <w:t xml:space="preserve"> </w:t>
      </w:r>
      <w:r w:rsidR="001F61C5" w:rsidRPr="00DC2596">
        <w:rPr>
          <w:i/>
          <w:noProof/>
        </w:rPr>
        <w:t>Planning Theory</w:t>
      </w:r>
      <w:r>
        <w:rPr>
          <w:noProof/>
        </w:rPr>
        <w:t xml:space="preserve">, </w:t>
      </w:r>
      <w:r w:rsidR="001F61C5" w:rsidRPr="0089450A">
        <w:rPr>
          <w:b/>
          <w:bCs/>
          <w:noProof/>
        </w:rPr>
        <w:t>15</w:t>
      </w:r>
      <w:r w:rsidR="001F61C5" w:rsidRPr="00DC2596">
        <w:rPr>
          <w:noProof/>
        </w:rPr>
        <w:t>, 23</w:t>
      </w:r>
      <w:r>
        <w:rPr>
          <w:noProof/>
        </w:rPr>
        <w:t>–</w:t>
      </w:r>
      <w:r w:rsidR="001F61C5" w:rsidRPr="00DC2596">
        <w:rPr>
          <w:noProof/>
        </w:rPr>
        <w:t>41.</w:t>
      </w:r>
    </w:p>
    <w:p w14:paraId="64AD050F" w14:textId="5FE87F59" w:rsidR="00E7058F" w:rsidRPr="00E7058F" w:rsidRDefault="00E7058F" w:rsidP="0089450A">
      <w:pPr>
        <w:pStyle w:val="EndNoteBibliography"/>
        <w:ind w:left="426" w:hanging="426"/>
        <w:rPr>
          <w:noProof/>
        </w:rPr>
      </w:pPr>
      <w:r>
        <w:rPr>
          <w:noProof/>
        </w:rPr>
        <w:t xml:space="preserve">THE FEDERAL GOVERNMENT (2017), </w:t>
      </w:r>
      <w:r>
        <w:rPr>
          <w:i/>
          <w:iCs/>
          <w:noProof/>
        </w:rPr>
        <w:t>German Sustainable Development Strategy: New Version 2016</w:t>
      </w:r>
      <w:r>
        <w:rPr>
          <w:noProof/>
        </w:rPr>
        <w:t>, Berlin, The Federal Government.</w:t>
      </w:r>
    </w:p>
    <w:p w14:paraId="733EF36F" w14:textId="697C67F5" w:rsidR="001F61C5" w:rsidRPr="00DC2596" w:rsidRDefault="00792830" w:rsidP="0089450A">
      <w:pPr>
        <w:pStyle w:val="EndNoteBibliography"/>
        <w:ind w:left="426" w:hanging="426"/>
        <w:rPr>
          <w:noProof/>
        </w:rPr>
      </w:pPr>
      <w:r w:rsidRPr="00DC2596">
        <w:rPr>
          <w:noProof/>
        </w:rPr>
        <w:t>TOUATI</w:t>
      </w:r>
      <w:r w:rsidR="001F61C5" w:rsidRPr="00DC2596">
        <w:rPr>
          <w:noProof/>
        </w:rPr>
        <w:t>-</w:t>
      </w:r>
      <w:r>
        <w:rPr>
          <w:noProof/>
        </w:rPr>
        <w:t>MOREL</w:t>
      </w:r>
      <w:r w:rsidR="001F61C5" w:rsidRPr="00DC2596">
        <w:rPr>
          <w:noProof/>
        </w:rPr>
        <w:t>, A. (2015)</w:t>
      </w:r>
      <w:r w:rsidR="0089450A">
        <w:rPr>
          <w:noProof/>
        </w:rPr>
        <w:t>,</w:t>
      </w:r>
      <w:r w:rsidR="001F61C5" w:rsidRPr="00DC2596">
        <w:rPr>
          <w:noProof/>
        </w:rPr>
        <w:t xml:space="preserve"> </w:t>
      </w:r>
      <w:r w:rsidR="0089450A">
        <w:rPr>
          <w:noProof/>
        </w:rPr>
        <w:t>‘</w:t>
      </w:r>
      <w:r w:rsidR="001F61C5" w:rsidRPr="00DC2596">
        <w:rPr>
          <w:noProof/>
        </w:rPr>
        <w:t xml:space="preserve">Hard and </w:t>
      </w:r>
      <w:r w:rsidR="0089450A">
        <w:rPr>
          <w:noProof/>
        </w:rPr>
        <w:t>s</w:t>
      </w:r>
      <w:r w:rsidR="001F61C5" w:rsidRPr="00DC2596">
        <w:rPr>
          <w:noProof/>
        </w:rPr>
        <w:t xml:space="preserve">oft </w:t>
      </w:r>
      <w:r w:rsidR="0089450A">
        <w:rPr>
          <w:noProof/>
        </w:rPr>
        <w:t>d</w:t>
      </w:r>
      <w:r w:rsidR="001F61C5" w:rsidRPr="00DC2596">
        <w:rPr>
          <w:noProof/>
        </w:rPr>
        <w:t xml:space="preserve">ensification </w:t>
      </w:r>
      <w:r w:rsidR="0089450A">
        <w:rPr>
          <w:noProof/>
        </w:rPr>
        <w:t>p</w:t>
      </w:r>
      <w:r w:rsidR="001F61C5" w:rsidRPr="00DC2596">
        <w:rPr>
          <w:noProof/>
        </w:rPr>
        <w:t xml:space="preserve">olicies in the Paris </w:t>
      </w:r>
      <w:r w:rsidR="0089450A">
        <w:rPr>
          <w:noProof/>
        </w:rPr>
        <w:t>c</w:t>
      </w:r>
      <w:r w:rsidR="001F61C5" w:rsidRPr="00DC2596">
        <w:rPr>
          <w:noProof/>
        </w:rPr>
        <w:t>ity-</w:t>
      </w:r>
      <w:r w:rsidR="0089450A">
        <w:rPr>
          <w:noProof/>
        </w:rPr>
        <w:t>r</w:t>
      </w:r>
      <w:r w:rsidR="001F61C5" w:rsidRPr="00DC2596">
        <w:rPr>
          <w:noProof/>
        </w:rPr>
        <w:t>egion</w:t>
      </w:r>
      <w:r w:rsidR="0089450A">
        <w:rPr>
          <w:noProof/>
        </w:rPr>
        <w:t>’,</w:t>
      </w:r>
      <w:r w:rsidR="001F61C5" w:rsidRPr="00DC2596">
        <w:rPr>
          <w:noProof/>
        </w:rPr>
        <w:t xml:space="preserve"> </w:t>
      </w:r>
      <w:r w:rsidR="001F61C5" w:rsidRPr="00DC2596">
        <w:rPr>
          <w:i/>
          <w:noProof/>
        </w:rPr>
        <w:t>International Journal of Urban and Regional Research</w:t>
      </w:r>
      <w:r w:rsidR="0089450A">
        <w:rPr>
          <w:noProof/>
        </w:rPr>
        <w:t xml:space="preserve">, </w:t>
      </w:r>
      <w:r w:rsidR="001F61C5" w:rsidRPr="0089450A">
        <w:rPr>
          <w:b/>
          <w:bCs/>
          <w:noProof/>
        </w:rPr>
        <w:t>39</w:t>
      </w:r>
      <w:r w:rsidR="001F61C5" w:rsidRPr="00DC2596">
        <w:rPr>
          <w:noProof/>
        </w:rPr>
        <w:t>, 603</w:t>
      </w:r>
      <w:r w:rsidR="0089450A">
        <w:rPr>
          <w:noProof/>
        </w:rPr>
        <w:t>–</w:t>
      </w:r>
      <w:r w:rsidR="001F61C5" w:rsidRPr="00DC2596">
        <w:rPr>
          <w:noProof/>
        </w:rPr>
        <w:t>12.</w:t>
      </w:r>
    </w:p>
    <w:p w14:paraId="510DE4CE" w14:textId="454015A0" w:rsidR="001F61C5" w:rsidRPr="00DC2596" w:rsidRDefault="00601DD5" w:rsidP="0089450A">
      <w:pPr>
        <w:pStyle w:val="EndNoteBibliography"/>
        <w:ind w:left="426" w:hanging="426"/>
        <w:rPr>
          <w:noProof/>
        </w:rPr>
      </w:pPr>
      <w:r>
        <w:rPr>
          <w:noProof/>
        </w:rPr>
        <w:t>TUROK</w:t>
      </w:r>
      <w:r w:rsidR="001F61C5" w:rsidRPr="00DC2596">
        <w:rPr>
          <w:noProof/>
        </w:rPr>
        <w:t xml:space="preserve">, I. and </w:t>
      </w:r>
      <w:r w:rsidRPr="00DC2596">
        <w:rPr>
          <w:noProof/>
        </w:rPr>
        <w:t xml:space="preserve">MYKHNENKO V. </w:t>
      </w:r>
      <w:r w:rsidR="001F61C5" w:rsidRPr="00DC2596">
        <w:rPr>
          <w:noProof/>
        </w:rPr>
        <w:t>(2007)</w:t>
      </w:r>
      <w:r>
        <w:rPr>
          <w:noProof/>
        </w:rPr>
        <w:t>,</w:t>
      </w:r>
      <w:r w:rsidR="001F61C5" w:rsidRPr="00DC2596">
        <w:rPr>
          <w:noProof/>
        </w:rPr>
        <w:t xml:space="preserve"> </w:t>
      </w:r>
      <w:r>
        <w:rPr>
          <w:noProof/>
        </w:rPr>
        <w:t>‘</w:t>
      </w:r>
      <w:r w:rsidR="001F61C5" w:rsidRPr="00DC2596">
        <w:rPr>
          <w:noProof/>
        </w:rPr>
        <w:t>The trajectories of European cities, 1960–2005</w:t>
      </w:r>
      <w:r>
        <w:rPr>
          <w:noProof/>
        </w:rPr>
        <w:t>’,</w:t>
      </w:r>
      <w:r w:rsidR="001F61C5" w:rsidRPr="00DC2596">
        <w:rPr>
          <w:noProof/>
        </w:rPr>
        <w:t xml:space="preserve"> </w:t>
      </w:r>
      <w:r w:rsidR="001F61C5" w:rsidRPr="00DC2596">
        <w:rPr>
          <w:i/>
          <w:noProof/>
        </w:rPr>
        <w:t>Cities</w:t>
      </w:r>
      <w:r>
        <w:rPr>
          <w:noProof/>
        </w:rPr>
        <w:t xml:space="preserve">, </w:t>
      </w:r>
      <w:r w:rsidR="001F61C5" w:rsidRPr="00601DD5">
        <w:rPr>
          <w:b/>
          <w:bCs/>
          <w:noProof/>
        </w:rPr>
        <w:t>24</w:t>
      </w:r>
      <w:r w:rsidR="001F61C5" w:rsidRPr="00DC2596">
        <w:rPr>
          <w:noProof/>
        </w:rPr>
        <w:t>, 165</w:t>
      </w:r>
      <w:r>
        <w:rPr>
          <w:noProof/>
        </w:rPr>
        <w:t>–</w:t>
      </w:r>
      <w:r w:rsidR="001F61C5" w:rsidRPr="00DC2596">
        <w:rPr>
          <w:noProof/>
        </w:rPr>
        <w:t>82.</w:t>
      </w:r>
    </w:p>
    <w:p w14:paraId="1D0F99DD" w14:textId="4EA442D0" w:rsidR="001F61C5" w:rsidRPr="00DC2596" w:rsidRDefault="00601DD5" w:rsidP="0089450A">
      <w:pPr>
        <w:pStyle w:val="EndNoteBibliography"/>
        <w:ind w:left="426" w:hanging="426"/>
        <w:rPr>
          <w:noProof/>
        </w:rPr>
      </w:pPr>
      <w:r w:rsidRPr="00DC2596">
        <w:rPr>
          <w:noProof/>
        </w:rPr>
        <w:t>VEJCHODSKÁ</w:t>
      </w:r>
      <w:r w:rsidR="001F61C5" w:rsidRPr="00DC2596">
        <w:rPr>
          <w:noProof/>
        </w:rPr>
        <w:t xml:space="preserve">, E. and </w:t>
      </w:r>
      <w:r w:rsidRPr="00DC2596">
        <w:rPr>
          <w:noProof/>
        </w:rPr>
        <w:t xml:space="preserve">PELUCHA M. </w:t>
      </w:r>
      <w:r w:rsidR="001F61C5" w:rsidRPr="00DC2596">
        <w:rPr>
          <w:noProof/>
        </w:rPr>
        <w:t>(2019)</w:t>
      </w:r>
      <w:r w:rsidR="0089450A">
        <w:rPr>
          <w:noProof/>
        </w:rPr>
        <w:t>,</w:t>
      </w:r>
      <w:r w:rsidR="001F61C5" w:rsidRPr="00DC2596">
        <w:rPr>
          <w:noProof/>
        </w:rPr>
        <w:t xml:space="preserve"> </w:t>
      </w:r>
      <w:r w:rsidR="0089450A">
        <w:rPr>
          <w:noProof/>
        </w:rPr>
        <w:t>‘</w:t>
      </w:r>
      <w:r w:rsidR="001F61C5" w:rsidRPr="00DC2596">
        <w:rPr>
          <w:noProof/>
        </w:rPr>
        <w:t>Environmental charges as drivers of soil sealing? The case of the Czech charge for agricultural land loss</w:t>
      </w:r>
      <w:r w:rsidR="0089450A">
        <w:rPr>
          <w:noProof/>
        </w:rPr>
        <w:t>’,</w:t>
      </w:r>
      <w:r w:rsidR="001F61C5" w:rsidRPr="00DC2596">
        <w:rPr>
          <w:noProof/>
        </w:rPr>
        <w:t xml:space="preserve"> </w:t>
      </w:r>
      <w:r w:rsidR="001F61C5" w:rsidRPr="00DC2596">
        <w:rPr>
          <w:i/>
          <w:noProof/>
        </w:rPr>
        <w:t>Land Use Policy</w:t>
      </w:r>
      <w:r w:rsidR="0089450A">
        <w:rPr>
          <w:noProof/>
        </w:rPr>
        <w:t xml:space="preserve">, </w:t>
      </w:r>
      <w:r w:rsidR="001F61C5" w:rsidRPr="0089450A">
        <w:rPr>
          <w:b/>
          <w:bCs/>
          <w:noProof/>
        </w:rPr>
        <w:t>87</w:t>
      </w:r>
      <w:r w:rsidR="001F61C5" w:rsidRPr="00DC2596">
        <w:rPr>
          <w:noProof/>
        </w:rPr>
        <w:t>, 104071.</w:t>
      </w:r>
    </w:p>
    <w:p w14:paraId="607046BD" w14:textId="18720419" w:rsidR="001F61C5" w:rsidRPr="00BD2D61" w:rsidRDefault="00792830" w:rsidP="0089450A">
      <w:pPr>
        <w:pStyle w:val="EndNoteBibliography"/>
        <w:ind w:left="426" w:hanging="426"/>
        <w:rPr>
          <w:noProof/>
        </w:rPr>
      </w:pPr>
      <w:r>
        <w:rPr>
          <w:noProof/>
        </w:rPr>
        <w:t>WOLFF</w:t>
      </w:r>
      <w:r w:rsidR="001F61C5" w:rsidRPr="00DC2596">
        <w:rPr>
          <w:noProof/>
        </w:rPr>
        <w:t>, M. (2018)</w:t>
      </w:r>
      <w:r>
        <w:rPr>
          <w:noProof/>
        </w:rPr>
        <w:t>,</w:t>
      </w:r>
      <w:r w:rsidR="001F61C5" w:rsidRPr="00DC2596">
        <w:rPr>
          <w:noProof/>
        </w:rPr>
        <w:t xml:space="preserve"> </w:t>
      </w:r>
      <w:r>
        <w:rPr>
          <w:noProof/>
        </w:rPr>
        <w:t>‘</w:t>
      </w:r>
      <w:r w:rsidR="001F61C5" w:rsidRPr="00DC2596">
        <w:rPr>
          <w:noProof/>
        </w:rPr>
        <w:t>Understanding the role of centralization processes for cities – evidence from a spatial perspective of urban Europe 1990–2010</w:t>
      </w:r>
      <w:r w:rsidR="0089450A">
        <w:rPr>
          <w:noProof/>
        </w:rPr>
        <w:t>’,</w:t>
      </w:r>
      <w:r w:rsidR="001F61C5" w:rsidRPr="00DC2596">
        <w:rPr>
          <w:noProof/>
        </w:rPr>
        <w:t xml:space="preserve"> </w:t>
      </w:r>
      <w:r w:rsidR="001F61C5" w:rsidRPr="00DC2596">
        <w:rPr>
          <w:i/>
          <w:noProof/>
        </w:rPr>
        <w:t>Cities</w:t>
      </w:r>
      <w:r w:rsidR="0089450A">
        <w:rPr>
          <w:iCs/>
          <w:noProof/>
        </w:rPr>
        <w:t>,</w:t>
      </w:r>
      <w:r w:rsidR="001F61C5" w:rsidRPr="00DC2596">
        <w:rPr>
          <w:noProof/>
        </w:rPr>
        <w:t xml:space="preserve"> </w:t>
      </w:r>
      <w:r w:rsidR="001F61C5" w:rsidRPr="0089450A">
        <w:rPr>
          <w:b/>
          <w:bCs/>
          <w:noProof/>
        </w:rPr>
        <w:t>75</w:t>
      </w:r>
      <w:r w:rsidR="001F61C5" w:rsidRPr="00DC2596">
        <w:rPr>
          <w:noProof/>
        </w:rPr>
        <w:t>, 20</w:t>
      </w:r>
      <w:r>
        <w:rPr>
          <w:noProof/>
        </w:rPr>
        <w:t>–</w:t>
      </w:r>
      <w:r w:rsidR="001F61C5" w:rsidRPr="00DC2596">
        <w:rPr>
          <w:noProof/>
        </w:rPr>
        <w:t>9.</w:t>
      </w:r>
    </w:p>
    <w:p w14:paraId="2B29E4C2" w14:textId="4446D41D" w:rsidR="001F61C5" w:rsidRPr="00CA1CEC" w:rsidRDefault="001F61C5" w:rsidP="0089450A">
      <w:pPr>
        <w:pStyle w:val="EndNoteBibliography"/>
        <w:ind w:left="426" w:hanging="426"/>
        <w:rPr>
          <w:szCs w:val="20"/>
          <w:lang w:val="en-GB"/>
        </w:rPr>
      </w:pPr>
      <w:r w:rsidRPr="00CA1CEC">
        <w:rPr>
          <w:lang w:val="en-GB"/>
        </w:rPr>
        <w:t>UN</w:t>
      </w:r>
      <w:r>
        <w:rPr>
          <w:lang w:val="en-GB"/>
        </w:rPr>
        <w:t xml:space="preserve"> (UNITED NATIONS)</w:t>
      </w:r>
      <w:r w:rsidRPr="00CA1CEC">
        <w:rPr>
          <w:lang w:val="en-GB"/>
        </w:rPr>
        <w:t xml:space="preserve"> (</w:t>
      </w:r>
      <w:r w:rsidRPr="00CA1CEC">
        <w:rPr>
          <w:szCs w:val="20"/>
          <w:lang w:val="en-GB"/>
        </w:rPr>
        <w:t>2015)</w:t>
      </w:r>
      <w:r>
        <w:rPr>
          <w:szCs w:val="20"/>
          <w:lang w:val="en-GB"/>
        </w:rPr>
        <w:t>,</w:t>
      </w:r>
      <w:r w:rsidRPr="00CA1CEC">
        <w:rPr>
          <w:szCs w:val="20"/>
          <w:lang w:val="en-GB"/>
        </w:rPr>
        <w:t xml:space="preserve"> </w:t>
      </w:r>
      <w:r w:rsidRPr="0089450A">
        <w:rPr>
          <w:i/>
          <w:iCs/>
          <w:szCs w:val="20"/>
          <w:lang w:val="en-GB"/>
        </w:rPr>
        <w:t>Transforming our world: the 2030 Agenda for Sustainable Development</w:t>
      </w:r>
      <w:r w:rsidR="0089450A">
        <w:rPr>
          <w:szCs w:val="20"/>
          <w:lang w:val="en-GB"/>
        </w:rPr>
        <w:t>,</w:t>
      </w:r>
      <w:r w:rsidRPr="00CA1CEC">
        <w:rPr>
          <w:szCs w:val="20"/>
          <w:lang w:val="en-GB"/>
        </w:rPr>
        <w:t xml:space="preserve"> Resolution adopted by the General Assembly on 25 September 2015</w:t>
      </w:r>
      <w:r w:rsidR="0089450A">
        <w:rPr>
          <w:szCs w:val="20"/>
          <w:lang w:val="en-GB"/>
        </w:rPr>
        <w:t xml:space="preserve">, </w:t>
      </w:r>
      <w:hyperlink r:id="rId7" w:history="1">
        <w:r w:rsidRPr="00CA1CEC">
          <w:rPr>
            <w:rStyle w:val="Hyperlink"/>
            <w:szCs w:val="20"/>
            <w:lang w:val="en-GB" w:eastAsia="en-GB"/>
          </w:rPr>
          <w:t>https://sustainabledevelopment.un.org/content/documents/21252030%20Agenda%20for%20Sustainable%20Development%20web.pdf</w:t>
        </w:r>
      </w:hyperlink>
      <w:r w:rsidRPr="00CA1CEC">
        <w:rPr>
          <w:szCs w:val="20"/>
          <w:lang w:val="en-GB" w:eastAsia="en-GB"/>
        </w:rPr>
        <w:t xml:space="preserve"> (accessed 16 January 2020)</w:t>
      </w:r>
      <w:r>
        <w:rPr>
          <w:szCs w:val="20"/>
          <w:lang w:val="en-GB" w:eastAsia="en-GB"/>
        </w:rPr>
        <w:t>.</w:t>
      </w:r>
    </w:p>
    <w:p w14:paraId="1E74F69C" w14:textId="5A9FBD6E" w:rsidR="003A4B1D" w:rsidRPr="0089450A" w:rsidRDefault="001F61C5" w:rsidP="0089450A">
      <w:pPr>
        <w:pStyle w:val="EndNoteBibliography"/>
        <w:ind w:left="426" w:hanging="426"/>
        <w:rPr>
          <w:noProof/>
          <w:szCs w:val="20"/>
          <w:lang w:val="en-GB"/>
        </w:rPr>
      </w:pPr>
      <w:r w:rsidRPr="00CA1CEC">
        <w:rPr>
          <w:szCs w:val="20"/>
          <w:lang w:val="en-GB" w:eastAsia="en-GB"/>
        </w:rPr>
        <w:t xml:space="preserve">UN </w:t>
      </w:r>
      <w:r>
        <w:rPr>
          <w:lang w:val="en-GB"/>
        </w:rPr>
        <w:t>(UNITED NATIONS)</w:t>
      </w:r>
      <w:r w:rsidRPr="00CA1CEC">
        <w:rPr>
          <w:lang w:val="en-GB"/>
        </w:rPr>
        <w:t xml:space="preserve"> </w:t>
      </w:r>
      <w:r w:rsidRPr="00CA1CEC">
        <w:rPr>
          <w:szCs w:val="20"/>
          <w:lang w:val="en-GB" w:eastAsia="en-GB"/>
        </w:rPr>
        <w:t>(2016)</w:t>
      </w:r>
      <w:r>
        <w:rPr>
          <w:szCs w:val="20"/>
          <w:lang w:val="en-GB" w:eastAsia="en-GB"/>
        </w:rPr>
        <w:t>,</w:t>
      </w:r>
      <w:r w:rsidRPr="00CA1CEC">
        <w:rPr>
          <w:szCs w:val="20"/>
          <w:lang w:val="en-GB" w:eastAsia="en-GB"/>
        </w:rPr>
        <w:t xml:space="preserve"> </w:t>
      </w:r>
      <w:r w:rsidRPr="00CA1CEC">
        <w:rPr>
          <w:i/>
          <w:iCs/>
          <w:szCs w:val="20"/>
          <w:lang w:val="en-GB" w:eastAsia="en-GB"/>
        </w:rPr>
        <w:t>New Urban Agenda</w:t>
      </w:r>
      <w:r w:rsidR="0089450A">
        <w:rPr>
          <w:szCs w:val="20"/>
          <w:lang w:val="en-GB" w:eastAsia="en-GB"/>
        </w:rPr>
        <w:t>,</w:t>
      </w:r>
      <w:r w:rsidRPr="00CA1CEC">
        <w:rPr>
          <w:szCs w:val="20"/>
          <w:lang w:val="en-GB" w:eastAsia="en-GB"/>
        </w:rPr>
        <w:t xml:space="preserve"> Resolution adopted by the General Assembly on 23 December 2016</w:t>
      </w:r>
      <w:r w:rsidR="0089450A">
        <w:rPr>
          <w:szCs w:val="20"/>
          <w:lang w:val="en-GB" w:eastAsia="en-GB"/>
        </w:rPr>
        <w:t xml:space="preserve">, </w:t>
      </w:r>
      <w:hyperlink r:id="rId8" w:history="1">
        <w:r w:rsidRPr="00CA1CEC">
          <w:rPr>
            <w:rStyle w:val="Hyperlink"/>
            <w:szCs w:val="20"/>
            <w:lang w:val="en-GB" w:eastAsia="en-GB"/>
          </w:rPr>
          <w:t>http://habitat3.org/wp-content/uploads/NUA-English.pdf</w:t>
        </w:r>
      </w:hyperlink>
      <w:r w:rsidRPr="00CA1CEC">
        <w:rPr>
          <w:szCs w:val="20"/>
          <w:lang w:val="en-GB" w:eastAsia="en-GB"/>
        </w:rPr>
        <w:t xml:space="preserve"> (accessed 16 January 2020)</w:t>
      </w:r>
      <w:r>
        <w:rPr>
          <w:szCs w:val="20"/>
          <w:lang w:val="en-GB" w:eastAsia="en-GB"/>
        </w:rPr>
        <w:t>.</w:t>
      </w:r>
    </w:p>
    <w:sectPr w:rsidR="003A4B1D" w:rsidRPr="0089450A" w:rsidSect="00E7058F">
      <w:footerReference w:type="first" r:id="rId9"/>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2BA0D" w14:textId="77777777" w:rsidR="009626DA" w:rsidRDefault="009626DA">
      <w:r>
        <w:separator/>
      </w:r>
    </w:p>
  </w:endnote>
  <w:endnote w:type="continuationSeparator" w:id="0">
    <w:p w14:paraId="24C6FE18" w14:textId="77777777" w:rsidR="009626DA" w:rsidRDefault="0096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Neue LT 55 Roman">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FE53" w14:textId="77777777" w:rsidR="003A4B1D" w:rsidRPr="003078DF" w:rsidRDefault="003A4B1D" w:rsidP="003A4B1D">
    <w:pPr>
      <w:rPr>
        <w:rFonts w:ascii="Calibri" w:hAnsi="Calibri" w:cs="Calibri"/>
        <w:lang w:val="en-GB"/>
      </w:rPr>
    </w:pPr>
  </w:p>
  <w:p w14:paraId="635A7624" w14:textId="77777777" w:rsidR="003A4B1D" w:rsidRPr="003078DF" w:rsidRDefault="003A4B1D" w:rsidP="003A4B1D">
    <w:pPr>
      <w:rPr>
        <w:rFonts w:ascii="Calibri" w:hAnsi="Calibri" w:cs="Calibri"/>
        <w:lang w:val="en-GB"/>
      </w:rPr>
    </w:pPr>
    <w:r w:rsidRPr="003078DF">
      <w:rPr>
        <w:rFonts w:ascii="Calibri" w:hAnsi="Calibri" w:cs="Calibri"/>
        <w:lang w:val="en-GB"/>
      </w:rPr>
      <w:t>Sebastian Dembski is Lecturer at the University of Liverpool, Department of Geography and Planning, Roxby Building, Liverpool L69 7ZT, United Kingdom; Thomas Hartmann is Associate Professor at Wageningen University &amp; Research, Landscape Architecture and Spatial Planning, P.O. Box 47, 6700 AA Wageningen, Netherlands; Andreas Hengstermann is Post-Doctoral Researcher at the University of Bern, Institute of Geography, Hallerstrasse 12, CH-3012 Bern, Switzerland; Richard Dunning is Lecturer at the University of Liverpool, Department of Geography and Planning, Roxby Building, Liverpool L69 7ZT; email: sebastian.dembski@liverpool.ac.uk; thomas.hartmann@wur.nl; andreas.hengstermann@giub.unibe.ch; r.j.dunning@liverpool.ac.uk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DEBB" w14:textId="77777777" w:rsidR="009626DA" w:rsidRDefault="009626DA">
      <w:r>
        <w:separator/>
      </w:r>
    </w:p>
  </w:footnote>
  <w:footnote w:type="continuationSeparator" w:id="0">
    <w:p w14:paraId="56A12ABD" w14:textId="77777777" w:rsidR="009626DA" w:rsidRDefault="00962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2683C"/>
    <w:multiLevelType w:val="hybridMultilevel"/>
    <w:tmpl w:val="2ED04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A7CF0"/>
    <w:multiLevelType w:val="hybridMultilevel"/>
    <w:tmpl w:val="C4962372"/>
    <w:lvl w:ilvl="0" w:tplc="E482CE8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54C53"/>
    <w:multiLevelType w:val="hybridMultilevel"/>
    <w:tmpl w:val="35BAA270"/>
    <w:lvl w:ilvl="0" w:tplc="34587648">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E206A"/>
    <w:multiLevelType w:val="hybridMultilevel"/>
    <w:tmpl w:val="49F00EB2"/>
    <w:lvl w:ilvl="0" w:tplc="E02A5480">
      <w:start w:val="2"/>
      <w:numFmt w:val="bullet"/>
      <w:lvlText w:val="-"/>
      <w:lvlJc w:val="left"/>
      <w:pPr>
        <w:ind w:left="1068" w:hanging="360"/>
      </w:pPr>
      <w:rPr>
        <w:rFonts w:ascii="Calibri Light" w:eastAsia="Times New Roman" w:hAnsi="Calibri Light" w:cs="Calibri Light"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CA63493"/>
    <w:multiLevelType w:val="hybridMultilevel"/>
    <w:tmpl w:val="390E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25F62"/>
    <w:multiLevelType w:val="hybridMultilevel"/>
    <w:tmpl w:val="C2360F2E"/>
    <w:lvl w:ilvl="0" w:tplc="0462631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90B15"/>
    <w:multiLevelType w:val="hybridMultilevel"/>
    <w:tmpl w:val="9592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3003"/>
    <w:multiLevelType w:val="hybridMultilevel"/>
    <w:tmpl w:val="56BE220A"/>
    <w:lvl w:ilvl="0" w:tplc="72104C1C">
      <w:numFmt w:val="bullet"/>
      <w:lvlText w:val="-"/>
      <w:lvlJc w:val="left"/>
      <w:pPr>
        <w:ind w:left="1068" w:hanging="360"/>
      </w:pPr>
      <w:rPr>
        <w:rFonts w:ascii="Calibri Light" w:eastAsia="Times New Roman" w:hAnsi="Calibri Light" w:cs="Calibri Light"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7C6036F"/>
    <w:multiLevelType w:val="hybridMultilevel"/>
    <w:tmpl w:val="6682F45E"/>
    <w:lvl w:ilvl="0" w:tplc="645477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155F41"/>
    <w:multiLevelType w:val="hybridMultilevel"/>
    <w:tmpl w:val="04BA927E"/>
    <w:lvl w:ilvl="0" w:tplc="59C8D6B8">
      <w:start w:val="1"/>
      <w:numFmt w:val="bullet"/>
      <w:lvlText w:val="•"/>
      <w:lvlJc w:val="left"/>
      <w:pPr>
        <w:tabs>
          <w:tab w:val="num" w:pos="720"/>
        </w:tabs>
        <w:ind w:left="720" w:hanging="360"/>
      </w:pPr>
      <w:rPr>
        <w:rFonts w:ascii="Arial" w:hAnsi="Arial" w:hint="default"/>
      </w:rPr>
    </w:lvl>
    <w:lvl w:ilvl="1" w:tplc="DC66BF40" w:tentative="1">
      <w:start w:val="1"/>
      <w:numFmt w:val="bullet"/>
      <w:lvlText w:val="•"/>
      <w:lvlJc w:val="left"/>
      <w:pPr>
        <w:tabs>
          <w:tab w:val="num" w:pos="1440"/>
        </w:tabs>
        <w:ind w:left="1440" w:hanging="360"/>
      </w:pPr>
      <w:rPr>
        <w:rFonts w:ascii="Arial" w:hAnsi="Arial" w:hint="default"/>
      </w:rPr>
    </w:lvl>
    <w:lvl w:ilvl="2" w:tplc="89483840" w:tentative="1">
      <w:start w:val="1"/>
      <w:numFmt w:val="bullet"/>
      <w:lvlText w:val="•"/>
      <w:lvlJc w:val="left"/>
      <w:pPr>
        <w:tabs>
          <w:tab w:val="num" w:pos="2160"/>
        </w:tabs>
        <w:ind w:left="2160" w:hanging="360"/>
      </w:pPr>
      <w:rPr>
        <w:rFonts w:ascii="Arial" w:hAnsi="Arial" w:hint="default"/>
      </w:rPr>
    </w:lvl>
    <w:lvl w:ilvl="3" w:tplc="73B420B4" w:tentative="1">
      <w:start w:val="1"/>
      <w:numFmt w:val="bullet"/>
      <w:lvlText w:val="•"/>
      <w:lvlJc w:val="left"/>
      <w:pPr>
        <w:tabs>
          <w:tab w:val="num" w:pos="2880"/>
        </w:tabs>
        <w:ind w:left="2880" w:hanging="360"/>
      </w:pPr>
      <w:rPr>
        <w:rFonts w:ascii="Arial" w:hAnsi="Arial" w:hint="default"/>
      </w:rPr>
    </w:lvl>
    <w:lvl w:ilvl="4" w:tplc="EEA61172" w:tentative="1">
      <w:start w:val="1"/>
      <w:numFmt w:val="bullet"/>
      <w:lvlText w:val="•"/>
      <w:lvlJc w:val="left"/>
      <w:pPr>
        <w:tabs>
          <w:tab w:val="num" w:pos="3600"/>
        </w:tabs>
        <w:ind w:left="3600" w:hanging="360"/>
      </w:pPr>
      <w:rPr>
        <w:rFonts w:ascii="Arial" w:hAnsi="Arial" w:hint="default"/>
      </w:rPr>
    </w:lvl>
    <w:lvl w:ilvl="5" w:tplc="B9C67A76" w:tentative="1">
      <w:start w:val="1"/>
      <w:numFmt w:val="bullet"/>
      <w:lvlText w:val="•"/>
      <w:lvlJc w:val="left"/>
      <w:pPr>
        <w:tabs>
          <w:tab w:val="num" w:pos="4320"/>
        </w:tabs>
        <w:ind w:left="4320" w:hanging="360"/>
      </w:pPr>
      <w:rPr>
        <w:rFonts w:ascii="Arial" w:hAnsi="Arial" w:hint="default"/>
      </w:rPr>
    </w:lvl>
    <w:lvl w:ilvl="6" w:tplc="8E340C9A" w:tentative="1">
      <w:start w:val="1"/>
      <w:numFmt w:val="bullet"/>
      <w:lvlText w:val="•"/>
      <w:lvlJc w:val="left"/>
      <w:pPr>
        <w:tabs>
          <w:tab w:val="num" w:pos="5040"/>
        </w:tabs>
        <w:ind w:left="5040" w:hanging="360"/>
      </w:pPr>
      <w:rPr>
        <w:rFonts w:ascii="Arial" w:hAnsi="Arial" w:hint="default"/>
      </w:rPr>
    </w:lvl>
    <w:lvl w:ilvl="7" w:tplc="B97C6CDA" w:tentative="1">
      <w:start w:val="1"/>
      <w:numFmt w:val="bullet"/>
      <w:lvlText w:val="•"/>
      <w:lvlJc w:val="left"/>
      <w:pPr>
        <w:tabs>
          <w:tab w:val="num" w:pos="5760"/>
        </w:tabs>
        <w:ind w:left="5760" w:hanging="360"/>
      </w:pPr>
      <w:rPr>
        <w:rFonts w:ascii="Arial" w:hAnsi="Arial" w:hint="default"/>
      </w:rPr>
    </w:lvl>
    <w:lvl w:ilvl="8" w:tplc="880477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303D81"/>
    <w:multiLevelType w:val="hybridMultilevel"/>
    <w:tmpl w:val="F764526C"/>
    <w:lvl w:ilvl="0" w:tplc="F592989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3F637E6C"/>
    <w:multiLevelType w:val="hybridMultilevel"/>
    <w:tmpl w:val="CD1655BA"/>
    <w:lvl w:ilvl="0" w:tplc="DE34FF5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1744194"/>
    <w:multiLevelType w:val="hybridMultilevel"/>
    <w:tmpl w:val="7BECA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C137C"/>
    <w:multiLevelType w:val="hybridMultilevel"/>
    <w:tmpl w:val="F2483A64"/>
    <w:lvl w:ilvl="0" w:tplc="C4EAF1D4">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D7391"/>
    <w:multiLevelType w:val="hybridMultilevel"/>
    <w:tmpl w:val="F1304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D21C94"/>
    <w:multiLevelType w:val="hybridMultilevel"/>
    <w:tmpl w:val="E0CED29C"/>
    <w:lvl w:ilvl="0" w:tplc="2670F03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D0593"/>
    <w:multiLevelType w:val="hybridMultilevel"/>
    <w:tmpl w:val="15A82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B86A7C"/>
    <w:multiLevelType w:val="hybridMultilevel"/>
    <w:tmpl w:val="4F201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515404"/>
    <w:multiLevelType w:val="hybridMultilevel"/>
    <w:tmpl w:val="A85EC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6D2077"/>
    <w:multiLevelType w:val="hybridMultilevel"/>
    <w:tmpl w:val="88D26F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0E577F"/>
    <w:multiLevelType w:val="hybridMultilevel"/>
    <w:tmpl w:val="B7D05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D16CB4"/>
    <w:multiLevelType w:val="multilevel"/>
    <w:tmpl w:val="0604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21"/>
  </w:num>
  <w:num w:numId="5">
    <w:abstractNumId w:val="3"/>
  </w:num>
  <w:num w:numId="6">
    <w:abstractNumId w:val="5"/>
  </w:num>
  <w:num w:numId="7">
    <w:abstractNumId w:val="7"/>
  </w:num>
  <w:num w:numId="8">
    <w:abstractNumId w:val="8"/>
  </w:num>
  <w:num w:numId="9">
    <w:abstractNumId w:val="10"/>
  </w:num>
  <w:num w:numId="10">
    <w:abstractNumId w:val="4"/>
  </w:num>
  <w:num w:numId="11">
    <w:abstractNumId w:val="11"/>
  </w:num>
  <w:num w:numId="12">
    <w:abstractNumId w:val="12"/>
  </w:num>
  <w:num w:numId="13">
    <w:abstractNumId w:val="15"/>
  </w:num>
  <w:num w:numId="14">
    <w:abstractNumId w:val="22"/>
  </w:num>
  <w:num w:numId="15">
    <w:abstractNumId w:val="20"/>
  </w:num>
  <w:num w:numId="16">
    <w:abstractNumId w:val="13"/>
  </w:num>
  <w:num w:numId="17">
    <w:abstractNumId w:val="17"/>
  </w:num>
  <w:num w:numId="18">
    <w:abstractNumId w:val="1"/>
  </w:num>
  <w:num w:numId="19">
    <w:abstractNumId w:val="14"/>
  </w:num>
  <w:num w:numId="20">
    <w:abstractNumId w:val="16"/>
  </w:num>
  <w:num w:numId="21">
    <w:abstractNumId w:val="18"/>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F61C5"/>
    <w:rsid w:val="00051F59"/>
    <w:rsid w:val="00062C51"/>
    <w:rsid w:val="000726FD"/>
    <w:rsid w:val="0017180B"/>
    <w:rsid w:val="001F0FF0"/>
    <w:rsid w:val="001F61C5"/>
    <w:rsid w:val="00277744"/>
    <w:rsid w:val="002F675A"/>
    <w:rsid w:val="0030260E"/>
    <w:rsid w:val="003A4B1D"/>
    <w:rsid w:val="004847FE"/>
    <w:rsid w:val="00544FFD"/>
    <w:rsid w:val="00601DD5"/>
    <w:rsid w:val="00722226"/>
    <w:rsid w:val="00792830"/>
    <w:rsid w:val="007E543A"/>
    <w:rsid w:val="00846676"/>
    <w:rsid w:val="00853A4C"/>
    <w:rsid w:val="00884933"/>
    <w:rsid w:val="0089450A"/>
    <w:rsid w:val="008A36FE"/>
    <w:rsid w:val="008E3F14"/>
    <w:rsid w:val="008F3D4D"/>
    <w:rsid w:val="009626DA"/>
    <w:rsid w:val="0096423E"/>
    <w:rsid w:val="009761FF"/>
    <w:rsid w:val="00A13376"/>
    <w:rsid w:val="00A40101"/>
    <w:rsid w:val="00A55514"/>
    <w:rsid w:val="00A843CC"/>
    <w:rsid w:val="00AE4BE5"/>
    <w:rsid w:val="00B231BB"/>
    <w:rsid w:val="00B67404"/>
    <w:rsid w:val="00BD2D61"/>
    <w:rsid w:val="00BE72D1"/>
    <w:rsid w:val="00CF1B01"/>
    <w:rsid w:val="00D74C01"/>
    <w:rsid w:val="00DC7EFA"/>
    <w:rsid w:val="00DD18D2"/>
    <w:rsid w:val="00E7058F"/>
    <w:rsid w:val="00E92096"/>
    <w:rsid w:val="00F9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99C4"/>
  <w15:chartTrackingRefBased/>
  <w15:docId w15:val="{49027D57-BD93-584A-B90B-B65D301C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C5"/>
    <w:rPr>
      <w:rFonts w:ascii="Times New Roman" w:eastAsia="Times New Roman" w:hAnsi="Times New Roman" w:cs="Times New Roman"/>
      <w:lang w:val="de-DE" w:eastAsia="de-DE"/>
    </w:rPr>
  </w:style>
  <w:style w:type="paragraph" w:styleId="Heading1">
    <w:name w:val="heading 1"/>
    <w:basedOn w:val="Normal"/>
    <w:next w:val="Normal"/>
    <w:link w:val="Heading1Char"/>
    <w:uiPriority w:val="9"/>
    <w:qFormat/>
    <w:rsid w:val="001F61C5"/>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F61C5"/>
    <w:pPr>
      <w:keepNext/>
      <w:keepLines/>
      <w:spacing w:before="2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1F61C5"/>
    <w:pPr>
      <w:keepNext/>
      <w:keepLines/>
      <w:spacing w:before="40" w:after="240"/>
      <w:outlineLvl w:val="2"/>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1C5"/>
    <w:rPr>
      <w:rFonts w:asciiTheme="majorHAnsi" w:eastAsiaTheme="majorEastAsia" w:hAnsiTheme="majorHAnsi" w:cstheme="majorBidi"/>
      <w:sz w:val="32"/>
      <w:szCs w:val="32"/>
      <w:lang w:val="de-DE" w:eastAsia="de-DE"/>
    </w:rPr>
  </w:style>
  <w:style w:type="character" w:customStyle="1" w:styleId="Heading2Char">
    <w:name w:val="Heading 2 Char"/>
    <w:basedOn w:val="DefaultParagraphFont"/>
    <w:link w:val="Heading2"/>
    <w:uiPriority w:val="9"/>
    <w:rsid w:val="001F61C5"/>
    <w:rPr>
      <w:rFonts w:asciiTheme="majorHAnsi" w:eastAsiaTheme="majorEastAsia" w:hAnsiTheme="majorHAnsi" w:cstheme="majorBidi"/>
      <w:sz w:val="26"/>
      <w:szCs w:val="26"/>
      <w:lang w:val="de-DE" w:eastAsia="de-DE"/>
    </w:rPr>
  </w:style>
  <w:style w:type="character" w:customStyle="1" w:styleId="Heading3Char">
    <w:name w:val="Heading 3 Char"/>
    <w:basedOn w:val="DefaultParagraphFont"/>
    <w:link w:val="Heading3"/>
    <w:uiPriority w:val="9"/>
    <w:rsid w:val="001F61C5"/>
    <w:rPr>
      <w:rFonts w:asciiTheme="majorHAnsi" w:eastAsiaTheme="majorEastAsia" w:hAnsiTheme="majorHAnsi" w:cstheme="majorBidi"/>
      <w:i/>
      <w:lang w:val="de-DE" w:eastAsia="de-DE"/>
    </w:rPr>
  </w:style>
  <w:style w:type="character" w:customStyle="1" w:styleId="apple-converted-space">
    <w:name w:val="apple-converted-space"/>
    <w:basedOn w:val="DefaultParagraphFont"/>
    <w:rsid w:val="001F61C5"/>
  </w:style>
  <w:style w:type="character" w:styleId="Hyperlink">
    <w:name w:val="Hyperlink"/>
    <w:basedOn w:val="DefaultParagraphFont"/>
    <w:uiPriority w:val="99"/>
    <w:unhideWhenUsed/>
    <w:rsid w:val="001F61C5"/>
    <w:rPr>
      <w:color w:val="0000FF"/>
      <w:u w:val="single"/>
    </w:rPr>
  </w:style>
  <w:style w:type="paragraph" w:styleId="EndnoteText">
    <w:name w:val="endnote text"/>
    <w:basedOn w:val="Normal"/>
    <w:link w:val="EndnoteTextChar"/>
    <w:uiPriority w:val="99"/>
    <w:semiHidden/>
    <w:unhideWhenUsed/>
    <w:rsid w:val="001F61C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F61C5"/>
    <w:rPr>
      <w:sz w:val="20"/>
      <w:szCs w:val="20"/>
      <w:lang w:val="de-DE" w:eastAsia="de-DE"/>
    </w:rPr>
  </w:style>
  <w:style w:type="character" w:styleId="EndnoteReference">
    <w:name w:val="endnote reference"/>
    <w:basedOn w:val="DefaultParagraphFont"/>
    <w:uiPriority w:val="99"/>
    <w:semiHidden/>
    <w:unhideWhenUsed/>
    <w:rsid w:val="001F61C5"/>
    <w:rPr>
      <w:vertAlign w:val="superscript"/>
    </w:rPr>
  </w:style>
  <w:style w:type="paragraph" w:customStyle="1" w:styleId="EndNoteBibliographyTitle">
    <w:name w:val="EndNote Bibliography Title"/>
    <w:basedOn w:val="Normal"/>
    <w:link w:val="EndNoteBibliographyTitleZchn"/>
    <w:rsid w:val="001F61C5"/>
    <w:pPr>
      <w:jc w:val="center"/>
    </w:pPr>
    <w:rPr>
      <w:rFonts w:ascii="Calibri" w:eastAsiaTheme="minorHAnsi" w:hAnsi="Calibri" w:cs="Calibri"/>
      <w:sz w:val="20"/>
      <w:lang w:val="en-US"/>
    </w:rPr>
  </w:style>
  <w:style w:type="character" w:customStyle="1" w:styleId="EndNoteBibliographyTitleZchn">
    <w:name w:val="EndNote Bibliography Title Zchn"/>
    <w:basedOn w:val="DefaultParagraphFont"/>
    <w:link w:val="EndNoteBibliographyTitle"/>
    <w:rsid w:val="001F61C5"/>
    <w:rPr>
      <w:rFonts w:ascii="Calibri" w:hAnsi="Calibri" w:cs="Calibri"/>
      <w:sz w:val="20"/>
      <w:lang w:val="en-US" w:eastAsia="de-DE"/>
    </w:rPr>
  </w:style>
  <w:style w:type="paragraph" w:customStyle="1" w:styleId="EndNoteBibliography">
    <w:name w:val="EndNote Bibliography"/>
    <w:basedOn w:val="Normal"/>
    <w:link w:val="EndNoteBibliographyZchn"/>
    <w:rsid w:val="001F61C5"/>
    <w:rPr>
      <w:rFonts w:ascii="Calibri" w:eastAsiaTheme="minorHAnsi" w:hAnsi="Calibri" w:cs="Calibri"/>
      <w:sz w:val="20"/>
      <w:lang w:val="en-US"/>
    </w:rPr>
  </w:style>
  <w:style w:type="character" w:customStyle="1" w:styleId="EndNoteBibliographyZchn">
    <w:name w:val="EndNote Bibliography Zchn"/>
    <w:basedOn w:val="DefaultParagraphFont"/>
    <w:link w:val="EndNoteBibliography"/>
    <w:rsid w:val="001F61C5"/>
    <w:rPr>
      <w:rFonts w:ascii="Calibri" w:hAnsi="Calibri" w:cs="Calibri"/>
      <w:sz w:val="20"/>
      <w:lang w:val="en-US" w:eastAsia="de-DE"/>
    </w:rPr>
  </w:style>
  <w:style w:type="paragraph" w:styleId="ListParagraph">
    <w:name w:val="List Paragraph"/>
    <w:basedOn w:val="Normal"/>
    <w:uiPriority w:val="34"/>
    <w:qFormat/>
    <w:rsid w:val="001F61C5"/>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rsid w:val="001F61C5"/>
    <w:rPr>
      <w:color w:val="808080"/>
      <w:shd w:val="clear" w:color="auto" w:fill="E6E6E6"/>
    </w:rPr>
  </w:style>
  <w:style w:type="character" w:styleId="FollowedHyperlink">
    <w:name w:val="FollowedHyperlink"/>
    <w:basedOn w:val="DefaultParagraphFont"/>
    <w:uiPriority w:val="99"/>
    <w:semiHidden/>
    <w:unhideWhenUsed/>
    <w:rsid w:val="001F61C5"/>
    <w:rPr>
      <w:color w:val="954F72" w:themeColor="followedHyperlink"/>
      <w:u w:val="single"/>
    </w:rPr>
  </w:style>
  <w:style w:type="character" w:styleId="CommentReference">
    <w:name w:val="annotation reference"/>
    <w:basedOn w:val="DefaultParagraphFont"/>
    <w:uiPriority w:val="99"/>
    <w:semiHidden/>
    <w:unhideWhenUsed/>
    <w:rsid w:val="001F61C5"/>
    <w:rPr>
      <w:sz w:val="16"/>
      <w:szCs w:val="16"/>
    </w:rPr>
  </w:style>
  <w:style w:type="paragraph" w:styleId="CommentText">
    <w:name w:val="annotation text"/>
    <w:basedOn w:val="Normal"/>
    <w:link w:val="CommentTextChar"/>
    <w:uiPriority w:val="99"/>
    <w:unhideWhenUsed/>
    <w:rsid w:val="001F61C5"/>
    <w:rPr>
      <w:sz w:val="20"/>
      <w:szCs w:val="20"/>
    </w:rPr>
  </w:style>
  <w:style w:type="character" w:customStyle="1" w:styleId="CommentTextChar">
    <w:name w:val="Comment Text Char"/>
    <w:basedOn w:val="DefaultParagraphFont"/>
    <w:link w:val="CommentText"/>
    <w:uiPriority w:val="99"/>
    <w:rsid w:val="001F61C5"/>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1F61C5"/>
    <w:rPr>
      <w:b/>
      <w:bCs/>
    </w:rPr>
  </w:style>
  <w:style w:type="character" w:customStyle="1" w:styleId="CommentSubjectChar">
    <w:name w:val="Comment Subject Char"/>
    <w:basedOn w:val="CommentTextChar"/>
    <w:link w:val="CommentSubject"/>
    <w:uiPriority w:val="99"/>
    <w:semiHidden/>
    <w:rsid w:val="001F61C5"/>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1F6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1C5"/>
    <w:rPr>
      <w:rFonts w:ascii="Segoe UI" w:eastAsia="Times New Roman" w:hAnsi="Segoe UI" w:cs="Segoe UI"/>
      <w:sz w:val="18"/>
      <w:szCs w:val="18"/>
      <w:lang w:val="de-DE" w:eastAsia="de-DE"/>
    </w:rPr>
  </w:style>
  <w:style w:type="paragraph" w:styleId="Header">
    <w:name w:val="header"/>
    <w:basedOn w:val="Normal"/>
    <w:link w:val="HeaderChar"/>
    <w:uiPriority w:val="99"/>
    <w:unhideWhenUsed/>
    <w:rsid w:val="001F61C5"/>
    <w:pPr>
      <w:tabs>
        <w:tab w:val="center" w:pos="4536"/>
        <w:tab w:val="right" w:pos="9072"/>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F61C5"/>
    <w:rPr>
      <w:lang w:val="de-DE" w:eastAsia="de-DE"/>
    </w:rPr>
  </w:style>
  <w:style w:type="paragraph" w:styleId="Footer">
    <w:name w:val="footer"/>
    <w:basedOn w:val="Normal"/>
    <w:link w:val="FooterChar"/>
    <w:uiPriority w:val="99"/>
    <w:unhideWhenUsed/>
    <w:rsid w:val="001F61C5"/>
    <w:pPr>
      <w:tabs>
        <w:tab w:val="center" w:pos="4536"/>
        <w:tab w:val="right" w:pos="9072"/>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F61C5"/>
    <w:rPr>
      <w:lang w:val="de-DE" w:eastAsia="de-DE"/>
    </w:rPr>
  </w:style>
  <w:style w:type="paragraph" w:styleId="Revision">
    <w:name w:val="Revision"/>
    <w:hidden/>
    <w:uiPriority w:val="99"/>
    <w:semiHidden/>
    <w:rsid w:val="001F61C5"/>
    <w:rPr>
      <w:lang w:val="de-DE"/>
    </w:rPr>
  </w:style>
  <w:style w:type="paragraph" w:styleId="NormalWeb">
    <w:name w:val="Normal (Web)"/>
    <w:basedOn w:val="Normal"/>
    <w:uiPriority w:val="99"/>
    <w:unhideWhenUsed/>
    <w:rsid w:val="001F61C5"/>
    <w:pPr>
      <w:spacing w:before="100" w:beforeAutospacing="1" w:after="100" w:afterAutospacing="1"/>
    </w:pPr>
  </w:style>
  <w:style w:type="character" w:customStyle="1" w:styleId="UnresolvedMention2">
    <w:name w:val="Unresolved Mention2"/>
    <w:basedOn w:val="DefaultParagraphFont"/>
    <w:uiPriority w:val="99"/>
    <w:semiHidden/>
    <w:unhideWhenUsed/>
    <w:rsid w:val="001F61C5"/>
    <w:rPr>
      <w:color w:val="605E5C"/>
      <w:shd w:val="clear" w:color="auto" w:fill="E1DFDD"/>
    </w:rPr>
  </w:style>
  <w:style w:type="character" w:customStyle="1" w:styleId="hlfld-title">
    <w:name w:val="hlfld-title"/>
    <w:basedOn w:val="DefaultParagraphFont"/>
    <w:rsid w:val="001F61C5"/>
  </w:style>
  <w:style w:type="character" w:customStyle="1" w:styleId="articleentryauthorslinks">
    <w:name w:val="articleentryauthorslinks"/>
    <w:basedOn w:val="DefaultParagraphFont"/>
    <w:rsid w:val="001F61C5"/>
  </w:style>
  <w:style w:type="character" w:customStyle="1" w:styleId="issueinfo">
    <w:name w:val="issueinfo"/>
    <w:basedOn w:val="DefaultParagraphFont"/>
    <w:rsid w:val="001F61C5"/>
  </w:style>
  <w:style w:type="character" w:customStyle="1" w:styleId="articlepagerange">
    <w:name w:val="articlepagerange"/>
    <w:basedOn w:val="DefaultParagraphFont"/>
    <w:rsid w:val="001F61C5"/>
  </w:style>
  <w:style w:type="character" w:customStyle="1" w:styleId="issueinfocomma">
    <w:name w:val="issueinfocomma"/>
    <w:basedOn w:val="DefaultParagraphFont"/>
    <w:rsid w:val="001F61C5"/>
  </w:style>
  <w:style w:type="character" w:customStyle="1" w:styleId="UnresolvedMention3">
    <w:name w:val="Unresolved Mention3"/>
    <w:basedOn w:val="DefaultParagraphFont"/>
    <w:uiPriority w:val="99"/>
    <w:semiHidden/>
    <w:unhideWhenUsed/>
    <w:rsid w:val="001F61C5"/>
    <w:rPr>
      <w:color w:val="605E5C"/>
      <w:shd w:val="clear" w:color="auto" w:fill="E1DFDD"/>
    </w:rPr>
  </w:style>
  <w:style w:type="paragraph" w:styleId="FootnoteText">
    <w:name w:val="footnote text"/>
    <w:basedOn w:val="Normal"/>
    <w:link w:val="FootnoteTextChar"/>
    <w:autoRedefine/>
    <w:uiPriority w:val="99"/>
    <w:unhideWhenUsed/>
    <w:qFormat/>
    <w:rsid w:val="001F61C5"/>
    <w:rPr>
      <w:rFonts w:ascii="HelveticaNeue LT 55 Roman" w:eastAsiaTheme="minorHAnsi" w:hAnsi="HelveticaNeue LT 55 Roman" w:cstheme="minorBidi"/>
      <w:color w:val="5A5A5A"/>
      <w:sz w:val="16"/>
      <w:szCs w:val="20"/>
      <w:lang w:val="nl-NL"/>
    </w:rPr>
  </w:style>
  <w:style w:type="character" w:customStyle="1" w:styleId="FootnoteTextChar">
    <w:name w:val="Footnote Text Char"/>
    <w:basedOn w:val="DefaultParagraphFont"/>
    <w:link w:val="FootnoteText"/>
    <w:uiPriority w:val="99"/>
    <w:rsid w:val="001F61C5"/>
    <w:rPr>
      <w:rFonts w:ascii="HelveticaNeue LT 55 Roman" w:hAnsi="HelveticaNeue LT 55 Roman"/>
      <w:color w:val="5A5A5A"/>
      <w:sz w:val="16"/>
      <w:szCs w:val="20"/>
      <w:lang w:val="nl-NL" w:eastAsia="de-DE"/>
    </w:rPr>
  </w:style>
  <w:style w:type="character" w:styleId="FootnoteReference">
    <w:name w:val="footnote reference"/>
    <w:basedOn w:val="DefaultParagraphFont"/>
    <w:uiPriority w:val="99"/>
    <w:unhideWhenUsed/>
    <w:qFormat/>
    <w:rsid w:val="001F61C5"/>
    <w:rPr>
      <w:sz w:val="16"/>
      <w:vertAlign w:val="superscript"/>
    </w:rPr>
  </w:style>
  <w:style w:type="character" w:customStyle="1" w:styleId="UnresolvedMention4">
    <w:name w:val="Unresolved Mention4"/>
    <w:basedOn w:val="DefaultParagraphFont"/>
    <w:uiPriority w:val="99"/>
    <w:semiHidden/>
    <w:unhideWhenUsed/>
    <w:rsid w:val="001F61C5"/>
    <w:rPr>
      <w:color w:val="605E5C"/>
      <w:shd w:val="clear" w:color="auto" w:fill="E1DFDD"/>
    </w:rPr>
  </w:style>
  <w:style w:type="paragraph" w:styleId="NoSpacing">
    <w:name w:val="No Spacing"/>
    <w:uiPriority w:val="1"/>
    <w:qFormat/>
    <w:rsid w:val="001F61C5"/>
    <w:rPr>
      <w:lang w:val="de-DE"/>
    </w:rPr>
  </w:style>
  <w:style w:type="character" w:customStyle="1" w:styleId="title-text">
    <w:name w:val="title-text"/>
    <w:basedOn w:val="DefaultParagraphFont"/>
    <w:rsid w:val="001F61C5"/>
  </w:style>
  <w:style w:type="character" w:customStyle="1" w:styleId="sr-only">
    <w:name w:val="sr-only"/>
    <w:basedOn w:val="DefaultParagraphFont"/>
    <w:rsid w:val="001F61C5"/>
  </w:style>
  <w:style w:type="character" w:customStyle="1" w:styleId="text">
    <w:name w:val="text"/>
    <w:basedOn w:val="DefaultParagraphFont"/>
    <w:rsid w:val="001F61C5"/>
  </w:style>
  <w:style w:type="character" w:customStyle="1" w:styleId="author-ref">
    <w:name w:val="author-ref"/>
    <w:basedOn w:val="DefaultParagraphFont"/>
    <w:rsid w:val="001F61C5"/>
  </w:style>
  <w:style w:type="character" w:customStyle="1" w:styleId="contribdegrees">
    <w:name w:val="contribdegrees"/>
    <w:basedOn w:val="DefaultParagraphFont"/>
    <w:rsid w:val="001F61C5"/>
  </w:style>
  <w:style w:type="character" w:customStyle="1" w:styleId="ui-helper-hidden-accessible">
    <w:name w:val="ui-helper-hidden-accessible"/>
    <w:basedOn w:val="DefaultParagraphFont"/>
    <w:rsid w:val="001F61C5"/>
  </w:style>
  <w:style w:type="character" w:customStyle="1" w:styleId="institution">
    <w:name w:val="institution"/>
    <w:basedOn w:val="DefaultParagraphFont"/>
    <w:rsid w:val="001F61C5"/>
  </w:style>
  <w:style w:type="character" w:customStyle="1" w:styleId="nobrwithwbr">
    <w:name w:val="nobrwithwbr"/>
    <w:basedOn w:val="DefaultParagraphFont"/>
    <w:rsid w:val="001F61C5"/>
  </w:style>
  <w:style w:type="character" w:styleId="HTMLCite">
    <w:name w:val="HTML Cite"/>
    <w:basedOn w:val="DefaultParagraphFont"/>
    <w:uiPriority w:val="99"/>
    <w:semiHidden/>
    <w:unhideWhenUsed/>
    <w:rsid w:val="001F61C5"/>
    <w:rPr>
      <w:i/>
      <w:iCs/>
    </w:rPr>
  </w:style>
  <w:style w:type="paragraph" w:customStyle="1" w:styleId="dx-doi">
    <w:name w:val="dx-doi"/>
    <w:basedOn w:val="Normal"/>
    <w:rsid w:val="001F61C5"/>
    <w:pPr>
      <w:spacing w:before="100" w:beforeAutospacing="1" w:after="100" w:afterAutospacing="1"/>
    </w:pPr>
    <w:rPr>
      <w:lang w:val="en-GB" w:eastAsia="en-GB"/>
    </w:rPr>
  </w:style>
  <w:style w:type="table" w:styleId="TableGrid">
    <w:name w:val="Table Grid"/>
    <w:basedOn w:val="TableNormal"/>
    <w:uiPriority w:val="39"/>
    <w:rsid w:val="001F61C5"/>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F61C5"/>
    <w:rPr>
      <w:rFonts w:ascii="Tahoma" w:hAnsi="Tahoma" w:cs="Tahoma"/>
      <w:sz w:val="16"/>
      <w:szCs w:val="16"/>
    </w:rPr>
  </w:style>
  <w:style w:type="character" w:customStyle="1" w:styleId="DocumentMapChar">
    <w:name w:val="Document Map Char"/>
    <w:basedOn w:val="DefaultParagraphFont"/>
    <w:link w:val="DocumentMap"/>
    <w:uiPriority w:val="99"/>
    <w:semiHidden/>
    <w:rsid w:val="001F61C5"/>
    <w:rPr>
      <w:rFonts w:ascii="Tahoma" w:eastAsia="Times New Roman" w:hAnsi="Tahoma" w:cs="Tahoma"/>
      <w:sz w:val="16"/>
      <w:szCs w:val="16"/>
      <w:lang w:val="de-DE" w:eastAsia="de-DE"/>
    </w:rPr>
  </w:style>
  <w:style w:type="character" w:styleId="Emphasis">
    <w:name w:val="Emphasis"/>
    <w:basedOn w:val="DefaultParagraphFont"/>
    <w:uiPriority w:val="20"/>
    <w:qFormat/>
    <w:rsid w:val="001F61C5"/>
    <w:rPr>
      <w:i/>
      <w:iCs/>
    </w:rPr>
  </w:style>
  <w:style w:type="character" w:customStyle="1" w:styleId="UnresolvedMention5">
    <w:name w:val="Unresolved Mention5"/>
    <w:basedOn w:val="DefaultParagraphFont"/>
    <w:uiPriority w:val="99"/>
    <w:semiHidden/>
    <w:unhideWhenUsed/>
    <w:rsid w:val="001F6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14458">
      <w:bodyDiv w:val="1"/>
      <w:marLeft w:val="0"/>
      <w:marRight w:val="0"/>
      <w:marTop w:val="0"/>
      <w:marBottom w:val="0"/>
      <w:divBdr>
        <w:top w:val="none" w:sz="0" w:space="0" w:color="auto"/>
        <w:left w:val="none" w:sz="0" w:space="0" w:color="auto"/>
        <w:bottom w:val="none" w:sz="0" w:space="0" w:color="auto"/>
        <w:right w:val="none" w:sz="0" w:space="0" w:color="auto"/>
      </w:divBdr>
      <w:divsChild>
        <w:div w:id="911085650">
          <w:marLeft w:val="0"/>
          <w:marRight w:val="0"/>
          <w:marTop w:val="0"/>
          <w:marBottom w:val="0"/>
          <w:divBdr>
            <w:top w:val="none" w:sz="0" w:space="0" w:color="auto"/>
            <w:left w:val="none" w:sz="0" w:space="0" w:color="auto"/>
            <w:bottom w:val="none" w:sz="0" w:space="0" w:color="auto"/>
            <w:right w:val="none" w:sz="0" w:space="0" w:color="auto"/>
          </w:divBdr>
          <w:divsChild>
            <w:div w:id="267279618">
              <w:marLeft w:val="0"/>
              <w:marRight w:val="0"/>
              <w:marTop w:val="0"/>
              <w:marBottom w:val="0"/>
              <w:divBdr>
                <w:top w:val="none" w:sz="0" w:space="0" w:color="auto"/>
                <w:left w:val="none" w:sz="0" w:space="0" w:color="auto"/>
                <w:bottom w:val="none" w:sz="0" w:space="0" w:color="auto"/>
                <w:right w:val="none" w:sz="0" w:space="0" w:color="auto"/>
              </w:divBdr>
              <w:divsChild>
                <w:div w:id="17901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126">
      <w:bodyDiv w:val="1"/>
      <w:marLeft w:val="0"/>
      <w:marRight w:val="0"/>
      <w:marTop w:val="0"/>
      <w:marBottom w:val="0"/>
      <w:divBdr>
        <w:top w:val="none" w:sz="0" w:space="0" w:color="auto"/>
        <w:left w:val="none" w:sz="0" w:space="0" w:color="auto"/>
        <w:bottom w:val="none" w:sz="0" w:space="0" w:color="auto"/>
        <w:right w:val="none" w:sz="0" w:space="0" w:color="auto"/>
      </w:divBdr>
      <w:divsChild>
        <w:div w:id="2126610050">
          <w:marLeft w:val="0"/>
          <w:marRight w:val="0"/>
          <w:marTop w:val="0"/>
          <w:marBottom w:val="0"/>
          <w:divBdr>
            <w:top w:val="none" w:sz="0" w:space="0" w:color="auto"/>
            <w:left w:val="none" w:sz="0" w:space="0" w:color="auto"/>
            <w:bottom w:val="none" w:sz="0" w:space="0" w:color="auto"/>
            <w:right w:val="none" w:sz="0" w:space="0" w:color="auto"/>
          </w:divBdr>
          <w:divsChild>
            <w:div w:id="59408333">
              <w:marLeft w:val="0"/>
              <w:marRight w:val="0"/>
              <w:marTop w:val="0"/>
              <w:marBottom w:val="0"/>
              <w:divBdr>
                <w:top w:val="none" w:sz="0" w:space="0" w:color="auto"/>
                <w:left w:val="none" w:sz="0" w:space="0" w:color="auto"/>
                <w:bottom w:val="none" w:sz="0" w:space="0" w:color="auto"/>
                <w:right w:val="none" w:sz="0" w:space="0" w:color="auto"/>
              </w:divBdr>
              <w:divsChild>
                <w:div w:id="1602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itat3.org/wp-content/uploads/NUA-English.pdf" TargetMode="External"/><Relationship Id="rId3" Type="http://schemas.openxmlformats.org/officeDocument/2006/relationships/settings" Target="settings.xml"/><Relationship Id="rId7" Type="http://schemas.openxmlformats.org/officeDocument/2006/relationships/hyperlink" Target="https://sustainabledevelopment.un.org/content/documents/21252030%20Agenda%20for%20Sustainable%20Development%20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Dembski</dc:creator>
  <cp:keywords/>
  <dc:description/>
  <cp:lastModifiedBy>Sebastian Dembski</cp:lastModifiedBy>
  <cp:revision>3</cp:revision>
  <dcterms:created xsi:type="dcterms:W3CDTF">2020-01-28T14:16:00Z</dcterms:created>
  <dcterms:modified xsi:type="dcterms:W3CDTF">2020-01-28T14:17:00Z</dcterms:modified>
</cp:coreProperties>
</file>