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0A0" w:rsidRDefault="00A930A0" w:rsidP="00A930A0">
      <w:pPr>
        <w:shd w:val="clear" w:color="auto" w:fill="FFFFFF"/>
        <w:jc w:val="center"/>
        <w:rPr>
          <w:rFonts w:ascii="Arial" w:hAnsi="Arial" w:cs="Arial"/>
          <w:b/>
          <w:bCs/>
          <w:color w:val="000000"/>
          <w:sz w:val="28"/>
          <w:szCs w:val="28"/>
          <w:lang w:eastAsia="en-GB"/>
        </w:rPr>
      </w:pPr>
      <w:r>
        <w:rPr>
          <w:rFonts w:ascii="Arial" w:hAnsi="Arial" w:cs="Arial"/>
          <w:b/>
          <w:bCs/>
          <w:color w:val="000000"/>
          <w:sz w:val="28"/>
          <w:szCs w:val="28"/>
          <w:lang w:eastAsia="en-GB"/>
        </w:rPr>
        <w:t>PHYSIOLOGY FOR ALL - REFLECTIONS ON THE DESIGN AND DELIVERY OF A MOOC TO ENHANCE SUBJECT KNOWLEDGE OF 16-19 YEAR-OLD PHYSIOLOGY STUDENTS</w:t>
      </w:r>
    </w:p>
    <w:p w:rsidR="00A930A0" w:rsidRDefault="00A930A0" w:rsidP="00A930A0">
      <w:pPr>
        <w:rPr>
          <w:rFonts w:ascii="Times New Roman" w:hAnsi="Times New Roman" w:cs="Times New Roman"/>
          <w:sz w:val="24"/>
          <w:szCs w:val="24"/>
          <w:lang w:eastAsia="en-GB"/>
        </w:rPr>
      </w:pPr>
    </w:p>
    <w:p w:rsidR="00A930A0" w:rsidRDefault="00A930A0" w:rsidP="00A930A0">
      <w:pPr>
        <w:shd w:val="clear" w:color="auto" w:fill="FFFFFF"/>
        <w:jc w:val="center"/>
        <w:rPr>
          <w:rFonts w:ascii="Arial" w:hAnsi="Arial" w:cs="Arial"/>
          <w:b/>
          <w:bCs/>
          <w:color w:val="000000"/>
          <w:sz w:val="24"/>
          <w:szCs w:val="24"/>
          <w:lang w:eastAsia="en-GB"/>
        </w:rPr>
      </w:pPr>
      <w:r>
        <w:rPr>
          <w:rFonts w:ascii="Arial" w:hAnsi="Arial" w:cs="Arial"/>
          <w:b/>
          <w:bCs/>
          <w:color w:val="000000"/>
          <w:sz w:val="24"/>
          <w:szCs w:val="24"/>
          <w:lang w:eastAsia="en-GB"/>
        </w:rPr>
        <w:t>D. Prescott</w:t>
      </w:r>
      <w:r>
        <w:rPr>
          <w:rFonts w:ascii="Arial" w:hAnsi="Arial" w:cs="Arial"/>
          <w:b/>
          <w:bCs/>
          <w:color w:val="000000"/>
          <w:sz w:val="24"/>
          <w:szCs w:val="24"/>
          <w:vertAlign w:val="superscript"/>
          <w:lang w:eastAsia="en-GB"/>
        </w:rPr>
        <w:t>1</w:t>
      </w:r>
      <w:r>
        <w:rPr>
          <w:rFonts w:ascii="Arial" w:hAnsi="Arial" w:cs="Arial"/>
          <w:b/>
          <w:bCs/>
          <w:color w:val="000000"/>
          <w:sz w:val="24"/>
          <w:szCs w:val="24"/>
          <w:lang w:eastAsia="en-GB"/>
        </w:rPr>
        <w:t>, R. Randles</w:t>
      </w:r>
      <w:r>
        <w:rPr>
          <w:rFonts w:ascii="Arial" w:hAnsi="Arial" w:cs="Arial"/>
          <w:b/>
          <w:bCs/>
          <w:color w:val="000000"/>
          <w:sz w:val="24"/>
          <w:szCs w:val="24"/>
          <w:vertAlign w:val="superscript"/>
          <w:lang w:eastAsia="en-GB"/>
        </w:rPr>
        <w:t>1</w:t>
      </w:r>
      <w:r>
        <w:rPr>
          <w:rFonts w:ascii="Arial" w:hAnsi="Arial" w:cs="Arial"/>
          <w:b/>
          <w:bCs/>
          <w:color w:val="000000"/>
          <w:sz w:val="24"/>
          <w:szCs w:val="24"/>
          <w:lang w:eastAsia="en-GB"/>
        </w:rPr>
        <w:t>, T. Gleave</w:t>
      </w:r>
      <w:r>
        <w:rPr>
          <w:rFonts w:ascii="Arial" w:hAnsi="Arial" w:cs="Arial"/>
          <w:b/>
          <w:bCs/>
          <w:color w:val="000000"/>
          <w:sz w:val="24"/>
          <w:szCs w:val="24"/>
          <w:vertAlign w:val="superscript"/>
          <w:lang w:eastAsia="en-GB"/>
        </w:rPr>
        <w:t>1</w:t>
      </w:r>
      <w:r>
        <w:rPr>
          <w:rFonts w:ascii="Arial" w:hAnsi="Arial" w:cs="Arial"/>
          <w:b/>
          <w:bCs/>
          <w:color w:val="000000"/>
          <w:sz w:val="24"/>
          <w:szCs w:val="24"/>
          <w:lang w:eastAsia="en-GB"/>
        </w:rPr>
        <w:t>, P. Alston</w:t>
      </w:r>
      <w:r>
        <w:rPr>
          <w:rFonts w:ascii="Arial" w:hAnsi="Arial" w:cs="Arial"/>
          <w:b/>
          <w:bCs/>
          <w:color w:val="000000"/>
          <w:sz w:val="24"/>
          <w:szCs w:val="24"/>
          <w:vertAlign w:val="superscript"/>
          <w:lang w:eastAsia="en-GB"/>
        </w:rPr>
        <w:t>2</w:t>
      </w:r>
      <w:r>
        <w:rPr>
          <w:rFonts w:ascii="Arial" w:hAnsi="Arial" w:cs="Arial"/>
          <w:b/>
          <w:bCs/>
          <w:color w:val="000000"/>
          <w:sz w:val="24"/>
          <w:szCs w:val="24"/>
          <w:lang w:eastAsia="en-GB"/>
        </w:rPr>
        <w:t>, B. Grubb</w:t>
      </w:r>
      <w:r>
        <w:rPr>
          <w:rFonts w:ascii="Arial" w:hAnsi="Arial" w:cs="Arial"/>
          <w:b/>
          <w:bCs/>
          <w:color w:val="000000"/>
          <w:sz w:val="24"/>
          <w:szCs w:val="24"/>
          <w:vertAlign w:val="superscript"/>
          <w:lang w:eastAsia="en-GB"/>
        </w:rPr>
        <w:t>3</w:t>
      </w:r>
    </w:p>
    <w:p w:rsidR="00A930A0" w:rsidRDefault="00A930A0" w:rsidP="00A930A0">
      <w:pPr>
        <w:rPr>
          <w:rFonts w:ascii="Times New Roman" w:hAnsi="Times New Roman" w:cs="Times New Roman"/>
          <w:sz w:val="24"/>
          <w:szCs w:val="24"/>
          <w:lang w:eastAsia="en-GB"/>
        </w:rPr>
      </w:pPr>
    </w:p>
    <w:p w:rsidR="00A930A0" w:rsidRDefault="00A930A0" w:rsidP="00A930A0">
      <w:pPr>
        <w:shd w:val="clear" w:color="auto" w:fill="FFFFFF"/>
        <w:jc w:val="center"/>
        <w:rPr>
          <w:rFonts w:ascii="Arial" w:hAnsi="Arial" w:cs="Arial"/>
          <w:i/>
          <w:iCs/>
          <w:color w:val="000000"/>
          <w:lang w:eastAsia="en-GB"/>
        </w:rPr>
      </w:pPr>
      <w:r>
        <w:rPr>
          <w:rFonts w:ascii="Arial" w:hAnsi="Arial" w:cs="Arial"/>
          <w:i/>
          <w:iCs/>
          <w:color w:val="000000"/>
          <w:vertAlign w:val="superscript"/>
          <w:lang w:eastAsia="en-GB"/>
        </w:rPr>
        <w:t>1</w:t>
      </w:r>
      <w:r>
        <w:rPr>
          <w:rFonts w:ascii="Arial" w:hAnsi="Arial" w:cs="Arial"/>
          <w:i/>
          <w:iCs/>
          <w:color w:val="000000"/>
          <w:lang w:eastAsia="en-GB"/>
        </w:rPr>
        <w:t> University of Liverpool (UNITED KINGDOM</w:t>
      </w:r>
      <w:proofErr w:type="gramStart"/>
      <w:r>
        <w:rPr>
          <w:rFonts w:ascii="Arial" w:hAnsi="Arial" w:cs="Arial"/>
          <w:i/>
          <w:iCs/>
          <w:color w:val="000000"/>
          <w:lang w:eastAsia="en-GB"/>
        </w:rPr>
        <w:t>)</w:t>
      </w:r>
      <w:proofErr w:type="gramEnd"/>
      <w:r>
        <w:rPr>
          <w:rFonts w:ascii="Arial" w:hAnsi="Arial" w:cs="Arial"/>
          <w:i/>
          <w:iCs/>
          <w:color w:val="000000"/>
          <w:lang w:eastAsia="en-GB"/>
        </w:rPr>
        <w:br/>
      </w:r>
      <w:r>
        <w:rPr>
          <w:rFonts w:ascii="Arial" w:hAnsi="Arial" w:cs="Arial"/>
          <w:i/>
          <w:iCs/>
          <w:color w:val="000000"/>
          <w:vertAlign w:val="superscript"/>
          <w:lang w:eastAsia="en-GB"/>
        </w:rPr>
        <w:t>2</w:t>
      </w:r>
      <w:r>
        <w:rPr>
          <w:rFonts w:ascii="Arial" w:hAnsi="Arial" w:cs="Arial"/>
          <w:i/>
          <w:iCs/>
          <w:color w:val="000000"/>
          <w:lang w:eastAsia="en-GB"/>
        </w:rPr>
        <w:t> BPP University (UNITED KINGDOM)</w:t>
      </w:r>
      <w:r>
        <w:rPr>
          <w:rFonts w:ascii="Arial" w:hAnsi="Arial" w:cs="Arial"/>
          <w:i/>
          <w:iCs/>
          <w:color w:val="000000"/>
          <w:lang w:eastAsia="en-GB"/>
        </w:rPr>
        <w:br/>
      </w:r>
      <w:r>
        <w:rPr>
          <w:rFonts w:ascii="Arial" w:hAnsi="Arial" w:cs="Arial"/>
          <w:i/>
          <w:iCs/>
          <w:color w:val="000000"/>
          <w:vertAlign w:val="superscript"/>
          <w:lang w:eastAsia="en-GB"/>
        </w:rPr>
        <w:t>3</w:t>
      </w:r>
      <w:r>
        <w:rPr>
          <w:rFonts w:ascii="Arial" w:hAnsi="Arial" w:cs="Arial"/>
          <w:i/>
          <w:iCs/>
          <w:color w:val="000000"/>
          <w:lang w:eastAsia="en-GB"/>
        </w:rPr>
        <w:t> University of Dundee (UNITED KINGDOM)</w:t>
      </w:r>
    </w:p>
    <w:p w:rsidR="00A930A0" w:rsidRDefault="00A930A0" w:rsidP="00A930A0">
      <w:pPr>
        <w:shd w:val="clear" w:color="auto" w:fill="FFFFFF"/>
        <w:jc w:val="center"/>
        <w:rPr>
          <w:rFonts w:ascii="Arial" w:hAnsi="Arial" w:cs="Arial"/>
          <w:i/>
          <w:iCs/>
          <w:color w:val="000000"/>
          <w:lang w:eastAsia="en-GB"/>
        </w:rPr>
      </w:pPr>
      <w:hyperlink r:id="rId4" w:history="1">
        <w:r>
          <w:rPr>
            <w:rStyle w:val="Hyperlink"/>
            <w:rFonts w:ascii="Arial" w:hAnsi="Arial" w:cs="Arial"/>
            <w:i/>
            <w:iCs/>
            <w:lang w:eastAsia="en-GB"/>
          </w:rPr>
          <w:t>prescottd@liverpool.ac.uk</w:t>
        </w:r>
      </w:hyperlink>
      <w:r>
        <w:rPr>
          <w:rFonts w:ascii="Arial" w:hAnsi="Arial" w:cs="Arial"/>
          <w:i/>
          <w:iCs/>
          <w:color w:val="000000"/>
          <w:lang w:eastAsia="en-GB"/>
        </w:rPr>
        <w:t xml:space="preserve">, </w:t>
      </w:r>
      <w:hyperlink r:id="rId5" w:history="1">
        <w:r>
          <w:rPr>
            <w:rStyle w:val="Hyperlink"/>
            <w:rFonts w:ascii="Arial" w:hAnsi="Arial" w:cs="Arial"/>
            <w:i/>
            <w:iCs/>
            <w:lang w:eastAsia="en-GB"/>
          </w:rPr>
          <w:t>r.j.randles@liverpool.ac.uk</w:t>
        </w:r>
      </w:hyperlink>
      <w:r>
        <w:rPr>
          <w:rFonts w:ascii="Arial" w:hAnsi="Arial" w:cs="Arial"/>
          <w:i/>
          <w:iCs/>
          <w:color w:val="000000"/>
          <w:lang w:eastAsia="en-GB"/>
        </w:rPr>
        <w:t xml:space="preserve">, </w:t>
      </w:r>
      <w:hyperlink r:id="rId6" w:history="1">
        <w:r>
          <w:rPr>
            <w:rStyle w:val="Hyperlink"/>
            <w:rFonts w:ascii="Arial" w:hAnsi="Arial" w:cs="Arial"/>
            <w:i/>
            <w:iCs/>
            <w:lang w:eastAsia="en-GB"/>
          </w:rPr>
          <w:t>tlgleave@liverpool.ac.uk</w:t>
        </w:r>
      </w:hyperlink>
      <w:r>
        <w:rPr>
          <w:rFonts w:ascii="Arial" w:hAnsi="Arial" w:cs="Arial"/>
          <w:i/>
          <w:iCs/>
          <w:color w:val="000000"/>
          <w:lang w:eastAsia="en-GB"/>
        </w:rPr>
        <w:t xml:space="preserve">, </w:t>
      </w:r>
      <w:hyperlink r:id="rId7" w:history="1">
        <w:r>
          <w:rPr>
            <w:rStyle w:val="Hyperlink"/>
            <w:rFonts w:ascii="Arial" w:hAnsi="Arial" w:cs="Arial"/>
            <w:i/>
            <w:iCs/>
            <w:lang w:eastAsia="en-GB"/>
          </w:rPr>
          <w:t>peteralston@bpp.com</w:t>
        </w:r>
      </w:hyperlink>
      <w:r>
        <w:rPr>
          <w:rFonts w:ascii="Arial" w:hAnsi="Arial" w:cs="Arial"/>
          <w:i/>
          <w:iCs/>
          <w:color w:val="000000"/>
          <w:lang w:eastAsia="en-GB"/>
        </w:rPr>
        <w:t xml:space="preserve">, </w:t>
      </w:r>
      <w:hyperlink r:id="rId8" w:history="1">
        <w:r>
          <w:rPr>
            <w:rStyle w:val="Hyperlink"/>
            <w:rFonts w:ascii="Arial" w:hAnsi="Arial" w:cs="Arial"/>
            <w:i/>
            <w:iCs/>
            <w:lang w:eastAsia="en-GB"/>
          </w:rPr>
          <w:t>b.d.grubb@dundee.ac.uk</w:t>
        </w:r>
      </w:hyperlink>
    </w:p>
    <w:p w:rsidR="00A930A0" w:rsidRDefault="00A930A0" w:rsidP="00A930A0">
      <w:pPr>
        <w:shd w:val="clear" w:color="auto" w:fill="FFFFFF"/>
        <w:spacing w:line="220" w:lineRule="atLeast"/>
        <w:rPr>
          <w:rFonts w:ascii="Arial" w:hAnsi="Arial" w:cs="Arial"/>
          <w:color w:val="000000"/>
          <w:sz w:val="20"/>
          <w:szCs w:val="20"/>
          <w:lang w:eastAsia="en-GB"/>
        </w:rPr>
      </w:pPr>
      <w:bookmarkStart w:id="0" w:name="_GoBack"/>
      <w:bookmarkEnd w:id="0"/>
      <w:r>
        <w:rPr>
          <w:rFonts w:ascii="Arial" w:hAnsi="Arial" w:cs="Arial"/>
          <w:color w:val="000000"/>
          <w:sz w:val="20"/>
          <w:szCs w:val="20"/>
          <w:lang w:eastAsia="en-GB"/>
        </w:rPr>
        <w:t xml:space="preserve">Massive Open Online Courses (MOOCs) have been used by an increasing number of universities in recent years as a viable method of disseminating knowledge at scale, and at minimal cost (Gore, 2014; Hyman, 2012; </w:t>
      </w:r>
      <w:proofErr w:type="spellStart"/>
      <w:r>
        <w:rPr>
          <w:rFonts w:ascii="Arial" w:hAnsi="Arial" w:cs="Arial"/>
          <w:color w:val="000000"/>
          <w:sz w:val="20"/>
          <w:szCs w:val="20"/>
          <w:lang w:eastAsia="en-GB"/>
        </w:rPr>
        <w:t>Langen</w:t>
      </w:r>
      <w:proofErr w:type="spellEnd"/>
      <w:r>
        <w:rPr>
          <w:rFonts w:ascii="Arial" w:hAnsi="Arial" w:cs="Arial"/>
          <w:color w:val="000000"/>
          <w:sz w:val="20"/>
          <w:szCs w:val="20"/>
          <w:lang w:eastAsia="en-GB"/>
        </w:rPr>
        <w:t xml:space="preserve"> &amp; Bosch 2013; Sinclair, </w:t>
      </w:r>
      <w:proofErr w:type="spellStart"/>
      <w:r>
        <w:rPr>
          <w:rFonts w:ascii="Arial" w:hAnsi="Arial" w:cs="Arial"/>
          <w:color w:val="000000"/>
          <w:sz w:val="20"/>
          <w:szCs w:val="20"/>
          <w:lang w:eastAsia="en-GB"/>
        </w:rPr>
        <w:t>Boyatt</w:t>
      </w:r>
      <w:proofErr w:type="spellEnd"/>
      <w:r>
        <w:rPr>
          <w:rFonts w:ascii="Arial" w:hAnsi="Arial" w:cs="Arial"/>
          <w:color w:val="000000"/>
          <w:sz w:val="20"/>
          <w:szCs w:val="20"/>
          <w:lang w:eastAsia="en-GB"/>
        </w:rPr>
        <w:t>, Rocks, et al. 2015). As such, there has been much written with regards to their ‘disruptive’ potential on the higher education sector and the opportunities they afford (Bayne &amp; Ross 2014; Yuan &amp; Powell 2013; Daniel 2012). However, whilst MOOCs typically attract learners who have already graduated from university, there is a growing trend to develop courses that target other audiences – specifically the 16-19 year-old demographic, many of whom often feel underprepared for university study (</w:t>
      </w:r>
      <w:proofErr w:type="spellStart"/>
      <w:r>
        <w:rPr>
          <w:rFonts w:ascii="Arial" w:hAnsi="Arial" w:cs="Arial"/>
          <w:color w:val="000000"/>
          <w:sz w:val="20"/>
          <w:szCs w:val="20"/>
          <w:lang w:eastAsia="en-GB"/>
        </w:rPr>
        <w:t>Gourlay</w:t>
      </w:r>
      <w:proofErr w:type="spellEnd"/>
      <w:r>
        <w:rPr>
          <w:rFonts w:ascii="Arial" w:hAnsi="Arial" w:cs="Arial"/>
          <w:color w:val="000000"/>
          <w:sz w:val="20"/>
          <w:szCs w:val="20"/>
          <w:lang w:eastAsia="en-GB"/>
        </w:rPr>
        <w:t xml:space="preserve">, 2009; </w:t>
      </w:r>
      <w:proofErr w:type="spellStart"/>
      <w:r>
        <w:rPr>
          <w:rFonts w:ascii="Arial" w:hAnsi="Arial" w:cs="Arial"/>
          <w:color w:val="000000"/>
          <w:sz w:val="20"/>
          <w:szCs w:val="20"/>
          <w:lang w:eastAsia="en-GB"/>
        </w:rPr>
        <w:t>SecEd</w:t>
      </w:r>
      <w:proofErr w:type="spellEnd"/>
      <w:r>
        <w:rPr>
          <w:rFonts w:ascii="Arial" w:hAnsi="Arial" w:cs="Arial"/>
          <w:color w:val="000000"/>
          <w:sz w:val="20"/>
          <w:szCs w:val="20"/>
          <w:lang w:eastAsia="en-GB"/>
        </w:rPr>
        <w:t xml:space="preserve"> 2015).</w:t>
      </w:r>
      <w:r>
        <w:rPr>
          <w:rFonts w:ascii="Arial" w:hAnsi="Arial" w:cs="Arial"/>
          <w:color w:val="000000"/>
          <w:sz w:val="20"/>
          <w:szCs w:val="20"/>
          <w:lang w:eastAsia="en-GB"/>
        </w:rPr>
        <w:br/>
      </w:r>
      <w:r>
        <w:rPr>
          <w:rFonts w:ascii="Arial" w:hAnsi="Arial" w:cs="Arial"/>
          <w:color w:val="000000"/>
          <w:sz w:val="20"/>
          <w:szCs w:val="20"/>
          <w:lang w:eastAsia="en-GB"/>
        </w:rPr>
        <w:br/>
        <w:t>Here, the authors present the evaluation and reflections of the delivery of a 3-week MOOC aimed at enhancing the subject knowledge of 16-19 year-old students studying Physiology, which has run three times since 2017. We will present the context of the MOOC (and our collaborative partnership with The Physiological Society), quantitative and qualitative data garnered from the course delivery, our own reflections of the process adopted for development and delivery, and subsequent thoughts for what we do next. This presentation will be of interest to those considering alternative methods to support and enhance ‘traditional’ course delivery, supporting the student transition to university study, and the challenges faced when developing wholly online courses to be delivered on an international stage.</w:t>
      </w:r>
      <w:r>
        <w:rPr>
          <w:rFonts w:ascii="Arial" w:hAnsi="Arial" w:cs="Arial"/>
          <w:color w:val="000000"/>
          <w:sz w:val="20"/>
          <w:szCs w:val="20"/>
          <w:lang w:eastAsia="en-GB"/>
        </w:rPr>
        <w:br/>
      </w:r>
      <w:r>
        <w:rPr>
          <w:rFonts w:ascii="Arial" w:hAnsi="Arial" w:cs="Arial"/>
          <w:color w:val="000000"/>
          <w:sz w:val="20"/>
          <w:szCs w:val="20"/>
          <w:lang w:eastAsia="en-GB"/>
        </w:rPr>
        <w:br/>
        <w:t>References</w:t>
      </w:r>
      <w:r>
        <w:rPr>
          <w:rFonts w:ascii="Arial" w:hAnsi="Arial" w:cs="Arial"/>
          <w:color w:val="000000"/>
          <w:sz w:val="20"/>
          <w:szCs w:val="20"/>
          <w:lang w:eastAsia="en-GB"/>
        </w:rPr>
        <w:br/>
        <w:t xml:space="preserve">Bayne, S. &amp; Ross, J. (2014). The pedagogy of the Massive Open Online Course: the UK view, Available at: </w:t>
      </w:r>
      <w:hyperlink r:id="rId9" w:history="1">
        <w:r>
          <w:rPr>
            <w:rStyle w:val="Hyperlink"/>
            <w:rFonts w:ascii="Arial" w:hAnsi="Arial" w:cs="Arial"/>
            <w:sz w:val="20"/>
            <w:szCs w:val="20"/>
            <w:lang w:eastAsia="en-GB"/>
          </w:rPr>
          <w:t>https://www.heacademy.ac.uk/system/files/hea_edinburgh_mooc_web_240314_1.pdf</w:t>
        </w:r>
      </w:hyperlink>
      <w:r>
        <w:rPr>
          <w:rFonts w:ascii="Arial" w:hAnsi="Arial" w:cs="Arial"/>
          <w:color w:val="000000"/>
          <w:sz w:val="20"/>
          <w:szCs w:val="20"/>
          <w:lang w:eastAsia="en-GB"/>
        </w:rPr>
        <w:t>. [Retrieved 18 November 2019].</w:t>
      </w:r>
    </w:p>
    <w:p w:rsidR="00A930A0" w:rsidRDefault="00A930A0" w:rsidP="00A930A0">
      <w:pPr>
        <w:shd w:val="clear" w:color="auto" w:fill="FFFFFF"/>
        <w:spacing w:line="220" w:lineRule="atLeast"/>
        <w:rPr>
          <w:rFonts w:ascii="Arial" w:hAnsi="Arial" w:cs="Arial"/>
          <w:color w:val="000000"/>
          <w:sz w:val="20"/>
          <w:szCs w:val="20"/>
          <w:lang w:eastAsia="en-GB"/>
        </w:rPr>
      </w:pPr>
      <w:r>
        <w:rPr>
          <w:rFonts w:ascii="Arial" w:hAnsi="Arial" w:cs="Arial"/>
          <w:color w:val="000000"/>
          <w:sz w:val="20"/>
          <w:szCs w:val="20"/>
          <w:lang w:eastAsia="en-GB"/>
        </w:rPr>
        <w:br/>
        <w:t xml:space="preserve">Daniel, J. (2012). Making Sense of MOOCs: Musings in a Maze of Myth, Paradox and Possibility. Journal of Interactive Media in Education, 2012(3), p.Art.18. </w:t>
      </w:r>
      <w:proofErr w:type="spellStart"/>
      <w:proofErr w:type="gramStart"/>
      <w:r>
        <w:rPr>
          <w:rFonts w:ascii="Arial" w:hAnsi="Arial" w:cs="Arial"/>
          <w:color w:val="000000"/>
          <w:sz w:val="20"/>
          <w:szCs w:val="20"/>
          <w:lang w:eastAsia="en-GB"/>
        </w:rPr>
        <w:t>doi</w:t>
      </w:r>
      <w:proofErr w:type="spellEnd"/>
      <w:proofErr w:type="gramEnd"/>
      <w:r>
        <w:rPr>
          <w:rFonts w:ascii="Arial" w:hAnsi="Arial" w:cs="Arial"/>
          <w:color w:val="000000"/>
          <w:sz w:val="20"/>
          <w:szCs w:val="20"/>
          <w:lang w:eastAsia="en-GB"/>
        </w:rPr>
        <w:t>: 10.5334/2012-18.</w:t>
      </w:r>
    </w:p>
    <w:p w:rsidR="00A930A0" w:rsidRDefault="00A930A0" w:rsidP="00A930A0">
      <w:pPr>
        <w:shd w:val="clear" w:color="auto" w:fill="FFFFFF"/>
        <w:spacing w:line="220" w:lineRule="atLeast"/>
        <w:rPr>
          <w:rFonts w:ascii="Arial" w:hAnsi="Arial" w:cs="Arial"/>
          <w:color w:val="000000"/>
          <w:sz w:val="20"/>
          <w:szCs w:val="20"/>
          <w:lang w:eastAsia="en-GB"/>
        </w:rPr>
      </w:pPr>
      <w:r>
        <w:rPr>
          <w:rFonts w:ascii="Arial" w:hAnsi="Arial" w:cs="Arial"/>
          <w:color w:val="000000"/>
          <w:sz w:val="20"/>
          <w:szCs w:val="20"/>
          <w:lang w:eastAsia="en-GB"/>
        </w:rPr>
        <w:br/>
        <w:t>Gore, H. (2014). Massive Open Online Courses (MOOCs) and their impact on academic library services: Exploring the issues and challenges. New Review of Academic Librarianship, 20(1), pp. 4–28. doi:10.1080/13614533.2013.851609.</w:t>
      </w:r>
    </w:p>
    <w:p w:rsidR="00A930A0" w:rsidRDefault="00A930A0" w:rsidP="00A930A0">
      <w:pPr>
        <w:shd w:val="clear" w:color="auto" w:fill="FFFFFF"/>
        <w:spacing w:line="220" w:lineRule="atLeast"/>
        <w:rPr>
          <w:rFonts w:ascii="Arial" w:hAnsi="Arial" w:cs="Arial"/>
          <w:color w:val="000000"/>
          <w:sz w:val="20"/>
          <w:szCs w:val="20"/>
          <w:lang w:eastAsia="en-GB"/>
        </w:rPr>
      </w:pPr>
      <w:r>
        <w:rPr>
          <w:rFonts w:ascii="Arial" w:hAnsi="Arial" w:cs="Arial"/>
          <w:color w:val="000000"/>
          <w:sz w:val="20"/>
          <w:szCs w:val="20"/>
          <w:lang w:eastAsia="en-GB"/>
        </w:rPr>
        <w:br/>
      </w:r>
      <w:proofErr w:type="spellStart"/>
      <w:r>
        <w:rPr>
          <w:rFonts w:ascii="Arial" w:hAnsi="Arial" w:cs="Arial"/>
          <w:color w:val="000000"/>
          <w:sz w:val="20"/>
          <w:szCs w:val="20"/>
          <w:lang w:eastAsia="en-GB"/>
        </w:rPr>
        <w:t>Gourlay</w:t>
      </w:r>
      <w:proofErr w:type="spellEnd"/>
      <w:r>
        <w:rPr>
          <w:rFonts w:ascii="Arial" w:hAnsi="Arial" w:cs="Arial"/>
          <w:color w:val="000000"/>
          <w:sz w:val="20"/>
          <w:szCs w:val="20"/>
          <w:lang w:eastAsia="en-GB"/>
        </w:rPr>
        <w:t xml:space="preserve">, L. (2009). Threshold Practices: Becoming a Student </w:t>
      </w:r>
      <w:proofErr w:type="gramStart"/>
      <w:r>
        <w:rPr>
          <w:rFonts w:ascii="Arial" w:hAnsi="Arial" w:cs="Arial"/>
          <w:color w:val="000000"/>
          <w:sz w:val="20"/>
          <w:szCs w:val="20"/>
          <w:lang w:eastAsia="en-GB"/>
        </w:rPr>
        <w:t>Through</w:t>
      </w:r>
      <w:proofErr w:type="gramEnd"/>
      <w:r>
        <w:rPr>
          <w:rFonts w:ascii="Arial" w:hAnsi="Arial" w:cs="Arial"/>
          <w:color w:val="000000"/>
          <w:sz w:val="20"/>
          <w:szCs w:val="20"/>
          <w:lang w:eastAsia="en-GB"/>
        </w:rPr>
        <w:t xml:space="preserve"> Academic Literacies. London Review of Education, 7(2), pp.181–192. </w:t>
      </w:r>
      <w:proofErr w:type="spellStart"/>
      <w:proofErr w:type="gramStart"/>
      <w:r>
        <w:rPr>
          <w:rFonts w:ascii="Arial" w:hAnsi="Arial" w:cs="Arial"/>
          <w:color w:val="000000"/>
          <w:sz w:val="20"/>
          <w:szCs w:val="20"/>
          <w:lang w:eastAsia="en-GB"/>
        </w:rPr>
        <w:t>doi</w:t>
      </w:r>
      <w:proofErr w:type="spellEnd"/>
      <w:proofErr w:type="gramEnd"/>
      <w:r>
        <w:rPr>
          <w:rFonts w:ascii="Arial" w:hAnsi="Arial" w:cs="Arial"/>
          <w:color w:val="000000"/>
          <w:sz w:val="20"/>
          <w:szCs w:val="20"/>
          <w:lang w:eastAsia="en-GB"/>
        </w:rPr>
        <w:t>: 10.1080/14748460903003626</w:t>
      </w:r>
    </w:p>
    <w:p w:rsidR="00A930A0" w:rsidRDefault="00A930A0" w:rsidP="00A930A0">
      <w:pPr>
        <w:shd w:val="clear" w:color="auto" w:fill="FFFFFF"/>
        <w:spacing w:line="220" w:lineRule="atLeast"/>
        <w:rPr>
          <w:rFonts w:ascii="Arial" w:hAnsi="Arial" w:cs="Arial"/>
          <w:color w:val="000000"/>
          <w:sz w:val="20"/>
          <w:szCs w:val="20"/>
          <w:lang w:eastAsia="en-GB"/>
        </w:rPr>
      </w:pPr>
      <w:r>
        <w:rPr>
          <w:rFonts w:ascii="Arial" w:hAnsi="Arial" w:cs="Arial"/>
          <w:color w:val="000000"/>
          <w:sz w:val="20"/>
          <w:szCs w:val="20"/>
          <w:lang w:eastAsia="en-GB"/>
        </w:rPr>
        <w:br/>
        <w:t>Hyman, P. (2012). In the year of disruptive education. Communications of the ACM, 55(12), pp. 20–23. doi:10.1145/2380656.2380664</w:t>
      </w:r>
    </w:p>
    <w:p w:rsidR="00A930A0" w:rsidRDefault="00A930A0" w:rsidP="00A930A0">
      <w:pPr>
        <w:shd w:val="clear" w:color="auto" w:fill="FFFFFF"/>
        <w:spacing w:line="220" w:lineRule="atLeast"/>
        <w:rPr>
          <w:rFonts w:ascii="Arial" w:hAnsi="Arial" w:cs="Arial"/>
          <w:color w:val="000000"/>
          <w:sz w:val="20"/>
          <w:szCs w:val="20"/>
          <w:lang w:eastAsia="en-GB"/>
        </w:rPr>
      </w:pPr>
      <w:r>
        <w:rPr>
          <w:rFonts w:ascii="Arial" w:hAnsi="Arial" w:cs="Arial"/>
          <w:color w:val="000000"/>
          <w:sz w:val="20"/>
          <w:szCs w:val="20"/>
          <w:lang w:eastAsia="en-GB"/>
        </w:rPr>
        <w:br/>
      </w:r>
      <w:proofErr w:type="spellStart"/>
      <w:r>
        <w:rPr>
          <w:rFonts w:ascii="Arial" w:hAnsi="Arial" w:cs="Arial"/>
          <w:color w:val="000000"/>
          <w:sz w:val="20"/>
          <w:szCs w:val="20"/>
          <w:lang w:eastAsia="en-GB"/>
        </w:rPr>
        <w:t>Langen</w:t>
      </w:r>
      <w:proofErr w:type="spellEnd"/>
      <w:r>
        <w:rPr>
          <w:rFonts w:ascii="Arial" w:hAnsi="Arial" w:cs="Arial"/>
          <w:color w:val="000000"/>
          <w:sz w:val="20"/>
          <w:szCs w:val="20"/>
          <w:lang w:eastAsia="en-GB"/>
        </w:rPr>
        <w:t xml:space="preserve">, F., &amp; Bosch, H. (2013). Massive open online courses: Disruptive innovations or disturbing inventions? Open Learning: The Journal of Open, Distance and e-Learning, 28(3), pp. 216–226. </w:t>
      </w:r>
      <w:proofErr w:type="spellStart"/>
      <w:proofErr w:type="gramStart"/>
      <w:r>
        <w:rPr>
          <w:rFonts w:ascii="Arial" w:hAnsi="Arial" w:cs="Arial"/>
          <w:color w:val="000000"/>
          <w:sz w:val="20"/>
          <w:szCs w:val="20"/>
          <w:lang w:eastAsia="en-GB"/>
        </w:rPr>
        <w:t>doi</w:t>
      </w:r>
      <w:proofErr w:type="spellEnd"/>
      <w:proofErr w:type="gramEnd"/>
      <w:r>
        <w:rPr>
          <w:rFonts w:ascii="Arial" w:hAnsi="Arial" w:cs="Arial"/>
          <w:color w:val="000000"/>
          <w:sz w:val="20"/>
          <w:szCs w:val="20"/>
          <w:lang w:eastAsia="en-GB"/>
        </w:rPr>
        <w:t>: 10.1080/02680513.2013.870882</w:t>
      </w:r>
    </w:p>
    <w:p w:rsidR="00A930A0" w:rsidRDefault="00A930A0" w:rsidP="00A930A0">
      <w:pPr>
        <w:shd w:val="clear" w:color="auto" w:fill="FFFFFF"/>
        <w:spacing w:line="220" w:lineRule="atLeast"/>
        <w:rPr>
          <w:rFonts w:ascii="Arial" w:hAnsi="Arial" w:cs="Arial"/>
          <w:color w:val="000000"/>
          <w:sz w:val="20"/>
          <w:szCs w:val="20"/>
          <w:lang w:eastAsia="en-GB"/>
        </w:rPr>
      </w:pPr>
      <w:r>
        <w:rPr>
          <w:rFonts w:ascii="Arial" w:hAnsi="Arial" w:cs="Arial"/>
          <w:color w:val="000000"/>
          <w:sz w:val="20"/>
          <w:szCs w:val="20"/>
          <w:lang w:eastAsia="en-GB"/>
        </w:rPr>
        <w:br/>
      </w:r>
      <w:proofErr w:type="spellStart"/>
      <w:r>
        <w:rPr>
          <w:rFonts w:ascii="Arial" w:hAnsi="Arial" w:cs="Arial"/>
          <w:color w:val="000000"/>
          <w:sz w:val="20"/>
          <w:szCs w:val="20"/>
          <w:lang w:eastAsia="en-GB"/>
        </w:rPr>
        <w:t>SecEd</w:t>
      </w:r>
      <w:proofErr w:type="spellEnd"/>
      <w:r>
        <w:rPr>
          <w:rFonts w:ascii="Arial" w:hAnsi="Arial" w:cs="Arial"/>
          <w:color w:val="000000"/>
          <w:sz w:val="20"/>
          <w:szCs w:val="20"/>
          <w:lang w:eastAsia="en-GB"/>
        </w:rPr>
        <w:t xml:space="preserve"> (2015). MOOCs aim to help students prepare for university-level study. Available at: </w:t>
      </w:r>
      <w:hyperlink r:id="rId10" w:history="1">
        <w:r>
          <w:rPr>
            <w:rStyle w:val="Hyperlink"/>
            <w:rFonts w:ascii="Arial" w:hAnsi="Arial" w:cs="Arial"/>
            <w:sz w:val="20"/>
            <w:szCs w:val="20"/>
            <w:lang w:eastAsia="en-GB"/>
          </w:rPr>
          <w:t>http://www.sec-ed.co.uk/news/moocs-aim-to-help-students-prepare-for-university-level-study</w:t>
        </w:r>
      </w:hyperlink>
      <w:r>
        <w:rPr>
          <w:rFonts w:ascii="Arial" w:hAnsi="Arial" w:cs="Arial"/>
          <w:color w:val="000000"/>
          <w:sz w:val="20"/>
          <w:szCs w:val="20"/>
          <w:lang w:eastAsia="en-GB"/>
        </w:rPr>
        <w:t xml:space="preserve"> [Accessed 18 November 2019].</w:t>
      </w:r>
    </w:p>
    <w:p w:rsidR="00A930A0" w:rsidRDefault="00A930A0" w:rsidP="00A930A0">
      <w:pPr>
        <w:shd w:val="clear" w:color="auto" w:fill="FFFFFF"/>
        <w:spacing w:line="220" w:lineRule="atLeast"/>
        <w:rPr>
          <w:rFonts w:ascii="Arial" w:hAnsi="Arial" w:cs="Arial"/>
          <w:color w:val="000000"/>
          <w:sz w:val="20"/>
          <w:szCs w:val="20"/>
          <w:lang w:eastAsia="en-GB"/>
        </w:rPr>
      </w:pPr>
      <w:r>
        <w:rPr>
          <w:rFonts w:ascii="Arial" w:hAnsi="Arial" w:cs="Arial"/>
          <w:color w:val="000000"/>
          <w:sz w:val="20"/>
          <w:szCs w:val="20"/>
          <w:lang w:eastAsia="en-GB"/>
        </w:rPr>
        <w:br/>
        <w:t xml:space="preserve">Sinclair, J., </w:t>
      </w:r>
      <w:proofErr w:type="spellStart"/>
      <w:r>
        <w:rPr>
          <w:rFonts w:ascii="Arial" w:hAnsi="Arial" w:cs="Arial"/>
          <w:color w:val="000000"/>
          <w:sz w:val="20"/>
          <w:szCs w:val="20"/>
          <w:lang w:eastAsia="en-GB"/>
        </w:rPr>
        <w:t>Boyatt</w:t>
      </w:r>
      <w:proofErr w:type="spellEnd"/>
      <w:r>
        <w:rPr>
          <w:rFonts w:ascii="Arial" w:hAnsi="Arial" w:cs="Arial"/>
          <w:color w:val="000000"/>
          <w:sz w:val="20"/>
          <w:szCs w:val="20"/>
          <w:lang w:eastAsia="en-GB"/>
        </w:rPr>
        <w:t xml:space="preserve">, R., Rocks, C. &amp; Joy., M. (2015). Massive open online courses: a review of usage </w:t>
      </w:r>
      <w:r>
        <w:rPr>
          <w:rFonts w:ascii="Arial" w:hAnsi="Arial" w:cs="Arial"/>
          <w:color w:val="000000"/>
          <w:sz w:val="20"/>
          <w:szCs w:val="20"/>
          <w:lang w:eastAsia="en-GB"/>
        </w:rPr>
        <w:lastRenderedPageBreak/>
        <w:t xml:space="preserve">and evaluation. International Journal of Learning Technology, 10(1), pp.71–93. </w:t>
      </w:r>
      <w:proofErr w:type="spellStart"/>
      <w:proofErr w:type="gramStart"/>
      <w:r>
        <w:rPr>
          <w:rFonts w:ascii="Arial" w:hAnsi="Arial" w:cs="Arial"/>
          <w:color w:val="000000"/>
          <w:sz w:val="20"/>
          <w:szCs w:val="20"/>
          <w:lang w:eastAsia="en-GB"/>
        </w:rPr>
        <w:t>doi</w:t>
      </w:r>
      <w:proofErr w:type="spellEnd"/>
      <w:proofErr w:type="gramEnd"/>
      <w:r>
        <w:rPr>
          <w:rFonts w:ascii="Arial" w:hAnsi="Arial" w:cs="Arial"/>
          <w:color w:val="000000"/>
          <w:sz w:val="20"/>
          <w:szCs w:val="20"/>
          <w:lang w:eastAsia="en-GB"/>
        </w:rPr>
        <w:t>: 10.1504/IJLT.2015.069450</w:t>
      </w:r>
    </w:p>
    <w:p w:rsidR="00A930A0" w:rsidRDefault="00A930A0" w:rsidP="00A930A0">
      <w:pPr>
        <w:shd w:val="clear" w:color="auto" w:fill="FFFFFF"/>
        <w:spacing w:line="220" w:lineRule="atLeast"/>
        <w:rPr>
          <w:rFonts w:ascii="Arial" w:hAnsi="Arial" w:cs="Arial"/>
          <w:color w:val="000000"/>
          <w:sz w:val="20"/>
          <w:szCs w:val="20"/>
          <w:lang w:eastAsia="en-GB"/>
        </w:rPr>
      </w:pPr>
      <w:r>
        <w:rPr>
          <w:rFonts w:ascii="Arial" w:hAnsi="Arial" w:cs="Arial"/>
          <w:color w:val="000000"/>
          <w:sz w:val="20"/>
          <w:szCs w:val="20"/>
          <w:lang w:eastAsia="en-GB"/>
        </w:rPr>
        <w:br/>
        <w:t xml:space="preserve">Yuan, L. &amp; Powell, S. (2013). MOOCs and Open Education: Implications for Higher Education. Available at: </w:t>
      </w:r>
      <w:hyperlink r:id="rId11" w:history="1">
        <w:r>
          <w:rPr>
            <w:rStyle w:val="Hyperlink"/>
            <w:rFonts w:ascii="Arial" w:hAnsi="Arial" w:cs="Arial"/>
            <w:sz w:val="20"/>
            <w:szCs w:val="20"/>
            <w:lang w:eastAsia="en-GB"/>
          </w:rPr>
          <w:t>http://publications.cetis.ac.uk/2013/667</w:t>
        </w:r>
      </w:hyperlink>
      <w:r>
        <w:rPr>
          <w:rFonts w:ascii="Arial" w:hAnsi="Arial" w:cs="Arial"/>
          <w:color w:val="000000"/>
          <w:sz w:val="20"/>
          <w:szCs w:val="20"/>
          <w:lang w:eastAsia="en-GB"/>
        </w:rPr>
        <w:t>. [Retrieved 18 November 2019].</w:t>
      </w:r>
    </w:p>
    <w:p w:rsidR="00A930A0" w:rsidRDefault="00A930A0" w:rsidP="00A930A0">
      <w:pPr>
        <w:shd w:val="clear" w:color="auto" w:fill="FFFFFF"/>
        <w:spacing w:before="100" w:beforeAutospacing="1" w:after="100" w:afterAutospacing="1" w:line="220" w:lineRule="atLeast"/>
        <w:rPr>
          <w:rFonts w:ascii="Arial" w:hAnsi="Arial" w:cs="Arial"/>
          <w:color w:val="000000"/>
          <w:sz w:val="20"/>
          <w:szCs w:val="20"/>
          <w:lang w:eastAsia="en-GB"/>
        </w:rPr>
      </w:pPr>
      <w:r>
        <w:rPr>
          <w:rFonts w:ascii="Arial" w:hAnsi="Arial" w:cs="Arial"/>
          <w:color w:val="000000"/>
          <w:sz w:val="20"/>
          <w:szCs w:val="20"/>
          <w:lang w:eastAsia="en-GB"/>
        </w:rPr>
        <w:t>Keywords: MOOCs, physiology, student transition, staff-student partnership, higher education, case study</w:t>
      </w:r>
    </w:p>
    <w:p w:rsidR="00FF02F5" w:rsidRDefault="00FF02F5"/>
    <w:sectPr w:rsidR="00FF0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F55838C-63AB-4C7B-A1B7-C75306CC222E}"/>
    <w:docVar w:name="dgnword-eventsink" w:val="1985781517760"/>
  </w:docVars>
  <w:rsids>
    <w:rsidRoot w:val="00A930A0"/>
    <w:rsid w:val="00A930A0"/>
    <w:rsid w:val="00FF0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A732"/>
  <w15:chartTrackingRefBased/>
  <w15:docId w15:val="{A0A8C665-A18E-4B98-9AC5-45868E32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0A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30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101304">
      <w:bodyDiv w:val="1"/>
      <w:marLeft w:val="0"/>
      <w:marRight w:val="0"/>
      <w:marTop w:val="0"/>
      <w:marBottom w:val="0"/>
      <w:divBdr>
        <w:top w:val="none" w:sz="0" w:space="0" w:color="auto"/>
        <w:left w:val="none" w:sz="0" w:space="0" w:color="auto"/>
        <w:bottom w:val="none" w:sz="0" w:space="0" w:color="auto"/>
        <w:right w:val="none" w:sz="0" w:space="0" w:color="auto"/>
      </w:divBdr>
    </w:div>
    <w:div w:id="16317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grubb@dundee.ac.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eralston@bpp.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gleave@liverpool.ac.uk" TargetMode="External"/><Relationship Id="rId11" Type="http://schemas.openxmlformats.org/officeDocument/2006/relationships/hyperlink" Target="http://publications.cetis.ac.uk/2013/667" TargetMode="External"/><Relationship Id="rId5" Type="http://schemas.openxmlformats.org/officeDocument/2006/relationships/hyperlink" Target="mailto:r.j.randles@liverpool.ac.uk" TargetMode="External"/><Relationship Id="rId10" Type="http://schemas.openxmlformats.org/officeDocument/2006/relationships/hyperlink" Target="http://www.sec-ed.co.uk/news/moocs-aim-to-help-students-prepare-for-university-level-study" TargetMode="External"/><Relationship Id="rId4" Type="http://schemas.openxmlformats.org/officeDocument/2006/relationships/hyperlink" Target="mailto:prescottd@liverpool.ac.uk" TargetMode="External"/><Relationship Id="rId9" Type="http://schemas.openxmlformats.org/officeDocument/2006/relationships/hyperlink" Target="https://www.heacademy.ac.uk/system/files/hea_edinburgh_mooc_web_240314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Prescott, Denise</dc:creator>
  <cp:keywords/>
  <dc:description/>
  <cp:lastModifiedBy>Prescott, Denise</cp:lastModifiedBy>
  <cp:revision>1</cp:revision>
  <dcterms:created xsi:type="dcterms:W3CDTF">2020-02-04T16:32:00Z</dcterms:created>
  <dcterms:modified xsi:type="dcterms:W3CDTF">2020-02-04T16:33:00Z</dcterms:modified>
</cp:coreProperties>
</file>