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C57A" w14:textId="77777777" w:rsidR="00E93E63" w:rsidRPr="00FA0B3B" w:rsidRDefault="00E93E63" w:rsidP="00FA0B3B">
      <w:pPr>
        <w:pStyle w:val="Heading1"/>
      </w:pPr>
      <w:bookmarkStart w:id="0" w:name="_GoBack"/>
      <w:bookmarkEnd w:id="0"/>
      <w:r w:rsidRPr="00FA0B3B">
        <w:t>Title page</w:t>
      </w:r>
    </w:p>
    <w:p w14:paraId="4CD5A2AD" w14:textId="77777777" w:rsidR="00E93E63" w:rsidRPr="00FA0B3B" w:rsidRDefault="00E93E63" w:rsidP="00E93E63">
      <w:pPr>
        <w:rPr>
          <w:rFonts w:ascii="Arial" w:hAnsi="Arial" w:cs="Arial"/>
        </w:rPr>
      </w:pPr>
    </w:p>
    <w:p w14:paraId="3ACE9A05" w14:textId="126A0EE6" w:rsidR="00E93E63" w:rsidRDefault="00E93E63" w:rsidP="00FA0B3B">
      <w:pPr>
        <w:pStyle w:val="Heading2"/>
      </w:pPr>
      <w:r w:rsidRPr="00FA0B3B">
        <w:t>Title</w:t>
      </w:r>
    </w:p>
    <w:p w14:paraId="09CA3F3C" w14:textId="77777777" w:rsidR="00FA0B3B" w:rsidRPr="00FA0B3B" w:rsidRDefault="00FA0B3B" w:rsidP="00FA0B3B"/>
    <w:p w14:paraId="22F77D1F" w14:textId="345F3BE4" w:rsidR="00E93E63" w:rsidRDefault="00E93E63" w:rsidP="00E93E63">
      <w:pPr>
        <w:rPr>
          <w:rFonts w:ascii="Arial" w:hAnsi="Arial" w:cs="Arial"/>
        </w:rPr>
      </w:pPr>
      <w:r w:rsidRPr="00FA0B3B">
        <w:rPr>
          <w:rFonts w:ascii="Arial" w:hAnsi="Arial" w:cs="Arial"/>
        </w:rPr>
        <w:t>Bedaquiline resistance in drug-resistant tuberculosis HIV co-infected patients</w:t>
      </w:r>
    </w:p>
    <w:p w14:paraId="44896D60" w14:textId="77777777" w:rsidR="00FA0B3B" w:rsidRPr="00FA0B3B" w:rsidRDefault="00FA0B3B" w:rsidP="00E93E63">
      <w:pPr>
        <w:rPr>
          <w:rFonts w:ascii="Arial" w:hAnsi="Arial" w:cs="Arial"/>
        </w:rPr>
      </w:pPr>
    </w:p>
    <w:p w14:paraId="0B87D6CC" w14:textId="2EE8A4AF" w:rsidR="00E93E63" w:rsidRDefault="00E93E63" w:rsidP="00FA0B3B">
      <w:pPr>
        <w:pStyle w:val="Heading2"/>
      </w:pPr>
      <w:r w:rsidRPr="00FA0B3B">
        <w:t>Authors</w:t>
      </w:r>
    </w:p>
    <w:p w14:paraId="2E0296C8" w14:textId="77777777" w:rsidR="00FA0B3B" w:rsidRPr="00FA0B3B" w:rsidRDefault="00FA0B3B" w:rsidP="00E93E63">
      <w:pPr>
        <w:rPr>
          <w:rFonts w:ascii="Arial" w:hAnsi="Arial" w:cs="Arial"/>
        </w:rPr>
      </w:pPr>
    </w:p>
    <w:p w14:paraId="66CE74B9" w14:textId="4EF285D8" w:rsidR="001B47E1" w:rsidRPr="00410592" w:rsidRDefault="001B47E1" w:rsidP="001B47E1">
      <w:pPr>
        <w:rPr>
          <w:rFonts w:ascii="Arial" w:hAnsi="Arial" w:cs="Arial"/>
        </w:rPr>
      </w:pPr>
      <w:r w:rsidRPr="00410592">
        <w:rPr>
          <w:rFonts w:ascii="Arial" w:hAnsi="Arial" w:cs="Arial"/>
        </w:rPr>
        <w:t>Camus Nimmo</w:t>
      </w:r>
    </w:p>
    <w:p w14:paraId="1960D7F1" w14:textId="77777777" w:rsidR="001B47E1" w:rsidRPr="00410592" w:rsidRDefault="001B47E1" w:rsidP="001B47E1">
      <w:pPr>
        <w:rPr>
          <w:rFonts w:ascii="Arial" w:hAnsi="Arial" w:cs="Arial"/>
        </w:rPr>
      </w:pPr>
      <w:r w:rsidRPr="00410592">
        <w:rPr>
          <w:rFonts w:ascii="Arial" w:hAnsi="Arial" w:cs="Arial"/>
        </w:rPr>
        <w:t>Division of Infection and Immunity, University College London, London, UK</w:t>
      </w:r>
    </w:p>
    <w:p w14:paraId="33490042" w14:textId="77777777" w:rsidR="001B47E1" w:rsidRPr="00410592" w:rsidRDefault="001B47E1" w:rsidP="001B47E1">
      <w:pPr>
        <w:rPr>
          <w:rFonts w:ascii="Arial" w:hAnsi="Arial" w:cs="Arial"/>
        </w:rPr>
      </w:pPr>
      <w:r w:rsidRPr="00410592">
        <w:rPr>
          <w:rFonts w:ascii="Arial" w:hAnsi="Arial" w:cs="Arial"/>
        </w:rPr>
        <w:t>UCL Genetics Institute, University College London, London, UK</w:t>
      </w:r>
    </w:p>
    <w:p w14:paraId="129BB74D" w14:textId="77777777" w:rsidR="001B47E1" w:rsidRDefault="001B47E1" w:rsidP="001B47E1">
      <w:pPr>
        <w:rPr>
          <w:rFonts w:ascii="Arial" w:hAnsi="Arial" w:cs="Arial"/>
        </w:rPr>
      </w:pPr>
      <w:r w:rsidRPr="00410592">
        <w:rPr>
          <w:rFonts w:ascii="Arial" w:hAnsi="Arial" w:cs="Arial"/>
        </w:rPr>
        <w:t>Africa Health Research Institute, Durban, South Africa</w:t>
      </w:r>
    </w:p>
    <w:p w14:paraId="2740E67C" w14:textId="77777777" w:rsidR="001B47E1" w:rsidRPr="00410592" w:rsidRDefault="001B47E1" w:rsidP="001B47E1">
      <w:pPr>
        <w:rPr>
          <w:rFonts w:ascii="Arial" w:hAnsi="Arial" w:cs="Arial"/>
        </w:rPr>
      </w:pPr>
    </w:p>
    <w:p w14:paraId="7FD6F730" w14:textId="77777777" w:rsidR="001B47E1" w:rsidRPr="00410592" w:rsidRDefault="001B47E1" w:rsidP="001B47E1">
      <w:pPr>
        <w:rPr>
          <w:rFonts w:ascii="Arial" w:hAnsi="Arial" w:cs="Arial"/>
        </w:rPr>
      </w:pPr>
      <w:r w:rsidRPr="00410592">
        <w:rPr>
          <w:rFonts w:ascii="Arial" w:hAnsi="Arial" w:cs="Arial"/>
        </w:rPr>
        <w:t>James Millard</w:t>
      </w:r>
    </w:p>
    <w:p w14:paraId="74D5EBF6" w14:textId="77777777" w:rsidR="001B47E1" w:rsidRPr="00410592" w:rsidRDefault="001B47E1" w:rsidP="001B47E1">
      <w:pPr>
        <w:rPr>
          <w:rFonts w:ascii="Arial" w:hAnsi="Arial" w:cs="Arial"/>
        </w:rPr>
      </w:pPr>
      <w:proofErr w:type="spellStart"/>
      <w:r w:rsidRPr="00410592">
        <w:rPr>
          <w:rFonts w:ascii="Arial" w:hAnsi="Arial" w:cs="Arial"/>
        </w:rPr>
        <w:t>Wellcome</w:t>
      </w:r>
      <w:proofErr w:type="spellEnd"/>
      <w:r w:rsidRPr="00410592">
        <w:rPr>
          <w:rFonts w:ascii="Arial" w:hAnsi="Arial" w:cs="Arial"/>
        </w:rPr>
        <w:t xml:space="preserve"> Trust Liverpool Glasgow Centre for Global Health Research, Liverpool, UK</w:t>
      </w:r>
    </w:p>
    <w:p w14:paraId="4DCA4290" w14:textId="77777777" w:rsidR="001B47E1" w:rsidRPr="00410592" w:rsidRDefault="001B47E1" w:rsidP="001B47E1">
      <w:pPr>
        <w:rPr>
          <w:rFonts w:ascii="Arial" w:hAnsi="Arial" w:cs="Arial"/>
        </w:rPr>
      </w:pPr>
      <w:r w:rsidRPr="00410592">
        <w:rPr>
          <w:rFonts w:ascii="Arial" w:hAnsi="Arial" w:cs="Arial"/>
        </w:rPr>
        <w:t>Institute of Infection and Global Health, University of Liverpool, Liverpool, UK</w:t>
      </w:r>
    </w:p>
    <w:p w14:paraId="63687470" w14:textId="77777777" w:rsidR="001B47E1" w:rsidRPr="00410592" w:rsidRDefault="001B47E1" w:rsidP="001B47E1">
      <w:pPr>
        <w:rPr>
          <w:rFonts w:ascii="Arial" w:hAnsi="Arial" w:cs="Arial"/>
        </w:rPr>
      </w:pPr>
      <w:r w:rsidRPr="00410592">
        <w:rPr>
          <w:rFonts w:ascii="Arial" w:hAnsi="Arial" w:cs="Arial"/>
        </w:rPr>
        <w:t>Africa Health Research Institute, Durban, South Africa</w:t>
      </w:r>
    </w:p>
    <w:p w14:paraId="3947DCA2" w14:textId="77777777" w:rsidR="001B47E1" w:rsidRPr="00410592" w:rsidRDefault="001B47E1" w:rsidP="001B47E1">
      <w:pPr>
        <w:rPr>
          <w:rFonts w:ascii="Arial" w:hAnsi="Arial" w:cs="Arial"/>
        </w:rPr>
      </w:pPr>
    </w:p>
    <w:p w14:paraId="14E7F491" w14:textId="77777777" w:rsidR="001B47E1" w:rsidRPr="00410592" w:rsidRDefault="001B47E1" w:rsidP="001B47E1">
      <w:pPr>
        <w:rPr>
          <w:rFonts w:ascii="Arial" w:hAnsi="Arial" w:cs="Arial"/>
        </w:rPr>
      </w:pPr>
      <w:r w:rsidRPr="00410592">
        <w:rPr>
          <w:rFonts w:ascii="Arial" w:hAnsi="Arial" w:cs="Arial"/>
        </w:rPr>
        <w:t>Kayleen Brien</w:t>
      </w:r>
    </w:p>
    <w:p w14:paraId="219E1D9E" w14:textId="77777777" w:rsidR="001B47E1" w:rsidRPr="00410592" w:rsidRDefault="001B47E1" w:rsidP="001B47E1">
      <w:pPr>
        <w:rPr>
          <w:rFonts w:ascii="Arial" w:hAnsi="Arial" w:cs="Arial"/>
        </w:rPr>
      </w:pPr>
      <w:r w:rsidRPr="00410592">
        <w:rPr>
          <w:rFonts w:ascii="Arial" w:hAnsi="Arial" w:cs="Arial"/>
        </w:rPr>
        <w:t>Africa Health Research Institute, Durban, South Africa</w:t>
      </w:r>
    </w:p>
    <w:p w14:paraId="49E3000D" w14:textId="77777777" w:rsidR="001B47E1" w:rsidRPr="00410592" w:rsidRDefault="001B47E1" w:rsidP="001B47E1">
      <w:pPr>
        <w:rPr>
          <w:rFonts w:ascii="Arial" w:hAnsi="Arial" w:cs="Arial"/>
        </w:rPr>
      </w:pPr>
    </w:p>
    <w:p w14:paraId="2485E1C5" w14:textId="77777777" w:rsidR="001B47E1" w:rsidRPr="00410592" w:rsidRDefault="001B47E1" w:rsidP="001B47E1">
      <w:pPr>
        <w:rPr>
          <w:rFonts w:ascii="Arial" w:hAnsi="Arial" w:cs="Arial"/>
        </w:rPr>
      </w:pPr>
      <w:proofErr w:type="spellStart"/>
      <w:r w:rsidRPr="00410592">
        <w:rPr>
          <w:rFonts w:ascii="Arial" w:hAnsi="Arial" w:cs="Arial"/>
        </w:rPr>
        <w:t>Sashen</w:t>
      </w:r>
      <w:proofErr w:type="spellEnd"/>
      <w:r w:rsidRPr="00410592">
        <w:rPr>
          <w:rFonts w:ascii="Arial" w:hAnsi="Arial" w:cs="Arial"/>
        </w:rPr>
        <w:t xml:space="preserve"> Moodley</w:t>
      </w:r>
    </w:p>
    <w:p w14:paraId="3F32FD63" w14:textId="77777777" w:rsidR="001B47E1" w:rsidRDefault="001B47E1" w:rsidP="001B47E1">
      <w:pPr>
        <w:rPr>
          <w:rFonts w:ascii="Arial" w:hAnsi="Arial" w:cs="Arial"/>
        </w:rPr>
      </w:pPr>
      <w:r w:rsidRPr="00410592">
        <w:rPr>
          <w:rFonts w:ascii="Arial" w:hAnsi="Arial" w:cs="Arial"/>
        </w:rPr>
        <w:t>Africa Health Research Institute, Durban, South Africa</w:t>
      </w:r>
    </w:p>
    <w:p w14:paraId="222F88FF" w14:textId="77777777" w:rsidR="001B47E1" w:rsidRDefault="001B47E1" w:rsidP="001B47E1">
      <w:pPr>
        <w:rPr>
          <w:rFonts w:ascii="Arial" w:hAnsi="Arial" w:cs="Arial"/>
        </w:rPr>
      </w:pPr>
    </w:p>
    <w:p w14:paraId="14A763CC" w14:textId="77777777" w:rsidR="001B47E1" w:rsidRDefault="001B47E1" w:rsidP="001B47E1">
      <w:pPr>
        <w:rPr>
          <w:rFonts w:ascii="Arial" w:hAnsi="Arial" w:cs="Arial"/>
        </w:rPr>
      </w:pPr>
      <w:r>
        <w:rPr>
          <w:rFonts w:ascii="Arial" w:hAnsi="Arial" w:cs="Arial"/>
        </w:rPr>
        <w:t xml:space="preserve">Lucy van </w:t>
      </w:r>
      <w:proofErr w:type="spellStart"/>
      <w:r>
        <w:rPr>
          <w:rFonts w:ascii="Arial" w:hAnsi="Arial" w:cs="Arial"/>
        </w:rPr>
        <w:t>Dorp</w:t>
      </w:r>
      <w:proofErr w:type="spellEnd"/>
    </w:p>
    <w:p w14:paraId="74AC55AF" w14:textId="77777777" w:rsidR="001B47E1" w:rsidRPr="00410592" w:rsidRDefault="001B47E1" w:rsidP="001B47E1">
      <w:pPr>
        <w:rPr>
          <w:rFonts w:ascii="Arial" w:hAnsi="Arial" w:cs="Arial"/>
        </w:rPr>
      </w:pPr>
      <w:r w:rsidRPr="00410592">
        <w:rPr>
          <w:rFonts w:ascii="Arial" w:hAnsi="Arial" w:cs="Arial"/>
        </w:rPr>
        <w:t>UCL Genetics Institute, University College London, London, UK</w:t>
      </w:r>
    </w:p>
    <w:p w14:paraId="12600CD8" w14:textId="77777777" w:rsidR="001B47E1" w:rsidRPr="00410592" w:rsidRDefault="001B47E1" w:rsidP="001B47E1">
      <w:pPr>
        <w:rPr>
          <w:rFonts w:ascii="Arial" w:hAnsi="Arial" w:cs="Arial"/>
        </w:rPr>
      </w:pPr>
    </w:p>
    <w:p w14:paraId="09D96E19" w14:textId="77777777" w:rsidR="001B47E1" w:rsidRPr="00410592" w:rsidRDefault="001B47E1" w:rsidP="001B47E1">
      <w:pPr>
        <w:rPr>
          <w:rFonts w:ascii="Arial" w:hAnsi="Arial" w:cs="Arial"/>
        </w:rPr>
      </w:pPr>
      <w:proofErr w:type="spellStart"/>
      <w:r w:rsidRPr="00410592">
        <w:rPr>
          <w:rFonts w:ascii="Arial" w:hAnsi="Arial" w:cs="Arial"/>
        </w:rPr>
        <w:t>Keeren</w:t>
      </w:r>
      <w:proofErr w:type="spellEnd"/>
      <w:r w:rsidRPr="00410592">
        <w:rPr>
          <w:rFonts w:ascii="Arial" w:hAnsi="Arial" w:cs="Arial"/>
        </w:rPr>
        <w:t xml:space="preserve"> </w:t>
      </w:r>
      <w:proofErr w:type="spellStart"/>
      <w:r w:rsidRPr="00410592">
        <w:rPr>
          <w:rFonts w:ascii="Arial" w:hAnsi="Arial" w:cs="Arial"/>
        </w:rPr>
        <w:t>Lutchminarain</w:t>
      </w:r>
      <w:proofErr w:type="spellEnd"/>
    </w:p>
    <w:p w14:paraId="75616E53" w14:textId="77777777" w:rsidR="001B47E1" w:rsidRPr="00410592" w:rsidRDefault="001B47E1" w:rsidP="001B47E1">
      <w:pPr>
        <w:rPr>
          <w:rFonts w:ascii="Arial" w:hAnsi="Arial" w:cs="Arial"/>
        </w:rPr>
      </w:pPr>
      <w:r w:rsidRPr="00410592">
        <w:rPr>
          <w:rFonts w:ascii="Arial" w:hAnsi="Arial" w:cs="Arial"/>
        </w:rPr>
        <w:t>National Health Laboratory Service, Durban, South Africa</w:t>
      </w:r>
    </w:p>
    <w:p w14:paraId="35D25DAA" w14:textId="77777777" w:rsidR="001B47E1" w:rsidRPr="00410592" w:rsidRDefault="001B47E1" w:rsidP="001B47E1">
      <w:pPr>
        <w:rPr>
          <w:rFonts w:ascii="Arial" w:hAnsi="Arial" w:cs="Arial"/>
        </w:rPr>
      </w:pPr>
    </w:p>
    <w:p w14:paraId="626011CE" w14:textId="77777777" w:rsidR="001B47E1" w:rsidRDefault="001B47E1" w:rsidP="001B47E1">
      <w:pPr>
        <w:rPr>
          <w:rFonts w:ascii="Arial" w:hAnsi="Arial" w:cs="Arial"/>
        </w:rPr>
      </w:pPr>
      <w:r>
        <w:rPr>
          <w:rFonts w:ascii="Arial" w:hAnsi="Arial" w:cs="Arial"/>
        </w:rPr>
        <w:t>Allison Wolf</w:t>
      </w:r>
    </w:p>
    <w:p w14:paraId="1A97FDE1" w14:textId="77777777" w:rsidR="001B47E1" w:rsidRPr="00410592" w:rsidRDefault="001B47E1" w:rsidP="001B47E1">
      <w:pPr>
        <w:rPr>
          <w:rFonts w:ascii="Arial" w:hAnsi="Arial" w:cs="Arial"/>
        </w:rPr>
      </w:pPr>
      <w:r>
        <w:rPr>
          <w:rFonts w:ascii="Arial" w:hAnsi="Arial" w:cs="Arial"/>
        </w:rPr>
        <w:t xml:space="preserve">Department of Medicine, </w:t>
      </w:r>
      <w:r w:rsidRPr="00410592">
        <w:rPr>
          <w:rFonts w:ascii="Arial" w:hAnsi="Arial" w:cs="Arial"/>
        </w:rPr>
        <w:t xml:space="preserve">Columbia University Medical </w:t>
      </w:r>
      <w:proofErr w:type="spellStart"/>
      <w:r w:rsidRPr="00410592">
        <w:rPr>
          <w:rFonts w:ascii="Arial" w:hAnsi="Arial" w:cs="Arial"/>
        </w:rPr>
        <w:t>Center</w:t>
      </w:r>
      <w:proofErr w:type="spellEnd"/>
      <w:r w:rsidRPr="00410592">
        <w:rPr>
          <w:rFonts w:ascii="Arial" w:hAnsi="Arial" w:cs="Arial"/>
        </w:rPr>
        <w:t>, New York, NY, USA</w:t>
      </w:r>
    </w:p>
    <w:p w14:paraId="53F365BF" w14:textId="77777777" w:rsidR="001B47E1" w:rsidRDefault="001B47E1" w:rsidP="001B47E1">
      <w:pPr>
        <w:rPr>
          <w:rFonts w:ascii="Arial" w:hAnsi="Arial" w:cs="Arial"/>
        </w:rPr>
      </w:pPr>
    </w:p>
    <w:p w14:paraId="3B933564" w14:textId="77777777" w:rsidR="001B47E1" w:rsidRPr="00410592" w:rsidRDefault="001B47E1" w:rsidP="001B47E1">
      <w:pPr>
        <w:rPr>
          <w:rFonts w:ascii="Arial" w:hAnsi="Arial" w:cs="Arial"/>
        </w:rPr>
      </w:pPr>
      <w:r w:rsidRPr="00410592">
        <w:rPr>
          <w:rFonts w:ascii="Arial" w:hAnsi="Arial" w:cs="Arial"/>
        </w:rPr>
        <w:t xml:space="preserve">Alison </w:t>
      </w:r>
      <w:r>
        <w:rPr>
          <w:rFonts w:ascii="Arial" w:hAnsi="Arial" w:cs="Arial"/>
        </w:rPr>
        <w:t xml:space="preserve">D. </w:t>
      </w:r>
      <w:r w:rsidRPr="00410592">
        <w:rPr>
          <w:rFonts w:ascii="Arial" w:hAnsi="Arial" w:cs="Arial"/>
        </w:rPr>
        <w:t>Grant</w:t>
      </w:r>
    </w:p>
    <w:p w14:paraId="1974117A" w14:textId="77777777" w:rsidR="001B47E1" w:rsidRPr="00410592" w:rsidRDefault="001B47E1" w:rsidP="001B47E1">
      <w:pPr>
        <w:rPr>
          <w:rFonts w:ascii="Arial" w:hAnsi="Arial" w:cs="Arial"/>
        </w:rPr>
      </w:pPr>
      <w:r>
        <w:rPr>
          <w:rFonts w:ascii="Arial" w:hAnsi="Arial" w:cs="Arial"/>
        </w:rPr>
        <w:t xml:space="preserve">TB Centre, </w:t>
      </w:r>
      <w:r w:rsidRPr="00410592">
        <w:rPr>
          <w:rFonts w:ascii="Arial" w:hAnsi="Arial" w:cs="Arial"/>
        </w:rPr>
        <w:t xml:space="preserve">London School of Hygiene </w:t>
      </w:r>
      <w:r>
        <w:rPr>
          <w:rFonts w:ascii="Arial" w:hAnsi="Arial" w:cs="Arial"/>
        </w:rPr>
        <w:t>&amp;</w:t>
      </w:r>
      <w:r w:rsidRPr="00410592">
        <w:rPr>
          <w:rFonts w:ascii="Arial" w:hAnsi="Arial" w:cs="Arial"/>
        </w:rPr>
        <w:t xml:space="preserve"> Tropical Medicine, London, UK</w:t>
      </w:r>
    </w:p>
    <w:p w14:paraId="14CF2820" w14:textId="77777777" w:rsidR="001B47E1" w:rsidRPr="00410592" w:rsidRDefault="001B47E1" w:rsidP="001B47E1">
      <w:pPr>
        <w:rPr>
          <w:rFonts w:ascii="Arial" w:hAnsi="Arial" w:cs="Arial"/>
        </w:rPr>
      </w:pPr>
      <w:r w:rsidRPr="00410592">
        <w:rPr>
          <w:rFonts w:ascii="Arial" w:hAnsi="Arial" w:cs="Arial"/>
        </w:rPr>
        <w:t>Africa Health Research Institute, Durban, South Africa</w:t>
      </w:r>
    </w:p>
    <w:p w14:paraId="6A430CF1" w14:textId="77777777" w:rsidR="001B47E1" w:rsidRPr="00410592" w:rsidRDefault="001B47E1" w:rsidP="001B47E1">
      <w:pPr>
        <w:rPr>
          <w:rFonts w:ascii="Arial" w:hAnsi="Arial" w:cs="Arial"/>
        </w:rPr>
      </w:pPr>
    </w:p>
    <w:p w14:paraId="29547808" w14:textId="77777777" w:rsidR="001B47E1" w:rsidRPr="00410592" w:rsidRDefault="001B47E1" w:rsidP="001B47E1">
      <w:pPr>
        <w:rPr>
          <w:rFonts w:ascii="Arial" w:hAnsi="Arial" w:cs="Arial"/>
        </w:rPr>
      </w:pPr>
      <w:r w:rsidRPr="00410592">
        <w:rPr>
          <w:rFonts w:ascii="Arial" w:hAnsi="Arial" w:cs="Arial"/>
        </w:rPr>
        <w:t xml:space="preserve">Francois </w:t>
      </w:r>
      <w:proofErr w:type="spellStart"/>
      <w:r w:rsidRPr="00410592">
        <w:rPr>
          <w:rFonts w:ascii="Arial" w:hAnsi="Arial" w:cs="Arial"/>
        </w:rPr>
        <w:t>Balloux</w:t>
      </w:r>
      <w:proofErr w:type="spellEnd"/>
    </w:p>
    <w:p w14:paraId="288D95C3" w14:textId="77777777" w:rsidR="001B47E1" w:rsidRPr="00410592" w:rsidRDefault="001B47E1" w:rsidP="001B47E1">
      <w:pPr>
        <w:rPr>
          <w:rFonts w:ascii="Arial" w:hAnsi="Arial" w:cs="Arial"/>
        </w:rPr>
      </w:pPr>
      <w:r w:rsidRPr="00410592">
        <w:rPr>
          <w:rFonts w:ascii="Arial" w:hAnsi="Arial" w:cs="Arial"/>
        </w:rPr>
        <w:t>UCL Genetics Institute, University College London, London, UK</w:t>
      </w:r>
    </w:p>
    <w:p w14:paraId="5AB71EEC" w14:textId="77777777" w:rsidR="001B47E1" w:rsidRPr="00410592" w:rsidRDefault="001B47E1" w:rsidP="001B47E1">
      <w:pPr>
        <w:rPr>
          <w:rFonts w:ascii="Arial" w:hAnsi="Arial" w:cs="Arial"/>
        </w:rPr>
      </w:pPr>
    </w:p>
    <w:p w14:paraId="3E2A2FB5" w14:textId="77777777" w:rsidR="001B47E1" w:rsidRPr="00410592" w:rsidRDefault="001B47E1" w:rsidP="001B47E1">
      <w:pPr>
        <w:rPr>
          <w:rFonts w:ascii="Arial" w:hAnsi="Arial" w:cs="Arial"/>
        </w:rPr>
      </w:pPr>
      <w:r w:rsidRPr="00410592">
        <w:rPr>
          <w:rFonts w:ascii="Arial" w:hAnsi="Arial" w:cs="Arial"/>
        </w:rPr>
        <w:t>Alexander S Pym</w:t>
      </w:r>
    </w:p>
    <w:p w14:paraId="737502C6" w14:textId="77777777" w:rsidR="001B47E1" w:rsidRPr="00410592" w:rsidRDefault="001B47E1" w:rsidP="001B47E1">
      <w:pPr>
        <w:rPr>
          <w:rFonts w:ascii="Arial" w:hAnsi="Arial" w:cs="Arial"/>
        </w:rPr>
      </w:pPr>
      <w:r w:rsidRPr="00410592">
        <w:rPr>
          <w:rFonts w:ascii="Arial" w:hAnsi="Arial" w:cs="Arial"/>
        </w:rPr>
        <w:t>Africa Health Research Institute, Durban, South Africa</w:t>
      </w:r>
    </w:p>
    <w:p w14:paraId="6AF865D4" w14:textId="77777777" w:rsidR="001B47E1" w:rsidRPr="00410592" w:rsidRDefault="001B47E1" w:rsidP="001B47E1">
      <w:pPr>
        <w:rPr>
          <w:rFonts w:ascii="Arial" w:hAnsi="Arial" w:cs="Arial"/>
        </w:rPr>
      </w:pPr>
    </w:p>
    <w:p w14:paraId="5667789D" w14:textId="77777777" w:rsidR="001B47E1" w:rsidRPr="00410592" w:rsidRDefault="001B47E1" w:rsidP="001B47E1">
      <w:pPr>
        <w:rPr>
          <w:rFonts w:ascii="Arial" w:hAnsi="Arial" w:cs="Arial"/>
        </w:rPr>
      </w:pPr>
      <w:proofErr w:type="spellStart"/>
      <w:r w:rsidRPr="00410592">
        <w:rPr>
          <w:rFonts w:ascii="Arial" w:hAnsi="Arial" w:cs="Arial"/>
        </w:rPr>
        <w:t>Nesri</w:t>
      </w:r>
      <w:proofErr w:type="spellEnd"/>
      <w:r w:rsidRPr="00410592">
        <w:rPr>
          <w:rFonts w:ascii="Arial" w:hAnsi="Arial" w:cs="Arial"/>
        </w:rPr>
        <w:t xml:space="preserve"> </w:t>
      </w:r>
      <w:proofErr w:type="spellStart"/>
      <w:r w:rsidRPr="00410592">
        <w:rPr>
          <w:rFonts w:ascii="Arial" w:hAnsi="Arial" w:cs="Arial"/>
        </w:rPr>
        <w:t>Padayatchi</w:t>
      </w:r>
      <w:proofErr w:type="spellEnd"/>
    </w:p>
    <w:p w14:paraId="5A8B0FF3" w14:textId="77777777" w:rsidR="001B47E1" w:rsidRPr="00410592" w:rsidRDefault="001B47E1" w:rsidP="001B47E1">
      <w:pPr>
        <w:rPr>
          <w:rFonts w:ascii="Arial" w:hAnsi="Arial" w:cs="Arial"/>
        </w:rPr>
      </w:pPr>
      <w:r w:rsidRPr="00410592">
        <w:rPr>
          <w:rFonts w:ascii="Arial" w:hAnsi="Arial" w:cs="Arial"/>
        </w:rPr>
        <w:t>CAPRISA MRC-HIV-TB Pathogenesis and Treatment Research Unit, Durban, South Africa</w:t>
      </w:r>
    </w:p>
    <w:p w14:paraId="23EFD337" w14:textId="77777777" w:rsidR="001B47E1" w:rsidRPr="00410592" w:rsidRDefault="001B47E1" w:rsidP="001B47E1">
      <w:pPr>
        <w:rPr>
          <w:rFonts w:ascii="Arial" w:hAnsi="Arial" w:cs="Arial"/>
        </w:rPr>
      </w:pPr>
    </w:p>
    <w:p w14:paraId="4286BB13" w14:textId="62115B90" w:rsidR="001B47E1" w:rsidRDefault="001B47E1" w:rsidP="001B47E1">
      <w:pPr>
        <w:rPr>
          <w:rFonts w:ascii="Arial" w:hAnsi="Arial" w:cs="Arial"/>
        </w:rPr>
      </w:pPr>
      <w:r w:rsidRPr="00410592">
        <w:rPr>
          <w:rFonts w:ascii="Arial" w:hAnsi="Arial" w:cs="Arial"/>
        </w:rPr>
        <w:lastRenderedPageBreak/>
        <w:t>Max O’Donnell</w:t>
      </w:r>
      <w:r>
        <w:rPr>
          <w:rFonts w:ascii="Arial" w:hAnsi="Arial" w:cs="Arial"/>
        </w:rPr>
        <w:t>*</w:t>
      </w:r>
    </w:p>
    <w:p w14:paraId="45C3966D" w14:textId="77777777" w:rsidR="001B47E1" w:rsidRPr="00410592" w:rsidRDefault="001B47E1" w:rsidP="001B47E1">
      <w:pPr>
        <w:rPr>
          <w:rFonts w:ascii="Arial" w:hAnsi="Arial" w:cs="Arial"/>
        </w:rPr>
      </w:pPr>
      <w:r>
        <w:rPr>
          <w:rFonts w:ascii="Arial" w:hAnsi="Arial" w:cs="Arial"/>
        </w:rPr>
        <w:t xml:space="preserve">Department of Medicine &amp; Epidemiology, </w:t>
      </w:r>
      <w:r w:rsidRPr="00410592">
        <w:rPr>
          <w:rFonts w:ascii="Arial" w:hAnsi="Arial" w:cs="Arial"/>
        </w:rPr>
        <w:t xml:space="preserve">Columbia University Medical </w:t>
      </w:r>
      <w:proofErr w:type="spellStart"/>
      <w:r w:rsidRPr="00410592">
        <w:rPr>
          <w:rFonts w:ascii="Arial" w:hAnsi="Arial" w:cs="Arial"/>
        </w:rPr>
        <w:t>Center</w:t>
      </w:r>
      <w:proofErr w:type="spellEnd"/>
      <w:r w:rsidRPr="00410592">
        <w:rPr>
          <w:rFonts w:ascii="Arial" w:hAnsi="Arial" w:cs="Arial"/>
        </w:rPr>
        <w:t>, New York, NY, USA</w:t>
      </w:r>
    </w:p>
    <w:p w14:paraId="7B6EBB38" w14:textId="77777777" w:rsidR="001B47E1" w:rsidRDefault="001B47E1" w:rsidP="001B47E1">
      <w:pPr>
        <w:rPr>
          <w:rFonts w:ascii="Arial" w:hAnsi="Arial" w:cs="Arial"/>
        </w:rPr>
      </w:pPr>
      <w:r w:rsidRPr="00410592">
        <w:rPr>
          <w:rFonts w:ascii="Arial" w:hAnsi="Arial" w:cs="Arial"/>
        </w:rPr>
        <w:t>CAPRISA MRC-HIV-TB Pathogenesis and Treatment Research Unit, Durban, South Africa</w:t>
      </w:r>
    </w:p>
    <w:p w14:paraId="059A5CD8" w14:textId="0FC39A53" w:rsidR="00E93E63" w:rsidRDefault="009E00C6" w:rsidP="00E93E63">
      <w:pPr>
        <w:rPr>
          <w:rFonts w:ascii="Arial" w:hAnsi="Arial" w:cs="Arial"/>
        </w:rPr>
      </w:pPr>
      <w:r w:rsidRPr="009E00C6">
        <w:rPr>
          <w:rFonts w:ascii="Arial" w:hAnsi="Arial" w:cs="Arial"/>
        </w:rPr>
        <w:t>mo2130@cumc.columbia.edu</w:t>
      </w:r>
    </w:p>
    <w:p w14:paraId="5F629E57" w14:textId="77777777" w:rsidR="009E00C6" w:rsidRPr="00FA0B3B" w:rsidRDefault="009E00C6" w:rsidP="00E93E63">
      <w:pPr>
        <w:rPr>
          <w:rFonts w:ascii="Arial" w:hAnsi="Arial" w:cs="Arial"/>
        </w:rPr>
      </w:pPr>
    </w:p>
    <w:p w14:paraId="0DE87E66" w14:textId="77777777" w:rsidR="00E93E63" w:rsidRPr="00FA0B3B" w:rsidRDefault="00E93E63" w:rsidP="00E93E63">
      <w:pPr>
        <w:rPr>
          <w:rFonts w:ascii="Arial" w:hAnsi="Arial" w:cs="Arial"/>
        </w:rPr>
      </w:pPr>
      <w:r w:rsidRPr="00FA0B3B">
        <w:rPr>
          <w:rFonts w:ascii="Arial" w:hAnsi="Arial" w:cs="Arial"/>
        </w:rPr>
        <w:t>*Corresponding author</w:t>
      </w:r>
    </w:p>
    <w:p w14:paraId="082EDF50" w14:textId="0939AA2D" w:rsidR="00FA0B3B" w:rsidRDefault="00FA0B3B" w:rsidP="00E93E63">
      <w:pPr>
        <w:rPr>
          <w:rFonts w:ascii="Arial" w:hAnsi="Arial" w:cs="Arial"/>
        </w:rPr>
      </w:pPr>
    </w:p>
    <w:p w14:paraId="044236F9" w14:textId="77777777" w:rsidR="00FA0B3B" w:rsidRPr="00FA0B3B" w:rsidRDefault="00FA0B3B" w:rsidP="00E93E63">
      <w:pPr>
        <w:rPr>
          <w:rFonts w:ascii="Arial" w:hAnsi="Arial" w:cs="Arial"/>
        </w:rPr>
      </w:pPr>
    </w:p>
    <w:p w14:paraId="785CA28A" w14:textId="6735C3A7" w:rsidR="00E93E63" w:rsidRPr="00830475" w:rsidRDefault="00E93E63" w:rsidP="00FA0B3B">
      <w:pPr>
        <w:pStyle w:val="Heading2"/>
        <w:rPr>
          <w:rFonts w:ascii="Arial" w:hAnsi="Arial" w:cs="Arial"/>
        </w:rPr>
      </w:pPr>
      <w:r w:rsidRPr="00830475">
        <w:rPr>
          <w:rFonts w:ascii="Arial" w:hAnsi="Arial" w:cs="Arial"/>
        </w:rPr>
        <w:t>Funding</w:t>
      </w:r>
    </w:p>
    <w:p w14:paraId="149FDE53" w14:textId="77777777" w:rsidR="00FA0B3B" w:rsidRPr="00830475" w:rsidRDefault="00FA0B3B" w:rsidP="00FA0B3B">
      <w:pPr>
        <w:rPr>
          <w:rFonts w:ascii="Arial" w:hAnsi="Arial" w:cs="Arial"/>
        </w:rPr>
      </w:pPr>
    </w:p>
    <w:p w14:paraId="14D48B7C" w14:textId="5822C08D" w:rsidR="00E93E63" w:rsidRPr="004947E6" w:rsidRDefault="00E93E63" w:rsidP="001B47E1">
      <w:pPr>
        <w:spacing w:line="480" w:lineRule="auto"/>
        <w:rPr>
          <w:rFonts w:ascii="Arial" w:hAnsi="Arial" w:cs="Arial"/>
        </w:rPr>
      </w:pPr>
      <w:r w:rsidRPr="004947E6">
        <w:rPr>
          <w:rFonts w:ascii="Arial" w:hAnsi="Arial" w:cs="Arial"/>
        </w:rPr>
        <w:t xml:space="preserve">CN is supported by the </w:t>
      </w:r>
      <w:proofErr w:type="spellStart"/>
      <w:r w:rsidRPr="004947E6">
        <w:rPr>
          <w:rFonts w:ascii="Arial" w:hAnsi="Arial" w:cs="Arial"/>
        </w:rPr>
        <w:t>Wellcome</w:t>
      </w:r>
      <w:proofErr w:type="spellEnd"/>
      <w:r w:rsidRPr="004947E6">
        <w:rPr>
          <w:rFonts w:ascii="Arial" w:hAnsi="Arial" w:cs="Arial"/>
        </w:rPr>
        <w:t xml:space="preserve"> Trust (203583/Z/16/Z). JM is supported by the </w:t>
      </w:r>
      <w:proofErr w:type="spellStart"/>
      <w:r w:rsidRPr="004947E6">
        <w:rPr>
          <w:rFonts w:ascii="Arial" w:hAnsi="Arial" w:cs="Arial"/>
        </w:rPr>
        <w:t>Wellcome</w:t>
      </w:r>
      <w:proofErr w:type="spellEnd"/>
      <w:r w:rsidRPr="004947E6">
        <w:rPr>
          <w:rFonts w:ascii="Arial" w:hAnsi="Arial" w:cs="Arial"/>
        </w:rPr>
        <w:t xml:space="preserve"> Trust (203919/Z/16/Z). MO is supported by National Institutes of Health/National Institute of Allergy and Infectious Diseases (R01AI124413</w:t>
      </w:r>
      <w:r w:rsidR="004947E6" w:rsidRPr="004947E6">
        <w:rPr>
          <w:rFonts w:ascii="Arial" w:hAnsi="Arial" w:cs="Arial"/>
        </w:rPr>
        <w:t xml:space="preserve">; </w:t>
      </w:r>
      <w:r w:rsidR="004947E6" w:rsidRPr="00830475">
        <w:rPr>
          <w:rFonts w:ascii="Arial" w:hAnsi="Arial" w:cs="Arial"/>
          <w:bCs/>
        </w:rPr>
        <w:t>R21TW011077</w:t>
      </w:r>
      <w:r w:rsidRPr="004947E6">
        <w:rPr>
          <w:rFonts w:ascii="Arial" w:hAnsi="Arial" w:cs="Arial"/>
        </w:rPr>
        <w:t>)</w:t>
      </w:r>
      <w:r w:rsidR="001E0554" w:rsidRPr="004947E6">
        <w:rPr>
          <w:rFonts w:ascii="Arial" w:hAnsi="Arial" w:cs="Arial"/>
        </w:rPr>
        <w:t xml:space="preserve">, and the </w:t>
      </w:r>
      <w:r w:rsidR="001E0554" w:rsidRPr="00830475">
        <w:rPr>
          <w:rFonts w:ascii="Arial" w:eastAsia="MS Mincho" w:hAnsi="Arial" w:cs="Arial"/>
          <w:bCs/>
          <w:lang w:val="en-ZA"/>
        </w:rPr>
        <w:t>Herbert and Florence Irving Foundation.</w:t>
      </w:r>
      <w:r w:rsidRPr="004947E6">
        <w:rPr>
          <w:rFonts w:ascii="Arial" w:hAnsi="Arial" w:cs="Arial"/>
        </w:rPr>
        <w:t xml:space="preserve"> </w:t>
      </w:r>
    </w:p>
    <w:p w14:paraId="38F7D78F" w14:textId="77777777" w:rsidR="00E93E63" w:rsidRPr="004947E6" w:rsidRDefault="00E93E63" w:rsidP="00E93E63">
      <w:pPr>
        <w:rPr>
          <w:rFonts w:ascii="Arial" w:hAnsi="Arial" w:cs="Arial"/>
        </w:rPr>
      </w:pPr>
    </w:p>
    <w:p w14:paraId="171555AE" w14:textId="7B43B1E4" w:rsidR="00E93E63" w:rsidRPr="00830475" w:rsidRDefault="00E93E63" w:rsidP="00FA0B3B">
      <w:pPr>
        <w:pStyle w:val="Heading2"/>
        <w:rPr>
          <w:rFonts w:ascii="Arial" w:hAnsi="Arial" w:cs="Arial"/>
        </w:rPr>
      </w:pPr>
      <w:r w:rsidRPr="00830475">
        <w:rPr>
          <w:rFonts w:ascii="Arial" w:hAnsi="Arial" w:cs="Arial"/>
        </w:rPr>
        <w:t>Key words</w:t>
      </w:r>
    </w:p>
    <w:p w14:paraId="6F0C63F2" w14:textId="77777777" w:rsidR="00FA0B3B" w:rsidRPr="00830475" w:rsidRDefault="00FA0B3B" w:rsidP="00FA0B3B">
      <w:pPr>
        <w:rPr>
          <w:rFonts w:ascii="Arial" w:hAnsi="Arial" w:cs="Arial"/>
        </w:rPr>
      </w:pPr>
    </w:p>
    <w:p w14:paraId="2884A7B0" w14:textId="77777777" w:rsidR="00E93E63" w:rsidRPr="004947E6" w:rsidRDefault="00E93E63" w:rsidP="00E93E63">
      <w:pPr>
        <w:rPr>
          <w:rFonts w:ascii="Arial" w:hAnsi="Arial" w:cs="Arial"/>
        </w:rPr>
      </w:pPr>
      <w:r w:rsidRPr="004947E6">
        <w:rPr>
          <w:rFonts w:ascii="Arial" w:hAnsi="Arial" w:cs="Arial"/>
        </w:rPr>
        <w:t xml:space="preserve">Bedaquiline; drug resistance; tuberculosis; </w:t>
      </w:r>
      <w:r w:rsidRPr="00830475">
        <w:rPr>
          <w:rFonts w:ascii="Arial" w:hAnsi="Arial" w:cs="Arial"/>
          <w:i/>
          <w:iCs/>
        </w:rPr>
        <w:t>Rv0678</w:t>
      </w:r>
    </w:p>
    <w:p w14:paraId="0421DC9D" w14:textId="77777777" w:rsidR="00E93E63" w:rsidRPr="004947E6" w:rsidRDefault="00E93E63" w:rsidP="00E93E63">
      <w:pPr>
        <w:rPr>
          <w:rFonts w:ascii="Arial" w:hAnsi="Arial" w:cs="Arial"/>
        </w:rPr>
      </w:pPr>
    </w:p>
    <w:p w14:paraId="22192610" w14:textId="3343062C" w:rsidR="00E93E63" w:rsidRPr="00830475" w:rsidRDefault="00E93E63" w:rsidP="00FA0B3B">
      <w:pPr>
        <w:pStyle w:val="Heading2"/>
        <w:rPr>
          <w:rFonts w:ascii="Arial" w:hAnsi="Arial" w:cs="Arial"/>
        </w:rPr>
      </w:pPr>
      <w:r w:rsidRPr="00830475">
        <w:rPr>
          <w:rFonts w:ascii="Arial" w:hAnsi="Arial" w:cs="Arial"/>
        </w:rPr>
        <w:t>Word count</w:t>
      </w:r>
    </w:p>
    <w:p w14:paraId="2D5085D3" w14:textId="77777777" w:rsidR="0047753B" w:rsidRPr="00830475" w:rsidRDefault="0047753B" w:rsidP="0047753B">
      <w:pPr>
        <w:rPr>
          <w:rFonts w:ascii="Arial" w:hAnsi="Arial" w:cs="Arial"/>
        </w:rPr>
      </w:pPr>
    </w:p>
    <w:p w14:paraId="7F80B866" w14:textId="2596DEB9" w:rsidR="00FA0B3B" w:rsidRPr="004947E6" w:rsidRDefault="00271426" w:rsidP="0047753B">
      <w:pPr>
        <w:spacing w:line="480" w:lineRule="auto"/>
        <w:rPr>
          <w:rFonts w:ascii="Arial" w:hAnsi="Arial" w:cs="Arial"/>
        </w:rPr>
      </w:pPr>
      <w:r w:rsidRPr="004947E6">
        <w:rPr>
          <w:rFonts w:ascii="Arial" w:hAnsi="Arial" w:cs="Arial"/>
        </w:rPr>
        <w:t>1</w:t>
      </w:r>
      <w:r w:rsidR="00C43B1E">
        <w:rPr>
          <w:rFonts w:ascii="Arial" w:hAnsi="Arial" w:cs="Arial"/>
        </w:rPr>
        <w:t>3</w:t>
      </w:r>
      <w:r w:rsidR="005C381D">
        <w:rPr>
          <w:rFonts w:ascii="Arial" w:hAnsi="Arial" w:cs="Arial"/>
        </w:rPr>
        <w:t>35</w:t>
      </w:r>
      <w:r w:rsidR="00FA0B3B" w:rsidRPr="004947E6">
        <w:rPr>
          <w:rFonts w:ascii="Arial" w:hAnsi="Arial" w:cs="Arial"/>
        </w:rPr>
        <w:t xml:space="preserve"> words</w:t>
      </w:r>
    </w:p>
    <w:p w14:paraId="39D6020A" w14:textId="77777777" w:rsidR="00E93E63" w:rsidRPr="00FA0B3B" w:rsidRDefault="00E93E63" w:rsidP="00E93E63">
      <w:pPr>
        <w:rPr>
          <w:rFonts w:ascii="Arial" w:hAnsi="Arial" w:cs="Arial"/>
        </w:rPr>
      </w:pPr>
      <w:r w:rsidRPr="00FA0B3B">
        <w:rPr>
          <w:rFonts w:ascii="Arial" w:hAnsi="Arial" w:cs="Arial"/>
        </w:rPr>
        <w:t> </w:t>
      </w:r>
    </w:p>
    <w:p w14:paraId="62190562" w14:textId="4249A558" w:rsidR="00E93E63" w:rsidRDefault="00E93E63" w:rsidP="00FA0B3B">
      <w:pPr>
        <w:pStyle w:val="Heading2"/>
      </w:pPr>
      <w:r w:rsidRPr="00FA0B3B">
        <w:t>Take home message</w:t>
      </w:r>
    </w:p>
    <w:p w14:paraId="1E58FD82" w14:textId="77777777" w:rsidR="00FA0B3B" w:rsidRPr="00FA0B3B" w:rsidRDefault="00FA0B3B" w:rsidP="00E93E63">
      <w:pPr>
        <w:rPr>
          <w:rFonts w:ascii="Arial" w:hAnsi="Arial" w:cs="Arial"/>
        </w:rPr>
      </w:pPr>
    </w:p>
    <w:p w14:paraId="74F072F0" w14:textId="23F0FD5C" w:rsidR="00E93E63" w:rsidRDefault="00C7409C" w:rsidP="00FA0B3B">
      <w:pPr>
        <w:spacing w:line="480" w:lineRule="auto"/>
        <w:rPr>
          <w:rFonts w:ascii="Arial" w:hAnsi="Arial" w:cs="Arial"/>
        </w:rPr>
      </w:pPr>
      <w:r>
        <w:rPr>
          <w:rFonts w:ascii="Arial" w:hAnsi="Arial" w:cs="Arial"/>
        </w:rPr>
        <w:t>G</w:t>
      </w:r>
      <w:r w:rsidR="00E93E63" w:rsidRPr="00FA0B3B">
        <w:rPr>
          <w:rFonts w:ascii="Arial" w:hAnsi="Arial" w:cs="Arial"/>
        </w:rPr>
        <w:t xml:space="preserve">enetic mutations </w:t>
      </w:r>
      <w:r w:rsidR="00F13828">
        <w:rPr>
          <w:rFonts w:ascii="Arial" w:hAnsi="Arial" w:cs="Arial"/>
        </w:rPr>
        <w:t>linked to</w:t>
      </w:r>
      <w:r w:rsidR="00E93E63" w:rsidRPr="00FA0B3B">
        <w:rPr>
          <w:rFonts w:ascii="Arial" w:hAnsi="Arial" w:cs="Arial"/>
        </w:rPr>
        <w:t xml:space="preserve"> bedaquiline resistance </w:t>
      </w:r>
      <w:r w:rsidR="005B51DA">
        <w:rPr>
          <w:rFonts w:ascii="Arial" w:hAnsi="Arial" w:cs="Arial"/>
        </w:rPr>
        <w:t xml:space="preserve">were </w:t>
      </w:r>
      <w:r w:rsidR="00A10F85">
        <w:rPr>
          <w:rFonts w:ascii="Arial" w:hAnsi="Arial" w:cs="Arial"/>
        </w:rPr>
        <w:t>found</w:t>
      </w:r>
      <w:r w:rsidR="005B51DA">
        <w:rPr>
          <w:rFonts w:ascii="Arial" w:hAnsi="Arial" w:cs="Arial"/>
        </w:rPr>
        <w:t xml:space="preserve"> </w:t>
      </w:r>
      <w:r w:rsidR="00E93E63" w:rsidRPr="00FA0B3B">
        <w:rPr>
          <w:rFonts w:ascii="Arial" w:hAnsi="Arial" w:cs="Arial"/>
        </w:rPr>
        <w:t>before starting treatment</w:t>
      </w:r>
      <w:r w:rsidR="001D2B80">
        <w:rPr>
          <w:rFonts w:ascii="Arial" w:hAnsi="Arial" w:cs="Arial"/>
        </w:rPr>
        <w:t xml:space="preserve"> </w:t>
      </w:r>
      <w:r w:rsidR="00E93E63" w:rsidRPr="00FA0B3B">
        <w:rPr>
          <w:rFonts w:ascii="Arial" w:hAnsi="Arial" w:cs="Arial"/>
        </w:rPr>
        <w:t>and</w:t>
      </w:r>
      <w:r w:rsidR="001D2B80">
        <w:rPr>
          <w:rFonts w:ascii="Arial" w:hAnsi="Arial" w:cs="Arial"/>
        </w:rPr>
        <w:t xml:space="preserve"> </w:t>
      </w:r>
      <w:r w:rsidR="00E93E63" w:rsidRPr="00FA0B3B">
        <w:rPr>
          <w:rFonts w:ascii="Arial" w:hAnsi="Arial" w:cs="Arial"/>
        </w:rPr>
        <w:t>acquired</w:t>
      </w:r>
      <w:r w:rsidR="00D13337">
        <w:rPr>
          <w:rFonts w:ascii="Arial" w:hAnsi="Arial" w:cs="Arial"/>
        </w:rPr>
        <w:t xml:space="preserve"> </w:t>
      </w:r>
      <w:r w:rsidR="009E00C6" w:rsidRPr="00FA0B3B">
        <w:rPr>
          <w:rFonts w:ascii="Arial" w:hAnsi="Arial" w:cs="Arial"/>
        </w:rPr>
        <w:t>during</w:t>
      </w:r>
      <w:r w:rsidR="00E93E63" w:rsidRPr="00FA0B3B">
        <w:rPr>
          <w:rFonts w:ascii="Arial" w:hAnsi="Arial" w:cs="Arial"/>
        </w:rPr>
        <w:t xml:space="preserve"> treatment</w:t>
      </w:r>
      <w:r w:rsidRPr="00C7409C">
        <w:rPr>
          <w:rFonts w:ascii="Arial" w:hAnsi="Arial" w:cs="Arial"/>
        </w:rPr>
        <w:t xml:space="preserve"> </w:t>
      </w:r>
      <w:r>
        <w:rPr>
          <w:rFonts w:ascii="Arial" w:hAnsi="Arial" w:cs="Arial"/>
        </w:rPr>
        <w:t>i</w:t>
      </w:r>
      <w:r w:rsidRPr="00FA0B3B">
        <w:rPr>
          <w:rFonts w:ascii="Arial" w:hAnsi="Arial" w:cs="Arial"/>
        </w:rPr>
        <w:t xml:space="preserve">n </w:t>
      </w:r>
      <w:r>
        <w:rPr>
          <w:rFonts w:ascii="Arial" w:hAnsi="Arial" w:cs="Arial"/>
        </w:rPr>
        <w:t xml:space="preserve">patients with drug-resistant TB and HIV in </w:t>
      </w:r>
      <w:r w:rsidRPr="00FA0B3B">
        <w:rPr>
          <w:rFonts w:ascii="Arial" w:hAnsi="Arial" w:cs="Arial"/>
        </w:rPr>
        <w:t>KwaZulu-Natal, South Africa</w:t>
      </w:r>
      <w:r w:rsidR="00E93E63" w:rsidRPr="00FA0B3B">
        <w:rPr>
          <w:rFonts w:ascii="Arial" w:hAnsi="Arial" w:cs="Arial"/>
        </w:rPr>
        <w:t>.</w:t>
      </w:r>
      <w:r w:rsidR="00ED1E5F">
        <w:rPr>
          <w:rFonts w:ascii="Arial" w:hAnsi="Arial" w:cs="Arial"/>
        </w:rPr>
        <w:t xml:space="preserve"> </w:t>
      </w:r>
      <w:r w:rsidR="00105907">
        <w:rPr>
          <w:rFonts w:ascii="Arial" w:hAnsi="Arial" w:cs="Arial"/>
        </w:rPr>
        <w:t>R</w:t>
      </w:r>
      <w:r w:rsidR="000003D5">
        <w:rPr>
          <w:rFonts w:ascii="Arial" w:hAnsi="Arial" w:cs="Arial"/>
        </w:rPr>
        <w:t xml:space="preserve">outine </w:t>
      </w:r>
      <w:r w:rsidR="00443794">
        <w:rPr>
          <w:rFonts w:ascii="Arial" w:hAnsi="Arial" w:cs="Arial"/>
        </w:rPr>
        <w:t xml:space="preserve">bedaquiline </w:t>
      </w:r>
      <w:r w:rsidR="000003D5">
        <w:rPr>
          <w:rFonts w:ascii="Arial" w:hAnsi="Arial" w:cs="Arial"/>
        </w:rPr>
        <w:t>resistance testing</w:t>
      </w:r>
      <w:r w:rsidR="001B4B1A">
        <w:rPr>
          <w:rFonts w:ascii="Arial" w:hAnsi="Arial" w:cs="Arial"/>
        </w:rPr>
        <w:t xml:space="preserve"> </w:t>
      </w:r>
      <w:r w:rsidR="005C44EE">
        <w:rPr>
          <w:rFonts w:ascii="Arial" w:hAnsi="Arial" w:cs="Arial"/>
        </w:rPr>
        <w:t>needs to</w:t>
      </w:r>
      <w:r w:rsidR="001B4B1A">
        <w:rPr>
          <w:rFonts w:ascii="Arial" w:hAnsi="Arial" w:cs="Arial"/>
        </w:rPr>
        <w:t xml:space="preserve"> be accelerated.</w:t>
      </w:r>
    </w:p>
    <w:p w14:paraId="77045E8C" w14:textId="77777777" w:rsidR="00A71852" w:rsidRPr="00FA0B3B" w:rsidRDefault="00A71852" w:rsidP="00FA0B3B">
      <w:pPr>
        <w:spacing w:line="480" w:lineRule="auto"/>
        <w:rPr>
          <w:rFonts w:ascii="Arial" w:hAnsi="Arial" w:cs="Arial"/>
        </w:rPr>
      </w:pPr>
    </w:p>
    <w:p w14:paraId="4776686F" w14:textId="77777777" w:rsidR="00E93E63" w:rsidRPr="00FA0B3B" w:rsidRDefault="00E93E63" w:rsidP="00E93E63">
      <w:pPr>
        <w:rPr>
          <w:rFonts w:ascii="Arial" w:hAnsi="Arial" w:cs="Arial"/>
        </w:rPr>
      </w:pPr>
    </w:p>
    <w:p w14:paraId="24913EEC" w14:textId="57022437" w:rsidR="00E93E63" w:rsidRDefault="00E93E63" w:rsidP="00FA0B3B">
      <w:pPr>
        <w:pStyle w:val="Heading2"/>
      </w:pPr>
      <w:r w:rsidRPr="00FA0B3B">
        <w:t>Plain language summary</w:t>
      </w:r>
    </w:p>
    <w:p w14:paraId="08343078" w14:textId="77777777" w:rsidR="00FA0B3B" w:rsidRPr="00FA0B3B" w:rsidRDefault="00FA0B3B" w:rsidP="00FA0B3B"/>
    <w:p w14:paraId="4BE0A3FA" w14:textId="114B02FD" w:rsidR="00FA0B3B" w:rsidRDefault="00E93E63" w:rsidP="0047753B">
      <w:pPr>
        <w:spacing w:line="480" w:lineRule="auto"/>
        <w:rPr>
          <w:rFonts w:ascii="Arial" w:hAnsi="Arial" w:cs="Arial"/>
        </w:rPr>
      </w:pPr>
      <w:r w:rsidRPr="00FA0B3B">
        <w:rPr>
          <w:rFonts w:ascii="Arial" w:hAnsi="Arial" w:cs="Arial"/>
        </w:rPr>
        <w:t xml:space="preserve">Bedaquiline is a </w:t>
      </w:r>
      <w:r w:rsidR="001D2B80">
        <w:rPr>
          <w:rFonts w:ascii="Arial" w:hAnsi="Arial" w:cs="Arial"/>
        </w:rPr>
        <w:t>highly</w:t>
      </w:r>
      <w:r w:rsidR="001D2B80" w:rsidRPr="00FA0B3B">
        <w:rPr>
          <w:rFonts w:ascii="Arial" w:hAnsi="Arial" w:cs="Arial"/>
        </w:rPr>
        <w:t xml:space="preserve"> </w:t>
      </w:r>
      <w:r w:rsidRPr="00FA0B3B">
        <w:rPr>
          <w:rFonts w:ascii="Arial" w:hAnsi="Arial" w:cs="Arial"/>
        </w:rPr>
        <w:t xml:space="preserve">effective drug </w:t>
      </w:r>
      <w:r w:rsidR="001D2B80">
        <w:rPr>
          <w:rFonts w:ascii="Arial" w:hAnsi="Arial" w:cs="Arial"/>
        </w:rPr>
        <w:t xml:space="preserve">for </w:t>
      </w:r>
      <w:r w:rsidRPr="00FA0B3B">
        <w:rPr>
          <w:rFonts w:ascii="Arial" w:hAnsi="Arial" w:cs="Arial"/>
        </w:rPr>
        <w:t>tuberculosis (TB)</w:t>
      </w:r>
      <w:r w:rsidR="00613BF2">
        <w:rPr>
          <w:rFonts w:ascii="Arial" w:hAnsi="Arial" w:cs="Arial"/>
        </w:rPr>
        <w:t xml:space="preserve"> </w:t>
      </w:r>
      <w:r w:rsidRPr="00FA0B3B">
        <w:rPr>
          <w:rFonts w:ascii="Arial" w:hAnsi="Arial" w:cs="Arial"/>
        </w:rPr>
        <w:t xml:space="preserve">and is an important part of </w:t>
      </w:r>
      <w:r w:rsidR="00240B7F">
        <w:rPr>
          <w:rFonts w:ascii="Arial" w:hAnsi="Arial" w:cs="Arial"/>
        </w:rPr>
        <w:t>current</w:t>
      </w:r>
      <w:r w:rsidR="001D2B80">
        <w:rPr>
          <w:rFonts w:ascii="Arial" w:hAnsi="Arial" w:cs="Arial"/>
        </w:rPr>
        <w:t xml:space="preserve"> regimens</w:t>
      </w:r>
      <w:r w:rsidR="001D2B80" w:rsidRPr="00FA0B3B">
        <w:rPr>
          <w:rFonts w:ascii="Arial" w:hAnsi="Arial" w:cs="Arial"/>
        </w:rPr>
        <w:t xml:space="preserve"> </w:t>
      </w:r>
      <w:r w:rsidRPr="00FA0B3B">
        <w:rPr>
          <w:rFonts w:ascii="Arial" w:hAnsi="Arial" w:cs="Arial"/>
        </w:rPr>
        <w:t xml:space="preserve">for drug-resistant TB. </w:t>
      </w:r>
      <w:r w:rsidR="006D5A77">
        <w:rPr>
          <w:rFonts w:ascii="Arial" w:hAnsi="Arial" w:cs="Arial"/>
        </w:rPr>
        <w:t>B</w:t>
      </w:r>
      <w:r w:rsidRPr="00FA0B3B">
        <w:rPr>
          <w:rFonts w:ascii="Arial" w:hAnsi="Arial" w:cs="Arial"/>
        </w:rPr>
        <w:t xml:space="preserve">edaquiline resistance </w:t>
      </w:r>
      <w:r w:rsidR="00F062B1">
        <w:rPr>
          <w:rFonts w:ascii="Arial" w:hAnsi="Arial" w:cs="Arial"/>
        </w:rPr>
        <w:t>i</w:t>
      </w:r>
      <w:r w:rsidR="00D13337">
        <w:rPr>
          <w:rFonts w:ascii="Arial" w:hAnsi="Arial" w:cs="Arial"/>
        </w:rPr>
        <w:t xml:space="preserve">s </w:t>
      </w:r>
      <w:r w:rsidR="00F062B1">
        <w:rPr>
          <w:rFonts w:ascii="Arial" w:hAnsi="Arial" w:cs="Arial"/>
        </w:rPr>
        <w:t>rarely</w:t>
      </w:r>
      <w:r w:rsidR="00F062B1" w:rsidRPr="00FA0B3B">
        <w:rPr>
          <w:rFonts w:ascii="Arial" w:hAnsi="Arial" w:cs="Arial"/>
        </w:rPr>
        <w:t xml:space="preserve"> </w:t>
      </w:r>
      <w:r w:rsidR="00F062B1">
        <w:rPr>
          <w:rFonts w:ascii="Arial" w:hAnsi="Arial" w:cs="Arial"/>
        </w:rPr>
        <w:t>tested</w:t>
      </w:r>
      <w:r w:rsidR="00E8179F">
        <w:rPr>
          <w:rFonts w:ascii="Arial" w:hAnsi="Arial" w:cs="Arial"/>
        </w:rPr>
        <w:t xml:space="preserve"> in </w:t>
      </w:r>
      <w:r w:rsidR="00E8179F">
        <w:rPr>
          <w:rFonts w:ascii="Arial" w:hAnsi="Arial" w:cs="Arial"/>
        </w:rPr>
        <w:lastRenderedPageBreak/>
        <w:t>operational settings</w:t>
      </w:r>
      <w:r w:rsidRPr="00FA0B3B">
        <w:rPr>
          <w:rFonts w:ascii="Arial" w:hAnsi="Arial" w:cs="Arial"/>
        </w:rPr>
        <w:t xml:space="preserve">. </w:t>
      </w:r>
      <w:r w:rsidR="001D2B80">
        <w:rPr>
          <w:rFonts w:ascii="Arial" w:hAnsi="Arial" w:cs="Arial"/>
        </w:rPr>
        <w:t>In</w:t>
      </w:r>
      <w:r w:rsidRPr="00FA0B3B">
        <w:rPr>
          <w:rFonts w:ascii="Arial" w:hAnsi="Arial" w:cs="Arial"/>
        </w:rPr>
        <w:t xml:space="preserve"> a </w:t>
      </w:r>
      <w:r w:rsidR="003472E1">
        <w:rPr>
          <w:rFonts w:ascii="Arial" w:hAnsi="Arial" w:cs="Arial"/>
        </w:rPr>
        <w:t>prospective cohort of</w:t>
      </w:r>
      <w:r w:rsidRPr="00FA0B3B">
        <w:rPr>
          <w:rFonts w:ascii="Arial" w:hAnsi="Arial" w:cs="Arial"/>
        </w:rPr>
        <w:t xml:space="preserve"> </w:t>
      </w:r>
      <w:r w:rsidR="00895D1F">
        <w:rPr>
          <w:rFonts w:ascii="Arial" w:hAnsi="Arial" w:cs="Arial"/>
        </w:rPr>
        <w:t xml:space="preserve">292 </w:t>
      </w:r>
      <w:r w:rsidRPr="00FA0B3B">
        <w:rPr>
          <w:rFonts w:ascii="Arial" w:hAnsi="Arial" w:cs="Arial"/>
        </w:rPr>
        <w:t xml:space="preserve">patients with drug-resistant TB and HIV starting bedaquiline </w:t>
      </w:r>
      <w:r w:rsidR="00D13337" w:rsidRPr="00FA0B3B">
        <w:rPr>
          <w:rFonts w:ascii="Arial" w:hAnsi="Arial" w:cs="Arial"/>
        </w:rPr>
        <w:t xml:space="preserve">in KwaZulu-Natal, South Africa, </w:t>
      </w:r>
      <w:r w:rsidR="005C381D">
        <w:rPr>
          <w:rFonts w:ascii="Arial" w:hAnsi="Arial" w:cs="Arial"/>
        </w:rPr>
        <w:t>we whole genome sequenced isolates from 92 baseline culture positive patients. F</w:t>
      </w:r>
      <w:r w:rsidR="00895D1F">
        <w:rPr>
          <w:rFonts w:ascii="Arial" w:hAnsi="Arial" w:cs="Arial"/>
        </w:rPr>
        <w:t>ive</w:t>
      </w:r>
      <w:r w:rsidR="00F541CC">
        <w:rPr>
          <w:rFonts w:ascii="Arial" w:hAnsi="Arial" w:cs="Arial"/>
        </w:rPr>
        <w:t xml:space="preserve"> patients </w:t>
      </w:r>
      <w:r w:rsidR="001D2B80">
        <w:rPr>
          <w:rFonts w:ascii="Arial" w:hAnsi="Arial" w:cs="Arial"/>
        </w:rPr>
        <w:t xml:space="preserve">were </w:t>
      </w:r>
      <w:r w:rsidR="00F062B1">
        <w:rPr>
          <w:rFonts w:ascii="Arial" w:hAnsi="Arial" w:cs="Arial"/>
        </w:rPr>
        <w:t xml:space="preserve">infected </w:t>
      </w:r>
      <w:r w:rsidR="00240B7F">
        <w:rPr>
          <w:rFonts w:ascii="Arial" w:hAnsi="Arial" w:cs="Arial"/>
        </w:rPr>
        <w:t>with</w:t>
      </w:r>
      <w:r w:rsidR="00F062B1">
        <w:rPr>
          <w:rFonts w:ascii="Arial" w:hAnsi="Arial" w:cs="Arial"/>
        </w:rPr>
        <w:t xml:space="preserve"> strains </w:t>
      </w:r>
      <w:r w:rsidR="00D77DE5">
        <w:rPr>
          <w:rFonts w:ascii="Arial" w:hAnsi="Arial" w:cs="Arial"/>
        </w:rPr>
        <w:t>harbouring</w:t>
      </w:r>
      <w:r w:rsidR="00D77DE5" w:rsidRPr="00FA0B3B">
        <w:rPr>
          <w:rFonts w:ascii="Arial" w:hAnsi="Arial" w:cs="Arial"/>
        </w:rPr>
        <w:t xml:space="preserve"> </w:t>
      </w:r>
      <w:r w:rsidRPr="00FA0B3B">
        <w:rPr>
          <w:rFonts w:ascii="Arial" w:hAnsi="Arial" w:cs="Arial"/>
        </w:rPr>
        <w:t xml:space="preserve">mutations </w:t>
      </w:r>
      <w:r w:rsidR="001D2B80">
        <w:rPr>
          <w:rFonts w:ascii="Arial" w:hAnsi="Arial" w:cs="Arial"/>
        </w:rPr>
        <w:t>associated with</w:t>
      </w:r>
      <w:r w:rsidRPr="00FA0B3B">
        <w:rPr>
          <w:rFonts w:ascii="Arial" w:hAnsi="Arial" w:cs="Arial"/>
        </w:rPr>
        <w:t xml:space="preserve"> bedaquiline resistance, and </w:t>
      </w:r>
      <w:r w:rsidR="001D2B80">
        <w:rPr>
          <w:rFonts w:ascii="Arial" w:hAnsi="Arial" w:cs="Arial"/>
        </w:rPr>
        <w:t xml:space="preserve">an additional </w:t>
      </w:r>
      <w:r w:rsidR="00895D1F">
        <w:rPr>
          <w:rFonts w:ascii="Arial" w:hAnsi="Arial" w:cs="Arial"/>
        </w:rPr>
        <w:t xml:space="preserve">five </w:t>
      </w:r>
      <w:r w:rsidR="001D2B80" w:rsidRPr="00FA0B3B">
        <w:rPr>
          <w:rFonts w:ascii="Arial" w:hAnsi="Arial" w:cs="Arial"/>
        </w:rPr>
        <w:t xml:space="preserve">acquired </w:t>
      </w:r>
      <w:r w:rsidR="001D2B80">
        <w:rPr>
          <w:rFonts w:ascii="Arial" w:hAnsi="Arial" w:cs="Arial"/>
        </w:rPr>
        <w:t>resistance mutations</w:t>
      </w:r>
      <w:r w:rsidR="001D2B80" w:rsidRPr="00FA0B3B">
        <w:rPr>
          <w:rFonts w:ascii="Arial" w:hAnsi="Arial" w:cs="Arial"/>
        </w:rPr>
        <w:t xml:space="preserve"> during treatment</w:t>
      </w:r>
      <w:r w:rsidR="001D2B80">
        <w:rPr>
          <w:rFonts w:ascii="Arial" w:hAnsi="Arial" w:cs="Arial"/>
        </w:rPr>
        <w:t>.</w:t>
      </w:r>
      <w:r w:rsidRPr="00FA0B3B">
        <w:rPr>
          <w:rFonts w:ascii="Arial" w:hAnsi="Arial" w:cs="Arial"/>
        </w:rPr>
        <w:t xml:space="preserve"> </w:t>
      </w:r>
      <w:r w:rsidR="00F541CC">
        <w:rPr>
          <w:rFonts w:ascii="Arial" w:hAnsi="Arial" w:cs="Arial"/>
        </w:rPr>
        <w:t xml:space="preserve">Among </w:t>
      </w:r>
      <w:r w:rsidR="00895D1F">
        <w:rPr>
          <w:rFonts w:ascii="Arial" w:hAnsi="Arial" w:cs="Arial"/>
        </w:rPr>
        <w:t>the baseline culture positive patients</w:t>
      </w:r>
      <w:r w:rsidR="00F541CC">
        <w:rPr>
          <w:rFonts w:ascii="Arial" w:hAnsi="Arial" w:cs="Arial"/>
        </w:rPr>
        <w:t>, those with</w:t>
      </w:r>
      <w:r w:rsidR="001A02F6">
        <w:rPr>
          <w:rFonts w:ascii="Arial" w:hAnsi="Arial" w:cs="Arial"/>
        </w:rPr>
        <w:t xml:space="preserve"> baseline or acquired resistance mutations</w:t>
      </w:r>
      <w:r w:rsidRPr="00FA0B3B">
        <w:rPr>
          <w:rFonts w:ascii="Arial" w:hAnsi="Arial" w:cs="Arial"/>
        </w:rPr>
        <w:t xml:space="preserve"> had </w:t>
      </w:r>
      <w:r w:rsidR="001D2B80">
        <w:rPr>
          <w:rFonts w:ascii="Arial" w:hAnsi="Arial" w:cs="Arial"/>
        </w:rPr>
        <w:t xml:space="preserve">substantially </w:t>
      </w:r>
      <w:r w:rsidRPr="00FA0B3B">
        <w:rPr>
          <w:rFonts w:ascii="Arial" w:hAnsi="Arial" w:cs="Arial"/>
        </w:rPr>
        <w:t xml:space="preserve">worse </w:t>
      </w:r>
      <w:r w:rsidR="00D13337">
        <w:rPr>
          <w:rFonts w:ascii="Arial" w:hAnsi="Arial" w:cs="Arial"/>
        </w:rPr>
        <w:t xml:space="preserve">clinical </w:t>
      </w:r>
      <w:r w:rsidRPr="00FA0B3B">
        <w:rPr>
          <w:rFonts w:ascii="Arial" w:hAnsi="Arial" w:cs="Arial"/>
        </w:rPr>
        <w:t xml:space="preserve">outcomes </w:t>
      </w:r>
      <w:r w:rsidR="001D2B80">
        <w:rPr>
          <w:rFonts w:ascii="Arial" w:hAnsi="Arial" w:cs="Arial"/>
        </w:rPr>
        <w:t>compared to patients</w:t>
      </w:r>
      <w:r w:rsidRPr="00FA0B3B">
        <w:rPr>
          <w:rFonts w:ascii="Arial" w:hAnsi="Arial" w:cs="Arial"/>
        </w:rPr>
        <w:t xml:space="preserve"> without. Given the importance of bedaquiline in current and future treatment, </w:t>
      </w:r>
      <w:r w:rsidR="00D13337">
        <w:rPr>
          <w:rFonts w:ascii="Arial" w:hAnsi="Arial" w:cs="Arial"/>
        </w:rPr>
        <w:t>routine</w:t>
      </w:r>
      <w:r w:rsidRPr="00FA0B3B">
        <w:rPr>
          <w:rFonts w:ascii="Arial" w:hAnsi="Arial" w:cs="Arial"/>
        </w:rPr>
        <w:t xml:space="preserve"> bedaquiline resistance monitoring is </w:t>
      </w:r>
      <w:r w:rsidR="00D13337">
        <w:rPr>
          <w:rFonts w:ascii="Arial" w:hAnsi="Arial" w:cs="Arial"/>
        </w:rPr>
        <w:t>urgently needed</w:t>
      </w:r>
      <w:r w:rsidR="00D13337" w:rsidRPr="00FA0B3B">
        <w:rPr>
          <w:rFonts w:ascii="Arial" w:hAnsi="Arial" w:cs="Arial"/>
        </w:rPr>
        <w:t xml:space="preserve"> </w:t>
      </w:r>
      <w:r w:rsidRPr="00FA0B3B">
        <w:rPr>
          <w:rFonts w:ascii="Arial" w:hAnsi="Arial" w:cs="Arial"/>
        </w:rPr>
        <w:t xml:space="preserve">and </w:t>
      </w:r>
      <w:r w:rsidR="00913FA8">
        <w:rPr>
          <w:rFonts w:ascii="Arial" w:hAnsi="Arial" w:cs="Arial"/>
        </w:rPr>
        <w:t>program</w:t>
      </w:r>
      <w:r w:rsidR="005404F1">
        <w:rPr>
          <w:rFonts w:ascii="Arial" w:hAnsi="Arial" w:cs="Arial"/>
        </w:rPr>
        <w:t>me</w:t>
      </w:r>
      <w:r w:rsidR="00913FA8">
        <w:rPr>
          <w:rFonts w:ascii="Arial" w:hAnsi="Arial" w:cs="Arial"/>
        </w:rPr>
        <w:t>s</w:t>
      </w:r>
      <w:r w:rsidRPr="00FA0B3B">
        <w:rPr>
          <w:rFonts w:ascii="Arial" w:hAnsi="Arial" w:cs="Arial"/>
        </w:rPr>
        <w:t xml:space="preserve"> </w:t>
      </w:r>
      <w:r w:rsidR="00F062B1">
        <w:rPr>
          <w:rFonts w:ascii="Arial" w:hAnsi="Arial" w:cs="Arial"/>
        </w:rPr>
        <w:t xml:space="preserve">require </w:t>
      </w:r>
      <w:r w:rsidRPr="00FA0B3B">
        <w:rPr>
          <w:rFonts w:ascii="Arial" w:hAnsi="Arial" w:cs="Arial"/>
        </w:rPr>
        <w:t>strengthen</w:t>
      </w:r>
      <w:r w:rsidR="00F062B1">
        <w:rPr>
          <w:rFonts w:ascii="Arial" w:hAnsi="Arial" w:cs="Arial"/>
        </w:rPr>
        <w:t>ing</w:t>
      </w:r>
      <w:r w:rsidRPr="00FA0B3B">
        <w:rPr>
          <w:rFonts w:ascii="Arial" w:hAnsi="Arial" w:cs="Arial"/>
        </w:rPr>
        <w:t xml:space="preserve"> to </w:t>
      </w:r>
      <w:r w:rsidR="00A46114">
        <w:rPr>
          <w:rFonts w:ascii="Arial" w:hAnsi="Arial" w:cs="Arial"/>
        </w:rPr>
        <w:t xml:space="preserve">ensure full adherence and </w:t>
      </w:r>
      <w:r w:rsidRPr="00FA0B3B">
        <w:rPr>
          <w:rFonts w:ascii="Arial" w:hAnsi="Arial" w:cs="Arial"/>
        </w:rPr>
        <w:t>prevent widespread transmission of bedaquiline-resistant tuberculosis.</w:t>
      </w:r>
    </w:p>
    <w:p w14:paraId="739F96CF" w14:textId="77777777" w:rsidR="001B47E1" w:rsidRDefault="001B47E1">
      <w:pPr>
        <w:rPr>
          <w:rFonts w:asciiTheme="majorHAnsi" w:eastAsiaTheme="majorEastAsia" w:hAnsiTheme="majorHAnsi" w:cstheme="majorBidi"/>
          <w:color w:val="2F5496" w:themeColor="accent1" w:themeShade="BF"/>
          <w:sz w:val="32"/>
          <w:szCs w:val="32"/>
        </w:rPr>
      </w:pPr>
      <w:r>
        <w:br w:type="page"/>
      </w:r>
    </w:p>
    <w:p w14:paraId="27A1D708" w14:textId="490583D6" w:rsidR="00E93E63" w:rsidRDefault="00E93E63" w:rsidP="00FA0B3B">
      <w:pPr>
        <w:pStyle w:val="Heading1"/>
      </w:pPr>
      <w:r w:rsidRPr="00FA0B3B">
        <w:lastRenderedPageBreak/>
        <w:t>Main text</w:t>
      </w:r>
    </w:p>
    <w:p w14:paraId="7EC1BC04" w14:textId="77777777" w:rsidR="00FA0B3B" w:rsidRPr="00FA0B3B" w:rsidRDefault="00FA0B3B" w:rsidP="00FA0B3B">
      <w:pPr>
        <w:spacing w:line="480" w:lineRule="auto"/>
        <w:rPr>
          <w:rFonts w:ascii="Arial" w:hAnsi="Arial" w:cs="Arial"/>
        </w:rPr>
      </w:pPr>
    </w:p>
    <w:p w14:paraId="06C30655" w14:textId="5664CB1A" w:rsidR="00E93E63" w:rsidRPr="00FA0B3B" w:rsidRDefault="00E93E63" w:rsidP="00FA0B3B">
      <w:pPr>
        <w:spacing w:line="480" w:lineRule="auto"/>
        <w:rPr>
          <w:rFonts w:ascii="Arial" w:hAnsi="Arial" w:cs="Arial"/>
        </w:rPr>
      </w:pPr>
      <w:r w:rsidRPr="00FA0B3B">
        <w:rPr>
          <w:rFonts w:ascii="Arial" w:hAnsi="Arial" w:cs="Arial"/>
        </w:rPr>
        <w:t xml:space="preserve">Global tuberculosis (TB) control is threatened </w:t>
      </w:r>
      <w:r w:rsidR="00687752">
        <w:rPr>
          <w:rFonts w:ascii="Arial" w:hAnsi="Arial" w:cs="Arial"/>
        </w:rPr>
        <w:t xml:space="preserve">by </w:t>
      </w:r>
      <w:r w:rsidRPr="00FA0B3B">
        <w:rPr>
          <w:rFonts w:ascii="Arial" w:hAnsi="Arial" w:cs="Arial"/>
        </w:rPr>
        <w:t>drug resistance</w:t>
      </w:r>
      <w:r w:rsidR="00FA0B3B">
        <w:rPr>
          <w:rFonts w:ascii="Arial" w:hAnsi="Arial" w:cs="Arial"/>
        </w:rPr>
        <w:t>, with</w:t>
      </w:r>
      <w:r w:rsidRPr="00FA0B3B">
        <w:rPr>
          <w:rFonts w:ascii="Arial" w:hAnsi="Arial" w:cs="Arial"/>
        </w:rPr>
        <w:t xml:space="preserve"> over 500,000 cases resistant to first-line drugs in 2018</w:t>
      </w:r>
      <w:sdt>
        <w:sdtPr>
          <w:rPr>
            <w:rFonts w:ascii="Arial" w:hAnsi="Arial" w:cs="Arial"/>
            <w:color w:val="000000"/>
          </w:rPr>
          <w:tag w:val="MENDELEY_CITATION_de3fde19-9ebe-4799-8e52-804403cb2aa7"/>
          <w:id w:val="809905070"/>
          <w:placeholder>
            <w:docPart w:val="DefaultPlaceholder_-1854013440"/>
          </w:placeholder>
        </w:sdtPr>
        <w:sdtEndPr/>
        <w:sdtContent>
          <w:r w:rsidR="008C566B" w:rsidRPr="008C566B">
            <w:rPr>
              <w:rFonts w:ascii="Arial" w:hAnsi="Arial" w:cs="Arial"/>
              <w:color w:val="000000"/>
            </w:rPr>
            <w:t>[1]</w:t>
          </w:r>
        </w:sdtContent>
      </w:sdt>
      <w:r w:rsidR="008C566B">
        <w:rPr>
          <w:rFonts w:ascii="Arial" w:hAnsi="Arial" w:cs="Arial"/>
          <w:color w:val="000000"/>
        </w:rPr>
        <w:t>.</w:t>
      </w:r>
      <w:r w:rsidRPr="00FA0B3B">
        <w:rPr>
          <w:rFonts w:ascii="Arial" w:hAnsi="Arial" w:cs="Arial"/>
        </w:rPr>
        <w:t xml:space="preserve"> Bedaquiline is a highly effective TB drug and has improved </w:t>
      </w:r>
      <w:r w:rsidR="00FA0B3B">
        <w:rPr>
          <w:rFonts w:ascii="Arial" w:hAnsi="Arial" w:cs="Arial"/>
        </w:rPr>
        <w:t>drug-resistant TB (</w:t>
      </w:r>
      <w:r w:rsidRPr="00FA0B3B">
        <w:rPr>
          <w:rFonts w:ascii="Arial" w:hAnsi="Arial" w:cs="Arial"/>
        </w:rPr>
        <w:t>DR-TB</w:t>
      </w:r>
      <w:r w:rsidR="00FA0B3B">
        <w:rPr>
          <w:rFonts w:ascii="Arial" w:hAnsi="Arial" w:cs="Arial"/>
        </w:rPr>
        <w:t>)</w:t>
      </w:r>
      <w:r w:rsidRPr="00FA0B3B">
        <w:rPr>
          <w:rFonts w:ascii="Arial" w:hAnsi="Arial" w:cs="Arial"/>
        </w:rPr>
        <w:t xml:space="preserve"> outcomes in trial and programmatic settings</w:t>
      </w:r>
      <w:sdt>
        <w:sdtPr>
          <w:rPr>
            <w:rFonts w:ascii="Arial" w:hAnsi="Arial" w:cs="Arial"/>
            <w:color w:val="000000"/>
          </w:rPr>
          <w:tag w:val="MENDELEY_CITATION_c1230356-78e6-4ac5-a2e5-90de923f186e"/>
          <w:id w:val="-1416244369"/>
          <w:placeholder>
            <w:docPart w:val="DefaultPlaceholder_-1854013440"/>
          </w:placeholder>
        </w:sdtPr>
        <w:sdtEndPr/>
        <w:sdtContent>
          <w:r w:rsidR="008C566B" w:rsidRPr="008C566B">
            <w:rPr>
              <w:rFonts w:ascii="Arial" w:hAnsi="Arial" w:cs="Arial"/>
              <w:color w:val="000000"/>
            </w:rPr>
            <w:t>[2,3]</w:t>
          </w:r>
        </w:sdtContent>
      </w:sdt>
      <w:r w:rsidR="008C566B">
        <w:rPr>
          <w:rFonts w:ascii="Arial" w:hAnsi="Arial" w:cs="Arial"/>
          <w:color w:val="000000"/>
        </w:rPr>
        <w:t>.</w:t>
      </w:r>
      <w:r w:rsidR="004571C4">
        <w:rPr>
          <w:rFonts w:ascii="Arial" w:hAnsi="Arial" w:cs="Arial"/>
        </w:rPr>
        <w:t xml:space="preserve"> </w:t>
      </w:r>
      <w:r w:rsidRPr="00FA0B3B">
        <w:rPr>
          <w:rFonts w:ascii="Arial" w:hAnsi="Arial" w:cs="Arial"/>
        </w:rPr>
        <w:t xml:space="preserve">The World Health Organization (WHO) recommends its inclusion in </w:t>
      </w:r>
      <w:r w:rsidR="00FB721D">
        <w:rPr>
          <w:rFonts w:ascii="Arial" w:hAnsi="Arial" w:cs="Arial"/>
        </w:rPr>
        <w:t>most</w:t>
      </w:r>
      <w:r w:rsidRPr="00FA0B3B">
        <w:rPr>
          <w:rFonts w:ascii="Arial" w:hAnsi="Arial" w:cs="Arial"/>
        </w:rPr>
        <w:t xml:space="preserve"> DR-TB regimens</w:t>
      </w:r>
      <w:sdt>
        <w:sdtPr>
          <w:rPr>
            <w:rFonts w:ascii="Arial" w:hAnsi="Arial" w:cs="Arial"/>
            <w:color w:val="000000"/>
          </w:rPr>
          <w:tag w:val="MENDELEY_CITATION_9d721055-6e26-4a1d-ad03-952c14b2dff6"/>
          <w:id w:val="-474449281"/>
          <w:placeholder>
            <w:docPart w:val="DefaultPlaceholder_-1854013440"/>
          </w:placeholder>
        </w:sdtPr>
        <w:sdtEndPr/>
        <w:sdtContent>
          <w:r w:rsidR="008C566B" w:rsidRPr="008C566B">
            <w:rPr>
              <w:rFonts w:ascii="Arial" w:hAnsi="Arial" w:cs="Arial"/>
              <w:color w:val="000000"/>
            </w:rPr>
            <w:t>[4]</w:t>
          </w:r>
        </w:sdtContent>
      </w:sdt>
      <w:r w:rsidRPr="00FA0B3B">
        <w:rPr>
          <w:rFonts w:ascii="Arial" w:hAnsi="Arial" w:cs="Arial"/>
        </w:rPr>
        <w:t xml:space="preserve"> </w:t>
      </w:r>
      <w:r w:rsidR="00FA0B3B">
        <w:rPr>
          <w:rFonts w:ascii="Arial" w:hAnsi="Arial" w:cs="Arial"/>
        </w:rPr>
        <w:t>and it is</w:t>
      </w:r>
      <w:r w:rsidRPr="00FA0B3B">
        <w:rPr>
          <w:rFonts w:ascii="Arial" w:hAnsi="Arial" w:cs="Arial"/>
        </w:rPr>
        <w:t xml:space="preserve"> under further evaluation in</w:t>
      </w:r>
      <w:r w:rsidR="00D13337">
        <w:rPr>
          <w:rFonts w:ascii="Arial" w:hAnsi="Arial" w:cs="Arial"/>
        </w:rPr>
        <w:t xml:space="preserve"> </w:t>
      </w:r>
      <w:r w:rsidRPr="00FA0B3B">
        <w:rPr>
          <w:rFonts w:ascii="Arial" w:hAnsi="Arial" w:cs="Arial"/>
        </w:rPr>
        <w:t xml:space="preserve">clinical trials. There have been </w:t>
      </w:r>
      <w:r w:rsidR="00FA0B3B">
        <w:rPr>
          <w:rFonts w:ascii="Arial" w:hAnsi="Arial" w:cs="Arial"/>
        </w:rPr>
        <w:t>several</w:t>
      </w:r>
      <w:r w:rsidRPr="00FA0B3B">
        <w:rPr>
          <w:rFonts w:ascii="Arial" w:hAnsi="Arial" w:cs="Arial"/>
        </w:rPr>
        <w:t xml:space="preserve"> reports of </w:t>
      </w:r>
      <w:r w:rsidR="001E0554">
        <w:rPr>
          <w:rFonts w:ascii="Arial" w:hAnsi="Arial" w:cs="Arial"/>
        </w:rPr>
        <w:t xml:space="preserve">clinical </w:t>
      </w:r>
      <w:r w:rsidRPr="00FA0B3B">
        <w:rPr>
          <w:rFonts w:ascii="Arial" w:hAnsi="Arial" w:cs="Arial"/>
        </w:rPr>
        <w:t>bedaquiline resistance</w:t>
      </w:r>
      <w:sdt>
        <w:sdtPr>
          <w:rPr>
            <w:rFonts w:ascii="Arial" w:hAnsi="Arial" w:cs="Arial"/>
            <w:color w:val="000000"/>
          </w:rPr>
          <w:tag w:val="MENDELEY_CITATION_3159a979-39b8-444c-9c15-4bc53f62e667"/>
          <w:id w:val="565077255"/>
          <w:placeholder>
            <w:docPart w:val="DefaultPlaceholder_-1854013440"/>
          </w:placeholder>
        </w:sdtPr>
        <w:sdtEndPr/>
        <w:sdtContent>
          <w:r w:rsidR="008C566B" w:rsidRPr="008C566B">
            <w:rPr>
              <w:rFonts w:ascii="Arial" w:hAnsi="Arial" w:cs="Arial"/>
              <w:color w:val="000000"/>
            </w:rPr>
            <w:t>[5–8]</w:t>
          </w:r>
        </w:sdtContent>
      </w:sdt>
      <w:r w:rsidR="008C566B">
        <w:rPr>
          <w:rFonts w:ascii="Arial" w:hAnsi="Arial" w:cs="Arial"/>
          <w:color w:val="000000"/>
        </w:rPr>
        <w:t>.</w:t>
      </w:r>
      <w:r w:rsidR="00197640">
        <w:rPr>
          <w:rFonts w:ascii="Arial" w:hAnsi="Arial" w:cs="Arial"/>
        </w:rPr>
        <w:t xml:space="preserve"> R</w:t>
      </w:r>
      <w:r w:rsidRPr="00FA0B3B">
        <w:rPr>
          <w:rFonts w:ascii="Arial" w:hAnsi="Arial" w:cs="Arial"/>
        </w:rPr>
        <w:t xml:space="preserve">esistance-associated variants (RAVs) in clinical isolates </w:t>
      </w:r>
      <w:r w:rsidR="00FE10C7">
        <w:rPr>
          <w:rFonts w:ascii="Arial" w:hAnsi="Arial" w:cs="Arial"/>
        </w:rPr>
        <w:t xml:space="preserve">identified to date </w:t>
      </w:r>
      <w:r w:rsidRPr="00FA0B3B">
        <w:rPr>
          <w:rFonts w:ascii="Arial" w:hAnsi="Arial" w:cs="Arial"/>
        </w:rPr>
        <w:t xml:space="preserve">are almost exclusively </w:t>
      </w:r>
      <w:r w:rsidR="002C2B94">
        <w:rPr>
          <w:rFonts w:ascii="Arial" w:hAnsi="Arial" w:cs="Arial"/>
        </w:rPr>
        <w:t>caused by</w:t>
      </w:r>
      <w:r w:rsidR="00240B7F">
        <w:rPr>
          <w:rFonts w:ascii="Arial" w:hAnsi="Arial" w:cs="Arial"/>
        </w:rPr>
        <w:t xml:space="preserve"> </w:t>
      </w:r>
      <w:r w:rsidRPr="00197640">
        <w:rPr>
          <w:rFonts w:ascii="Arial" w:hAnsi="Arial" w:cs="Arial"/>
          <w:i/>
          <w:iCs/>
        </w:rPr>
        <w:t>Rv0678</w:t>
      </w:r>
      <w:r w:rsidRPr="00FA0B3B">
        <w:rPr>
          <w:rFonts w:ascii="Arial" w:hAnsi="Arial" w:cs="Arial"/>
        </w:rPr>
        <w:t xml:space="preserve"> </w:t>
      </w:r>
      <w:r w:rsidR="00197640">
        <w:rPr>
          <w:rFonts w:ascii="Arial" w:hAnsi="Arial" w:cs="Arial"/>
        </w:rPr>
        <w:t xml:space="preserve">mutations </w:t>
      </w:r>
      <w:r w:rsidR="00240B7F">
        <w:rPr>
          <w:rFonts w:ascii="Arial" w:hAnsi="Arial" w:cs="Arial"/>
        </w:rPr>
        <w:t xml:space="preserve">which </w:t>
      </w:r>
      <w:r w:rsidR="002B3F87">
        <w:rPr>
          <w:rFonts w:ascii="Arial" w:hAnsi="Arial" w:cs="Arial"/>
        </w:rPr>
        <w:t xml:space="preserve">can </w:t>
      </w:r>
      <w:r w:rsidR="00240B7F">
        <w:rPr>
          <w:rFonts w:ascii="Arial" w:hAnsi="Arial" w:cs="Arial"/>
        </w:rPr>
        <w:t xml:space="preserve">raise </w:t>
      </w:r>
      <w:r w:rsidRPr="00197640">
        <w:rPr>
          <w:rFonts w:ascii="Arial" w:hAnsi="Arial" w:cs="Arial"/>
          <w:i/>
          <w:iCs/>
        </w:rPr>
        <w:t>Mycobacterium tuberculosis</w:t>
      </w:r>
      <w:r w:rsidRPr="00FA0B3B">
        <w:rPr>
          <w:rFonts w:ascii="Arial" w:hAnsi="Arial" w:cs="Arial"/>
        </w:rPr>
        <w:t xml:space="preserve"> (</w:t>
      </w:r>
      <w:proofErr w:type="spellStart"/>
      <w:r w:rsidR="00E8179F" w:rsidRPr="00F57459">
        <w:rPr>
          <w:rFonts w:ascii="Arial" w:hAnsi="Arial" w:cs="Arial"/>
          <w:i/>
          <w:iCs/>
        </w:rPr>
        <w:t>Mtb</w:t>
      </w:r>
      <w:proofErr w:type="spellEnd"/>
      <w:r w:rsidRPr="00FA0B3B">
        <w:rPr>
          <w:rFonts w:ascii="Arial" w:hAnsi="Arial" w:cs="Arial"/>
        </w:rPr>
        <w:t>) minimum inhibitory concentrations (MICs) for bedaquiline and clofazimine</w:t>
      </w:r>
      <w:sdt>
        <w:sdtPr>
          <w:rPr>
            <w:rFonts w:ascii="Arial" w:hAnsi="Arial" w:cs="Arial"/>
            <w:color w:val="000000"/>
          </w:rPr>
          <w:tag w:val="MENDELEY_CITATION_4458969b-a314-4a5b-996b-6268f7dbe660"/>
          <w:id w:val="-1420018091"/>
          <w:placeholder>
            <w:docPart w:val="DefaultPlaceholder_-1854013440"/>
          </w:placeholder>
        </w:sdtPr>
        <w:sdtEndPr/>
        <w:sdtContent>
          <w:r w:rsidR="008C566B" w:rsidRPr="008C566B">
            <w:rPr>
              <w:rFonts w:ascii="Arial" w:hAnsi="Arial" w:cs="Arial"/>
              <w:color w:val="000000"/>
            </w:rPr>
            <w:t>[9]</w:t>
          </w:r>
        </w:sdtContent>
      </w:sdt>
      <w:r w:rsidR="008C566B">
        <w:rPr>
          <w:rFonts w:ascii="Arial" w:hAnsi="Arial" w:cs="Arial"/>
          <w:color w:val="000000"/>
        </w:rPr>
        <w:t>.</w:t>
      </w:r>
    </w:p>
    <w:p w14:paraId="02D695BE" w14:textId="77777777" w:rsidR="00E93E63" w:rsidRPr="00FA0B3B" w:rsidRDefault="00E93E63" w:rsidP="00FA0B3B">
      <w:pPr>
        <w:spacing w:line="480" w:lineRule="auto"/>
        <w:rPr>
          <w:rFonts w:ascii="Arial" w:hAnsi="Arial" w:cs="Arial"/>
        </w:rPr>
      </w:pPr>
    </w:p>
    <w:p w14:paraId="7D3B4999" w14:textId="342F5918" w:rsidR="00E93E63" w:rsidRPr="00FA0B3B" w:rsidRDefault="004571C4" w:rsidP="00FA0B3B">
      <w:pPr>
        <w:spacing w:line="480" w:lineRule="auto"/>
        <w:rPr>
          <w:rFonts w:ascii="Arial" w:hAnsi="Arial" w:cs="Arial"/>
        </w:rPr>
      </w:pPr>
      <w:r>
        <w:rPr>
          <w:rFonts w:ascii="Arial" w:hAnsi="Arial" w:cs="Arial"/>
        </w:rPr>
        <w:t xml:space="preserve">The South African province of </w:t>
      </w:r>
      <w:r w:rsidR="00E93E63" w:rsidRPr="00FA0B3B">
        <w:rPr>
          <w:rFonts w:ascii="Arial" w:hAnsi="Arial" w:cs="Arial"/>
        </w:rPr>
        <w:t xml:space="preserve">KwaZulu-Natal </w:t>
      </w:r>
      <w:r w:rsidR="00FB721D">
        <w:rPr>
          <w:rFonts w:ascii="Arial" w:hAnsi="Arial" w:cs="Arial"/>
        </w:rPr>
        <w:t>was</w:t>
      </w:r>
      <w:r w:rsidR="00E93E63" w:rsidRPr="00FA0B3B">
        <w:rPr>
          <w:rFonts w:ascii="Arial" w:hAnsi="Arial" w:cs="Arial"/>
        </w:rPr>
        <w:t xml:space="preserve"> the site of a</w:t>
      </w:r>
      <w:r w:rsidR="009362AB">
        <w:rPr>
          <w:rFonts w:ascii="Arial" w:hAnsi="Arial" w:cs="Arial"/>
        </w:rPr>
        <w:t>n</w:t>
      </w:r>
      <w:r>
        <w:rPr>
          <w:rFonts w:ascii="Arial" w:hAnsi="Arial" w:cs="Arial"/>
        </w:rPr>
        <w:t xml:space="preserve"> </w:t>
      </w:r>
      <w:r w:rsidR="00E93E63" w:rsidRPr="00FA0B3B">
        <w:rPr>
          <w:rFonts w:ascii="Arial" w:hAnsi="Arial" w:cs="Arial"/>
        </w:rPr>
        <w:t xml:space="preserve">extensively drug-resistant TB (XDR-TB) outbreak </w:t>
      </w:r>
      <w:r w:rsidR="00D13337">
        <w:rPr>
          <w:rFonts w:ascii="Arial" w:hAnsi="Arial" w:cs="Arial"/>
        </w:rPr>
        <w:t>among HIV co-infected patient</w:t>
      </w:r>
      <w:r w:rsidR="001D455C">
        <w:rPr>
          <w:rFonts w:ascii="Arial" w:hAnsi="Arial" w:cs="Arial"/>
        </w:rPr>
        <w:t>s</w:t>
      </w:r>
      <w:sdt>
        <w:sdtPr>
          <w:rPr>
            <w:rFonts w:ascii="Arial" w:hAnsi="Arial" w:cs="Arial"/>
            <w:color w:val="000000"/>
          </w:rPr>
          <w:tag w:val="MENDELEY_CITATION_16aaef7c-7db5-4a44-9340-208150a471bf"/>
          <w:id w:val="-612354168"/>
          <w:placeholder>
            <w:docPart w:val="DefaultPlaceholder_-1854013440"/>
          </w:placeholder>
        </w:sdtPr>
        <w:sdtEndPr/>
        <w:sdtContent>
          <w:r w:rsidR="008C566B" w:rsidRPr="008C566B">
            <w:rPr>
              <w:rFonts w:ascii="Arial" w:hAnsi="Arial" w:cs="Arial"/>
              <w:color w:val="000000"/>
            </w:rPr>
            <w:t>[10,11]</w:t>
          </w:r>
        </w:sdtContent>
      </w:sdt>
      <w:r w:rsidR="008C566B">
        <w:rPr>
          <w:rFonts w:ascii="Arial" w:hAnsi="Arial" w:cs="Arial"/>
          <w:color w:val="000000"/>
        </w:rPr>
        <w:t>.</w:t>
      </w:r>
      <w:r w:rsidR="00E93E63" w:rsidRPr="00FA0B3B">
        <w:rPr>
          <w:rFonts w:ascii="Arial" w:hAnsi="Arial" w:cs="Arial"/>
        </w:rPr>
        <w:t xml:space="preserve"> Despite </w:t>
      </w:r>
      <w:r>
        <w:rPr>
          <w:rFonts w:ascii="Arial" w:hAnsi="Arial" w:cs="Arial"/>
        </w:rPr>
        <w:t>extensive</w:t>
      </w:r>
      <w:r w:rsidR="00E93E63" w:rsidRPr="00FA0B3B">
        <w:rPr>
          <w:rFonts w:ascii="Arial" w:hAnsi="Arial" w:cs="Arial"/>
        </w:rPr>
        <w:t xml:space="preserve"> bedaquiline</w:t>
      </w:r>
      <w:r w:rsidR="002C2B94">
        <w:rPr>
          <w:rFonts w:ascii="Arial" w:hAnsi="Arial" w:cs="Arial"/>
        </w:rPr>
        <w:t xml:space="preserve"> use </w:t>
      </w:r>
      <w:r w:rsidR="00E93E63" w:rsidRPr="00FA0B3B">
        <w:rPr>
          <w:rFonts w:ascii="Arial" w:hAnsi="Arial" w:cs="Arial"/>
        </w:rPr>
        <w:t>in KwaZulu-Natal, routine phenotypic</w:t>
      </w:r>
      <w:r w:rsidR="000109BD">
        <w:rPr>
          <w:rFonts w:ascii="Arial" w:hAnsi="Arial" w:cs="Arial"/>
        </w:rPr>
        <w:t xml:space="preserve"> or </w:t>
      </w:r>
      <w:r w:rsidR="00E93E63" w:rsidRPr="00FA0B3B">
        <w:rPr>
          <w:rFonts w:ascii="Arial" w:hAnsi="Arial" w:cs="Arial"/>
        </w:rPr>
        <w:t>genotypic drug susceptibility testing</w:t>
      </w:r>
      <w:r>
        <w:rPr>
          <w:rFonts w:ascii="Arial" w:hAnsi="Arial" w:cs="Arial"/>
        </w:rPr>
        <w:t xml:space="preserve"> (DST)</w:t>
      </w:r>
      <w:r w:rsidR="00E93E63" w:rsidRPr="00FA0B3B">
        <w:rPr>
          <w:rFonts w:ascii="Arial" w:hAnsi="Arial" w:cs="Arial"/>
        </w:rPr>
        <w:t xml:space="preserve"> is </w:t>
      </w:r>
      <w:r w:rsidR="00D13337">
        <w:rPr>
          <w:rFonts w:ascii="Arial" w:hAnsi="Arial" w:cs="Arial"/>
        </w:rPr>
        <w:t xml:space="preserve">not </w:t>
      </w:r>
      <w:r w:rsidR="00E93E63" w:rsidRPr="00FA0B3B">
        <w:rPr>
          <w:rFonts w:ascii="Arial" w:hAnsi="Arial" w:cs="Arial"/>
        </w:rPr>
        <w:t>performed</w:t>
      </w:r>
      <w:r w:rsidR="00D13337">
        <w:rPr>
          <w:rFonts w:ascii="Arial" w:hAnsi="Arial" w:cs="Arial"/>
        </w:rPr>
        <w:t>,</w:t>
      </w:r>
      <w:r w:rsidR="00E93E63" w:rsidRPr="00FA0B3B">
        <w:rPr>
          <w:rFonts w:ascii="Arial" w:hAnsi="Arial" w:cs="Arial"/>
        </w:rPr>
        <w:t xml:space="preserve"> leaving the potential for unidentified </w:t>
      </w:r>
      <w:r w:rsidR="001E0554" w:rsidRPr="00FA0B3B">
        <w:rPr>
          <w:rFonts w:ascii="Arial" w:hAnsi="Arial" w:cs="Arial"/>
        </w:rPr>
        <w:t xml:space="preserve">bedaquiline </w:t>
      </w:r>
      <w:r w:rsidR="00E93E63" w:rsidRPr="00FA0B3B">
        <w:rPr>
          <w:rFonts w:ascii="Arial" w:hAnsi="Arial" w:cs="Arial"/>
        </w:rPr>
        <w:t>resistance to spread.</w:t>
      </w:r>
    </w:p>
    <w:p w14:paraId="66837FE6" w14:textId="77777777" w:rsidR="00E93E63" w:rsidRPr="00FA0B3B" w:rsidRDefault="00E93E63" w:rsidP="00FA0B3B">
      <w:pPr>
        <w:spacing w:line="480" w:lineRule="auto"/>
        <w:rPr>
          <w:rFonts w:ascii="Arial" w:hAnsi="Arial" w:cs="Arial"/>
        </w:rPr>
      </w:pPr>
    </w:p>
    <w:p w14:paraId="5DCE7B23" w14:textId="54E2723D" w:rsidR="00E93E63" w:rsidRPr="00FA0B3B" w:rsidRDefault="00E93E63" w:rsidP="00FA0B3B">
      <w:pPr>
        <w:spacing w:line="480" w:lineRule="auto"/>
        <w:rPr>
          <w:rFonts w:ascii="Arial" w:hAnsi="Arial" w:cs="Arial"/>
        </w:rPr>
      </w:pPr>
      <w:r w:rsidRPr="00FA0B3B">
        <w:rPr>
          <w:rFonts w:ascii="Arial" w:hAnsi="Arial" w:cs="Arial"/>
        </w:rPr>
        <w:t xml:space="preserve">The clinical significance of baseline </w:t>
      </w:r>
      <w:r w:rsidRPr="00197640">
        <w:rPr>
          <w:rFonts w:ascii="Arial" w:hAnsi="Arial" w:cs="Arial"/>
          <w:i/>
          <w:iCs/>
        </w:rPr>
        <w:t>Rv0678</w:t>
      </w:r>
      <w:r w:rsidRPr="00FA0B3B">
        <w:rPr>
          <w:rFonts w:ascii="Arial" w:hAnsi="Arial" w:cs="Arial"/>
        </w:rPr>
        <w:t xml:space="preserve"> variants is unclear</w:t>
      </w:r>
      <w:sdt>
        <w:sdtPr>
          <w:rPr>
            <w:rFonts w:ascii="Arial" w:hAnsi="Arial" w:cs="Arial"/>
            <w:color w:val="000000"/>
          </w:rPr>
          <w:tag w:val="MENDELEY_CITATION_1ac28123-20d1-4e49-a984-787b9c7e9d62"/>
          <w:id w:val="557902685"/>
          <w:placeholder>
            <w:docPart w:val="DefaultPlaceholder_-1854013440"/>
          </w:placeholder>
        </w:sdtPr>
        <w:sdtEndPr/>
        <w:sdtContent>
          <w:r w:rsidR="008C566B" w:rsidRPr="008C566B">
            <w:rPr>
              <w:rFonts w:ascii="Arial" w:hAnsi="Arial" w:cs="Arial"/>
              <w:color w:val="000000"/>
            </w:rPr>
            <w:t>[12]</w:t>
          </w:r>
        </w:sdtContent>
      </w:sdt>
      <w:r w:rsidR="008C566B">
        <w:rPr>
          <w:rFonts w:ascii="Arial" w:hAnsi="Arial" w:cs="Arial"/>
          <w:color w:val="000000"/>
        </w:rPr>
        <w:t>.</w:t>
      </w:r>
      <w:r w:rsidRPr="00FA0B3B">
        <w:rPr>
          <w:rFonts w:ascii="Arial" w:hAnsi="Arial" w:cs="Arial"/>
        </w:rPr>
        <w:t xml:space="preserve"> Emergence of </w:t>
      </w:r>
      <w:r w:rsidR="00CB64A8" w:rsidRPr="00FE0033">
        <w:rPr>
          <w:rFonts w:ascii="Arial" w:hAnsi="Arial" w:cs="Arial"/>
          <w:i/>
          <w:iCs/>
        </w:rPr>
        <w:t>Rv</w:t>
      </w:r>
      <w:r w:rsidR="002B567A" w:rsidRPr="00FE0033">
        <w:rPr>
          <w:rFonts w:ascii="Arial" w:hAnsi="Arial" w:cs="Arial"/>
          <w:i/>
          <w:iCs/>
        </w:rPr>
        <w:t>0678</w:t>
      </w:r>
      <w:r w:rsidR="002B567A">
        <w:rPr>
          <w:rFonts w:ascii="Arial" w:hAnsi="Arial" w:cs="Arial"/>
        </w:rPr>
        <w:t xml:space="preserve"> mutations </w:t>
      </w:r>
      <w:r w:rsidRPr="00FA0B3B">
        <w:rPr>
          <w:rFonts w:ascii="Arial" w:hAnsi="Arial" w:cs="Arial"/>
        </w:rPr>
        <w:t xml:space="preserve">during treatment has been documented but </w:t>
      </w:r>
      <w:r w:rsidR="00A7471E">
        <w:rPr>
          <w:rFonts w:ascii="Arial" w:hAnsi="Arial" w:cs="Arial"/>
        </w:rPr>
        <w:t>their</w:t>
      </w:r>
      <w:r w:rsidR="00A7471E" w:rsidRPr="00FA0B3B">
        <w:rPr>
          <w:rFonts w:ascii="Arial" w:hAnsi="Arial" w:cs="Arial"/>
        </w:rPr>
        <w:t xml:space="preserve"> </w:t>
      </w:r>
      <w:r w:rsidR="00020077">
        <w:rPr>
          <w:rFonts w:ascii="Arial" w:hAnsi="Arial" w:cs="Arial"/>
        </w:rPr>
        <w:t>incidence</w:t>
      </w:r>
      <w:r w:rsidR="00020077" w:rsidRPr="00FA0B3B">
        <w:rPr>
          <w:rFonts w:ascii="Arial" w:hAnsi="Arial" w:cs="Arial"/>
        </w:rPr>
        <w:t xml:space="preserve"> </w:t>
      </w:r>
      <w:r w:rsidRPr="00FA0B3B">
        <w:rPr>
          <w:rFonts w:ascii="Arial" w:hAnsi="Arial" w:cs="Arial"/>
        </w:rPr>
        <w:t>is unknown. We report the frequency of baseline and emergent bedaquiline RAVs and associated clinical outcomes in a prospective DR-TB cohort treated with bedaquiline</w:t>
      </w:r>
      <w:r w:rsidR="002B3F87">
        <w:rPr>
          <w:rFonts w:ascii="Arial" w:hAnsi="Arial" w:cs="Arial"/>
        </w:rPr>
        <w:t xml:space="preserve"> and clofazimine.</w:t>
      </w:r>
      <w:r w:rsidRPr="00FA0B3B">
        <w:rPr>
          <w:rFonts w:ascii="Arial" w:hAnsi="Arial" w:cs="Arial"/>
        </w:rPr>
        <w:t xml:space="preserve"> </w:t>
      </w:r>
    </w:p>
    <w:p w14:paraId="13CA49F5" w14:textId="77777777" w:rsidR="00B05118" w:rsidRDefault="00B05118" w:rsidP="00FA0B3B">
      <w:pPr>
        <w:spacing w:line="480" w:lineRule="auto"/>
        <w:rPr>
          <w:rFonts w:ascii="Arial" w:hAnsi="Arial" w:cs="Arial"/>
        </w:rPr>
      </w:pPr>
    </w:p>
    <w:p w14:paraId="5261AF83" w14:textId="0C6D90A3" w:rsidR="00E93E63" w:rsidRPr="00FA0B3B" w:rsidRDefault="00E367FB" w:rsidP="00FA0B3B">
      <w:pPr>
        <w:spacing w:line="480" w:lineRule="auto"/>
        <w:rPr>
          <w:rFonts w:ascii="Arial" w:hAnsi="Arial" w:cs="Arial"/>
        </w:rPr>
      </w:pPr>
      <w:r>
        <w:rPr>
          <w:rFonts w:ascii="Arial" w:hAnsi="Arial" w:cs="Arial"/>
        </w:rPr>
        <w:lastRenderedPageBreak/>
        <w:t>A</w:t>
      </w:r>
      <w:r w:rsidR="00E93E63" w:rsidRPr="00FA0B3B">
        <w:rPr>
          <w:rFonts w:ascii="Arial" w:hAnsi="Arial" w:cs="Arial"/>
        </w:rPr>
        <w:t xml:space="preserve">dult patients with DR-TB </w:t>
      </w:r>
      <w:r w:rsidR="004947E6">
        <w:rPr>
          <w:rFonts w:ascii="Arial" w:hAnsi="Arial" w:cs="Arial"/>
        </w:rPr>
        <w:t xml:space="preserve">and HIV </w:t>
      </w:r>
      <w:r w:rsidR="00E93E63" w:rsidRPr="00FA0B3B">
        <w:rPr>
          <w:rFonts w:ascii="Arial" w:hAnsi="Arial" w:cs="Arial"/>
        </w:rPr>
        <w:t xml:space="preserve">presenting at </w:t>
      </w:r>
      <w:r w:rsidR="001E0554">
        <w:rPr>
          <w:rFonts w:ascii="Arial" w:hAnsi="Arial" w:cs="Arial"/>
        </w:rPr>
        <w:t>a public TB referral</w:t>
      </w:r>
      <w:r w:rsidR="00830475">
        <w:rPr>
          <w:rFonts w:ascii="Arial" w:hAnsi="Arial" w:cs="Arial"/>
        </w:rPr>
        <w:t xml:space="preserve"> hospital</w:t>
      </w:r>
      <w:r w:rsidR="001E0554">
        <w:rPr>
          <w:rFonts w:ascii="Arial" w:hAnsi="Arial" w:cs="Arial"/>
        </w:rPr>
        <w:t xml:space="preserve"> in </w:t>
      </w:r>
      <w:r w:rsidR="001E0554" w:rsidRPr="00FA0B3B">
        <w:rPr>
          <w:rFonts w:ascii="Arial" w:hAnsi="Arial" w:cs="Arial"/>
        </w:rPr>
        <w:t>KwaZulu-Natal</w:t>
      </w:r>
      <w:r w:rsidR="001E0554">
        <w:rPr>
          <w:rFonts w:ascii="Arial" w:hAnsi="Arial" w:cs="Arial"/>
        </w:rPr>
        <w:t>, South Africa</w:t>
      </w:r>
      <w:r w:rsidR="00E93E63" w:rsidRPr="00FA0B3B">
        <w:rPr>
          <w:rFonts w:ascii="Arial" w:hAnsi="Arial" w:cs="Arial"/>
        </w:rPr>
        <w:t xml:space="preserve"> were enrolled</w:t>
      </w:r>
      <w:r w:rsidR="004947E6">
        <w:rPr>
          <w:rFonts w:ascii="Arial" w:hAnsi="Arial" w:cs="Arial"/>
        </w:rPr>
        <w:t xml:space="preserve"> </w:t>
      </w:r>
      <w:r w:rsidR="004947E6" w:rsidRPr="00FA0B3B">
        <w:rPr>
          <w:rFonts w:ascii="Arial" w:hAnsi="Arial" w:cs="Arial"/>
        </w:rPr>
        <w:t>within two weeks of starting bedaquiline</w:t>
      </w:r>
      <w:r w:rsidR="00E93E63" w:rsidRPr="00FA0B3B">
        <w:rPr>
          <w:rFonts w:ascii="Arial" w:hAnsi="Arial" w:cs="Arial"/>
        </w:rPr>
        <w:t xml:space="preserve"> in the </w:t>
      </w:r>
      <w:r w:rsidR="00FB721D">
        <w:rPr>
          <w:rFonts w:ascii="Arial" w:hAnsi="Arial" w:cs="Arial"/>
        </w:rPr>
        <w:t>PRAXIS</w:t>
      </w:r>
      <w:r w:rsidR="00E93E63" w:rsidRPr="00FA0B3B">
        <w:rPr>
          <w:rFonts w:ascii="Arial" w:hAnsi="Arial" w:cs="Arial"/>
        </w:rPr>
        <w:t xml:space="preserve"> study</w:t>
      </w:r>
      <w:r w:rsidR="0047753B">
        <w:rPr>
          <w:rFonts w:ascii="Arial" w:hAnsi="Arial" w:cs="Arial"/>
        </w:rPr>
        <w:t xml:space="preserve"> </w:t>
      </w:r>
      <w:r w:rsidR="00E93E63" w:rsidRPr="00FA0B3B">
        <w:rPr>
          <w:rFonts w:ascii="Arial" w:hAnsi="Arial" w:cs="Arial"/>
        </w:rPr>
        <w:t xml:space="preserve">(NCT03162107) between November 2016 and January 2019. </w:t>
      </w:r>
      <w:r w:rsidR="004947E6">
        <w:rPr>
          <w:rFonts w:ascii="Arial" w:hAnsi="Arial" w:cs="Arial"/>
        </w:rPr>
        <w:t>Treatment with antiretroviral therapy</w:t>
      </w:r>
      <w:r w:rsidR="00E93E63" w:rsidRPr="00FA0B3B">
        <w:rPr>
          <w:rFonts w:ascii="Arial" w:hAnsi="Arial" w:cs="Arial"/>
        </w:rPr>
        <w:t xml:space="preserve"> was a mandatory inclusion criterion. Clinical data, questionnaires, and sputum were collected at monthly visits over the first six months</w:t>
      </w:r>
      <w:r w:rsidR="00E8179F">
        <w:rPr>
          <w:rFonts w:ascii="Arial" w:hAnsi="Arial" w:cs="Arial"/>
        </w:rPr>
        <w:t xml:space="preserve"> of</w:t>
      </w:r>
      <w:r w:rsidR="00E93E63" w:rsidRPr="00FA0B3B">
        <w:rPr>
          <w:rFonts w:ascii="Arial" w:hAnsi="Arial" w:cs="Arial"/>
        </w:rPr>
        <w:t xml:space="preserve"> treatment, with end of treatment</w:t>
      </w:r>
      <w:r w:rsidR="00E07078">
        <w:rPr>
          <w:rFonts w:ascii="Arial" w:hAnsi="Arial" w:cs="Arial"/>
        </w:rPr>
        <w:t xml:space="preserve"> follow</w:t>
      </w:r>
      <w:r w:rsidR="00230270">
        <w:rPr>
          <w:rFonts w:ascii="Arial" w:hAnsi="Arial" w:cs="Arial"/>
        </w:rPr>
        <w:t>-</w:t>
      </w:r>
      <w:r w:rsidR="00E07078">
        <w:rPr>
          <w:rFonts w:ascii="Arial" w:hAnsi="Arial" w:cs="Arial"/>
        </w:rPr>
        <w:t>up</w:t>
      </w:r>
      <w:r w:rsidR="00E93E63" w:rsidRPr="00FA0B3B">
        <w:rPr>
          <w:rFonts w:ascii="Arial" w:hAnsi="Arial" w:cs="Arial"/>
        </w:rPr>
        <w:t xml:space="preserve">. The study was approved by the University of KwaZulu-Natal Biomedical and the Columbia University </w:t>
      </w:r>
      <w:r w:rsidR="00AD27AC">
        <w:rPr>
          <w:rFonts w:ascii="Arial" w:hAnsi="Arial" w:cs="Arial"/>
        </w:rPr>
        <w:t>ethics r</w:t>
      </w:r>
      <w:r w:rsidR="00E93E63" w:rsidRPr="00FA0B3B">
        <w:rPr>
          <w:rFonts w:ascii="Arial" w:hAnsi="Arial" w:cs="Arial"/>
        </w:rPr>
        <w:t xml:space="preserve">eview </w:t>
      </w:r>
      <w:r w:rsidR="00AD27AC">
        <w:rPr>
          <w:rFonts w:ascii="Arial" w:hAnsi="Arial" w:cs="Arial"/>
        </w:rPr>
        <w:t>b</w:t>
      </w:r>
      <w:r w:rsidR="00AD27AC" w:rsidRPr="00FA0B3B">
        <w:rPr>
          <w:rFonts w:ascii="Arial" w:hAnsi="Arial" w:cs="Arial"/>
        </w:rPr>
        <w:t>oard</w:t>
      </w:r>
      <w:r w:rsidR="00AD27AC">
        <w:rPr>
          <w:rFonts w:ascii="Arial" w:hAnsi="Arial" w:cs="Arial"/>
        </w:rPr>
        <w:t>s</w:t>
      </w:r>
      <w:r w:rsidR="00E93E63" w:rsidRPr="00FA0B3B">
        <w:rPr>
          <w:rFonts w:ascii="Arial" w:hAnsi="Arial" w:cs="Arial"/>
        </w:rPr>
        <w:t>.</w:t>
      </w:r>
      <w:r w:rsidR="009362AB">
        <w:rPr>
          <w:rFonts w:ascii="Arial" w:hAnsi="Arial" w:cs="Arial"/>
        </w:rPr>
        <w:t xml:space="preserve"> </w:t>
      </w:r>
      <w:r w:rsidR="003C3339">
        <w:rPr>
          <w:rFonts w:ascii="Arial" w:hAnsi="Arial" w:cs="Arial"/>
        </w:rPr>
        <w:t>All sputa were inoculated into mycobacterial growth indicator tubes</w:t>
      </w:r>
      <w:r w:rsidR="004B5D06">
        <w:rPr>
          <w:rFonts w:ascii="Arial" w:hAnsi="Arial" w:cs="Arial"/>
        </w:rPr>
        <w:t xml:space="preserve"> and cultured in a BACTEC 960</w:t>
      </w:r>
      <w:r w:rsidR="003C3339">
        <w:rPr>
          <w:rFonts w:ascii="Arial" w:hAnsi="Arial" w:cs="Arial"/>
        </w:rPr>
        <w:t xml:space="preserve"> (BD, MD, USA)</w:t>
      </w:r>
      <w:r w:rsidR="004B5D06">
        <w:rPr>
          <w:rFonts w:ascii="Arial" w:hAnsi="Arial" w:cs="Arial"/>
        </w:rPr>
        <w:t>.</w:t>
      </w:r>
      <w:r w:rsidR="003C3339">
        <w:rPr>
          <w:rFonts w:ascii="Arial" w:hAnsi="Arial" w:cs="Arial"/>
        </w:rPr>
        <w:t xml:space="preserve"> </w:t>
      </w:r>
      <w:r w:rsidR="004B5D06">
        <w:rPr>
          <w:rFonts w:ascii="Arial" w:hAnsi="Arial" w:cs="Arial"/>
        </w:rPr>
        <w:t>Positive</w:t>
      </w:r>
      <w:r w:rsidR="00E8179F">
        <w:rPr>
          <w:rFonts w:ascii="Arial" w:hAnsi="Arial" w:cs="Arial"/>
        </w:rPr>
        <w:t xml:space="preserve"> </w:t>
      </w:r>
      <w:r w:rsidR="009362AB">
        <w:rPr>
          <w:rFonts w:ascii="Arial" w:hAnsi="Arial" w:cs="Arial"/>
        </w:rPr>
        <w:t xml:space="preserve">cultures </w:t>
      </w:r>
      <w:r w:rsidR="00564F9C">
        <w:rPr>
          <w:rFonts w:ascii="Arial" w:hAnsi="Arial" w:cs="Arial"/>
        </w:rPr>
        <w:t>underwent whole genome sequencing (WGS)</w:t>
      </w:r>
      <w:r w:rsidR="009362AB">
        <w:rPr>
          <w:rFonts w:ascii="Arial" w:hAnsi="Arial" w:cs="Arial"/>
        </w:rPr>
        <w:t xml:space="preserve"> and b</w:t>
      </w:r>
      <w:r w:rsidR="00E93E63" w:rsidRPr="00FA0B3B">
        <w:rPr>
          <w:rFonts w:ascii="Arial" w:hAnsi="Arial" w:cs="Arial"/>
        </w:rPr>
        <w:t>edaquiline MIC</w:t>
      </w:r>
      <w:r w:rsidR="00E8179F">
        <w:rPr>
          <w:rFonts w:ascii="Arial" w:hAnsi="Arial" w:cs="Arial"/>
        </w:rPr>
        <w:t xml:space="preserve"> testing</w:t>
      </w:r>
      <w:r w:rsidR="00E93E63" w:rsidRPr="00FA0B3B">
        <w:rPr>
          <w:rFonts w:ascii="Arial" w:hAnsi="Arial" w:cs="Arial"/>
        </w:rPr>
        <w:t xml:space="preserve"> </w:t>
      </w:r>
      <w:r w:rsidR="00E8179F">
        <w:rPr>
          <w:rFonts w:ascii="Arial" w:hAnsi="Arial" w:cs="Arial"/>
        </w:rPr>
        <w:t>was performed</w:t>
      </w:r>
      <w:r w:rsidR="00265333" w:rsidRPr="00FA0B3B">
        <w:rPr>
          <w:rFonts w:ascii="Arial" w:hAnsi="Arial" w:cs="Arial"/>
        </w:rPr>
        <w:t xml:space="preserve"> </w:t>
      </w:r>
      <w:r w:rsidR="00E93E63" w:rsidRPr="00FA0B3B">
        <w:rPr>
          <w:rFonts w:ascii="Arial" w:hAnsi="Arial" w:cs="Arial"/>
        </w:rPr>
        <w:t xml:space="preserve">for isolates with </w:t>
      </w:r>
      <w:r w:rsidR="00E93E63" w:rsidRPr="00197640">
        <w:rPr>
          <w:rFonts w:ascii="Arial" w:hAnsi="Arial" w:cs="Arial"/>
          <w:i/>
          <w:iCs/>
        </w:rPr>
        <w:t>Rv0678</w:t>
      </w:r>
      <w:r w:rsidR="00E93E63" w:rsidRPr="00FA0B3B">
        <w:rPr>
          <w:rFonts w:ascii="Arial" w:hAnsi="Arial" w:cs="Arial"/>
        </w:rPr>
        <w:t xml:space="preserve"> variants using the proportion method</w:t>
      </w:r>
      <w:r w:rsidR="009362AB">
        <w:rPr>
          <w:rFonts w:ascii="Arial" w:hAnsi="Arial" w:cs="Arial"/>
        </w:rPr>
        <w:t xml:space="preserve"> on 7H11 agar</w:t>
      </w:r>
      <w:r w:rsidR="00E93E63" w:rsidRPr="00FA0B3B">
        <w:rPr>
          <w:rFonts w:ascii="Arial" w:hAnsi="Arial" w:cs="Arial"/>
        </w:rPr>
        <w:t xml:space="preserve">. Culture conversion at six months was defined as </w:t>
      </w:r>
      <w:r w:rsidR="00197640">
        <w:rPr>
          <w:rFonts w:ascii="Arial" w:hAnsi="Arial" w:cs="Arial"/>
        </w:rPr>
        <w:sym w:font="Symbol" w:char="F0B3"/>
      </w:r>
      <w:r w:rsidR="00E93E63" w:rsidRPr="00FA0B3B">
        <w:rPr>
          <w:rFonts w:ascii="Arial" w:hAnsi="Arial" w:cs="Arial"/>
        </w:rPr>
        <w:t xml:space="preserve">2 consecutive </w:t>
      </w:r>
      <w:r w:rsidR="009362AB">
        <w:rPr>
          <w:rFonts w:ascii="Arial" w:hAnsi="Arial" w:cs="Arial"/>
        </w:rPr>
        <w:t xml:space="preserve">negative </w:t>
      </w:r>
      <w:r w:rsidR="00E93E63" w:rsidRPr="00FA0B3B">
        <w:rPr>
          <w:rFonts w:ascii="Arial" w:hAnsi="Arial" w:cs="Arial"/>
        </w:rPr>
        <w:t xml:space="preserve">monthly cultures. </w:t>
      </w:r>
      <w:r w:rsidR="00265333">
        <w:rPr>
          <w:rFonts w:ascii="Arial" w:hAnsi="Arial" w:cs="Arial"/>
        </w:rPr>
        <w:t>O</w:t>
      </w:r>
      <w:r w:rsidR="00E93E63" w:rsidRPr="00FA0B3B">
        <w:rPr>
          <w:rFonts w:ascii="Arial" w:hAnsi="Arial" w:cs="Arial"/>
        </w:rPr>
        <w:t xml:space="preserve">utcomes </w:t>
      </w:r>
      <w:r w:rsidR="00265333">
        <w:rPr>
          <w:rFonts w:ascii="Arial" w:hAnsi="Arial" w:cs="Arial"/>
        </w:rPr>
        <w:t xml:space="preserve">at the end of treatment </w:t>
      </w:r>
      <w:r w:rsidR="00E93E63" w:rsidRPr="00FA0B3B">
        <w:rPr>
          <w:rFonts w:ascii="Arial" w:hAnsi="Arial" w:cs="Arial"/>
        </w:rPr>
        <w:t>were assigned according to standard definitions</w:t>
      </w:r>
      <w:sdt>
        <w:sdtPr>
          <w:rPr>
            <w:rFonts w:ascii="Arial" w:hAnsi="Arial" w:cs="Arial"/>
            <w:color w:val="000000"/>
          </w:rPr>
          <w:tag w:val="MENDELEY_CITATION_a6567387-b2fb-4469-a4d5-2ee99c11e913"/>
          <w:id w:val="215472614"/>
          <w:placeholder>
            <w:docPart w:val="DefaultPlaceholder_-1854013440"/>
          </w:placeholder>
        </w:sdtPr>
        <w:sdtEndPr/>
        <w:sdtContent>
          <w:r w:rsidR="008C566B" w:rsidRPr="008C566B">
            <w:rPr>
              <w:rFonts w:ascii="Arial" w:hAnsi="Arial" w:cs="Arial"/>
              <w:color w:val="000000"/>
            </w:rPr>
            <w:t>[13]</w:t>
          </w:r>
        </w:sdtContent>
      </w:sdt>
      <w:r w:rsidR="008C566B">
        <w:rPr>
          <w:rFonts w:ascii="Arial" w:hAnsi="Arial" w:cs="Arial"/>
          <w:color w:val="000000"/>
        </w:rPr>
        <w:t>.</w:t>
      </w:r>
    </w:p>
    <w:p w14:paraId="089727D5" w14:textId="77777777" w:rsidR="00E93E63" w:rsidRPr="00FA0B3B" w:rsidRDefault="00E93E63" w:rsidP="00FA0B3B">
      <w:pPr>
        <w:spacing w:line="480" w:lineRule="auto"/>
        <w:rPr>
          <w:rFonts w:ascii="Arial" w:hAnsi="Arial" w:cs="Arial"/>
        </w:rPr>
      </w:pPr>
    </w:p>
    <w:p w14:paraId="29DFD7CB" w14:textId="09CB101E" w:rsidR="00E93E63" w:rsidRPr="00FA0B3B" w:rsidRDefault="00830475" w:rsidP="00FA0B3B">
      <w:pPr>
        <w:spacing w:line="480" w:lineRule="auto"/>
        <w:rPr>
          <w:rFonts w:ascii="Arial" w:hAnsi="Arial" w:cs="Arial"/>
        </w:rPr>
      </w:pPr>
      <w:r>
        <w:rPr>
          <w:rFonts w:ascii="Arial" w:hAnsi="Arial" w:cs="Arial"/>
        </w:rPr>
        <w:t xml:space="preserve">Of </w:t>
      </w:r>
      <w:r w:rsidR="00E93E63" w:rsidRPr="00FA0B3B">
        <w:rPr>
          <w:rFonts w:ascii="Arial" w:hAnsi="Arial" w:cs="Arial"/>
        </w:rPr>
        <w:t xml:space="preserve">965 adult TB patients </w:t>
      </w:r>
      <w:r w:rsidR="009362AB">
        <w:rPr>
          <w:rFonts w:ascii="Arial" w:hAnsi="Arial" w:cs="Arial"/>
        </w:rPr>
        <w:t xml:space="preserve">who </w:t>
      </w:r>
      <w:r w:rsidR="00E93E63" w:rsidRPr="00FA0B3B">
        <w:rPr>
          <w:rFonts w:ascii="Arial" w:hAnsi="Arial" w:cs="Arial"/>
        </w:rPr>
        <w:t xml:space="preserve">presented </w:t>
      </w:r>
      <w:r w:rsidR="00E07078">
        <w:rPr>
          <w:rFonts w:ascii="Arial" w:hAnsi="Arial" w:cs="Arial"/>
        </w:rPr>
        <w:t>during the study period</w:t>
      </w:r>
      <w:r w:rsidR="00E93E63" w:rsidRPr="00FA0B3B">
        <w:rPr>
          <w:rFonts w:ascii="Arial" w:hAnsi="Arial" w:cs="Arial"/>
        </w:rPr>
        <w:t xml:space="preserve">, </w:t>
      </w:r>
      <w:r w:rsidR="005157E2">
        <w:rPr>
          <w:rFonts w:ascii="Arial" w:hAnsi="Arial" w:cs="Arial"/>
        </w:rPr>
        <w:t>297</w:t>
      </w:r>
      <w:r w:rsidR="005157E2" w:rsidRPr="00FA0B3B">
        <w:rPr>
          <w:rFonts w:ascii="Arial" w:hAnsi="Arial" w:cs="Arial"/>
        </w:rPr>
        <w:t xml:space="preserve"> </w:t>
      </w:r>
      <w:r w:rsidR="00E93E63" w:rsidRPr="00FA0B3B">
        <w:rPr>
          <w:rFonts w:ascii="Arial" w:hAnsi="Arial" w:cs="Arial"/>
        </w:rPr>
        <w:t xml:space="preserve">were eligible </w:t>
      </w:r>
      <w:r w:rsidR="00265333">
        <w:rPr>
          <w:rFonts w:ascii="Arial" w:hAnsi="Arial" w:cs="Arial"/>
        </w:rPr>
        <w:t xml:space="preserve">to participate </w:t>
      </w:r>
      <w:r w:rsidR="00E93E63" w:rsidRPr="00FA0B3B">
        <w:rPr>
          <w:rFonts w:ascii="Arial" w:hAnsi="Arial" w:cs="Arial"/>
        </w:rPr>
        <w:t xml:space="preserve">and consented to enrolment. </w:t>
      </w:r>
      <w:r w:rsidR="00501989">
        <w:rPr>
          <w:rFonts w:ascii="Arial" w:hAnsi="Arial" w:cs="Arial"/>
        </w:rPr>
        <w:t>The most common reasons</w:t>
      </w:r>
      <w:r w:rsidR="0076361B">
        <w:rPr>
          <w:rFonts w:ascii="Arial" w:hAnsi="Arial" w:cs="Arial"/>
        </w:rPr>
        <w:t xml:space="preserve"> for ineligibility were </w:t>
      </w:r>
      <w:r w:rsidR="0027616F">
        <w:rPr>
          <w:rFonts w:ascii="Arial" w:hAnsi="Arial" w:cs="Arial"/>
        </w:rPr>
        <w:t>not being HIV co-infected (n=160) and starting</w:t>
      </w:r>
      <w:r w:rsidR="000E5BC5">
        <w:rPr>
          <w:rFonts w:ascii="Arial" w:hAnsi="Arial" w:cs="Arial"/>
        </w:rPr>
        <w:t xml:space="preserve"> bedaquiline &gt;2 weeks previously (n=126). </w:t>
      </w:r>
      <w:r w:rsidR="00E93E63" w:rsidRPr="00FA0B3B">
        <w:rPr>
          <w:rFonts w:ascii="Arial" w:hAnsi="Arial" w:cs="Arial"/>
        </w:rPr>
        <w:t xml:space="preserve">Positive baseline cultures and WGS results were available for 92 patients who are the subjects of this report. </w:t>
      </w:r>
      <w:r w:rsidR="00626138">
        <w:rPr>
          <w:rFonts w:ascii="Arial" w:hAnsi="Arial" w:cs="Arial"/>
        </w:rPr>
        <w:t>The remaining 205 patients were culture negative at baseline (n=</w:t>
      </w:r>
      <w:r w:rsidR="00271850">
        <w:rPr>
          <w:rFonts w:ascii="Arial" w:hAnsi="Arial" w:cs="Arial"/>
        </w:rPr>
        <w:t>198</w:t>
      </w:r>
      <w:r w:rsidR="00626138">
        <w:rPr>
          <w:rFonts w:ascii="Arial" w:hAnsi="Arial" w:cs="Arial"/>
        </w:rPr>
        <w:t xml:space="preserve">) or </w:t>
      </w:r>
      <w:r w:rsidR="00271850">
        <w:rPr>
          <w:rFonts w:ascii="Arial" w:hAnsi="Arial" w:cs="Arial"/>
        </w:rPr>
        <w:t>had isolate</w:t>
      </w:r>
      <w:r w:rsidR="00E367FB">
        <w:rPr>
          <w:rFonts w:ascii="Arial" w:hAnsi="Arial" w:cs="Arial"/>
        </w:rPr>
        <w:t>s</w:t>
      </w:r>
      <w:r w:rsidR="00271850">
        <w:rPr>
          <w:rFonts w:ascii="Arial" w:hAnsi="Arial" w:cs="Arial"/>
        </w:rPr>
        <w:t xml:space="preserve"> that </w:t>
      </w:r>
      <w:r w:rsidR="00B11456">
        <w:rPr>
          <w:rFonts w:ascii="Arial" w:hAnsi="Arial" w:cs="Arial"/>
        </w:rPr>
        <w:t>failed WGS</w:t>
      </w:r>
      <w:r w:rsidR="009E4E1B">
        <w:rPr>
          <w:rFonts w:ascii="Arial" w:hAnsi="Arial" w:cs="Arial"/>
        </w:rPr>
        <w:t xml:space="preserve"> </w:t>
      </w:r>
      <w:r w:rsidR="00271850">
        <w:rPr>
          <w:rFonts w:ascii="Arial" w:hAnsi="Arial" w:cs="Arial"/>
        </w:rPr>
        <w:t>(n=7)</w:t>
      </w:r>
      <w:r w:rsidR="00B11456">
        <w:rPr>
          <w:rFonts w:ascii="Arial" w:hAnsi="Arial" w:cs="Arial"/>
        </w:rPr>
        <w:t xml:space="preserve">. </w:t>
      </w:r>
      <w:r w:rsidR="00E93E63" w:rsidRPr="00FA0B3B">
        <w:rPr>
          <w:rFonts w:ascii="Arial" w:hAnsi="Arial" w:cs="Arial"/>
        </w:rPr>
        <w:t>Th</w:t>
      </w:r>
      <w:r w:rsidR="00197640">
        <w:rPr>
          <w:rFonts w:ascii="Arial" w:hAnsi="Arial" w:cs="Arial"/>
        </w:rPr>
        <w:t xml:space="preserve">e </w:t>
      </w:r>
      <w:r w:rsidR="00660272">
        <w:rPr>
          <w:rFonts w:ascii="Arial" w:hAnsi="Arial" w:cs="Arial"/>
        </w:rPr>
        <w:t xml:space="preserve">sequenced </w:t>
      </w:r>
      <w:r w:rsidR="00197640">
        <w:rPr>
          <w:rFonts w:ascii="Arial" w:hAnsi="Arial" w:cs="Arial"/>
        </w:rPr>
        <w:t>cohort was 51% female</w:t>
      </w:r>
      <w:r w:rsidR="00E93E63" w:rsidRPr="00FA0B3B">
        <w:rPr>
          <w:rFonts w:ascii="Arial" w:hAnsi="Arial" w:cs="Arial"/>
        </w:rPr>
        <w:t xml:space="preserve"> and median age </w:t>
      </w:r>
      <w:r w:rsidR="00197640">
        <w:rPr>
          <w:rFonts w:ascii="Arial" w:hAnsi="Arial" w:cs="Arial"/>
        </w:rPr>
        <w:t>was</w:t>
      </w:r>
      <w:r w:rsidR="00E93E63" w:rsidRPr="00FA0B3B">
        <w:rPr>
          <w:rFonts w:ascii="Arial" w:hAnsi="Arial" w:cs="Arial"/>
        </w:rPr>
        <w:t xml:space="preserve"> 36 years (IQR 30-43); 66% had a previous history of </w:t>
      </w:r>
      <w:r w:rsidR="004571C4">
        <w:rPr>
          <w:rFonts w:ascii="Arial" w:hAnsi="Arial" w:cs="Arial"/>
        </w:rPr>
        <w:t xml:space="preserve">any </w:t>
      </w:r>
      <w:r w:rsidR="00E93E63" w:rsidRPr="00FA0B3B">
        <w:rPr>
          <w:rFonts w:ascii="Arial" w:hAnsi="Arial" w:cs="Arial"/>
        </w:rPr>
        <w:t xml:space="preserve">TB and 23% of DR-TB. </w:t>
      </w:r>
      <w:r w:rsidR="00265333">
        <w:rPr>
          <w:rFonts w:ascii="Arial" w:hAnsi="Arial" w:cs="Arial"/>
        </w:rPr>
        <w:t>The m</w:t>
      </w:r>
      <w:r w:rsidR="00E93E63" w:rsidRPr="00FA0B3B">
        <w:rPr>
          <w:rFonts w:ascii="Arial" w:hAnsi="Arial" w:cs="Arial"/>
        </w:rPr>
        <w:t>edian CD4 count was 276 (IQR 134-452).</w:t>
      </w:r>
      <w:r w:rsidR="00E6350A">
        <w:rPr>
          <w:rFonts w:ascii="Arial" w:hAnsi="Arial" w:cs="Arial"/>
        </w:rPr>
        <w:t xml:space="preserve"> </w:t>
      </w:r>
      <w:r w:rsidR="00660272">
        <w:rPr>
          <w:rFonts w:ascii="Arial" w:hAnsi="Arial" w:cs="Arial"/>
        </w:rPr>
        <w:t>Patients with sequenced isolates were more likely to have</w:t>
      </w:r>
      <w:r w:rsidR="00660272" w:rsidRPr="00410592">
        <w:rPr>
          <w:rFonts w:ascii="Arial" w:hAnsi="Arial" w:cs="Arial"/>
        </w:rPr>
        <w:t xml:space="preserve"> second-line drug resistance (</w:t>
      </w:r>
      <w:r w:rsidR="00660272">
        <w:rPr>
          <w:rFonts w:ascii="Arial" w:hAnsi="Arial" w:cs="Arial"/>
        </w:rPr>
        <w:t>53/92 [57.6%] vs 82/205 [40.0%]</w:t>
      </w:r>
      <w:r w:rsidR="00660272" w:rsidRPr="00410592">
        <w:rPr>
          <w:rFonts w:ascii="Arial" w:hAnsi="Arial" w:cs="Arial"/>
        </w:rPr>
        <w:t>, p</w:t>
      </w:r>
      <w:r w:rsidR="00660272">
        <w:rPr>
          <w:rFonts w:ascii="Arial" w:hAnsi="Arial" w:cs="Arial"/>
        </w:rPr>
        <w:t>=0.006</w:t>
      </w:r>
      <w:r w:rsidR="00660272" w:rsidRPr="00410592">
        <w:rPr>
          <w:rFonts w:ascii="Arial" w:hAnsi="Arial" w:cs="Arial"/>
        </w:rPr>
        <w:t>)</w:t>
      </w:r>
      <w:r w:rsidR="00660272">
        <w:rPr>
          <w:rFonts w:ascii="Arial" w:hAnsi="Arial" w:cs="Arial"/>
        </w:rPr>
        <w:t xml:space="preserve"> but otherwise had similar baseline characteristics. </w:t>
      </w:r>
    </w:p>
    <w:p w14:paraId="0B66502E" w14:textId="77777777" w:rsidR="00E93E63" w:rsidRPr="00FA0B3B" w:rsidRDefault="00E93E63" w:rsidP="00FA0B3B">
      <w:pPr>
        <w:spacing w:line="480" w:lineRule="auto"/>
        <w:rPr>
          <w:rFonts w:ascii="Arial" w:hAnsi="Arial" w:cs="Arial"/>
        </w:rPr>
      </w:pPr>
    </w:p>
    <w:p w14:paraId="6F1EA87C" w14:textId="053DCC04" w:rsidR="00E93E63" w:rsidRPr="00FA0B3B" w:rsidRDefault="00E93E63" w:rsidP="00FA0B3B">
      <w:pPr>
        <w:spacing w:line="480" w:lineRule="auto"/>
        <w:rPr>
          <w:rFonts w:ascii="Arial" w:hAnsi="Arial" w:cs="Arial"/>
        </w:rPr>
      </w:pPr>
      <w:r w:rsidRPr="00FA0B3B">
        <w:rPr>
          <w:rFonts w:ascii="Arial" w:hAnsi="Arial" w:cs="Arial"/>
        </w:rPr>
        <w:t xml:space="preserve">Baseline </w:t>
      </w:r>
      <w:r w:rsidRPr="00197640">
        <w:rPr>
          <w:rFonts w:ascii="Arial" w:hAnsi="Arial" w:cs="Arial"/>
          <w:i/>
          <w:iCs/>
        </w:rPr>
        <w:t>Rv0678</w:t>
      </w:r>
      <w:r w:rsidRPr="00FA0B3B">
        <w:rPr>
          <w:rFonts w:ascii="Arial" w:hAnsi="Arial" w:cs="Arial"/>
        </w:rPr>
        <w:t xml:space="preserve"> variants were identified in 5.4% (5/92) patients </w:t>
      </w:r>
      <w:r w:rsidR="00895D1F">
        <w:rPr>
          <w:rFonts w:ascii="Arial" w:hAnsi="Arial" w:cs="Arial"/>
        </w:rPr>
        <w:t xml:space="preserve">with a sequenced positive baseline culture </w:t>
      </w:r>
      <w:r w:rsidRPr="00FA0B3B">
        <w:rPr>
          <w:rFonts w:ascii="Arial" w:hAnsi="Arial" w:cs="Arial"/>
        </w:rPr>
        <w:t>prior to initiating bedaquiline</w:t>
      </w:r>
      <w:r w:rsidR="005A1C5B">
        <w:rPr>
          <w:rFonts w:ascii="Arial" w:hAnsi="Arial" w:cs="Arial"/>
        </w:rPr>
        <w:t xml:space="preserve"> treatment</w:t>
      </w:r>
      <w:r w:rsidRPr="00FA0B3B">
        <w:rPr>
          <w:rFonts w:ascii="Arial" w:hAnsi="Arial" w:cs="Arial"/>
        </w:rPr>
        <w:t xml:space="preserve"> (Figure). Although none of the MICs for samples with baseline </w:t>
      </w:r>
      <w:r w:rsidRPr="00197640">
        <w:rPr>
          <w:rFonts w:ascii="Arial" w:hAnsi="Arial" w:cs="Arial"/>
          <w:i/>
          <w:iCs/>
        </w:rPr>
        <w:t>Rv0678</w:t>
      </w:r>
      <w:r w:rsidRPr="00FA0B3B">
        <w:rPr>
          <w:rFonts w:ascii="Arial" w:hAnsi="Arial" w:cs="Arial"/>
        </w:rPr>
        <w:t xml:space="preserve"> variants exceeded the </w:t>
      </w:r>
      <w:r w:rsidR="00230270" w:rsidRPr="00FA0B3B">
        <w:rPr>
          <w:rFonts w:ascii="Arial" w:hAnsi="Arial" w:cs="Arial"/>
        </w:rPr>
        <w:t xml:space="preserve">bedaquiline </w:t>
      </w:r>
      <w:r w:rsidRPr="00FA0B3B">
        <w:rPr>
          <w:rFonts w:ascii="Arial" w:hAnsi="Arial" w:cs="Arial"/>
        </w:rPr>
        <w:t>critical concentration, 3/5 had MICs at the top of the wild-type range (0.25</w:t>
      </w:r>
      <w:r w:rsidR="00D87A60">
        <w:rPr>
          <w:rFonts w:ascii="Arial" w:hAnsi="Arial" w:cs="Arial"/>
        </w:rPr>
        <w:sym w:font="Symbol" w:char="F06D"/>
      </w:r>
      <w:r w:rsidRPr="00FA0B3B">
        <w:rPr>
          <w:rFonts w:ascii="Arial" w:hAnsi="Arial" w:cs="Arial"/>
        </w:rPr>
        <w:t xml:space="preserve">g/mL). </w:t>
      </w:r>
      <w:r w:rsidR="003255E1">
        <w:rPr>
          <w:rFonts w:ascii="Arial" w:hAnsi="Arial" w:cs="Arial"/>
        </w:rPr>
        <w:t xml:space="preserve">The bedaquiline MIC of </w:t>
      </w:r>
      <w:r w:rsidRPr="00FA0B3B">
        <w:rPr>
          <w:rFonts w:ascii="Arial" w:hAnsi="Arial" w:cs="Arial"/>
        </w:rPr>
        <w:t>patient B</w:t>
      </w:r>
      <w:r w:rsidR="005A1C5B">
        <w:rPr>
          <w:rFonts w:ascii="Arial" w:hAnsi="Arial" w:cs="Arial"/>
        </w:rPr>
        <w:t>,</w:t>
      </w:r>
      <w:r w:rsidRPr="00FA0B3B">
        <w:rPr>
          <w:rFonts w:ascii="Arial" w:hAnsi="Arial" w:cs="Arial"/>
        </w:rPr>
        <w:t xml:space="preserve"> </w:t>
      </w:r>
      <w:r w:rsidR="00EB13B5">
        <w:rPr>
          <w:rFonts w:ascii="Arial" w:hAnsi="Arial" w:cs="Arial"/>
        </w:rPr>
        <w:t>who had</w:t>
      </w:r>
      <w:r w:rsidR="00EB13B5" w:rsidRPr="00FA0B3B">
        <w:rPr>
          <w:rFonts w:ascii="Arial" w:hAnsi="Arial" w:cs="Arial"/>
        </w:rPr>
        <w:t xml:space="preserve"> </w:t>
      </w:r>
      <w:r w:rsidRPr="00FA0B3B">
        <w:rPr>
          <w:rFonts w:ascii="Arial" w:hAnsi="Arial" w:cs="Arial"/>
        </w:rPr>
        <w:t>a</w:t>
      </w:r>
      <w:r w:rsidR="00E367FB">
        <w:rPr>
          <w:rFonts w:ascii="Arial" w:hAnsi="Arial" w:cs="Arial"/>
        </w:rPr>
        <w:t xml:space="preserve"> baseline</w:t>
      </w:r>
      <w:r w:rsidRPr="00FA0B3B">
        <w:rPr>
          <w:rFonts w:ascii="Arial" w:hAnsi="Arial" w:cs="Arial"/>
        </w:rPr>
        <w:t xml:space="preserve"> </w:t>
      </w:r>
      <w:r w:rsidRPr="00D87A60">
        <w:rPr>
          <w:rFonts w:ascii="Arial" w:hAnsi="Arial" w:cs="Arial"/>
          <w:i/>
          <w:iCs/>
        </w:rPr>
        <w:t>Rv0678</w:t>
      </w:r>
      <w:r w:rsidRPr="00FA0B3B">
        <w:rPr>
          <w:rFonts w:ascii="Arial" w:hAnsi="Arial" w:cs="Arial"/>
        </w:rPr>
        <w:t xml:space="preserve"> variant</w:t>
      </w:r>
      <w:r w:rsidR="005A1C5B">
        <w:rPr>
          <w:rFonts w:ascii="Arial" w:hAnsi="Arial" w:cs="Arial"/>
        </w:rPr>
        <w:t>,</w:t>
      </w:r>
      <w:r w:rsidRPr="00FA0B3B">
        <w:rPr>
          <w:rFonts w:ascii="Arial" w:hAnsi="Arial" w:cs="Arial"/>
        </w:rPr>
        <w:t xml:space="preserve"> increased </w:t>
      </w:r>
      <w:r w:rsidR="003A3DC7">
        <w:rPr>
          <w:rFonts w:ascii="Arial" w:hAnsi="Arial" w:cs="Arial"/>
        </w:rPr>
        <w:t>from</w:t>
      </w:r>
      <w:r w:rsidR="00564F9C">
        <w:rPr>
          <w:rFonts w:ascii="Arial" w:hAnsi="Arial" w:cs="Arial"/>
        </w:rPr>
        <w:t xml:space="preserve"> 0.</w:t>
      </w:r>
      <w:r w:rsidR="003A3DC7">
        <w:rPr>
          <w:rFonts w:ascii="Arial" w:hAnsi="Arial" w:cs="Arial"/>
        </w:rPr>
        <w:t>03</w:t>
      </w:r>
      <w:r w:rsidR="00564F9C">
        <w:rPr>
          <w:rFonts w:ascii="Arial" w:hAnsi="Arial" w:cs="Arial"/>
        </w:rPr>
        <w:t>µg/m</w:t>
      </w:r>
      <w:r w:rsidR="00FD484B">
        <w:rPr>
          <w:rFonts w:ascii="Arial" w:hAnsi="Arial" w:cs="Arial"/>
        </w:rPr>
        <w:t>L</w:t>
      </w:r>
      <w:r w:rsidR="00564F9C">
        <w:rPr>
          <w:rFonts w:ascii="Arial" w:hAnsi="Arial" w:cs="Arial"/>
        </w:rPr>
        <w:t xml:space="preserve"> </w:t>
      </w:r>
      <w:r w:rsidR="00E367FB">
        <w:rPr>
          <w:rFonts w:ascii="Arial" w:hAnsi="Arial" w:cs="Arial"/>
        </w:rPr>
        <w:t>at</w:t>
      </w:r>
      <w:r w:rsidR="00E367FB" w:rsidRPr="00FA0B3B">
        <w:rPr>
          <w:rFonts w:ascii="Arial" w:hAnsi="Arial" w:cs="Arial"/>
        </w:rPr>
        <w:t xml:space="preserve"> </w:t>
      </w:r>
      <w:r w:rsidRPr="00FA0B3B">
        <w:rPr>
          <w:rFonts w:ascii="Arial" w:hAnsi="Arial" w:cs="Arial"/>
        </w:rPr>
        <w:t xml:space="preserve">baseline </w:t>
      </w:r>
      <w:r w:rsidR="003A3DC7">
        <w:rPr>
          <w:rFonts w:ascii="Arial" w:hAnsi="Arial" w:cs="Arial"/>
        </w:rPr>
        <w:t>to 0.25</w:t>
      </w:r>
      <w:r w:rsidR="003A3DC7">
        <w:rPr>
          <w:rFonts w:ascii="Arial" w:hAnsi="Arial" w:cs="Arial"/>
        </w:rPr>
        <w:sym w:font="Symbol" w:char="F06D"/>
      </w:r>
      <w:r w:rsidR="003A3DC7">
        <w:rPr>
          <w:rFonts w:ascii="Arial" w:hAnsi="Arial" w:cs="Arial"/>
        </w:rPr>
        <w:t>g/mL at</w:t>
      </w:r>
      <w:r w:rsidR="003A3DC7" w:rsidRPr="00FA0B3B">
        <w:rPr>
          <w:rFonts w:ascii="Arial" w:hAnsi="Arial" w:cs="Arial"/>
        </w:rPr>
        <w:t xml:space="preserve"> </w:t>
      </w:r>
      <w:r w:rsidRPr="00FA0B3B">
        <w:rPr>
          <w:rFonts w:ascii="Arial" w:hAnsi="Arial" w:cs="Arial"/>
        </w:rPr>
        <w:t xml:space="preserve">month 2 </w:t>
      </w:r>
      <w:r w:rsidR="00FB721D">
        <w:rPr>
          <w:rFonts w:ascii="Arial" w:hAnsi="Arial" w:cs="Arial"/>
        </w:rPr>
        <w:t>with an</w:t>
      </w:r>
      <w:r w:rsidRPr="00FA0B3B">
        <w:rPr>
          <w:rFonts w:ascii="Arial" w:hAnsi="Arial" w:cs="Arial"/>
        </w:rPr>
        <w:t xml:space="preserve"> increase</w:t>
      </w:r>
      <w:r w:rsidR="00FB721D">
        <w:rPr>
          <w:rFonts w:ascii="Arial" w:hAnsi="Arial" w:cs="Arial"/>
        </w:rPr>
        <w:t xml:space="preserve"> in </w:t>
      </w:r>
      <w:r w:rsidR="00FB721D" w:rsidRPr="00FB721D">
        <w:rPr>
          <w:rFonts w:ascii="Arial" w:hAnsi="Arial" w:cs="Arial"/>
          <w:i/>
          <w:iCs/>
        </w:rPr>
        <w:t>Rv0678</w:t>
      </w:r>
      <w:r w:rsidR="00FB721D">
        <w:rPr>
          <w:rFonts w:ascii="Arial" w:hAnsi="Arial" w:cs="Arial"/>
        </w:rPr>
        <w:t xml:space="preserve"> variant allele frequency</w:t>
      </w:r>
      <w:r w:rsidRPr="00FA0B3B">
        <w:rPr>
          <w:rFonts w:ascii="Arial" w:hAnsi="Arial" w:cs="Arial"/>
        </w:rPr>
        <w:t xml:space="preserve"> from 72% to 96%. Additional emergent </w:t>
      </w:r>
      <w:r w:rsidRPr="00D87A60">
        <w:rPr>
          <w:rFonts w:ascii="Arial" w:hAnsi="Arial" w:cs="Arial"/>
          <w:i/>
          <w:iCs/>
        </w:rPr>
        <w:t>Rv0678</w:t>
      </w:r>
      <w:r w:rsidRPr="00FA0B3B">
        <w:rPr>
          <w:rFonts w:ascii="Arial" w:hAnsi="Arial" w:cs="Arial"/>
        </w:rPr>
        <w:t xml:space="preserve"> variants occurred in 5.</w:t>
      </w:r>
      <w:r w:rsidR="00E07078">
        <w:rPr>
          <w:rFonts w:ascii="Arial" w:hAnsi="Arial" w:cs="Arial"/>
        </w:rPr>
        <w:t>7</w:t>
      </w:r>
      <w:r w:rsidRPr="00FA0B3B">
        <w:rPr>
          <w:rFonts w:ascii="Arial" w:hAnsi="Arial" w:cs="Arial"/>
        </w:rPr>
        <w:t>% (5/</w:t>
      </w:r>
      <w:r w:rsidR="00E07078">
        <w:rPr>
          <w:rFonts w:ascii="Arial" w:hAnsi="Arial" w:cs="Arial"/>
        </w:rPr>
        <w:t>87</w:t>
      </w:r>
      <w:r w:rsidRPr="00FA0B3B">
        <w:rPr>
          <w:rFonts w:ascii="Arial" w:hAnsi="Arial" w:cs="Arial"/>
        </w:rPr>
        <w:t xml:space="preserve">) patients during treatment (Figure). </w:t>
      </w:r>
      <w:r w:rsidR="00A610EA">
        <w:rPr>
          <w:rFonts w:ascii="Arial" w:hAnsi="Arial" w:cs="Arial"/>
        </w:rPr>
        <w:t>E</w:t>
      </w:r>
      <w:r w:rsidRPr="00FA0B3B">
        <w:rPr>
          <w:rFonts w:ascii="Arial" w:hAnsi="Arial" w:cs="Arial"/>
        </w:rPr>
        <w:t xml:space="preserve">mergent </w:t>
      </w:r>
      <w:r w:rsidRPr="00D87A60">
        <w:rPr>
          <w:rFonts w:ascii="Arial" w:hAnsi="Arial" w:cs="Arial"/>
          <w:i/>
          <w:iCs/>
        </w:rPr>
        <w:t>Rv0678</w:t>
      </w:r>
      <w:r w:rsidRPr="00FA0B3B">
        <w:rPr>
          <w:rFonts w:ascii="Arial" w:hAnsi="Arial" w:cs="Arial"/>
        </w:rPr>
        <w:t xml:space="preserve"> variants were associated with a &gt;8-fold increase in bedaquiline MIC</w:t>
      </w:r>
      <w:r w:rsidR="00FB721D">
        <w:rPr>
          <w:rFonts w:ascii="Arial" w:hAnsi="Arial" w:cs="Arial"/>
        </w:rPr>
        <w:t>.</w:t>
      </w:r>
      <w:r w:rsidR="002A5E8C">
        <w:rPr>
          <w:rFonts w:ascii="Arial" w:hAnsi="Arial" w:cs="Arial"/>
        </w:rPr>
        <w:t xml:space="preserve"> </w:t>
      </w:r>
    </w:p>
    <w:p w14:paraId="06328A99" w14:textId="77777777" w:rsidR="00E93E63" w:rsidRPr="00FA0B3B" w:rsidRDefault="00E93E63" w:rsidP="00FA0B3B">
      <w:pPr>
        <w:spacing w:line="480" w:lineRule="auto"/>
        <w:rPr>
          <w:rFonts w:ascii="Arial" w:hAnsi="Arial" w:cs="Arial"/>
        </w:rPr>
      </w:pPr>
    </w:p>
    <w:p w14:paraId="5BFBB246" w14:textId="225DC1EB" w:rsidR="00E93E63" w:rsidRPr="00FA0B3B" w:rsidRDefault="00E93E63" w:rsidP="00FA0B3B">
      <w:pPr>
        <w:spacing w:line="480" w:lineRule="auto"/>
        <w:rPr>
          <w:rFonts w:ascii="Arial" w:hAnsi="Arial" w:cs="Arial"/>
        </w:rPr>
      </w:pPr>
      <w:r w:rsidRPr="00FA0B3B">
        <w:rPr>
          <w:rFonts w:ascii="Arial" w:hAnsi="Arial" w:cs="Arial"/>
        </w:rPr>
        <w:t xml:space="preserve">All patients with baseline or emergent </w:t>
      </w:r>
      <w:r w:rsidRPr="00D87A60">
        <w:rPr>
          <w:rFonts w:ascii="Arial" w:hAnsi="Arial" w:cs="Arial"/>
          <w:i/>
          <w:iCs/>
        </w:rPr>
        <w:t>Rv0678</w:t>
      </w:r>
      <w:r w:rsidRPr="00FA0B3B">
        <w:rPr>
          <w:rFonts w:ascii="Arial" w:hAnsi="Arial" w:cs="Arial"/>
        </w:rPr>
        <w:t xml:space="preserve"> variants had resistance to fluoroquinolones or </w:t>
      </w:r>
      <w:proofErr w:type="gramStart"/>
      <w:r w:rsidRPr="00FA0B3B">
        <w:rPr>
          <w:rFonts w:ascii="Arial" w:hAnsi="Arial" w:cs="Arial"/>
        </w:rPr>
        <w:t>second-line</w:t>
      </w:r>
      <w:proofErr w:type="gramEnd"/>
      <w:r w:rsidRPr="00FA0B3B">
        <w:rPr>
          <w:rFonts w:ascii="Arial" w:hAnsi="Arial" w:cs="Arial"/>
        </w:rPr>
        <w:t xml:space="preserve"> injectables (pre-XDR-TB</w:t>
      </w:r>
      <w:r w:rsidR="00230270">
        <w:rPr>
          <w:rFonts w:ascii="Arial" w:hAnsi="Arial" w:cs="Arial"/>
        </w:rPr>
        <w:t>/</w:t>
      </w:r>
      <w:r w:rsidR="00564F9C">
        <w:rPr>
          <w:rFonts w:ascii="Arial" w:hAnsi="Arial" w:cs="Arial"/>
        </w:rPr>
        <w:t>XDR-TB</w:t>
      </w:r>
      <w:r w:rsidRPr="00FA0B3B">
        <w:rPr>
          <w:rFonts w:ascii="Arial" w:hAnsi="Arial" w:cs="Arial"/>
        </w:rPr>
        <w:t xml:space="preserve">) and 60% had previously been treated for DR-TB. Patients with </w:t>
      </w:r>
      <w:r w:rsidRPr="00D87A60">
        <w:rPr>
          <w:rFonts w:ascii="Arial" w:hAnsi="Arial" w:cs="Arial"/>
          <w:i/>
          <w:iCs/>
        </w:rPr>
        <w:t>Rv0678</w:t>
      </w:r>
      <w:r w:rsidRPr="00FA0B3B">
        <w:rPr>
          <w:rFonts w:ascii="Arial" w:hAnsi="Arial" w:cs="Arial"/>
        </w:rPr>
        <w:t xml:space="preserve"> mutations were more likely to have XDR-TB (</w:t>
      </w:r>
      <w:r w:rsidR="00400844">
        <w:rPr>
          <w:rFonts w:ascii="Arial" w:hAnsi="Arial" w:cs="Arial"/>
        </w:rPr>
        <w:t>60</w:t>
      </w:r>
      <w:r w:rsidRPr="00FA0B3B">
        <w:rPr>
          <w:rFonts w:ascii="Arial" w:hAnsi="Arial" w:cs="Arial"/>
        </w:rPr>
        <w:t>%) than those without (2</w:t>
      </w:r>
      <w:r w:rsidR="00400844">
        <w:rPr>
          <w:rFonts w:ascii="Arial" w:hAnsi="Arial" w:cs="Arial"/>
        </w:rPr>
        <w:t>9</w:t>
      </w:r>
      <w:r w:rsidRPr="00FA0B3B">
        <w:rPr>
          <w:rFonts w:ascii="Arial" w:hAnsi="Arial" w:cs="Arial"/>
        </w:rPr>
        <w:t>%)</w:t>
      </w:r>
      <w:r w:rsidR="00A57B1A">
        <w:rPr>
          <w:rFonts w:ascii="Arial" w:hAnsi="Arial" w:cs="Arial"/>
        </w:rPr>
        <w:t xml:space="preserve"> </w:t>
      </w:r>
      <w:r w:rsidR="00A57B1A" w:rsidRPr="00FA0B3B">
        <w:rPr>
          <w:rFonts w:ascii="Arial" w:hAnsi="Arial" w:cs="Arial"/>
        </w:rPr>
        <w:t>(p=0.0</w:t>
      </w:r>
      <w:r w:rsidR="008C566B">
        <w:rPr>
          <w:rFonts w:ascii="Arial" w:hAnsi="Arial" w:cs="Arial"/>
        </w:rPr>
        <w:t>7</w:t>
      </w:r>
      <w:r w:rsidR="00A57B1A" w:rsidRPr="00FA0B3B">
        <w:rPr>
          <w:rFonts w:ascii="Arial" w:hAnsi="Arial" w:cs="Arial"/>
        </w:rPr>
        <w:t>)</w:t>
      </w:r>
      <w:r w:rsidRPr="00FA0B3B">
        <w:rPr>
          <w:rFonts w:ascii="Arial" w:hAnsi="Arial" w:cs="Arial"/>
        </w:rPr>
        <w:t xml:space="preserve">. None </w:t>
      </w:r>
      <w:r w:rsidR="00A610EA">
        <w:rPr>
          <w:rFonts w:ascii="Arial" w:hAnsi="Arial" w:cs="Arial"/>
        </w:rPr>
        <w:t>were</w:t>
      </w:r>
      <w:r w:rsidRPr="00FA0B3B">
        <w:rPr>
          <w:rFonts w:ascii="Arial" w:hAnsi="Arial" w:cs="Arial"/>
        </w:rPr>
        <w:t xml:space="preserve"> previously treated with bedaquiline or clofazimine. No </w:t>
      </w:r>
      <w:proofErr w:type="spellStart"/>
      <w:r w:rsidRPr="00D87A60">
        <w:rPr>
          <w:rFonts w:ascii="Arial" w:hAnsi="Arial" w:cs="Arial"/>
          <w:i/>
          <w:iCs/>
        </w:rPr>
        <w:t>pepQ</w:t>
      </w:r>
      <w:proofErr w:type="spellEnd"/>
      <w:r w:rsidRPr="00FA0B3B">
        <w:rPr>
          <w:rFonts w:ascii="Arial" w:hAnsi="Arial" w:cs="Arial"/>
        </w:rPr>
        <w:t xml:space="preserve"> or </w:t>
      </w:r>
      <w:proofErr w:type="spellStart"/>
      <w:r w:rsidRPr="00D87A60">
        <w:rPr>
          <w:rFonts w:ascii="Arial" w:hAnsi="Arial" w:cs="Arial"/>
          <w:i/>
          <w:iCs/>
        </w:rPr>
        <w:t>atpE</w:t>
      </w:r>
      <w:proofErr w:type="spellEnd"/>
      <w:r w:rsidRPr="00FA0B3B">
        <w:rPr>
          <w:rFonts w:ascii="Arial" w:hAnsi="Arial" w:cs="Arial"/>
        </w:rPr>
        <w:t xml:space="preserve"> mutations were identified. No </w:t>
      </w:r>
      <w:r w:rsidR="00E07078">
        <w:rPr>
          <w:rFonts w:ascii="Arial" w:hAnsi="Arial" w:cs="Arial"/>
        </w:rPr>
        <w:t xml:space="preserve">further </w:t>
      </w:r>
      <w:r w:rsidRPr="00FA0B3B">
        <w:rPr>
          <w:rFonts w:ascii="Arial" w:hAnsi="Arial" w:cs="Arial"/>
        </w:rPr>
        <w:t xml:space="preserve">phenotypic or genotypic resistance to </w:t>
      </w:r>
      <w:r w:rsidR="00400844">
        <w:rPr>
          <w:rFonts w:ascii="Arial" w:hAnsi="Arial" w:cs="Arial"/>
        </w:rPr>
        <w:t>drugs other than bedaquiline</w:t>
      </w:r>
      <w:r w:rsidR="00FD484B">
        <w:rPr>
          <w:rFonts w:ascii="Arial" w:hAnsi="Arial" w:cs="Arial"/>
        </w:rPr>
        <w:t>/</w:t>
      </w:r>
      <w:r w:rsidR="00400844">
        <w:rPr>
          <w:rFonts w:ascii="Arial" w:hAnsi="Arial" w:cs="Arial"/>
        </w:rPr>
        <w:t>clofazimine</w:t>
      </w:r>
      <w:r w:rsidRPr="00FA0B3B">
        <w:rPr>
          <w:rFonts w:ascii="Arial" w:hAnsi="Arial" w:cs="Arial"/>
        </w:rPr>
        <w:t xml:space="preserve"> emerged during treatment. Baseline drug resistance profiles and regimen</w:t>
      </w:r>
      <w:r w:rsidR="00D87A60">
        <w:rPr>
          <w:rFonts w:ascii="Arial" w:hAnsi="Arial" w:cs="Arial"/>
        </w:rPr>
        <w:t xml:space="preserve">s </w:t>
      </w:r>
      <w:r w:rsidRPr="00FA0B3B">
        <w:rPr>
          <w:rFonts w:ascii="Arial" w:hAnsi="Arial" w:cs="Arial"/>
        </w:rPr>
        <w:t xml:space="preserve">for patients with </w:t>
      </w:r>
      <w:r w:rsidRPr="00D87A60">
        <w:rPr>
          <w:rFonts w:ascii="Arial" w:hAnsi="Arial" w:cs="Arial"/>
          <w:i/>
          <w:iCs/>
        </w:rPr>
        <w:t>Rv0678</w:t>
      </w:r>
      <w:r w:rsidRPr="00FA0B3B">
        <w:rPr>
          <w:rFonts w:ascii="Arial" w:hAnsi="Arial" w:cs="Arial"/>
        </w:rPr>
        <w:t xml:space="preserve"> variants are shown (Figure). </w:t>
      </w:r>
    </w:p>
    <w:p w14:paraId="61F30517" w14:textId="77777777" w:rsidR="00E93E63" w:rsidRPr="00FA0B3B" w:rsidRDefault="00E93E63" w:rsidP="00FA0B3B">
      <w:pPr>
        <w:spacing w:line="480" w:lineRule="auto"/>
        <w:rPr>
          <w:rFonts w:ascii="Arial" w:hAnsi="Arial" w:cs="Arial"/>
        </w:rPr>
      </w:pPr>
    </w:p>
    <w:p w14:paraId="43171F25" w14:textId="170A8362" w:rsidR="00E93E63" w:rsidRPr="00FA0B3B" w:rsidRDefault="00E93E63" w:rsidP="00FA0B3B">
      <w:pPr>
        <w:spacing w:line="480" w:lineRule="auto"/>
        <w:rPr>
          <w:rFonts w:ascii="Arial" w:hAnsi="Arial" w:cs="Arial"/>
        </w:rPr>
      </w:pPr>
      <w:r w:rsidRPr="00FA0B3B">
        <w:rPr>
          <w:rFonts w:ascii="Arial" w:hAnsi="Arial" w:cs="Arial"/>
        </w:rPr>
        <w:t>In 4/5 cases, emergent bedaquiline resistance occurred due to within-patient evolution of the infecting strain, while in one case (patient G) resistance was suggestive of superinfection with a bedaquiline-resistant strain from patient F. Both patients were hospital</w:t>
      </w:r>
      <w:r w:rsidR="00E07078">
        <w:rPr>
          <w:rFonts w:ascii="Arial" w:hAnsi="Arial" w:cs="Arial"/>
        </w:rPr>
        <w:t>i</w:t>
      </w:r>
      <w:r w:rsidR="00230270">
        <w:rPr>
          <w:rFonts w:ascii="Arial" w:hAnsi="Arial" w:cs="Arial"/>
        </w:rPr>
        <w:t>s</w:t>
      </w:r>
      <w:r w:rsidR="00E07078">
        <w:rPr>
          <w:rFonts w:ascii="Arial" w:hAnsi="Arial" w:cs="Arial"/>
        </w:rPr>
        <w:t>ed during the same period</w:t>
      </w:r>
      <w:r w:rsidRPr="00FA0B3B">
        <w:rPr>
          <w:rFonts w:ascii="Arial" w:hAnsi="Arial" w:cs="Arial"/>
        </w:rPr>
        <w:t xml:space="preserve"> and this </w:t>
      </w:r>
      <w:r w:rsidR="00E07078">
        <w:rPr>
          <w:rFonts w:ascii="Arial" w:hAnsi="Arial" w:cs="Arial"/>
        </w:rPr>
        <w:t>appears to</w:t>
      </w:r>
      <w:r w:rsidR="00E07078" w:rsidRPr="00FA0B3B">
        <w:rPr>
          <w:rFonts w:ascii="Arial" w:hAnsi="Arial" w:cs="Arial"/>
        </w:rPr>
        <w:t xml:space="preserve"> </w:t>
      </w:r>
      <w:r w:rsidRPr="00FA0B3B">
        <w:rPr>
          <w:rFonts w:ascii="Arial" w:hAnsi="Arial" w:cs="Arial"/>
        </w:rPr>
        <w:t>represent nosocomial transmission as there was no evidence of</w:t>
      </w:r>
      <w:r w:rsidR="00E07078">
        <w:rPr>
          <w:rFonts w:ascii="Arial" w:hAnsi="Arial" w:cs="Arial"/>
        </w:rPr>
        <w:t xml:space="preserve"> </w:t>
      </w:r>
      <w:r w:rsidRPr="00FA0B3B">
        <w:rPr>
          <w:rFonts w:ascii="Arial" w:hAnsi="Arial" w:cs="Arial"/>
        </w:rPr>
        <w:t>cross-contamination.</w:t>
      </w:r>
    </w:p>
    <w:p w14:paraId="69129579" w14:textId="77777777" w:rsidR="00E93E63" w:rsidRPr="00FA0B3B" w:rsidRDefault="00E93E63" w:rsidP="00FA0B3B">
      <w:pPr>
        <w:spacing w:line="480" w:lineRule="auto"/>
        <w:rPr>
          <w:rFonts w:ascii="Arial" w:hAnsi="Arial" w:cs="Arial"/>
        </w:rPr>
      </w:pPr>
    </w:p>
    <w:p w14:paraId="08FD244B" w14:textId="3D8B8629" w:rsidR="00E93E63" w:rsidRPr="00FA0B3B" w:rsidRDefault="007065DC" w:rsidP="00FA0B3B">
      <w:pPr>
        <w:spacing w:line="480" w:lineRule="auto"/>
        <w:rPr>
          <w:rFonts w:ascii="Arial" w:hAnsi="Arial" w:cs="Arial"/>
        </w:rPr>
      </w:pPr>
      <w:r>
        <w:rPr>
          <w:rFonts w:ascii="Arial" w:hAnsi="Arial" w:cs="Arial"/>
        </w:rPr>
        <w:t>M</w:t>
      </w:r>
      <w:r w:rsidR="00A610EA" w:rsidRPr="00FA0B3B">
        <w:rPr>
          <w:rFonts w:ascii="Arial" w:hAnsi="Arial" w:cs="Arial"/>
        </w:rPr>
        <w:t xml:space="preserve">edian follow-up duration </w:t>
      </w:r>
      <w:r w:rsidR="00A610EA">
        <w:rPr>
          <w:rFonts w:ascii="Arial" w:hAnsi="Arial" w:cs="Arial"/>
        </w:rPr>
        <w:t xml:space="preserve">for the </w:t>
      </w:r>
      <w:r w:rsidR="00830475">
        <w:rPr>
          <w:rFonts w:ascii="Arial" w:hAnsi="Arial" w:cs="Arial"/>
        </w:rPr>
        <w:t xml:space="preserve">entire </w:t>
      </w:r>
      <w:r w:rsidR="00A610EA">
        <w:rPr>
          <w:rFonts w:ascii="Arial" w:hAnsi="Arial" w:cs="Arial"/>
        </w:rPr>
        <w:t xml:space="preserve">cohort </w:t>
      </w:r>
      <w:r w:rsidR="00A610EA" w:rsidRPr="00FA0B3B">
        <w:rPr>
          <w:rFonts w:ascii="Arial" w:hAnsi="Arial" w:cs="Arial"/>
        </w:rPr>
        <w:t>was 12.8 months (IQR 6.0-18.9) and mortality was 20.7% (19/92).</w:t>
      </w:r>
      <w:r w:rsidR="00A610EA">
        <w:rPr>
          <w:rFonts w:ascii="Arial" w:hAnsi="Arial" w:cs="Arial"/>
        </w:rPr>
        <w:t xml:space="preserve"> </w:t>
      </w:r>
      <w:r w:rsidR="00E93E63" w:rsidRPr="00FA0B3B">
        <w:rPr>
          <w:rFonts w:ascii="Arial" w:hAnsi="Arial" w:cs="Arial"/>
        </w:rPr>
        <w:t>Overall, 73/92 (79.3%) patients culture conver</w:t>
      </w:r>
      <w:r w:rsidR="006D206A">
        <w:rPr>
          <w:rFonts w:ascii="Arial" w:hAnsi="Arial" w:cs="Arial"/>
        </w:rPr>
        <w:t>ted</w:t>
      </w:r>
      <w:r w:rsidR="00E93E63" w:rsidRPr="00FA0B3B">
        <w:rPr>
          <w:rFonts w:ascii="Arial" w:hAnsi="Arial" w:cs="Arial"/>
        </w:rPr>
        <w:t xml:space="preserve"> by </w:t>
      </w:r>
      <w:r w:rsidR="004571C4">
        <w:rPr>
          <w:rFonts w:ascii="Arial" w:hAnsi="Arial" w:cs="Arial"/>
        </w:rPr>
        <w:t>six</w:t>
      </w:r>
      <w:r w:rsidR="00E93E63" w:rsidRPr="00FA0B3B">
        <w:rPr>
          <w:rFonts w:ascii="Arial" w:hAnsi="Arial" w:cs="Arial"/>
        </w:rPr>
        <w:t xml:space="preserve"> months. </w:t>
      </w:r>
      <w:r w:rsidR="007136C0">
        <w:rPr>
          <w:rFonts w:ascii="Arial" w:hAnsi="Arial" w:cs="Arial"/>
        </w:rPr>
        <w:t xml:space="preserve">Among patients without </w:t>
      </w:r>
      <w:r w:rsidR="007136C0" w:rsidRPr="00D87A60">
        <w:rPr>
          <w:rFonts w:ascii="Arial" w:hAnsi="Arial" w:cs="Arial"/>
          <w:i/>
          <w:iCs/>
        </w:rPr>
        <w:t>Rv0678</w:t>
      </w:r>
      <w:r w:rsidR="007136C0" w:rsidRPr="00FA0B3B">
        <w:rPr>
          <w:rFonts w:ascii="Arial" w:hAnsi="Arial" w:cs="Arial"/>
        </w:rPr>
        <w:t xml:space="preserve"> </w:t>
      </w:r>
      <w:r w:rsidR="007136C0" w:rsidRPr="001B47E1">
        <w:rPr>
          <w:rFonts w:ascii="Arial" w:hAnsi="Arial" w:cs="Arial"/>
        </w:rPr>
        <w:t>mutations</w:t>
      </w:r>
      <w:r w:rsidR="00FD484B">
        <w:rPr>
          <w:rFonts w:ascii="Arial" w:hAnsi="Arial" w:cs="Arial"/>
        </w:rPr>
        <w:t>,</w:t>
      </w:r>
      <w:r w:rsidR="007136C0" w:rsidRPr="001B47E1">
        <w:rPr>
          <w:rFonts w:ascii="Arial" w:hAnsi="Arial" w:cs="Arial"/>
        </w:rPr>
        <w:t xml:space="preserve"> </w:t>
      </w:r>
      <w:r w:rsidR="001B47E1" w:rsidRPr="001B47E1">
        <w:rPr>
          <w:rFonts w:ascii="Arial" w:hAnsi="Arial" w:cs="Arial"/>
        </w:rPr>
        <w:t>70/82 (85</w:t>
      </w:r>
      <w:r w:rsidR="007136C0" w:rsidRPr="001B47E1">
        <w:rPr>
          <w:rFonts w:ascii="Arial" w:hAnsi="Arial" w:cs="Arial"/>
        </w:rPr>
        <w:t>%</w:t>
      </w:r>
      <w:r w:rsidR="001B47E1" w:rsidRPr="001B47E1">
        <w:rPr>
          <w:rFonts w:ascii="Arial" w:hAnsi="Arial" w:cs="Arial"/>
        </w:rPr>
        <w:t>)</w:t>
      </w:r>
      <w:r w:rsidR="007136C0" w:rsidRPr="001B47E1">
        <w:rPr>
          <w:rFonts w:ascii="Arial" w:hAnsi="Arial" w:cs="Arial"/>
        </w:rPr>
        <w:t xml:space="preserve"> culture conve</w:t>
      </w:r>
      <w:r w:rsidR="006D206A">
        <w:rPr>
          <w:rFonts w:ascii="Arial" w:hAnsi="Arial" w:cs="Arial"/>
        </w:rPr>
        <w:t>rted</w:t>
      </w:r>
      <w:r w:rsidR="007136C0" w:rsidRPr="001B47E1">
        <w:rPr>
          <w:rFonts w:ascii="Arial" w:hAnsi="Arial" w:cs="Arial"/>
        </w:rPr>
        <w:t xml:space="preserve">; while in patients with baseline </w:t>
      </w:r>
      <w:r w:rsidR="007136C0" w:rsidRPr="001B47E1">
        <w:rPr>
          <w:rFonts w:ascii="Arial" w:hAnsi="Arial" w:cs="Arial"/>
          <w:i/>
          <w:iCs/>
        </w:rPr>
        <w:t>Rv0678</w:t>
      </w:r>
      <w:r w:rsidR="007136C0" w:rsidRPr="001B47E1">
        <w:rPr>
          <w:rFonts w:ascii="Arial" w:hAnsi="Arial" w:cs="Arial"/>
        </w:rPr>
        <w:t xml:space="preserve"> mutations </w:t>
      </w:r>
      <w:r w:rsidR="001B47E1" w:rsidRPr="001B47E1">
        <w:rPr>
          <w:rFonts w:ascii="Arial" w:hAnsi="Arial" w:cs="Arial"/>
        </w:rPr>
        <w:t>2/5 (40</w:t>
      </w:r>
      <w:r w:rsidR="007136C0" w:rsidRPr="001B47E1">
        <w:rPr>
          <w:rFonts w:ascii="Arial" w:hAnsi="Arial" w:cs="Arial"/>
        </w:rPr>
        <w:t>%</w:t>
      </w:r>
      <w:r w:rsidR="001B47E1" w:rsidRPr="001B47E1">
        <w:rPr>
          <w:rFonts w:ascii="Arial" w:hAnsi="Arial" w:cs="Arial"/>
        </w:rPr>
        <w:t>)</w:t>
      </w:r>
      <w:r w:rsidR="007136C0" w:rsidRPr="001B47E1">
        <w:rPr>
          <w:rFonts w:ascii="Arial" w:hAnsi="Arial" w:cs="Arial"/>
        </w:rPr>
        <w:t xml:space="preserve"> culture conver</w:t>
      </w:r>
      <w:r w:rsidR="006D206A">
        <w:rPr>
          <w:rFonts w:ascii="Arial" w:hAnsi="Arial" w:cs="Arial"/>
        </w:rPr>
        <w:t>ted</w:t>
      </w:r>
      <w:r w:rsidR="007136C0" w:rsidRPr="001B47E1">
        <w:rPr>
          <w:rFonts w:ascii="Arial" w:hAnsi="Arial" w:cs="Arial"/>
        </w:rPr>
        <w:t>.</w:t>
      </w:r>
      <w:r w:rsidR="007136C0">
        <w:rPr>
          <w:rFonts w:ascii="Arial" w:hAnsi="Arial" w:cs="Arial"/>
        </w:rPr>
        <w:t xml:space="preserve"> </w:t>
      </w:r>
      <w:r w:rsidR="00E93E63" w:rsidRPr="00FA0B3B">
        <w:rPr>
          <w:rFonts w:ascii="Arial" w:hAnsi="Arial" w:cs="Arial"/>
        </w:rPr>
        <w:t xml:space="preserve">Among five patients with baseline </w:t>
      </w:r>
      <w:r w:rsidR="00E93E63" w:rsidRPr="00D87A60">
        <w:rPr>
          <w:rFonts w:ascii="Arial" w:hAnsi="Arial" w:cs="Arial"/>
          <w:i/>
          <w:iCs/>
        </w:rPr>
        <w:t>Rv0678</w:t>
      </w:r>
      <w:r w:rsidR="00E93E63" w:rsidRPr="00FA0B3B">
        <w:rPr>
          <w:rFonts w:ascii="Arial" w:hAnsi="Arial" w:cs="Arial"/>
        </w:rPr>
        <w:t xml:space="preserve"> variants, </w:t>
      </w:r>
      <w:r w:rsidR="00A00FDD">
        <w:rPr>
          <w:rFonts w:ascii="Arial" w:hAnsi="Arial" w:cs="Arial"/>
        </w:rPr>
        <w:t>3/5 (</w:t>
      </w:r>
      <w:r w:rsidR="007136C0">
        <w:rPr>
          <w:rFonts w:ascii="Arial" w:hAnsi="Arial" w:cs="Arial"/>
        </w:rPr>
        <w:t>60%</w:t>
      </w:r>
      <w:r w:rsidR="00A00FDD">
        <w:rPr>
          <w:rFonts w:ascii="Arial" w:hAnsi="Arial" w:cs="Arial"/>
        </w:rPr>
        <w:t>)</w:t>
      </w:r>
      <w:r w:rsidR="007136C0">
        <w:rPr>
          <w:rFonts w:ascii="Arial" w:hAnsi="Arial" w:cs="Arial"/>
        </w:rPr>
        <w:t xml:space="preserve"> had an unsuccessful outcome (</w:t>
      </w:r>
      <w:r w:rsidR="00E93E63" w:rsidRPr="00FA0B3B">
        <w:rPr>
          <w:rFonts w:ascii="Arial" w:hAnsi="Arial" w:cs="Arial"/>
        </w:rPr>
        <w:t xml:space="preserve">two </w:t>
      </w:r>
      <w:r w:rsidR="002C2B94">
        <w:rPr>
          <w:rFonts w:ascii="Arial" w:hAnsi="Arial" w:cs="Arial"/>
        </w:rPr>
        <w:t>deaths</w:t>
      </w:r>
      <w:r w:rsidR="00E93E63" w:rsidRPr="00FA0B3B">
        <w:rPr>
          <w:rFonts w:ascii="Arial" w:hAnsi="Arial" w:cs="Arial"/>
        </w:rPr>
        <w:t xml:space="preserve"> and one los</w:t>
      </w:r>
      <w:r w:rsidR="002C2B94">
        <w:rPr>
          <w:rFonts w:ascii="Arial" w:hAnsi="Arial" w:cs="Arial"/>
        </w:rPr>
        <w:t>s</w:t>
      </w:r>
      <w:r w:rsidR="00E93E63" w:rsidRPr="00FA0B3B">
        <w:rPr>
          <w:rFonts w:ascii="Arial" w:hAnsi="Arial" w:cs="Arial"/>
        </w:rPr>
        <w:t xml:space="preserve"> to follow-up</w:t>
      </w:r>
      <w:r w:rsidR="007136C0">
        <w:rPr>
          <w:rFonts w:ascii="Arial" w:hAnsi="Arial" w:cs="Arial"/>
        </w:rPr>
        <w:t xml:space="preserve">) compared </w:t>
      </w:r>
      <w:r w:rsidR="00E93E63" w:rsidRPr="00FA0B3B">
        <w:rPr>
          <w:rFonts w:ascii="Arial" w:hAnsi="Arial" w:cs="Arial"/>
        </w:rPr>
        <w:t xml:space="preserve">to </w:t>
      </w:r>
      <w:r w:rsidR="002B6C8A" w:rsidRPr="00FA0B3B">
        <w:rPr>
          <w:rFonts w:ascii="Arial" w:hAnsi="Arial" w:cs="Arial"/>
        </w:rPr>
        <w:t>16/8</w:t>
      </w:r>
      <w:r w:rsidR="002B6C8A">
        <w:rPr>
          <w:rFonts w:ascii="Arial" w:hAnsi="Arial" w:cs="Arial"/>
        </w:rPr>
        <w:t>2</w:t>
      </w:r>
      <w:r w:rsidR="002B6C8A" w:rsidRPr="00FA0B3B">
        <w:rPr>
          <w:rFonts w:ascii="Arial" w:hAnsi="Arial" w:cs="Arial"/>
        </w:rPr>
        <w:t xml:space="preserve"> </w:t>
      </w:r>
      <w:r w:rsidR="002B6C8A">
        <w:rPr>
          <w:rFonts w:ascii="Arial" w:hAnsi="Arial" w:cs="Arial"/>
        </w:rPr>
        <w:t>(</w:t>
      </w:r>
      <w:r w:rsidR="00E93E63" w:rsidRPr="00FA0B3B">
        <w:rPr>
          <w:rFonts w:ascii="Arial" w:hAnsi="Arial" w:cs="Arial"/>
        </w:rPr>
        <w:t>18.4%</w:t>
      </w:r>
      <w:r w:rsidR="002B6C8A">
        <w:rPr>
          <w:rFonts w:ascii="Arial" w:hAnsi="Arial" w:cs="Arial"/>
        </w:rPr>
        <w:t>)</w:t>
      </w:r>
      <w:r w:rsidR="007136C0">
        <w:rPr>
          <w:rFonts w:ascii="Arial" w:hAnsi="Arial" w:cs="Arial"/>
        </w:rPr>
        <w:t xml:space="preserve"> in patients </w:t>
      </w:r>
      <w:r w:rsidR="001B47E1">
        <w:rPr>
          <w:rFonts w:ascii="Arial" w:hAnsi="Arial" w:cs="Arial"/>
        </w:rPr>
        <w:t xml:space="preserve">without </w:t>
      </w:r>
      <w:r w:rsidR="001B47E1" w:rsidRPr="002C2B94">
        <w:rPr>
          <w:rFonts w:ascii="Arial" w:hAnsi="Arial" w:cs="Arial"/>
          <w:i/>
          <w:iCs/>
        </w:rPr>
        <w:t>Rv</w:t>
      </w:r>
      <w:r w:rsidR="007136C0" w:rsidRPr="002C2B94">
        <w:rPr>
          <w:rFonts w:ascii="Arial" w:hAnsi="Arial" w:cs="Arial"/>
          <w:i/>
          <w:iCs/>
        </w:rPr>
        <w:t>0</w:t>
      </w:r>
      <w:r w:rsidR="007136C0" w:rsidRPr="00D87A60">
        <w:rPr>
          <w:rFonts w:ascii="Arial" w:hAnsi="Arial" w:cs="Arial"/>
          <w:i/>
          <w:iCs/>
        </w:rPr>
        <w:t>678</w:t>
      </w:r>
      <w:r w:rsidR="007136C0" w:rsidRPr="00FA0B3B">
        <w:rPr>
          <w:rFonts w:ascii="Arial" w:hAnsi="Arial" w:cs="Arial"/>
        </w:rPr>
        <w:t xml:space="preserve"> variants </w:t>
      </w:r>
      <w:r w:rsidR="00E93E63" w:rsidRPr="00FA0B3B">
        <w:rPr>
          <w:rFonts w:ascii="Arial" w:hAnsi="Arial" w:cs="Arial"/>
        </w:rPr>
        <w:t>(p=0.058</w:t>
      </w:r>
      <w:r w:rsidR="007136C0">
        <w:rPr>
          <w:rFonts w:ascii="Arial" w:hAnsi="Arial" w:cs="Arial"/>
        </w:rPr>
        <w:t>)</w:t>
      </w:r>
      <w:r w:rsidR="00E93E63" w:rsidRPr="00FA0B3B">
        <w:rPr>
          <w:rFonts w:ascii="Arial" w:hAnsi="Arial" w:cs="Arial"/>
        </w:rPr>
        <w:t xml:space="preserve">. Patients with emergent </w:t>
      </w:r>
      <w:r w:rsidR="00E93E63" w:rsidRPr="00D87A60">
        <w:rPr>
          <w:rFonts w:ascii="Arial" w:hAnsi="Arial" w:cs="Arial"/>
          <w:i/>
          <w:iCs/>
        </w:rPr>
        <w:t>Rv0678</w:t>
      </w:r>
      <w:r w:rsidR="00E93E63" w:rsidRPr="00FA0B3B">
        <w:rPr>
          <w:rFonts w:ascii="Arial" w:hAnsi="Arial" w:cs="Arial"/>
        </w:rPr>
        <w:t xml:space="preserve"> variants were more likely </w:t>
      </w:r>
      <w:r w:rsidR="006975FB">
        <w:rPr>
          <w:rFonts w:ascii="Arial" w:hAnsi="Arial" w:cs="Arial"/>
        </w:rPr>
        <w:t xml:space="preserve">to </w:t>
      </w:r>
      <w:r w:rsidR="003A3DC7">
        <w:rPr>
          <w:rFonts w:ascii="Arial" w:hAnsi="Arial" w:cs="Arial"/>
        </w:rPr>
        <w:t xml:space="preserve">be </w:t>
      </w:r>
      <w:r w:rsidR="00A610EA">
        <w:rPr>
          <w:rFonts w:ascii="Arial" w:hAnsi="Arial" w:cs="Arial"/>
        </w:rPr>
        <w:t>culture</w:t>
      </w:r>
      <w:r w:rsidR="002A4E13">
        <w:rPr>
          <w:rFonts w:ascii="Arial" w:hAnsi="Arial" w:cs="Arial"/>
        </w:rPr>
        <w:t>-</w:t>
      </w:r>
      <w:r w:rsidR="00A610EA">
        <w:rPr>
          <w:rFonts w:ascii="Arial" w:hAnsi="Arial" w:cs="Arial"/>
        </w:rPr>
        <w:t xml:space="preserve">positive </w:t>
      </w:r>
      <w:r w:rsidR="00E93E63" w:rsidRPr="00FA0B3B">
        <w:rPr>
          <w:rFonts w:ascii="Arial" w:hAnsi="Arial" w:cs="Arial"/>
        </w:rPr>
        <w:t xml:space="preserve">at six months than those </w:t>
      </w:r>
      <w:r w:rsidR="00D87A60">
        <w:rPr>
          <w:rFonts w:ascii="Arial" w:hAnsi="Arial" w:cs="Arial"/>
        </w:rPr>
        <w:t>without</w:t>
      </w:r>
      <w:r w:rsidR="00E93E63" w:rsidRPr="00FA0B3B">
        <w:rPr>
          <w:rFonts w:ascii="Arial" w:hAnsi="Arial" w:cs="Arial"/>
        </w:rPr>
        <w:t xml:space="preserve"> (</w:t>
      </w:r>
      <w:r w:rsidR="00A4332D">
        <w:rPr>
          <w:rFonts w:ascii="Arial" w:hAnsi="Arial" w:cs="Arial"/>
        </w:rPr>
        <w:t xml:space="preserve">4/5, </w:t>
      </w:r>
      <w:r w:rsidR="00E93E63" w:rsidRPr="00FA0B3B">
        <w:rPr>
          <w:rFonts w:ascii="Arial" w:hAnsi="Arial" w:cs="Arial"/>
        </w:rPr>
        <w:t xml:space="preserve">80.0% v </w:t>
      </w:r>
      <w:r w:rsidR="00F95C7E">
        <w:rPr>
          <w:rFonts w:ascii="Arial" w:hAnsi="Arial" w:cs="Arial"/>
        </w:rPr>
        <w:t>12</w:t>
      </w:r>
      <w:r w:rsidR="00385037">
        <w:rPr>
          <w:rFonts w:ascii="Arial" w:hAnsi="Arial" w:cs="Arial"/>
        </w:rPr>
        <w:t xml:space="preserve">/82, </w:t>
      </w:r>
      <w:r w:rsidR="00E93E63" w:rsidRPr="00FA0B3B">
        <w:rPr>
          <w:rFonts w:ascii="Arial" w:hAnsi="Arial" w:cs="Arial"/>
        </w:rPr>
        <w:t>1</w:t>
      </w:r>
      <w:r w:rsidR="006B701C">
        <w:rPr>
          <w:rFonts w:ascii="Arial" w:hAnsi="Arial" w:cs="Arial"/>
        </w:rPr>
        <w:t>4.6</w:t>
      </w:r>
      <w:r w:rsidR="00E93E63" w:rsidRPr="00FA0B3B">
        <w:rPr>
          <w:rFonts w:ascii="Arial" w:hAnsi="Arial" w:cs="Arial"/>
        </w:rPr>
        <w:t>%, p=0.00</w:t>
      </w:r>
      <w:r w:rsidR="006B701C">
        <w:rPr>
          <w:rFonts w:ascii="Arial" w:hAnsi="Arial" w:cs="Arial"/>
        </w:rPr>
        <w:t>4</w:t>
      </w:r>
      <w:r w:rsidR="00E93E63" w:rsidRPr="00FA0B3B">
        <w:rPr>
          <w:rFonts w:ascii="Arial" w:hAnsi="Arial" w:cs="Arial"/>
        </w:rPr>
        <w:t xml:space="preserve">) and </w:t>
      </w:r>
      <w:r w:rsidR="006B66EC">
        <w:rPr>
          <w:rFonts w:ascii="Arial" w:hAnsi="Arial" w:cs="Arial"/>
        </w:rPr>
        <w:t>4</w:t>
      </w:r>
      <w:r w:rsidR="00A4332D">
        <w:rPr>
          <w:rFonts w:ascii="Arial" w:hAnsi="Arial" w:cs="Arial"/>
        </w:rPr>
        <w:t>/5 (</w:t>
      </w:r>
      <w:r w:rsidR="006B66EC">
        <w:rPr>
          <w:rFonts w:ascii="Arial" w:hAnsi="Arial" w:cs="Arial"/>
        </w:rPr>
        <w:t>8</w:t>
      </w:r>
      <w:r w:rsidR="00E93E63" w:rsidRPr="00FA0B3B">
        <w:rPr>
          <w:rFonts w:ascii="Arial" w:hAnsi="Arial" w:cs="Arial"/>
        </w:rPr>
        <w:t>0.0%</w:t>
      </w:r>
      <w:r w:rsidR="00A4332D">
        <w:rPr>
          <w:rFonts w:ascii="Arial" w:hAnsi="Arial" w:cs="Arial"/>
        </w:rPr>
        <w:t>)</w:t>
      </w:r>
      <w:r w:rsidR="00E93E63" w:rsidRPr="00FA0B3B">
        <w:rPr>
          <w:rFonts w:ascii="Arial" w:hAnsi="Arial" w:cs="Arial"/>
        </w:rPr>
        <w:t xml:space="preserve"> died or were lost to follow-up compared to </w:t>
      </w:r>
      <w:r w:rsidR="00AD3810">
        <w:rPr>
          <w:rFonts w:ascii="Arial" w:hAnsi="Arial" w:cs="Arial"/>
        </w:rPr>
        <w:t>1</w:t>
      </w:r>
      <w:r w:rsidR="008D12CF">
        <w:rPr>
          <w:rFonts w:ascii="Arial" w:hAnsi="Arial" w:cs="Arial"/>
        </w:rPr>
        <w:t>5</w:t>
      </w:r>
      <w:r w:rsidR="00AD3810">
        <w:rPr>
          <w:rFonts w:ascii="Arial" w:hAnsi="Arial" w:cs="Arial"/>
        </w:rPr>
        <w:t xml:space="preserve">/82 </w:t>
      </w:r>
      <w:r w:rsidR="00A4332D">
        <w:rPr>
          <w:rFonts w:ascii="Arial" w:hAnsi="Arial" w:cs="Arial"/>
        </w:rPr>
        <w:t>(</w:t>
      </w:r>
      <w:r w:rsidR="00A610EA">
        <w:rPr>
          <w:rFonts w:ascii="Arial" w:hAnsi="Arial" w:cs="Arial"/>
        </w:rPr>
        <w:t>1</w:t>
      </w:r>
      <w:r w:rsidR="006B701C">
        <w:rPr>
          <w:rFonts w:ascii="Arial" w:hAnsi="Arial" w:cs="Arial"/>
        </w:rPr>
        <w:t>8.3</w:t>
      </w:r>
      <w:r w:rsidR="00A610EA">
        <w:rPr>
          <w:rFonts w:ascii="Arial" w:hAnsi="Arial" w:cs="Arial"/>
        </w:rPr>
        <w:t>%</w:t>
      </w:r>
      <w:r w:rsidR="00A4332D">
        <w:rPr>
          <w:rFonts w:ascii="Arial" w:hAnsi="Arial" w:cs="Arial"/>
        </w:rPr>
        <w:t>)</w:t>
      </w:r>
      <w:r w:rsidR="00E93E63" w:rsidRPr="00FA0B3B">
        <w:rPr>
          <w:rFonts w:ascii="Arial" w:hAnsi="Arial" w:cs="Arial"/>
        </w:rPr>
        <w:t xml:space="preserve"> without (p=0.</w:t>
      </w:r>
      <w:r w:rsidR="004A1D3A">
        <w:rPr>
          <w:rFonts w:ascii="Arial" w:hAnsi="Arial" w:cs="Arial"/>
        </w:rPr>
        <w:t>007</w:t>
      </w:r>
      <w:r w:rsidR="00E93E63" w:rsidRPr="00FA0B3B">
        <w:rPr>
          <w:rFonts w:ascii="Arial" w:hAnsi="Arial" w:cs="Arial"/>
        </w:rPr>
        <w:t xml:space="preserve">). </w:t>
      </w:r>
      <w:r w:rsidR="00830475">
        <w:rPr>
          <w:rFonts w:ascii="Arial" w:hAnsi="Arial" w:cs="Arial"/>
        </w:rPr>
        <w:t>Among</w:t>
      </w:r>
      <w:r w:rsidR="00E93E63" w:rsidRPr="00FA0B3B">
        <w:rPr>
          <w:rFonts w:ascii="Arial" w:hAnsi="Arial" w:cs="Arial"/>
        </w:rPr>
        <w:t xml:space="preserve"> patients with a baseline</w:t>
      </w:r>
      <w:r w:rsidR="00A610EA">
        <w:rPr>
          <w:rFonts w:ascii="Arial" w:hAnsi="Arial" w:cs="Arial"/>
        </w:rPr>
        <w:t xml:space="preserve"> or </w:t>
      </w:r>
      <w:r w:rsidR="00E93E63" w:rsidRPr="00FA0B3B">
        <w:rPr>
          <w:rFonts w:ascii="Arial" w:hAnsi="Arial" w:cs="Arial"/>
        </w:rPr>
        <w:t xml:space="preserve">emergent </w:t>
      </w:r>
      <w:r w:rsidR="00E93E63" w:rsidRPr="00D87A60">
        <w:rPr>
          <w:rFonts w:ascii="Arial" w:hAnsi="Arial" w:cs="Arial"/>
          <w:i/>
          <w:iCs/>
        </w:rPr>
        <w:t>Rv0678</w:t>
      </w:r>
      <w:r w:rsidR="00E93E63" w:rsidRPr="00FA0B3B">
        <w:rPr>
          <w:rFonts w:ascii="Arial" w:hAnsi="Arial" w:cs="Arial"/>
        </w:rPr>
        <w:t xml:space="preserve"> variant, 70% (7/10) had an unsuccessful outcome (death</w:t>
      </w:r>
      <w:r w:rsidR="00A610EA">
        <w:rPr>
          <w:rFonts w:ascii="Arial" w:hAnsi="Arial" w:cs="Arial"/>
        </w:rPr>
        <w:t xml:space="preserve">, </w:t>
      </w:r>
      <w:r w:rsidR="006975FB">
        <w:rPr>
          <w:rFonts w:ascii="Arial" w:hAnsi="Arial" w:cs="Arial"/>
        </w:rPr>
        <w:t>treatment failure</w:t>
      </w:r>
      <w:r w:rsidR="00A610EA">
        <w:rPr>
          <w:rFonts w:ascii="Arial" w:hAnsi="Arial" w:cs="Arial"/>
        </w:rPr>
        <w:t>, or loss to follow</w:t>
      </w:r>
      <w:r w:rsidR="00A97565">
        <w:rPr>
          <w:rFonts w:ascii="Arial" w:hAnsi="Arial" w:cs="Arial"/>
        </w:rPr>
        <w:t>-</w:t>
      </w:r>
      <w:r w:rsidR="00A610EA">
        <w:rPr>
          <w:rFonts w:ascii="Arial" w:hAnsi="Arial" w:cs="Arial"/>
        </w:rPr>
        <w:t>up</w:t>
      </w:r>
      <w:r w:rsidR="00E93E63" w:rsidRPr="00FA0B3B">
        <w:rPr>
          <w:rFonts w:ascii="Arial" w:hAnsi="Arial" w:cs="Arial"/>
        </w:rPr>
        <w:t>) compared to 18% (15/82) without (p=0.001).</w:t>
      </w:r>
    </w:p>
    <w:p w14:paraId="4814BB7F" w14:textId="77777777" w:rsidR="00A610EA" w:rsidRDefault="00A610EA" w:rsidP="00FA0B3B">
      <w:pPr>
        <w:spacing w:line="480" w:lineRule="auto"/>
        <w:rPr>
          <w:rFonts w:ascii="Arial" w:hAnsi="Arial" w:cs="Arial"/>
        </w:rPr>
      </w:pPr>
    </w:p>
    <w:p w14:paraId="4E88221D" w14:textId="2D82FB15" w:rsidR="00E93E63" w:rsidRPr="00FA0B3B" w:rsidRDefault="00E93E63" w:rsidP="00FA0B3B">
      <w:pPr>
        <w:spacing w:line="480" w:lineRule="auto"/>
        <w:rPr>
          <w:rFonts w:ascii="Arial" w:hAnsi="Arial" w:cs="Arial"/>
        </w:rPr>
      </w:pPr>
      <w:r w:rsidRPr="00FA0B3B">
        <w:rPr>
          <w:rFonts w:ascii="Arial" w:hAnsi="Arial" w:cs="Arial"/>
        </w:rPr>
        <w:t xml:space="preserve">The </w:t>
      </w:r>
      <w:r w:rsidR="00FB721D">
        <w:rPr>
          <w:rFonts w:ascii="Arial" w:hAnsi="Arial" w:cs="Arial"/>
        </w:rPr>
        <w:t>distribution of MICs in patients</w:t>
      </w:r>
      <w:r w:rsidRPr="00FA0B3B">
        <w:rPr>
          <w:rFonts w:ascii="Arial" w:hAnsi="Arial" w:cs="Arial"/>
        </w:rPr>
        <w:t xml:space="preserve"> with </w:t>
      </w:r>
      <w:r w:rsidRPr="00D87A60">
        <w:rPr>
          <w:rFonts w:ascii="Arial" w:hAnsi="Arial" w:cs="Arial"/>
          <w:i/>
          <w:iCs/>
        </w:rPr>
        <w:t>Rv0678</w:t>
      </w:r>
      <w:r w:rsidRPr="00FA0B3B">
        <w:rPr>
          <w:rFonts w:ascii="Arial" w:hAnsi="Arial" w:cs="Arial"/>
        </w:rPr>
        <w:t xml:space="preserve"> variants in this study are consistent with other reports, </w:t>
      </w:r>
      <w:r w:rsidR="00C3487F">
        <w:rPr>
          <w:rFonts w:ascii="Arial" w:hAnsi="Arial" w:cs="Arial"/>
        </w:rPr>
        <w:t xml:space="preserve">finding that </w:t>
      </w:r>
      <w:r w:rsidR="00FB721D">
        <w:rPr>
          <w:rFonts w:ascii="Arial" w:hAnsi="Arial" w:cs="Arial"/>
        </w:rPr>
        <w:t>many variants</w:t>
      </w:r>
      <w:r w:rsidRPr="00FA0B3B">
        <w:rPr>
          <w:rFonts w:ascii="Arial" w:hAnsi="Arial" w:cs="Arial"/>
        </w:rPr>
        <w:t xml:space="preserve"> are associated with raised MICs below or at the critical concentration</w:t>
      </w:r>
      <w:sdt>
        <w:sdtPr>
          <w:rPr>
            <w:rFonts w:ascii="Arial" w:hAnsi="Arial" w:cs="Arial"/>
            <w:color w:val="000000"/>
          </w:rPr>
          <w:tag w:val="MENDELEY_CITATION_7e352071-6af2-47a8-a560-38f363a4c497"/>
          <w:id w:val="1857534271"/>
          <w:placeholder>
            <w:docPart w:val="DefaultPlaceholder_-1854013440"/>
          </w:placeholder>
        </w:sdtPr>
        <w:sdtEndPr/>
        <w:sdtContent>
          <w:r w:rsidR="008C566B" w:rsidRPr="008C566B">
            <w:rPr>
              <w:rFonts w:ascii="Arial" w:hAnsi="Arial" w:cs="Arial"/>
              <w:color w:val="000000"/>
            </w:rPr>
            <w:t>[14]</w:t>
          </w:r>
        </w:sdtContent>
      </w:sdt>
      <w:r w:rsidR="00FD484B">
        <w:rPr>
          <w:rFonts w:ascii="Arial" w:hAnsi="Arial" w:cs="Arial"/>
          <w:color w:val="000000"/>
        </w:rPr>
        <w:t>.</w:t>
      </w:r>
      <w:r w:rsidRPr="00FA0B3B">
        <w:rPr>
          <w:rFonts w:ascii="Arial" w:hAnsi="Arial" w:cs="Arial"/>
        </w:rPr>
        <w:t xml:space="preserve"> </w:t>
      </w:r>
      <w:r w:rsidR="00261261">
        <w:rPr>
          <w:rFonts w:ascii="Arial" w:hAnsi="Arial" w:cs="Arial"/>
        </w:rPr>
        <w:t>All isolate</w:t>
      </w:r>
      <w:r w:rsidR="00FD133B">
        <w:rPr>
          <w:rFonts w:ascii="Arial" w:hAnsi="Arial" w:cs="Arial"/>
        </w:rPr>
        <w:t>s</w:t>
      </w:r>
      <w:r w:rsidR="00261261">
        <w:rPr>
          <w:rFonts w:ascii="Arial" w:hAnsi="Arial" w:cs="Arial"/>
        </w:rPr>
        <w:t xml:space="preserve"> with MICs &gt;0.25</w:t>
      </w:r>
      <w:r w:rsidR="00261261">
        <w:rPr>
          <w:rFonts w:ascii="Arial" w:hAnsi="Arial" w:cs="Arial"/>
        </w:rPr>
        <w:sym w:font="Symbol" w:char="F06D"/>
      </w:r>
      <w:r w:rsidR="00261261">
        <w:rPr>
          <w:rFonts w:ascii="Arial" w:hAnsi="Arial" w:cs="Arial"/>
        </w:rPr>
        <w:t>g/mL in this study had C46 or D47 frameshift mutations</w:t>
      </w:r>
      <w:r w:rsidR="00FD133B">
        <w:rPr>
          <w:rFonts w:ascii="Arial" w:hAnsi="Arial" w:cs="Arial"/>
        </w:rPr>
        <w:t xml:space="preserve"> and were only seen in acquired drug </w:t>
      </w:r>
      <w:r w:rsidR="007F362D">
        <w:rPr>
          <w:rFonts w:ascii="Arial" w:hAnsi="Arial" w:cs="Arial"/>
        </w:rPr>
        <w:t>resistance</w:t>
      </w:r>
      <w:r w:rsidR="00261261">
        <w:rPr>
          <w:rFonts w:ascii="Arial" w:hAnsi="Arial" w:cs="Arial"/>
        </w:rPr>
        <w:t xml:space="preserve">. </w:t>
      </w:r>
      <w:r w:rsidRPr="00FA0B3B">
        <w:rPr>
          <w:rFonts w:ascii="Arial" w:hAnsi="Arial" w:cs="Arial"/>
        </w:rPr>
        <w:t xml:space="preserve">Strains with higher (but technically susceptible) MICs for other TB drugs have </w:t>
      </w:r>
      <w:r w:rsidR="005A1C5B">
        <w:rPr>
          <w:rFonts w:ascii="Arial" w:hAnsi="Arial" w:cs="Arial"/>
        </w:rPr>
        <w:t xml:space="preserve">also </w:t>
      </w:r>
      <w:r w:rsidRPr="00FA0B3B">
        <w:rPr>
          <w:rFonts w:ascii="Arial" w:hAnsi="Arial" w:cs="Arial"/>
        </w:rPr>
        <w:t>been linked to a higher risk of relapse</w:t>
      </w:r>
      <w:sdt>
        <w:sdtPr>
          <w:rPr>
            <w:rFonts w:ascii="Arial" w:hAnsi="Arial" w:cs="Arial"/>
            <w:color w:val="000000"/>
          </w:rPr>
          <w:tag w:val="MENDELEY_CITATION_681aab81-f842-424c-8b8d-5b7f38c00d29"/>
          <w:id w:val="-1222892314"/>
          <w:placeholder>
            <w:docPart w:val="DefaultPlaceholder_-1854013440"/>
          </w:placeholder>
        </w:sdtPr>
        <w:sdtEndPr/>
        <w:sdtContent>
          <w:r w:rsidR="008C566B" w:rsidRPr="008C566B">
            <w:rPr>
              <w:rFonts w:ascii="Arial" w:hAnsi="Arial" w:cs="Arial"/>
              <w:color w:val="000000"/>
            </w:rPr>
            <w:t>[15]</w:t>
          </w:r>
        </w:sdtContent>
      </w:sdt>
      <w:r w:rsidR="00FD484B">
        <w:rPr>
          <w:rFonts w:ascii="Arial" w:hAnsi="Arial" w:cs="Arial"/>
          <w:color w:val="000000"/>
        </w:rPr>
        <w:t>.</w:t>
      </w:r>
      <w:r w:rsidRPr="00FA0B3B">
        <w:rPr>
          <w:rFonts w:ascii="Arial" w:hAnsi="Arial" w:cs="Arial"/>
        </w:rPr>
        <w:t xml:space="preserve"> The key question is whether </w:t>
      </w:r>
      <w:r w:rsidR="00FB721D">
        <w:rPr>
          <w:rFonts w:ascii="Arial" w:hAnsi="Arial" w:cs="Arial"/>
        </w:rPr>
        <w:t>bedaquiline</w:t>
      </w:r>
      <w:r w:rsidRPr="00FA0B3B">
        <w:rPr>
          <w:rFonts w:ascii="Arial" w:hAnsi="Arial" w:cs="Arial"/>
        </w:rPr>
        <w:t xml:space="preserve"> MICs at or just below the critical concentration </w:t>
      </w:r>
      <w:r w:rsidR="00361672">
        <w:rPr>
          <w:rFonts w:ascii="Arial" w:hAnsi="Arial" w:cs="Arial"/>
        </w:rPr>
        <w:t>of 0.25</w:t>
      </w:r>
      <w:r w:rsidR="00361672">
        <w:rPr>
          <w:rFonts w:ascii="Arial" w:hAnsi="Arial" w:cs="Arial"/>
        </w:rPr>
        <w:sym w:font="Symbol" w:char="F06D"/>
      </w:r>
      <w:r w:rsidR="00361672">
        <w:rPr>
          <w:rFonts w:ascii="Arial" w:hAnsi="Arial" w:cs="Arial"/>
        </w:rPr>
        <w:t xml:space="preserve">g/mL (on 7H11 agar) </w:t>
      </w:r>
      <w:r w:rsidRPr="00FA0B3B">
        <w:rPr>
          <w:rFonts w:ascii="Arial" w:hAnsi="Arial" w:cs="Arial"/>
        </w:rPr>
        <w:t>have clinical consequence</w:t>
      </w:r>
      <w:r w:rsidR="002C2B94">
        <w:rPr>
          <w:rFonts w:ascii="Arial" w:hAnsi="Arial" w:cs="Arial"/>
        </w:rPr>
        <w:t>s</w:t>
      </w:r>
      <w:r w:rsidRPr="00FA0B3B">
        <w:rPr>
          <w:rFonts w:ascii="Arial" w:hAnsi="Arial" w:cs="Arial"/>
        </w:rPr>
        <w:t xml:space="preserve"> and undermine </w:t>
      </w:r>
      <w:r w:rsidR="00361672">
        <w:rPr>
          <w:rFonts w:ascii="Arial" w:hAnsi="Arial" w:cs="Arial"/>
        </w:rPr>
        <w:t>guidelines o</w:t>
      </w:r>
      <w:r w:rsidRPr="00FA0B3B">
        <w:rPr>
          <w:rFonts w:ascii="Arial" w:hAnsi="Arial" w:cs="Arial"/>
        </w:rPr>
        <w:t xml:space="preserve">n </w:t>
      </w:r>
      <w:r w:rsidR="00FB721D">
        <w:rPr>
          <w:rFonts w:ascii="Arial" w:hAnsi="Arial" w:cs="Arial"/>
        </w:rPr>
        <w:t>bedaquiline</w:t>
      </w:r>
      <w:r w:rsidRPr="00FA0B3B">
        <w:rPr>
          <w:rFonts w:ascii="Arial" w:hAnsi="Arial" w:cs="Arial"/>
        </w:rPr>
        <w:t xml:space="preserve"> phenotypic DST for clinical decision making and monitoring resistance transmission.</w:t>
      </w:r>
    </w:p>
    <w:p w14:paraId="57917FEF" w14:textId="77777777" w:rsidR="00E93E63" w:rsidRPr="00FA0B3B" w:rsidRDefault="00E93E63" w:rsidP="00FA0B3B">
      <w:pPr>
        <w:spacing w:line="480" w:lineRule="auto"/>
        <w:rPr>
          <w:rFonts w:ascii="Arial" w:hAnsi="Arial" w:cs="Arial"/>
        </w:rPr>
      </w:pPr>
    </w:p>
    <w:p w14:paraId="03E5E605" w14:textId="14E721BC" w:rsidR="00E93E63" w:rsidRPr="00FA0B3B" w:rsidRDefault="00E93E63" w:rsidP="00FA0B3B">
      <w:pPr>
        <w:spacing w:line="480" w:lineRule="auto"/>
        <w:rPr>
          <w:rFonts w:ascii="Arial" w:hAnsi="Arial" w:cs="Arial"/>
        </w:rPr>
      </w:pPr>
      <w:r w:rsidRPr="00FA0B3B">
        <w:rPr>
          <w:rFonts w:ascii="Arial" w:hAnsi="Arial" w:cs="Arial"/>
        </w:rPr>
        <w:lastRenderedPageBreak/>
        <w:t xml:space="preserve">It is concerning that all five patients with emergent resistance had </w:t>
      </w:r>
      <w:r w:rsidR="009362AB">
        <w:rPr>
          <w:rFonts w:ascii="Arial" w:hAnsi="Arial" w:cs="Arial"/>
        </w:rPr>
        <w:sym w:font="Symbol" w:char="F0B3"/>
      </w:r>
      <w:r w:rsidR="009362AB">
        <w:rPr>
          <w:rFonts w:ascii="Arial" w:hAnsi="Arial" w:cs="Arial"/>
        </w:rPr>
        <w:t xml:space="preserve">4 </w:t>
      </w:r>
      <w:r w:rsidRPr="00FA0B3B">
        <w:rPr>
          <w:rFonts w:ascii="Arial" w:hAnsi="Arial" w:cs="Arial"/>
        </w:rPr>
        <w:t xml:space="preserve">active drugs in their regimen. Interestingly, </w:t>
      </w:r>
      <w:r w:rsidR="00B72B55">
        <w:rPr>
          <w:rFonts w:ascii="Arial" w:hAnsi="Arial" w:cs="Arial"/>
        </w:rPr>
        <w:t xml:space="preserve">no </w:t>
      </w:r>
      <w:r w:rsidR="002C2B94">
        <w:rPr>
          <w:rFonts w:ascii="Arial" w:hAnsi="Arial" w:cs="Arial"/>
        </w:rPr>
        <w:t xml:space="preserve">other </w:t>
      </w:r>
      <w:r w:rsidR="00B72B55">
        <w:rPr>
          <w:rFonts w:ascii="Arial" w:hAnsi="Arial" w:cs="Arial"/>
        </w:rPr>
        <w:t>e</w:t>
      </w:r>
      <w:r w:rsidRPr="00FA0B3B">
        <w:rPr>
          <w:rFonts w:ascii="Arial" w:hAnsi="Arial" w:cs="Arial"/>
        </w:rPr>
        <w:t xml:space="preserve">mergent resistance was found during follow-up. </w:t>
      </w:r>
      <w:r w:rsidR="008378D6">
        <w:rPr>
          <w:rFonts w:ascii="Arial" w:hAnsi="Arial" w:cs="Arial"/>
        </w:rPr>
        <w:t>B</w:t>
      </w:r>
      <w:r w:rsidR="003E3F4D">
        <w:rPr>
          <w:rFonts w:ascii="Arial" w:hAnsi="Arial" w:cs="Arial"/>
        </w:rPr>
        <w:t xml:space="preserve">edaquiline may </w:t>
      </w:r>
      <w:r w:rsidRPr="00FA0B3B">
        <w:rPr>
          <w:rFonts w:ascii="Arial" w:hAnsi="Arial" w:cs="Arial"/>
        </w:rPr>
        <w:t xml:space="preserve">represent such a key drug within treatment regimens that resistance develops </w:t>
      </w:r>
      <w:r w:rsidR="006070E0">
        <w:rPr>
          <w:rFonts w:ascii="Arial" w:hAnsi="Arial" w:cs="Arial"/>
        </w:rPr>
        <w:t xml:space="preserve">either </w:t>
      </w:r>
      <w:r w:rsidRPr="00FA0B3B">
        <w:rPr>
          <w:rFonts w:ascii="Arial" w:hAnsi="Arial" w:cs="Arial"/>
        </w:rPr>
        <w:t xml:space="preserve">to bedaquiline or </w:t>
      </w:r>
      <w:r w:rsidR="006070E0">
        <w:rPr>
          <w:rFonts w:ascii="Arial" w:hAnsi="Arial" w:cs="Arial"/>
        </w:rPr>
        <w:t xml:space="preserve">to </w:t>
      </w:r>
      <w:proofErr w:type="gramStart"/>
      <w:r w:rsidRPr="00FA0B3B">
        <w:rPr>
          <w:rFonts w:ascii="Arial" w:hAnsi="Arial" w:cs="Arial"/>
        </w:rPr>
        <w:t>none at all</w:t>
      </w:r>
      <w:proofErr w:type="gramEnd"/>
      <w:r w:rsidR="008D3659">
        <w:rPr>
          <w:rFonts w:ascii="Arial" w:hAnsi="Arial" w:cs="Arial"/>
        </w:rPr>
        <w:t>, and due to its long half-life</w:t>
      </w:r>
      <w:r w:rsidR="00F701D4">
        <w:rPr>
          <w:rFonts w:ascii="Arial" w:hAnsi="Arial" w:cs="Arial"/>
        </w:rPr>
        <w:t>,</w:t>
      </w:r>
      <w:r w:rsidR="008D3659">
        <w:rPr>
          <w:rFonts w:ascii="Arial" w:hAnsi="Arial" w:cs="Arial"/>
        </w:rPr>
        <w:t xml:space="preserve"> </w:t>
      </w:r>
      <w:r w:rsidR="00C35AF6">
        <w:rPr>
          <w:rFonts w:ascii="Arial" w:hAnsi="Arial" w:cs="Arial"/>
        </w:rPr>
        <w:t xml:space="preserve">resistance may occur as a result of </w:t>
      </w:r>
      <w:r w:rsidR="008D3659">
        <w:rPr>
          <w:rFonts w:ascii="Arial" w:hAnsi="Arial" w:cs="Arial"/>
        </w:rPr>
        <w:t xml:space="preserve">prolonged exposure to subtherapeutic levels </w:t>
      </w:r>
      <w:r w:rsidR="00C35AF6">
        <w:rPr>
          <w:rFonts w:ascii="Arial" w:hAnsi="Arial" w:cs="Arial"/>
        </w:rPr>
        <w:t>when</w:t>
      </w:r>
      <w:r w:rsidR="0052430B">
        <w:rPr>
          <w:rFonts w:ascii="Arial" w:hAnsi="Arial" w:cs="Arial"/>
        </w:rPr>
        <w:t xml:space="preserve"> adherence is suboptimal</w:t>
      </w:r>
      <w:r w:rsidRPr="00FA0B3B">
        <w:rPr>
          <w:rFonts w:ascii="Arial" w:hAnsi="Arial" w:cs="Arial"/>
        </w:rPr>
        <w:t xml:space="preserve">. The combination of bedaquiline and clofazimine may also </w:t>
      </w:r>
      <w:r w:rsidR="00CF6EA0">
        <w:rPr>
          <w:rFonts w:ascii="Arial" w:hAnsi="Arial" w:cs="Arial"/>
        </w:rPr>
        <w:t xml:space="preserve">have </w:t>
      </w:r>
      <w:r w:rsidR="00C35AF6">
        <w:rPr>
          <w:rFonts w:ascii="Arial" w:hAnsi="Arial" w:cs="Arial"/>
        </w:rPr>
        <w:t xml:space="preserve">contributed to </w:t>
      </w:r>
      <w:r w:rsidR="008378D6">
        <w:rPr>
          <w:rFonts w:ascii="Arial" w:hAnsi="Arial" w:cs="Arial"/>
        </w:rPr>
        <w:t>select</w:t>
      </w:r>
      <w:r w:rsidR="00CF6EA0">
        <w:rPr>
          <w:rFonts w:ascii="Arial" w:hAnsi="Arial" w:cs="Arial"/>
        </w:rPr>
        <w:t>ion</w:t>
      </w:r>
      <w:r w:rsidR="008378D6">
        <w:rPr>
          <w:rFonts w:ascii="Arial" w:hAnsi="Arial" w:cs="Arial"/>
        </w:rPr>
        <w:t xml:space="preserve"> </w:t>
      </w:r>
      <w:r w:rsidR="008904C7">
        <w:rPr>
          <w:rFonts w:ascii="Arial" w:hAnsi="Arial" w:cs="Arial"/>
        </w:rPr>
        <w:t>of</w:t>
      </w:r>
      <w:r w:rsidR="008904C7" w:rsidRPr="00FA0B3B">
        <w:rPr>
          <w:rFonts w:ascii="Arial" w:hAnsi="Arial" w:cs="Arial"/>
        </w:rPr>
        <w:t xml:space="preserve"> </w:t>
      </w:r>
      <w:r w:rsidRPr="00FA0B3B">
        <w:rPr>
          <w:rFonts w:ascii="Arial" w:hAnsi="Arial" w:cs="Arial"/>
        </w:rPr>
        <w:t xml:space="preserve">resistance as </w:t>
      </w:r>
      <w:r w:rsidRPr="00D87A60">
        <w:rPr>
          <w:rFonts w:ascii="Arial" w:hAnsi="Arial" w:cs="Arial"/>
          <w:i/>
          <w:iCs/>
        </w:rPr>
        <w:t>Rv0678</w:t>
      </w:r>
      <w:r w:rsidRPr="00FA0B3B">
        <w:rPr>
          <w:rFonts w:ascii="Arial" w:hAnsi="Arial" w:cs="Arial"/>
        </w:rPr>
        <w:t xml:space="preserve"> mutations confer cross-resistance</w:t>
      </w:r>
      <w:r w:rsidR="00A8687C">
        <w:rPr>
          <w:rFonts w:ascii="Arial" w:hAnsi="Arial" w:cs="Arial"/>
        </w:rPr>
        <w:t xml:space="preserve"> </w:t>
      </w:r>
      <w:r w:rsidR="00AF6009">
        <w:rPr>
          <w:rFonts w:ascii="Arial" w:hAnsi="Arial" w:cs="Arial"/>
        </w:rPr>
        <w:t>and</w:t>
      </w:r>
      <w:r w:rsidR="00A8687C">
        <w:rPr>
          <w:rFonts w:ascii="Arial" w:hAnsi="Arial" w:cs="Arial"/>
        </w:rPr>
        <w:t xml:space="preserve"> all patients received a combination of both drugs</w:t>
      </w:r>
      <w:sdt>
        <w:sdtPr>
          <w:rPr>
            <w:rFonts w:ascii="Arial" w:hAnsi="Arial" w:cs="Arial"/>
            <w:color w:val="000000"/>
          </w:rPr>
          <w:tag w:val="MENDELEY_CITATION_ec4b9bcf-8b5e-4987-ab94-cdd3e5dab3c1"/>
          <w:id w:val="-987397128"/>
          <w:placeholder>
            <w:docPart w:val="DefaultPlaceholder_-1854013440"/>
          </w:placeholder>
        </w:sdtPr>
        <w:sdtEndPr/>
        <w:sdtContent>
          <w:r w:rsidR="008C566B" w:rsidRPr="008C566B">
            <w:rPr>
              <w:rFonts w:ascii="Arial" w:hAnsi="Arial" w:cs="Arial"/>
              <w:color w:val="000000"/>
            </w:rPr>
            <w:t>[9]</w:t>
          </w:r>
        </w:sdtContent>
      </w:sdt>
      <w:r w:rsidRPr="00FA0B3B">
        <w:rPr>
          <w:rFonts w:ascii="Arial" w:hAnsi="Arial" w:cs="Arial"/>
        </w:rPr>
        <w:t>.</w:t>
      </w:r>
    </w:p>
    <w:p w14:paraId="25B5FA67" w14:textId="77777777" w:rsidR="00E93E63" w:rsidRPr="00FA0B3B" w:rsidRDefault="00E93E63" w:rsidP="00FA0B3B">
      <w:pPr>
        <w:spacing w:line="480" w:lineRule="auto"/>
        <w:rPr>
          <w:rFonts w:ascii="Arial" w:hAnsi="Arial" w:cs="Arial"/>
        </w:rPr>
      </w:pPr>
    </w:p>
    <w:p w14:paraId="5153F7D1" w14:textId="083BFDD4" w:rsidR="00E93E63" w:rsidRPr="00FA0B3B" w:rsidRDefault="00E93E63" w:rsidP="00FA0B3B">
      <w:pPr>
        <w:spacing w:line="480" w:lineRule="auto"/>
        <w:rPr>
          <w:rFonts w:ascii="Arial" w:hAnsi="Arial" w:cs="Arial"/>
        </w:rPr>
      </w:pPr>
      <w:r w:rsidRPr="00FA0B3B">
        <w:rPr>
          <w:rFonts w:ascii="Arial" w:hAnsi="Arial" w:cs="Arial"/>
        </w:rPr>
        <w:t xml:space="preserve">The </w:t>
      </w:r>
      <w:r w:rsidR="008378D6">
        <w:rPr>
          <w:rFonts w:ascii="Arial" w:hAnsi="Arial" w:cs="Arial"/>
        </w:rPr>
        <w:t>percentage of</w:t>
      </w:r>
      <w:r w:rsidRPr="00FA0B3B">
        <w:rPr>
          <w:rFonts w:ascii="Arial" w:hAnsi="Arial" w:cs="Arial"/>
        </w:rPr>
        <w:t xml:space="preserve"> baseline </w:t>
      </w:r>
      <w:r w:rsidRPr="00D87A60">
        <w:rPr>
          <w:rFonts w:ascii="Arial" w:hAnsi="Arial" w:cs="Arial"/>
          <w:i/>
          <w:iCs/>
        </w:rPr>
        <w:t>Rv0678</w:t>
      </w:r>
      <w:r w:rsidRPr="00FA0B3B">
        <w:rPr>
          <w:rFonts w:ascii="Arial" w:hAnsi="Arial" w:cs="Arial"/>
        </w:rPr>
        <w:t xml:space="preserve"> variants identified </w:t>
      </w:r>
      <w:r w:rsidR="00830475">
        <w:rPr>
          <w:rFonts w:ascii="Arial" w:hAnsi="Arial" w:cs="Arial"/>
        </w:rPr>
        <w:t xml:space="preserve">in our study </w:t>
      </w:r>
      <w:r w:rsidR="008378D6">
        <w:rPr>
          <w:rFonts w:ascii="Arial" w:hAnsi="Arial" w:cs="Arial"/>
        </w:rPr>
        <w:t xml:space="preserve">was </w:t>
      </w:r>
      <w:proofErr w:type="gramStart"/>
      <w:r w:rsidRPr="00FA0B3B">
        <w:rPr>
          <w:rFonts w:ascii="Arial" w:hAnsi="Arial" w:cs="Arial"/>
        </w:rPr>
        <w:t>similar to</w:t>
      </w:r>
      <w:proofErr w:type="gramEnd"/>
      <w:r w:rsidRPr="00FA0B3B">
        <w:rPr>
          <w:rFonts w:ascii="Arial" w:hAnsi="Arial" w:cs="Arial"/>
        </w:rPr>
        <w:t xml:space="preserve"> the 6.6% </w:t>
      </w:r>
      <w:r w:rsidR="006070E0">
        <w:rPr>
          <w:rFonts w:ascii="Arial" w:hAnsi="Arial" w:cs="Arial"/>
        </w:rPr>
        <w:t xml:space="preserve">identified in </w:t>
      </w:r>
      <w:r w:rsidRPr="00FA0B3B">
        <w:rPr>
          <w:rFonts w:ascii="Arial" w:hAnsi="Arial" w:cs="Arial"/>
        </w:rPr>
        <w:t>the C208 and C209 bedaquiline clinical trials</w:t>
      </w:r>
      <w:sdt>
        <w:sdtPr>
          <w:rPr>
            <w:rFonts w:ascii="Arial" w:hAnsi="Arial" w:cs="Arial"/>
            <w:color w:val="000000"/>
          </w:rPr>
          <w:tag w:val="MENDELEY_CITATION_e52d5a50-04c1-4e70-acc5-951690151d8e"/>
          <w:id w:val="945968012"/>
          <w:placeholder>
            <w:docPart w:val="DefaultPlaceholder_-1854013440"/>
          </w:placeholder>
        </w:sdtPr>
        <w:sdtEndPr/>
        <w:sdtContent>
          <w:r w:rsidR="008C566B" w:rsidRPr="008C566B">
            <w:rPr>
              <w:rFonts w:ascii="Arial" w:hAnsi="Arial" w:cs="Arial"/>
              <w:color w:val="000000"/>
            </w:rPr>
            <w:t>[8]</w:t>
          </w:r>
        </w:sdtContent>
      </w:sdt>
      <w:r w:rsidR="00AF6009">
        <w:rPr>
          <w:rFonts w:ascii="Arial" w:hAnsi="Arial" w:cs="Arial"/>
          <w:color w:val="000000"/>
        </w:rPr>
        <w:t>.</w:t>
      </w:r>
      <w:r w:rsidRPr="00FA0B3B">
        <w:rPr>
          <w:rFonts w:ascii="Arial" w:hAnsi="Arial" w:cs="Arial"/>
        </w:rPr>
        <w:t xml:space="preserve"> C209 reported </w:t>
      </w:r>
      <w:r w:rsidR="00FA0B3B">
        <w:rPr>
          <w:rFonts w:ascii="Arial" w:hAnsi="Arial" w:cs="Arial"/>
        </w:rPr>
        <w:t>&gt;</w:t>
      </w:r>
      <w:r w:rsidRPr="00FA0B3B">
        <w:rPr>
          <w:rFonts w:ascii="Arial" w:hAnsi="Arial" w:cs="Arial"/>
        </w:rPr>
        <w:t xml:space="preserve">4-fold MIC increases associated with </w:t>
      </w:r>
      <w:r w:rsidRPr="00D87A60">
        <w:rPr>
          <w:rFonts w:ascii="Arial" w:hAnsi="Arial" w:cs="Arial"/>
          <w:i/>
          <w:iCs/>
        </w:rPr>
        <w:t>Rv0678</w:t>
      </w:r>
      <w:r w:rsidRPr="00FA0B3B">
        <w:rPr>
          <w:rFonts w:ascii="Arial" w:hAnsi="Arial" w:cs="Arial"/>
        </w:rPr>
        <w:t xml:space="preserve"> variants in 12/205 (4.4%) patients, </w:t>
      </w:r>
      <w:proofErr w:type="gramStart"/>
      <w:r w:rsidRPr="00FA0B3B">
        <w:rPr>
          <w:rFonts w:ascii="Arial" w:hAnsi="Arial" w:cs="Arial"/>
        </w:rPr>
        <w:t>similar to</w:t>
      </w:r>
      <w:proofErr w:type="gramEnd"/>
      <w:r w:rsidRPr="00FA0B3B">
        <w:rPr>
          <w:rFonts w:ascii="Arial" w:hAnsi="Arial" w:cs="Arial"/>
        </w:rPr>
        <w:t xml:space="preserve"> the 4/92 (4.3%) in </w:t>
      </w:r>
      <w:r w:rsidR="008378D6">
        <w:rPr>
          <w:rFonts w:ascii="Arial" w:hAnsi="Arial" w:cs="Arial"/>
        </w:rPr>
        <w:t>our</w:t>
      </w:r>
      <w:r w:rsidR="008378D6" w:rsidRPr="00FA0B3B">
        <w:rPr>
          <w:rFonts w:ascii="Arial" w:hAnsi="Arial" w:cs="Arial"/>
        </w:rPr>
        <w:t xml:space="preserve"> </w:t>
      </w:r>
      <w:r w:rsidRPr="00FA0B3B">
        <w:rPr>
          <w:rFonts w:ascii="Arial" w:hAnsi="Arial" w:cs="Arial"/>
        </w:rPr>
        <w:t xml:space="preserve">study, </w:t>
      </w:r>
      <w:r w:rsidR="00A8687C">
        <w:rPr>
          <w:rFonts w:ascii="Arial" w:hAnsi="Arial" w:cs="Arial"/>
        </w:rPr>
        <w:t>but no association with outcome</w:t>
      </w:r>
      <w:sdt>
        <w:sdtPr>
          <w:rPr>
            <w:rFonts w:ascii="Arial" w:hAnsi="Arial" w:cs="Arial"/>
            <w:color w:val="000000"/>
          </w:rPr>
          <w:tag w:val="MENDELEY_CITATION_2b810a15-7d3a-4cac-b42b-4466cf6317ff"/>
          <w:id w:val="444193081"/>
          <w:placeholder>
            <w:docPart w:val="DefaultPlaceholder_-1854013440"/>
          </w:placeholder>
        </w:sdtPr>
        <w:sdtEndPr/>
        <w:sdtContent>
          <w:r w:rsidR="008C566B" w:rsidRPr="008C566B">
            <w:rPr>
              <w:rFonts w:ascii="Arial" w:hAnsi="Arial" w:cs="Arial"/>
              <w:color w:val="000000"/>
            </w:rPr>
            <w:t>[12]</w:t>
          </w:r>
        </w:sdtContent>
      </w:sdt>
      <w:r w:rsidR="00FD484B">
        <w:rPr>
          <w:rFonts w:ascii="Arial" w:hAnsi="Arial" w:cs="Arial"/>
          <w:color w:val="000000"/>
        </w:rPr>
        <w:t>.</w:t>
      </w:r>
      <w:r w:rsidR="005817A0">
        <w:rPr>
          <w:rFonts w:ascii="Arial" w:hAnsi="Arial" w:cs="Arial"/>
          <w:color w:val="000000"/>
        </w:rPr>
        <w:t xml:space="preserve"> Presence of </w:t>
      </w:r>
      <w:r w:rsidR="001B4E05">
        <w:rPr>
          <w:rFonts w:ascii="Arial" w:hAnsi="Arial" w:cs="Arial"/>
          <w:color w:val="000000"/>
        </w:rPr>
        <w:t xml:space="preserve">baseline </w:t>
      </w:r>
      <w:r w:rsidR="002C078A" w:rsidRPr="00FE0033">
        <w:rPr>
          <w:rFonts w:ascii="Arial" w:hAnsi="Arial" w:cs="Arial"/>
          <w:i/>
          <w:iCs/>
          <w:color w:val="000000"/>
        </w:rPr>
        <w:t>Rv0678</w:t>
      </w:r>
      <w:r w:rsidR="001B4E05">
        <w:rPr>
          <w:rFonts w:ascii="Arial" w:hAnsi="Arial" w:cs="Arial"/>
          <w:color w:val="000000"/>
        </w:rPr>
        <w:t xml:space="preserve"> </w:t>
      </w:r>
      <w:r w:rsidR="00F701D4">
        <w:rPr>
          <w:rFonts w:ascii="Arial" w:hAnsi="Arial" w:cs="Arial"/>
          <w:color w:val="000000"/>
        </w:rPr>
        <w:t xml:space="preserve">mutations </w:t>
      </w:r>
      <w:r w:rsidR="000F2272">
        <w:rPr>
          <w:rFonts w:ascii="Arial" w:hAnsi="Arial" w:cs="Arial"/>
          <w:color w:val="000000"/>
        </w:rPr>
        <w:t>may indicate</w:t>
      </w:r>
      <w:r w:rsidR="001B4E05">
        <w:rPr>
          <w:rFonts w:ascii="Arial" w:hAnsi="Arial" w:cs="Arial"/>
          <w:color w:val="000000"/>
        </w:rPr>
        <w:t xml:space="preserve"> </w:t>
      </w:r>
      <w:r w:rsidR="002C078A">
        <w:rPr>
          <w:rFonts w:ascii="Arial" w:hAnsi="Arial" w:cs="Arial"/>
          <w:color w:val="000000"/>
        </w:rPr>
        <w:t xml:space="preserve">current </w:t>
      </w:r>
      <w:r w:rsidR="001B4E05">
        <w:rPr>
          <w:rFonts w:ascii="Arial" w:hAnsi="Arial" w:cs="Arial"/>
          <w:color w:val="000000"/>
        </w:rPr>
        <w:t>transmission of bedaquiline and clofazimine resistant strains</w:t>
      </w:r>
      <w:r w:rsidR="002C078A">
        <w:rPr>
          <w:rFonts w:ascii="Arial" w:hAnsi="Arial" w:cs="Arial"/>
          <w:color w:val="000000"/>
        </w:rPr>
        <w:t xml:space="preserve"> in the community.</w:t>
      </w:r>
    </w:p>
    <w:p w14:paraId="1D56E1D2" w14:textId="77777777" w:rsidR="00E93E63" w:rsidRPr="00FA0B3B" w:rsidRDefault="00E93E63" w:rsidP="00FA0B3B">
      <w:pPr>
        <w:spacing w:line="480" w:lineRule="auto"/>
        <w:rPr>
          <w:rFonts w:ascii="Arial" w:hAnsi="Arial" w:cs="Arial"/>
        </w:rPr>
      </w:pPr>
    </w:p>
    <w:p w14:paraId="2922076A" w14:textId="3B0AC8A1" w:rsidR="00E93E63" w:rsidRPr="00FA0B3B" w:rsidRDefault="00E93E63" w:rsidP="00FA0B3B">
      <w:pPr>
        <w:spacing w:line="480" w:lineRule="auto"/>
        <w:rPr>
          <w:rFonts w:ascii="Arial" w:hAnsi="Arial" w:cs="Arial"/>
        </w:rPr>
      </w:pPr>
      <w:r w:rsidRPr="00FA0B3B">
        <w:rPr>
          <w:rFonts w:ascii="Arial" w:hAnsi="Arial" w:cs="Arial"/>
        </w:rPr>
        <w:t xml:space="preserve">Limitations of this study include </w:t>
      </w:r>
      <w:r w:rsidR="00D87A60">
        <w:rPr>
          <w:rFonts w:ascii="Arial" w:hAnsi="Arial" w:cs="Arial"/>
        </w:rPr>
        <w:t xml:space="preserve">the </w:t>
      </w:r>
      <w:r w:rsidR="008378D6">
        <w:rPr>
          <w:rFonts w:ascii="Arial" w:hAnsi="Arial" w:cs="Arial"/>
        </w:rPr>
        <w:t>relatively small number of patients evaluable</w:t>
      </w:r>
      <w:r w:rsidRPr="00FA0B3B">
        <w:rPr>
          <w:rFonts w:ascii="Arial" w:hAnsi="Arial" w:cs="Arial"/>
        </w:rPr>
        <w:t xml:space="preserve">. The number of patients with </w:t>
      </w:r>
      <w:r w:rsidRPr="00D87A60">
        <w:rPr>
          <w:rFonts w:ascii="Arial" w:hAnsi="Arial" w:cs="Arial"/>
          <w:i/>
          <w:iCs/>
        </w:rPr>
        <w:t>Rv0678</w:t>
      </w:r>
      <w:r w:rsidRPr="00FA0B3B">
        <w:rPr>
          <w:rFonts w:ascii="Arial" w:hAnsi="Arial" w:cs="Arial"/>
        </w:rPr>
        <w:t xml:space="preserve"> variants was </w:t>
      </w:r>
      <w:r w:rsidR="008378D6">
        <w:rPr>
          <w:rFonts w:ascii="Arial" w:hAnsi="Arial" w:cs="Arial"/>
        </w:rPr>
        <w:t xml:space="preserve">also </w:t>
      </w:r>
      <w:r w:rsidRPr="00FA0B3B">
        <w:rPr>
          <w:rFonts w:ascii="Arial" w:hAnsi="Arial" w:cs="Arial"/>
        </w:rPr>
        <w:t xml:space="preserve">small, limiting </w:t>
      </w:r>
      <w:r w:rsidR="002B6467">
        <w:rPr>
          <w:rFonts w:ascii="Arial" w:hAnsi="Arial" w:cs="Arial"/>
        </w:rPr>
        <w:t>ca</w:t>
      </w:r>
      <w:r w:rsidR="008378D6">
        <w:rPr>
          <w:rFonts w:ascii="Arial" w:hAnsi="Arial" w:cs="Arial"/>
        </w:rPr>
        <w:t>u</w:t>
      </w:r>
      <w:r w:rsidR="002B6467">
        <w:rPr>
          <w:rFonts w:ascii="Arial" w:hAnsi="Arial" w:cs="Arial"/>
        </w:rPr>
        <w:t xml:space="preserve">sal </w:t>
      </w:r>
      <w:r w:rsidRPr="00FA0B3B">
        <w:rPr>
          <w:rFonts w:ascii="Arial" w:hAnsi="Arial" w:cs="Arial"/>
        </w:rPr>
        <w:t xml:space="preserve">interpretation of clinical outcome differences. </w:t>
      </w:r>
      <w:r w:rsidR="008378D6">
        <w:rPr>
          <w:rFonts w:ascii="Arial" w:hAnsi="Arial" w:cs="Arial"/>
        </w:rPr>
        <w:t xml:space="preserve">While South Africa is an important early adopter of bedaquiline, </w:t>
      </w:r>
      <w:r w:rsidR="00FD484B">
        <w:rPr>
          <w:rFonts w:ascii="Arial" w:hAnsi="Arial" w:cs="Arial"/>
        </w:rPr>
        <w:t xml:space="preserve">the </w:t>
      </w:r>
      <w:r w:rsidR="008378D6">
        <w:rPr>
          <w:rFonts w:ascii="Arial" w:hAnsi="Arial" w:cs="Arial"/>
        </w:rPr>
        <w:t xml:space="preserve">high </w:t>
      </w:r>
      <w:r w:rsidR="00FD484B">
        <w:rPr>
          <w:rFonts w:ascii="Arial" w:hAnsi="Arial" w:cs="Arial"/>
        </w:rPr>
        <w:t xml:space="preserve">HIV </w:t>
      </w:r>
      <w:r w:rsidR="008378D6">
        <w:rPr>
          <w:rFonts w:ascii="Arial" w:hAnsi="Arial" w:cs="Arial"/>
        </w:rPr>
        <w:t xml:space="preserve">prevalence and unique TB epidemic </w:t>
      </w:r>
      <w:r w:rsidR="00FD484B">
        <w:rPr>
          <w:rFonts w:ascii="Arial" w:hAnsi="Arial" w:cs="Arial"/>
        </w:rPr>
        <w:t>may limit generalisation of</w:t>
      </w:r>
      <w:r w:rsidR="008378D6">
        <w:rPr>
          <w:rFonts w:ascii="Arial" w:hAnsi="Arial" w:cs="Arial"/>
        </w:rPr>
        <w:t xml:space="preserve"> our findings. F</w:t>
      </w:r>
      <w:r w:rsidRPr="00FA0B3B">
        <w:rPr>
          <w:rFonts w:ascii="Arial" w:hAnsi="Arial" w:cs="Arial"/>
        </w:rPr>
        <w:t xml:space="preserve">actors related to poor outcome </w:t>
      </w:r>
      <w:r w:rsidR="008378D6">
        <w:rPr>
          <w:rFonts w:ascii="Arial" w:hAnsi="Arial" w:cs="Arial"/>
        </w:rPr>
        <w:t xml:space="preserve">tend to </w:t>
      </w:r>
      <w:r w:rsidRPr="00FA0B3B">
        <w:rPr>
          <w:rFonts w:ascii="Arial" w:hAnsi="Arial" w:cs="Arial"/>
        </w:rPr>
        <w:t xml:space="preserve">cluster (e.g. </w:t>
      </w:r>
      <w:r w:rsidR="008378D6">
        <w:rPr>
          <w:rFonts w:ascii="Arial" w:hAnsi="Arial" w:cs="Arial"/>
        </w:rPr>
        <w:t xml:space="preserve">low medication adherence, </w:t>
      </w:r>
      <w:r w:rsidRPr="00FA0B3B">
        <w:rPr>
          <w:rFonts w:ascii="Arial" w:hAnsi="Arial" w:cs="Arial"/>
        </w:rPr>
        <w:t>suboptimal HIV</w:t>
      </w:r>
      <w:r w:rsidR="008378D6">
        <w:rPr>
          <w:rFonts w:ascii="Arial" w:hAnsi="Arial" w:cs="Arial"/>
        </w:rPr>
        <w:t xml:space="preserve"> control </w:t>
      </w:r>
      <w:r w:rsidR="002C2B94">
        <w:rPr>
          <w:rFonts w:ascii="Arial" w:hAnsi="Arial" w:cs="Arial"/>
        </w:rPr>
        <w:t xml:space="preserve">and </w:t>
      </w:r>
      <w:r w:rsidR="008378D6">
        <w:rPr>
          <w:rFonts w:ascii="Arial" w:hAnsi="Arial" w:cs="Arial"/>
        </w:rPr>
        <w:t>substance abuse</w:t>
      </w:r>
      <w:r w:rsidRPr="00FA0B3B">
        <w:rPr>
          <w:rFonts w:ascii="Arial" w:hAnsi="Arial" w:cs="Arial"/>
        </w:rPr>
        <w:t xml:space="preserve">), making it difficult to disentangle to what extent </w:t>
      </w:r>
      <w:r w:rsidR="008378D6">
        <w:rPr>
          <w:rFonts w:ascii="Arial" w:hAnsi="Arial" w:cs="Arial"/>
        </w:rPr>
        <w:t xml:space="preserve">bedaquiline </w:t>
      </w:r>
      <w:r w:rsidRPr="00FA0B3B">
        <w:rPr>
          <w:rFonts w:ascii="Arial" w:hAnsi="Arial" w:cs="Arial"/>
        </w:rPr>
        <w:t>resistance is causative of poor outcome or merely a co-variate.</w:t>
      </w:r>
      <w:r w:rsidR="00271426" w:rsidRPr="00FA0B3B" w:rsidDel="00271426">
        <w:rPr>
          <w:rFonts w:ascii="Arial" w:hAnsi="Arial" w:cs="Arial"/>
        </w:rPr>
        <w:t xml:space="preserve"> </w:t>
      </w:r>
      <w:r w:rsidRPr="00FA0B3B">
        <w:rPr>
          <w:rFonts w:ascii="Arial" w:hAnsi="Arial" w:cs="Arial"/>
        </w:rPr>
        <w:t>Strengths of this study include its prospective design</w:t>
      </w:r>
      <w:r w:rsidR="008378D6">
        <w:rPr>
          <w:rFonts w:ascii="Arial" w:hAnsi="Arial" w:cs="Arial"/>
        </w:rPr>
        <w:t>, longitudinal follow</w:t>
      </w:r>
      <w:r w:rsidR="00011FC8">
        <w:rPr>
          <w:rFonts w:ascii="Arial" w:hAnsi="Arial" w:cs="Arial"/>
        </w:rPr>
        <w:t>-</w:t>
      </w:r>
      <w:r w:rsidR="008378D6">
        <w:rPr>
          <w:rFonts w:ascii="Arial" w:hAnsi="Arial" w:cs="Arial"/>
        </w:rPr>
        <w:t>up, and carefully collected clinical outcomes</w:t>
      </w:r>
      <w:r w:rsidRPr="00FA0B3B">
        <w:rPr>
          <w:rFonts w:ascii="Arial" w:hAnsi="Arial" w:cs="Arial"/>
        </w:rPr>
        <w:t xml:space="preserve">. </w:t>
      </w:r>
    </w:p>
    <w:p w14:paraId="198323FC" w14:textId="77777777" w:rsidR="00E93E63" w:rsidRPr="00FA0B3B" w:rsidRDefault="00E93E63" w:rsidP="00FA0B3B">
      <w:pPr>
        <w:spacing w:line="480" w:lineRule="auto"/>
        <w:rPr>
          <w:rFonts w:ascii="Arial" w:hAnsi="Arial" w:cs="Arial"/>
        </w:rPr>
      </w:pPr>
    </w:p>
    <w:p w14:paraId="07613C3D" w14:textId="5F453329" w:rsidR="0047753B" w:rsidRDefault="00E93E63" w:rsidP="00734062">
      <w:pPr>
        <w:spacing w:line="480" w:lineRule="auto"/>
        <w:rPr>
          <w:rFonts w:ascii="Arial" w:hAnsi="Arial" w:cs="Arial"/>
        </w:rPr>
      </w:pPr>
      <w:r w:rsidRPr="00FA0B3B">
        <w:rPr>
          <w:rFonts w:ascii="Arial" w:hAnsi="Arial" w:cs="Arial"/>
        </w:rPr>
        <w:t xml:space="preserve">This study </w:t>
      </w:r>
      <w:r w:rsidR="002B6467">
        <w:rPr>
          <w:rFonts w:ascii="Arial" w:hAnsi="Arial" w:cs="Arial"/>
        </w:rPr>
        <w:t>identifies</w:t>
      </w:r>
      <w:r w:rsidR="00271426">
        <w:rPr>
          <w:rFonts w:ascii="Arial" w:hAnsi="Arial" w:cs="Arial"/>
        </w:rPr>
        <w:t xml:space="preserve"> an </w:t>
      </w:r>
      <w:r w:rsidR="001B47E1">
        <w:rPr>
          <w:rFonts w:ascii="Arial" w:hAnsi="Arial" w:cs="Arial"/>
        </w:rPr>
        <w:t>important subpopulation of DR-TB HIV patients</w:t>
      </w:r>
      <w:r w:rsidR="002B6467">
        <w:rPr>
          <w:rFonts w:ascii="Arial" w:hAnsi="Arial" w:cs="Arial"/>
        </w:rPr>
        <w:t xml:space="preserve"> </w:t>
      </w:r>
      <w:r w:rsidR="00271426">
        <w:rPr>
          <w:rFonts w:ascii="Arial" w:hAnsi="Arial" w:cs="Arial"/>
        </w:rPr>
        <w:t>with</w:t>
      </w:r>
      <w:r w:rsidR="002B6467">
        <w:rPr>
          <w:rFonts w:ascii="Arial" w:hAnsi="Arial" w:cs="Arial"/>
        </w:rPr>
        <w:t xml:space="preserve"> baseline </w:t>
      </w:r>
      <w:r w:rsidR="00271426">
        <w:rPr>
          <w:rFonts w:ascii="Arial" w:hAnsi="Arial" w:cs="Arial"/>
        </w:rPr>
        <w:t>and</w:t>
      </w:r>
      <w:r w:rsidR="002B6467">
        <w:rPr>
          <w:rFonts w:ascii="Arial" w:hAnsi="Arial" w:cs="Arial"/>
        </w:rPr>
        <w:t xml:space="preserve"> emergent BDQ RAVs</w:t>
      </w:r>
      <w:r w:rsidR="00271426">
        <w:rPr>
          <w:rFonts w:ascii="Arial" w:hAnsi="Arial" w:cs="Arial"/>
        </w:rPr>
        <w:t xml:space="preserve"> </w:t>
      </w:r>
      <w:r w:rsidR="006070E0">
        <w:rPr>
          <w:rFonts w:ascii="Arial" w:hAnsi="Arial" w:cs="Arial"/>
        </w:rPr>
        <w:t>associated with</w:t>
      </w:r>
      <w:r w:rsidR="00271426">
        <w:rPr>
          <w:rFonts w:ascii="Arial" w:hAnsi="Arial" w:cs="Arial"/>
        </w:rPr>
        <w:t xml:space="preserve"> poor clinical outcomes. We</w:t>
      </w:r>
      <w:r w:rsidR="002B6467">
        <w:rPr>
          <w:rFonts w:ascii="Arial" w:hAnsi="Arial" w:cs="Arial"/>
        </w:rPr>
        <w:t xml:space="preserve"> </w:t>
      </w:r>
      <w:r w:rsidR="00D87A60" w:rsidRPr="00FA0B3B">
        <w:rPr>
          <w:rFonts w:ascii="Arial" w:hAnsi="Arial" w:cs="Arial"/>
        </w:rPr>
        <w:t xml:space="preserve">highlight </w:t>
      </w:r>
      <w:r w:rsidR="000F2272">
        <w:rPr>
          <w:rFonts w:ascii="Arial" w:hAnsi="Arial" w:cs="Arial"/>
        </w:rPr>
        <w:t>a role for</w:t>
      </w:r>
      <w:r w:rsidR="00D87A60" w:rsidRPr="00FA0B3B">
        <w:rPr>
          <w:rFonts w:ascii="Arial" w:hAnsi="Arial" w:cs="Arial"/>
        </w:rPr>
        <w:t xml:space="preserve"> </w:t>
      </w:r>
      <w:r w:rsidR="00271426">
        <w:rPr>
          <w:rFonts w:ascii="Arial" w:hAnsi="Arial" w:cs="Arial"/>
        </w:rPr>
        <w:t>active</w:t>
      </w:r>
      <w:r w:rsidR="00271426" w:rsidRPr="00FA0B3B">
        <w:rPr>
          <w:rFonts w:ascii="Arial" w:hAnsi="Arial" w:cs="Arial"/>
        </w:rPr>
        <w:t xml:space="preserve"> </w:t>
      </w:r>
      <w:r w:rsidR="00D87A60" w:rsidRPr="00FA0B3B">
        <w:rPr>
          <w:rFonts w:ascii="Arial" w:hAnsi="Arial" w:cs="Arial"/>
        </w:rPr>
        <w:t xml:space="preserve">genotypic monitoring </w:t>
      </w:r>
      <w:r w:rsidR="00271426">
        <w:rPr>
          <w:rFonts w:ascii="Arial" w:hAnsi="Arial" w:cs="Arial"/>
        </w:rPr>
        <w:t>to identify</w:t>
      </w:r>
      <w:r w:rsidR="00271426" w:rsidRPr="00FA0B3B">
        <w:rPr>
          <w:rFonts w:ascii="Arial" w:hAnsi="Arial" w:cs="Arial"/>
        </w:rPr>
        <w:t xml:space="preserve"> </w:t>
      </w:r>
      <w:r w:rsidR="00D87A60" w:rsidRPr="00FA0B3B">
        <w:rPr>
          <w:rFonts w:ascii="Arial" w:hAnsi="Arial" w:cs="Arial"/>
        </w:rPr>
        <w:t>bedaquiline resistance</w:t>
      </w:r>
      <w:r w:rsidR="009C10C4">
        <w:rPr>
          <w:rFonts w:ascii="Arial" w:hAnsi="Arial" w:cs="Arial"/>
        </w:rPr>
        <w:t xml:space="preserve"> </w:t>
      </w:r>
      <w:r w:rsidR="000F2272">
        <w:rPr>
          <w:rFonts w:ascii="Arial" w:hAnsi="Arial" w:cs="Arial"/>
        </w:rPr>
        <w:t>as well as re-evaluation of phenotypic DST critical concentrations</w:t>
      </w:r>
      <w:r w:rsidR="00D13337">
        <w:rPr>
          <w:rFonts w:ascii="Arial" w:hAnsi="Arial" w:cs="Arial"/>
        </w:rPr>
        <w:t>. This report also r</w:t>
      </w:r>
      <w:r w:rsidR="00D13337" w:rsidRPr="00FA0B3B">
        <w:rPr>
          <w:rFonts w:ascii="Arial" w:hAnsi="Arial" w:cs="Arial"/>
        </w:rPr>
        <w:t>aise</w:t>
      </w:r>
      <w:r w:rsidR="00D13337">
        <w:rPr>
          <w:rFonts w:ascii="Arial" w:hAnsi="Arial" w:cs="Arial"/>
        </w:rPr>
        <w:t>s</w:t>
      </w:r>
      <w:r w:rsidR="00D13337" w:rsidRPr="00FA0B3B">
        <w:rPr>
          <w:rFonts w:ascii="Arial" w:hAnsi="Arial" w:cs="Arial"/>
        </w:rPr>
        <w:t xml:space="preserve"> concerns </w:t>
      </w:r>
      <w:r w:rsidR="006070E0">
        <w:rPr>
          <w:rFonts w:ascii="Arial" w:hAnsi="Arial" w:cs="Arial"/>
        </w:rPr>
        <w:t>surrounding</w:t>
      </w:r>
      <w:r w:rsidR="006070E0" w:rsidRPr="00FA0B3B">
        <w:rPr>
          <w:rFonts w:ascii="Arial" w:hAnsi="Arial" w:cs="Arial"/>
        </w:rPr>
        <w:t xml:space="preserve"> </w:t>
      </w:r>
      <w:r w:rsidR="00D13337">
        <w:rPr>
          <w:rFonts w:ascii="Arial" w:hAnsi="Arial" w:cs="Arial"/>
        </w:rPr>
        <w:t xml:space="preserve">the overall strategy of empiric treatment regimens for DR-TB, even when constructed with novel </w:t>
      </w:r>
      <w:r w:rsidR="00830475">
        <w:rPr>
          <w:rFonts w:ascii="Arial" w:hAnsi="Arial" w:cs="Arial"/>
        </w:rPr>
        <w:t>a</w:t>
      </w:r>
      <w:r w:rsidR="00D13337">
        <w:rPr>
          <w:rFonts w:ascii="Arial" w:hAnsi="Arial" w:cs="Arial"/>
        </w:rPr>
        <w:t>gents,</w:t>
      </w:r>
      <w:r w:rsidR="00D13337" w:rsidRPr="00FA0B3B">
        <w:rPr>
          <w:rFonts w:ascii="Arial" w:hAnsi="Arial" w:cs="Arial"/>
        </w:rPr>
        <w:t xml:space="preserve"> </w:t>
      </w:r>
      <w:r w:rsidR="00D13337">
        <w:rPr>
          <w:rFonts w:ascii="Arial" w:hAnsi="Arial" w:cs="Arial"/>
        </w:rPr>
        <w:t>and</w:t>
      </w:r>
      <w:r w:rsidR="00271426">
        <w:rPr>
          <w:rFonts w:ascii="Arial" w:hAnsi="Arial" w:cs="Arial"/>
        </w:rPr>
        <w:t xml:space="preserve"> </w:t>
      </w:r>
      <w:r w:rsidR="00D13337">
        <w:rPr>
          <w:rFonts w:ascii="Arial" w:hAnsi="Arial" w:cs="Arial"/>
        </w:rPr>
        <w:t>suggests individuali</w:t>
      </w:r>
      <w:r w:rsidR="00230270">
        <w:rPr>
          <w:rFonts w:ascii="Arial" w:hAnsi="Arial" w:cs="Arial"/>
        </w:rPr>
        <w:t>s</w:t>
      </w:r>
      <w:r w:rsidR="00D13337">
        <w:rPr>
          <w:rFonts w:ascii="Arial" w:hAnsi="Arial" w:cs="Arial"/>
        </w:rPr>
        <w:t>ed treatment regimens</w:t>
      </w:r>
      <w:r w:rsidR="006070E0">
        <w:rPr>
          <w:rFonts w:ascii="Arial" w:hAnsi="Arial" w:cs="Arial"/>
        </w:rPr>
        <w:t>,</w:t>
      </w:r>
      <w:r w:rsidR="00D13337">
        <w:rPr>
          <w:rFonts w:ascii="Arial" w:hAnsi="Arial" w:cs="Arial"/>
        </w:rPr>
        <w:t xml:space="preserve"> guided by sequencing </w:t>
      </w:r>
      <w:r w:rsidR="000F2272">
        <w:rPr>
          <w:rFonts w:ascii="Arial" w:hAnsi="Arial" w:cs="Arial"/>
        </w:rPr>
        <w:t xml:space="preserve">may be </w:t>
      </w:r>
      <w:r w:rsidR="00CF6EA0">
        <w:rPr>
          <w:rFonts w:ascii="Arial" w:hAnsi="Arial" w:cs="Arial"/>
        </w:rPr>
        <w:t xml:space="preserve">required </w:t>
      </w:r>
      <w:r w:rsidR="00D13337">
        <w:rPr>
          <w:rFonts w:ascii="Arial" w:hAnsi="Arial" w:cs="Arial"/>
        </w:rPr>
        <w:t>to</w:t>
      </w:r>
      <w:r w:rsidR="00271426">
        <w:rPr>
          <w:rFonts w:ascii="Arial" w:hAnsi="Arial" w:cs="Arial"/>
        </w:rPr>
        <w:t xml:space="preserve"> achieve </w:t>
      </w:r>
      <w:r w:rsidR="00CF6EA0">
        <w:rPr>
          <w:rFonts w:ascii="Arial" w:hAnsi="Arial" w:cs="Arial"/>
        </w:rPr>
        <w:t>optimal</w:t>
      </w:r>
      <w:r w:rsidR="000F2272">
        <w:rPr>
          <w:rFonts w:ascii="Arial" w:hAnsi="Arial" w:cs="Arial"/>
        </w:rPr>
        <w:t xml:space="preserve"> treatment</w:t>
      </w:r>
      <w:r w:rsidR="00CF6EA0">
        <w:rPr>
          <w:rFonts w:ascii="Arial" w:hAnsi="Arial" w:cs="Arial"/>
        </w:rPr>
        <w:t xml:space="preserve"> </w:t>
      </w:r>
      <w:r w:rsidR="00271426">
        <w:rPr>
          <w:rFonts w:ascii="Arial" w:hAnsi="Arial" w:cs="Arial"/>
        </w:rPr>
        <w:t xml:space="preserve">outcomes </w:t>
      </w:r>
      <w:r w:rsidR="000F2272">
        <w:rPr>
          <w:rFonts w:ascii="Arial" w:hAnsi="Arial" w:cs="Arial"/>
        </w:rPr>
        <w:t xml:space="preserve">in all patients </w:t>
      </w:r>
      <w:r w:rsidR="00271426">
        <w:rPr>
          <w:rFonts w:ascii="Arial" w:hAnsi="Arial" w:cs="Arial"/>
        </w:rPr>
        <w:t xml:space="preserve">and prevent </w:t>
      </w:r>
      <w:r w:rsidR="000F2272">
        <w:rPr>
          <w:rFonts w:ascii="Arial" w:hAnsi="Arial" w:cs="Arial"/>
        </w:rPr>
        <w:t xml:space="preserve">the emergence </w:t>
      </w:r>
      <w:r w:rsidR="00271426">
        <w:rPr>
          <w:rFonts w:ascii="Arial" w:hAnsi="Arial" w:cs="Arial"/>
        </w:rPr>
        <w:t>of bedaquiline resistant DR-TB strains</w:t>
      </w:r>
      <w:r w:rsidRPr="00FA0B3B">
        <w:rPr>
          <w:rFonts w:ascii="Arial" w:hAnsi="Arial" w:cs="Arial"/>
        </w:rPr>
        <w:t>.</w:t>
      </w:r>
      <w:r w:rsidR="0047753B">
        <w:rPr>
          <w:rFonts w:ascii="Arial" w:hAnsi="Arial" w:cs="Arial"/>
        </w:rPr>
        <w:br w:type="page"/>
      </w:r>
    </w:p>
    <w:p w14:paraId="232CCD2D" w14:textId="77777777" w:rsidR="00EA1A85" w:rsidRDefault="0047753B" w:rsidP="00EA1A85">
      <w:pPr>
        <w:pStyle w:val="Heading1"/>
      </w:pPr>
      <w:r>
        <w:lastRenderedPageBreak/>
        <w:t>References</w:t>
      </w:r>
    </w:p>
    <w:p w14:paraId="3436F511" w14:textId="645EC808" w:rsidR="00FB721D" w:rsidRPr="00EA1A85" w:rsidRDefault="00E93E63" w:rsidP="00EA1A85">
      <w:pPr>
        <w:rPr>
          <w:rFonts w:asciiTheme="majorHAnsi" w:hAnsiTheme="majorHAnsi" w:cstheme="majorBidi"/>
        </w:rPr>
      </w:pPr>
      <w:r w:rsidRPr="00FA0B3B">
        <w:t> </w:t>
      </w:r>
    </w:p>
    <w:sdt>
      <w:sdtPr>
        <w:rPr>
          <w:rFonts w:ascii="Arial" w:hAnsi="Arial" w:cs="Arial"/>
        </w:rPr>
        <w:tag w:val="MENDELEY_BIBLIOGRAPHY"/>
        <w:id w:val="-1562477745"/>
        <w:placeholder>
          <w:docPart w:val="DefaultPlaceholder_-1854013440"/>
        </w:placeholder>
      </w:sdtPr>
      <w:sdtEndPr/>
      <w:sdtContent>
        <w:p w14:paraId="0D72FBA2" w14:textId="14F31CEB" w:rsidR="008C566B" w:rsidRDefault="008C566B">
          <w:pPr>
            <w:autoSpaceDE w:val="0"/>
            <w:autoSpaceDN w:val="0"/>
            <w:ind w:hanging="640"/>
            <w:divId w:val="248739404"/>
            <w:rPr>
              <w:rFonts w:eastAsia="Times New Roman"/>
            </w:rPr>
          </w:pPr>
          <w:r>
            <w:rPr>
              <w:rFonts w:eastAsia="Times New Roman"/>
            </w:rPr>
            <w:t>1.         World Health Organization. Global Tuberculosis Report. Geneva; 2019.</w:t>
          </w:r>
          <w:r w:rsidR="00933152">
            <w:rPr>
              <w:rFonts w:eastAsia="Times New Roman"/>
            </w:rPr>
            <w:t xml:space="preserve"> Available from: </w:t>
          </w:r>
          <w:r w:rsidR="003B56B1" w:rsidRPr="003B56B1">
            <w:rPr>
              <w:rFonts w:eastAsia="Times New Roman"/>
            </w:rPr>
            <w:t>https://apps.who.int/iris/bitstream/handle/10665/329368/9789241565714-eng.pdf?ua=1</w:t>
          </w:r>
        </w:p>
        <w:p w14:paraId="0F2C262F" w14:textId="77777777" w:rsidR="008C566B" w:rsidRDefault="008C566B">
          <w:pPr>
            <w:autoSpaceDE w:val="0"/>
            <w:autoSpaceDN w:val="0"/>
            <w:ind w:hanging="640"/>
            <w:divId w:val="1749886661"/>
            <w:rPr>
              <w:rFonts w:eastAsia="Times New Roman"/>
            </w:rPr>
          </w:pPr>
          <w:r>
            <w:rPr>
              <w:rFonts w:eastAsia="Times New Roman"/>
            </w:rPr>
            <w:t>2.         </w:t>
          </w:r>
          <w:proofErr w:type="spellStart"/>
          <w:r>
            <w:rPr>
              <w:rFonts w:eastAsia="Times New Roman"/>
            </w:rPr>
            <w:t>Schnippel</w:t>
          </w:r>
          <w:proofErr w:type="spellEnd"/>
          <w:r>
            <w:rPr>
              <w:rFonts w:eastAsia="Times New Roman"/>
            </w:rPr>
            <w:t xml:space="preserve"> K, </w:t>
          </w:r>
          <w:proofErr w:type="spellStart"/>
          <w:r>
            <w:rPr>
              <w:rFonts w:eastAsia="Times New Roman"/>
            </w:rPr>
            <w:t>Ndjeka</w:t>
          </w:r>
          <w:proofErr w:type="spellEnd"/>
          <w:r>
            <w:rPr>
              <w:rFonts w:eastAsia="Times New Roman"/>
            </w:rPr>
            <w:t xml:space="preserve"> N, </w:t>
          </w:r>
          <w:proofErr w:type="spellStart"/>
          <w:r>
            <w:rPr>
              <w:rFonts w:eastAsia="Times New Roman"/>
            </w:rPr>
            <w:t>Maartens</w:t>
          </w:r>
          <w:proofErr w:type="spellEnd"/>
          <w:r>
            <w:rPr>
              <w:rFonts w:eastAsia="Times New Roman"/>
            </w:rPr>
            <w:t xml:space="preserve"> G, </w:t>
          </w:r>
          <w:proofErr w:type="spellStart"/>
          <w:r>
            <w:rPr>
              <w:rFonts w:eastAsia="Times New Roman"/>
            </w:rPr>
            <w:t>Meintjes</w:t>
          </w:r>
          <w:proofErr w:type="spellEnd"/>
          <w:r>
            <w:rPr>
              <w:rFonts w:eastAsia="Times New Roman"/>
            </w:rPr>
            <w:t xml:space="preserve"> G, Master I, Ismail N, Hughes J, Ferreira H, </w:t>
          </w:r>
          <w:proofErr w:type="spellStart"/>
          <w:r>
            <w:rPr>
              <w:rFonts w:eastAsia="Times New Roman"/>
            </w:rPr>
            <w:t>Padanilam</w:t>
          </w:r>
          <w:proofErr w:type="spellEnd"/>
          <w:r>
            <w:rPr>
              <w:rFonts w:eastAsia="Times New Roman"/>
            </w:rPr>
            <w:t xml:space="preserve"> X, Romero R, </w:t>
          </w:r>
          <w:proofErr w:type="spellStart"/>
          <w:r>
            <w:rPr>
              <w:rFonts w:eastAsia="Times New Roman"/>
            </w:rPr>
            <w:t>te</w:t>
          </w:r>
          <w:proofErr w:type="spellEnd"/>
          <w:r>
            <w:rPr>
              <w:rFonts w:eastAsia="Times New Roman"/>
            </w:rPr>
            <w:t xml:space="preserve"> </w:t>
          </w:r>
          <w:proofErr w:type="spellStart"/>
          <w:r>
            <w:rPr>
              <w:rFonts w:eastAsia="Times New Roman"/>
            </w:rPr>
            <w:t>Riele</w:t>
          </w:r>
          <w:proofErr w:type="spellEnd"/>
          <w:r>
            <w:rPr>
              <w:rFonts w:eastAsia="Times New Roman"/>
            </w:rPr>
            <w:t xml:space="preserve"> J, Conradie F. Effect of bedaquiline on mortality in South African patients with drug-resistant tuberculosis: a retrospective cohort study. </w:t>
          </w:r>
          <w:r>
            <w:rPr>
              <w:rFonts w:eastAsia="Times New Roman"/>
              <w:i/>
              <w:iCs/>
            </w:rPr>
            <w:t>The Lancet Respiratory Medicine</w:t>
          </w:r>
          <w:r>
            <w:rPr>
              <w:rFonts w:eastAsia="Times New Roman"/>
            </w:rPr>
            <w:t xml:space="preserve"> 2018; 6: 699–706.</w:t>
          </w:r>
        </w:p>
        <w:p w14:paraId="2BC1929F" w14:textId="77777777" w:rsidR="008C566B" w:rsidRDefault="008C566B">
          <w:pPr>
            <w:autoSpaceDE w:val="0"/>
            <w:autoSpaceDN w:val="0"/>
            <w:ind w:hanging="640"/>
            <w:divId w:val="1485005666"/>
            <w:rPr>
              <w:rFonts w:eastAsia="Times New Roman"/>
            </w:rPr>
          </w:pPr>
          <w:r>
            <w:rPr>
              <w:rFonts w:eastAsia="Times New Roman"/>
            </w:rPr>
            <w:t xml:space="preserve">3.         Borisov SE, </w:t>
          </w:r>
          <w:proofErr w:type="spellStart"/>
          <w:r>
            <w:rPr>
              <w:rFonts w:eastAsia="Times New Roman"/>
            </w:rPr>
            <w:t>Dheda</w:t>
          </w:r>
          <w:proofErr w:type="spellEnd"/>
          <w:r>
            <w:rPr>
              <w:rFonts w:eastAsia="Times New Roman"/>
            </w:rPr>
            <w:t xml:space="preserve"> K, </w:t>
          </w:r>
          <w:proofErr w:type="spellStart"/>
          <w:r>
            <w:rPr>
              <w:rFonts w:eastAsia="Times New Roman"/>
            </w:rPr>
            <w:t>Enwerem</w:t>
          </w:r>
          <w:proofErr w:type="spellEnd"/>
          <w:r>
            <w:rPr>
              <w:rFonts w:eastAsia="Times New Roman"/>
            </w:rPr>
            <w:t xml:space="preserve"> M, </w:t>
          </w:r>
          <w:proofErr w:type="spellStart"/>
          <w:r>
            <w:rPr>
              <w:rFonts w:eastAsia="Times New Roman"/>
            </w:rPr>
            <w:t>Leyet</w:t>
          </w:r>
          <w:proofErr w:type="spellEnd"/>
          <w:r>
            <w:rPr>
              <w:rFonts w:eastAsia="Times New Roman"/>
            </w:rPr>
            <w:t xml:space="preserve"> RR, </w:t>
          </w:r>
          <w:proofErr w:type="spellStart"/>
          <w:r>
            <w:rPr>
              <w:rFonts w:eastAsia="Times New Roman"/>
            </w:rPr>
            <w:t>D’Ambrosio</w:t>
          </w:r>
          <w:proofErr w:type="spellEnd"/>
          <w:r>
            <w:rPr>
              <w:rFonts w:eastAsia="Times New Roman"/>
            </w:rPr>
            <w:t xml:space="preserve"> L, </w:t>
          </w:r>
          <w:proofErr w:type="spellStart"/>
          <w:r>
            <w:rPr>
              <w:rFonts w:eastAsia="Times New Roman"/>
            </w:rPr>
            <w:t>Centis</w:t>
          </w:r>
          <w:proofErr w:type="spellEnd"/>
          <w:r>
            <w:rPr>
              <w:rFonts w:eastAsia="Times New Roman"/>
            </w:rPr>
            <w:t xml:space="preserve"> R, </w:t>
          </w:r>
          <w:proofErr w:type="spellStart"/>
          <w:r>
            <w:rPr>
              <w:rFonts w:eastAsia="Times New Roman"/>
            </w:rPr>
            <w:t>Sotgiu</w:t>
          </w:r>
          <w:proofErr w:type="spellEnd"/>
          <w:r>
            <w:rPr>
              <w:rFonts w:eastAsia="Times New Roman"/>
            </w:rPr>
            <w:t xml:space="preserve"> G, </w:t>
          </w:r>
          <w:proofErr w:type="spellStart"/>
          <w:r>
            <w:rPr>
              <w:rFonts w:eastAsia="Times New Roman"/>
            </w:rPr>
            <w:t>Tiberi</w:t>
          </w:r>
          <w:proofErr w:type="spellEnd"/>
          <w:r>
            <w:rPr>
              <w:rFonts w:eastAsia="Times New Roman"/>
            </w:rPr>
            <w:t xml:space="preserve"> S, </w:t>
          </w:r>
          <w:proofErr w:type="spellStart"/>
          <w:r>
            <w:rPr>
              <w:rFonts w:eastAsia="Times New Roman"/>
            </w:rPr>
            <w:t>Alffenaar</w:t>
          </w:r>
          <w:proofErr w:type="spellEnd"/>
          <w:r>
            <w:rPr>
              <w:rFonts w:eastAsia="Times New Roman"/>
            </w:rPr>
            <w:t xml:space="preserve"> JW, </w:t>
          </w:r>
          <w:proofErr w:type="spellStart"/>
          <w:r>
            <w:rPr>
              <w:rFonts w:eastAsia="Times New Roman"/>
            </w:rPr>
            <w:t>Maryandyshev</w:t>
          </w:r>
          <w:proofErr w:type="spellEnd"/>
          <w:r>
            <w:rPr>
              <w:rFonts w:eastAsia="Times New Roman"/>
            </w:rPr>
            <w:t xml:space="preserve"> A, </w:t>
          </w:r>
          <w:proofErr w:type="spellStart"/>
          <w:r>
            <w:rPr>
              <w:rFonts w:eastAsia="Times New Roman"/>
            </w:rPr>
            <w:t>Belilovski</w:t>
          </w:r>
          <w:proofErr w:type="spellEnd"/>
          <w:r>
            <w:rPr>
              <w:rFonts w:eastAsia="Times New Roman"/>
            </w:rPr>
            <w:t xml:space="preserve"> E, Ganatra S, </w:t>
          </w:r>
          <w:proofErr w:type="spellStart"/>
          <w:r>
            <w:rPr>
              <w:rFonts w:eastAsia="Times New Roman"/>
            </w:rPr>
            <w:t>Skrahina</w:t>
          </w:r>
          <w:proofErr w:type="spellEnd"/>
          <w:r>
            <w:rPr>
              <w:rFonts w:eastAsia="Times New Roman"/>
            </w:rPr>
            <w:t xml:space="preserve"> A, </w:t>
          </w:r>
          <w:proofErr w:type="spellStart"/>
          <w:r>
            <w:rPr>
              <w:rFonts w:eastAsia="Times New Roman"/>
            </w:rPr>
            <w:t>Akkerman</w:t>
          </w:r>
          <w:proofErr w:type="spellEnd"/>
          <w:r>
            <w:rPr>
              <w:rFonts w:eastAsia="Times New Roman"/>
            </w:rPr>
            <w:t xml:space="preserve"> O, </w:t>
          </w:r>
          <w:proofErr w:type="spellStart"/>
          <w:r>
            <w:rPr>
              <w:rFonts w:eastAsia="Times New Roman"/>
            </w:rPr>
            <w:t>Aleksa</w:t>
          </w:r>
          <w:proofErr w:type="spellEnd"/>
          <w:r>
            <w:rPr>
              <w:rFonts w:eastAsia="Times New Roman"/>
            </w:rPr>
            <w:t xml:space="preserve"> A, </w:t>
          </w:r>
          <w:proofErr w:type="spellStart"/>
          <w:r>
            <w:rPr>
              <w:rFonts w:eastAsia="Times New Roman"/>
            </w:rPr>
            <w:t>Amale</w:t>
          </w:r>
          <w:proofErr w:type="spellEnd"/>
          <w:r>
            <w:rPr>
              <w:rFonts w:eastAsia="Times New Roman"/>
            </w:rPr>
            <w:t xml:space="preserve"> R, </w:t>
          </w:r>
          <w:proofErr w:type="spellStart"/>
          <w:r>
            <w:rPr>
              <w:rFonts w:eastAsia="Times New Roman"/>
            </w:rPr>
            <w:t>Artsukevich</w:t>
          </w:r>
          <w:proofErr w:type="spellEnd"/>
          <w:r>
            <w:rPr>
              <w:rFonts w:eastAsia="Times New Roman"/>
            </w:rPr>
            <w:t xml:space="preserve"> J, </w:t>
          </w:r>
          <w:proofErr w:type="spellStart"/>
          <w:r>
            <w:rPr>
              <w:rFonts w:eastAsia="Times New Roman"/>
            </w:rPr>
            <w:t>Bruchfeld</w:t>
          </w:r>
          <w:proofErr w:type="spellEnd"/>
          <w:r>
            <w:rPr>
              <w:rFonts w:eastAsia="Times New Roman"/>
            </w:rPr>
            <w:t xml:space="preserve"> J, </w:t>
          </w:r>
          <w:proofErr w:type="spellStart"/>
          <w:r>
            <w:rPr>
              <w:rFonts w:eastAsia="Times New Roman"/>
            </w:rPr>
            <w:t>Caminero</w:t>
          </w:r>
          <w:proofErr w:type="spellEnd"/>
          <w:r>
            <w:rPr>
              <w:rFonts w:eastAsia="Times New Roman"/>
            </w:rPr>
            <w:t xml:space="preserve"> JA, Martinez IC, </w:t>
          </w:r>
          <w:proofErr w:type="spellStart"/>
          <w:r>
            <w:rPr>
              <w:rFonts w:eastAsia="Times New Roman"/>
            </w:rPr>
            <w:t>Codecasa</w:t>
          </w:r>
          <w:proofErr w:type="spellEnd"/>
          <w:r>
            <w:rPr>
              <w:rFonts w:eastAsia="Times New Roman"/>
            </w:rPr>
            <w:t xml:space="preserve"> L, </w:t>
          </w:r>
          <w:proofErr w:type="spellStart"/>
          <w:r>
            <w:rPr>
              <w:rFonts w:eastAsia="Times New Roman"/>
            </w:rPr>
            <w:t>Dalcolmo</w:t>
          </w:r>
          <w:proofErr w:type="spellEnd"/>
          <w:r>
            <w:rPr>
              <w:rFonts w:eastAsia="Times New Roman"/>
            </w:rPr>
            <w:t xml:space="preserve"> M, Denholm J, Douglas P, Duarte R, </w:t>
          </w:r>
          <w:proofErr w:type="spellStart"/>
          <w:r>
            <w:rPr>
              <w:rFonts w:eastAsia="Times New Roman"/>
            </w:rPr>
            <w:t>Esmail</w:t>
          </w:r>
          <w:proofErr w:type="spellEnd"/>
          <w:r>
            <w:rPr>
              <w:rFonts w:eastAsia="Times New Roman"/>
            </w:rPr>
            <w:t xml:space="preserve"> A, </w:t>
          </w:r>
          <w:proofErr w:type="spellStart"/>
          <w:r>
            <w:rPr>
              <w:rFonts w:eastAsia="Times New Roman"/>
            </w:rPr>
            <w:t>Fadul</w:t>
          </w:r>
          <w:proofErr w:type="spellEnd"/>
          <w:r>
            <w:rPr>
              <w:rFonts w:eastAsia="Times New Roman"/>
            </w:rPr>
            <w:t xml:space="preserve"> M, </w:t>
          </w:r>
          <w:proofErr w:type="spellStart"/>
          <w:r>
            <w:rPr>
              <w:rFonts w:eastAsia="Times New Roman"/>
            </w:rPr>
            <w:t>Filippov</w:t>
          </w:r>
          <w:proofErr w:type="spellEnd"/>
          <w:r>
            <w:rPr>
              <w:rFonts w:eastAsia="Times New Roman"/>
            </w:rPr>
            <w:t xml:space="preserve"> A, Forsman LD, Gaga M, et al. Effectiveness and safety of </w:t>
          </w:r>
          <w:proofErr w:type="spellStart"/>
          <w:r>
            <w:rPr>
              <w:rFonts w:eastAsia="Times New Roman"/>
            </w:rPr>
            <w:t>bedaquilinecontaining</w:t>
          </w:r>
          <w:proofErr w:type="spellEnd"/>
          <w:r>
            <w:rPr>
              <w:rFonts w:eastAsia="Times New Roman"/>
            </w:rPr>
            <w:t xml:space="preserve"> regimens in the treatment of MDR- and XDR-TB: A multicentre study. </w:t>
          </w:r>
          <w:r>
            <w:rPr>
              <w:rFonts w:eastAsia="Times New Roman"/>
              <w:i/>
              <w:iCs/>
            </w:rPr>
            <w:t>European Respiratory Journal</w:t>
          </w:r>
          <w:r>
            <w:rPr>
              <w:rFonts w:eastAsia="Times New Roman"/>
            </w:rPr>
            <w:t xml:space="preserve"> 2017; 49.</w:t>
          </w:r>
        </w:p>
        <w:p w14:paraId="3C22A46B" w14:textId="51117E3A" w:rsidR="008C566B" w:rsidRDefault="008C566B">
          <w:pPr>
            <w:autoSpaceDE w:val="0"/>
            <w:autoSpaceDN w:val="0"/>
            <w:ind w:hanging="640"/>
            <w:divId w:val="1450469365"/>
            <w:rPr>
              <w:rFonts w:eastAsia="Times New Roman"/>
            </w:rPr>
          </w:pPr>
          <w:r>
            <w:rPr>
              <w:rFonts w:eastAsia="Times New Roman"/>
            </w:rPr>
            <w:t>4.         </w:t>
          </w:r>
          <w:r w:rsidR="00933152">
            <w:rPr>
              <w:rFonts w:eastAsia="Times New Roman"/>
            </w:rPr>
            <w:t xml:space="preserve">World Health Organization. </w:t>
          </w:r>
          <w:r>
            <w:rPr>
              <w:rFonts w:eastAsia="Times New Roman"/>
            </w:rPr>
            <w:t xml:space="preserve">WHO consolidated guidelines on drug-resistant tuberculosis </w:t>
          </w:r>
          <w:proofErr w:type="gramStart"/>
          <w:r>
            <w:rPr>
              <w:rFonts w:eastAsia="Times New Roman"/>
            </w:rPr>
            <w:t>treatment.</w:t>
          </w:r>
          <w:proofErr w:type="gramEnd"/>
          <w:r>
            <w:rPr>
              <w:rFonts w:eastAsia="Times New Roman"/>
            </w:rPr>
            <w:t xml:space="preserve"> Geneva; 2019.</w:t>
          </w:r>
          <w:r w:rsidR="00933152">
            <w:rPr>
              <w:rFonts w:eastAsia="Times New Roman"/>
            </w:rPr>
            <w:t xml:space="preserve"> Available from: </w:t>
          </w:r>
          <w:r w:rsidR="00C43B1E" w:rsidRPr="00C43B1E">
            <w:rPr>
              <w:rFonts w:eastAsia="Times New Roman"/>
            </w:rPr>
            <w:t>https://apps.who.int/iris/bitstream/handle/10665/311389/9789241550529-eng.pdf?ua=1</w:t>
          </w:r>
        </w:p>
        <w:p w14:paraId="180A81BA" w14:textId="6F8F57E7" w:rsidR="008C566B" w:rsidRDefault="008C566B">
          <w:pPr>
            <w:autoSpaceDE w:val="0"/>
            <w:autoSpaceDN w:val="0"/>
            <w:ind w:hanging="640"/>
            <w:divId w:val="1055664600"/>
            <w:rPr>
              <w:rFonts w:eastAsia="Times New Roman"/>
            </w:rPr>
          </w:pPr>
          <w:r>
            <w:rPr>
              <w:rFonts w:eastAsia="Times New Roman"/>
            </w:rPr>
            <w:t>5.         </w:t>
          </w:r>
          <w:proofErr w:type="spellStart"/>
          <w:r>
            <w:rPr>
              <w:rFonts w:eastAsia="Times New Roman"/>
            </w:rPr>
            <w:t>Bloemberg</w:t>
          </w:r>
          <w:proofErr w:type="spellEnd"/>
          <w:r>
            <w:rPr>
              <w:rFonts w:eastAsia="Times New Roman"/>
            </w:rPr>
            <w:t xml:space="preserve"> G v, Keller PM, Stucki D, </w:t>
          </w:r>
          <w:proofErr w:type="spellStart"/>
          <w:r>
            <w:rPr>
              <w:rFonts w:eastAsia="Times New Roman"/>
            </w:rPr>
            <w:t>Trauner</w:t>
          </w:r>
          <w:proofErr w:type="spellEnd"/>
          <w:r>
            <w:rPr>
              <w:rFonts w:eastAsia="Times New Roman"/>
            </w:rPr>
            <w:t xml:space="preserve"> A, Borrell S, </w:t>
          </w:r>
          <w:proofErr w:type="spellStart"/>
          <w:r>
            <w:rPr>
              <w:rFonts w:eastAsia="Times New Roman"/>
            </w:rPr>
            <w:t>Latshang</w:t>
          </w:r>
          <w:proofErr w:type="spellEnd"/>
          <w:r>
            <w:rPr>
              <w:rFonts w:eastAsia="Times New Roman"/>
            </w:rPr>
            <w:t xml:space="preserve"> T, </w:t>
          </w:r>
          <w:proofErr w:type="spellStart"/>
          <w:r>
            <w:rPr>
              <w:rFonts w:eastAsia="Times New Roman"/>
            </w:rPr>
            <w:t>Coscolla</w:t>
          </w:r>
          <w:proofErr w:type="spellEnd"/>
          <w:r>
            <w:rPr>
              <w:rFonts w:eastAsia="Times New Roman"/>
            </w:rPr>
            <w:t xml:space="preserve"> M, </w:t>
          </w:r>
          <w:proofErr w:type="spellStart"/>
          <w:r>
            <w:rPr>
              <w:rFonts w:eastAsia="Times New Roman"/>
            </w:rPr>
            <w:t>Rothe</w:t>
          </w:r>
          <w:proofErr w:type="spellEnd"/>
          <w:r>
            <w:rPr>
              <w:rFonts w:eastAsia="Times New Roman"/>
            </w:rPr>
            <w:t xml:space="preserve"> T, </w:t>
          </w:r>
          <w:proofErr w:type="spellStart"/>
          <w:r>
            <w:rPr>
              <w:rFonts w:eastAsia="Times New Roman"/>
            </w:rPr>
            <w:t>Hömke</w:t>
          </w:r>
          <w:proofErr w:type="spellEnd"/>
          <w:r>
            <w:rPr>
              <w:rFonts w:eastAsia="Times New Roman"/>
            </w:rPr>
            <w:t xml:space="preserve"> R, Ritter C, Feldmann J, </w:t>
          </w:r>
          <w:proofErr w:type="spellStart"/>
          <w:r>
            <w:rPr>
              <w:rFonts w:eastAsia="Times New Roman"/>
            </w:rPr>
            <w:t>Schulthess</w:t>
          </w:r>
          <w:proofErr w:type="spellEnd"/>
          <w:r>
            <w:rPr>
              <w:rFonts w:eastAsia="Times New Roman"/>
            </w:rPr>
            <w:t xml:space="preserve"> B, </w:t>
          </w:r>
          <w:proofErr w:type="spellStart"/>
          <w:r>
            <w:rPr>
              <w:rFonts w:eastAsia="Times New Roman"/>
            </w:rPr>
            <w:t>Gagneux</w:t>
          </w:r>
          <w:proofErr w:type="spellEnd"/>
          <w:r>
            <w:rPr>
              <w:rFonts w:eastAsia="Times New Roman"/>
            </w:rPr>
            <w:t xml:space="preserve"> S, </w:t>
          </w:r>
          <w:proofErr w:type="spellStart"/>
          <w:r>
            <w:rPr>
              <w:rFonts w:eastAsia="Times New Roman"/>
            </w:rPr>
            <w:t>Böttger</w:t>
          </w:r>
          <w:proofErr w:type="spellEnd"/>
          <w:r>
            <w:rPr>
              <w:rFonts w:eastAsia="Times New Roman"/>
            </w:rPr>
            <w:t xml:space="preserve"> EC. Acquired Resistance to Bedaquiline and Delamanid in Therapy for Tuberculosis. </w:t>
          </w:r>
          <w:r>
            <w:rPr>
              <w:rFonts w:eastAsia="Times New Roman"/>
              <w:i/>
              <w:iCs/>
            </w:rPr>
            <w:t>New England Journal of Medicine</w:t>
          </w:r>
          <w:r>
            <w:rPr>
              <w:rFonts w:eastAsia="Times New Roman"/>
            </w:rPr>
            <w:t xml:space="preserve"> Massachusetts Medical Society; 2015; 373: 1986–1988.</w:t>
          </w:r>
        </w:p>
        <w:p w14:paraId="661F82C7" w14:textId="77777777" w:rsidR="008C566B" w:rsidRDefault="008C566B">
          <w:pPr>
            <w:autoSpaceDE w:val="0"/>
            <w:autoSpaceDN w:val="0"/>
            <w:ind w:hanging="640"/>
            <w:divId w:val="1440837980"/>
            <w:rPr>
              <w:rFonts w:eastAsia="Times New Roman"/>
            </w:rPr>
          </w:pPr>
          <w:r>
            <w:rPr>
              <w:rFonts w:eastAsia="Times New Roman"/>
            </w:rPr>
            <w:t xml:space="preserve">6.         Xu J, Wang B, Hu M, </w:t>
          </w:r>
          <w:proofErr w:type="spellStart"/>
          <w:r>
            <w:rPr>
              <w:rFonts w:eastAsia="Times New Roman"/>
            </w:rPr>
            <w:t>Huo</w:t>
          </w:r>
          <w:proofErr w:type="spellEnd"/>
          <w:r>
            <w:rPr>
              <w:rFonts w:eastAsia="Times New Roman"/>
            </w:rPr>
            <w:t xml:space="preserve"> F, Guo S, Jing W, </w:t>
          </w:r>
          <w:proofErr w:type="spellStart"/>
          <w:r>
            <w:rPr>
              <w:rFonts w:eastAsia="Times New Roman"/>
            </w:rPr>
            <w:t>Nuermberger</w:t>
          </w:r>
          <w:proofErr w:type="spellEnd"/>
          <w:r>
            <w:rPr>
              <w:rFonts w:eastAsia="Times New Roman"/>
            </w:rPr>
            <w:t xml:space="preserve"> E, Lu Y. Primary Clofazimine and Bedaquiline Resistance among Isolates from Patients with Multidrug-Resistant Tuberculosis. </w:t>
          </w:r>
          <w:r>
            <w:rPr>
              <w:rFonts w:eastAsia="Times New Roman"/>
              <w:i/>
              <w:iCs/>
            </w:rPr>
            <w:t>Antimicrobial Agents and Chemotherapy</w:t>
          </w:r>
          <w:r>
            <w:rPr>
              <w:rFonts w:eastAsia="Times New Roman"/>
            </w:rPr>
            <w:t xml:space="preserve"> 2017; 61: e00239–17.</w:t>
          </w:r>
        </w:p>
        <w:p w14:paraId="61E8EDB3" w14:textId="77777777" w:rsidR="008C566B" w:rsidRDefault="008C566B">
          <w:pPr>
            <w:autoSpaceDE w:val="0"/>
            <w:autoSpaceDN w:val="0"/>
            <w:ind w:hanging="640"/>
            <w:divId w:val="154879757"/>
            <w:rPr>
              <w:rFonts w:eastAsia="Times New Roman"/>
            </w:rPr>
          </w:pPr>
          <w:r>
            <w:rPr>
              <w:rFonts w:eastAsia="Times New Roman"/>
            </w:rPr>
            <w:t>7.         </w:t>
          </w:r>
          <w:proofErr w:type="spellStart"/>
          <w:r>
            <w:rPr>
              <w:rFonts w:eastAsia="Times New Roman"/>
            </w:rPr>
            <w:t>Zimenkov</w:t>
          </w:r>
          <w:proofErr w:type="spellEnd"/>
          <w:r>
            <w:rPr>
              <w:rFonts w:eastAsia="Times New Roman"/>
            </w:rPr>
            <w:t xml:space="preserve"> D v, </w:t>
          </w:r>
          <w:proofErr w:type="spellStart"/>
          <w:r>
            <w:rPr>
              <w:rFonts w:eastAsia="Times New Roman"/>
            </w:rPr>
            <w:t>Nosova</w:t>
          </w:r>
          <w:proofErr w:type="spellEnd"/>
          <w:r>
            <w:rPr>
              <w:rFonts w:eastAsia="Times New Roman"/>
            </w:rPr>
            <w:t xml:space="preserve"> EY, </w:t>
          </w:r>
          <w:proofErr w:type="spellStart"/>
          <w:r>
            <w:rPr>
              <w:rFonts w:eastAsia="Times New Roman"/>
            </w:rPr>
            <w:t>Kulagina</w:t>
          </w:r>
          <w:proofErr w:type="spellEnd"/>
          <w:r>
            <w:rPr>
              <w:rFonts w:eastAsia="Times New Roman"/>
            </w:rPr>
            <w:t xml:space="preserve"> E v, Antonova O v, </w:t>
          </w:r>
          <w:proofErr w:type="spellStart"/>
          <w:r>
            <w:rPr>
              <w:rFonts w:eastAsia="Times New Roman"/>
            </w:rPr>
            <w:t>Arslanbaeva</w:t>
          </w:r>
          <w:proofErr w:type="spellEnd"/>
          <w:r>
            <w:rPr>
              <w:rFonts w:eastAsia="Times New Roman"/>
            </w:rPr>
            <w:t xml:space="preserve"> LR, Isakova AI, Krylova LY, </w:t>
          </w:r>
          <w:proofErr w:type="spellStart"/>
          <w:r>
            <w:rPr>
              <w:rFonts w:eastAsia="Times New Roman"/>
            </w:rPr>
            <w:t>Peretokina</w:t>
          </w:r>
          <w:proofErr w:type="spellEnd"/>
          <w:r>
            <w:rPr>
              <w:rFonts w:eastAsia="Times New Roman"/>
            </w:rPr>
            <w:t xml:space="preserve"> I v, Makarova M v, </w:t>
          </w:r>
          <w:proofErr w:type="spellStart"/>
          <w:r>
            <w:rPr>
              <w:rFonts w:eastAsia="Times New Roman"/>
            </w:rPr>
            <w:t>Safonova</w:t>
          </w:r>
          <w:proofErr w:type="spellEnd"/>
          <w:r>
            <w:rPr>
              <w:rFonts w:eastAsia="Times New Roman"/>
            </w:rPr>
            <w:t xml:space="preserve"> SG, Borisov SE, </w:t>
          </w:r>
          <w:proofErr w:type="spellStart"/>
          <w:r>
            <w:rPr>
              <w:rFonts w:eastAsia="Times New Roman"/>
            </w:rPr>
            <w:t>Gryadunov</w:t>
          </w:r>
          <w:proofErr w:type="spellEnd"/>
          <w:r>
            <w:rPr>
              <w:rFonts w:eastAsia="Times New Roman"/>
            </w:rPr>
            <w:t xml:space="preserve"> DA. Examination of bedaquiline- and linezolid-resistant Mycobacterium tuberculosis isolates from the Moscow region. </w:t>
          </w:r>
          <w:r>
            <w:rPr>
              <w:rFonts w:eastAsia="Times New Roman"/>
              <w:i/>
              <w:iCs/>
            </w:rPr>
            <w:t>Journal of Antimicrobial Chemotherapy</w:t>
          </w:r>
          <w:r>
            <w:rPr>
              <w:rFonts w:eastAsia="Times New Roman"/>
            </w:rPr>
            <w:t xml:space="preserve"> 2017; 72: 1901–1906.</w:t>
          </w:r>
        </w:p>
        <w:p w14:paraId="3FF3CAF6" w14:textId="77777777" w:rsidR="008C566B" w:rsidRDefault="008C566B">
          <w:pPr>
            <w:autoSpaceDE w:val="0"/>
            <w:autoSpaceDN w:val="0"/>
            <w:ind w:hanging="640"/>
            <w:divId w:val="1511600392"/>
            <w:rPr>
              <w:rFonts w:eastAsia="Times New Roman"/>
            </w:rPr>
          </w:pPr>
          <w:r>
            <w:rPr>
              <w:rFonts w:eastAsia="Times New Roman"/>
            </w:rPr>
            <w:t>8.         </w:t>
          </w:r>
          <w:proofErr w:type="spellStart"/>
          <w:r>
            <w:rPr>
              <w:rFonts w:eastAsia="Times New Roman"/>
            </w:rPr>
            <w:t>Villellas</w:t>
          </w:r>
          <w:proofErr w:type="spellEnd"/>
          <w:r>
            <w:rPr>
              <w:rFonts w:eastAsia="Times New Roman"/>
            </w:rPr>
            <w:t xml:space="preserve"> C, </w:t>
          </w:r>
          <w:proofErr w:type="spellStart"/>
          <w:r>
            <w:rPr>
              <w:rFonts w:eastAsia="Times New Roman"/>
            </w:rPr>
            <w:t>Coeck</w:t>
          </w:r>
          <w:proofErr w:type="spellEnd"/>
          <w:r>
            <w:rPr>
              <w:rFonts w:eastAsia="Times New Roman"/>
            </w:rPr>
            <w:t xml:space="preserve"> N, Meehan CJ, </w:t>
          </w:r>
          <w:proofErr w:type="spellStart"/>
          <w:r>
            <w:rPr>
              <w:rFonts w:eastAsia="Times New Roman"/>
            </w:rPr>
            <w:t>Lounis</w:t>
          </w:r>
          <w:proofErr w:type="spellEnd"/>
          <w:r>
            <w:rPr>
              <w:rFonts w:eastAsia="Times New Roman"/>
            </w:rPr>
            <w:t xml:space="preserve"> N, de Jong B, Rigouts L, </w:t>
          </w:r>
          <w:proofErr w:type="spellStart"/>
          <w:r>
            <w:rPr>
              <w:rFonts w:eastAsia="Times New Roman"/>
            </w:rPr>
            <w:t>Andries</w:t>
          </w:r>
          <w:proofErr w:type="spellEnd"/>
          <w:r>
            <w:rPr>
              <w:rFonts w:eastAsia="Times New Roman"/>
            </w:rPr>
            <w:t xml:space="preserve"> K. Unexpected high prevalence of resistance-associated Rv0678 variants in MDR-TB patients without documented prior use of clofazimine or bedaquiline. </w:t>
          </w:r>
          <w:r>
            <w:rPr>
              <w:rFonts w:eastAsia="Times New Roman"/>
              <w:i/>
              <w:iCs/>
            </w:rPr>
            <w:t>The Journal of antimicrobial chemotherapy</w:t>
          </w:r>
          <w:r>
            <w:rPr>
              <w:rFonts w:eastAsia="Times New Roman"/>
            </w:rPr>
            <w:t xml:space="preserve"> 2017; 72: 684–690.</w:t>
          </w:r>
        </w:p>
        <w:p w14:paraId="06BE1E88" w14:textId="3D95CDAE" w:rsidR="008C566B" w:rsidRDefault="008C566B">
          <w:pPr>
            <w:autoSpaceDE w:val="0"/>
            <w:autoSpaceDN w:val="0"/>
            <w:ind w:hanging="640"/>
            <w:divId w:val="429938456"/>
            <w:rPr>
              <w:rFonts w:eastAsia="Times New Roman"/>
            </w:rPr>
          </w:pPr>
          <w:r>
            <w:rPr>
              <w:rFonts w:eastAsia="Times New Roman"/>
            </w:rPr>
            <w:t>9.         </w:t>
          </w:r>
          <w:proofErr w:type="spellStart"/>
          <w:r>
            <w:rPr>
              <w:rFonts w:eastAsia="Times New Roman"/>
            </w:rPr>
            <w:t>Hartkoorn</w:t>
          </w:r>
          <w:proofErr w:type="spellEnd"/>
          <w:r>
            <w:rPr>
              <w:rFonts w:eastAsia="Times New Roman"/>
            </w:rPr>
            <w:t xml:space="preserve"> RC, </w:t>
          </w:r>
          <w:proofErr w:type="spellStart"/>
          <w:r>
            <w:rPr>
              <w:rFonts w:eastAsia="Times New Roman"/>
            </w:rPr>
            <w:t>Uplekar</w:t>
          </w:r>
          <w:proofErr w:type="spellEnd"/>
          <w:r>
            <w:rPr>
              <w:rFonts w:eastAsia="Times New Roman"/>
            </w:rPr>
            <w:t xml:space="preserve"> S, Cole ST. Cross-resistance between clofazimine and bedaquiline through upregulation of mmpl5 in mycobacterium tuberculosis. </w:t>
          </w:r>
          <w:r>
            <w:rPr>
              <w:rFonts w:eastAsia="Times New Roman"/>
              <w:i/>
              <w:iCs/>
            </w:rPr>
            <w:t>Antimicrobial Agents and Chemotherapy</w:t>
          </w:r>
          <w:r>
            <w:rPr>
              <w:rFonts w:eastAsia="Times New Roman"/>
            </w:rPr>
            <w:t xml:space="preserve"> 2014; 58: 2979–2981.</w:t>
          </w:r>
        </w:p>
        <w:p w14:paraId="46A5EEBE" w14:textId="0A524DA8" w:rsidR="008C566B" w:rsidRDefault="008C566B">
          <w:pPr>
            <w:autoSpaceDE w:val="0"/>
            <w:autoSpaceDN w:val="0"/>
            <w:ind w:hanging="640"/>
            <w:divId w:val="1341664127"/>
            <w:rPr>
              <w:rFonts w:eastAsia="Times New Roman"/>
            </w:rPr>
          </w:pPr>
          <w:r>
            <w:rPr>
              <w:rFonts w:eastAsia="Times New Roman"/>
            </w:rPr>
            <w:t xml:space="preserve">10.        Gandhi NR, Weissman D, Moodley P, </w:t>
          </w:r>
          <w:proofErr w:type="spellStart"/>
          <w:r>
            <w:rPr>
              <w:rFonts w:eastAsia="Times New Roman"/>
            </w:rPr>
            <w:t>Ramathal</w:t>
          </w:r>
          <w:proofErr w:type="spellEnd"/>
          <w:r>
            <w:rPr>
              <w:rFonts w:eastAsia="Times New Roman"/>
            </w:rPr>
            <w:t xml:space="preserve"> M, Elson I, </w:t>
          </w:r>
          <w:proofErr w:type="spellStart"/>
          <w:r>
            <w:rPr>
              <w:rFonts w:eastAsia="Times New Roman"/>
            </w:rPr>
            <w:t>Kreiswirth</w:t>
          </w:r>
          <w:proofErr w:type="spellEnd"/>
          <w:r>
            <w:rPr>
              <w:rFonts w:eastAsia="Times New Roman"/>
            </w:rPr>
            <w:t xml:space="preserve"> BN, </w:t>
          </w:r>
          <w:proofErr w:type="spellStart"/>
          <w:r>
            <w:rPr>
              <w:rFonts w:eastAsia="Times New Roman"/>
            </w:rPr>
            <w:t>Mathema</w:t>
          </w:r>
          <w:proofErr w:type="spellEnd"/>
          <w:r>
            <w:rPr>
              <w:rFonts w:eastAsia="Times New Roman"/>
            </w:rPr>
            <w:t xml:space="preserve"> B, </w:t>
          </w:r>
          <w:proofErr w:type="spellStart"/>
          <w:r>
            <w:rPr>
              <w:rFonts w:eastAsia="Times New Roman"/>
            </w:rPr>
            <w:t>Shashkina</w:t>
          </w:r>
          <w:proofErr w:type="spellEnd"/>
          <w:r>
            <w:rPr>
              <w:rFonts w:eastAsia="Times New Roman"/>
            </w:rPr>
            <w:t xml:space="preserve"> E, Rothenberg R, Moll AP, Friedland G, Sturm AW, Shah NS. Nosocomial transmission of extensively drug-resistant tuberculosis in a rural hospital in South Africa. </w:t>
          </w:r>
          <w:r>
            <w:rPr>
              <w:rFonts w:eastAsia="Times New Roman"/>
              <w:i/>
              <w:iCs/>
            </w:rPr>
            <w:t>Journal of Infectious Diseases</w:t>
          </w:r>
          <w:r>
            <w:rPr>
              <w:rFonts w:eastAsia="Times New Roman"/>
            </w:rPr>
            <w:t xml:space="preserve"> 2013; </w:t>
          </w:r>
          <w:r w:rsidR="001F7707">
            <w:rPr>
              <w:rFonts w:eastAsia="Times New Roman"/>
            </w:rPr>
            <w:t xml:space="preserve">207: </w:t>
          </w:r>
          <w:r w:rsidR="00B1399D">
            <w:rPr>
              <w:rFonts w:eastAsia="Times New Roman"/>
            </w:rPr>
            <w:t>9-17</w:t>
          </w:r>
          <w:r>
            <w:rPr>
              <w:rFonts w:eastAsia="Times New Roman"/>
            </w:rPr>
            <w:t>.</w:t>
          </w:r>
        </w:p>
        <w:p w14:paraId="66C4D6B9" w14:textId="77777777" w:rsidR="008C566B" w:rsidRDefault="008C566B">
          <w:pPr>
            <w:autoSpaceDE w:val="0"/>
            <w:autoSpaceDN w:val="0"/>
            <w:ind w:hanging="640"/>
            <w:divId w:val="1140615497"/>
            <w:rPr>
              <w:rFonts w:eastAsia="Times New Roman"/>
            </w:rPr>
          </w:pPr>
          <w:r>
            <w:rPr>
              <w:rFonts w:eastAsia="Times New Roman"/>
            </w:rPr>
            <w:t xml:space="preserve">11.        Shah NS, Auld SC, </w:t>
          </w:r>
          <w:proofErr w:type="spellStart"/>
          <w:r>
            <w:rPr>
              <w:rFonts w:eastAsia="Times New Roman"/>
            </w:rPr>
            <w:t>Brust</w:t>
          </w:r>
          <w:proofErr w:type="spellEnd"/>
          <w:r>
            <w:rPr>
              <w:rFonts w:eastAsia="Times New Roman"/>
            </w:rPr>
            <w:t xml:space="preserve"> JCM, </w:t>
          </w:r>
          <w:proofErr w:type="spellStart"/>
          <w:r>
            <w:rPr>
              <w:rFonts w:eastAsia="Times New Roman"/>
            </w:rPr>
            <w:t>Mathema</w:t>
          </w:r>
          <w:proofErr w:type="spellEnd"/>
          <w:r>
            <w:rPr>
              <w:rFonts w:eastAsia="Times New Roman"/>
            </w:rPr>
            <w:t xml:space="preserve"> B, Ismail N, Moodley P, </w:t>
          </w:r>
          <w:proofErr w:type="spellStart"/>
          <w:r>
            <w:rPr>
              <w:rFonts w:eastAsia="Times New Roman"/>
            </w:rPr>
            <w:t>Mlisana</w:t>
          </w:r>
          <w:proofErr w:type="spellEnd"/>
          <w:r>
            <w:rPr>
              <w:rFonts w:eastAsia="Times New Roman"/>
            </w:rPr>
            <w:t xml:space="preserve"> K, Allana S, Campbell A, </w:t>
          </w:r>
          <w:proofErr w:type="spellStart"/>
          <w:r>
            <w:rPr>
              <w:rFonts w:eastAsia="Times New Roman"/>
            </w:rPr>
            <w:t>Mthiyane</w:t>
          </w:r>
          <w:proofErr w:type="spellEnd"/>
          <w:r>
            <w:rPr>
              <w:rFonts w:eastAsia="Times New Roman"/>
            </w:rPr>
            <w:t xml:space="preserve"> T, Morris N, </w:t>
          </w:r>
          <w:proofErr w:type="spellStart"/>
          <w:r>
            <w:rPr>
              <w:rFonts w:eastAsia="Times New Roman"/>
            </w:rPr>
            <w:t>Mpangase</w:t>
          </w:r>
          <w:proofErr w:type="spellEnd"/>
          <w:r>
            <w:rPr>
              <w:rFonts w:eastAsia="Times New Roman"/>
            </w:rPr>
            <w:t xml:space="preserve"> P, van der </w:t>
          </w:r>
          <w:proofErr w:type="spellStart"/>
          <w:r>
            <w:rPr>
              <w:rFonts w:eastAsia="Times New Roman"/>
            </w:rPr>
            <w:t>Meulen</w:t>
          </w:r>
          <w:proofErr w:type="spellEnd"/>
          <w:r>
            <w:rPr>
              <w:rFonts w:eastAsia="Times New Roman"/>
            </w:rPr>
            <w:t xml:space="preserve"> H, Omar S v, Brown TS, </w:t>
          </w:r>
          <w:proofErr w:type="spellStart"/>
          <w:r>
            <w:rPr>
              <w:rFonts w:eastAsia="Times New Roman"/>
            </w:rPr>
            <w:t>Narechania</w:t>
          </w:r>
          <w:proofErr w:type="spellEnd"/>
          <w:r>
            <w:rPr>
              <w:rFonts w:eastAsia="Times New Roman"/>
            </w:rPr>
            <w:t xml:space="preserve"> A, </w:t>
          </w:r>
          <w:proofErr w:type="spellStart"/>
          <w:r>
            <w:rPr>
              <w:rFonts w:eastAsia="Times New Roman"/>
            </w:rPr>
            <w:t>Shaskina</w:t>
          </w:r>
          <w:proofErr w:type="spellEnd"/>
          <w:r>
            <w:rPr>
              <w:rFonts w:eastAsia="Times New Roman"/>
            </w:rPr>
            <w:t xml:space="preserve"> E, </w:t>
          </w:r>
          <w:proofErr w:type="spellStart"/>
          <w:r>
            <w:rPr>
              <w:rFonts w:eastAsia="Times New Roman"/>
            </w:rPr>
            <w:t>Kapwata</w:t>
          </w:r>
          <w:proofErr w:type="spellEnd"/>
          <w:r>
            <w:rPr>
              <w:rFonts w:eastAsia="Times New Roman"/>
            </w:rPr>
            <w:t xml:space="preserve"> T, </w:t>
          </w:r>
          <w:proofErr w:type="spellStart"/>
          <w:r>
            <w:rPr>
              <w:rFonts w:eastAsia="Times New Roman"/>
            </w:rPr>
            <w:t>Kreiswirth</w:t>
          </w:r>
          <w:proofErr w:type="spellEnd"/>
          <w:r>
            <w:rPr>
              <w:rFonts w:eastAsia="Times New Roman"/>
            </w:rPr>
            <w:t xml:space="preserve"> B, Gandhi NR. Transmission of </w:t>
          </w:r>
          <w:r>
            <w:rPr>
              <w:rFonts w:eastAsia="Times New Roman"/>
            </w:rPr>
            <w:lastRenderedPageBreak/>
            <w:t xml:space="preserve">extensively drug-resistant tuberculosis in South Africa. </w:t>
          </w:r>
          <w:r>
            <w:rPr>
              <w:rFonts w:eastAsia="Times New Roman"/>
              <w:i/>
              <w:iCs/>
            </w:rPr>
            <w:t>New England Journal of Medicine</w:t>
          </w:r>
          <w:r>
            <w:rPr>
              <w:rFonts w:eastAsia="Times New Roman"/>
            </w:rPr>
            <w:t xml:space="preserve"> 2017; 376: 243–253.</w:t>
          </w:r>
        </w:p>
        <w:p w14:paraId="286E6009" w14:textId="23D6A3BA" w:rsidR="008C566B" w:rsidRDefault="008C566B">
          <w:pPr>
            <w:autoSpaceDE w:val="0"/>
            <w:autoSpaceDN w:val="0"/>
            <w:ind w:hanging="640"/>
            <w:divId w:val="1268200828"/>
            <w:rPr>
              <w:rFonts w:eastAsia="Times New Roman"/>
            </w:rPr>
          </w:pPr>
          <w:r>
            <w:rPr>
              <w:rFonts w:eastAsia="Times New Roman"/>
            </w:rPr>
            <w:t xml:space="preserve">12.        Pym AS, </w:t>
          </w:r>
          <w:proofErr w:type="spellStart"/>
          <w:r>
            <w:rPr>
              <w:rFonts w:eastAsia="Times New Roman"/>
            </w:rPr>
            <w:t>Diacon</w:t>
          </w:r>
          <w:proofErr w:type="spellEnd"/>
          <w:r>
            <w:rPr>
              <w:rFonts w:eastAsia="Times New Roman"/>
            </w:rPr>
            <w:t xml:space="preserve"> AH, Tang S-J, Conradie F, </w:t>
          </w:r>
          <w:proofErr w:type="spellStart"/>
          <w:r>
            <w:rPr>
              <w:rFonts w:eastAsia="Times New Roman"/>
            </w:rPr>
            <w:t>Danilovits</w:t>
          </w:r>
          <w:proofErr w:type="spellEnd"/>
          <w:r>
            <w:rPr>
              <w:rFonts w:eastAsia="Times New Roman"/>
            </w:rPr>
            <w:t xml:space="preserve"> M, </w:t>
          </w:r>
          <w:proofErr w:type="spellStart"/>
          <w:r>
            <w:rPr>
              <w:rFonts w:eastAsia="Times New Roman"/>
            </w:rPr>
            <w:t>Chuchottaworn</w:t>
          </w:r>
          <w:proofErr w:type="spellEnd"/>
          <w:r>
            <w:rPr>
              <w:rFonts w:eastAsia="Times New Roman"/>
            </w:rPr>
            <w:t xml:space="preserve"> C, Vasilyeva I, </w:t>
          </w:r>
          <w:proofErr w:type="spellStart"/>
          <w:r>
            <w:rPr>
              <w:rFonts w:eastAsia="Times New Roman"/>
            </w:rPr>
            <w:t>Andries</w:t>
          </w:r>
          <w:proofErr w:type="spellEnd"/>
          <w:r>
            <w:rPr>
              <w:rFonts w:eastAsia="Times New Roman"/>
            </w:rPr>
            <w:t xml:space="preserve"> K, Bakare N, de </w:t>
          </w:r>
          <w:proofErr w:type="spellStart"/>
          <w:r>
            <w:rPr>
              <w:rFonts w:eastAsia="Times New Roman"/>
            </w:rPr>
            <w:t>Marez</w:t>
          </w:r>
          <w:proofErr w:type="spellEnd"/>
          <w:r>
            <w:rPr>
              <w:rFonts w:eastAsia="Times New Roman"/>
            </w:rPr>
            <w:t xml:space="preserve"> T, </w:t>
          </w:r>
          <w:proofErr w:type="spellStart"/>
          <w:r>
            <w:rPr>
              <w:rFonts w:eastAsia="Times New Roman"/>
            </w:rPr>
            <w:t>Haxaire-Theeuwes</w:t>
          </w:r>
          <w:proofErr w:type="spellEnd"/>
          <w:r>
            <w:rPr>
              <w:rFonts w:eastAsia="Times New Roman"/>
            </w:rPr>
            <w:t xml:space="preserve"> M, </w:t>
          </w:r>
          <w:proofErr w:type="spellStart"/>
          <w:r>
            <w:rPr>
              <w:rFonts w:eastAsia="Times New Roman"/>
            </w:rPr>
            <w:t>Lounis</w:t>
          </w:r>
          <w:proofErr w:type="spellEnd"/>
          <w:r>
            <w:rPr>
              <w:rFonts w:eastAsia="Times New Roman"/>
            </w:rPr>
            <w:t xml:space="preserve"> N, </w:t>
          </w:r>
          <w:proofErr w:type="spellStart"/>
          <w:r>
            <w:rPr>
              <w:rFonts w:eastAsia="Times New Roman"/>
            </w:rPr>
            <w:t>Meyvisch</w:t>
          </w:r>
          <w:proofErr w:type="spellEnd"/>
          <w:r>
            <w:rPr>
              <w:rFonts w:eastAsia="Times New Roman"/>
            </w:rPr>
            <w:t xml:space="preserve"> P, van </w:t>
          </w:r>
          <w:proofErr w:type="spellStart"/>
          <w:r>
            <w:rPr>
              <w:rFonts w:eastAsia="Times New Roman"/>
            </w:rPr>
            <w:t>Baelen</w:t>
          </w:r>
          <w:proofErr w:type="spellEnd"/>
          <w:r>
            <w:rPr>
              <w:rFonts w:eastAsia="Times New Roman"/>
            </w:rPr>
            <w:t xml:space="preserve"> B, van </w:t>
          </w:r>
          <w:proofErr w:type="spellStart"/>
          <w:r>
            <w:rPr>
              <w:rFonts w:eastAsia="Times New Roman"/>
            </w:rPr>
            <w:t>Heeswijk</w:t>
          </w:r>
          <w:proofErr w:type="spellEnd"/>
          <w:r>
            <w:rPr>
              <w:rFonts w:eastAsia="Times New Roman"/>
            </w:rPr>
            <w:t xml:space="preserve"> RPG, </w:t>
          </w:r>
          <w:proofErr w:type="spellStart"/>
          <w:r>
            <w:rPr>
              <w:rFonts w:eastAsia="Times New Roman"/>
            </w:rPr>
            <w:t>Dannemann</w:t>
          </w:r>
          <w:proofErr w:type="spellEnd"/>
          <w:r>
            <w:rPr>
              <w:rFonts w:eastAsia="Times New Roman"/>
            </w:rPr>
            <w:t xml:space="preserve"> B. Bedaquiline in the treatment of multidrug- and extensively drug-resistant tuberculosis. </w:t>
          </w:r>
          <w:r>
            <w:rPr>
              <w:rFonts w:eastAsia="Times New Roman"/>
              <w:i/>
              <w:iCs/>
            </w:rPr>
            <w:t>European Respiratory Journal</w:t>
          </w:r>
          <w:r>
            <w:rPr>
              <w:rFonts w:eastAsia="Times New Roman"/>
            </w:rPr>
            <w:t xml:space="preserve"> 2016; 47: 564–574</w:t>
          </w:r>
          <w:r w:rsidR="00647730">
            <w:rPr>
              <w:rFonts w:eastAsia="Times New Roman"/>
            </w:rPr>
            <w:t>.</w:t>
          </w:r>
        </w:p>
        <w:p w14:paraId="2D66F12B" w14:textId="38A61F04" w:rsidR="008C566B" w:rsidRDefault="008C566B">
          <w:pPr>
            <w:autoSpaceDE w:val="0"/>
            <w:autoSpaceDN w:val="0"/>
            <w:ind w:hanging="640"/>
            <w:divId w:val="2780267"/>
            <w:rPr>
              <w:rFonts w:eastAsia="Times New Roman"/>
            </w:rPr>
          </w:pPr>
          <w:r>
            <w:rPr>
              <w:rFonts w:eastAsia="Times New Roman"/>
            </w:rPr>
            <w:t>13.        World Health Organization. Definitions and reporting framework for tuberculosis. Geneva; 2014</w:t>
          </w:r>
          <w:r w:rsidR="00647730">
            <w:rPr>
              <w:rFonts w:eastAsia="Times New Roman"/>
            </w:rPr>
            <w:t xml:space="preserve">. </w:t>
          </w:r>
          <w:r>
            <w:rPr>
              <w:rFonts w:eastAsia="Times New Roman"/>
            </w:rPr>
            <w:t xml:space="preserve">Available from: </w:t>
          </w:r>
          <w:r w:rsidR="00C43B1E" w:rsidRPr="00C43B1E">
            <w:t xml:space="preserve"> </w:t>
          </w:r>
          <w:r w:rsidR="00C43B1E" w:rsidRPr="00C43B1E">
            <w:rPr>
              <w:rFonts w:eastAsia="Times New Roman"/>
            </w:rPr>
            <w:t>http://apps.who.int/iris/bitstream/10665/79199/1/9789241505345_eng.pdf?ua=1</w:t>
          </w:r>
          <w:r w:rsidR="00C43B1E">
            <w:rPr>
              <w:rFonts w:eastAsia="Times New Roman"/>
            </w:rPr>
            <w:t>.</w:t>
          </w:r>
        </w:p>
        <w:p w14:paraId="613EC56D" w14:textId="5800B551" w:rsidR="008C566B" w:rsidRDefault="008C566B">
          <w:pPr>
            <w:autoSpaceDE w:val="0"/>
            <w:autoSpaceDN w:val="0"/>
            <w:ind w:hanging="640"/>
            <w:divId w:val="1640839585"/>
            <w:rPr>
              <w:rFonts w:eastAsia="Times New Roman"/>
            </w:rPr>
          </w:pPr>
          <w:r>
            <w:rPr>
              <w:rFonts w:eastAsia="Times New Roman"/>
            </w:rPr>
            <w:t>14.        </w:t>
          </w:r>
          <w:r w:rsidR="00933152">
            <w:rPr>
              <w:rFonts w:eastAsia="Times New Roman"/>
            </w:rPr>
            <w:t xml:space="preserve">World Health Organization. </w:t>
          </w:r>
          <w:r>
            <w:rPr>
              <w:rFonts w:eastAsia="Times New Roman"/>
            </w:rPr>
            <w:t>Technical report on critical concentrations for TB drug susceptibility testing of medicines used in the treatment of drug-resistant TB. Geneva; 2018</w:t>
          </w:r>
          <w:r w:rsidR="00647730">
            <w:rPr>
              <w:rFonts w:eastAsia="Times New Roman"/>
            </w:rPr>
            <w:t xml:space="preserve">. </w:t>
          </w:r>
          <w:r>
            <w:rPr>
              <w:rFonts w:eastAsia="Times New Roman"/>
            </w:rPr>
            <w:t>Available from: http://apps.who.int/iris/bitstream/10665/260470/1/WHO-CDS-TB-2018.5-eng.pdf?ua=1.</w:t>
          </w:r>
        </w:p>
        <w:p w14:paraId="4028D963" w14:textId="77777777" w:rsidR="008C566B" w:rsidRDefault="008C566B">
          <w:pPr>
            <w:autoSpaceDE w:val="0"/>
            <w:autoSpaceDN w:val="0"/>
            <w:ind w:hanging="640"/>
            <w:divId w:val="2043089959"/>
            <w:rPr>
              <w:rFonts w:eastAsia="Times New Roman"/>
            </w:rPr>
          </w:pPr>
          <w:r>
            <w:rPr>
              <w:rFonts w:eastAsia="Times New Roman"/>
            </w:rPr>
            <w:t>15.        </w:t>
          </w:r>
          <w:proofErr w:type="spellStart"/>
          <w:r>
            <w:rPr>
              <w:rFonts w:eastAsia="Times New Roman"/>
            </w:rPr>
            <w:t>Colangeli</w:t>
          </w:r>
          <w:proofErr w:type="spellEnd"/>
          <w:r>
            <w:rPr>
              <w:rFonts w:eastAsia="Times New Roman"/>
            </w:rPr>
            <w:t xml:space="preserve"> R, </w:t>
          </w:r>
          <w:proofErr w:type="spellStart"/>
          <w:r>
            <w:rPr>
              <w:rFonts w:eastAsia="Times New Roman"/>
            </w:rPr>
            <w:t>Jedrey</w:t>
          </w:r>
          <w:proofErr w:type="spellEnd"/>
          <w:r>
            <w:rPr>
              <w:rFonts w:eastAsia="Times New Roman"/>
            </w:rPr>
            <w:t xml:space="preserve"> H, Kim S, Connell R, Ma S, Venkata UDC, </w:t>
          </w:r>
          <w:proofErr w:type="spellStart"/>
          <w:r>
            <w:rPr>
              <w:rFonts w:eastAsia="Times New Roman"/>
            </w:rPr>
            <w:t>Chakravorty</w:t>
          </w:r>
          <w:proofErr w:type="spellEnd"/>
          <w:r>
            <w:rPr>
              <w:rFonts w:eastAsia="Times New Roman"/>
            </w:rPr>
            <w:t xml:space="preserve"> S, Gupta A, Sizemore EE, Diem L, Sherman DR, </w:t>
          </w:r>
          <w:proofErr w:type="spellStart"/>
          <w:r>
            <w:rPr>
              <w:rFonts w:eastAsia="Times New Roman"/>
            </w:rPr>
            <w:t>Okwera</w:t>
          </w:r>
          <w:proofErr w:type="spellEnd"/>
          <w:r>
            <w:rPr>
              <w:rFonts w:eastAsia="Times New Roman"/>
            </w:rPr>
            <w:t xml:space="preserve"> A, </w:t>
          </w:r>
          <w:proofErr w:type="spellStart"/>
          <w:r>
            <w:rPr>
              <w:rFonts w:eastAsia="Times New Roman"/>
            </w:rPr>
            <w:t>Dietze</w:t>
          </w:r>
          <w:proofErr w:type="spellEnd"/>
          <w:r>
            <w:rPr>
              <w:rFonts w:eastAsia="Times New Roman"/>
            </w:rPr>
            <w:t xml:space="preserve"> R, Boom WH, Johnson JL, Kenzie WRM, </w:t>
          </w:r>
          <w:proofErr w:type="spellStart"/>
          <w:r>
            <w:rPr>
              <w:rFonts w:eastAsia="Times New Roman"/>
            </w:rPr>
            <w:t>Alland</w:t>
          </w:r>
          <w:proofErr w:type="spellEnd"/>
          <w:r>
            <w:rPr>
              <w:rFonts w:eastAsia="Times New Roman"/>
            </w:rPr>
            <w:t xml:space="preserve"> D. Bacterial factors that predict relapse after tuberculosis therapy. </w:t>
          </w:r>
          <w:r>
            <w:rPr>
              <w:rFonts w:eastAsia="Times New Roman"/>
              <w:i/>
              <w:iCs/>
            </w:rPr>
            <w:t>New England Journal of Medicine</w:t>
          </w:r>
          <w:r>
            <w:rPr>
              <w:rFonts w:eastAsia="Times New Roman"/>
            </w:rPr>
            <w:t xml:space="preserve"> 2018; 379: 823–833.</w:t>
          </w:r>
        </w:p>
        <w:p w14:paraId="2FED297A" w14:textId="7A288F4A" w:rsidR="005A6F25" w:rsidRPr="00734062" w:rsidRDefault="008C566B" w:rsidP="00734062">
          <w:pPr>
            <w:spacing w:line="360" w:lineRule="auto"/>
            <w:rPr>
              <w:rFonts w:ascii="Arial" w:hAnsi="Arial" w:cs="Arial"/>
            </w:rPr>
          </w:pPr>
          <w:r>
            <w:rPr>
              <w:rFonts w:eastAsia="Times New Roman"/>
            </w:rPr>
            <w:t> </w:t>
          </w:r>
        </w:p>
      </w:sdtContent>
    </w:sdt>
    <w:p w14:paraId="3F193251" w14:textId="77777777" w:rsidR="005A6F25" w:rsidRDefault="005A6F25">
      <w:pPr>
        <w:rPr>
          <w:rFonts w:ascii="Arial" w:hAnsi="Arial" w:cs="Arial"/>
        </w:rPr>
      </w:pPr>
      <w:r>
        <w:rPr>
          <w:rFonts w:ascii="Arial" w:hAnsi="Arial" w:cs="Arial"/>
        </w:rPr>
        <w:br w:type="page"/>
      </w:r>
    </w:p>
    <w:p w14:paraId="544A13D2" w14:textId="0C6B54CE" w:rsidR="00734062" w:rsidRDefault="00734062" w:rsidP="00734062">
      <w:pPr>
        <w:pStyle w:val="Heading1"/>
      </w:pPr>
      <w:r>
        <w:lastRenderedPageBreak/>
        <w:t>Figure</w:t>
      </w:r>
    </w:p>
    <w:p w14:paraId="0CA10981" w14:textId="5EB7987D" w:rsidR="00734062" w:rsidRDefault="00734062" w:rsidP="00734062"/>
    <w:p w14:paraId="4461D9EA" w14:textId="7717800A" w:rsidR="00734062" w:rsidRDefault="00E3013F" w:rsidP="00734062">
      <w:r>
        <w:rPr>
          <w:noProof/>
        </w:rPr>
        <w:drawing>
          <wp:inline distT="0" distB="0" distL="0" distR="0" wp14:anchorId="5B9808AD" wp14:editId="682CA473">
            <wp:extent cx="5727700" cy="7679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combined 20.02.11.pdf"/>
                    <pic:cNvPicPr/>
                  </pic:nvPicPr>
                  <pic:blipFill>
                    <a:blip r:embed="rId10">
                      <a:extLst>
                        <a:ext uri="{28A0092B-C50C-407E-A947-70E740481C1C}">
                          <a14:useLocalDpi xmlns:a14="http://schemas.microsoft.com/office/drawing/2010/main" val="0"/>
                        </a:ext>
                      </a:extLst>
                    </a:blip>
                    <a:stretch>
                      <a:fillRect/>
                    </a:stretch>
                  </pic:blipFill>
                  <pic:spPr>
                    <a:xfrm>
                      <a:off x="0" y="0"/>
                      <a:ext cx="5727700" cy="7679690"/>
                    </a:xfrm>
                    <a:prstGeom prst="rect">
                      <a:avLst/>
                    </a:prstGeom>
                  </pic:spPr>
                </pic:pic>
              </a:graphicData>
            </a:graphic>
          </wp:inline>
        </w:drawing>
      </w:r>
    </w:p>
    <w:p w14:paraId="3A6F6662" w14:textId="77777777" w:rsidR="00734062" w:rsidRPr="00734062" w:rsidRDefault="00734062" w:rsidP="00734062"/>
    <w:p w14:paraId="18B881F9" w14:textId="77777777" w:rsidR="00734062" w:rsidRDefault="00734062" w:rsidP="0047753B">
      <w:pPr>
        <w:spacing w:line="276" w:lineRule="auto"/>
        <w:rPr>
          <w:rFonts w:cs="Arial"/>
          <w:bCs/>
        </w:rPr>
      </w:pPr>
    </w:p>
    <w:p w14:paraId="227E7FBB" w14:textId="4107EB26" w:rsidR="00DA7DE0" w:rsidRPr="00734062" w:rsidRDefault="00734062" w:rsidP="00734062">
      <w:pPr>
        <w:spacing w:line="480" w:lineRule="auto"/>
        <w:rPr>
          <w:rFonts w:ascii="Arial" w:hAnsi="Arial" w:cs="Arial"/>
        </w:rPr>
      </w:pPr>
      <w:r w:rsidRPr="00734062">
        <w:rPr>
          <w:rFonts w:ascii="Arial" w:hAnsi="Arial" w:cs="Arial"/>
          <w:bCs/>
        </w:rPr>
        <w:lastRenderedPageBreak/>
        <w:t xml:space="preserve">Figure. (A) </w:t>
      </w:r>
      <w:r w:rsidR="005A6F25" w:rsidRPr="00734062">
        <w:rPr>
          <w:rFonts w:ascii="Arial" w:hAnsi="Arial" w:cs="Arial"/>
          <w:bCs/>
        </w:rPr>
        <w:t xml:space="preserve">Patients with </w:t>
      </w:r>
      <w:r w:rsidR="005A6F25" w:rsidRPr="00734062">
        <w:rPr>
          <w:rFonts w:ascii="Arial" w:hAnsi="Arial" w:cs="Arial"/>
          <w:bCs/>
          <w:i/>
        </w:rPr>
        <w:t>Rv0678</w:t>
      </w:r>
      <w:r w:rsidR="005A6F25" w:rsidRPr="00734062">
        <w:rPr>
          <w:rFonts w:ascii="Arial" w:hAnsi="Arial" w:cs="Arial"/>
          <w:bCs/>
        </w:rPr>
        <w:t xml:space="preserve"> mutations in positive TB sputum cultures. Resistance profiles are for the current and most recent previous TB episodes. Drugs used in treatment regimen are indicated, with those ineffective due to resistance coloured red. H=isoniazid, Z=pyrazinamide, E=ethambutol, FQ=fluoroquinolones, B=bedaquiline, C=clofazimine, Et=ethionamide, </w:t>
      </w:r>
      <w:r w:rsidRPr="00734062">
        <w:rPr>
          <w:rFonts w:ascii="Arial" w:hAnsi="Arial" w:cs="Arial"/>
          <w:bCs/>
        </w:rPr>
        <w:t>L=linezolid, T=terizidone, PAS=p-</w:t>
      </w:r>
      <w:proofErr w:type="spellStart"/>
      <w:r w:rsidRPr="00734062">
        <w:rPr>
          <w:rFonts w:ascii="Arial" w:hAnsi="Arial" w:cs="Arial"/>
          <w:bCs/>
        </w:rPr>
        <w:t>aminosalicylic</w:t>
      </w:r>
      <w:proofErr w:type="spellEnd"/>
      <w:r w:rsidRPr="00734062">
        <w:rPr>
          <w:rFonts w:ascii="Arial" w:hAnsi="Arial" w:cs="Arial"/>
          <w:bCs/>
        </w:rPr>
        <w:t xml:space="preserve"> acid, D=</w:t>
      </w:r>
      <w:proofErr w:type="spellStart"/>
      <w:r w:rsidRPr="00734062">
        <w:rPr>
          <w:rFonts w:ascii="Arial" w:hAnsi="Arial" w:cs="Arial"/>
          <w:bCs/>
        </w:rPr>
        <w:t>delam</w:t>
      </w:r>
      <w:r w:rsidR="008C566B">
        <w:rPr>
          <w:rFonts w:ascii="Arial" w:hAnsi="Arial" w:cs="Arial"/>
          <w:bCs/>
        </w:rPr>
        <w:t>a</w:t>
      </w:r>
      <w:r w:rsidRPr="00734062">
        <w:rPr>
          <w:rFonts w:ascii="Arial" w:hAnsi="Arial" w:cs="Arial"/>
          <w:bCs/>
        </w:rPr>
        <w:t>nid</w:t>
      </w:r>
      <w:proofErr w:type="spellEnd"/>
      <w:r w:rsidRPr="00734062">
        <w:rPr>
          <w:rFonts w:ascii="Arial" w:hAnsi="Arial" w:cs="Arial"/>
          <w:bCs/>
        </w:rPr>
        <w:t xml:space="preserve">, </w:t>
      </w:r>
      <w:proofErr w:type="spellStart"/>
      <w:r w:rsidRPr="00734062">
        <w:rPr>
          <w:rFonts w:ascii="Arial" w:hAnsi="Arial" w:cs="Arial"/>
          <w:bCs/>
        </w:rPr>
        <w:t>Im</w:t>
      </w:r>
      <w:proofErr w:type="spellEnd"/>
      <w:r w:rsidRPr="00734062">
        <w:rPr>
          <w:rFonts w:ascii="Arial" w:hAnsi="Arial" w:cs="Arial"/>
          <w:bCs/>
        </w:rPr>
        <w:t>=imipenem.</w:t>
      </w:r>
      <w:r w:rsidR="005A6F25" w:rsidRPr="00734062">
        <w:rPr>
          <w:rFonts w:ascii="Arial" w:hAnsi="Arial" w:cs="Arial"/>
          <w:bCs/>
        </w:rPr>
        <w:t xml:space="preserve"> Patient A was phenotypically ethionamide resistant in the absence of ethionamide </w:t>
      </w:r>
      <w:r w:rsidRPr="00734062">
        <w:rPr>
          <w:rFonts w:ascii="Arial" w:hAnsi="Arial" w:cs="Arial"/>
          <w:bCs/>
        </w:rPr>
        <w:t>resistance-associated variants</w:t>
      </w:r>
      <w:r w:rsidR="000B51CC">
        <w:rPr>
          <w:rFonts w:ascii="Arial" w:hAnsi="Arial" w:cs="Arial"/>
          <w:bCs/>
        </w:rPr>
        <w:t>.</w:t>
      </w:r>
      <w:r w:rsidR="005A6F25" w:rsidRPr="00734062">
        <w:rPr>
          <w:rFonts w:ascii="Arial" w:hAnsi="Arial" w:cs="Arial"/>
          <w:bCs/>
        </w:rPr>
        <w:t xml:space="preserve"> </w:t>
      </w:r>
      <w:r w:rsidR="005A6F25" w:rsidRPr="00734062">
        <w:rPr>
          <w:rFonts w:ascii="Arial" w:hAnsi="Arial" w:cs="Arial"/>
          <w:bCs/>
          <w:i/>
        </w:rPr>
        <w:t>Rv0678</w:t>
      </w:r>
      <w:r w:rsidR="005A6F25" w:rsidRPr="00734062">
        <w:rPr>
          <w:rFonts w:ascii="Arial" w:hAnsi="Arial" w:cs="Arial"/>
          <w:bCs/>
        </w:rPr>
        <w:t xml:space="preserve"> variants are categorised as baseline (</w:t>
      </w:r>
      <w:r w:rsidR="00EA1A85">
        <w:rPr>
          <w:rFonts w:ascii="Arial" w:hAnsi="Arial" w:cs="Arial"/>
          <w:bCs/>
        </w:rPr>
        <w:t>orange</w:t>
      </w:r>
      <w:r w:rsidR="005A6F25" w:rsidRPr="00734062">
        <w:rPr>
          <w:rFonts w:ascii="Arial" w:hAnsi="Arial" w:cs="Arial"/>
          <w:bCs/>
        </w:rPr>
        <w:t xml:space="preserve"> background) or emergent (white background). Amino acid changes at variant sites are specified (fs = frameshift mutation). Bars indicate culture</w:t>
      </w:r>
      <w:r w:rsidR="002A4E13">
        <w:rPr>
          <w:rFonts w:ascii="Arial" w:hAnsi="Arial" w:cs="Arial"/>
          <w:bCs/>
        </w:rPr>
        <w:t>-</w:t>
      </w:r>
      <w:r w:rsidR="005A6F25" w:rsidRPr="00734062">
        <w:rPr>
          <w:rFonts w:ascii="Arial" w:hAnsi="Arial" w:cs="Arial"/>
          <w:bCs/>
        </w:rPr>
        <w:t xml:space="preserve">positive samples without variants (grey), heterozygous variants (light blue) and fixed variants (dark blue). Minimum inhibitory concentrations (MICs) are shown at baseline and at subsequent timepoint if performed (red lines). *In patient J six further low-frequency </w:t>
      </w:r>
      <w:r w:rsidR="005A6F25" w:rsidRPr="00734062">
        <w:rPr>
          <w:rFonts w:ascii="Arial" w:hAnsi="Arial" w:cs="Arial"/>
          <w:bCs/>
          <w:i/>
        </w:rPr>
        <w:t>Rv0678</w:t>
      </w:r>
      <w:r w:rsidR="005A6F25" w:rsidRPr="00734062">
        <w:rPr>
          <w:rFonts w:ascii="Arial" w:hAnsi="Arial" w:cs="Arial"/>
          <w:bCs/>
        </w:rPr>
        <w:t xml:space="preserve"> variants appeared at month six (A57E, R72T, D88fs, D88A, G121R, L122P).</w:t>
      </w:r>
      <w:r w:rsidRPr="00734062">
        <w:rPr>
          <w:rFonts w:ascii="Arial" w:hAnsi="Arial" w:cs="Arial"/>
          <w:bCs/>
        </w:rPr>
        <w:t xml:space="preserve"> (B) Kaplan-Meier curve for survival probability following initiation of bedaquiline therapy with censoring for loss to follow-up.</w:t>
      </w:r>
    </w:p>
    <w:sectPr w:rsidR="00DA7DE0" w:rsidRPr="00734062" w:rsidSect="00FE0033">
      <w:footerReference w:type="even" r:id="rId11"/>
      <w:footerReference w:type="default" r:id="rId12"/>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64FA" w14:textId="77777777" w:rsidR="00283F94" w:rsidRDefault="00283F94" w:rsidP="009E00C6">
      <w:r>
        <w:separator/>
      </w:r>
    </w:p>
  </w:endnote>
  <w:endnote w:type="continuationSeparator" w:id="0">
    <w:p w14:paraId="3FB157B3" w14:textId="77777777" w:rsidR="00283F94" w:rsidRDefault="00283F94" w:rsidP="009E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5080480"/>
      <w:docPartObj>
        <w:docPartGallery w:val="Page Numbers (Bottom of Page)"/>
        <w:docPartUnique/>
      </w:docPartObj>
    </w:sdtPr>
    <w:sdtEndPr>
      <w:rPr>
        <w:rStyle w:val="PageNumber"/>
      </w:rPr>
    </w:sdtEndPr>
    <w:sdtContent>
      <w:p w14:paraId="3EF5063D" w14:textId="01A53AAA" w:rsidR="009E00C6" w:rsidRDefault="009E00C6" w:rsidP="00AA5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E22AD" w14:textId="77777777" w:rsidR="009E00C6" w:rsidRDefault="009E00C6" w:rsidP="009E0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6687889"/>
      <w:docPartObj>
        <w:docPartGallery w:val="Page Numbers (Bottom of Page)"/>
        <w:docPartUnique/>
      </w:docPartObj>
    </w:sdtPr>
    <w:sdtEndPr>
      <w:rPr>
        <w:rStyle w:val="PageNumber"/>
      </w:rPr>
    </w:sdtEndPr>
    <w:sdtContent>
      <w:p w14:paraId="34EC7131" w14:textId="2C3A0EA2" w:rsidR="009E00C6" w:rsidRDefault="009E00C6" w:rsidP="00AA57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ACB6C5" w14:textId="77777777" w:rsidR="009E00C6" w:rsidRDefault="009E00C6" w:rsidP="009E00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DAE4" w14:textId="77777777" w:rsidR="00283F94" w:rsidRDefault="00283F94" w:rsidP="009E00C6">
      <w:r>
        <w:separator/>
      </w:r>
    </w:p>
  </w:footnote>
  <w:footnote w:type="continuationSeparator" w:id="0">
    <w:p w14:paraId="00223B5D" w14:textId="77777777" w:rsidR="00283F94" w:rsidRDefault="00283F94" w:rsidP="009E0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63"/>
    <w:rsid w:val="000003D5"/>
    <w:rsid w:val="00001F2C"/>
    <w:rsid w:val="00002316"/>
    <w:rsid w:val="000109BD"/>
    <w:rsid w:val="00011FC8"/>
    <w:rsid w:val="00020077"/>
    <w:rsid w:val="000303EA"/>
    <w:rsid w:val="00032A9F"/>
    <w:rsid w:val="00035B2E"/>
    <w:rsid w:val="00040D0F"/>
    <w:rsid w:val="000447A0"/>
    <w:rsid w:val="0004522E"/>
    <w:rsid w:val="00045BF0"/>
    <w:rsid w:val="0005020B"/>
    <w:rsid w:val="0005099F"/>
    <w:rsid w:val="00053ADF"/>
    <w:rsid w:val="00056B29"/>
    <w:rsid w:val="00057B73"/>
    <w:rsid w:val="0006175B"/>
    <w:rsid w:val="000722DC"/>
    <w:rsid w:val="00075C12"/>
    <w:rsid w:val="00077DC6"/>
    <w:rsid w:val="00077EAE"/>
    <w:rsid w:val="00092F01"/>
    <w:rsid w:val="00095E5D"/>
    <w:rsid w:val="0009656B"/>
    <w:rsid w:val="000A190D"/>
    <w:rsid w:val="000A292B"/>
    <w:rsid w:val="000A6251"/>
    <w:rsid w:val="000A6E44"/>
    <w:rsid w:val="000B11D3"/>
    <w:rsid w:val="000B412F"/>
    <w:rsid w:val="000B51CC"/>
    <w:rsid w:val="000B781E"/>
    <w:rsid w:val="000C7AF8"/>
    <w:rsid w:val="000C7B8A"/>
    <w:rsid w:val="000D271C"/>
    <w:rsid w:val="000E298B"/>
    <w:rsid w:val="000E5BC5"/>
    <w:rsid w:val="000E73BE"/>
    <w:rsid w:val="000F09E0"/>
    <w:rsid w:val="000F2272"/>
    <w:rsid w:val="000F7478"/>
    <w:rsid w:val="00105907"/>
    <w:rsid w:val="0010687A"/>
    <w:rsid w:val="00106B4D"/>
    <w:rsid w:val="00113817"/>
    <w:rsid w:val="00113935"/>
    <w:rsid w:val="00117A7E"/>
    <w:rsid w:val="0012219D"/>
    <w:rsid w:val="00131373"/>
    <w:rsid w:val="00137E4B"/>
    <w:rsid w:val="00154951"/>
    <w:rsid w:val="001605EF"/>
    <w:rsid w:val="00180495"/>
    <w:rsid w:val="00186B2A"/>
    <w:rsid w:val="00192E40"/>
    <w:rsid w:val="00197640"/>
    <w:rsid w:val="001A02F6"/>
    <w:rsid w:val="001A1B21"/>
    <w:rsid w:val="001B076D"/>
    <w:rsid w:val="001B47E1"/>
    <w:rsid w:val="001B4B1A"/>
    <w:rsid w:val="001B4E05"/>
    <w:rsid w:val="001C5299"/>
    <w:rsid w:val="001C74B0"/>
    <w:rsid w:val="001D1224"/>
    <w:rsid w:val="001D2B80"/>
    <w:rsid w:val="001D2C34"/>
    <w:rsid w:val="001D3374"/>
    <w:rsid w:val="001D3E33"/>
    <w:rsid w:val="001D455C"/>
    <w:rsid w:val="001D4C7A"/>
    <w:rsid w:val="001D74FF"/>
    <w:rsid w:val="001E0554"/>
    <w:rsid w:val="001E445D"/>
    <w:rsid w:val="001E5C3B"/>
    <w:rsid w:val="001F1C9B"/>
    <w:rsid w:val="001F7707"/>
    <w:rsid w:val="00202AD5"/>
    <w:rsid w:val="00207ACF"/>
    <w:rsid w:val="002218AB"/>
    <w:rsid w:val="002222E2"/>
    <w:rsid w:val="00226B61"/>
    <w:rsid w:val="00230270"/>
    <w:rsid w:val="00236A06"/>
    <w:rsid w:val="00240B7F"/>
    <w:rsid w:val="002429AF"/>
    <w:rsid w:val="002466DD"/>
    <w:rsid w:val="00246D01"/>
    <w:rsid w:val="00247252"/>
    <w:rsid w:val="00252E01"/>
    <w:rsid w:val="00257F4B"/>
    <w:rsid w:val="00261261"/>
    <w:rsid w:val="00261A17"/>
    <w:rsid w:val="00262856"/>
    <w:rsid w:val="00265333"/>
    <w:rsid w:val="00271426"/>
    <w:rsid w:val="00271850"/>
    <w:rsid w:val="00275120"/>
    <w:rsid w:val="00275AEF"/>
    <w:rsid w:val="0027616F"/>
    <w:rsid w:val="00283F71"/>
    <w:rsid w:val="00283F94"/>
    <w:rsid w:val="0029577F"/>
    <w:rsid w:val="002A04CD"/>
    <w:rsid w:val="002A4E13"/>
    <w:rsid w:val="002A5E8C"/>
    <w:rsid w:val="002A5FF2"/>
    <w:rsid w:val="002B0084"/>
    <w:rsid w:val="002B24B7"/>
    <w:rsid w:val="002B3F87"/>
    <w:rsid w:val="002B567A"/>
    <w:rsid w:val="002B6467"/>
    <w:rsid w:val="002B6C8A"/>
    <w:rsid w:val="002C078A"/>
    <w:rsid w:val="002C2B94"/>
    <w:rsid w:val="002C3676"/>
    <w:rsid w:val="002C59B9"/>
    <w:rsid w:val="002D62E9"/>
    <w:rsid w:val="002F2201"/>
    <w:rsid w:val="002F222C"/>
    <w:rsid w:val="002F6444"/>
    <w:rsid w:val="00317427"/>
    <w:rsid w:val="00317F1E"/>
    <w:rsid w:val="003205A2"/>
    <w:rsid w:val="00322E0E"/>
    <w:rsid w:val="003255E1"/>
    <w:rsid w:val="003279A6"/>
    <w:rsid w:val="003311B8"/>
    <w:rsid w:val="0033178A"/>
    <w:rsid w:val="00331E56"/>
    <w:rsid w:val="00336FD6"/>
    <w:rsid w:val="00341E10"/>
    <w:rsid w:val="003472E1"/>
    <w:rsid w:val="0036017A"/>
    <w:rsid w:val="00361672"/>
    <w:rsid w:val="00364643"/>
    <w:rsid w:val="0037156C"/>
    <w:rsid w:val="00374215"/>
    <w:rsid w:val="00385037"/>
    <w:rsid w:val="0038531F"/>
    <w:rsid w:val="003860CD"/>
    <w:rsid w:val="003871E2"/>
    <w:rsid w:val="003A23A1"/>
    <w:rsid w:val="003A3DC7"/>
    <w:rsid w:val="003B01A2"/>
    <w:rsid w:val="003B21FC"/>
    <w:rsid w:val="003B56B1"/>
    <w:rsid w:val="003C0609"/>
    <w:rsid w:val="003C11E9"/>
    <w:rsid w:val="003C3339"/>
    <w:rsid w:val="003D2E4A"/>
    <w:rsid w:val="003D7C8E"/>
    <w:rsid w:val="003E1A97"/>
    <w:rsid w:val="003E3F4D"/>
    <w:rsid w:val="003E4F5C"/>
    <w:rsid w:val="003F2107"/>
    <w:rsid w:val="00400844"/>
    <w:rsid w:val="00405061"/>
    <w:rsid w:val="00405AFF"/>
    <w:rsid w:val="00420797"/>
    <w:rsid w:val="00425082"/>
    <w:rsid w:val="00443794"/>
    <w:rsid w:val="00450827"/>
    <w:rsid w:val="004571C4"/>
    <w:rsid w:val="004671F5"/>
    <w:rsid w:val="00470F2E"/>
    <w:rsid w:val="00471A24"/>
    <w:rsid w:val="0047753B"/>
    <w:rsid w:val="004820C8"/>
    <w:rsid w:val="004947E6"/>
    <w:rsid w:val="004A0C01"/>
    <w:rsid w:val="004A1D3A"/>
    <w:rsid w:val="004A2419"/>
    <w:rsid w:val="004A51CC"/>
    <w:rsid w:val="004A7C4F"/>
    <w:rsid w:val="004B1988"/>
    <w:rsid w:val="004B5D06"/>
    <w:rsid w:val="004C4527"/>
    <w:rsid w:val="004E32E2"/>
    <w:rsid w:val="004E5E92"/>
    <w:rsid w:val="004E61D1"/>
    <w:rsid w:val="004E6FDE"/>
    <w:rsid w:val="004F6378"/>
    <w:rsid w:val="00500A41"/>
    <w:rsid w:val="00501989"/>
    <w:rsid w:val="005071FC"/>
    <w:rsid w:val="005102C1"/>
    <w:rsid w:val="00513862"/>
    <w:rsid w:val="00513C9F"/>
    <w:rsid w:val="005157E2"/>
    <w:rsid w:val="0052342A"/>
    <w:rsid w:val="0052430B"/>
    <w:rsid w:val="00525ADD"/>
    <w:rsid w:val="00536926"/>
    <w:rsid w:val="005404F1"/>
    <w:rsid w:val="00541DC4"/>
    <w:rsid w:val="005426E5"/>
    <w:rsid w:val="005432B5"/>
    <w:rsid w:val="00545D29"/>
    <w:rsid w:val="00547294"/>
    <w:rsid w:val="0055723F"/>
    <w:rsid w:val="00562D6E"/>
    <w:rsid w:val="00564F9C"/>
    <w:rsid w:val="00567EB7"/>
    <w:rsid w:val="005817A0"/>
    <w:rsid w:val="0058342D"/>
    <w:rsid w:val="00586059"/>
    <w:rsid w:val="005908FC"/>
    <w:rsid w:val="005935FE"/>
    <w:rsid w:val="00593C69"/>
    <w:rsid w:val="005943C9"/>
    <w:rsid w:val="00597779"/>
    <w:rsid w:val="005A1C5B"/>
    <w:rsid w:val="005A4118"/>
    <w:rsid w:val="005A4C0D"/>
    <w:rsid w:val="005A6F25"/>
    <w:rsid w:val="005A7F4E"/>
    <w:rsid w:val="005B51DA"/>
    <w:rsid w:val="005B5DA5"/>
    <w:rsid w:val="005B654E"/>
    <w:rsid w:val="005B7935"/>
    <w:rsid w:val="005C381D"/>
    <w:rsid w:val="005C44EE"/>
    <w:rsid w:val="005C662F"/>
    <w:rsid w:val="005D24C4"/>
    <w:rsid w:val="005E1446"/>
    <w:rsid w:val="005E3547"/>
    <w:rsid w:val="006045E2"/>
    <w:rsid w:val="006070E0"/>
    <w:rsid w:val="006118B3"/>
    <w:rsid w:val="00612A61"/>
    <w:rsid w:val="00613BF2"/>
    <w:rsid w:val="00626138"/>
    <w:rsid w:val="00630200"/>
    <w:rsid w:val="0063350E"/>
    <w:rsid w:val="0063696A"/>
    <w:rsid w:val="006463C4"/>
    <w:rsid w:val="00647730"/>
    <w:rsid w:val="00647A9F"/>
    <w:rsid w:val="00650949"/>
    <w:rsid w:val="0065249E"/>
    <w:rsid w:val="006527A9"/>
    <w:rsid w:val="00660272"/>
    <w:rsid w:val="006636CD"/>
    <w:rsid w:val="00665A2C"/>
    <w:rsid w:val="006772E2"/>
    <w:rsid w:val="00681B08"/>
    <w:rsid w:val="006828C8"/>
    <w:rsid w:val="00683F09"/>
    <w:rsid w:val="00687752"/>
    <w:rsid w:val="00696216"/>
    <w:rsid w:val="006975FB"/>
    <w:rsid w:val="006A15F7"/>
    <w:rsid w:val="006B66EC"/>
    <w:rsid w:val="006B701C"/>
    <w:rsid w:val="006C4C91"/>
    <w:rsid w:val="006C595E"/>
    <w:rsid w:val="006C6D4F"/>
    <w:rsid w:val="006D0A04"/>
    <w:rsid w:val="006D206A"/>
    <w:rsid w:val="006D2F88"/>
    <w:rsid w:val="006D31C3"/>
    <w:rsid w:val="006D55F0"/>
    <w:rsid w:val="006D5A77"/>
    <w:rsid w:val="006D7C5A"/>
    <w:rsid w:val="006F0452"/>
    <w:rsid w:val="006F560D"/>
    <w:rsid w:val="006F5C00"/>
    <w:rsid w:val="007065DC"/>
    <w:rsid w:val="00707612"/>
    <w:rsid w:val="007136C0"/>
    <w:rsid w:val="00715341"/>
    <w:rsid w:val="00734062"/>
    <w:rsid w:val="007343A2"/>
    <w:rsid w:val="00734D83"/>
    <w:rsid w:val="007360C1"/>
    <w:rsid w:val="007464A7"/>
    <w:rsid w:val="0075090C"/>
    <w:rsid w:val="00760A32"/>
    <w:rsid w:val="00761E83"/>
    <w:rsid w:val="0076361B"/>
    <w:rsid w:val="00763901"/>
    <w:rsid w:val="00771BE9"/>
    <w:rsid w:val="00785D49"/>
    <w:rsid w:val="007864BF"/>
    <w:rsid w:val="00792ADC"/>
    <w:rsid w:val="0079350D"/>
    <w:rsid w:val="007A1E0E"/>
    <w:rsid w:val="007A356C"/>
    <w:rsid w:val="007A5934"/>
    <w:rsid w:val="007A7FCE"/>
    <w:rsid w:val="007F098F"/>
    <w:rsid w:val="007F1548"/>
    <w:rsid w:val="007F3266"/>
    <w:rsid w:val="007F362D"/>
    <w:rsid w:val="007F383B"/>
    <w:rsid w:val="007F6345"/>
    <w:rsid w:val="0080000D"/>
    <w:rsid w:val="008022D3"/>
    <w:rsid w:val="00804BBD"/>
    <w:rsid w:val="00830475"/>
    <w:rsid w:val="00830768"/>
    <w:rsid w:val="00831AAB"/>
    <w:rsid w:val="00831BB2"/>
    <w:rsid w:val="00836DDC"/>
    <w:rsid w:val="008378D6"/>
    <w:rsid w:val="0084388C"/>
    <w:rsid w:val="00862121"/>
    <w:rsid w:val="00865731"/>
    <w:rsid w:val="0086717B"/>
    <w:rsid w:val="00871A7A"/>
    <w:rsid w:val="00871DEC"/>
    <w:rsid w:val="00880F6A"/>
    <w:rsid w:val="00883A0D"/>
    <w:rsid w:val="00884DF8"/>
    <w:rsid w:val="00886FE1"/>
    <w:rsid w:val="008904C7"/>
    <w:rsid w:val="00894386"/>
    <w:rsid w:val="00895D1F"/>
    <w:rsid w:val="008A50D7"/>
    <w:rsid w:val="008A6676"/>
    <w:rsid w:val="008B1A50"/>
    <w:rsid w:val="008B2240"/>
    <w:rsid w:val="008B2DD4"/>
    <w:rsid w:val="008B76B5"/>
    <w:rsid w:val="008C566B"/>
    <w:rsid w:val="008D12CF"/>
    <w:rsid w:val="008D189B"/>
    <w:rsid w:val="008D31AC"/>
    <w:rsid w:val="008D3659"/>
    <w:rsid w:val="008D6819"/>
    <w:rsid w:val="008E0196"/>
    <w:rsid w:val="008E2D78"/>
    <w:rsid w:val="008F2267"/>
    <w:rsid w:val="008F2B64"/>
    <w:rsid w:val="008F2E4D"/>
    <w:rsid w:val="008F62E2"/>
    <w:rsid w:val="008F6F07"/>
    <w:rsid w:val="0090398C"/>
    <w:rsid w:val="00913FA8"/>
    <w:rsid w:val="0091495B"/>
    <w:rsid w:val="00915F66"/>
    <w:rsid w:val="0092065C"/>
    <w:rsid w:val="00926BDF"/>
    <w:rsid w:val="00933152"/>
    <w:rsid w:val="00933153"/>
    <w:rsid w:val="009362AB"/>
    <w:rsid w:val="009365AE"/>
    <w:rsid w:val="0095046C"/>
    <w:rsid w:val="0095146D"/>
    <w:rsid w:val="00951806"/>
    <w:rsid w:val="00971027"/>
    <w:rsid w:val="00971F76"/>
    <w:rsid w:val="00975C8B"/>
    <w:rsid w:val="009A532F"/>
    <w:rsid w:val="009A5D63"/>
    <w:rsid w:val="009A5D6B"/>
    <w:rsid w:val="009A752A"/>
    <w:rsid w:val="009C10C4"/>
    <w:rsid w:val="009C2DB1"/>
    <w:rsid w:val="009C5B2F"/>
    <w:rsid w:val="009D0B1B"/>
    <w:rsid w:val="009D29A6"/>
    <w:rsid w:val="009E00C6"/>
    <w:rsid w:val="009E4E1B"/>
    <w:rsid w:val="009E5FB7"/>
    <w:rsid w:val="009E7655"/>
    <w:rsid w:val="00A00FDD"/>
    <w:rsid w:val="00A02403"/>
    <w:rsid w:val="00A10CF3"/>
    <w:rsid w:val="00A10F85"/>
    <w:rsid w:val="00A31A01"/>
    <w:rsid w:val="00A36F89"/>
    <w:rsid w:val="00A404CC"/>
    <w:rsid w:val="00A4332D"/>
    <w:rsid w:val="00A46114"/>
    <w:rsid w:val="00A515CA"/>
    <w:rsid w:val="00A57B1A"/>
    <w:rsid w:val="00A610EA"/>
    <w:rsid w:val="00A6237D"/>
    <w:rsid w:val="00A71852"/>
    <w:rsid w:val="00A7471E"/>
    <w:rsid w:val="00A75B54"/>
    <w:rsid w:val="00A8687C"/>
    <w:rsid w:val="00A97565"/>
    <w:rsid w:val="00AB1E2F"/>
    <w:rsid w:val="00AB5687"/>
    <w:rsid w:val="00AB67D3"/>
    <w:rsid w:val="00AC04DD"/>
    <w:rsid w:val="00AD19C1"/>
    <w:rsid w:val="00AD1F46"/>
    <w:rsid w:val="00AD27AC"/>
    <w:rsid w:val="00AD3810"/>
    <w:rsid w:val="00AD3FEC"/>
    <w:rsid w:val="00AE40AC"/>
    <w:rsid w:val="00AF3F49"/>
    <w:rsid w:val="00AF6009"/>
    <w:rsid w:val="00AF68A0"/>
    <w:rsid w:val="00B00B17"/>
    <w:rsid w:val="00B02E8D"/>
    <w:rsid w:val="00B05118"/>
    <w:rsid w:val="00B11456"/>
    <w:rsid w:val="00B1399D"/>
    <w:rsid w:val="00B15E17"/>
    <w:rsid w:val="00B16FE5"/>
    <w:rsid w:val="00B26DE8"/>
    <w:rsid w:val="00B53C56"/>
    <w:rsid w:val="00B5474C"/>
    <w:rsid w:val="00B56F09"/>
    <w:rsid w:val="00B61B6E"/>
    <w:rsid w:val="00B66FFB"/>
    <w:rsid w:val="00B72B55"/>
    <w:rsid w:val="00B72BE4"/>
    <w:rsid w:val="00B72CB5"/>
    <w:rsid w:val="00B74355"/>
    <w:rsid w:val="00B840F8"/>
    <w:rsid w:val="00B851F6"/>
    <w:rsid w:val="00B920E4"/>
    <w:rsid w:val="00B9358E"/>
    <w:rsid w:val="00B93E48"/>
    <w:rsid w:val="00BA1B98"/>
    <w:rsid w:val="00BA2E63"/>
    <w:rsid w:val="00BA306C"/>
    <w:rsid w:val="00BA63F8"/>
    <w:rsid w:val="00BB5B7A"/>
    <w:rsid w:val="00BC7E63"/>
    <w:rsid w:val="00BD7ED8"/>
    <w:rsid w:val="00BF2382"/>
    <w:rsid w:val="00BF51ED"/>
    <w:rsid w:val="00BF5494"/>
    <w:rsid w:val="00C16392"/>
    <w:rsid w:val="00C201A5"/>
    <w:rsid w:val="00C2275D"/>
    <w:rsid w:val="00C22D8C"/>
    <w:rsid w:val="00C3487F"/>
    <w:rsid w:val="00C35AF6"/>
    <w:rsid w:val="00C426F8"/>
    <w:rsid w:val="00C43B1E"/>
    <w:rsid w:val="00C43F87"/>
    <w:rsid w:val="00C44606"/>
    <w:rsid w:val="00C4667A"/>
    <w:rsid w:val="00C52F77"/>
    <w:rsid w:val="00C60969"/>
    <w:rsid w:val="00C63ECF"/>
    <w:rsid w:val="00C7409C"/>
    <w:rsid w:val="00C7446E"/>
    <w:rsid w:val="00C92D22"/>
    <w:rsid w:val="00C92EE2"/>
    <w:rsid w:val="00C95C67"/>
    <w:rsid w:val="00CA30FE"/>
    <w:rsid w:val="00CA7943"/>
    <w:rsid w:val="00CA7E8F"/>
    <w:rsid w:val="00CB64A8"/>
    <w:rsid w:val="00CB7E3D"/>
    <w:rsid w:val="00CB7E63"/>
    <w:rsid w:val="00CC4401"/>
    <w:rsid w:val="00CD0043"/>
    <w:rsid w:val="00CE62B7"/>
    <w:rsid w:val="00CE7F67"/>
    <w:rsid w:val="00CF6EA0"/>
    <w:rsid w:val="00D13337"/>
    <w:rsid w:val="00D161CE"/>
    <w:rsid w:val="00D20F67"/>
    <w:rsid w:val="00D27222"/>
    <w:rsid w:val="00D34479"/>
    <w:rsid w:val="00D43F5B"/>
    <w:rsid w:val="00D502E6"/>
    <w:rsid w:val="00D52639"/>
    <w:rsid w:val="00D53A5D"/>
    <w:rsid w:val="00D63CC1"/>
    <w:rsid w:val="00D6542C"/>
    <w:rsid w:val="00D742A9"/>
    <w:rsid w:val="00D77DE5"/>
    <w:rsid w:val="00D83A0D"/>
    <w:rsid w:val="00D845DC"/>
    <w:rsid w:val="00D87A60"/>
    <w:rsid w:val="00DA76A1"/>
    <w:rsid w:val="00DA7DE0"/>
    <w:rsid w:val="00DB51E5"/>
    <w:rsid w:val="00DD12CB"/>
    <w:rsid w:val="00DD2C18"/>
    <w:rsid w:val="00DF0DC3"/>
    <w:rsid w:val="00DF5EFC"/>
    <w:rsid w:val="00DF5F59"/>
    <w:rsid w:val="00E07046"/>
    <w:rsid w:val="00E07078"/>
    <w:rsid w:val="00E154F6"/>
    <w:rsid w:val="00E3013F"/>
    <w:rsid w:val="00E367FB"/>
    <w:rsid w:val="00E43314"/>
    <w:rsid w:val="00E514E4"/>
    <w:rsid w:val="00E550F3"/>
    <w:rsid w:val="00E6350A"/>
    <w:rsid w:val="00E654F0"/>
    <w:rsid w:val="00E6651B"/>
    <w:rsid w:val="00E716FB"/>
    <w:rsid w:val="00E75D5A"/>
    <w:rsid w:val="00E7745F"/>
    <w:rsid w:val="00E8179F"/>
    <w:rsid w:val="00E83712"/>
    <w:rsid w:val="00E85B91"/>
    <w:rsid w:val="00E93E63"/>
    <w:rsid w:val="00EA12B8"/>
    <w:rsid w:val="00EA1846"/>
    <w:rsid w:val="00EA1A85"/>
    <w:rsid w:val="00EA3DC1"/>
    <w:rsid w:val="00EA66EC"/>
    <w:rsid w:val="00EB13B5"/>
    <w:rsid w:val="00EB3694"/>
    <w:rsid w:val="00EC0859"/>
    <w:rsid w:val="00ED1E5F"/>
    <w:rsid w:val="00ED3C84"/>
    <w:rsid w:val="00ED6422"/>
    <w:rsid w:val="00ED6CD4"/>
    <w:rsid w:val="00EE1340"/>
    <w:rsid w:val="00EE2DEC"/>
    <w:rsid w:val="00EE4221"/>
    <w:rsid w:val="00EE491D"/>
    <w:rsid w:val="00EE791C"/>
    <w:rsid w:val="00EF269F"/>
    <w:rsid w:val="00EF3E61"/>
    <w:rsid w:val="00EF5D9C"/>
    <w:rsid w:val="00EF5EB7"/>
    <w:rsid w:val="00F05551"/>
    <w:rsid w:val="00F062B1"/>
    <w:rsid w:val="00F06D95"/>
    <w:rsid w:val="00F13828"/>
    <w:rsid w:val="00F1465A"/>
    <w:rsid w:val="00F228C9"/>
    <w:rsid w:val="00F237CC"/>
    <w:rsid w:val="00F3188F"/>
    <w:rsid w:val="00F31FBE"/>
    <w:rsid w:val="00F51108"/>
    <w:rsid w:val="00F53AD4"/>
    <w:rsid w:val="00F541CC"/>
    <w:rsid w:val="00F54233"/>
    <w:rsid w:val="00F56D15"/>
    <w:rsid w:val="00F57459"/>
    <w:rsid w:val="00F701D4"/>
    <w:rsid w:val="00F856C2"/>
    <w:rsid w:val="00F91251"/>
    <w:rsid w:val="00F92A53"/>
    <w:rsid w:val="00F95C7E"/>
    <w:rsid w:val="00F97037"/>
    <w:rsid w:val="00F97AD6"/>
    <w:rsid w:val="00F97D9F"/>
    <w:rsid w:val="00FA0B3B"/>
    <w:rsid w:val="00FA5943"/>
    <w:rsid w:val="00FB1A14"/>
    <w:rsid w:val="00FB5289"/>
    <w:rsid w:val="00FB5314"/>
    <w:rsid w:val="00FB721D"/>
    <w:rsid w:val="00FB7508"/>
    <w:rsid w:val="00FC02C5"/>
    <w:rsid w:val="00FC2C97"/>
    <w:rsid w:val="00FC366A"/>
    <w:rsid w:val="00FD100E"/>
    <w:rsid w:val="00FD133B"/>
    <w:rsid w:val="00FD2484"/>
    <w:rsid w:val="00FD3B7F"/>
    <w:rsid w:val="00FD484B"/>
    <w:rsid w:val="00FD53A6"/>
    <w:rsid w:val="00FD748F"/>
    <w:rsid w:val="00FE0033"/>
    <w:rsid w:val="00FE10C7"/>
    <w:rsid w:val="00FE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2D261"/>
  <w14:defaultImageDpi w14:val="32767"/>
  <w15:chartTrackingRefBased/>
  <w15:docId w15:val="{D6151351-2FEB-8B42-B760-341E714E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B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0B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0B3B"/>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FA0B3B"/>
    <w:rPr>
      <w:color w:val="808080"/>
    </w:rPr>
  </w:style>
  <w:style w:type="paragraph" w:styleId="BalloonText">
    <w:name w:val="Balloon Text"/>
    <w:basedOn w:val="Normal"/>
    <w:link w:val="BalloonTextChar"/>
    <w:uiPriority w:val="99"/>
    <w:semiHidden/>
    <w:unhideWhenUsed/>
    <w:rsid w:val="00613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F2"/>
    <w:rPr>
      <w:rFonts w:ascii="Segoe UI" w:hAnsi="Segoe UI" w:cs="Segoe UI"/>
      <w:sz w:val="18"/>
      <w:szCs w:val="18"/>
    </w:rPr>
  </w:style>
  <w:style w:type="character" w:styleId="CommentReference">
    <w:name w:val="annotation reference"/>
    <w:basedOn w:val="DefaultParagraphFont"/>
    <w:uiPriority w:val="99"/>
    <w:semiHidden/>
    <w:unhideWhenUsed/>
    <w:rsid w:val="00613BF2"/>
    <w:rPr>
      <w:sz w:val="16"/>
      <w:szCs w:val="16"/>
    </w:rPr>
  </w:style>
  <w:style w:type="paragraph" w:styleId="CommentText">
    <w:name w:val="annotation text"/>
    <w:basedOn w:val="Normal"/>
    <w:link w:val="CommentTextChar"/>
    <w:uiPriority w:val="99"/>
    <w:semiHidden/>
    <w:unhideWhenUsed/>
    <w:rsid w:val="00613BF2"/>
    <w:rPr>
      <w:sz w:val="20"/>
      <w:szCs w:val="20"/>
    </w:rPr>
  </w:style>
  <w:style w:type="character" w:customStyle="1" w:styleId="CommentTextChar">
    <w:name w:val="Comment Text Char"/>
    <w:basedOn w:val="DefaultParagraphFont"/>
    <w:link w:val="CommentText"/>
    <w:uiPriority w:val="99"/>
    <w:semiHidden/>
    <w:rsid w:val="00613BF2"/>
    <w:rPr>
      <w:sz w:val="20"/>
      <w:szCs w:val="20"/>
    </w:rPr>
  </w:style>
  <w:style w:type="paragraph" w:styleId="CommentSubject">
    <w:name w:val="annotation subject"/>
    <w:basedOn w:val="CommentText"/>
    <w:next w:val="CommentText"/>
    <w:link w:val="CommentSubjectChar"/>
    <w:uiPriority w:val="99"/>
    <w:semiHidden/>
    <w:unhideWhenUsed/>
    <w:rsid w:val="00613BF2"/>
    <w:rPr>
      <w:b/>
      <w:bCs/>
    </w:rPr>
  </w:style>
  <w:style w:type="character" w:customStyle="1" w:styleId="CommentSubjectChar">
    <w:name w:val="Comment Subject Char"/>
    <w:basedOn w:val="CommentTextChar"/>
    <w:link w:val="CommentSubject"/>
    <w:uiPriority w:val="99"/>
    <w:semiHidden/>
    <w:rsid w:val="00613BF2"/>
    <w:rPr>
      <w:b/>
      <w:bCs/>
      <w:sz w:val="20"/>
      <w:szCs w:val="20"/>
    </w:rPr>
  </w:style>
  <w:style w:type="paragraph" w:styleId="Footer">
    <w:name w:val="footer"/>
    <w:basedOn w:val="Normal"/>
    <w:link w:val="FooterChar"/>
    <w:uiPriority w:val="99"/>
    <w:unhideWhenUsed/>
    <w:rsid w:val="009E00C6"/>
    <w:pPr>
      <w:tabs>
        <w:tab w:val="center" w:pos="4680"/>
        <w:tab w:val="right" w:pos="9360"/>
      </w:tabs>
    </w:pPr>
  </w:style>
  <w:style w:type="character" w:customStyle="1" w:styleId="FooterChar">
    <w:name w:val="Footer Char"/>
    <w:basedOn w:val="DefaultParagraphFont"/>
    <w:link w:val="Footer"/>
    <w:uiPriority w:val="99"/>
    <w:rsid w:val="009E00C6"/>
  </w:style>
  <w:style w:type="character" w:styleId="PageNumber">
    <w:name w:val="page number"/>
    <w:basedOn w:val="DefaultParagraphFont"/>
    <w:uiPriority w:val="99"/>
    <w:semiHidden/>
    <w:unhideWhenUsed/>
    <w:rsid w:val="009E00C6"/>
  </w:style>
  <w:style w:type="character" w:styleId="Hyperlink">
    <w:name w:val="Hyperlink"/>
    <w:basedOn w:val="DefaultParagraphFont"/>
    <w:uiPriority w:val="99"/>
    <w:unhideWhenUsed/>
    <w:rsid w:val="009E00C6"/>
    <w:rPr>
      <w:color w:val="0563C1" w:themeColor="hyperlink"/>
      <w:u w:val="single"/>
    </w:rPr>
  </w:style>
  <w:style w:type="character" w:styleId="UnresolvedMention">
    <w:name w:val="Unresolved Mention"/>
    <w:basedOn w:val="DefaultParagraphFont"/>
    <w:uiPriority w:val="99"/>
    <w:rsid w:val="009E00C6"/>
    <w:rPr>
      <w:color w:val="605E5C"/>
      <w:shd w:val="clear" w:color="auto" w:fill="E1DFDD"/>
    </w:rPr>
  </w:style>
  <w:style w:type="paragraph" w:styleId="Revision">
    <w:name w:val="Revision"/>
    <w:hidden/>
    <w:uiPriority w:val="99"/>
    <w:semiHidden/>
    <w:rsid w:val="008C566B"/>
  </w:style>
  <w:style w:type="character" w:styleId="LineNumber">
    <w:name w:val="line number"/>
    <w:basedOn w:val="DefaultParagraphFont"/>
    <w:uiPriority w:val="99"/>
    <w:semiHidden/>
    <w:unhideWhenUsed/>
    <w:rsid w:val="00A5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145">
      <w:bodyDiv w:val="1"/>
      <w:marLeft w:val="0"/>
      <w:marRight w:val="0"/>
      <w:marTop w:val="0"/>
      <w:marBottom w:val="0"/>
      <w:divBdr>
        <w:top w:val="none" w:sz="0" w:space="0" w:color="auto"/>
        <w:left w:val="none" w:sz="0" w:space="0" w:color="auto"/>
        <w:bottom w:val="none" w:sz="0" w:space="0" w:color="auto"/>
        <w:right w:val="none" w:sz="0" w:space="0" w:color="auto"/>
      </w:divBdr>
      <w:divsChild>
        <w:div w:id="954286088">
          <w:marLeft w:val="640"/>
          <w:marRight w:val="0"/>
          <w:marTop w:val="0"/>
          <w:marBottom w:val="0"/>
          <w:divBdr>
            <w:top w:val="none" w:sz="0" w:space="0" w:color="auto"/>
            <w:left w:val="none" w:sz="0" w:space="0" w:color="auto"/>
            <w:bottom w:val="none" w:sz="0" w:space="0" w:color="auto"/>
            <w:right w:val="none" w:sz="0" w:space="0" w:color="auto"/>
          </w:divBdr>
        </w:div>
        <w:div w:id="198932940">
          <w:marLeft w:val="640"/>
          <w:marRight w:val="0"/>
          <w:marTop w:val="0"/>
          <w:marBottom w:val="0"/>
          <w:divBdr>
            <w:top w:val="none" w:sz="0" w:space="0" w:color="auto"/>
            <w:left w:val="none" w:sz="0" w:space="0" w:color="auto"/>
            <w:bottom w:val="none" w:sz="0" w:space="0" w:color="auto"/>
            <w:right w:val="none" w:sz="0" w:space="0" w:color="auto"/>
          </w:divBdr>
        </w:div>
        <w:div w:id="772627518">
          <w:marLeft w:val="640"/>
          <w:marRight w:val="0"/>
          <w:marTop w:val="0"/>
          <w:marBottom w:val="0"/>
          <w:divBdr>
            <w:top w:val="none" w:sz="0" w:space="0" w:color="auto"/>
            <w:left w:val="none" w:sz="0" w:space="0" w:color="auto"/>
            <w:bottom w:val="none" w:sz="0" w:space="0" w:color="auto"/>
            <w:right w:val="none" w:sz="0" w:space="0" w:color="auto"/>
          </w:divBdr>
        </w:div>
        <w:div w:id="1421676998">
          <w:marLeft w:val="640"/>
          <w:marRight w:val="0"/>
          <w:marTop w:val="0"/>
          <w:marBottom w:val="0"/>
          <w:divBdr>
            <w:top w:val="none" w:sz="0" w:space="0" w:color="auto"/>
            <w:left w:val="none" w:sz="0" w:space="0" w:color="auto"/>
            <w:bottom w:val="none" w:sz="0" w:space="0" w:color="auto"/>
            <w:right w:val="none" w:sz="0" w:space="0" w:color="auto"/>
          </w:divBdr>
        </w:div>
        <w:div w:id="1777938654">
          <w:marLeft w:val="640"/>
          <w:marRight w:val="0"/>
          <w:marTop w:val="0"/>
          <w:marBottom w:val="0"/>
          <w:divBdr>
            <w:top w:val="none" w:sz="0" w:space="0" w:color="auto"/>
            <w:left w:val="none" w:sz="0" w:space="0" w:color="auto"/>
            <w:bottom w:val="none" w:sz="0" w:space="0" w:color="auto"/>
            <w:right w:val="none" w:sz="0" w:space="0" w:color="auto"/>
          </w:divBdr>
        </w:div>
        <w:div w:id="1035927855">
          <w:marLeft w:val="640"/>
          <w:marRight w:val="0"/>
          <w:marTop w:val="0"/>
          <w:marBottom w:val="0"/>
          <w:divBdr>
            <w:top w:val="none" w:sz="0" w:space="0" w:color="auto"/>
            <w:left w:val="none" w:sz="0" w:space="0" w:color="auto"/>
            <w:bottom w:val="none" w:sz="0" w:space="0" w:color="auto"/>
            <w:right w:val="none" w:sz="0" w:space="0" w:color="auto"/>
          </w:divBdr>
        </w:div>
        <w:div w:id="1604026104">
          <w:marLeft w:val="640"/>
          <w:marRight w:val="0"/>
          <w:marTop w:val="0"/>
          <w:marBottom w:val="0"/>
          <w:divBdr>
            <w:top w:val="none" w:sz="0" w:space="0" w:color="auto"/>
            <w:left w:val="none" w:sz="0" w:space="0" w:color="auto"/>
            <w:bottom w:val="none" w:sz="0" w:space="0" w:color="auto"/>
            <w:right w:val="none" w:sz="0" w:space="0" w:color="auto"/>
          </w:divBdr>
        </w:div>
        <w:div w:id="332533416">
          <w:marLeft w:val="640"/>
          <w:marRight w:val="0"/>
          <w:marTop w:val="0"/>
          <w:marBottom w:val="0"/>
          <w:divBdr>
            <w:top w:val="none" w:sz="0" w:space="0" w:color="auto"/>
            <w:left w:val="none" w:sz="0" w:space="0" w:color="auto"/>
            <w:bottom w:val="none" w:sz="0" w:space="0" w:color="auto"/>
            <w:right w:val="none" w:sz="0" w:space="0" w:color="auto"/>
          </w:divBdr>
        </w:div>
        <w:div w:id="1426224055">
          <w:marLeft w:val="640"/>
          <w:marRight w:val="0"/>
          <w:marTop w:val="0"/>
          <w:marBottom w:val="0"/>
          <w:divBdr>
            <w:top w:val="none" w:sz="0" w:space="0" w:color="auto"/>
            <w:left w:val="none" w:sz="0" w:space="0" w:color="auto"/>
            <w:bottom w:val="none" w:sz="0" w:space="0" w:color="auto"/>
            <w:right w:val="none" w:sz="0" w:space="0" w:color="auto"/>
          </w:divBdr>
        </w:div>
        <w:div w:id="1827932272">
          <w:marLeft w:val="640"/>
          <w:marRight w:val="0"/>
          <w:marTop w:val="0"/>
          <w:marBottom w:val="0"/>
          <w:divBdr>
            <w:top w:val="none" w:sz="0" w:space="0" w:color="auto"/>
            <w:left w:val="none" w:sz="0" w:space="0" w:color="auto"/>
            <w:bottom w:val="none" w:sz="0" w:space="0" w:color="auto"/>
            <w:right w:val="none" w:sz="0" w:space="0" w:color="auto"/>
          </w:divBdr>
        </w:div>
        <w:div w:id="925114956">
          <w:marLeft w:val="640"/>
          <w:marRight w:val="0"/>
          <w:marTop w:val="0"/>
          <w:marBottom w:val="0"/>
          <w:divBdr>
            <w:top w:val="none" w:sz="0" w:space="0" w:color="auto"/>
            <w:left w:val="none" w:sz="0" w:space="0" w:color="auto"/>
            <w:bottom w:val="none" w:sz="0" w:space="0" w:color="auto"/>
            <w:right w:val="none" w:sz="0" w:space="0" w:color="auto"/>
          </w:divBdr>
        </w:div>
        <w:div w:id="1502819949">
          <w:marLeft w:val="640"/>
          <w:marRight w:val="0"/>
          <w:marTop w:val="0"/>
          <w:marBottom w:val="0"/>
          <w:divBdr>
            <w:top w:val="none" w:sz="0" w:space="0" w:color="auto"/>
            <w:left w:val="none" w:sz="0" w:space="0" w:color="auto"/>
            <w:bottom w:val="none" w:sz="0" w:space="0" w:color="auto"/>
            <w:right w:val="none" w:sz="0" w:space="0" w:color="auto"/>
          </w:divBdr>
        </w:div>
        <w:div w:id="18437851">
          <w:marLeft w:val="640"/>
          <w:marRight w:val="0"/>
          <w:marTop w:val="0"/>
          <w:marBottom w:val="0"/>
          <w:divBdr>
            <w:top w:val="none" w:sz="0" w:space="0" w:color="auto"/>
            <w:left w:val="none" w:sz="0" w:space="0" w:color="auto"/>
            <w:bottom w:val="none" w:sz="0" w:space="0" w:color="auto"/>
            <w:right w:val="none" w:sz="0" w:space="0" w:color="auto"/>
          </w:divBdr>
        </w:div>
        <w:div w:id="820000072">
          <w:marLeft w:val="640"/>
          <w:marRight w:val="0"/>
          <w:marTop w:val="0"/>
          <w:marBottom w:val="0"/>
          <w:divBdr>
            <w:top w:val="none" w:sz="0" w:space="0" w:color="auto"/>
            <w:left w:val="none" w:sz="0" w:space="0" w:color="auto"/>
            <w:bottom w:val="none" w:sz="0" w:space="0" w:color="auto"/>
            <w:right w:val="none" w:sz="0" w:space="0" w:color="auto"/>
          </w:divBdr>
        </w:div>
        <w:div w:id="829449343">
          <w:marLeft w:val="640"/>
          <w:marRight w:val="0"/>
          <w:marTop w:val="0"/>
          <w:marBottom w:val="0"/>
          <w:divBdr>
            <w:top w:val="none" w:sz="0" w:space="0" w:color="auto"/>
            <w:left w:val="none" w:sz="0" w:space="0" w:color="auto"/>
            <w:bottom w:val="none" w:sz="0" w:space="0" w:color="auto"/>
            <w:right w:val="none" w:sz="0" w:space="0" w:color="auto"/>
          </w:divBdr>
        </w:div>
      </w:divsChild>
    </w:div>
    <w:div w:id="168376564">
      <w:bodyDiv w:val="1"/>
      <w:marLeft w:val="0"/>
      <w:marRight w:val="0"/>
      <w:marTop w:val="0"/>
      <w:marBottom w:val="0"/>
      <w:divBdr>
        <w:top w:val="none" w:sz="0" w:space="0" w:color="auto"/>
        <w:left w:val="none" w:sz="0" w:space="0" w:color="auto"/>
        <w:bottom w:val="none" w:sz="0" w:space="0" w:color="auto"/>
        <w:right w:val="none" w:sz="0" w:space="0" w:color="auto"/>
      </w:divBdr>
      <w:divsChild>
        <w:div w:id="352149039">
          <w:marLeft w:val="640"/>
          <w:marRight w:val="0"/>
          <w:marTop w:val="0"/>
          <w:marBottom w:val="0"/>
          <w:divBdr>
            <w:top w:val="none" w:sz="0" w:space="0" w:color="auto"/>
            <w:left w:val="none" w:sz="0" w:space="0" w:color="auto"/>
            <w:bottom w:val="none" w:sz="0" w:space="0" w:color="auto"/>
            <w:right w:val="none" w:sz="0" w:space="0" w:color="auto"/>
          </w:divBdr>
        </w:div>
        <w:div w:id="1716197938">
          <w:marLeft w:val="640"/>
          <w:marRight w:val="0"/>
          <w:marTop w:val="0"/>
          <w:marBottom w:val="0"/>
          <w:divBdr>
            <w:top w:val="none" w:sz="0" w:space="0" w:color="auto"/>
            <w:left w:val="none" w:sz="0" w:space="0" w:color="auto"/>
            <w:bottom w:val="none" w:sz="0" w:space="0" w:color="auto"/>
            <w:right w:val="none" w:sz="0" w:space="0" w:color="auto"/>
          </w:divBdr>
        </w:div>
        <w:div w:id="1709357">
          <w:marLeft w:val="640"/>
          <w:marRight w:val="0"/>
          <w:marTop w:val="0"/>
          <w:marBottom w:val="0"/>
          <w:divBdr>
            <w:top w:val="none" w:sz="0" w:space="0" w:color="auto"/>
            <w:left w:val="none" w:sz="0" w:space="0" w:color="auto"/>
            <w:bottom w:val="none" w:sz="0" w:space="0" w:color="auto"/>
            <w:right w:val="none" w:sz="0" w:space="0" w:color="auto"/>
          </w:divBdr>
        </w:div>
        <w:div w:id="1901670963">
          <w:marLeft w:val="640"/>
          <w:marRight w:val="0"/>
          <w:marTop w:val="0"/>
          <w:marBottom w:val="0"/>
          <w:divBdr>
            <w:top w:val="none" w:sz="0" w:space="0" w:color="auto"/>
            <w:left w:val="none" w:sz="0" w:space="0" w:color="auto"/>
            <w:bottom w:val="none" w:sz="0" w:space="0" w:color="auto"/>
            <w:right w:val="none" w:sz="0" w:space="0" w:color="auto"/>
          </w:divBdr>
        </w:div>
        <w:div w:id="1670791113">
          <w:marLeft w:val="640"/>
          <w:marRight w:val="0"/>
          <w:marTop w:val="0"/>
          <w:marBottom w:val="0"/>
          <w:divBdr>
            <w:top w:val="none" w:sz="0" w:space="0" w:color="auto"/>
            <w:left w:val="none" w:sz="0" w:space="0" w:color="auto"/>
            <w:bottom w:val="none" w:sz="0" w:space="0" w:color="auto"/>
            <w:right w:val="none" w:sz="0" w:space="0" w:color="auto"/>
          </w:divBdr>
        </w:div>
        <w:div w:id="477574539">
          <w:marLeft w:val="640"/>
          <w:marRight w:val="0"/>
          <w:marTop w:val="0"/>
          <w:marBottom w:val="0"/>
          <w:divBdr>
            <w:top w:val="none" w:sz="0" w:space="0" w:color="auto"/>
            <w:left w:val="none" w:sz="0" w:space="0" w:color="auto"/>
            <w:bottom w:val="none" w:sz="0" w:space="0" w:color="auto"/>
            <w:right w:val="none" w:sz="0" w:space="0" w:color="auto"/>
          </w:divBdr>
        </w:div>
        <w:div w:id="657222988">
          <w:marLeft w:val="640"/>
          <w:marRight w:val="0"/>
          <w:marTop w:val="0"/>
          <w:marBottom w:val="0"/>
          <w:divBdr>
            <w:top w:val="none" w:sz="0" w:space="0" w:color="auto"/>
            <w:left w:val="none" w:sz="0" w:space="0" w:color="auto"/>
            <w:bottom w:val="none" w:sz="0" w:space="0" w:color="auto"/>
            <w:right w:val="none" w:sz="0" w:space="0" w:color="auto"/>
          </w:divBdr>
        </w:div>
        <w:div w:id="921375158">
          <w:marLeft w:val="640"/>
          <w:marRight w:val="0"/>
          <w:marTop w:val="0"/>
          <w:marBottom w:val="0"/>
          <w:divBdr>
            <w:top w:val="none" w:sz="0" w:space="0" w:color="auto"/>
            <w:left w:val="none" w:sz="0" w:space="0" w:color="auto"/>
            <w:bottom w:val="none" w:sz="0" w:space="0" w:color="auto"/>
            <w:right w:val="none" w:sz="0" w:space="0" w:color="auto"/>
          </w:divBdr>
        </w:div>
        <w:div w:id="206142296">
          <w:marLeft w:val="640"/>
          <w:marRight w:val="0"/>
          <w:marTop w:val="0"/>
          <w:marBottom w:val="0"/>
          <w:divBdr>
            <w:top w:val="none" w:sz="0" w:space="0" w:color="auto"/>
            <w:left w:val="none" w:sz="0" w:space="0" w:color="auto"/>
            <w:bottom w:val="none" w:sz="0" w:space="0" w:color="auto"/>
            <w:right w:val="none" w:sz="0" w:space="0" w:color="auto"/>
          </w:divBdr>
        </w:div>
        <w:div w:id="2065130930">
          <w:marLeft w:val="640"/>
          <w:marRight w:val="0"/>
          <w:marTop w:val="0"/>
          <w:marBottom w:val="0"/>
          <w:divBdr>
            <w:top w:val="none" w:sz="0" w:space="0" w:color="auto"/>
            <w:left w:val="none" w:sz="0" w:space="0" w:color="auto"/>
            <w:bottom w:val="none" w:sz="0" w:space="0" w:color="auto"/>
            <w:right w:val="none" w:sz="0" w:space="0" w:color="auto"/>
          </w:divBdr>
        </w:div>
        <w:div w:id="1998193910">
          <w:marLeft w:val="640"/>
          <w:marRight w:val="0"/>
          <w:marTop w:val="0"/>
          <w:marBottom w:val="0"/>
          <w:divBdr>
            <w:top w:val="none" w:sz="0" w:space="0" w:color="auto"/>
            <w:left w:val="none" w:sz="0" w:space="0" w:color="auto"/>
            <w:bottom w:val="none" w:sz="0" w:space="0" w:color="auto"/>
            <w:right w:val="none" w:sz="0" w:space="0" w:color="auto"/>
          </w:divBdr>
        </w:div>
        <w:div w:id="1589582915">
          <w:marLeft w:val="640"/>
          <w:marRight w:val="0"/>
          <w:marTop w:val="0"/>
          <w:marBottom w:val="0"/>
          <w:divBdr>
            <w:top w:val="none" w:sz="0" w:space="0" w:color="auto"/>
            <w:left w:val="none" w:sz="0" w:space="0" w:color="auto"/>
            <w:bottom w:val="none" w:sz="0" w:space="0" w:color="auto"/>
            <w:right w:val="none" w:sz="0" w:space="0" w:color="auto"/>
          </w:divBdr>
        </w:div>
        <w:div w:id="1304308515">
          <w:marLeft w:val="640"/>
          <w:marRight w:val="0"/>
          <w:marTop w:val="0"/>
          <w:marBottom w:val="0"/>
          <w:divBdr>
            <w:top w:val="none" w:sz="0" w:space="0" w:color="auto"/>
            <w:left w:val="none" w:sz="0" w:space="0" w:color="auto"/>
            <w:bottom w:val="none" w:sz="0" w:space="0" w:color="auto"/>
            <w:right w:val="none" w:sz="0" w:space="0" w:color="auto"/>
          </w:divBdr>
        </w:div>
        <w:div w:id="2083945216">
          <w:marLeft w:val="640"/>
          <w:marRight w:val="0"/>
          <w:marTop w:val="0"/>
          <w:marBottom w:val="0"/>
          <w:divBdr>
            <w:top w:val="none" w:sz="0" w:space="0" w:color="auto"/>
            <w:left w:val="none" w:sz="0" w:space="0" w:color="auto"/>
            <w:bottom w:val="none" w:sz="0" w:space="0" w:color="auto"/>
            <w:right w:val="none" w:sz="0" w:space="0" w:color="auto"/>
          </w:divBdr>
        </w:div>
        <w:div w:id="1287807301">
          <w:marLeft w:val="640"/>
          <w:marRight w:val="0"/>
          <w:marTop w:val="0"/>
          <w:marBottom w:val="0"/>
          <w:divBdr>
            <w:top w:val="none" w:sz="0" w:space="0" w:color="auto"/>
            <w:left w:val="none" w:sz="0" w:space="0" w:color="auto"/>
            <w:bottom w:val="none" w:sz="0" w:space="0" w:color="auto"/>
            <w:right w:val="none" w:sz="0" w:space="0" w:color="auto"/>
          </w:divBdr>
        </w:div>
        <w:div w:id="1067337990">
          <w:marLeft w:val="640"/>
          <w:marRight w:val="0"/>
          <w:marTop w:val="0"/>
          <w:marBottom w:val="0"/>
          <w:divBdr>
            <w:top w:val="none" w:sz="0" w:space="0" w:color="auto"/>
            <w:left w:val="none" w:sz="0" w:space="0" w:color="auto"/>
            <w:bottom w:val="none" w:sz="0" w:space="0" w:color="auto"/>
            <w:right w:val="none" w:sz="0" w:space="0" w:color="auto"/>
          </w:divBdr>
        </w:div>
        <w:div w:id="2125228147">
          <w:marLeft w:val="640"/>
          <w:marRight w:val="0"/>
          <w:marTop w:val="0"/>
          <w:marBottom w:val="0"/>
          <w:divBdr>
            <w:top w:val="none" w:sz="0" w:space="0" w:color="auto"/>
            <w:left w:val="none" w:sz="0" w:space="0" w:color="auto"/>
            <w:bottom w:val="none" w:sz="0" w:space="0" w:color="auto"/>
            <w:right w:val="none" w:sz="0" w:space="0" w:color="auto"/>
          </w:divBdr>
        </w:div>
        <w:div w:id="754202254">
          <w:marLeft w:val="640"/>
          <w:marRight w:val="0"/>
          <w:marTop w:val="0"/>
          <w:marBottom w:val="0"/>
          <w:divBdr>
            <w:top w:val="none" w:sz="0" w:space="0" w:color="auto"/>
            <w:left w:val="none" w:sz="0" w:space="0" w:color="auto"/>
            <w:bottom w:val="none" w:sz="0" w:space="0" w:color="auto"/>
            <w:right w:val="none" w:sz="0" w:space="0" w:color="auto"/>
          </w:divBdr>
        </w:div>
      </w:divsChild>
    </w:div>
    <w:div w:id="182012404">
      <w:bodyDiv w:val="1"/>
      <w:marLeft w:val="0"/>
      <w:marRight w:val="0"/>
      <w:marTop w:val="0"/>
      <w:marBottom w:val="0"/>
      <w:divBdr>
        <w:top w:val="none" w:sz="0" w:space="0" w:color="auto"/>
        <w:left w:val="none" w:sz="0" w:space="0" w:color="auto"/>
        <w:bottom w:val="none" w:sz="0" w:space="0" w:color="auto"/>
        <w:right w:val="none" w:sz="0" w:space="0" w:color="auto"/>
      </w:divBdr>
      <w:divsChild>
        <w:div w:id="732702298">
          <w:marLeft w:val="640"/>
          <w:marRight w:val="0"/>
          <w:marTop w:val="0"/>
          <w:marBottom w:val="0"/>
          <w:divBdr>
            <w:top w:val="none" w:sz="0" w:space="0" w:color="auto"/>
            <w:left w:val="none" w:sz="0" w:space="0" w:color="auto"/>
            <w:bottom w:val="none" w:sz="0" w:space="0" w:color="auto"/>
            <w:right w:val="none" w:sz="0" w:space="0" w:color="auto"/>
          </w:divBdr>
        </w:div>
        <w:div w:id="1763378299">
          <w:marLeft w:val="640"/>
          <w:marRight w:val="0"/>
          <w:marTop w:val="0"/>
          <w:marBottom w:val="0"/>
          <w:divBdr>
            <w:top w:val="none" w:sz="0" w:space="0" w:color="auto"/>
            <w:left w:val="none" w:sz="0" w:space="0" w:color="auto"/>
            <w:bottom w:val="none" w:sz="0" w:space="0" w:color="auto"/>
            <w:right w:val="none" w:sz="0" w:space="0" w:color="auto"/>
          </w:divBdr>
        </w:div>
        <w:div w:id="1600747746">
          <w:marLeft w:val="640"/>
          <w:marRight w:val="0"/>
          <w:marTop w:val="0"/>
          <w:marBottom w:val="0"/>
          <w:divBdr>
            <w:top w:val="none" w:sz="0" w:space="0" w:color="auto"/>
            <w:left w:val="none" w:sz="0" w:space="0" w:color="auto"/>
            <w:bottom w:val="none" w:sz="0" w:space="0" w:color="auto"/>
            <w:right w:val="none" w:sz="0" w:space="0" w:color="auto"/>
          </w:divBdr>
        </w:div>
        <w:div w:id="534806274">
          <w:marLeft w:val="640"/>
          <w:marRight w:val="0"/>
          <w:marTop w:val="0"/>
          <w:marBottom w:val="0"/>
          <w:divBdr>
            <w:top w:val="none" w:sz="0" w:space="0" w:color="auto"/>
            <w:left w:val="none" w:sz="0" w:space="0" w:color="auto"/>
            <w:bottom w:val="none" w:sz="0" w:space="0" w:color="auto"/>
            <w:right w:val="none" w:sz="0" w:space="0" w:color="auto"/>
          </w:divBdr>
        </w:div>
        <w:div w:id="589897240">
          <w:marLeft w:val="640"/>
          <w:marRight w:val="0"/>
          <w:marTop w:val="0"/>
          <w:marBottom w:val="0"/>
          <w:divBdr>
            <w:top w:val="none" w:sz="0" w:space="0" w:color="auto"/>
            <w:left w:val="none" w:sz="0" w:space="0" w:color="auto"/>
            <w:bottom w:val="none" w:sz="0" w:space="0" w:color="auto"/>
            <w:right w:val="none" w:sz="0" w:space="0" w:color="auto"/>
          </w:divBdr>
        </w:div>
        <w:div w:id="2138528527">
          <w:marLeft w:val="640"/>
          <w:marRight w:val="0"/>
          <w:marTop w:val="0"/>
          <w:marBottom w:val="0"/>
          <w:divBdr>
            <w:top w:val="none" w:sz="0" w:space="0" w:color="auto"/>
            <w:left w:val="none" w:sz="0" w:space="0" w:color="auto"/>
            <w:bottom w:val="none" w:sz="0" w:space="0" w:color="auto"/>
            <w:right w:val="none" w:sz="0" w:space="0" w:color="auto"/>
          </w:divBdr>
        </w:div>
        <w:div w:id="1680503172">
          <w:marLeft w:val="640"/>
          <w:marRight w:val="0"/>
          <w:marTop w:val="0"/>
          <w:marBottom w:val="0"/>
          <w:divBdr>
            <w:top w:val="none" w:sz="0" w:space="0" w:color="auto"/>
            <w:left w:val="none" w:sz="0" w:space="0" w:color="auto"/>
            <w:bottom w:val="none" w:sz="0" w:space="0" w:color="auto"/>
            <w:right w:val="none" w:sz="0" w:space="0" w:color="auto"/>
          </w:divBdr>
        </w:div>
        <w:div w:id="1936093647">
          <w:marLeft w:val="640"/>
          <w:marRight w:val="0"/>
          <w:marTop w:val="0"/>
          <w:marBottom w:val="0"/>
          <w:divBdr>
            <w:top w:val="none" w:sz="0" w:space="0" w:color="auto"/>
            <w:left w:val="none" w:sz="0" w:space="0" w:color="auto"/>
            <w:bottom w:val="none" w:sz="0" w:space="0" w:color="auto"/>
            <w:right w:val="none" w:sz="0" w:space="0" w:color="auto"/>
          </w:divBdr>
        </w:div>
        <w:div w:id="1108114128">
          <w:marLeft w:val="640"/>
          <w:marRight w:val="0"/>
          <w:marTop w:val="0"/>
          <w:marBottom w:val="0"/>
          <w:divBdr>
            <w:top w:val="none" w:sz="0" w:space="0" w:color="auto"/>
            <w:left w:val="none" w:sz="0" w:space="0" w:color="auto"/>
            <w:bottom w:val="none" w:sz="0" w:space="0" w:color="auto"/>
            <w:right w:val="none" w:sz="0" w:space="0" w:color="auto"/>
          </w:divBdr>
        </w:div>
        <w:div w:id="587497108">
          <w:marLeft w:val="640"/>
          <w:marRight w:val="0"/>
          <w:marTop w:val="0"/>
          <w:marBottom w:val="0"/>
          <w:divBdr>
            <w:top w:val="none" w:sz="0" w:space="0" w:color="auto"/>
            <w:left w:val="none" w:sz="0" w:space="0" w:color="auto"/>
            <w:bottom w:val="none" w:sz="0" w:space="0" w:color="auto"/>
            <w:right w:val="none" w:sz="0" w:space="0" w:color="auto"/>
          </w:divBdr>
        </w:div>
        <w:div w:id="605577105">
          <w:marLeft w:val="640"/>
          <w:marRight w:val="0"/>
          <w:marTop w:val="0"/>
          <w:marBottom w:val="0"/>
          <w:divBdr>
            <w:top w:val="none" w:sz="0" w:space="0" w:color="auto"/>
            <w:left w:val="none" w:sz="0" w:space="0" w:color="auto"/>
            <w:bottom w:val="none" w:sz="0" w:space="0" w:color="auto"/>
            <w:right w:val="none" w:sz="0" w:space="0" w:color="auto"/>
          </w:divBdr>
        </w:div>
        <w:div w:id="1920554161">
          <w:marLeft w:val="640"/>
          <w:marRight w:val="0"/>
          <w:marTop w:val="0"/>
          <w:marBottom w:val="0"/>
          <w:divBdr>
            <w:top w:val="none" w:sz="0" w:space="0" w:color="auto"/>
            <w:left w:val="none" w:sz="0" w:space="0" w:color="auto"/>
            <w:bottom w:val="none" w:sz="0" w:space="0" w:color="auto"/>
            <w:right w:val="none" w:sz="0" w:space="0" w:color="auto"/>
          </w:divBdr>
        </w:div>
        <w:div w:id="1043215610">
          <w:marLeft w:val="640"/>
          <w:marRight w:val="0"/>
          <w:marTop w:val="0"/>
          <w:marBottom w:val="0"/>
          <w:divBdr>
            <w:top w:val="none" w:sz="0" w:space="0" w:color="auto"/>
            <w:left w:val="none" w:sz="0" w:space="0" w:color="auto"/>
            <w:bottom w:val="none" w:sz="0" w:space="0" w:color="auto"/>
            <w:right w:val="none" w:sz="0" w:space="0" w:color="auto"/>
          </w:divBdr>
        </w:div>
        <w:div w:id="1856767439">
          <w:marLeft w:val="640"/>
          <w:marRight w:val="0"/>
          <w:marTop w:val="0"/>
          <w:marBottom w:val="0"/>
          <w:divBdr>
            <w:top w:val="none" w:sz="0" w:space="0" w:color="auto"/>
            <w:left w:val="none" w:sz="0" w:space="0" w:color="auto"/>
            <w:bottom w:val="none" w:sz="0" w:space="0" w:color="auto"/>
            <w:right w:val="none" w:sz="0" w:space="0" w:color="auto"/>
          </w:divBdr>
        </w:div>
        <w:div w:id="1925917549">
          <w:marLeft w:val="640"/>
          <w:marRight w:val="0"/>
          <w:marTop w:val="0"/>
          <w:marBottom w:val="0"/>
          <w:divBdr>
            <w:top w:val="none" w:sz="0" w:space="0" w:color="auto"/>
            <w:left w:val="none" w:sz="0" w:space="0" w:color="auto"/>
            <w:bottom w:val="none" w:sz="0" w:space="0" w:color="auto"/>
            <w:right w:val="none" w:sz="0" w:space="0" w:color="auto"/>
          </w:divBdr>
        </w:div>
        <w:div w:id="395706513">
          <w:marLeft w:val="640"/>
          <w:marRight w:val="0"/>
          <w:marTop w:val="0"/>
          <w:marBottom w:val="0"/>
          <w:divBdr>
            <w:top w:val="none" w:sz="0" w:space="0" w:color="auto"/>
            <w:left w:val="none" w:sz="0" w:space="0" w:color="auto"/>
            <w:bottom w:val="none" w:sz="0" w:space="0" w:color="auto"/>
            <w:right w:val="none" w:sz="0" w:space="0" w:color="auto"/>
          </w:divBdr>
        </w:div>
        <w:div w:id="903760990">
          <w:marLeft w:val="640"/>
          <w:marRight w:val="0"/>
          <w:marTop w:val="0"/>
          <w:marBottom w:val="0"/>
          <w:divBdr>
            <w:top w:val="none" w:sz="0" w:space="0" w:color="auto"/>
            <w:left w:val="none" w:sz="0" w:space="0" w:color="auto"/>
            <w:bottom w:val="none" w:sz="0" w:space="0" w:color="auto"/>
            <w:right w:val="none" w:sz="0" w:space="0" w:color="auto"/>
          </w:divBdr>
        </w:div>
        <w:div w:id="1369798881">
          <w:marLeft w:val="640"/>
          <w:marRight w:val="0"/>
          <w:marTop w:val="0"/>
          <w:marBottom w:val="0"/>
          <w:divBdr>
            <w:top w:val="none" w:sz="0" w:space="0" w:color="auto"/>
            <w:left w:val="none" w:sz="0" w:space="0" w:color="auto"/>
            <w:bottom w:val="none" w:sz="0" w:space="0" w:color="auto"/>
            <w:right w:val="none" w:sz="0" w:space="0" w:color="auto"/>
          </w:divBdr>
        </w:div>
      </w:divsChild>
    </w:div>
    <w:div w:id="318115076">
      <w:bodyDiv w:val="1"/>
      <w:marLeft w:val="0"/>
      <w:marRight w:val="0"/>
      <w:marTop w:val="0"/>
      <w:marBottom w:val="0"/>
      <w:divBdr>
        <w:top w:val="none" w:sz="0" w:space="0" w:color="auto"/>
        <w:left w:val="none" w:sz="0" w:space="0" w:color="auto"/>
        <w:bottom w:val="none" w:sz="0" w:space="0" w:color="auto"/>
        <w:right w:val="none" w:sz="0" w:space="0" w:color="auto"/>
      </w:divBdr>
      <w:divsChild>
        <w:div w:id="55127979">
          <w:marLeft w:val="640"/>
          <w:marRight w:val="0"/>
          <w:marTop w:val="0"/>
          <w:marBottom w:val="0"/>
          <w:divBdr>
            <w:top w:val="none" w:sz="0" w:space="0" w:color="auto"/>
            <w:left w:val="none" w:sz="0" w:space="0" w:color="auto"/>
            <w:bottom w:val="none" w:sz="0" w:space="0" w:color="auto"/>
            <w:right w:val="none" w:sz="0" w:space="0" w:color="auto"/>
          </w:divBdr>
        </w:div>
        <w:div w:id="1430463583">
          <w:marLeft w:val="640"/>
          <w:marRight w:val="0"/>
          <w:marTop w:val="0"/>
          <w:marBottom w:val="0"/>
          <w:divBdr>
            <w:top w:val="none" w:sz="0" w:space="0" w:color="auto"/>
            <w:left w:val="none" w:sz="0" w:space="0" w:color="auto"/>
            <w:bottom w:val="none" w:sz="0" w:space="0" w:color="auto"/>
            <w:right w:val="none" w:sz="0" w:space="0" w:color="auto"/>
          </w:divBdr>
        </w:div>
        <w:div w:id="1835029995">
          <w:marLeft w:val="640"/>
          <w:marRight w:val="0"/>
          <w:marTop w:val="0"/>
          <w:marBottom w:val="0"/>
          <w:divBdr>
            <w:top w:val="none" w:sz="0" w:space="0" w:color="auto"/>
            <w:left w:val="none" w:sz="0" w:space="0" w:color="auto"/>
            <w:bottom w:val="none" w:sz="0" w:space="0" w:color="auto"/>
            <w:right w:val="none" w:sz="0" w:space="0" w:color="auto"/>
          </w:divBdr>
        </w:div>
        <w:div w:id="970132830">
          <w:marLeft w:val="640"/>
          <w:marRight w:val="0"/>
          <w:marTop w:val="0"/>
          <w:marBottom w:val="0"/>
          <w:divBdr>
            <w:top w:val="none" w:sz="0" w:space="0" w:color="auto"/>
            <w:left w:val="none" w:sz="0" w:space="0" w:color="auto"/>
            <w:bottom w:val="none" w:sz="0" w:space="0" w:color="auto"/>
            <w:right w:val="none" w:sz="0" w:space="0" w:color="auto"/>
          </w:divBdr>
        </w:div>
        <w:div w:id="1348560780">
          <w:marLeft w:val="640"/>
          <w:marRight w:val="0"/>
          <w:marTop w:val="0"/>
          <w:marBottom w:val="0"/>
          <w:divBdr>
            <w:top w:val="none" w:sz="0" w:space="0" w:color="auto"/>
            <w:left w:val="none" w:sz="0" w:space="0" w:color="auto"/>
            <w:bottom w:val="none" w:sz="0" w:space="0" w:color="auto"/>
            <w:right w:val="none" w:sz="0" w:space="0" w:color="auto"/>
          </w:divBdr>
        </w:div>
        <w:div w:id="2089188343">
          <w:marLeft w:val="640"/>
          <w:marRight w:val="0"/>
          <w:marTop w:val="0"/>
          <w:marBottom w:val="0"/>
          <w:divBdr>
            <w:top w:val="none" w:sz="0" w:space="0" w:color="auto"/>
            <w:left w:val="none" w:sz="0" w:space="0" w:color="auto"/>
            <w:bottom w:val="none" w:sz="0" w:space="0" w:color="auto"/>
            <w:right w:val="none" w:sz="0" w:space="0" w:color="auto"/>
          </w:divBdr>
        </w:div>
        <w:div w:id="1636719696">
          <w:marLeft w:val="640"/>
          <w:marRight w:val="0"/>
          <w:marTop w:val="0"/>
          <w:marBottom w:val="0"/>
          <w:divBdr>
            <w:top w:val="none" w:sz="0" w:space="0" w:color="auto"/>
            <w:left w:val="none" w:sz="0" w:space="0" w:color="auto"/>
            <w:bottom w:val="none" w:sz="0" w:space="0" w:color="auto"/>
            <w:right w:val="none" w:sz="0" w:space="0" w:color="auto"/>
          </w:divBdr>
        </w:div>
        <w:div w:id="1472185">
          <w:marLeft w:val="640"/>
          <w:marRight w:val="0"/>
          <w:marTop w:val="0"/>
          <w:marBottom w:val="0"/>
          <w:divBdr>
            <w:top w:val="none" w:sz="0" w:space="0" w:color="auto"/>
            <w:left w:val="none" w:sz="0" w:space="0" w:color="auto"/>
            <w:bottom w:val="none" w:sz="0" w:space="0" w:color="auto"/>
            <w:right w:val="none" w:sz="0" w:space="0" w:color="auto"/>
          </w:divBdr>
        </w:div>
        <w:div w:id="1186554067">
          <w:marLeft w:val="640"/>
          <w:marRight w:val="0"/>
          <w:marTop w:val="0"/>
          <w:marBottom w:val="0"/>
          <w:divBdr>
            <w:top w:val="none" w:sz="0" w:space="0" w:color="auto"/>
            <w:left w:val="none" w:sz="0" w:space="0" w:color="auto"/>
            <w:bottom w:val="none" w:sz="0" w:space="0" w:color="auto"/>
            <w:right w:val="none" w:sz="0" w:space="0" w:color="auto"/>
          </w:divBdr>
        </w:div>
        <w:div w:id="866942184">
          <w:marLeft w:val="640"/>
          <w:marRight w:val="0"/>
          <w:marTop w:val="0"/>
          <w:marBottom w:val="0"/>
          <w:divBdr>
            <w:top w:val="none" w:sz="0" w:space="0" w:color="auto"/>
            <w:left w:val="none" w:sz="0" w:space="0" w:color="auto"/>
            <w:bottom w:val="none" w:sz="0" w:space="0" w:color="auto"/>
            <w:right w:val="none" w:sz="0" w:space="0" w:color="auto"/>
          </w:divBdr>
        </w:div>
        <w:div w:id="235287419">
          <w:marLeft w:val="640"/>
          <w:marRight w:val="0"/>
          <w:marTop w:val="0"/>
          <w:marBottom w:val="0"/>
          <w:divBdr>
            <w:top w:val="none" w:sz="0" w:space="0" w:color="auto"/>
            <w:left w:val="none" w:sz="0" w:space="0" w:color="auto"/>
            <w:bottom w:val="none" w:sz="0" w:space="0" w:color="auto"/>
            <w:right w:val="none" w:sz="0" w:space="0" w:color="auto"/>
          </w:divBdr>
        </w:div>
        <w:div w:id="378896001">
          <w:marLeft w:val="640"/>
          <w:marRight w:val="0"/>
          <w:marTop w:val="0"/>
          <w:marBottom w:val="0"/>
          <w:divBdr>
            <w:top w:val="none" w:sz="0" w:space="0" w:color="auto"/>
            <w:left w:val="none" w:sz="0" w:space="0" w:color="auto"/>
            <w:bottom w:val="none" w:sz="0" w:space="0" w:color="auto"/>
            <w:right w:val="none" w:sz="0" w:space="0" w:color="auto"/>
          </w:divBdr>
        </w:div>
        <w:div w:id="996805696">
          <w:marLeft w:val="640"/>
          <w:marRight w:val="0"/>
          <w:marTop w:val="0"/>
          <w:marBottom w:val="0"/>
          <w:divBdr>
            <w:top w:val="none" w:sz="0" w:space="0" w:color="auto"/>
            <w:left w:val="none" w:sz="0" w:space="0" w:color="auto"/>
            <w:bottom w:val="none" w:sz="0" w:space="0" w:color="auto"/>
            <w:right w:val="none" w:sz="0" w:space="0" w:color="auto"/>
          </w:divBdr>
        </w:div>
        <w:div w:id="150221934">
          <w:marLeft w:val="640"/>
          <w:marRight w:val="0"/>
          <w:marTop w:val="0"/>
          <w:marBottom w:val="0"/>
          <w:divBdr>
            <w:top w:val="none" w:sz="0" w:space="0" w:color="auto"/>
            <w:left w:val="none" w:sz="0" w:space="0" w:color="auto"/>
            <w:bottom w:val="none" w:sz="0" w:space="0" w:color="auto"/>
            <w:right w:val="none" w:sz="0" w:space="0" w:color="auto"/>
          </w:divBdr>
        </w:div>
        <w:div w:id="1840151758">
          <w:marLeft w:val="640"/>
          <w:marRight w:val="0"/>
          <w:marTop w:val="0"/>
          <w:marBottom w:val="0"/>
          <w:divBdr>
            <w:top w:val="none" w:sz="0" w:space="0" w:color="auto"/>
            <w:left w:val="none" w:sz="0" w:space="0" w:color="auto"/>
            <w:bottom w:val="none" w:sz="0" w:space="0" w:color="auto"/>
            <w:right w:val="none" w:sz="0" w:space="0" w:color="auto"/>
          </w:divBdr>
        </w:div>
        <w:div w:id="356807823">
          <w:marLeft w:val="640"/>
          <w:marRight w:val="0"/>
          <w:marTop w:val="0"/>
          <w:marBottom w:val="0"/>
          <w:divBdr>
            <w:top w:val="none" w:sz="0" w:space="0" w:color="auto"/>
            <w:left w:val="none" w:sz="0" w:space="0" w:color="auto"/>
            <w:bottom w:val="none" w:sz="0" w:space="0" w:color="auto"/>
            <w:right w:val="none" w:sz="0" w:space="0" w:color="auto"/>
          </w:divBdr>
        </w:div>
        <w:div w:id="766847133">
          <w:marLeft w:val="640"/>
          <w:marRight w:val="0"/>
          <w:marTop w:val="0"/>
          <w:marBottom w:val="0"/>
          <w:divBdr>
            <w:top w:val="none" w:sz="0" w:space="0" w:color="auto"/>
            <w:left w:val="none" w:sz="0" w:space="0" w:color="auto"/>
            <w:bottom w:val="none" w:sz="0" w:space="0" w:color="auto"/>
            <w:right w:val="none" w:sz="0" w:space="0" w:color="auto"/>
          </w:divBdr>
        </w:div>
      </w:divsChild>
    </w:div>
    <w:div w:id="365106552">
      <w:bodyDiv w:val="1"/>
      <w:marLeft w:val="0"/>
      <w:marRight w:val="0"/>
      <w:marTop w:val="0"/>
      <w:marBottom w:val="0"/>
      <w:divBdr>
        <w:top w:val="none" w:sz="0" w:space="0" w:color="auto"/>
        <w:left w:val="none" w:sz="0" w:space="0" w:color="auto"/>
        <w:bottom w:val="none" w:sz="0" w:space="0" w:color="auto"/>
        <w:right w:val="none" w:sz="0" w:space="0" w:color="auto"/>
      </w:divBdr>
      <w:divsChild>
        <w:div w:id="1112018087">
          <w:marLeft w:val="640"/>
          <w:marRight w:val="0"/>
          <w:marTop w:val="0"/>
          <w:marBottom w:val="0"/>
          <w:divBdr>
            <w:top w:val="none" w:sz="0" w:space="0" w:color="auto"/>
            <w:left w:val="none" w:sz="0" w:space="0" w:color="auto"/>
            <w:bottom w:val="none" w:sz="0" w:space="0" w:color="auto"/>
            <w:right w:val="none" w:sz="0" w:space="0" w:color="auto"/>
          </w:divBdr>
        </w:div>
        <w:div w:id="1641838280">
          <w:marLeft w:val="640"/>
          <w:marRight w:val="0"/>
          <w:marTop w:val="0"/>
          <w:marBottom w:val="0"/>
          <w:divBdr>
            <w:top w:val="none" w:sz="0" w:space="0" w:color="auto"/>
            <w:left w:val="none" w:sz="0" w:space="0" w:color="auto"/>
            <w:bottom w:val="none" w:sz="0" w:space="0" w:color="auto"/>
            <w:right w:val="none" w:sz="0" w:space="0" w:color="auto"/>
          </w:divBdr>
        </w:div>
        <w:div w:id="2014068788">
          <w:marLeft w:val="640"/>
          <w:marRight w:val="0"/>
          <w:marTop w:val="0"/>
          <w:marBottom w:val="0"/>
          <w:divBdr>
            <w:top w:val="none" w:sz="0" w:space="0" w:color="auto"/>
            <w:left w:val="none" w:sz="0" w:space="0" w:color="auto"/>
            <w:bottom w:val="none" w:sz="0" w:space="0" w:color="auto"/>
            <w:right w:val="none" w:sz="0" w:space="0" w:color="auto"/>
          </w:divBdr>
        </w:div>
        <w:div w:id="416250268">
          <w:marLeft w:val="640"/>
          <w:marRight w:val="0"/>
          <w:marTop w:val="0"/>
          <w:marBottom w:val="0"/>
          <w:divBdr>
            <w:top w:val="none" w:sz="0" w:space="0" w:color="auto"/>
            <w:left w:val="none" w:sz="0" w:space="0" w:color="auto"/>
            <w:bottom w:val="none" w:sz="0" w:space="0" w:color="auto"/>
            <w:right w:val="none" w:sz="0" w:space="0" w:color="auto"/>
          </w:divBdr>
        </w:div>
        <w:div w:id="1992977673">
          <w:marLeft w:val="640"/>
          <w:marRight w:val="0"/>
          <w:marTop w:val="0"/>
          <w:marBottom w:val="0"/>
          <w:divBdr>
            <w:top w:val="none" w:sz="0" w:space="0" w:color="auto"/>
            <w:left w:val="none" w:sz="0" w:space="0" w:color="auto"/>
            <w:bottom w:val="none" w:sz="0" w:space="0" w:color="auto"/>
            <w:right w:val="none" w:sz="0" w:space="0" w:color="auto"/>
          </w:divBdr>
        </w:div>
        <w:div w:id="252905949">
          <w:marLeft w:val="640"/>
          <w:marRight w:val="0"/>
          <w:marTop w:val="0"/>
          <w:marBottom w:val="0"/>
          <w:divBdr>
            <w:top w:val="none" w:sz="0" w:space="0" w:color="auto"/>
            <w:left w:val="none" w:sz="0" w:space="0" w:color="auto"/>
            <w:bottom w:val="none" w:sz="0" w:space="0" w:color="auto"/>
            <w:right w:val="none" w:sz="0" w:space="0" w:color="auto"/>
          </w:divBdr>
        </w:div>
        <w:div w:id="17513374">
          <w:marLeft w:val="640"/>
          <w:marRight w:val="0"/>
          <w:marTop w:val="0"/>
          <w:marBottom w:val="0"/>
          <w:divBdr>
            <w:top w:val="none" w:sz="0" w:space="0" w:color="auto"/>
            <w:left w:val="none" w:sz="0" w:space="0" w:color="auto"/>
            <w:bottom w:val="none" w:sz="0" w:space="0" w:color="auto"/>
            <w:right w:val="none" w:sz="0" w:space="0" w:color="auto"/>
          </w:divBdr>
        </w:div>
        <w:div w:id="1118640099">
          <w:marLeft w:val="640"/>
          <w:marRight w:val="0"/>
          <w:marTop w:val="0"/>
          <w:marBottom w:val="0"/>
          <w:divBdr>
            <w:top w:val="none" w:sz="0" w:space="0" w:color="auto"/>
            <w:left w:val="none" w:sz="0" w:space="0" w:color="auto"/>
            <w:bottom w:val="none" w:sz="0" w:space="0" w:color="auto"/>
            <w:right w:val="none" w:sz="0" w:space="0" w:color="auto"/>
          </w:divBdr>
        </w:div>
        <w:div w:id="2076513487">
          <w:marLeft w:val="640"/>
          <w:marRight w:val="0"/>
          <w:marTop w:val="0"/>
          <w:marBottom w:val="0"/>
          <w:divBdr>
            <w:top w:val="none" w:sz="0" w:space="0" w:color="auto"/>
            <w:left w:val="none" w:sz="0" w:space="0" w:color="auto"/>
            <w:bottom w:val="none" w:sz="0" w:space="0" w:color="auto"/>
            <w:right w:val="none" w:sz="0" w:space="0" w:color="auto"/>
          </w:divBdr>
        </w:div>
        <w:div w:id="1331441506">
          <w:marLeft w:val="640"/>
          <w:marRight w:val="0"/>
          <w:marTop w:val="0"/>
          <w:marBottom w:val="0"/>
          <w:divBdr>
            <w:top w:val="none" w:sz="0" w:space="0" w:color="auto"/>
            <w:left w:val="none" w:sz="0" w:space="0" w:color="auto"/>
            <w:bottom w:val="none" w:sz="0" w:space="0" w:color="auto"/>
            <w:right w:val="none" w:sz="0" w:space="0" w:color="auto"/>
          </w:divBdr>
        </w:div>
        <w:div w:id="1352418698">
          <w:marLeft w:val="640"/>
          <w:marRight w:val="0"/>
          <w:marTop w:val="0"/>
          <w:marBottom w:val="0"/>
          <w:divBdr>
            <w:top w:val="none" w:sz="0" w:space="0" w:color="auto"/>
            <w:left w:val="none" w:sz="0" w:space="0" w:color="auto"/>
            <w:bottom w:val="none" w:sz="0" w:space="0" w:color="auto"/>
            <w:right w:val="none" w:sz="0" w:space="0" w:color="auto"/>
          </w:divBdr>
        </w:div>
        <w:div w:id="1744643597">
          <w:marLeft w:val="640"/>
          <w:marRight w:val="0"/>
          <w:marTop w:val="0"/>
          <w:marBottom w:val="0"/>
          <w:divBdr>
            <w:top w:val="none" w:sz="0" w:space="0" w:color="auto"/>
            <w:left w:val="none" w:sz="0" w:space="0" w:color="auto"/>
            <w:bottom w:val="none" w:sz="0" w:space="0" w:color="auto"/>
            <w:right w:val="none" w:sz="0" w:space="0" w:color="auto"/>
          </w:divBdr>
        </w:div>
        <w:div w:id="1225530197">
          <w:marLeft w:val="640"/>
          <w:marRight w:val="0"/>
          <w:marTop w:val="0"/>
          <w:marBottom w:val="0"/>
          <w:divBdr>
            <w:top w:val="none" w:sz="0" w:space="0" w:color="auto"/>
            <w:left w:val="none" w:sz="0" w:space="0" w:color="auto"/>
            <w:bottom w:val="none" w:sz="0" w:space="0" w:color="auto"/>
            <w:right w:val="none" w:sz="0" w:space="0" w:color="auto"/>
          </w:divBdr>
        </w:div>
        <w:div w:id="442923128">
          <w:marLeft w:val="640"/>
          <w:marRight w:val="0"/>
          <w:marTop w:val="0"/>
          <w:marBottom w:val="0"/>
          <w:divBdr>
            <w:top w:val="none" w:sz="0" w:space="0" w:color="auto"/>
            <w:left w:val="none" w:sz="0" w:space="0" w:color="auto"/>
            <w:bottom w:val="none" w:sz="0" w:space="0" w:color="auto"/>
            <w:right w:val="none" w:sz="0" w:space="0" w:color="auto"/>
          </w:divBdr>
        </w:div>
        <w:div w:id="1142773063">
          <w:marLeft w:val="640"/>
          <w:marRight w:val="0"/>
          <w:marTop w:val="0"/>
          <w:marBottom w:val="0"/>
          <w:divBdr>
            <w:top w:val="none" w:sz="0" w:space="0" w:color="auto"/>
            <w:left w:val="none" w:sz="0" w:space="0" w:color="auto"/>
            <w:bottom w:val="none" w:sz="0" w:space="0" w:color="auto"/>
            <w:right w:val="none" w:sz="0" w:space="0" w:color="auto"/>
          </w:divBdr>
        </w:div>
      </w:divsChild>
    </w:div>
    <w:div w:id="404645918">
      <w:bodyDiv w:val="1"/>
      <w:marLeft w:val="0"/>
      <w:marRight w:val="0"/>
      <w:marTop w:val="0"/>
      <w:marBottom w:val="0"/>
      <w:divBdr>
        <w:top w:val="none" w:sz="0" w:space="0" w:color="auto"/>
        <w:left w:val="none" w:sz="0" w:space="0" w:color="auto"/>
        <w:bottom w:val="none" w:sz="0" w:space="0" w:color="auto"/>
        <w:right w:val="none" w:sz="0" w:space="0" w:color="auto"/>
      </w:divBdr>
      <w:divsChild>
        <w:div w:id="1089692621">
          <w:marLeft w:val="640"/>
          <w:marRight w:val="0"/>
          <w:marTop w:val="0"/>
          <w:marBottom w:val="0"/>
          <w:divBdr>
            <w:top w:val="none" w:sz="0" w:space="0" w:color="auto"/>
            <w:left w:val="none" w:sz="0" w:space="0" w:color="auto"/>
            <w:bottom w:val="none" w:sz="0" w:space="0" w:color="auto"/>
            <w:right w:val="none" w:sz="0" w:space="0" w:color="auto"/>
          </w:divBdr>
        </w:div>
        <w:div w:id="1679968620">
          <w:marLeft w:val="640"/>
          <w:marRight w:val="0"/>
          <w:marTop w:val="0"/>
          <w:marBottom w:val="0"/>
          <w:divBdr>
            <w:top w:val="none" w:sz="0" w:space="0" w:color="auto"/>
            <w:left w:val="none" w:sz="0" w:space="0" w:color="auto"/>
            <w:bottom w:val="none" w:sz="0" w:space="0" w:color="auto"/>
            <w:right w:val="none" w:sz="0" w:space="0" w:color="auto"/>
          </w:divBdr>
        </w:div>
        <w:div w:id="1582566619">
          <w:marLeft w:val="640"/>
          <w:marRight w:val="0"/>
          <w:marTop w:val="0"/>
          <w:marBottom w:val="0"/>
          <w:divBdr>
            <w:top w:val="none" w:sz="0" w:space="0" w:color="auto"/>
            <w:left w:val="none" w:sz="0" w:space="0" w:color="auto"/>
            <w:bottom w:val="none" w:sz="0" w:space="0" w:color="auto"/>
            <w:right w:val="none" w:sz="0" w:space="0" w:color="auto"/>
          </w:divBdr>
        </w:div>
        <w:div w:id="917248039">
          <w:marLeft w:val="640"/>
          <w:marRight w:val="0"/>
          <w:marTop w:val="0"/>
          <w:marBottom w:val="0"/>
          <w:divBdr>
            <w:top w:val="none" w:sz="0" w:space="0" w:color="auto"/>
            <w:left w:val="none" w:sz="0" w:space="0" w:color="auto"/>
            <w:bottom w:val="none" w:sz="0" w:space="0" w:color="auto"/>
            <w:right w:val="none" w:sz="0" w:space="0" w:color="auto"/>
          </w:divBdr>
        </w:div>
        <w:div w:id="822088552">
          <w:marLeft w:val="640"/>
          <w:marRight w:val="0"/>
          <w:marTop w:val="0"/>
          <w:marBottom w:val="0"/>
          <w:divBdr>
            <w:top w:val="none" w:sz="0" w:space="0" w:color="auto"/>
            <w:left w:val="none" w:sz="0" w:space="0" w:color="auto"/>
            <w:bottom w:val="none" w:sz="0" w:space="0" w:color="auto"/>
            <w:right w:val="none" w:sz="0" w:space="0" w:color="auto"/>
          </w:divBdr>
        </w:div>
        <w:div w:id="280233342">
          <w:marLeft w:val="640"/>
          <w:marRight w:val="0"/>
          <w:marTop w:val="0"/>
          <w:marBottom w:val="0"/>
          <w:divBdr>
            <w:top w:val="none" w:sz="0" w:space="0" w:color="auto"/>
            <w:left w:val="none" w:sz="0" w:space="0" w:color="auto"/>
            <w:bottom w:val="none" w:sz="0" w:space="0" w:color="auto"/>
            <w:right w:val="none" w:sz="0" w:space="0" w:color="auto"/>
          </w:divBdr>
        </w:div>
        <w:div w:id="946742740">
          <w:marLeft w:val="640"/>
          <w:marRight w:val="0"/>
          <w:marTop w:val="0"/>
          <w:marBottom w:val="0"/>
          <w:divBdr>
            <w:top w:val="none" w:sz="0" w:space="0" w:color="auto"/>
            <w:left w:val="none" w:sz="0" w:space="0" w:color="auto"/>
            <w:bottom w:val="none" w:sz="0" w:space="0" w:color="auto"/>
            <w:right w:val="none" w:sz="0" w:space="0" w:color="auto"/>
          </w:divBdr>
        </w:div>
        <w:div w:id="1069185642">
          <w:marLeft w:val="640"/>
          <w:marRight w:val="0"/>
          <w:marTop w:val="0"/>
          <w:marBottom w:val="0"/>
          <w:divBdr>
            <w:top w:val="none" w:sz="0" w:space="0" w:color="auto"/>
            <w:left w:val="none" w:sz="0" w:space="0" w:color="auto"/>
            <w:bottom w:val="none" w:sz="0" w:space="0" w:color="auto"/>
            <w:right w:val="none" w:sz="0" w:space="0" w:color="auto"/>
          </w:divBdr>
        </w:div>
        <w:div w:id="1904607424">
          <w:marLeft w:val="640"/>
          <w:marRight w:val="0"/>
          <w:marTop w:val="0"/>
          <w:marBottom w:val="0"/>
          <w:divBdr>
            <w:top w:val="none" w:sz="0" w:space="0" w:color="auto"/>
            <w:left w:val="none" w:sz="0" w:space="0" w:color="auto"/>
            <w:bottom w:val="none" w:sz="0" w:space="0" w:color="auto"/>
            <w:right w:val="none" w:sz="0" w:space="0" w:color="auto"/>
          </w:divBdr>
        </w:div>
        <w:div w:id="1398088667">
          <w:marLeft w:val="640"/>
          <w:marRight w:val="0"/>
          <w:marTop w:val="0"/>
          <w:marBottom w:val="0"/>
          <w:divBdr>
            <w:top w:val="none" w:sz="0" w:space="0" w:color="auto"/>
            <w:left w:val="none" w:sz="0" w:space="0" w:color="auto"/>
            <w:bottom w:val="none" w:sz="0" w:space="0" w:color="auto"/>
            <w:right w:val="none" w:sz="0" w:space="0" w:color="auto"/>
          </w:divBdr>
        </w:div>
        <w:div w:id="715398163">
          <w:marLeft w:val="640"/>
          <w:marRight w:val="0"/>
          <w:marTop w:val="0"/>
          <w:marBottom w:val="0"/>
          <w:divBdr>
            <w:top w:val="none" w:sz="0" w:space="0" w:color="auto"/>
            <w:left w:val="none" w:sz="0" w:space="0" w:color="auto"/>
            <w:bottom w:val="none" w:sz="0" w:space="0" w:color="auto"/>
            <w:right w:val="none" w:sz="0" w:space="0" w:color="auto"/>
          </w:divBdr>
        </w:div>
        <w:div w:id="208958674">
          <w:marLeft w:val="640"/>
          <w:marRight w:val="0"/>
          <w:marTop w:val="0"/>
          <w:marBottom w:val="0"/>
          <w:divBdr>
            <w:top w:val="none" w:sz="0" w:space="0" w:color="auto"/>
            <w:left w:val="none" w:sz="0" w:space="0" w:color="auto"/>
            <w:bottom w:val="none" w:sz="0" w:space="0" w:color="auto"/>
            <w:right w:val="none" w:sz="0" w:space="0" w:color="auto"/>
          </w:divBdr>
        </w:div>
        <w:div w:id="872696390">
          <w:marLeft w:val="640"/>
          <w:marRight w:val="0"/>
          <w:marTop w:val="0"/>
          <w:marBottom w:val="0"/>
          <w:divBdr>
            <w:top w:val="none" w:sz="0" w:space="0" w:color="auto"/>
            <w:left w:val="none" w:sz="0" w:space="0" w:color="auto"/>
            <w:bottom w:val="none" w:sz="0" w:space="0" w:color="auto"/>
            <w:right w:val="none" w:sz="0" w:space="0" w:color="auto"/>
          </w:divBdr>
        </w:div>
        <w:div w:id="114175417">
          <w:marLeft w:val="640"/>
          <w:marRight w:val="0"/>
          <w:marTop w:val="0"/>
          <w:marBottom w:val="0"/>
          <w:divBdr>
            <w:top w:val="none" w:sz="0" w:space="0" w:color="auto"/>
            <w:left w:val="none" w:sz="0" w:space="0" w:color="auto"/>
            <w:bottom w:val="none" w:sz="0" w:space="0" w:color="auto"/>
            <w:right w:val="none" w:sz="0" w:space="0" w:color="auto"/>
          </w:divBdr>
        </w:div>
        <w:div w:id="411854627">
          <w:marLeft w:val="640"/>
          <w:marRight w:val="0"/>
          <w:marTop w:val="0"/>
          <w:marBottom w:val="0"/>
          <w:divBdr>
            <w:top w:val="none" w:sz="0" w:space="0" w:color="auto"/>
            <w:left w:val="none" w:sz="0" w:space="0" w:color="auto"/>
            <w:bottom w:val="none" w:sz="0" w:space="0" w:color="auto"/>
            <w:right w:val="none" w:sz="0" w:space="0" w:color="auto"/>
          </w:divBdr>
        </w:div>
        <w:div w:id="1205144284">
          <w:marLeft w:val="640"/>
          <w:marRight w:val="0"/>
          <w:marTop w:val="0"/>
          <w:marBottom w:val="0"/>
          <w:divBdr>
            <w:top w:val="none" w:sz="0" w:space="0" w:color="auto"/>
            <w:left w:val="none" w:sz="0" w:space="0" w:color="auto"/>
            <w:bottom w:val="none" w:sz="0" w:space="0" w:color="auto"/>
            <w:right w:val="none" w:sz="0" w:space="0" w:color="auto"/>
          </w:divBdr>
        </w:div>
      </w:divsChild>
    </w:div>
    <w:div w:id="517963721">
      <w:bodyDiv w:val="1"/>
      <w:marLeft w:val="0"/>
      <w:marRight w:val="0"/>
      <w:marTop w:val="0"/>
      <w:marBottom w:val="0"/>
      <w:divBdr>
        <w:top w:val="none" w:sz="0" w:space="0" w:color="auto"/>
        <w:left w:val="none" w:sz="0" w:space="0" w:color="auto"/>
        <w:bottom w:val="none" w:sz="0" w:space="0" w:color="auto"/>
        <w:right w:val="none" w:sz="0" w:space="0" w:color="auto"/>
      </w:divBdr>
      <w:divsChild>
        <w:div w:id="1119764694">
          <w:marLeft w:val="640"/>
          <w:marRight w:val="0"/>
          <w:marTop w:val="0"/>
          <w:marBottom w:val="0"/>
          <w:divBdr>
            <w:top w:val="none" w:sz="0" w:space="0" w:color="auto"/>
            <w:left w:val="none" w:sz="0" w:space="0" w:color="auto"/>
            <w:bottom w:val="none" w:sz="0" w:space="0" w:color="auto"/>
            <w:right w:val="none" w:sz="0" w:space="0" w:color="auto"/>
          </w:divBdr>
        </w:div>
        <w:div w:id="1784918">
          <w:marLeft w:val="640"/>
          <w:marRight w:val="0"/>
          <w:marTop w:val="0"/>
          <w:marBottom w:val="0"/>
          <w:divBdr>
            <w:top w:val="none" w:sz="0" w:space="0" w:color="auto"/>
            <w:left w:val="none" w:sz="0" w:space="0" w:color="auto"/>
            <w:bottom w:val="none" w:sz="0" w:space="0" w:color="auto"/>
            <w:right w:val="none" w:sz="0" w:space="0" w:color="auto"/>
          </w:divBdr>
        </w:div>
        <w:div w:id="973408162">
          <w:marLeft w:val="640"/>
          <w:marRight w:val="0"/>
          <w:marTop w:val="0"/>
          <w:marBottom w:val="0"/>
          <w:divBdr>
            <w:top w:val="none" w:sz="0" w:space="0" w:color="auto"/>
            <w:left w:val="none" w:sz="0" w:space="0" w:color="auto"/>
            <w:bottom w:val="none" w:sz="0" w:space="0" w:color="auto"/>
            <w:right w:val="none" w:sz="0" w:space="0" w:color="auto"/>
          </w:divBdr>
        </w:div>
        <w:div w:id="1802117382">
          <w:marLeft w:val="640"/>
          <w:marRight w:val="0"/>
          <w:marTop w:val="0"/>
          <w:marBottom w:val="0"/>
          <w:divBdr>
            <w:top w:val="none" w:sz="0" w:space="0" w:color="auto"/>
            <w:left w:val="none" w:sz="0" w:space="0" w:color="auto"/>
            <w:bottom w:val="none" w:sz="0" w:space="0" w:color="auto"/>
            <w:right w:val="none" w:sz="0" w:space="0" w:color="auto"/>
          </w:divBdr>
        </w:div>
        <w:div w:id="2044866038">
          <w:marLeft w:val="640"/>
          <w:marRight w:val="0"/>
          <w:marTop w:val="0"/>
          <w:marBottom w:val="0"/>
          <w:divBdr>
            <w:top w:val="none" w:sz="0" w:space="0" w:color="auto"/>
            <w:left w:val="none" w:sz="0" w:space="0" w:color="auto"/>
            <w:bottom w:val="none" w:sz="0" w:space="0" w:color="auto"/>
            <w:right w:val="none" w:sz="0" w:space="0" w:color="auto"/>
          </w:divBdr>
        </w:div>
        <w:div w:id="1542786158">
          <w:marLeft w:val="640"/>
          <w:marRight w:val="0"/>
          <w:marTop w:val="0"/>
          <w:marBottom w:val="0"/>
          <w:divBdr>
            <w:top w:val="none" w:sz="0" w:space="0" w:color="auto"/>
            <w:left w:val="none" w:sz="0" w:space="0" w:color="auto"/>
            <w:bottom w:val="none" w:sz="0" w:space="0" w:color="auto"/>
            <w:right w:val="none" w:sz="0" w:space="0" w:color="auto"/>
          </w:divBdr>
        </w:div>
        <w:div w:id="1881933333">
          <w:marLeft w:val="640"/>
          <w:marRight w:val="0"/>
          <w:marTop w:val="0"/>
          <w:marBottom w:val="0"/>
          <w:divBdr>
            <w:top w:val="none" w:sz="0" w:space="0" w:color="auto"/>
            <w:left w:val="none" w:sz="0" w:space="0" w:color="auto"/>
            <w:bottom w:val="none" w:sz="0" w:space="0" w:color="auto"/>
            <w:right w:val="none" w:sz="0" w:space="0" w:color="auto"/>
          </w:divBdr>
        </w:div>
        <w:div w:id="1589578154">
          <w:marLeft w:val="640"/>
          <w:marRight w:val="0"/>
          <w:marTop w:val="0"/>
          <w:marBottom w:val="0"/>
          <w:divBdr>
            <w:top w:val="none" w:sz="0" w:space="0" w:color="auto"/>
            <w:left w:val="none" w:sz="0" w:space="0" w:color="auto"/>
            <w:bottom w:val="none" w:sz="0" w:space="0" w:color="auto"/>
            <w:right w:val="none" w:sz="0" w:space="0" w:color="auto"/>
          </w:divBdr>
        </w:div>
        <w:div w:id="1244726830">
          <w:marLeft w:val="640"/>
          <w:marRight w:val="0"/>
          <w:marTop w:val="0"/>
          <w:marBottom w:val="0"/>
          <w:divBdr>
            <w:top w:val="none" w:sz="0" w:space="0" w:color="auto"/>
            <w:left w:val="none" w:sz="0" w:space="0" w:color="auto"/>
            <w:bottom w:val="none" w:sz="0" w:space="0" w:color="auto"/>
            <w:right w:val="none" w:sz="0" w:space="0" w:color="auto"/>
          </w:divBdr>
        </w:div>
        <w:div w:id="235408410">
          <w:marLeft w:val="640"/>
          <w:marRight w:val="0"/>
          <w:marTop w:val="0"/>
          <w:marBottom w:val="0"/>
          <w:divBdr>
            <w:top w:val="none" w:sz="0" w:space="0" w:color="auto"/>
            <w:left w:val="none" w:sz="0" w:space="0" w:color="auto"/>
            <w:bottom w:val="none" w:sz="0" w:space="0" w:color="auto"/>
            <w:right w:val="none" w:sz="0" w:space="0" w:color="auto"/>
          </w:divBdr>
        </w:div>
        <w:div w:id="1594702280">
          <w:marLeft w:val="640"/>
          <w:marRight w:val="0"/>
          <w:marTop w:val="0"/>
          <w:marBottom w:val="0"/>
          <w:divBdr>
            <w:top w:val="none" w:sz="0" w:space="0" w:color="auto"/>
            <w:left w:val="none" w:sz="0" w:space="0" w:color="auto"/>
            <w:bottom w:val="none" w:sz="0" w:space="0" w:color="auto"/>
            <w:right w:val="none" w:sz="0" w:space="0" w:color="auto"/>
          </w:divBdr>
        </w:div>
        <w:div w:id="1037659745">
          <w:marLeft w:val="640"/>
          <w:marRight w:val="0"/>
          <w:marTop w:val="0"/>
          <w:marBottom w:val="0"/>
          <w:divBdr>
            <w:top w:val="none" w:sz="0" w:space="0" w:color="auto"/>
            <w:left w:val="none" w:sz="0" w:space="0" w:color="auto"/>
            <w:bottom w:val="none" w:sz="0" w:space="0" w:color="auto"/>
            <w:right w:val="none" w:sz="0" w:space="0" w:color="auto"/>
          </w:divBdr>
        </w:div>
        <w:div w:id="886913202">
          <w:marLeft w:val="640"/>
          <w:marRight w:val="0"/>
          <w:marTop w:val="0"/>
          <w:marBottom w:val="0"/>
          <w:divBdr>
            <w:top w:val="none" w:sz="0" w:space="0" w:color="auto"/>
            <w:left w:val="none" w:sz="0" w:space="0" w:color="auto"/>
            <w:bottom w:val="none" w:sz="0" w:space="0" w:color="auto"/>
            <w:right w:val="none" w:sz="0" w:space="0" w:color="auto"/>
          </w:divBdr>
        </w:div>
        <w:div w:id="330068013">
          <w:marLeft w:val="640"/>
          <w:marRight w:val="0"/>
          <w:marTop w:val="0"/>
          <w:marBottom w:val="0"/>
          <w:divBdr>
            <w:top w:val="none" w:sz="0" w:space="0" w:color="auto"/>
            <w:left w:val="none" w:sz="0" w:space="0" w:color="auto"/>
            <w:bottom w:val="none" w:sz="0" w:space="0" w:color="auto"/>
            <w:right w:val="none" w:sz="0" w:space="0" w:color="auto"/>
          </w:divBdr>
        </w:div>
        <w:div w:id="445931226">
          <w:marLeft w:val="640"/>
          <w:marRight w:val="0"/>
          <w:marTop w:val="0"/>
          <w:marBottom w:val="0"/>
          <w:divBdr>
            <w:top w:val="none" w:sz="0" w:space="0" w:color="auto"/>
            <w:left w:val="none" w:sz="0" w:space="0" w:color="auto"/>
            <w:bottom w:val="none" w:sz="0" w:space="0" w:color="auto"/>
            <w:right w:val="none" w:sz="0" w:space="0" w:color="auto"/>
          </w:divBdr>
        </w:div>
        <w:div w:id="1938168901">
          <w:marLeft w:val="640"/>
          <w:marRight w:val="0"/>
          <w:marTop w:val="0"/>
          <w:marBottom w:val="0"/>
          <w:divBdr>
            <w:top w:val="none" w:sz="0" w:space="0" w:color="auto"/>
            <w:left w:val="none" w:sz="0" w:space="0" w:color="auto"/>
            <w:bottom w:val="none" w:sz="0" w:space="0" w:color="auto"/>
            <w:right w:val="none" w:sz="0" w:space="0" w:color="auto"/>
          </w:divBdr>
        </w:div>
      </w:divsChild>
    </w:div>
    <w:div w:id="777070633">
      <w:bodyDiv w:val="1"/>
      <w:marLeft w:val="0"/>
      <w:marRight w:val="0"/>
      <w:marTop w:val="0"/>
      <w:marBottom w:val="0"/>
      <w:divBdr>
        <w:top w:val="none" w:sz="0" w:space="0" w:color="auto"/>
        <w:left w:val="none" w:sz="0" w:space="0" w:color="auto"/>
        <w:bottom w:val="none" w:sz="0" w:space="0" w:color="auto"/>
        <w:right w:val="none" w:sz="0" w:space="0" w:color="auto"/>
      </w:divBdr>
      <w:divsChild>
        <w:div w:id="248739404">
          <w:marLeft w:val="640"/>
          <w:marRight w:val="0"/>
          <w:marTop w:val="0"/>
          <w:marBottom w:val="0"/>
          <w:divBdr>
            <w:top w:val="none" w:sz="0" w:space="0" w:color="auto"/>
            <w:left w:val="none" w:sz="0" w:space="0" w:color="auto"/>
            <w:bottom w:val="none" w:sz="0" w:space="0" w:color="auto"/>
            <w:right w:val="none" w:sz="0" w:space="0" w:color="auto"/>
          </w:divBdr>
        </w:div>
        <w:div w:id="1749886661">
          <w:marLeft w:val="640"/>
          <w:marRight w:val="0"/>
          <w:marTop w:val="0"/>
          <w:marBottom w:val="0"/>
          <w:divBdr>
            <w:top w:val="none" w:sz="0" w:space="0" w:color="auto"/>
            <w:left w:val="none" w:sz="0" w:space="0" w:color="auto"/>
            <w:bottom w:val="none" w:sz="0" w:space="0" w:color="auto"/>
            <w:right w:val="none" w:sz="0" w:space="0" w:color="auto"/>
          </w:divBdr>
        </w:div>
        <w:div w:id="1485005666">
          <w:marLeft w:val="640"/>
          <w:marRight w:val="0"/>
          <w:marTop w:val="0"/>
          <w:marBottom w:val="0"/>
          <w:divBdr>
            <w:top w:val="none" w:sz="0" w:space="0" w:color="auto"/>
            <w:left w:val="none" w:sz="0" w:space="0" w:color="auto"/>
            <w:bottom w:val="none" w:sz="0" w:space="0" w:color="auto"/>
            <w:right w:val="none" w:sz="0" w:space="0" w:color="auto"/>
          </w:divBdr>
        </w:div>
        <w:div w:id="1450469365">
          <w:marLeft w:val="640"/>
          <w:marRight w:val="0"/>
          <w:marTop w:val="0"/>
          <w:marBottom w:val="0"/>
          <w:divBdr>
            <w:top w:val="none" w:sz="0" w:space="0" w:color="auto"/>
            <w:left w:val="none" w:sz="0" w:space="0" w:color="auto"/>
            <w:bottom w:val="none" w:sz="0" w:space="0" w:color="auto"/>
            <w:right w:val="none" w:sz="0" w:space="0" w:color="auto"/>
          </w:divBdr>
        </w:div>
        <w:div w:id="1055664600">
          <w:marLeft w:val="640"/>
          <w:marRight w:val="0"/>
          <w:marTop w:val="0"/>
          <w:marBottom w:val="0"/>
          <w:divBdr>
            <w:top w:val="none" w:sz="0" w:space="0" w:color="auto"/>
            <w:left w:val="none" w:sz="0" w:space="0" w:color="auto"/>
            <w:bottom w:val="none" w:sz="0" w:space="0" w:color="auto"/>
            <w:right w:val="none" w:sz="0" w:space="0" w:color="auto"/>
          </w:divBdr>
        </w:div>
        <w:div w:id="1440837980">
          <w:marLeft w:val="640"/>
          <w:marRight w:val="0"/>
          <w:marTop w:val="0"/>
          <w:marBottom w:val="0"/>
          <w:divBdr>
            <w:top w:val="none" w:sz="0" w:space="0" w:color="auto"/>
            <w:left w:val="none" w:sz="0" w:space="0" w:color="auto"/>
            <w:bottom w:val="none" w:sz="0" w:space="0" w:color="auto"/>
            <w:right w:val="none" w:sz="0" w:space="0" w:color="auto"/>
          </w:divBdr>
        </w:div>
        <w:div w:id="154879757">
          <w:marLeft w:val="640"/>
          <w:marRight w:val="0"/>
          <w:marTop w:val="0"/>
          <w:marBottom w:val="0"/>
          <w:divBdr>
            <w:top w:val="none" w:sz="0" w:space="0" w:color="auto"/>
            <w:left w:val="none" w:sz="0" w:space="0" w:color="auto"/>
            <w:bottom w:val="none" w:sz="0" w:space="0" w:color="auto"/>
            <w:right w:val="none" w:sz="0" w:space="0" w:color="auto"/>
          </w:divBdr>
        </w:div>
        <w:div w:id="1511600392">
          <w:marLeft w:val="640"/>
          <w:marRight w:val="0"/>
          <w:marTop w:val="0"/>
          <w:marBottom w:val="0"/>
          <w:divBdr>
            <w:top w:val="none" w:sz="0" w:space="0" w:color="auto"/>
            <w:left w:val="none" w:sz="0" w:space="0" w:color="auto"/>
            <w:bottom w:val="none" w:sz="0" w:space="0" w:color="auto"/>
            <w:right w:val="none" w:sz="0" w:space="0" w:color="auto"/>
          </w:divBdr>
        </w:div>
        <w:div w:id="429938456">
          <w:marLeft w:val="640"/>
          <w:marRight w:val="0"/>
          <w:marTop w:val="0"/>
          <w:marBottom w:val="0"/>
          <w:divBdr>
            <w:top w:val="none" w:sz="0" w:space="0" w:color="auto"/>
            <w:left w:val="none" w:sz="0" w:space="0" w:color="auto"/>
            <w:bottom w:val="none" w:sz="0" w:space="0" w:color="auto"/>
            <w:right w:val="none" w:sz="0" w:space="0" w:color="auto"/>
          </w:divBdr>
        </w:div>
        <w:div w:id="1341664127">
          <w:marLeft w:val="640"/>
          <w:marRight w:val="0"/>
          <w:marTop w:val="0"/>
          <w:marBottom w:val="0"/>
          <w:divBdr>
            <w:top w:val="none" w:sz="0" w:space="0" w:color="auto"/>
            <w:left w:val="none" w:sz="0" w:space="0" w:color="auto"/>
            <w:bottom w:val="none" w:sz="0" w:space="0" w:color="auto"/>
            <w:right w:val="none" w:sz="0" w:space="0" w:color="auto"/>
          </w:divBdr>
        </w:div>
        <w:div w:id="1140615497">
          <w:marLeft w:val="640"/>
          <w:marRight w:val="0"/>
          <w:marTop w:val="0"/>
          <w:marBottom w:val="0"/>
          <w:divBdr>
            <w:top w:val="none" w:sz="0" w:space="0" w:color="auto"/>
            <w:left w:val="none" w:sz="0" w:space="0" w:color="auto"/>
            <w:bottom w:val="none" w:sz="0" w:space="0" w:color="auto"/>
            <w:right w:val="none" w:sz="0" w:space="0" w:color="auto"/>
          </w:divBdr>
        </w:div>
        <w:div w:id="1268200828">
          <w:marLeft w:val="640"/>
          <w:marRight w:val="0"/>
          <w:marTop w:val="0"/>
          <w:marBottom w:val="0"/>
          <w:divBdr>
            <w:top w:val="none" w:sz="0" w:space="0" w:color="auto"/>
            <w:left w:val="none" w:sz="0" w:space="0" w:color="auto"/>
            <w:bottom w:val="none" w:sz="0" w:space="0" w:color="auto"/>
            <w:right w:val="none" w:sz="0" w:space="0" w:color="auto"/>
          </w:divBdr>
        </w:div>
        <w:div w:id="2780267">
          <w:marLeft w:val="640"/>
          <w:marRight w:val="0"/>
          <w:marTop w:val="0"/>
          <w:marBottom w:val="0"/>
          <w:divBdr>
            <w:top w:val="none" w:sz="0" w:space="0" w:color="auto"/>
            <w:left w:val="none" w:sz="0" w:space="0" w:color="auto"/>
            <w:bottom w:val="none" w:sz="0" w:space="0" w:color="auto"/>
            <w:right w:val="none" w:sz="0" w:space="0" w:color="auto"/>
          </w:divBdr>
        </w:div>
        <w:div w:id="1640839585">
          <w:marLeft w:val="640"/>
          <w:marRight w:val="0"/>
          <w:marTop w:val="0"/>
          <w:marBottom w:val="0"/>
          <w:divBdr>
            <w:top w:val="none" w:sz="0" w:space="0" w:color="auto"/>
            <w:left w:val="none" w:sz="0" w:space="0" w:color="auto"/>
            <w:bottom w:val="none" w:sz="0" w:space="0" w:color="auto"/>
            <w:right w:val="none" w:sz="0" w:space="0" w:color="auto"/>
          </w:divBdr>
        </w:div>
        <w:div w:id="2043089959">
          <w:marLeft w:val="640"/>
          <w:marRight w:val="0"/>
          <w:marTop w:val="0"/>
          <w:marBottom w:val="0"/>
          <w:divBdr>
            <w:top w:val="none" w:sz="0" w:space="0" w:color="auto"/>
            <w:left w:val="none" w:sz="0" w:space="0" w:color="auto"/>
            <w:bottom w:val="none" w:sz="0" w:space="0" w:color="auto"/>
            <w:right w:val="none" w:sz="0" w:space="0" w:color="auto"/>
          </w:divBdr>
        </w:div>
      </w:divsChild>
    </w:div>
    <w:div w:id="826088916">
      <w:bodyDiv w:val="1"/>
      <w:marLeft w:val="0"/>
      <w:marRight w:val="0"/>
      <w:marTop w:val="0"/>
      <w:marBottom w:val="0"/>
      <w:divBdr>
        <w:top w:val="none" w:sz="0" w:space="0" w:color="auto"/>
        <w:left w:val="none" w:sz="0" w:space="0" w:color="auto"/>
        <w:bottom w:val="none" w:sz="0" w:space="0" w:color="auto"/>
        <w:right w:val="none" w:sz="0" w:space="0" w:color="auto"/>
      </w:divBdr>
      <w:divsChild>
        <w:div w:id="22287368">
          <w:marLeft w:val="640"/>
          <w:marRight w:val="0"/>
          <w:marTop w:val="0"/>
          <w:marBottom w:val="0"/>
          <w:divBdr>
            <w:top w:val="none" w:sz="0" w:space="0" w:color="auto"/>
            <w:left w:val="none" w:sz="0" w:space="0" w:color="auto"/>
            <w:bottom w:val="none" w:sz="0" w:space="0" w:color="auto"/>
            <w:right w:val="none" w:sz="0" w:space="0" w:color="auto"/>
          </w:divBdr>
        </w:div>
        <w:div w:id="1985230940">
          <w:marLeft w:val="640"/>
          <w:marRight w:val="0"/>
          <w:marTop w:val="0"/>
          <w:marBottom w:val="0"/>
          <w:divBdr>
            <w:top w:val="none" w:sz="0" w:space="0" w:color="auto"/>
            <w:left w:val="none" w:sz="0" w:space="0" w:color="auto"/>
            <w:bottom w:val="none" w:sz="0" w:space="0" w:color="auto"/>
            <w:right w:val="none" w:sz="0" w:space="0" w:color="auto"/>
          </w:divBdr>
        </w:div>
        <w:div w:id="877670359">
          <w:marLeft w:val="640"/>
          <w:marRight w:val="0"/>
          <w:marTop w:val="0"/>
          <w:marBottom w:val="0"/>
          <w:divBdr>
            <w:top w:val="none" w:sz="0" w:space="0" w:color="auto"/>
            <w:left w:val="none" w:sz="0" w:space="0" w:color="auto"/>
            <w:bottom w:val="none" w:sz="0" w:space="0" w:color="auto"/>
            <w:right w:val="none" w:sz="0" w:space="0" w:color="auto"/>
          </w:divBdr>
        </w:div>
        <w:div w:id="1803812869">
          <w:marLeft w:val="640"/>
          <w:marRight w:val="0"/>
          <w:marTop w:val="0"/>
          <w:marBottom w:val="0"/>
          <w:divBdr>
            <w:top w:val="none" w:sz="0" w:space="0" w:color="auto"/>
            <w:left w:val="none" w:sz="0" w:space="0" w:color="auto"/>
            <w:bottom w:val="none" w:sz="0" w:space="0" w:color="auto"/>
            <w:right w:val="none" w:sz="0" w:space="0" w:color="auto"/>
          </w:divBdr>
        </w:div>
        <w:div w:id="1368213061">
          <w:marLeft w:val="640"/>
          <w:marRight w:val="0"/>
          <w:marTop w:val="0"/>
          <w:marBottom w:val="0"/>
          <w:divBdr>
            <w:top w:val="none" w:sz="0" w:space="0" w:color="auto"/>
            <w:left w:val="none" w:sz="0" w:space="0" w:color="auto"/>
            <w:bottom w:val="none" w:sz="0" w:space="0" w:color="auto"/>
            <w:right w:val="none" w:sz="0" w:space="0" w:color="auto"/>
          </w:divBdr>
        </w:div>
        <w:div w:id="1810200890">
          <w:marLeft w:val="640"/>
          <w:marRight w:val="0"/>
          <w:marTop w:val="0"/>
          <w:marBottom w:val="0"/>
          <w:divBdr>
            <w:top w:val="none" w:sz="0" w:space="0" w:color="auto"/>
            <w:left w:val="none" w:sz="0" w:space="0" w:color="auto"/>
            <w:bottom w:val="none" w:sz="0" w:space="0" w:color="auto"/>
            <w:right w:val="none" w:sz="0" w:space="0" w:color="auto"/>
          </w:divBdr>
        </w:div>
        <w:div w:id="1602909574">
          <w:marLeft w:val="640"/>
          <w:marRight w:val="0"/>
          <w:marTop w:val="0"/>
          <w:marBottom w:val="0"/>
          <w:divBdr>
            <w:top w:val="none" w:sz="0" w:space="0" w:color="auto"/>
            <w:left w:val="none" w:sz="0" w:space="0" w:color="auto"/>
            <w:bottom w:val="none" w:sz="0" w:space="0" w:color="auto"/>
            <w:right w:val="none" w:sz="0" w:space="0" w:color="auto"/>
          </w:divBdr>
        </w:div>
        <w:div w:id="931864128">
          <w:marLeft w:val="640"/>
          <w:marRight w:val="0"/>
          <w:marTop w:val="0"/>
          <w:marBottom w:val="0"/>
          <w:divBdr>
            <w:top w:val="none" w:sz="0" w:space="0" w:color="auto"/>
            <w:left w:val="none" w:sz="0" w:space="0" w:color="auto"/>
            <w:bottom w:val="none" w:sz="0" w:space="0" w:color="auto"/>
            <w:right w:val="none" w:sz="0" w:space="0" w:color="auto"/>
          </w:divBdr>
        </w:div>
        <w:div w:id="424376469">
          <w:marLeft w:val="640"/>
          <w:marRight w:val="0"/>
          <w:marTop w:val="0"/>
          <w:marBottom w:val="0"/>
          <w:divBdr>
            <w:top w:val="none" w:sz="0" w:space="0" w:color="auto"/>
            <w:left w:val="none" w:sz="0" w:space="0" w:color="auto"/>
            <w:bottom w:val="none" w:sz="0" w:space="0" w:color="auto"/>
            <w:right w:val="none" w:sz="0" w:space="0" w:color="auto"/>
          </w:divBdr>
        </w:div>
        <w:div w:id="331103641">
          <w:marLeft w:val="640"/>
          <w:marRight w:val="0"/>
          <w:marTop w:val="0"/>
          <w:marBottom w:val="0"/>
          <w:divBdr>
            <w:top w:val="none" w:sz="0" w:space="0" w:color="auto"/>
            <w:left w:val="none" w:sz="0" w:space="0" w:color="auto"/>
            <w:bottom w:val="none" w:sz="0" w:space="0" w:color="auto"/>
            <w:right w:val="none" w:sz="0" w:space="0" w:color="auto"/>
          </w:divBdr>
        </w:div>
        <w:div w:id="802310450">
          <w:marLeft w:val="640"/>
          <w:marRight w:val="0"/>
          <w:marTop w:val="0"/>
          <w:marBottom w:val="0"/>
          <w:divBdr>
            <w:top w:val="none" w:sz="0" w:space="0" w:color="auto"/>
            <w:left w:val="none" w:sz="0" w:space="0" w:color="auto"/>
            <w:bottom w:val="none" w:sz="0" w:space="0" w:color="auto"/>
            <w:right w:val="none" w:sz="0" w:space="0" w:color="auto"/>
          </w:divBdr>
        </w:div>
        <w:div w:id="527182373">
          <w:marLeft w:val="640"/>
          <w:marRight w:val="0"/>
          <w:marTop w:val="0"/>
          <w:marBottom w:val="0"/>
          <w:divBdr>
            <w:top w:val="none" w:sz="0" w:space="0" w:color="auto"/>
            <w:left w:val="none" w:sz="0" w:space="0" w:color="auto"/>
            <w:bottom w:val="none" w:sz="0" w:space="0" w:color="auto"/>
            <w:right w:val="none" w:sz="0" w:space="0" w:color="auto"/>
          </w:divBdr>
        </w:div>
        <w:div w:id="1660960853">
          <w:marLeft w:val="640"/>
          <w:marRight w:val="0"/>
          <w:marTop w:val="0"/>
          <w:marBottom w:val="0"/>
          <w:divBdr>
            <w:top w:val="none" w:sz="0" w:space="0" w:color="auto"/>
            <w:left w:val="none" w:sz="0" w:space="0" w:color="auto"/>
            <w:bottom w:val="none" w:sz="0" w:space="0" w:color="auto"/>
            <w:right w:val="none" w:sz="0" w:space="0" w:color="auto"/>
          </w:divBdr>
        </w:div>
        <w:div w:id="340357992">
          <w:marLeft w:val="640"/>
          <w:marRight w:val="0"/>
          <w:marTop w:val="0"/>
          <w:marBottom w:val="0"/>
          <w:divBdr>
            <w:top w:val="none" w:sz="0" w:space="0" w:color="auto"/>
            <w:left w:val="none" w:sz="0" w:space="0" w:color="auto"/>
            <w:bottom w:val="none" w:sz="0" w:space="0" w:color="auto"/>
            <w:right w:val="none" w:sz="0" w:space="0" w:color="auto"/>
          </w:divBdr>
        </w:div>
        <w:div w:id="33222259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E316B2-5C6C-2649-80C4-305033A1470D}"/>
      </w:docPartPr>
      <w:docPartBody>
        <w:p w:rsidR="00DD0E49" w:rsidRDefault="003E49FF">
          <w:r w:rsidRPr="00DC70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FF"/>
    <w:rsid w:val="001E49BA"/>
    <w:rsid w:val="0020236C"/>
    <w:rsid w:val="003E49FF"/>
    <w:rsid w:val="004C39D8"/>
    <w:rsid w:val="005C6F78"/>
    <w:rsid w:val="00690A22"/>
    <w:rsid w:val="006B2EF6"/>
    <w:rsid w:val="00754A77"/>
    <w:rsid w:val="007863B6"/>
    <w:rsid w:val="007E3629"/>
    <w:rsid w:val="00810375"/>
    <w:rsid w:val="009F4976"/>
    <w:rsid w:val="00A12F37"/>
    <w:rsid w:val="00A6287D"/>
    <w:rsid w:val="00AD20CF"/>
    <w:rsid w:val="00AD29F6"/>
    <w:rsid w:val="00B507D7"/>
    <w:rsid w:val="00B71232"/>
    <w:rsid w:val="00BA1EBD"/>
    <w:rsid w:val="00DC1EA4"/>
    <w:rsid w:val="00DD0E49"/>
    <w:rsid w:val="00F33A99"/>
    <w:rsid w:val="00F63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9FF"/>
    <w:rPr>
      <w:color w:val="808080"/>
    </w:rPr>
  </w:style>
  <w:style w:type="paragraph" w:customStyle="1" w:styleId="A2682FFE790785428B3E0884A3460F53">
    <w:name w:val="A2682FFE790785428B3E0884A3460F53"/>
    <w:rsid w:val="003E4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FABB1F-B18F-A54E-A952-5B72EDAFA301}">
  <we:reference id="wa104382081" version="1.7.0.0" store="en-001" storeType="OMEX"/>
  <we:alternateReferences>
    <we:reference id="wa104382081" version="1.7.0.0" store="" storeType="OMEX"/>
  </we:alternateReferences>
  <we:properties>
    <we:property name="MENDELEY_CITATIONS" value="[{&quot;citationID&quot;:&quot;MENDELEY_CITATION_de3fde19-9ebe-4799-8e52-804403cb2aa7&quot;,&quot;properties&quot;:{&quot;noteIndex&quot;:0},&quot;citationItems&quot;:[{&quot;id&quot;:&quot;9bddcc7e-d31a-3bbf-bab2-b4431077f2b6&quot;,&quot;itemData&quot;:{&quot;type&quot;:&quot;report&quot;,&quot;id&quot;:&quot;9bddcc7e-d31a-3bbf-bab2-b4431077f2b6&quot;,&quot;title&quot;:&quot;Global Tuberculosis Report&quot;,&quot;author&quot;:[{&quot;family&quot;:&quot;World Health Organization&quot;,&quot;given&quot;:&quot;&quot;,&quot;parse-names&quot;:false,&quot;dropping-particle&quot;:&quot;&quot;,&quot;non-dropping-particle&quot;:&quot;&quot;}],&quot;issued&quot;:{&quot;date-parts&quot;:[[2019]]},&quot;publisher-place&quot;:&quot;Geneva&quot;}}]},{&quot;citationID&quot;:&quot;MENDELEY_CITATION_c1230356-78e6-4ac5-a2e5-90de923f186e&quot;,&quot;properties&quot;:{&quot;noteIndex&quot;:0},&quot;citationItems&quot;:[{&quot;id&quot;:&quot;a76fd0b1-b02d-3136-9457-248327985b14&quot;,&quot;itemData&quot;:{&quot;type&quot;:&quot;article-journal&quot;,&quot;id&quot;:&quot;a76fd0b1-b02d-3136-9457-248327985b14&quot;,&quot;title&quot;:&quot;Effect of bedaquiline on mortality in South African patients with drug-resistant tuberculosis: a retrospective cohort study&quot;,&quot;author&quot;:[{&quot;family&quot;:&quot;Schnippel&quot;,&quot;given&quot;:&quot;Kathryn&quot;,&quot;parse-names&quot;:false,&quot;dropping-particle&quot;:&quot;&quot;,&quot;non-dropping-particle&quot;:&quot;&quot;},{&quot;family&quot;:&quot;Ndjeka&quot;,&quot;given&quot;:&quot;Norbert&quot;,&quot;parse-names&quot;:false,&quot;dropping-particle&quot;:&quot;&quot;,&quot;non-dropping-particle&quot;:&quot;&quot;},{&quot;family&quot;:&quot;Maartens&quot;,&quot;given&quot;:&quot;Gary&quot;,&quot;parse-names&quot;:false,&quot;dropping-particle&quot;:&quot;&quot;,&quot;non-dropping-particle&quot;:&quot;&quot;},{&quot;family&quot;:&quot;Meintjes&quot;,&quot;given&quot;:&quot;Graeme&quot;,&quot;parse-names&quot;:false,&quot;dropping-particle&quot;:&quot;&quot;,&quot;non-dropping-particle&quot;:&quot;&quot;},{&quot;family&quot;:&quot;Master&quot;,&quot;given&quot;:&quot;Iqbal&quot;,&quot;parse-names&quot;:false,&quot;dropping-particle&quot;:&quot;&quot;,&quot;non-dropping-particle&quot;:&quot;&quot;},{&quot;family&quot;:&quot;Ismail&quot;,&quot;given&quot;:&quot;Nazir&quot;,&quot;parse-names&quot;:false,&quot;dropping-particle&quot;:&quot;&quot;,&quot;non-dropping-particle&quot;:&quot;&quot;},{&quot;family&quot;:&quot;Hughes&quot;,&quot;given&quot;:&quot;Jennifer&quot;,&quot;parse-names&quot;:false,&quot;dropping-particle&quot;:&quot;&quot;,&quot;non-dropping-particle&quot;:&quot;&quot;},{&quot;family&quot;:&quot;Ferreira&quot;,&quot;given&quot;:&quot;Hannetjie&quot;,&quot;parse-names&quot;:false,&quot;dropping-particle&quot;:&quot;&quot;,&quot;non-dropping-particle&quot;:&quot;&quot;},{&quot;family&quot;:&quot;Padanilam&quot;,&quot;given&quot;:&quot;Xavier&quot;,&quot;parse-names&quot;:false,&quot;dropping-particle&quot;:&quot;&quot;,&quot;non-dropping-particle&quot;:&quot;&quot;},{&quot;family&quot;:&quot;Romero&quot;,&quot;given&quot;:&quot;Rodolfo&quot;,&quot;parse-names&quot;:false,&quot;dropping-particle&quot;:&quot;&quot;,&quot;non-dropping-particle&quot;:&quot;&quot;},{&quot;family&quot;:&quot;Riele&quot;,&quot;given&quot;:&quot;Julian&quot;,&quot;parse-names&quot;:false,&quot;dropping-particle&quot;:&quot;&quot;,&quot;non-dropping-particle&quot;:&quot;te&quot;},{&quot;family&quot;:&quot;Conradie&quot;,&quot;given&quot;:&quot;Francesca&quot;,&quot;parse-names&quot;:false,&quot;dropping-particle&quot;:&quot;&quot;,&quot;non-dropping-particle&quot;:&quot;&quot;}],&quot;container-title&quot;:&quot;The Lancet Respiratory Medicine&quot;,&quot;DOI&quot;:&quot;10.1016/S2213-2600(18)30235-2&quot;,&quot;ISSN&quot;:&quot;22132619&quot;,&quot;issued&quot;:{&quot;date-parts&quot;:[[2018]]},&quot;page&quot;:&quot;699-706&quot;,&quot;abstract&quot;:&quot;Background: Addition of bedaquiline to treatment for multidrug-resistant tuberculosis was associated with an increased risk of death in a phase 2b clinical trial, resulting in caution from WHO. Following a compassionate access programme and local regulatory approval, the South African National Tuberculosis Programme began widespread use of bedaquiline in March, 2015, especially among patients with extensively drug resistant tuberculosis for whom no other effective treatment options were available. We aimed to compare mortality in patients on standard regimens with that of patients on regimens including bedaquiline. Methods: In this retrospective cohort study, we analysed patient data from the South African rifampicin-resistant tuberculosis case register (EDRweb), and identified additional mortality using the national vital statistics register. We excluded patients who started treatment before July 1, 2014, or after March 31, 2016; patients younger than 15 years or older than 75 years; patients without documented rifampicin resistance, and patients with pre-extensively drug-resistant tuberculosis (multidrug-resistant tuberculosis with further resistance to a second-line injectable or fluoroquinolone). We compared all-cause mortality between patients who received bedaquiline in treatment regimens and those who did not. Patients who did not receive bedaquiline had kanamycin or capreomycin and moxifloxacin as core medicines in their regimen. We estimated hazard ratios for mortality separately for multidrug-resistant or rifampicin-resistant tuberculosis and extensively drug-resistant tuberculosis and adjusted using propensity score quintile strata for the potential confounders of sex, age, HIV and antiretroviral therapy status, history of prior tuberculosis, valid identification number, and year and province of treatment. Findings: 24 014 tuberculosis cases were registered in the EDRweb between July 1, 2014, and March 31, 2016. Of these, 19 617 patients initiated treatment and met our analysis eligibility criteria. A bedaquiline-containing regimen was given to 743 (4·0%) of 18 542 patients with multidrug-resistant or rifampicin-resistant tuberculosis and 273 (25·4%) of 1075 patients with extensively drug-resistant tuberculosis. Among 1016 patients who received bedaquiline, 128 deaths (12·6%) were reported, and there were 4612 deaths (24·8%) among 18 601 patients on the standard regimens. Bedaquiline was associated with a reduction in the risk of all-cause mortality for patients with multidrug-resistant or rifampicin-resistant tuberculosis (hazard ratio [HR] 0·35, 95% CI 0·28–0·46) and extensively drug-resistant tuberculosis (0·26, 0·18–0·38) compared with standard regimens. Interpretation: Our retrospective cohort analysis of routinely reported data in the context of high HIV and extensively drug-resistant tuberculosis prevalence showed that bedaquiline-based treatment regimens were associated with a large reduction in mortality in patients with drug-resistant tuberculosis, compared with the standard regimen. Funding: None.&quot;,&quot;issue&quot;:&quot;9&quot;,&quot;volume&quot;:&quot;6&quot;}},{&quot;id&quot;:&quot;4dffe94d-9dbc-35ae-9e3f-9da4266fea2b&quot;,&quot;itemData&quot;:{&quot;type&quot;:&quot;article-journal&quot;,&quot;id&quot;:&quot;4dffe94d-9dbc-35ae-9e3f-9da4266fea2b&quot;,&quot;title&quot;:&quot;Effectiveness and safety of bedaquilinecontaining regimens in the treatment of MDR- and XDR-TB: A multicentre study&quot;,&quot;author&quot;:[{&quot;family&quot;:&quot;Borisov&quot;,&quot;given&quot;:&quot;Sergey E&quot;,&quot;parse-names&quot;:false,&quot;dropping-particle&quot;:&quot;&quot;,&quot;non-dropping-particle&quot;:&quot;&quot;},{&quot;family&quot;:&quot;Dheda&quot;,&quot;given&quot;:&quot;Keertan&quot;,&quot;parse-names&quot;:false,&quot;dropping-particle&quot;:&quot;&quot;,&quot;non-dropping-particle&quot;:&quot;&quot;},{&quot;family&quot;:&quot;Enwerem&quot;,&quot;given&quot;:&quot;Martin&quot;,&quot;parse-names&quot;:false,&quot;dropping-particle&quot;:&quot;&quot;,&quot;non-dropping-particle&quot;:&quot;&quot;},{&quot;family&quot;:&quot;Leyet&quot;,&quot;given&quot;:&quot;Rodolfo Romero&quot;,&quot;parse-names&quot;:false,&quot;dropping-particle&quot;:&quot;&quot;,&quot;non-dropping-particle&quot;:&quot;&quot;},{&quot;family&quot;:&quot;D'Ambrosio&quot;,&quot;given&quot;:&quot;Lia&quot;,&quot;parse-names&quot;:false,&quot;dropping-particle&quot;:&quot;&quot;,&quot;non-dropping-particle&quot;:&quot;&quot;},{&quot;family&quot;:&quot;Centis&quot;,&quot;given&quot;:&quot;Rosella&quot;,&quot;parse-names&quot;:false,&quot;dropping-particle&quot;:&quot;&quot;,&quot;non-dropping-particle&quot;:&quot;&quot;},{&quot;family&quot;:&quot;Sotgiu&quot;,&quot;given&quot;:&quot;Giovanni&quot;,&quot;parse-names&quot;:false,&quot;dropping-particle&quot;:&quot;&quot;,&quot;non-dropping-particle&quot;:&quot;&quot;},{&quot;family&quot;:&quot;Tiberi&quot;,&quot;given&quot;:&quot;Simon&quot;,&quot;parse-names&quot;:false,&quot;dropping-particle&quot;:&quot;&quot;,&quot;non-dropping-particle&quot;:&quot;&quot;},{&quot;family&quot;:&quot;Alffenaar&quot;,&quot;given&quot;:&quot;Jan Willem&quot;,&quot;parse-names&quot;:false,&quot;dropping-particle&quot;:&quot;&quot;,&quot;non-dropping-particle&quot;:&quot;&quot;},{&quot;family&quot;:&quot;Maryandyshev&quot;,&quot;given&quot;:&quot;Andrey&quot;,&quot;parse-names&quot;:false,&quot;dropping-particle&quot;:&quot;&quot;,&quot;non-dropping-particle&quot;:&quot;&quot;},{&quot;family&quot;:&quot;Belilovski&quot;,&quot;given&quot;:&quot;Evgeny&quot;,&quot;parse-names&quot;:false,&quot;dropping-particle&quot;:&quot;&quot;,&quot;non-dropping-particle&quot;:&quot;&quot;},{&quot;family&quot;:&quot;Ganatra&quot;,&quot;given&quot;:&quot;Shashank&quot;,&quot;parse-names&quot;:false,&quot;dropping-particle&quot;:&quot;&quot;,&quot;non-dropping-particle&quot;:&quot;&quot;},{&quot;family&quot;:&quot;Skrahina&quot;,&quot;given&quot;:&quot;Alena&quot;,&quot;parse-names&quot;:false,&quot;dropping-particle&quot;:&quot;&quot;,&quot;non-dropping-particle&quot;:&quot;&quot;},{&quot;family&quot;:&quot;Akkerman&quot;,&quot;given&quot;:&quot;Onno&quot;,&quot;parse-names&quot;:false,&quot;dropping-particle&quot;:&quot;&quot;,&quot;non-dropping-particle&quot;:&quot;&quot;},{&quot;family&quot;:&quot;Aleksa&quot;,&quot;given&quot;:&quot;Alena&quot;,&quot;parse-names&quot;:false,&quot;dropping-particle&quot;:&quot;&quot;,&quot;non-dropping-particle&quot;:&quot;&quot;},{&quot;family&quot;:&quot;Amale&quot;,&quot;given&quot;:&quot;Rohit&quot;,&quot;parse-names&quot;:false,&quot;dropping-particle&quot;:&quot;&quot;,&quot;non-dropping-particle&quot;:&quot;&quot;},{&quot;family&quot;:&quot;Artsukevich&quot;,&quot;given&quot;:&quot;Janina&quot;,&quot;parse-names&quot;:false,&quot;dropping-particle&quot;:&quot;&quot;,&quot;non-dropping-particle&quot;:&quot;&quot;},{&quot;family&quot;:&quot;Bruchfeld&quot;,&quot;given&quot;:&quot;Judith&quot;,&quot;parse-names&quot;:false,&quot;dropping-particle&quot;:&quot;&quot;,&quot;non-dropping-particle&quot;:&quot;&quot;},{&quot;family&quot;:&quot;Caminero&quot;,&quot;given&quot;:&quot;Jose A&quot;,&quot;parse-names&quot;:false,&quot;dropping-particle&quot;:&quot;&quot;,&quot;non-dropping-particle&quot;:&quot;&quot;},{&quot;family&quot;:&quot;Martinez&quot;,&quot;given&quot;:&quot;Isabel Carpena&quot;,&quot;parse-names&quot;:false,&quot;dropping-particle&quot;:&quot;&quot;,&quot;non-dropping-particle&quot;:&quot;&quot;},{&quot;family&quot;:&quot;Codecasa&quot;,&quot;given&quot;:&quot;Luigi&quot;,&quot;parse-names&quot;:false,&quot;dropping-particle&quot;:&quot;&quot;,&quot;non-dropping-particle&quot;:&quot;&quot;},{&quot;family&quot;:&quot;Dalcolmo&quot;,&quot;given&quot;:&quot;Margareth&quot;,&quot;parse-names&quot;:false,&quot;dropping-particle&quot;:&quot;&quot;,&quot;non-dropping-particle&quot;:&quot;&quot;},{&quot;family&quot;:&quot;Denholm&quot;,&quot;given&quot;:&quot;Justin&quot;,&quot;parse-names&quot;:false,&quot;dropping-particle&quot;:&quot;&quot;,&quot;non-dropping-particle&quot;:&quot;&quot;},{&quot;family&quot;:&quot;Douglas&quot;,&quot;given&quot;:&quot;Paul&quot;,&quot;parse-names&quot;:false,&quot;dropping-particle&quot;:&quot;&quot;,&quot;non-dropping-particle&quot;:&quot;&quot;},{&quot;family&quot;:&quot;Duarte&quot;,&quot;given&quot;:&quot;Raquel&quot;,&quot;parse-names&quot;:false,&quot;dropping-particle&quot;:&quot;&quot;,&quot;non-dropping-particle&quot;:&quot;&quot;},{&quot;family&quot;:&quot;Esmail&quot;,&quot;given&quot;:&quot;Aliasgar&quot;,&quot;parse-names&quot;:false,&quot;dropping-particle&quot;:&quot;&quot;,&quot;non-dropping-particle&quot;:&quot;&quot;},{&quot;family&quot;:&quot;Fadul&quot;,&quot;given&quot;:&quot;Mohammed&quot;,&quot;parse-names&quot;:false,&quot;dropping-particle&quot;:&quot;&quot;,&quot;non-dropping-particle&quot;:&quot;&quot;},{&quot;family&quot;:&quot;Filippov&quot;,&quot;given&quot;:&quot;Alexey&quot;,&quot;parse-names&quot;:false,&quot;dropping-particle&quot;:&quot;&quot;,&quot;non-dropping-particle&quot;:&quot;&quot;},{&quot;family&quot;:&quot;Forsman&quot;,&quot;given&quot;:&quot;Lina Davies&quot;,&quot;parse-names&quot;:false,&quot;dropping-particle&quot;:&quot;&quot;,&quot;non-dropping-particle&quot;:&quot;&quot;},{&quot;family&quot;:&quot;Gaga&quot;,&quot;given&quot;:&quot;Mina&quot;,&quot;parse-names&quot;:false,&quot;dropping-particle&quot;:&quot;&quot;,&quot;non-dropping-particle&quot;:&quot;&quot;},{&quot;family&quot;:&quot;Garcia-Fuertes&quot;,&quot;given&quot;:&quot;Julia Amaranta&quot;,&quot;parse-names&quot;:false,&quot;dropping-particle&quot;:&quot;&quot;,&quot;non-dropping-particle&quot;:&quot;&quot;},{&quot;family&quot;:&quot;García-García&quot;,&quot;given&quot;:&quot;José María&quot;,&quot;parse-names&quot;:false,&quot;dropping-particle&quot;:&quot;&quot;,&quot;non-dropping-particle&quot;:&quot;&quot;},{&quot;family&quot;:&quot;Gualano&quot;,&quot;given&quot;:&quot;Gina&quot;,&quot;parse-names&quot;:false,&quot;dropping-particle&quot;:&quot;&quot;,&quot;non-dropping-particle&quot;:&quot;&quot;},{&quot;family&quot;:&quot;Jonsson&quot;,&quot;given&quot;:&quot;Jerker&quot;,&quot;parse-names&quot;:false,&quot;dropping-particle&quot;:&quot;&quot;,&quot;non-dropping-particle&quot;:&quot;&quot;},{&quot;family&quot;:&quot;Kunst&quot;,&quot;given&quot;:&quot;Heinke&quot;,&quot;parse-names&quot;:false,&quot;dropping-particle&quot;:&quot;&quot;,&quot;non-dropping-particle&quot;:&quot;&quot;},{&quot;family&quot;:&quot;Lau&quot;,&quot;given&quot;:&quot;Jillian S&quot;,&quot;parse-names&quot;:false,&quot;dropping-particle&quot;:&quot;&quot;,&quot;non-dropping-particle&quot;:&quot;&quot;},{&quot;family&quot;:&quot;Mastrapa&quot;,&quot;given&quot;:&quot;Barbara Lazaro&quot;,&quot;parse-names&quot;:false,&quot;dropping-particle&quot;:&quot;&quot;,&quot;non-dropping-particle&quot;:&quot;&quot;},{&quot;family&quot;:&quot;Troya&quot;,&quot;given&quot;:&quot;Jorge Lazaro Teran&quot;,&quot;parse-names&quot;:false,&quot;dropping-particle&quot;:&quot;&quot;,&quot;non-dropping-particle&quot;:&quot;&quot;},{&quot;family&quot;:&quot;Manga&quot;,&quot;given&quot;:&quot;Selene&quot;,&quot;parse-names&quot;:false,&quot;dropping-particle&quot;:&quot;&quot;,&quot;non-dropping-particle&quot;:&quot;&quot;},{&quot;family&quot;:&quot;Manika&quot;,&quot;given&quot;:&quot;Katerina&quot;,&quot;parse-names&quot;:false,&quot;dropping-particle&quot;:&quot;&quot;,&quot;non-dropping-particle&quot;:&quot;&quot;},{&quot;family&quot;:&quot;Montaner&quot;,&quot;given&quot;:&quot;Pablo González&quot;,&quot;parse-names&quot;:false,&quot;dropping-particle&quot;:&quot;&quot;,&quot;non-dropping-particle&quot;:&quot;&quot;},{&quot;family&quot;:&quot;Mullerpattan&quot;,&quot;given&quot;:&quot;Jai&quot;,&quot;parse-names&quot;:false,&quot;dropping-particle&quot;:&quot;&quot;,&quot;non-dropping-particle&quot;:&quot;&quot;},{&quot;family&quot;:&quot;Oelofse&quot;,&quot;given&quot;:&quot;Suzette&quot;,&quot;parse-names&quot;:false,&quot;dropping-particle&quot;:&quot;&quot;,&quot;non-dropping-particle&quot;:&quot;&quot;},{&quot;family&quot;:&quot;Ortelli&quot;,&quot;given&quot;:&quot;Martina&quot;,&quot;parse-names&quot;:false,&quot;dropping-particle&quot;:&quot;&quot;,&quot;non-dropping-particle&quot;:&quot;&quot;},{&quot;family&quot;:&quot;Palmero&quot;,&quot;given&quot;:&quot;Domingo Juan&quot;,&quot;parse-names&quot;:false,&quot;dropping-particle&quot;:&quot;&quot;,&quot;non-dropping-particle&quot;:&quot;&quot;},{&quot;family&quot;:&quot;Palmieri&quot;,&quot;given&quot;:&quot;Fabrizio&quot;,&quot;parse-names&quot;:false,&quot;dropping-particle&quot;:&quot;&quot;,&quot;non-dropping-particle&quot;:&quot;&quot;},{&quot;family&quot;:&quot;Papalia&quot;,&quot;given&quot;:&quot;Antonella&quot;,&quot;parse-names&quot;:false,&quot;dropping-particle&quot;:&quot;&quot;,&quot;non-dropping-particle&quot;:&quot;&quot;},{&quot;family&quot;:&quot;Papavasileiou&quot;,&quot;given&quot;:&quot;Apostolos&quot;,&quot;parse-names&quot;:false,&quot;dropping-particle&quot;:&quot;&quot;,&quot;non-dropping-particle&quot;:&quot;&quot;},{&quot;family&quot;:&quot;Payen&quot;,&quot;given&quot;:&quot;Marie Christine&quot;,&quot;parse-names&quot;:false,&quot;dropping-particle&quot;:&quot;&quot;,&quot;non-dropping-particle&quot;:&quot;&quot;},{&quot;family&quot;:&quot;Pontali&quot;,&quot;given&quot;:&quot;Emanuele&quot;,&quot;parse-names&quot;:false,&quot;dropping-particle&quot;:&quot;&quot;,&quot;non-dropping-particle&quot;:&quot;&quot;},{&quot;family&quot;:&quot;Cordeiro&quot;,&quot;given&quot;:&quot;Carlos Robalo&quot;,&quot;parse-names&quot;:false,&quot;dropping-particle&quot;:&quot;&quot;,&quot;non-dropping-particle&quot;:&quot;&quot;},{&quot;family&quot;:&quot;Saderi&quot;,&quot;given&quot;:&quot;Laura&quot;,&quot;parse-names&quot;:false,&quot;dropping-particle&quot;:&quot;&quot;,&quot;non-dropping-particle&quot;:&quot;&quot;},{&quot;family&quot;:&quot;Sadutshang&quot;,&quot;given&quot;:&quot;Tsetan Dorji&quot;,&quot;parse-names&quot;:false,&quot;dropping-particle&quot;:&quot;&quot;,&quot;non-dropping-particle&quot;:&quot;&quot;},{&quot;family&quot;:&quot;Sanukevich&quot;,&quot;given&quot;:&quot;Tatsiana&quot;,&quot;parse-names&quot;:false,&quot;dropping-particle&quot;:&quot;&quot;,&quot;non-dropping-particle&quot;:&quot;&quot;},{&quot;family&quot;:&quot;Solodovnikova&quot;,&quot;given&quot;:&quot;Varvara&quot;,&quot;parse-names&quot;:false,&quot;dropping-particle&quot;:&quot;&quot;,&quot;non-dropping-particle&quot;:&quot;&quot;},{&quot;family&quot;:&quot;Spanevello&quot;,&quot;given&quot;:&quot;Antonio&quot;,&quot;parse-names&quot;:false,&quot;dropping-particle&quot;:&quot;&quot;,&quot;non-dropping-particle&quot;:&quot;&quot;},{&quot;family&quot;:&quot;Topgyal&quot;,&quot;given&quot;:&quot;Sonam&quot;,&quot;parse-names&quot;:false,&quot;dropping-particle&quot;:&quot;&quot;,&quot;non-dropping-particle&quot;:&quot;&quot;},{&quot;family&quot;:&quot;Toscanini&quot;,&quot;given&quot;:&quot;Federica&quot;,&quot;parse-names&quot;:false,&quot;dropping-particle&quot;:&quot;&quot;,&quot;non-dropping-particle&quot;:&quot;&quot;},{&quot;family&quot;:&quot;Tramontana&quot;,&quot;given&quot;:&quot;Adrian R&quot;,&quot;parse-names&quot;:false,&quot;dropping-particle&quot;:&quot;&quot;,&quot;non-dropping-particle&quot;:&quot;&quot;},{&quot;family&quot;:&quot;Udwadia&quot;,&quot;given&quot;:&quot;Zarir Farokh&quot;,&quot;parse-names&quot;:false,&quot;dropping-particle&quot;:&quot;&quot;,&quot;non-dropping-particle&quot;:&quot;&quot;},{&quot;family&quot;:&quot;Viggiani&quot;,&quot;given&quot;:&quot;Pietro&quot;,&quot;parse-names&quot;:false,&quot;dropping-particle&quot;:&quot;&quot;,&quot;non-dropping-particle&quot;:&quot;&quot;},{&quot;family&quot;:&quot;White&quot;,&quot;given&quot;:&quot;Veronica&quot;,&quot;parse-names&quot;:false,&quot;dropping-particle&quot;:&quot;&quot;,&quot;non-dropping-particle&quot;:&quot;&quot;},{&quot;family&quot;:&quot;Zumla&quot;,&quot;given&quot;:&quot;Alimuddin&quot;,&quot;parse-names&quot;:false,&quot;dropping-particle&quot;:&quot;&quot;,&quot;non-dropping-particle&quot;:&quot;&quot;},{&quot;family&quot;:&quot;Migliori&quot;,&quot;given&quot;:&quot;Giovanni Battista&quot;,&quot;parse-names&quot;:false,&quot;dropping-particle&quot;:&quot;&quot;,&quot;non-dropping-particle&quot;:&quot;&quot;}],&quot;container-title&quot;:&quot;European Respiratory Journal&quot;,&quot;DOI&quot;:&quot;10.1183/13993003.00387-2017&quot;,&quot;ISSN&quot;:&quot;13993003&quot;,&quot;issued&quot;:{&quot;date-parts&quot;:[[2017]]},&quot;abstract&quot;:&quot;Large studies on bedaquiline used to treat multidrug-resistant (MDR-) and extensively drug-resistant tuberculosis (XDR-TB) are lacking. This study aimed to evaluate the safety and effectiveness of bedaquiline-containing regimens in a large, retrospective, observational study conducted in 25 centres and 15 countries in five continents.428 culture-confirmed MDR-TB cases were analysed (61.5% male; 22.1% HIV-positive, 45.6% XDR-TB). MDR-TB cases were admitted to hospital for a median (interquartile range (IQR)) 179 (92–280) days and exposed to bedaquiline for 168 (86–180) days. Treatment regimens included, among others, linezolid, moxifloxacin, clofazimine and carbapenems (82.0%, 58.4%, 52.6% and 15.3% of cases, respectively).Sputum smear and culture conversion rates in MDR-TB cases were 63.6% and 30.1%, respectively at 30 days, 81.1% and 56.7%, respectively at 60 days; 85.5% and 80.5%, respectively at 90 days and 88.7% and 91.2%, respectively at the end of treatment. The median (IQR) time to smear and culture conversion was 34 (30–60) days and 60 (33–90) days. Out of 247 culture-confirmed MDR-TB cases completing treatment, 71.3% achieved success (62.4% cured; 8.9% completed treatment), 13.4% died, 7.3% defaulted and 7.7% failed. Bedaquiline was interrupted due to adverse events in 5.8% of cases. A single case died, having electrocardiographic abnormalities that were probably non-bedaquiline related.Bedaquiline-containing regimens achieved high conversion and success rates under different nonexperimental conditions.&quot;,&quot;issue&quot;:&quot;5&quot;,&quot;volume&quot;:&quot;49&quot;}}]},{&quot;citationID&quot;:&quot;MENDELEY_CITATION_9d721055-6e26-4a1d-ad03-952c14b2dff6&quot;,&quot;properties&quot;:{&quot;noteIndex&quot;:0},&quot;citationItems&quot;:[{&quot;id&quot;:&quot;671e0523-eadc-3651-8dd8-7736abfc7578&quot;,&quot;itemData&quot;:{&quot;type&quot;:&quot;report&quot;,&quot;id&quot;:&quot;671e0523-eadc-3651-8dd8-7736abfc7578&quot;,&quot;title&quot;:&quot;WHO consolidated guidelines on drug-resistant tuberculosis treatment&quot;,&quot;issued&quot;:{&quot;date-parts&quot;:[[2019]]},&quot;publisher-place&quot;:&quot;Geneva&quot;}}]},{&quot;citationID&quot;:&quot;MENDELEY_CITATION_3159a979-39b8-444c-9c15-4bc53f62e667&quot;,&quot;properties&quot;:{&quot;noteIndex&quot;:0},&quot;citationItems&quot;:[{&quot;id&quot;:&quot;3e152a2f-b590-3807-b853-d54ebb378e38&quot;,&quot;itemData&quot;:{&quot;type&quot;:&quot;article-journal&quot;,&quot;id&quot;:&quot;3e152a2f-b590-3807-b853-d54ebb378e38&quot;,&quot;title&quot;:&quot;Acquired Resistance to Bedaquiline and Delamanid in Therapy for Tuberculosis&quot;,&quot;author&quot;:[{&quot;family&quot;:&quot;Bloemberg&quot;,&quot;given&quot;:&quot;Guido&quot;,&quot;parse-names&quot;:false,&quot;dropping-particle&quot;:&quot;v&quot;,&quot;non-dropping-particle&quot;:&quot;&quot;},{&quot;family&quot;:&quot;Keller&quot;,&quot;given&quot;:&quot;Peter M&quot;,&quot;parse-names&quot;:false,&quot;dropping-particle&quot;:&quot;&quot;,&quot;non-dropping-particle&quot;:&quot;&quot;},{&quot;family&quot;:&quot;Stucki&quot;,&quot;given&quot;:&quot;David&quot;,&quot;parse-names&quot;:false,&quot;dropping-particle&quot;:&quot;&quot;,&quot;non-dropping-particle&quot;:&quot;&quot;},{&quot;family&quot;:&quot;Trauner&quot;,&quot;given&quot;:&quot;Andrej&quot;,&quot;parse-names&quot;:false,&quot;dropping-particle&quot;:&quot;&quot;,&quot;non-dropping-particle&quot;:&quot;&quot;},{&quot;family&quot;:&quot;Borrell&quot;,&quot;given&quot;:&quot;Sonia&quot;,&quot;parse-names&quot;:false,&quot;dropping-particle&quot;:&quot;&quot;,&quot;non-dropping-particle&quot;:&quot;&quot;},{&quot;family&quot;:&quot;Latshang&quot;,&quot;given&quot;:&quot;Tsogyal&quot;,&quot;parse-names&quot;:false,&quot;dropping-particle&quot;:&quot;&quot;,&quot;non-dropping-particle&quot;:&quot;&quot;},{&quot;family&quot;:&quot;Coscolla&quot;,&quot;given&quot;:&quot;Mireia&quot;,&quot;parse-names&quot;:false,&quot;dropping-particle&quot;:&quot;&quot;,&quot;non-dropping-particle&quot;:&quot;&quot;},{&quot;family&quot;:&quot;Rothe&quot;,&quot;given&quot;:&quot;Thomas&quot;,&quot;parse-names&quot;:false,&quot;dropping-particle&quot;:&quot;&quot;,&quot;non-dropping-particle&quot;:&quot;&quot;},{&quot;family&quot;:&quot;Hömke&quot;,&quot;given&quot;:&quot;Rico&quot;,&quot;parse-names&quot;:false,&quot;dropping-particle&quot;:&quot;&quot;,&quot;non-dropping-particle&quot;:&quot;&quot;},{&quot;family&quot;:&quot;Ritter&quot;,&quot;given&quot;:&quot;Claudia&quot;,&quot;parse-names&quot;:false,&quot;dropping-particle&quot;:&quot;&quot;,&quot;non-dropping-particle&quot;:&quot;&quot;},{&quot;family&quot;:&quot;Feldmann&quot;,&quot;given&quot;:&quot;Julia&quot;,&quot;parse-names&quot;:false,&quot;dropping-particle&quot;:&quot;&quot;,&quot;non-dropping-particle&quot;:&quot;&quot;},{&quot;family&quot;:&quot;Schulthess&quot;,&quot;given&quot;:&quot;Bettina&quot;,&quot;parse-names&quot;:false,&quot;dropping-particle&quot;:&quot;&quot;,&quot;non-dropping-particle&quot;:&quot;&quot;},{&quot;family&quot;:&quot;Gagneux&quot;,&quot;given&quot;:&quot;Sebastien&quot;,&quot;parse-names&quot;:false,&quot;dropping-particle&quot;:&quot;&quot;,&quot;non-dropping-particle&quot;:&quot;&quot;},{&quot;family&quot;:&quot;Böttger&quot;,&quot;given&quot;:&quot;Erik C&quot;,&quot;parse-names&quot;:false,&quot;dropping-particle&quot;:&quot;&quot;,&quot;non-dropping-particle&quot;:&quot;&quot;}],&quot;container-title&quot;:&quot;New England Journal of Medicine&quot;,&quot;DOI&quot;:&quot;10.1056/NEJMc1505196&quot;,&quot;ISSN&quot;:&quot;0028-4793&quot;,&quot;URL&quot;:&quot;https://doi.org/10.1056/NEJMc1505196&quot;,&quot;issued&quot;:{&quot;date-parts&quot;:[[2015,11]]},&quot;page&quot;:&quot;1986-1988&quot;,&quot;publisher&quot;:&quot;Massachusetts Medical Society&quot;,&quot;issue&quot;:&quot;20&quot;,&quot;volume&quot;:&quot;373&quot;}},{&quot;id&quot;:&quot;0d9100d0-0622-3556-8b1a-62755a870cdb&quot;,&quot;itemData&quot;:{&quot;type&quot;:&quot;article-journal&quot;,&quot;id&quot;:&quot;0d9100d0-0622-3556-8b1a-62755a870cdb&quot;,&quot;title&quot;:&quot;Primary Clofazimine and Bedaquiline Resistance among Isolates from Patients with Multidrug-Resistant Tuberculosis&quot;,&quot;author&quot;:[{&quot;family&quot;:&quot;Xu&quot;,&quot;given&quot;:&quot;Jian&quot;,&quot;parse-names&quot;:false,&quot;dropping-particle&quot;:&quot;&quot;,&quot;non-dropping-particle&quot;:&quot;&quot;},{&quot;family&quot;:&quot;Wang&quot;,&quot;given&quot;:&quot;Bin&quot;,&quot;parse-names&quot;:false,&quot;dropping-particle&quot;:&quot;&quot;,&quot;non-dropping-particle&quot;:&quot;&quot;},{&quot;family&quot;:&quot;Hu&quot;,&quot;given&quot;:&quot;Minghao&quot;,&quot;parse-names&quot;:false,&quot;dropping-particle&quot;:&quot;&quot;,&quot;non-dropping-particle&quot;:&quot;&quot;},{&quot;family&quot;:&quot;Huo&quot;,&quot;given&quot;:&quot;Fengmin&quot;,&quot;parse-names&quot;:false,&quot;dropping-particle&quot;:&quot;&quot;,&quot;non-dropping-particle&quot;:&quot;&quot;},{&quot;family&quot;:&quot;Guo&quot;,&quot;given&quot;:&quot;Shaochen&quot;,&quot;parse-names&quot;:false,&quot;dropping-particle&quot;:&quot;&quot;,&quot;non-dropping-particle&quot;:&quot;&quot;},{&quot;family&quot;:&quot;Jing&quot;,&quot;given&quot;:&quot;Wei&quot;,&quot;parse-names&quot;:false,&quot;dropping-particle&quot;:&quot;&quot;,&quot;non-dropping-particle&quot;:&quot;&quot;},{&quot;family&quot;:&quot;Nuermberger&quot;,&quot;given&quot;:&quot;Eric&quot;,&quot;parse-names&quot;:false,&quot;dropping-particle&quot;:&quot;&quot;,&quot;non-dropping-particle&quot;:&quot;&quot;},{&quot;family&quot;:&quot;Lu&quot;,&quot;given&quot;:&quot;Yu&quot;,&quot;parse-names&quot;:false,&quot;dropping-particle&quot;:&quot;&quot;,&quot;non-dropping-particle&quot;:&quot;&quot;}],&quot;container-title&quot;:&quot;Antimicrobial Agents and Chemotherapy&quot;,&quot;DOI&quot;:&quot;10.1128/aac.00239-17&quot;,&quot;ISSN&quot;:&quot;0066-4804&quot;,&quot;issued&quot;:{&quot;date-parts&quot;:[[2017]]},&quot;page&quot;:&quot;e00239–17&quot;,&quot;abstract&quot;:&quot;Clofazimine has been repurposed for the treatment of tuberculosis, especially for multidrug-resistant tuberculosis (MDR-TB). To test the susceptibility to clofazimine of Mycobacterium tuberculosis clinical isolates, MICs of clofazimine were determined using the microplate alamarBlue assay (MABA) method for 80 drug-resistant isolates and 10 drug-susceptible isolates for comparison. For five clofazimine-resistant strains isolated from previously treated pre-extensively drug-resistant TB (pre-XDR-TB) and XDR-TB patients without prior exposure to clofazimine or bedaquiline, clofazimine MICs were ≥1.2 μg/ml. Four isolates with cross-resistance to bedaquiline had Rv0678 mutations. The other isolate with no resistance to bedaquiline had an Rv1979c mutation. This study adds to a recent study showing that 6.3% of MDR-TB patients without prior clofazimine or bedaquiline exposure harbored isolates with Rv0678 mutations, which raises concern that preexisting resistance to these drugs may be associated with prior TB treatment. Furthermore, we propose a tentative breakpoint of 1.2 μg/ml for clofazimine resistance using the MABA method. More-widespread surveillance and individualized testing for clofazimine and bedaquiline resistance, together with assessment of their clinical usage, especially among previously treated and MDR-TB patients, are warranted.&quot;,&quot;issue&quot;:&quot;6&quot;,&quot;volume&quot;:&quot;61&quot;}},{&quot;id&quot;:&quot;6e1c2164-07b1-3683-9cda-3e317d9303e2&quot;,&quot;itemData&quot;:{&quot;type&quot;:&quot;article-journal&quot;,&quot;id&quot;:&quot;6e1c2164-07b1-3683-9cda-3e317d9303e2&quot;,&quot;title&quot;:&quot;Examination of bedaquiline- and linezolid-resistant Mycobacterium tuberculosis isolates from the Moscow region&quot;,&quot;author&quot;:[{&quot;family&quot;:&quot;Zimenkov&quot;,&quot;given&quot;:&quot;Danila&quot;,&quot;parse-names&quot;:false,&quot;dropping-particle&quot;:&quot;v&quot;,&quot;non-dropping-particle&quot;:&quot;&quot;},{&quot;family&quot;:&quot;Nosova&quot;,&quot;given&quot;:&quot;Elena Yu&quot;,&quot;parse-names&quot;:false,&quot;dropping-particle&quot;:&quot;&quot;,&quot;non-dropping-particle&quot;:&quot;&quot;},{&quot;family&quot;:&quot;Kulagina&quot;,&quot;given&quot;:&quot;Elena&quot;,&quot;parse-names&quot;:false,&quot;dropping-particle&quot;:&quot;v&quot;,&quot;non-dropping-particle&quot;:&quot;&quot;},{&quot;family&quot;:&quot;Antonova&quot;,&quot;given&quot;:&quot;Olga&quot;,&quot;parse-names&quot;:false,&quot;dropping-particle&quot;:&quot;v&quot;,&quot;non-dropping-particle&quot;:&quot;&quot;},{&quot;family&quot;:&quot;Arslanbaeva&quot;,&quot;given&quot;:&quot;Liaisan R&quot;,&quot;parse-names&quot;:false,&quot;dropping-particle&quot;:&quot;&quot;,&quot;non-dropping-particle&quot;:&quot;&quot;},{&quot;family&quot;:&quot;Isakova&quot;,&quot;given&quot;:&quot;Alexandra I&quot;,&quot;parse-names&quot;:false,&quot;dropping-particle&quot;:&quot;&quot;,&quot;non-dropping-particle&quot;:&quot;&quot;},{&quot;family&quot;:&quot;Krylova&quot;,&quot;given&quot;:&quot;Ludmila Yu&quot;,&quot;parse-names&quot;:false,&quot;dropping-particle&quot;:&quot;&quot;,&quot;non-dropping-particle&quot;:&quot;&quot;},{&quot;family&quot;:&quot;Peretokina&quot;,&quot;given&quot;:&quot;Irina&quot;,&quot;parse-names&quot;:false,&quot;dropping-particle&quot;:&quot;v&quot;,&quot;non-dropping-particle&quot;:&quot;&quot;},{&quot;family&quot;:&quot;Makarova&quot;,&quot;given&quot;:&quot;Marina&quot;,&quot;parse-names&quot;:false,&quot;dropping-particle&quot;:&quot;v&quot;,&quot;non-dropping-particle&quot;:&quot;&quot;},{&quot;family&quot;:&quot;Safonova&quot;,&quot;given&quot;:&quot;Svetlana G&quot;,&quot;parse-names&quot;:false,&quot;dropping-particle&quot;:&quot;&quot;,&quot;non-dropping-particle&quot;:&quot;&quot;},{&quot;family&quot;:&quot;Borisov&quot;,&quot;given&quot;:&quot;Sergey E&quot;,&quot;parse-names&quot;:false,&quot;dropping-particle&quot;:&quot;&quot;,&quot;non-dropping-particle&quot;:&quot;&quot;},{&quot;family&quot;:&quot;Gryadunov&quot;,&quot;given&quot;:&quot;Dmitry A&quot;,&quot;parse-names&quot;:false,&quot;dropping-particle&quot;:&quot;&quot;,&quot;non-dropping-particle&quot;:&quot;&quot;}],&quot;container-title&quot;:&quot;Journal of Antimicrobial Chemotherapy&quot;,&quot;DOI&quot;:&quot;10.1093/jac/dkx094&quot;,&quot;ISSN&quot;:&quot;14602091&quot;,&quot;issued&quot;:{&quot;date-parts&quot;:[[2017]]},&quot;page&quot;:&quot;1901-1906&quot;,&quot;abstract&quot;:&quot;© The Author 2017. Published by Oxford University Press on behalf of the British Society for Antimicrobial Chemotherapy. All rights reserved. Objectives: To study the isolates with acquired resistance to bedaquiline and linezolid that were obtained from patients enrolled in a clinical study of a novel therapy regimen for drug-resistant TB in Moscow, Russia. Methods: Linezolid resistance was detected using MGIT 960 with a critical concentration of 1 mg/L. The MIC of bedaquiline was determined using the proportion method. To identify genetic determinants of resistance, sequencing of themmpR (Rv0678), atpE, atpC, pepQ, Rv1979c, rrl, rplC and rplD loci was performed. Results: A total of 85 isolates from27 patients with acquired resistance to linezolid and reduced susceptibility to bedaquiline (MIC ≤0.06 mg/L) were tested. Most mutations associated with a high MIC of bedaquiline were found in the mmpR gene. We identified for the first time two patients whose clinical isolates had substitutions D28N and A63V in AtpE, which had previously been found only in in vitro-selected strains. Several patients had isolates with elevated MICs of bedaquiline prior to treatment; four of themalso bore mutations inmmpR, indicating the presence of some hidden factors in bedaquiline resistance acquisition. The C154R substitution in ribosomal protein L3 was the most frequent in the linezolid-resistant strains. Mutations in the 23S rRNA gene (g2294a and g2814t) associated with linezolid resistance were also found in two isolates. Heteroresistance was identified in ~40% of samples, which reflects the complex nature of resistance acquisition. Conclusions: The introduction of novel drugs into treatment must be accompanied by continuous phenotypic susceptibility testing and the analysis of genetic determinants of resistance.&quot;,&quot;issue&quot;:&quot;7&quot;,&quot;volume&quot;:&quot;72&quot;}},{&quot;id&quot;:&quot;804fec38-6a12-31f5-babc-0878c1d46a79&quot;,&quot;itemData&quot;:{&quot;type&quot;:&quot;article-journal&quot;,&quot;id&quot;:&quot;804fec38-6a12-31f5-babc-0878c1d46a79&quot;,&quot;title&quot;:&quot;Unexpected high prevalence of resistance-associated Rv0678 variants in MDR-TB patients without documented prior use of clofazimine or bedaquiline&quot;,&quot;author&quot;:[{&quot;family&quot;:&quot;Villellas&quot;,&quot;given&quot;:&quot;Cristina&quot;,&quot;parse-names&quot;:false,&quot;dropping-particle&quot;:&quot;&quot;,&quot;non-dropping-particle&quot;:&quot;&quot;},{&quot;family&quot;:&quot;Coeck&quot;,&quot;given&quot;:&quot;Nele&quot;,&quot;parse-names&quot;:false,&quot;dropping-particle&quot;:&quot;&quot;,&quot;non-dropping-particle&quot;:&quot;&quot;},{&quot;family&quot;:&quot;Meehan&quot;,&quot;given&quot;:&quot;Conor J&quot;,&quot;parse-names&quot;:false,&quot;dropping-particle&quot;:&quot;&quot;,&quot;non-dropping-particle&quot;:&quot;&quot;},{&quot;family&quot;:&quot;Lounis&quot;,&quot;given&quot;:&quot;Nacer&quot;,&quot;parse-names&quot;:false,&quot;dropping-particle&quot;:&quot;&quot;,&quot;non-dropping-particle&quot;:&quot;&quot;},{&quot;family&quot;:&quot;Jong&quot;,&quot;given&quot;:&quot;Bouke&quot;,&quot;parse-names&quot;:false,&quot;dropping-particle&quot;:&quot;&quot;,&quot;non-dropping-particle&quot;:&quot;de&quot;},{&quot;family&quot;:&quot;Rigouts&quot;,&quot;given&quot;:&quot;Leen&quot;,&quot;parse-names&quot;:false,&quot;dropping-particle&quot;:&quot;&quot;,&quot;non-dropping-particle&quot;:&quot;&quot;},{&quot;family&quot;:&quot;Andries&quot;,&quot;given&quot;:&quot;Koen&quot;,&quot;parse-names&quot;:false,&quot;dropping-particle&quot;:&quot;&quot;,&quot;non-dropping-particle&quot;:&quot;&quot;}],&quot;container-title&quot;:&quot;The Journal of antimicrobial chemotherapy&quot;,&quot;DOI&quot;:&quot;10.1093/jac/dkw502&quot;,&quot;ISSN&quot;:&quot;14602091&quot;,&quot;issued&quot;:{&quot;date-parts&quot;:[[2017]]},&quot;page&quot;:&quot;684-690&quot;,&quot;abstract&quot;:&quot;OBJECTIVES Resistance-associated variants (RAVs) in Rv0678, a regulator of the MmpS5-MmpL5 efflux pump, have been shown to lead to increased MICs of bedaquiline (2- to 8- fold) and clofazimine (2- to 4-fold). The prevalence of these Rv0678 RAVs in clinical isolates and their impact on treatment outcomes are important factors to take into account in bedaquiline treatment guidelines. METHODS Baseline isolates from two bedaquiline MDR-TB clinical trials were sequenced for Rv0678 RAVs and corresponding bedaquiline MICs were determined on 7H11 agar. Rv0678 RAVs were also investigated in non-MDR-TB sequences of a population-based cohort. RESULTS Rv0678 RAVs were identified in 23/347 (6.3%) of MDR-TB baseline isolates. Surprisingly, bedaquiline MICs for these isolates were high ( 0.24 mg/L, n = 8), normal (0.03-0.24 mg/L, n = 11) or low ( 0.03 mg/L, n = 4). A variant at position -11 in the intergenic region mmpS5-Rv0678 was identified in 39 isolates (11.3%) and appeared to increase the susceptibility to bedaquiline. In non-MDR-TB isolates, the frequency of Rv0678 RAVs was lower (6/852 or 0.7%). Competition experiments suggested that rifampicin was not the drug selecting for Rv0678 RAVs. CONCLUSIONS RAVs in Rv0678 occur more frequently in MDR-TB patients than previously anticipated, are not associated with prior use of bedaquiline or clofazimine, and in the majority of cases do not lead to bedaquiline MICs above the provisional breakpoint (0.24 mg/L). Their origin remains unknown. Given the variety of RAVs in Rv0678 and their variable effects on the MIC, only phenotypic drug-susceptibility methods can currently be used to assess bedaquiline susceptibility.&quot;,&quot;issue&quot;:&quot;3&quot;,&quot;volume&quot;:&quot;72&quot;}}]},{&quot;citationID&quot;:&quot;MENDELEY_CITATION_4458969b-a314-4a5b-996b-6268f7dbe660&quot;,&quot;properties&quot;:{&quot;noteIndex&quot;:0},&quot;citationItems&quot;:[{&quot;id&quot;:&quot;d9dddff7-4175-3592-a4c4-6e6ef0321386&quot;,&quot;itemData&quot;:{&quot;type&quot;:&quot;article-journal&quot;,&quot;id&quot;:&quot;d9dddff7-4175-3592-a4c4-6e6ef0321386&quot;,&quot;title&quot;:&quot;Cross-resistance between clofazimine and bedaquiline through upregulation of mmpl5 in mycobacterium tuberculosis&quot;,&quot;author&quot;:[{&quot;family&quot;:&quot;Hartkoorn&quot;,&quot;given&quot;:&quot;Ruben C&quot;,&quot;parse-names&quot;:false,&quot;dropping-particle&quot;:&quot;&quot;,&quot;non-dropping-particle&quot;:&quot;&quot;},{&quot;family&quot;:&quot;Uplekar&quot;,&quot;given&quot;:&quot;Swapna&quot;,&quot;parse-names&quot;:false,&quot;dropping-particle&quot;:&quot;&quot;,&quot;non-dropping-particle&quot;:&quot;&quot;},{&quot;family&quot;:&quot;Cole&quot;,&quot;given&quot;:&quot;Stewart T&quot;,&quot;parse-names&quot;:false,&quot;dropping-particle&quot;:&quot;&quot;,&quot;non-dropping-particle&quot;:&quot;&quot;}],&quot;container-title&quot;:&quot;Antimicrobial Agents and Chemotherapy&quot;,&quot;DOI&quot;:&quot;10.1128/AAC.00037-14&quot;,&quot;ISSN&quot;:&quot;10986596&quot;,&quot;URL&quot;:&quot;http://aac.asm.org/content/58/5/2979.abstract&quot;,&quot;issued&quot;:{&quot;date-parts&quot;:[[2014,5]]},&quot;page&quot;:&quot;2979-2981&quot;,&quot;abstract&quot;:&quot;The antileprosy drug clofazimine is also of interest for the treatment of multidrug-resistant tuberculosis. To understand possible resistance mechanisms, clofazimine-resistant Mycobacterium tuberculosis mutants were isolated in vitro, and, unexpectedly, found to be cross-resistant to bedaquiline. Mutations in the transcriptional regulator Rv0678, with concomitant upregulation of the multisubstrate efflux pump, MmpL5, accounted for this cross-resistance. Mutation in Rv0678 should therefore be considered a confounding factor for the treatment of tuberculosis with clofazimine or bedaquiline.&quot;,&quot;issue&quot;:&quot;5&quot;,&quot;volume&quot;:&quot;58&quot;}}]},{&quot;citationID&quot;:&quot;MENDELEY_CITATION_16aaef7c-7db5-4a44-9340-208150a471bf&quot;,&quot;properties&quot;:{&quot;noteIndex&quot;:0},&quot;citationItems&quot;:[{&quot;id&quot;:&quot;116af464-86af-3f0e-bde8-f9ccaae77bb7&quot;,&quot;itemData&quot;:{&quot;type&quot;:&quot;article-journal&quot;,&quot;id&quot;:&quot;116af464-86af-3f0e-bde8-f9ccaae77bb7&quot;,&quot;title&quot;:&quot;Nosocomial transmission of extensively drug-resistant tuberculosis in a rural hospital in South Africa&quot;,&quot;author&quot;:[{&quot;family&quot;:&quot;Gandhi&quot;,&quot;given&quot;:&quot;Neel R&quot;,&quot;parse-names&quot;:false,&quot;dropping-particle&quot;:&quot;&quot;,&quot;non-dropping-particle&quot;:&quot;&quot;},{&quot;family&quot;:&quot;Weissman&quot;,&quot;given&quot;:&quot;Darren&quot;,&quot;parse-names&quot;:false,&quot;dropping-particle&quot;:&quot;&quot;,&quot;non-dropping-particle&quot;:&quot;&quot;},{&quot;family&quot;:&quot;Moodley&quot;,&quot;given&quot;:&quot;Prashini&quot;,&quot;parse-names&quot;:false,&quot;dropping-particle&quot;:&quot;&quot;,&quot;non-dropping-particle&quot;:&quot;&quot;},{&quot;family&quot;:&quot;Ramathal&quot;,&quot;given&quot;:&quot;Melissa&quot;,&quot;parse-names&quot;:false,&quot;dropping-particle&quot;:&quot;&quot;,&quot;non-dropping-particle&quot;:&quot;&quot;},{&quot;family&quot;:&quot;Elson&quot;,&quot;given&quot;:&quot;Inga&quot;,&quot;parse-names&quot;:false,&quot;dropping-particle&quot;:&quot;&quot;,&quot;non-dropping-particle&quot;:&quot;&quot;},{&quot;family&quot;:&quot;Kreiswirth&quot;,&quot;given&quot;:&quot;Barry N&quot;,&quot;parse-names&quot;:false,&quot;dropping-particle&quot;:&quot;&quot;,&quot;non-dropping-particle&quot;:&quot;&quot;},{&quot;family&quot;:&quot;Mathema&quot;,&quot;given&quot;:&quot;Barun&quot;,&quot;parse-names&quot;:false,&quot;dropping-particle&quot;:&quot;&quot;,&quot;non-dropping-particle&quot;:&quot;&quot;},{&quot;family&quot;:&quot;Shashkina&quot;,&quot;given&quot;:&quot;Elena&quot;,&quot;parse-names&quot;:false,&quot;dropping-particle&quot;:&quot;&quot;,&quot;non-dropping-particle&quot;:&quot;&quot;},{&quot;family&quot;:&quot;Rothenberg&quot;,&quot;given&quot;:&quot;Richard&quot;,&quot;parse-names&quot;:false,&quot;dropping-particle&quot;:&quot;&quot;,&quot;non-dropping-particle&quot;:&quot;&quot;},{&quot;family&quot;:&quot;Moll&quot;,&quot;given&quot;:&quot;Anthony P&quot;,&quot;parse-names&quot;:false,&quot;dropping-particle&quot;:&quot;&quot;,&quot;non-dropping-particle&quot;:&quot;&quot;},{&quot;family&quot;:&quot;Friedland&quot;,&quot;given&quot;:&quot;Gerald&quot;,&quot;parse-names&quot;:false,&quot;dropping-particle&quot;:&quot;&quot;,&quot;non-dropping-particle&quot;:&quot;&quot;},{&quot;family&quot;:&quot;Sturm&quot;,&quot;given&quot;:&quot;A Willem&quot;,&quot;parse-names&quot;:false,&quot;dropping-particle&quot;:&quot;&quot;,&quot;non-dropping-particle&quot;:&quot;&quot;},{&quot;family&quot;:&quot;Shah&quot;,&quot;given&quot;:&quot;N Sarita&quot;,&quot;parse-names&quot;:false,&quot;dropping-particle&quot;:&quot;&quot;,&quot;non-dropping-particle&quot;:&quot;&quot;}],&quot;container-title&quot;:&quot;Journal of Infectious Diseases&quot;,&quot;DOI&quot;:&quot;10.1093/infdis/jis631&quot;,&quot;ISSN&quot;:&quot;00221899&quot;,&quot;PMID&quot;:&quot;23166374&quot;,&quot;issued&quot;:{&quot;date-parts&quot;:[[2013]]},&quot;abstract&quot;:&quot;BACKGROUND: Extensively drug-resistant tuberculosis (XDR-tuberculosis) is a global public health threat, but few data exist elucidating factors driving this epidemic. The initial XDR-tuberculosis report from South Africa suggested transmission is an important factor, but detailed epidemiologic and molecular analyses were not available for further characterization.\\n\\nMETHODS: We performed a retrospective, observational study among XDR-tuberculosis patients to identify hospital-associated epidemiologic links. We used spoligotyping, IS6110-based restriction fragment-length polymorphism analysis, and sequencing of resistance-determining regions to identify clusters. Social network analysis was used to construct transmission networks among genotypically clustered patients.\\n\\nRESULTS: Among 148 XDR-tuberculosis patients, 98{%} were infected with human immunodeficiency virus (HIV), and 59{%} had smear-positive tuberculosis. Nearly all (93{%}) were hospitalized while infectious with XDR-tuberculosis (median duration, 15 days; interquartile range: 10-25 days). Genotyping identified a predominant cluster comprising 96{%} of isolates. Epidemiologic links were identified for 82{%} of patients; social network analysis demonstrated multiple generations of transmission across a highly interconnected network.\\n\\nCONCLUSIONS: The XDR-tuberculosis epidemic in Tugela Ferry, South Africa, has been highly clonal. However, the epidemic is not the result of a point-source outbreak; rather, a high degree of interconnectedness allowed multiple generations of nosocomial transmission. Similar to the outbreaks of multidrug-resistant tuberculosis in the 1990s, poor infection control, delayed diagnosis, and a high HIV prevalence facilitated transmission. Important lessons from those outbreaks must be applied to stem further expansion of this epidemic.&quot;}},{&quot;id&quot;:&quot;5f3c5834-93f3-3a6f-a31a-70a19d0b43db&quot;,&quot;itemData&quot;:{&quot;type&quot;:&quot;article-journal&quot;,&quot;id&quot;:&quot;5f3c5834-93f3-3a6f-a31a-70a19d0b43db&quot;,&quot;title&quot;:&quot;Transmission of extensively drug-resistant tuberculosis in South Africa&quot;,&quot;author&quot;:[{&quot;family&quot;:&quot;Shah&quot;,&quot;given&quot;:&quot;N Sarita&quot;,&quot;parse-names&quot;:false,&quot;dropping-particle&quot;:&quot;&quot;,&quot;non-dropping-particle&quot;:&quot;&quot;},{&quot;family&quot;:&quot;Auld&quot;,&quot;given&quot;:&quot;Sara C&quot;,&quot;parse-names&quot;:false,&quot;dropping-particle&quot;:&quot;&quot;,&quot;non-dropping-particle&quot;:&quot;&quot;},{&quot;family&quot;:&quot;Brust&quot;,&quot;given&quot;:&quot;James C M&quot;,&quot;parse-names&quot;:false,&quot;dropping-particle&quot;:&quot;&quot;,&quot;non-dropping-particle&quot;:&quot;&quot;},{&quot;family&quot;:&quot;Mathema&quot;,&quot;given&quot;:&quot;Barun&quot;,&quot;parse-names&quot;:false,&quot;dropping-particle&quot;:&quot;&quot;,&quot;non-dropping-particle&quot;:&quot;&quot;},{&quot;family&quot;:&quot;Ismail&quot;,&quot;given&quot;:&quot;Nazir&quot;,&quot;parse-names&quot;:false,&quot;dropping-particle&quot;:&quot;&quot;,&quot;non-dropping-particle&quot;:&quot;&quot;},{&quot;family&quot;:&quot;Moodley&quot;,&quot;given&quot;:&quot;Pravi&quot;,&quot;parse-names&quot;:false,&quot;dropping-particle&quot;:&quot;&quot;,&quot;non-dropping-particle&quot;:&quot;&quot;},{&quot;family&quot;:&quot;Mlisana&quot;,&quot;given&quot;:&quot;Koleka&quot;,&quot;parse-names&quot;:false,&quot;dropping-particle&quot;:&quot;&quot;,&quot;non-dropping-particle&quot;:&quot;&quot;},{&quot;family&quot;:&quot;Allana&quot;,&quot;given&quot;:&quot;Salim&quot;,&quot;parse-names&quot;:false,&quot;dropping-particle&quot;:&quot;&quot;,&quot;non-dropping-particle&quot;:&quot;&quot;},{&quot;family&quot;:&quot;Campbell&quot;,&quot;given&quot;:&quot;Angela&quot;,&quot;parse-names&quot;:false,&quot;dropping-particle&quot;:&quot;&quot;,&quot;non-dropping-particle&quot;:&quot;&quot;},{&quot;family&quot;:&quot;Mthiyane&quot;,&quot;given&quot;:&quot;Thuli&quot;,&quot;parse-names&quot;:false,&quot;dropping-particle&quot;:&quot;&quot;,&quot;non-dropping-particle&quot;:&quot;&quot;},{&quot;family&quot;:&quot;Morris&quot;,&quot;given&quot;:&quot;Natashia&quot;,&quot;parse-names&quot;:false,&quot;dropping-particle&quot;:&quot;&quot;,&quot;non-dropping-particle&quot;:&quot;&quot;},{&quot;family&quot;:&quot;Mpangase&quot;,&quot;given&quot;:&quot;Primrose&quot;,&quot;parse-names&quot;:false,&quot;dropping-particle&quot;:&quot;&quot;,&quot;non-dropping-particle&quot;:&quot;&quot;},{&quot;family&quot;:&quot;Meulen&quot;,&quot;given&quot;:&quot;Hermina&quot;,&quot;parse-names&quot;:false,&quot;dropping-particle&quot;:&quot;&quot;,&quot;non-dropping-particle&quot;:&quot;van der&quot;},{&quot;family&quot;:&quot;Omar&quot;,&quot;given&quot;:&quot;Shaheed&quot;,&quot;parse-names&quot;:false,&quot;dropping-particle&quot;:&quot;v&quot;,&quot;non-dropping-particle&quot;:&quot;&quot;},{&quot;family&quot;:&quot;Brown&quot;,&quot;given&quot;:&quot;Tyler S&quot;,&quot;parse-names&quot;:false,&quot;dropping-particle&quot;:&quot;&quot;,&quot;non-dropping-particle&quot;:&quot;&quot;},{&quot;family&quot;:&quot;Narechania&quot;,&quot;given&quot;:&quot;Apurva&quot;,&quot;parse-names&quot;:false,&quot;dropping-particle&quot;:&quot;&quot;,&quot;non-dropping-particle&quot;:&quot;&quot;},{&quot;family&quot;:&quot;Shaskina&quot;,&quot;given&quot;:&quot;Elena&quot;,&quot;parse-names&quot;:false,&quot;dropping-particle&quot;:&quot;&quot;,&quot;non-dropping-particle&quot;:&quot;&quot;},{&quot;family&quot;:&quot;Kapwata&quot;,&quot;given&quot;:&quot;Thandi&quot;,&quot;parse-names&quot;:false,&quot;dropping-particle&quot;:&quot;&quot;,&quot;non-dropping-particle&quot;:&quot;&quot;},{&quot;family&quot;:&quot;Kreiswirth&quot;,&quot;given&quot;:&quot;Barry&quot;,&quot;parse-names&quot;:false,&quot;dropping-particle&quot;:&quot;&quot;,&quot;non-dropping-particle&quot;:&quot;&quot;},{&quot;family&quot;:&quot;Gandhi&quot;,&quot;given&quot;:&quot;Neel R&quot;,&quot;parse-names&quot;:false,&quot;dropping-particle&quot;:&quot;&quot;,&quot;non-dropping-particle&quot;:&quot;&quot;}],&quot;container-title&quot;:&quot;New England Journal of Medicine&quot;,&quot;DOI&quot;:&quot;10.1056/NEJMoa1604544&quot;,&quot;ISSN&quot;:&quot;15334406&quot;,&quot;issued&quot;:{&quot;date-parts&quot;:[[2017]]},&quot;page&quot;:&quot;243-253&quot;,&quot;abstract&quot;:&quot;Copyright © 2017 Massachusetts Medical Society. All rights reserved. BACKGROUND Drug-resistant tuberculosis threatens recent gains in the treatment of tuberculosis and human immunodeficiency virus (HIV) infection worldwide. A widespread epidemic of extensively drug-resistant (XDR) tuberculosis is occurring in South Africa, where cases have increased substantially since 2002. The factors driving this rapid increase have not been fully elucidated, but such knowledge is needed to guide public health interventions. METHODS We conducted a prospective study involving 404 participants in KwaZulu-Natal Province, South Africa, with a diagnosis of XDR tuberculosis between 2011 and 2014. Interviews and medical-record reviews were used to elicit information on the participants' history of tuberculosis and HIV infection, hospitalizations, and social networks. Mycobacterium tuberculosis isolates underwent insertion sequence (IS)6110 restriction-fragment- length polymorphism analysis, targeted gene sequencing, and whole-genome sequencing. We used clinical and genotypic case definitions to calculate the proportion of cases of XDR tuberculosis that were due to inadequate treatment of multidrugresistant (MDR) tuberculosis (i.e., acquired resistance) versus those that were due to transmission (i.e., transmitted resistance). We used social-network analysis to identify community and hospital locations of transmission. RESULTS Of the 404 participants, 311 (77%) had HIV infection; the median CD4+ count was 340 cells per cubic millimeter (interquartile range, 117 to 431). A total of 280 participants (69%) had never received treatment for MDR tuberculosis. Genotypic analysis in 386 participants revealed that 323 (84%) belonged to 1 of 31 clusters. Clusters ranged from 2 to 14 participants, except for 1 large cluster of 212 participants (55%) with a LAM4/KZN strain. Person-to-person or hospital-based epidemiologic links were identified in 123 of 404 participants (30%). CONCLUSIONS The majority of cases of XDR tuberculosis in KwaZulu-Natal, South Africa, an area with a high tuberculosis burden, were probably due to transmission rather than to inadequate treatment of MDR tuberculosis. These data suggest that control of the epidemic of drug-resistant tuberculosis requires an increased focus on interrupting transmission.&quot;,&quot;issue&quot;:&quot;3&quot;,&quot;volume&quot;:&quot;376&quot;}}]},{&quot;citationID&quot;:&quot;MENDELEY_CITATION_1ac28123-20d1-4e49-a984-787b9c7e9d62&quot;,&quot;properties&quot;:{&quot;noteIndex&quot;:0},&quot;citationItems&quot;:[{&quot;id&quot;:&quot;dcbd82a3-03d8-3cba-a59e-6792edcbfcf4&quot;,&quot;itemData&quot;:{&quot;type&quot;:&quot;article-journal&quot;,&quot;id&quot;:&quot;dcbd82a3-03d8-3cba-a59e-6792edcbfcf4&quot;,&quot;title&quot;:&quot;Bedaquiline in the treatment of multidrug- and extensively drug-resistant tuberculosis&quot;,&quot;author&quot;:[{&quot;family&quot;:&quot;Pym&quot;,&quot;given&quot;:&quot;Alexander S&quot;,&quot;parse-names&quot;:false,&quot;dropping-particle&quot;:&quot;&quot;,&quot;non-dropping-particle&quot;:&quot;&quot;},{&quot;family&quot;:&quot;Diacon&quot;,&quot;given&quot;:&quot;Andreas H&quot;,&quot;parse-names&quot;:false,&quot;dropping-particle&quot;:&quot;&quot;,&quot;non-dropping-particle&quot;:&quot;&quot;},{&quot;family&quot;:&quot;Tang&quot;,&quot;given&quot;:&quot;Shen-Jie&quot;,&quot;parse-names&quot;:false,&quot;dropping-particle&quot;:&quot;&quot;,&quot;non-dropping-particle&quot;:&quot;&quot;},{&quot;family&quot;:&quot;Conradie&quot;,&quot;given&quot;:&quot;Francesca&quot;,&quot;parse-names&quot;:false,&quot;dropping-particle&quot;:&quot;&quot;,&quot;non-dropping-particle&quot;:&quot;&quot;},{&quot;family&quot;:&quot;Danilovits&quot;,&quot;given&quot;:&quot;Manfred&quot;,&quot;parse-names&quot;:false,&quot;dropping-particle&quot;:&quot;&quot;,&quot;non-dropping-particle&quot;:&quot;&quot;},{&quot;family&quot;:&quot;Chuchottaworn&quot;,&quot;given&quot;:&quot;Charoen&quot;,&quot;parse-names&quot;:false,&quot;dropping-particle&quot;:&quot;&quot;,&quot;non-dropping-particle&quot;:&quot;&quot;},{&quot;family&quot;:&quot;Vasilyeva&quot;,&quot;given&quot;:&quot;Irina&quot;,&quot;parse-names&quot;:false,&quot;dropping-particle&quot;:&quot;&quot;,&quot;non-dropping-particle&quot;:&quot;&quot;},{&quot;family&quot;:&quot;Andries&quot;,&quot;given&quot;:&quot;Koen&quot;,&quot;parse-names&quot;:false,&quot;dropping-particle&quot;:&quot;&quot;,&quot;non-dropping-particle&quot;:&quot;&quot;},{&quot;family&quot;:&quot;Bakare&quot;,&quot;given&quot;:&quot;Nyasha&quot;,&quot;parse-names&quot;:false,&quot;dropping-particle&quot;:&quot;&quot;,&quot;non-dropping-particle&quot;:&quot;&quot;},{&quot;family&quot;:&quot;Marez&quot;,&quot;given&quot;:&quot;Tine&quot;,&quot;parse-names&quot;:false,&quot;dropping-particle&quot;:&quot;&quot;,&quot;non-dropping-particle&quot;:&quot;de&quot;},{&quot;family&quot;:&quot;Haxaire-Theeuwes&quot;,&quot;given&quot;:&quot;Myriam&quot;,&quot;parse-names&quot;:false,&quot;dropping-particle&quot;:&quot;&quot;,&quot;non-dropping-particle&quot;:&quot;&quot;},{&quot;family&quot;:&quot;Lounis&quot;,&quot;given&quot;:&quot;Nacer&quot;,&quot;parse-names&quot;:false,&quot;dropping-particle&quot;:&quot;&quot;,&quot;non-dropping-particle&quot;:&quot;&quot;},{&quot;family&quot;:&quot;Meyvisch&quot;,&quot;given&quot;:&quot;Paul&quot;,&quot;parse-names&quot;:false,&quot;dropping-particle&quot;:&quot;&quot;,&quot;non-dropping-particle&quot;:&quot;&quot;},{&quot;family&quot;:&quot;Baelen&quot;,&quot;given&quot;:&quot;Ben&quot;,&quot;parse-names&quot;:false,&quot;dropping-particle&quot;:&quot;&quot;,&quot;non-dropping-particle&quot;:&quot;van&quot;},{&quot;family&quot;:&quot;Heeswijk&quot;,&quot;given&quot;:&quot;Rolf P G&quot;,&quot;parse-names&quot;:false,&quot;dropping-particle&quot;:&quot;&quot;,&quot;non-dropping-particle&quot;:&quot;van&quot;},{&quot;family&quot;:&quot;Dannemann&quot;,&quot;given&quot;:&quot;Brian&quot;,&quot;parse-names&quot;:false,&quot;dropping-particle&quot;:&quot;&quot;,&quot;non-dropping-particle&quot;:&quot;&quot;}],&quot;container-title&quot;:&quot;European Respiratory Journal&quot;,&quot;DOI&quot;:&quot;10.1183/13993003.00724-2015&quot;,&quot;ISSN&quot;:&quot;0903-1936&quot;,&quot;URL&quot;:&quot;http://erj.ersjournals.com/content/47/2/564.abstract&quot;,&quot;issued&quot;:{&quot;date-parts&quot;:[[2016,2]]},&quot;page&quot;:&quot;564-574&quot;,&quot;abstract&quot;:&quot;Bedaquiline, a diarylquinoline, improved cure rates when added to a multidrug-resistant tuberculosis (MDR-TB) treatment regimen in a previous placebo-controlled, phase 2 trial (TMC207-C208; NCT00449644 ). The current phase 2, multicenter, open-label, single-arm trial (TMC207-C209; NCT00910871 ) reported here was conducted to confirm the safety and efficacy of bedaquiline. Newly diagnosed or previously treated patients with MDR-TB (including pre-extensively drug-resistant (pre-XDR)-TB or extensively drug-resistant (XDR)-TB) received bedaquiline for 24 weeks with a background regimen of anti-TB drugs continued according to National TB Programme treatment guidelines. Patients were assessed during and up to 120 weeks after starting bedaquiline.Of 233 enrolled patients, 63.5% had MDR-TB, 18.9% had pre-XDR-TB and 16.3% had XDR-TB, with 87.1% having taken second-line drugs prior to enrolment. 16 patients (6.9%) died. 20 patients (8.6%) discontinued before week 24, most commonly due to adverse events or MDR-TB-related events. Adverse events were generally those commonly associated with MDR-TB treatment. In the efficacy population (n=205), culture conversion (missing outcome classified as failure) was 72.2% at 120 weeks, and 73.1%, 70.5% and 62.2% in MDR-TB, pre-XDR-TB and XDR-TB patients, respectively.Addition of bedaquiline to a background regimen was well tolerated and led to good outcomes in this clinically relevant patient cohort with MDR-TB.&quot;,&quot;issue&quot;:&quot;2&quot;,&quot;volume&quot;:&quot;47&quot;}}]},{&quot;citationID&quot;:&quot;MENDELEY_CITATION_a6567387-b2fb-4469-a4d5-2ee99c11e913&quot;,&quot;properties&quot;:{&quot;noteIndex&quot;:0},&quot;citationItems&quot;:[{&quot;id&quot;:&quot;c2e64416-a4e3-35d0-adbd-eb27158b9c61&quot;,&quot;itemData&quot;:{&quot;type&quot;:&quot;report&quot;,&quot;id&quot;:&quot;c2e64416-a4e3-35d0-adbd-eb27158b9c61&quot;,&quot;title&quot;:&quot;Definitions and reporting framework for tuberculosis&quot;,&quot;author&quot;:[{&quot;family&quot;:&quot;World Health Organization&quot;,&quot;given&quot;:&quot;&quot;,&quot;parse-names&quot;:false,&quot;dropping-particle&quot;:&quot;&quot;,&quot;non-dropping-particle&quot;:&quot;&quot;}],&quot;URL&quot;:&quot;https://www.who.int/tb/publications/definitions/en/&quot;,&quot;issued&quot;:{&quot;date-parts&quot;:[[2014]]},&quot;publisher-place&quot;:&quot;Geneva&quot;}}]},{&quot;citationID&quot;:&quot;MENDELEY_CITATION_7e352071-6af2-47a8-a560-38f363a4c497&quot;,&quot;properties&quot;:{&quot;noteIndex&quot;:0},&quot;citationItems&quot;:[{&quot;id&quot;:&quot;9e8e35de-6914-3b79-a0bd-040b2429adcf&quot;,&quot;itemData&quot;:{&quot;type&quot;:&quot;report&quot;,&quot;id&quot;:&quot;9e8e35de-6914-3b79-a0bd-040b2429adcf&quot;,&quot;title&quot;:&quot;Technical report on critical concentrations for TB drug susceptibility testing of medicines used in the treatment of drug-resistant TB&quot;,&quot;URL&quot;:&quot;http://apps.who.int/iris/bitstream/10665/260470/1/WHO-CDS-TB-2018.5-eng.pdf?ua=1&quot;,&quot;issued&quot;:{&quot;date-parts&quot;:[[2018]]},&quot;publisher-place&quot;:&quot;Geneva&quot;}}]},{&quot;citationID&quot;:&quot;MENDELEY_CITATION_681aab81-f842-424c-8b8d-5b7f38c00d29&quot;,&quot;properties&quot;:{&quot;noteIndex&quot;:0},&quot;citationItems&quot;:[{&quot;id&quot;:&quot;e896b458-2e30-38c3-af25-82997bd60338&quot;,&quot;itemData&quot;:{&quot;type&quot;:&quot;article-journal&quot;,&quot;id&quot;:&quot;e896b458-2e30-38c3-af25-82997bd60338&quot;,&quot;title&quot;:&quot;Bacterial factors that predict relapse after tuberculosis therapy&quot;,&quot;author&quot;:[{&quot;family&quot;:&quot;Colangeli&quot;,&quot;given&quot;:&quot;R&quot;,&quot;parse-names&quot;:false,&quot;dropping-particle&quot;:&quot;&quot;,&quot;non-dropping-particle&quot;:&quot;&quot;},{&quot;family&quot;:&quot;Jedrey&quot;,&quot;given&quot;:&quot;H&quot;,&quot;parse-names&quot;:false,&quot;dropping-particle&quot;:&quot;&quot;,&quot;non-dropping-particle&quot;:&quot;&quot;},{&quot;family&quot;:&quot;Kim&quot;,&quot;given&quot;:&quot;S&quot;,&quot;parse-names&quot;:false,&quot;dropping-particle&quot;:&quot;&quot;,&quot;non-dropping-particle&quot;:&quot;&quot;},{&quot;family&quot;:&quot;Connell&quot;,&quot;given&quot;:&quot;R&quot;,&quot;parse-names&quot;:false,&quot;dropping-particle&quot;:&quot;&quot;,&quot;non-dropping-particle&quot;:&quot;&quot;},{&quot;family&quot;:&quot;Ma&quot;,&quot;given&quot;:&quot;S&quot;,&quot;parse-names&quot;:false,&quot;dropping-particle&quot;:&quot;&quot;,&quot;non-dropping-particle&quot;:&quot;&quot;},{&quot;family&quot;:&quot;Venkata&quot;,&quot;given&quot;:&quot;U D.Chippada&quot;,&quot;parse-names&quot;:false,&quot;dropping-particle&quot;:&quot;&quot;,&quot;non-dropping-particle&quot;:&quot;&quot;},{&quot;family&quot;:&quot;Chakravorty&quot;,&quot;given&quot;:&quot;S&quot;,&quot;parse-names&quot;:false,&quot;dropping-particle&quot;:&quot;&quot;,&quot;non-dropping-particle&quot;:&quot;&quot;},{&quot;family&quot;:&quot;Gupta&quot;,&quot;given&quot;:&quot;A&quot;,&quot;parse-names&quot;:false,&quot;dropping-particle&quot;:&quot;&quot;,&quot;non-dropping-particle&quot;:&quot;&quot;},{&quot;family&quot;:&quot;Sizemore&quot;,&quot;given&quot;:&quot;E E&quot;,&quot;parse-names&quot;:false,&quot;dropping-particle&quot;:&quot;&quot;,&quot;non-dropping-particle&quot;:&quot;&quot;},{&quot;family&quot;:&quot;Diem&quot;,&quot;given&quot;:&quot;L&quot;,&quot;parse-names&quot;:false,&quot;dropping-particle&quot;:&quot;&quot;,&quot;non-dropping-particle&quot;:&quot;&quot;},{&quot;family&quot;:&quot;Sherman&quot;,&quot;given&quot;:&quot;D R&quot;,&quot;parse-names&quot;:false,&quot;dropping-particle&quot;:&quot;&quot;,&quot;non-dropping-particle&quot;:&quot;&quot;},{&quot;family&quot;:&quot;Okwera&quot;,&quot;given&quot;:&quot;A&quot;,&quot;parse-names&quot;:false,&quot;dropping-particle&quot;:&quot;&quot;,&quot;non-dropping-particle&quot;:&quot;&quot;},{&quot;family&quot;:&quot;Dietze&quot;,&quot;given&quot;:&quot;R&quot;,&quot;parse-names&quot;:false,&quot;dropping-particle&quot;:&quot;&quot;,&quot;non-dropping-particle&quot;:&quot;&quot;},{&quot;family&quot;:&quot;Boom&quot;,&quot;given&quot;:&quot;W H&quot;,&quot;parse-names&quot;:false,&quot;dropping-particle&quot;:&quot;&quot;,&quot;non-dropping-particle&quot;:&quot;&quot;},{&quot;family&quot;:&quot;Johnson&quot;,&quot;given&quot;:&quot;J L&quot;,&quot;parse-names&quot;:false,&quot;dropping-particle&quot;:&quot;&quot;,&quot;non-dropping-particle&quot;:&quot;&quot;},{&quot;family&quot;:&quot;Kenzie&quot;,&quot;given&quot;:&quot;W R.Mac&quot;,&quot;parse-names&quot;:false,&quot;dropping-particle&quot;:&quot;&quot;,&quot;non-dropping-particle&quot;:&quot;&quot;},{&quot;family&quot;:&quot;Alland&quot;,&quot;given&quot;:&quot;D&quot;,&quot;parse-names&quot;:false,&quot;dropping-particle&quot;:&quot;&quot;,&quot;non-dropping-particle&quot;:&quot;&quot;}],&quot;container-title&quot;:&quot;New England Journal of Medicine&quot;,&quot;DOI&quot;:&quot;10.1056/NEJMoa1715849&quot;,&quot;ISSN&quot;:&quot;15334406&quot;,&quot;issued&quot;:{&quot;date-parts&quot;:[[2018]]},&quot;page&quot;:&quot;823-833&quot;,&quot;abstract&quot;:&quot;BACKGROUND Approximately 5% of patients with drug-susceptible tuberculosis have a relapse after 6 months of first-line therapy, as do approximately 20% of patients after 4 months of short-course therapy. We postulated that by analyzing pretreatment isolates of Mycobacterium tuberculosis obtained from patients who subsequently had a relapse or were cured, we could determine any correlations between the minimum inhibitory concentration (MIC) of a drug below the standard resistance breakpoint and the relapse risk after treatment. METHODS Using data from the Tuberculosis Trials Consortium Study 22 (development cohort), we assessed relapse and cure isolates to determine the MIC values of isoniazid and rifampin that were below the standard resistance breakpoint (0.1 μg per milliliter for isoniazid and 1.0 μg per milliliter for rifampin). We combined this analysis with clinical, radiologic, and laboratory data to generate predictive relapse models, which we validated by analyzing data from the DMID 01-009 study (validation cohort). RESULTS In the development cohort, the mean (±SD) MIC of isoniazid below the breakpoint was 0.0334±0.0085 μg per milliliter in the relapse group and 0.0286±0.0092 μg per milliliter in the cure group, which represented a higher value in the relapse group by a factor of 1.17 (P=0.02). The corresponding MIC values of rifampin were 0.0695±0.0276 and 0.0453±0.0223 μg per milliliter, respectively, which represented a higher value in the relapse group by a factor of 1.53 (P0.001). Higher MIC values remained associated with relapse in a multivariable analysis that included other significant between-group differences. In an analysis of receiver-operating-characteristic curves of relapse based on these MIC values, the area under the curve (AUC) was 0.779. In the development cohort, the AUC in a multivariable model that included MIC values was 0.875. In the validation cohort, the MIC values either alone or combined with other patient characteristics were also predictive of relapse, with AUC values of 0.964 and 0.929, respectively. The use of a model score for the MIC values of isoniazid and rifampin to achieve 75.0% sensitivity in cross-validation analysis predicted relapse with a specificity of 76.5% in the development cohort and a sensitivity of 70.0% and a specificity of 100% in the validation cohort. CONCLUSIONS In pretreatment isolates of M. tuberculosis with decrements of MIC values of isoniazid or rifampin below standard resistance breakpoints, higher MIC values were associated with a greater risk of relapse than lower MIC values. (Funded by the National Institute of Allergy and Infectious Diseases.).&quot;,&quot;issue&quot;:&quot;9&quot;,&quot;volume&quot;:&quot;379&quot;}}]},{&quot;citationID&quot;:&quot;MENDELEY_CITATION_ec4b9bcf-8b5e-4987-ab94-cdd3e5dab3c1&quot;,&quot;properties&quot;:{&quot;noteIndex&quot;:0},&quot;citationItems&quot;:[{&quot;id&quot;:&quot;d9dddff7-4175-3592-a4c4-6e6ef0321386&quot;,&quot;itemData&quot;:{&quot;type&quot;:&quot;article-journal&quot;,&quot;id&quot;:&quot;d9dddff7-4175-3592-a4c4-6e6ef0321386&quot;,&quot;title&quot;:&quot;Cross-resistance between clofazimine and bedaquiline through upregulation of mmpl5 in mycobacterium tuberculosis&quot;,&quot;author&quot;:[{&quot;family&quot;:&quot;Hartkoorn&quot;,&quot;given&quot;:&quot;Ruben C&quot;,&quot;parse-names&quot;:false,&quot;dropping-particle&quot;:&quot;&quot;,&quot;non-dropping-particle&quot;:&quot;&quot;},{&quot;family&quot;:&quot;Uplekar&quot;,&quot;given&quot;:&quot;Swapna&quot;,&quot;parse-names&quot;:false,&quot;dropping-particle&quot;:&quot;&quot;,&quot;non-dropping-particle&quot;:&quot;&quot;},{&quot;family&quot;:&quot;Cole&quot;,&quot;given&quot;:&quot;Stewart T&quot;,&quot;parse-names&quot;:false,&quot;dropping-particle&quot;:&quot;&quot;,&quot;non-dropping-particle&quot;:&quot;&quot;}],&quot;container-title&quot;:&quot;Antimicrobial Agents and Chemotherapy&quot;,&quot;DOI&quot;:&quot;10.1128/AAC.00037-14&quot;,&quot;ISSN&quot;:&quot;10986596&quot;,&quot;URL&quot;:&quot;http://aac.asm.org/content/58/5/2979.abstract&quot;,&quot;issued&quot;:{&quot;date-parts&quot;:[[2014,5]]},&quot;page&quot;:&quot;2979-2981&quot;,&quot;abstract&quot;:&quot;The antileprosy drug clofazimine is also of interest for the treatment of multidrug-resistant tuberculosis. To understand possible resistance mechanisms, clofazimine-resistant Mycobacterium tuberculosis mutants were isolated in vitro, and, unexpectedly, found to be cross-resistant to bedaquiline. Mutations in the transcriptional regulator Rv0678, with concomitant upregulation of the multisubstrate efflux pump, MmpL5, accounted for this cross-resistance. Mutation in Rv0678 should therefore be considered a confounding factor for the treatment of tuberculosis with clofazimine or bedaquiline.&quot;,&quot;issue&quot;:&quot;5&quot;,&quot;volume&quot;:&quot;58&quot;}}]},{&quot;citationID&quot;:&quot;MENDELEY_CITATION_e52d5a50-04c1-4e70-acc5-951690151d8e&quot;,&quot;properties&quot;:{&quot;noteIndex&quot;:0},&quot;citationItems&quot;:[{&quot;id&quot;:&quot;804fec38-6a12-31f5-babc-0878c1d46a79&quot;,&quot;itemData&quot;:{&quot;type&quot;:&quot;article-journal&quot;,&quot;id&quot;:&quot;804fec38-6a12-31f5-babc-0878c1d46a79&quot;,&quot;title&quot;:&quot;Unexpected high prevalence of resistance-associated Rv0678 variants in MDR-TB patients without documented prior use of clofazimine or bedaquiline&quot;,&quot;author&quot;:[{&quot;family&quot;:&quot;Villellas&quot;,&quot;given&quot;:&quot;Cristina&quot;,&quot;parse-names&quot;:false,&quot;dropping-particle&quot;:&quot;&quot;,&quot;non-dropping-particle&quot;:&quot;&quot;},{&quot;family&quot;:&quot;Coeck&quot;,&quot;given&quot;:&quot;Nele&quot;,&quot;parse-names&quot;:false,&quot;dropping-particle&quot;:&quot;&quot;,&quot;non-dropping-particle&quot;:&quot;&quot;},{&quot;family&quot;:&quot;Meehan&quot;,&quot;given&quot;:&quot;Conor J&quot;,&quot;parse-names&quot;:false,&quot;dropping-particle&quot;:&quot;&quot;,&quot;non-dropping-particle&quot;:&quot;&quot;},{&quot;family&quot;:&quot;Lounis&quot;,&quot;given&quot;:&quot;Nacer&quot;,&quot;parse-names&quot;:false,&quot;dropping-particle&quot;:&quot;&quot;,&quot;non-dropping-particle&quot;:&quot;&quot;},{&quot;family&quot;:&quot;Jong&quot;,&quot;given&quot;:&quot;Bouke&quot;,&quot;parse-names&quot;:false,&quot;dropping-particle&quot;:&quot;&quot;,&quot;non-dropping-particle&quot;:&quot;de&quot;},{&quot;family&quot;:&quot;Rigouts&quot;,&quot;given&quot;:&quot;Leen&quot;,&quot;parse-names&quot;:false,&quot;dropping-particle&quot;:&quot;&quot;,&quot;non-dropping-particle&quot;:&quot;&quot;},{&quot;family&quot;:&quot;Andries&quot;,&quot;given&quot;:&quot;Koen&quot;,&quot;parse-names&quot;:false,&quot;dropping-particle&quot;:&quot;&quot;,&quot;non-dropping-particle&quot;:&quot;&quot;}],&quot;container-title&quot;:&quot;The Journal of antimicrobial chemotherapy&quot;,&quot;DOI&quot;:&quot;10.1093/jac/dkw502&quot;,&quot;ISSN&quot;:&quot;14602091&quot;,&quot;issued&quot;:{&quot;date-parts&quot;:[[2017]]},&quot;page&quot;:&quot;684-690&quot;,&quot;abstract&quot;:&quot;OBJECTIVES Resistance-associated variants (RAVs) in Rv0678, a regulator of the MmpS5-MmpL5 efflux pump, have been shown to lead to increased MICs of bedaquiline (2- to 8- fold) and clofazimine (2- to 4-fold). The prevalence of these Rv0678 RAVs in clinical isolates and their impact on treatment outcomes are important factors to take into account in bedaquiline treatment guidelines. METHODS Baseline isolates from two bedaquiline MDR-TB clinical trials were sequenced for Rv0678 RAVs and corresponding bedaquiline MICs were determined on 7H11 agar. Rv0678 RAVs were also investigated in non-MDR-TB sequences of a population-based cohort. RESULTS Rv0678 RAVs were identified in 23/347 (6.3%) of MDR-TB baseline isolates. Surprisingly, bedaquiline MICs for these isolates were high ( 0.24 mg/L, n = 8), normal (0.03-0.24 mg/L, n = 11) or low ( 0.03 mg/L, n = 4). A variant at position -11 in the intergenic region mmpS5-Rv0678 was identified in 39 isolates (11.3%) and appeared to increase the susceptibility to bedaquiline. In non-MDR-TB isolates, the frequency of Rv0678 RAVs was lower (6/852 or 0.7%). Competition experiments suggested that rifampicin was not the drug selecting for Rv0678 RAVs. CONCLUSIONS RAVs in Rv0678 occur more frequently in MDR-TB patients than previously anticipated, are not associated with prior use of bedaquiline or clofazimine, and in the majority of cases do not lead to bedaquiline MICs above the provisional breakpoint (0.24 mg/L). Their origin remains unknown. Given the variety of RAVs in Rv0678 and their variable effects on the MIC, only phenotypic drug-susceptibility methods can currently be used to assess bedaquiline susceptibility.&quot;,&quot;issue&quot;:&quot;3&quot;,&quot;volume&quot;:&quot;72&quot;}}]},{&quot;citationID&quot;:&quot;MENDELEY_CITATION_2b810a15-7d3a-4cac-b42b-4466cf6317ff&quot;,&quot;properties&quot;:{&quot;noteIndex&quot;:0},&quot;citationItems&quot;:[{&quot;id&quot;:&quot;dcbd82a3-03d8-3cba-a59e-6792edcbfcf4&quot;,&quot;itemData&quot;:{&quot;type&quot;:&quot;article-journal&quot;,&quot;id&quot;:&quot;dcbd82a3-03d8-3cba-a59e-6792edcbfcf4&quot;,&quot;title&quot;:&quot;Bedaquiline in the treatment of multidrug- and extensively drug-resistant tuberculosis&quot;,&quot;author&quot;:[{&quot;family&quot;:&quot;Pym&quot;,&quot;given&quot;:&quot;Alexander S&quot;,&quot;parse-names&quot;:false,&quot;dropping-particle&quot;:&quot;&quot;,&quot;non-dropping-particle&quot;:&quot;&quot;},{&quot;family&quot;:&quot;Diacon&quot;,&quot;given&quot;:&quot;Andreas H&quot;,&quot;parse-names&quot;:false,&quot;dropping-particle&quot;:&quot;&quot;,&quot;non-dropping-particle&quot;:&quot;&quot;},{&quot;family&quot;:&quot;Tang&quot;,&quot;given&quot;:&quot;Shen-Jie&quot;,&quot;parse-names&quot;:false,&quot;dropping-particle&quot;:&quot;&quot;,&quot;non-dropping-particle&quot;:&quot;&quot;},{&quot;family&quot;:&quot;Conradie&quot;,&quot;given&quot;:&quot;Francesca&quot;,&quot;parse-names&quot;:false,&quot;dropping-particle&quot;:&quot;&quot;,&quot;non-dropping-particle&quot;:&quot;&quot;},{&quot;family&quot;:&quot;Danilovits&quot;,&quot;given&quot;:&quot;Manfred&quot;,&quot;parse-names&quot;:false,&quot;dropping-particle&quot;:&quot;&quot;,&quot;non-dropping-particle&quot;:&quot;&quot;},{&quot;family&quot;:&quot;Chuchottaworn&quot;,&quot;given&quot;:&quot;Charoen&quot;,&quot;parse-names&quot;:false,&quot;dropping-particle&quot;:&quot;&quot;,&quot;non-dropping-particle&quot;:&quot;&quot;},{&quot;family&quot;:&quot;Vasilyeva&quot;,&quot;given&quot;:&quot;Irina&quot;,&quot;parse-names&quot;:false,&quot;dropping-particle&quot;:&quot;&quot;,&quot;non-dropping-particle&quot;:&quot;&quot;},{&quot;family&quot;:&quot;Andries&quot;,&quot;given&quot;:&quot;Koen&quot;,&quot;parse-names&quot;:false,&quot;dropping-particle&quot;:&quot;&quot;,&quot;non-dropping-particle&quot;:&quot;&quot;},{&quot;family&quot;:&quot;Bakare&quot;,&quot;given&quot;:&quot;Nyasha&quot;,&quot;parse-names&quot;:false,&quot;dropping-particle&quot;:&quot;&quot;,&quot;non-dropping-particle&quot;:&quot;&quot;},{&quot;family&quot;:&quot;Marez&quot;,&quot;given&quot;:&quot;Tine&quot;,&quot;parse-names&quot;:false,&quot;dropping-particle&quot;:&quot;&quot;,&quot;non-dropping-particle&quot;:&quot;de&quot;},{&quot;family&quot;:&quot;Haxaire-Theeuwes&quot;,&quot;given&quot;:&quot;Myriam&quot;,&quot;parse-names&quot;:false,&quot;dropping-particle&quot;:&quot;&quot;,&quot;non-dropping-particle&quot;:&quot;&quot;},{&quot;family&quot;:&quot;Lounis&quot;,&quot;given&quot;:&quot;Nacer&quot;,&quot;parse-names&quot;:false,&quot;dropping-particle&quot;:&quot;&quot;,&quot;non-dropping-particle&quot;:&quot;&quot;},{&quot;family&quot;:&quot;Meyvisch&quot;,&quot;given&quot;:&quot;Paul&quot;,&quot;parse-names&quot;:false,&quot;dropping-particle&quot;:&quot;&quot;,&quot;non-dropping-particle&quot;:&quot;&quot;},{&quot;family&quot;:&quot;Baelen&quot;,&quot;given&quot;:&quot;Ben&quot;,&quot;parse-names&quot;:false,&quot;dropping-particle&quot;:&quot;&quot;,&quot;non-dropping-particle&quot;:&quot;van&quot;},{&quot;family&quot;:&quot;Heeswijk&quot;,&quot;given&quot;:&quot;Rolf P G&quot;,&quot;parse-names&quot;:false,&quot;dropping-particle&quot;:&quot;&quot;,&quot;non-dropping-particle&quot;:&quot;van&quot;},{&quot;family&quot;:&quot;Dannemann&quot;,&quot;given&quot;:&quot;Brian&quot;,&quot;parse-names&quot;:false,&quot;dropping-particle&quot;:&quot;&quot;,&quot;non-dropping-particle&quot;:&quot;&quot;}],&quot;container-title&quot;:&quot;European Respiratory Journal&quot;,&quot;DOI&quot;:&quot;10.1183/13993003.00724-2015&quot;,&quot;ISSN&quot;:&quot;0903-1936&quot;,&quot;URL&quot;:&quot;http://erj.ersjournals.com/content/47/2/564.abstract&quot;,&quot;issued&quot;:{&quot;date-parts&quot;:[[2016,2]]},&quot;page&quot;:&quot;564-574&quot;,&quot;abstract&quot;:&quot;Bedaquiline, a diarylquinoline, improved cure rates when added to a multidrug-resistant tuberculosis (MDR-TB) treatment regimen in a previous placebo-controlled, phase 2 trial (TMC207-C208; NCT00449644 ). The current phase 2, multicenter, open-label, single-arm trial (TMC207-C209; NCT00910871 ) reported here was conducted to confirm the safety and efficacy of bedaquiline. Newly diagnosed or previously treated patients with MDR-TB (including pre-extensively drug-resistant (pre-XDR)-TB or extensively drug-resistant (XDR)-TB) received bedaquiline for 24 weeks with a background regimen of anti-TB drugs continued according to National TB Programme treatment guidelines. Patients were assessed during and up to 120 weeks after starting bedaquiline.Of 233 enrolled patients, 63.5% had MDR-TB, 18.9% had pre-XDR-TB and 16.3% had XDR-TB, with 87.1% having taken second-line drugs prior to enrolment. 16 patients (6.9%) died. 20 patients (8.6%) discontinued before week 24, most commonly due to adverse events or MDR-TB-related events. Adverse events were generally those commonly associated with MDR-TB treatment. In the efficacy population (n=205), culture conversion (missing outcome classified as failure) was 72.2% at 120 weeks, and 73.1%, 70.5% and 62.2% in MDR-TB, pre-XDR-TB and XDR-TB patients, respectively.Addition of bedaquiline to a background regimen was well tolerated and led to good outcomes in this clinically relevant patient cohort with MDR-TB.&quot;,&quot;issue&quot;:&quot;2&quot;,&quot;volume&quot;:&quot;47&quot;}}]}]"/>
    <we:property name="MENDELEY_CITATIONS_STYLE" value="&quot;https://www.zotero.org/styles/european-respiratory-journal&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3A17B727F9145AA36BF5F32B1B76E" ma:contentTypeVersion="13" ma:contentTypeDescription="Create a new document." ma:contentTypeScope="" ma:versionID="c6ea95ecb503ba7190a6df5da58e41e3">
  <xsd:schema xmlns:xsd="http://www.w3.org/2001/XMLSchema" xmlns:xs="http://www.w3.org/2001/XMLSchema" xmlns:p="http://schemas.microsoft.com/office/2006/metadata/properties" xmlns:ns3="132c664a-40da-43ef-ba59-381b53d0c3d0" xmlns:ns4="b48906f0-0606-4197-acbe-75afbe0c6b38" targetNamespace="http://schemas.microsoft.com/office/2006/metadata/properties" ma:root="true" ma:fieldsID="aea2dd0a0f63e9009363fe7524af9e65" ns3:_="" ns4:_="">
    <xsd:import namespace="132c664a-40da-43ef-ba59-381b53d0c3d0"/>
    <xsd:import namespace="b48906f0-0606-4197-acbe-75afbe0c6b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664a-40da-43ef-ba59-381b53d0c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906f0-0606-4197-acbe-75afbe0c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E532-7C5B-40C6-94A0-712BB661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664a-40da-43ef-ba59-381b53d0c3d0"/>
    <ds:schemaRef ds:uri="b48906f0-0606-4197-acbe-75afbe0c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93D8E-082C-4350-8DD3-366359C8F362}">
  <ds:schemaRefs>
    <ds:schemaRef ds:uri="http://schemas.microsoft.com/sharepoint/v3/contenttype/forms"/>
  </ds:schemaRefs>
</ds:datastoreItem>
</file>

<file path=customXml/itemProps3.xml><?xml version="1.0" encoding="utf-8"?>
<ds:datastoreItem xmlns:ds="http://schemas.openxmlformats.org/officeDocument/2006/customXml" ds:itemID="{3DF477EF-DAE9-420E-9D08-5992C0680C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CEA382-D347-45F7-94BD-A024522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2736</Words>
  <Characters>15597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Camus Nimmo</dc:creator>
  <cp:keywords/>
  <dc:description/>
  <cp:lastModifiedBy>James Millard</cp:lastModifiedBy>
  <cp:revision>2</cp:revision>
  <dcterms:created xsi:type="dcterms:W3CDTF">2020-02-20T11:21:00Z</dcterms:created>
  <dcterms:modified xsi:type="dcterms:W3CDTF">2020-02-20T11:21:00Z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9ad4a438-ab29-3550-b8c9-0667dbff5607</vt:lpwstr>
  </property>
  <property fmtid="{D5CDD505-2E9C-101B-9397-08002B2CF9AE}" pid="24" name="Mendeley Citation Style_1">
    <vt:lpwstr>http://www.zotero.org/styles/the-lancet</vt:lpwstr>
  </property>
  <property fmtid="{D5CDD505-2E9C-101B-9397-08002B2CF9AE}" pid="25" name="ContentTypeId">
    <vt:lpwstr>0x0101005EB3A17B727F9145AA36BF5F32B1B76E</vt:lpwstr>
  </property>
</Properties>
</file>