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EF5CA" w14:textId="25C5D73D" w:rsidR="00153D4F" w:rsidRPr="001A52CE" w:rsidRDefault="001A52CE" w:rsidP="00153D4F">
      <w:pPr>
        <w:spacing w:line="276" w:lineRule="auto"/>
        <w:rPr>
          <w:rFonts w:cstheme="minorHAnsi"/>
          <w:b/>
          <w:sz w:val="28"/>
          <w:szCs w:val="28"/>
        </w:rPr>
      </w:pPr>
      <w:r w:rsidRPr="001A52CE">
        <w:rPr>
          <w:rFonts w:cstheme="minorHAnsi"/>
          <w:b/>
          <w:sz w:val="28"/>
          <w:szCs w:val="28"/>
        </w:rPr>
        <w:t>Extra-parliamentary behaviour in Northern Ireland: MLAs and constituency service</w:t>
      </w:r>
    </w:p>
    <w:p w14:paraId="70C81D39" w14:textId="77777777" w:rsidR="00153D4F" w:rsidRDefault="00153D4F" w:rsidP="00153D4F">
      <w:pPr>
        <w:spacing w:after="0" w:line="240" w:lineRule="auto"/>
        <w:rPr>
          <w:rFonts w:cstheme="minorHAnsi"/>
          <w:b/>
        </w:rPr>
      </w:pPr>
    </w:p>
    <w:p w14:paraId="4816018D" w14:textId="77777777" w:rsidR="00153D4F" w:rsidRDefault="00153D4F" w:rsidP="00153D4F">
      <w:pPr>
        <w:spacing w:after="0" w:line="240" w:lineRule="auto"/>
        <w:ind w:left="567"/>
        <w:rPr>
          <w:rFonts w:cstheme="minorHAnsi"/>
          <w:b/>
        </w:rPr>
      </w:pPr>
      <w:r>
        <w:rPr>
          <w:rFonts w:cstheme="minorHAnsi"/>
          <w:b/>
        </w:rPr>
        <w:t>ABSTRACT</w:t>
      </w:r>
    </w:p>
    <w:p w14:paraId="0F466328" w14:textId="77777777" w:rsidR="00153D4F" w:rsidRDefault="00153D4F" w:rsidP="00153D4F">
      <w:pPr>
        <w:spacing w:after="0" w:line="240" w:lineRule="auto"/>
        <w:rPr>
          <w:rFonts w:cstheme="minorHAnsi"/>
          <w:b/>
        </w:rPr>
      </w:pPr>
    </w:p>
    <w:p w14:paraId="2C9673BA" w14:textId="0166E1EA" w:rsidR="0011620D" w:rsidRDefault="000D784E" w:rsidP="0011620D">
      <w:pPr>
        <w:spacing w:line="360" w:lineRule="auto"/>
        <w:ind w:left="567" w:right="567"/>
        <w:jc w:val="both"/>
        <w:rPr>
          <w:rFonts w:cstheme="minorHAnsi"/>
        </w:rPr>
      </w:pPr>
      <w:r>
        <w:rPr>
          <w:rFonts w:cstheme="minorHAnsi"/>
        </w:rPr>
        <w:t xml:space="preserve">Little is known about the attitudes and behaviour of Northern Ireland’s subnational legislators (Members of the Legislative Assembly or MLAs) beyond their </w:t>
      </w:r>
      <w:r w:rsidR="00AD03F0">
        <w:rPr>
          <w:rFonts w:cstheme="minorHAnsi"/>
        </w:rPr>
        <w:t>activities</w:t>
      </w:r>
      <w:r w:rsidR="00CE7AA5">
        <w:rPr>
          <w:rFonts w:cstheme="minorHAnsi"/>
        </w:rPr>
        <w:t xml:space="preserve"> </w:t>
      </w:r>
      <w:r>
        <w:rPr>
          <w:rFonts w:cstheme="minorHAnsi"/>
        </w:rPr>
        <w:t xml:space="preserve">at Parliament Buildings, Stormont. This article provides the first analysis of MLAs’ extra-parliamentary behaviour through a mixed methods study of their constituency service. </w:t>
      </w:r>
      <w:r w:rsidR="00CE7AA5">
        <w:rPr>
          <w:rFonts w:cstheme="minorHAnsi"/>
        </w:rPr>
        <w:t xml:space="preserve">The study finds that </w:t>
      </w:r>
      <w:r>
        <w:rPr>
          <w:rFonts w:cstheme="minorHAnsi"/>
        </w:rPr>
        <w:t xml:space="preserve">MLAs attach considerable importance to constituency service, devoting more time to its provision than to parliamentary </w:t>
      </w:r>
      <w:r w:rsidR="00AD03F0">
        <w:rPr>
          <w:rFonts w:cstheme="minorHAnsi"/>
        </w:rPr>
        <w:t>duties</w:t>
      </w:r>
      <w:r>
        <w:rPr>
          <w:rFonts w:cstheme="minorHAnsi"/>
        </w:rPr>
        <w:t>.</w:t>
      </w:r>
      <w:r w:rsidR="0036389C">
        <w:rPr>
          <w:rFonts w:cstheme="minorHAnsi"/>
        </w:rPr>
        <w:t xml:space="preserve"> Noticeable variation exists between and within </w:t>
      </w:r>
      <w:r w:rsidR="00417BFA">
        <w:rPr>
          <w:rFonts w:cstheme="minorHAnsi"/>
        </w:rPr>
        <w:t xml:space="preserve">parties in terms of </w:t>
      </w:r>
      <w:r w:rsidR="0036389C">
        <w:rPr>
          <w:rFonts w:cstheme="minorHAnsi"/>
        </w:rPr>
        <w:t>constituency service effort, although</w:t>
      </w:r>
      <w:r w:rsidR="003E3591">
        <w:rPr>
          <w:rFonts w:cstheme="minorHAnsi"/>
        </w:rPr>
        <w:t xml:space="preserve"> </w:t>
      </w:r>
      <w:r w:rsidR="0036389C">
        <w:rPr>
          <w:rFonts w:cstheme="minorHAnsi"/>
        </w:rPr>
        <w:t xml:space="preserve">Unionist MLAs </w:t>
      </w:r>
      <w:r w:rsidR="0011620D">
        <w:rPr>
          <w:rFonts w:cstheme="minorHAnsi"/>
        </w:rPr>
        <w:t>tend</w:t>
      </w:r>
      <w:r w:rsidR="0036389C">
        <w:rPr>
          <w:rFonts w:cstheme="minorHAnsi"/>
        </w:rPr>
        <w:t xml:space="preserve"> to have a stronger constituency focus than non-unionist MLAs. </w:t>
      </w:r>
      <w:r w:rsidR="00417BFA">
        <w:rPr>
          <w:rFonts w:cstheme="minorHAnsi"/>
        </w:rPr>
        <w:t>V</w:t>
      </w:r>
      <w:r w:rsidR="0011620D">
        <w:rPr>
          <w:rFonts w:cstheme="minorHAnsi"/>
        </w:rPr>
        <w:t>ariation in constituency service effort</w:t>
      </w:r>
      <w:r w:rsidR="00417BFA">
        <w:rPr>
          <w:rFonts w:cstheme="minorHAnsi"/>
        </w:rPr>
        <w:t xml:space="preserve"> at the individual level</w:t>
      </w:r>
      <w:r w:rsidR="0011620D">
        <w:rPr>
          <w:rFonts w:cstheme="minorHAnsi"/>
        </w:rPr>
        <w:t xml:space="preserve"> has more to do with MLAs’ role orientations than electoral incentives. </w:t>
      </w:r>
      <w:r w:rsidR="00417BFA">
        <w:rPr>
          <w:rFonts w:cstheme="minorHAnsi"/>
        </w:rPr>
        <w:t xml:space="preserve">In terms of their home style, MLAs exhibit local behaviour that is more </w:t>
      </w:r>
      <w:r w:rsidR="0011620D">
        <w:rPr>
          <w:rFonts w:cstheme="minorHAnsi"/>
        </w:rPr>
        <w:t>characteristic of their contemporaries in the Republic of Ireland than their counterparts in the rest of the United Kingdom.</w:t>
      </w:r>
    </w:p>
    <w:p w14:paraId="5353CEC3" w14:textId="103AFDF8" w:rsidR="001A52CE" w:rsidRPr="001A52CE" w:rsidRDefault="00287622" w:rsidP="00153D4F">
      <w:pPr>
        <w:spacing w:line="360" w:lineRule="auto"/>
        <w:rPr>
          <w:rFonts w:cstheme="minorHAnsi"/>
          <w:sz w:val="24"/>
          <w:szCs w:val="24"/>
        </w:rPr>
      </w:pPr>
      <w:r>
        <w:rPr>
          <w:rFonts w:cstheme="minorHAnsi"/>
          <w:sz w:val="24"/>
          <w:szCs w:val="24"/>
        </w:rPr>
        <w:t xml:space="preserve">Keywords: Constituency service; Northern Ireland; </w:t>
      </w:r>
      <w:r w:rsidR="00732467">
        <w:rPr>
          <w:rFonts w:cstheme="minorHAnsi"/>
          <w:sz w:val="24"/>
          <w:szCs w:val="24"/>
        </w:rPr>
        <w:t>devolution</w:t>
      </w:r>
      <w:r w:rsidR="00AA000C">
        <w:rPr>
          <w:rFonts w:cstheme="minorHAnsi"/>
          <w:sz w:val="24"/>
          <w:szCs w:val="24"/>
        </w:rPr>
        <w:t>; roles</w:t>
      </w:r>
    </w:p>
    <w:p w14:paraId="452D265F" w14:textId="77777777" w:rsidR="00153D4F" w:rsidRPr="00153D4F" w:rsidRDefault="00153D4F" w:rsidP="00153D4F">
      <w:pPr>
        <w:spacing w:line="360" w:lineRule="auto"/>
        <w:rPr>
          <w:rFonts w:cstheme="minorHAnsi"/>
          <w:b/>
          <w:sz w:val="24"/>
          <w:szCs w:val="24"/>
        </w:rPr>
      </w:pPr>
      <w:r w:rsidRPr="00153D4F">
        <w:rPr>
          <w:rFonts w:cstheme="minorHAnsi"/>
          <w:b/>
          <w:sz w:val="24"/>
          <w:szCs w:val="24"/>
        </w:rPr>
        <w:t xml:space="preserve">Introduction </w:t>
      </w:r>
    </w:p>
    <w:p w14:paraId="7025E9F8" w14:textId="395182AA" w:rsidR="00153D4F" w:rsidRPr="00153D4F" w:rsidRDefault="00153D4F" w:rsidP="00153D4F">
      <w:pPr>
        <w:spacing w:line="360" w:lineRule="auto"/>
        <w:contextualSpacing/>
        <w:jc w:val="both"/>
        <w:rPr>
          <w:rFonts w:cstheme="minorHAnsi"/>
          <w:sz w:val="24"/>
          <w:szCs w:val="24"/>
        </w:rPr>
      </w:pPr>
      <w:r w:rsidRPr="00153D4F">
        <w:rPr>
          <w:rFonts w:cstheme="minorHAnsi"/>
          <w:sz w:val="24"/>
          <w:szCs w:val="24"/>
        </w:rPr>
        <w:t>Legislators represent the public face of democracy. To be precise, they represent the ‘faces’ of democracy, since legislators face in two directions: toward the parliament and toward the c</w:t>
      </w:r>
      <w:r w:rsidR="00947060">
        <w:rPr>
          <w:rFonts w:cstheme="minorHAnsi"/>
          <w:sz w:val="24"/>
          <w:szCs w:val="24"/>
        </w:rPr>
        <w:t>onstituency (Norton &amp; Wood, 1993</w:t>
      </w:r>
      <w:r w:rsidRPr="00153D4F">
        <w:rPr>
          <w:rFonts w:cstheme="minorHAnsi"/>
          <w:sz w:val="24"/>
          <w:szCs w:val="24"/>
        </w:rPr>
        <w:t>). With a few notable exceptions (</w:t>
      </w:r>
      <w:r w:rsidRPr="00153D4F">
        <w:rPr>
          <w:rStyle w:val="Emphasis"/>
          <w:rFonts w:cstheme="minorHAnsi"/>
          <w:b w:val="0"/>
          <w:sz w:val="24"/>
          <w:szCs w:val="24"/>
        </w:rPr>
        <w:t>André</w:t>
      </w:r>
      <w:r w:rsidR="009C563D">
        <w:rPr>
          <w:rFonts w:cstheme="minorHAnsi"/>
          <w:sz w:val="24"/>
          <w:szCs w:val="24"/>
        </w:rPr>
        <w:t xml:space="preserve">, </w:t>
      </w:r>
      <w:r w:rsidR="009C563D" w:rsidRPr="003F5C68">
        <w:rPr>
          <w:rFonts w:cstheme="minorHAnsi"/>
          <w:sz w:val="24"/>
          <w:szCs w:val="24"/>
        </w:rPr>
        <w:t xml:space="preserve">Gallagher </w:t>
      </w:r>
      <w:r w:rsidR="009C563D">
        <w:rPr>
          <w:rFonts w:cstheme="minorHAnsi"/>
          <w:sz w:val="24"/>
          <w:szCs w:val="24"/>
        </w:rPr>
        <w:t>&amp;</w:t>
      </w:r>
      <w:r w:rsidR="009C563D" w:rsidRPr="003F5C68">
        <w:rPr>
          <w:rFonts w:cstheme="minorHAnsi"/>
          <w:sz w:val="24"/>
          <w:szCs w:val="24"/>
        </w:rPr>
        <w:t xml:space="preserve"> Sandri</w:t>
      </w:r>
      <w:r w:rsidR="009C563D">
        <w:rPr>
          <w:rFonts w:cstheme="minorHAnsi"/>
          <w:sz w:val="24"/>
          <w:szCs w:val="24"/>
        </w:rPr>
        <w:t>, 2014c</w:t>
      </w:r>
      <w:r w:rsidRPr="00153D4F">
        <w:rPr>
          <w:rFonts w:cstheme="minorHAnsi"/>
          <w:sz w:val="24"/>
          <w:szCs w:val="24"/>
        </w:rPr>
        <w:t>; Norton, 2002; Cain,</w:t>
      </w:r>
      <w:r w:rsidR="009C563D">
        <w:rPr>
          <w:rFonts w:cstheme="minorHAnsi"/>
          <w:sz w:val="24"/>
          <w:szCs w:val="24"/>
        </w:rPr>
        <w:t xml:space="preserve"> Ferejohn &amp; Fiorina,</w:t>
      </w:r>
      <w:r w:rsidRPr="00153D4F">
        <w:rPr>
          <w:rFonts w:cstheme="minorHAnsi"/>
          <w:sz w:val="24"/>
          <w:szCs w:val="24"/>
        </w:rPr>
        <w:t xml:space="preserve"> 1987; Bogdanor, 1985), Fenno’s (1978) </w:t>
      </w:r>
      <w:r w:rsidR="00886161">
        <w:rPr>
          <w:rFonts w:cstheme="minorHAnsi"/>
          <w:sz w:val="24"/>
          <w:szCs w:val="24"/>
        </w:rPr>
        <w:t>point</w:t>
      </w:r>
      <w:r w:rsidRPr="00153D4F">
        <w:rPr>
          <w:rFonts w:cstheme="minorHAnsi"/>
          <w:sz w:val="24"/>
          <w:szCs w:val="24"/>
        </w:rPr>
        <w:t xml:space="preserve"> that academic attention </w:t>
      </w:r>
      <w:r w:rsidR="00417BFA">
        <w:rPr>
          <w:rFonts w:cstheme="minorHAnsi"/>
          <w:sz w:val="24"/>
          <w:szCs w:val="24"/>
        </w:rPr>
        <w:t>focusses</w:t>
      </w:r>
      <w:r w:rsidRPr="00153D4F">
        <w:rPr>
          <w:rFonts w:cstheme="minorHAnsi"/>
          <w:sz w:val="24"/>
          <w:szCs w:val="24"/>
        </w:rPr>
        <w:t xml:space="preserve"> more on legislators’ parliamentary face, at the expense of the constituency face, remains valid. Addressing this imbalance within the research is a worthwhile undertaking. As André and her colleagues note (2014</w:t>
      </w:r>
      <w:r w:rsidR="00EB383E">
        <w:rPr>
          <w:rFonts w:cstheme="minorHAnsi"/>
          <w:sz w:val="24"/>
          <w:szCs w:val="24"/>
        </w:rPr>
        <w:t>c</w:t>
      </w:r>
      <w:r w:rsidRPr="00153D4F">
        <w:rPr>
          <w:rFonts w:cstheme="minorHAnsi"/>
          <w:sz w:val="24"/>
          <w:szCs w:val="24"/>
        </w:rPr>
        <w:t xml:space="preserve">: 166), whether an </w:t>
      </w:r>
      <w:proofErr w:type="gramStart"/>
      <w:r w:rsidRPr="00153D4F">
        <w:rPr>
          <w:rFonts w:cstheme="minorHAnsi"/>
          <w:sz w:val="24"/>
          <w:szCs w:val="24"/>
        </w:rPr>
        <w:t>ordinary European feels</w:t>
      </w:r>
      <w:proofErr w:type="gramEnd"/>
      <w:r w:rsidRPr="00153D4F">
        <w:rPr>
          <w:rFonts w:cstheme="minorHAnsi"/>
          <w:sz w:val="24"/>
          <w:szCs w:val="24"/>
        </w:rPr>
        <w:t xml:space="preserve"> represented by </w:t>
      </w:r>
      <w:r w:rsidR="00CE7AA5">
        <w:rPr>
          <w:rFonts w:cstheme="minorHAnsi"/>
          <w:sz w:val="24"/>
          <w:szCs w:val="24"/>
        </w:rPr>
        <w:t xml:space="preserve">an </w:t>
      </w:r>
      <w:r w:rsidRPr="00153D4F">
        <w:rPr>
          <w:rFonts w:cstheme="minorHAnsi"/>
          <w:sz w:val="24"/>
          <w:szCs w:val="24"/>
        </w:rPr>
        <w:t>MP ‘may depend less on the views that the MP expresses on the floor of parliament…than on what the MP does at a more local level’. Given the importance of representative-constituent interaction to the representational relationship (Pitkin, 1967), and in light of increasing public disillusionment with elected representatives and political institutions (Norris, 2011; Dalton 2004), it is surprising that the literature has not paid more attention to the ways in which representatives connect with their constituents on a day-to</w:t>
      </w:r>
      <w:r w:rsidR="00086FEA">
        <w:rPr>
          <w:rFonts w:cstheme="minorHAnsi"/>
          <w:sz w:val="24"/>
          <w:szCs w:val="24"/>
        </w:rPr>
        <w:t>-day basis (Brack &amp; Pilet, 2016</w:t>
      </w:r>
      <w:r w:rsidRPr="00153D4F">
        <w:rPr>
          <w:rFonts w:cstheme="minorHAnsi"/>
          <w:sz w:val="24"/>
          <w:szCs w:val="24"/>
        </w:rPr>
        <w:t>).</w:t>
      </w:r>
    </w:p>
    <w:p w14:paraId="747A666E" w14:textId="77777777" w:rsidR="00675F5B" w:rsidRDefault="00153D4F" w:rsidP="009A6489">
      <w:pPr>
        <w:spacing w:line="360" w:lineRule="auto"/>
        <w:contextualSpacing/>
        <w:jc w:val="both"/>
        <w:rPr>
          <w:rFonts w:cstheme="minorHAnsi"/>
          <w:sz w:val="24"/>
          <w:szCs w:val="24"/>
        </w:rPr>
      </w:pPr>
      <w:r w:rsidRPr="00153D4F">
        <w:rPr>
          <w:rFonts w:cstheme="minorHAnsi"/>
          <w:sz w:val="24"/>
          <w:szCs w:val="24"/>
        </w:rPr>
        <w:lastRenderedPageBreak/>
        <w:t xml:space="preserve">That representative-constituent interaction is under-researched in Northern Ireland is particularly puzzling. Although the establishment of the Northern Ireland Assembly (NIA) in 1999 was part of a United Kingdom (UK) wide devolution project, the circumstances of its creation were unique. Unlike the situation in Scotland and Wales, the primary objective of devolution in Northern Ireland was the ending of protracted political violence (Jeffery, 2006). </w:t>
      </w:r>
    </w:p>
    <w:p w14:paraId="798DB8AA" w14:textId="74FE0D86" w:rsidR="00153D4F" w:rsidRPr="00153D4F" w:rsidRDefault="00153D4F" w:rsidP="009A6489">
      <w:pPr>
        <w:spacing w:line="360" w:lineRule="auto"/>
        <w:contextualSpacing/>
        <w:jc w:val="both"/>
        <w:rPr>
          <w:rFonts w:cstheme="minorHAnsi"/>
          <w:sz w:val="24"/>
          <w:szCs w:val="24"/>
        </w:rPr>
      </w:pPr>
      <w:r w:rsidRPr="00675F5B">
        <w:rPr>
          <w:rFonts w:cstheme="minorHAnsi"/>
          <w:sz w:val="24"/>
          <w:szCs w:val="24"/>
        </w:rPr>
        <w:t>The establishment of the</w:t>
      </w:r>
      <w:r w:rsidR="00552107">
        <w:rPr>
          <w:rFonts w:cstheme="minorHAnsi"/>
          <w:sz w:val="24"/>
          <w:szCs w:val="24"/>
        </w:rPr>
        <w:t xml:space="preserve"> all-inclusive</w:t>
      </w:r>
      <w:r w:rsidRPr="00675F5B">
        <w:rPr>
          <w:rFonts w:cstheme="minorHAnsi"/>
          <w:sz w:val="24"/>
          <w:szCs w:val="24"/>
        </w:rPr>
        <w:t xml:space="preserve"> power-sharing NIA represented a new democratic experience </w:t>
      </w:r>
      <w:r w:rsidR="00D04334" w:rsidRPr="00675F5B">
        <w:rPr>
          <w:rFonts w:cstheme="minorHAnsi"/>
          <w:sz w:val="24"/>
          <w:szCs w:val="24"/>
        </w:rPr>
        <w:t xml:space="preserve">in </w:t>
      </w:r>
      <w:r w:rsidR="00552107">
        <w:rPr>
          <w:rFonts w:cstheme="minorHAnsi"/>
          <w:sz w:val="24"/>
          <w:szCs w:val="24"/>
        </w:rPr>
        <w:t>which</w:t>
      </w:r>
      <w:r w:rsidRPr="00675F5B">
        <w:rPr>
          <w:rFonts w:cstheme="minorHAnsi"/>
          <w:sz w:val="24"/>
          <w:szCs w:val="24"/>
        </w:rPr>
        <w:t xml:space="preserve">, for the first time in </w:t>
      </w:r>
      <w:r w:rsidR="00552107">
        <w:rPr>
          <w:rFonts w:cstheme="minorHAnsi"/>
          <w:sz w:val="24"/>
          <w:szCs w:val="24"/>
        </w:rPr>
        <w:t>the region’s history</w:t>
      </w:r>
      <w:r w:rsidRPr="00675F5B">
        <w:rPr>
          <w:rFonts w:cstheme="minorHAnsi"/>
          <w:sz w:val="24"/>
          <w:szCs w:val="24"/>
        </w:rPr>
        <w:t xml:space="preserve">, citizens from </w:t>
      </w:r>
      <w:r w:rsidR="00552107">
        <w:rPr>
          <w:rFonts w:cstheme="minorHAnsi"/>
          <w:sz w:val="24"/>
          <w:szCs w:val="24"/>
        </w:rPr>
        <w:t>across the</w:t>
      </w:r>
      <w:r w:rsidRPr="00675F5B">
        <w:rPr>
          <w:rFonts w:cstheme="minorHAnsi"/>
          <w:sz w:val="24"/>
          <w:szCs w:val="24"/>
        </w:rPr>
        <w:t xml:space="preserve"> ethno-national </w:t>
      </w:r>
      <w:r w:rsidR="00552107">
        <w:rPr>
          <w:rFonts w:cstheme="minorHAnsi"/>
          <w:sz w:val="24"/>
          <w:szCs w:val="24"/>
        </w:rPr>
        <w:t>spectrum</w:t>
      </w:r>
      <w:r w:rsidRPr="00675F5B">
        <w:rPr>
          <w:rFonts w:cstheme="minorHAnsi"/>
          <w:sz w:val="24"/>
          <w:szCs w:val="24"/>
        </w:rPr>
        <w:t xml:space="preserve"> could meaningfully</w:t>
      </w:r>
      <w:r w:rsidR="00D2005F" w:rsidRPr="00675F5B">
        <w:rPr>
          <w:rFonts w:cstheme="minorHAnsi"/>
          <w:sz w:val="24"/>
          <w:szCs w:val="24"/>
        </w:rPr>
        <w:t xml:space="preserve"> </w:t>
      </w:r>
      <w:r w:rsidR="00D04334" w:rsidRPr="00675F5B">
        <w:rPr>
          <w:rFonts w:cstheme="minorHAnsi"/>
          <w:sz w:val="24"/>
          <w:szCs w:val="24"/>
        </w:rPr>
        <w:t>participate</w:t>
      </w:r>
      <w:r w:rsidRPr="00675F5B">
        <w:rPr>
          <w:rFonts w:cstheme="minorHAnsi"/>
          <w:sz w:val="24"/>
          <w:szCs w:val="24"/>
        </w:rPr>
        <w:t>.</w:t>
      </w:r>
      <w:r w:rsidRPr="00675F5B">
        <w:rPr>
          <w:rStyle w:val="EndnoteReference"/>
          <w:rFonts w:cstheme="minorHAnsi"/>
          <w:sz w:val="24"/>
          <w:szCs w:val="24"/>
        </w:rPr>
        <w:endnoteReference w:id="1"/>
      </w:r>
      <w:r w:rsidRPr="00153D4F">
        <w:rPr>
          <w:rFonts w:cstheme="minorHAnsi"/>
          <w:sz w:val="24"/>
          <w:szCs w:val="24"/>
        </w:rPr>
        <w:t xml:space="preserve"> Each of Northern Ireland’s 18 constituencies would henceforth elect six Members of the Legislative Assembly (MLAs), </w:t>
      </w:r>
      <w:r w:rsidR="00D04334">
        <w:rPr>
          <w:rFonts w:cstheme="minorHAnsi"/>
          <w:sz w:val="24"/>
          <w:szCs w:val="24"/>
        </w:rPr>
        <w:t xml:space="preserve">creating </w:t>
      </w:r>
      <w:r w:rsidRPr="00153D4F">
        <w:rPr>
          <w:rFonts w:cstheme="minorHAnsi"/>
          <w:sz w:val="24"/>
          <w:szCs w:val="24"/>
        </w:rPr>
        <w:t>a tier of 108 legislators to fill the region’s political vacuum.</w:t>
      </w:r>
      <w:r w:rsidRPr="00153D4F">
        <w:rPr>
          <w:rStyle w:val="EndnoteReference"/>
          <w:rFonts w:cstheme="minorHAnsi"/>
          <w:sz w:val="24"/>
          <w:szCs w:val="24"/>
        </w:rPr>
        <w:endnoteReference w:id="2"/>
      </w:r>
      <w:r w:rsidRPr="00153D4F">
        <w:rPr>
          <w:rFonts w:cstheme="minorHAnsi"/>
          <w:sz w:val="24"/>
          <w:szCs w:val="24"/>
        </w:rPr>
        <w:t xml:space="preserve"> The relationship between MLAs and their constituents poses a number of interesting research</w:t>
      </w:r>
      <w:r w:rsidR="002F76A2">
        <w:rPr>
          <w:rFonts w:cstheme="minorHAnsi"/>
          <w:sz w:val="24"/>
          <w:szCs w:val="24"/>
        </w:rPr>
        <w:t xml:space="preserve"> questions</w:t>
      </w:r>
      <w:r w:rsidRPr="00153D4F">
        <w:rPr>
          <w:rFonts w:cstheme="minorHAnsi"/>
          <w:sz w:val="24"/>
          <w:szCs w:val="24"/>
        </w:rPr>
        <w:t xml:space="preserve">, </w:t>
      </w:r>
      <w:r w:rsidR="00D04334">
        <w:rPr>
          <w:rFonts w:cstheme="minorHAnsi"/>
          <w:sz w:val="24"/>
          <w:szCs w:val="24"/>
        </w:rPr>
        <w:t xml:space="preserve">yet </w:t>
      </w:r>
      <w:r w:rsidRPr="00153D4F">
        <w:rPr>
          <w:rFonts w:cstheme="minorHAnsi"/>
          <w:sz w:val="24"/>
          <w:szCs w:val="24"/>
        </w:rPr>
        <w:t>the literature has continued to focus on constitutional, party political, and security issues (Knox, 2010). Whilst a limited literature has developed recently on MLAs’ intra-parliamentary</w:t>
      </w:r>
      <w:r w:rsidR="006A2084">
        <w:rPr>
          <w:rFonts w:cstheme="minorHAnsi"/>
          <w:sz w:val="24"/>
          <w:szCs w:val="24"/>
        </w:rPr>
        <w:t xml:space="preserve"> behaviour (Conley &amp; Dahan, 2012</w:t>
      </w:r>
      <w:r w:rsidRPr="00153D4F">
        <w:rPr>
          <w:rFonts w:cstheme="minorHAnsi"/>
          <w:sz w:val="24"/>
          <w:szCs w:val="24"/>
        </w:rPr>
        <w:t>; Conley 2013</w:t>
      </w:r>
      <w:r w:rsidR="00637FAF">
        <w:rPr>
          <w:rFonts w:cstheme="minorHAnsi"/>
          <w:sz w:val="24"/>
          <w:szCs w:val="24"/>
        </w:rPr>
        <w:t>; Raymond &amp; Holt, 2017</w:t>
      </w:r>
      <w:r w:rsidRPr="00153D4F">
        <w:rPr>
          <w:rFonts w:cstheme="minorHAnsi"/>
          <w:sz w:val="24"/>
          <w:szCs w:val="24"/>
        </w:rPr>
        <w:t xml:space="preserve">), their extra-parliamentary activities remain uninspected. </w:t>
      </w:r>
    </w:p>
    <w:p w14:paraId="690C5814" w14:textId="5CD7A560" w:rsidR="00637FAF" w:rsidRDefault="00153D4F" w:rsidP="00153D4F">
      <w:pPr>
        <w:spacing w:line="360" w:lineRule="auto"/>
        <w:contextualSpacing/>
        <w:jc w:val="both"/>
        <w:rPr>
          <w:rFonts w:cstheme="minorHAnsi"/>
          <w:sz w:val="24"/>
          <w:szCs w:val="24"/>
        </w:rPr>
      </w:pPr>
      <w:r w:rsidRPr="00153D4F">
        <w:rPr>
          <w:rFonts w:cstheme="minorHAnsi"/>
          <w:sz w:val="24"/>
          <w:szCs w:val="24"/>
        </w:rPr>
        <w:tab/>
        <w:t>With this omission in mind, this article attempts to scratch the surface of extra-parliamentary behaviour in Northern Ireland through an exploratory a</w:t>
      </w:r>
      <w:r w:rsidR="00637FAF">
        <w:rPr>
          <w:rFonts w:cstheme="minorHAnsi"/>
          <w:sz w:val="24"/>
          <w:szCs w:val="24"/>
        </w:rPr>
        <w:t xml:space="preserve">nalysis of MLAs’ constituency service. In terms of what is meant by ‘constituency service’, some variation is apparent in the literature. </w:t>
      </w:r>
      <w:r w:rsidR="00637FAF" w:rsidRPr="00724729">
        <w:rPr>
          <w:sz w:val="24"/>
          <w:szCs w:val="24"/>
        </w:rPr>
        <w:t xml:space="preserve">André </w:t>
      </w:r>
      <w:r w:rsidR="00637FAF" w:rsidRPr="00724729">
        <w:rPr>
          <w:i/>
          <w:sz w:val="24"/>
          <w:szCs w:val="24"/>
        </w:rPr>
        <w:t>et al</w:t>
      </w:r>
      <w:r w:rsidR="00637FAF">
        <w:rPr>
          <w:sz w:val="24"/>
          <w:szCs w:val="24"/>
        </w:rPr>
        <w:t>. (2014c), for instance, limit the term to the casework legislators undertake on behalf of individual constituents. This often involves (but is not limited to) the legislator acting as an intermediary between the constituent and state agencies to redress grievances with, for instance, social security benefit</w:t>
      </w:r>
      <w:r w:rsidR="00AB7C65">
        <w:rPr>
          <w:sz w:val="24"/>
          <w:szCs w:val="24"/>
        </w:rPr>
        <w:t>s</w:t>
      </w:r>
      <w:r w:rsidR="00637FAF">
        <w:rPr>
          <w:sz w:val="24"/>
          <w:szCs w:val="24"/>
        </w:rPr>
        <w:t xml:space="preserve"> or public housing. Others use ‘constituency service’ in a broader sense to include the efforts legislators undertakes to promote the collective socio-economic wellbeing of their constituencies (Cain </w:t>
      </w:r>
      <w:r w:rsidR="00637FAF">
        <w:rPr>
          <w:i/>
          <w:sz w:val="24"/>
          <w:szCs w:val="24"/>
        </w:rPr>
        <w:t>et al</w:t>
      </w:r>
      <w:r w:rsidR="00637FAF">
        <w:rPr>
          <w:sz w:val="24"/>
          <w:szCs w:val="24"/>
        </w:rPr>
        <w:t xml:space="preserve">., 1987; Searing, 1994; Mezey, 2008). This might entail encouraging companies to set up shop in the area, supporting small businesses in the constituency, or petitioning central government for the repair of local </w:t>
      </w:r>
      <w:r w:rsidR="00A92009">
        <w:rPr>
          <w:sz w:val="24"/>
          <w:szCs w:val="24"/>
        </w:rPr>
        <w:t>infrastructure</w:t>
      </w:r>
      <w:r w:rsidR="00637FAF">
        <w:rPr>
          <w:sz w:val="24"/>
          <w:szCs w:val="24"/>
        </w:rPr>
        <w:t xml:space="preserve">. It is this broader understanding of constituency service that we </w:t>
      </w:r>
      <w:r w:rsidR="00AB7C65">
        <w:rPr>
          <w:sz w:val="24"/>
          <w:szCs w:val="24"/>
        </w:rPr>
        <w:t>adopt</w:t>
      </w:r>
      <w:r w:rsidR="00637FAF">
        <w:rPr>
          <w:sz w:val="24"/>
          <w:szCs w:val="24"/>
        </w:rPr>
        <w:t xml:space="preserve"> here.</w:t>
      </w:r>
    </w:p>
    <w:p w14:paraId="4CF24F69" w14:textId="48B607A9" w:rsidR="00153D4F" w:rsidRPr="009C563D" w:rsidRDefault="00153D4F" w:rsidP="00637FAF">
      <w:pPr>
        <w:spacing w:line="360" w:lineRule="auto"/>
        <w:ind w:firstLine="720"/>
        <w:contextualSpacing/>
        <w:jc w:val="both"/>
        <w:rPr>
          <w:rFonts w:cstheme="minorHAnsi"/>
          <w:i/>
          <w:sz w:val="24"/>
          <w:szCs w:val="24"/>
        </w:rPr>
      </w:pPr>
      <w:r w:rsidRPr="00153D4F">
        <w:rPr>
          <w:rFonts w:cstheme="minorHAnsi"/>
          <w:sz w:val="24"/>
          <w:szCs w:val="24"/>
        </w:rPr>
        <w:t>How committed MLAs are to constituency service is, at present, simply unknown. Studies spanning diverse political environments consistently show that legislators engage in constituency service (Mezey, 2008), however the effort each individual devotes to it varies significantly both within and</w:t>
      </w:r>
      <w:r w:rsidR="00591418">
        <w:rPr>
          <w:rFonts w:cstheme="minorHAnsi"/>
          <w:sz w:val="24"/>
          <w:szCs w:val="24"/>
        </w:rPr>
        <w:t xml:space="preserve"> across legislatures (Heitshusen, Young &amp; </w:t>
      </w:r>
      <w:r w:rsidR="00591418" w:rsidRPr="00591418">
        <w:rPr>
          <w:rFonts w:cstheme="minorHAnsi"/>
          <w:sz w:val="24"/>
          <w:szCs w:val="24"/>
        </w:rPr>
        <w:t>Wood</w:t>
      </w:r>
      <w:r w:rsidR="00591418">
        <w:rPr>
          <w:rFonts w:cstheme="minorHAnsi"/>
          <w:sz w:val="24"/>
          <w:szCs w:val="24"/>
        </w:rPr>
        <w:t>, 2005</w:t>
      </w:r>
      <w:r w:rsidRPr="00153D4F">
        <w:rPr>
          <w:rFonts w:cstheme="minorHAnsi"/>
          <w:sz w:val="24"/>
          <w:szCs w:val="24"/>
        </w:rPr>
        <w:t xml:space="preserve">). In terms </w:t>
      </w:r>
      <w:r w:rsidRPr="00153D4F">
        <w:rPr>
          <w:rFonts w:cstheme="minorHAnsi"/>
          <w:sz w:val="24"/>
          <w:szCs w:val="24"/>
        </w:rPr>
        <w:lastRenderedPageBreak/>
        <w:t>of what might motivate MLAs’ constituency service, the literature points to a range of electoral and non-electoral rationales (</w:t>
      </w:r>
      <w:r w:rsidR="009C563D">
        <w:rPr>
          <w:rFonts w:cstheme="minorHAnsi"/>
          <w:sz w:val="24"/>
          <w:szCs w:val="24"/>
        </w:rPr>
        <w:t>Carey &amp; Shugart</w:t>
      </w:r>
      <w:r w:rsidRPr="00153D4F">
        <w:rPr>
          <w:rFonts w:cstheme="minorHAnsi"/>
          <w:sz w:val="24"/>
          <w:szCs w:val="24"/>
        </w:rPr>
        <w:t>, 1995;</w:t>
      </w:r>
      <w:r w:rsidR="009C563D">
        <w:rPr>
          <w:rFonts w:cstheme="minorHAnsi"/>
          <w:sz w:val="24"/>
          <w:szCs w:val="24"/>
        </w:rPr>
        <w:t xml:space="preserve"> </w:t>
      </w:r>
      <w:r w:rsidR="009C563D">
        <w:rPr>
          <w:rFonts w:eastAsia="Times New Roman" w:cstheme="minorHAnsi"/>
          <w:sz w:val="24"/>
          <w:szCs w:val="24"/>
          <w:lang w:val="en" w:eastAsia="en-GB"/>
        </w:rPr>
        <w:t xml:space="preserve">Shugart, Valdini &amp; </w:t>
      </w:r>
      <w:r w:rsidR="009C563D" w:rsidRPr="003F5C68">
        <w:rPr>
          <w:rFonts w:eastAsia="Times New Roman" w:cstheme="minorHAnsi"/>
          <w:sz w:val="24"/>
          <w:szCs w:val="24"/>
          <w:lang w:val="en" w:eastAsia="en-GB"/>
        </w:rPr>
        <w:t>Suominen</w:t>
      </w:r>
      <w:r w:rsidR="009C563D">
        <w:rPr>
          <w:rFonts w:eastAsia="Times New Roman" w:cstheme="minorHAnsi"/>
          <w:sz w:val="24"/>
          <w:szCs w:val="24"/>
          <w:lang w:val="en" w:eastAsia="en-GB"/>
        </w:rPr>
        <w:t>, 2005;</w:t>
      </w:r>
      <w:r w:rsidRPr="00153D4F">
        <w:rPr>
          <w:rFonts w:cstheme="minorHAnsi"/>
          <w:sz w:val="24"/>
          <w:szCs w:val="24"/>
        </w:rPr>
        <w:t xml:space="preserve"> Cain </w:t>
      </w:r>
      <w:r w:rsidRPr="00153D4F">
        <w:rPr>
          <w:rFonts w:cstheme="minorHAnsi"/>
          <w:i/>
          <w:sz w:val="24"/>
          <w:szCs w:val="24"/>
        </w:rPr>
        <w:t>et al</w:t>
      </w:r>
      <w:r w:rsidRPr="00153D4F">
        <w:rPr>
          <w:rFonts w:cstheme="minorHAnsi"/>
          <w:sz w:val="24"/>
          <w:szCs w:val="24"/>
        </w:rPr>
        <w:t xml:space="preserve">., 1987; Johannes, 1980; Searing 1994), though speculating as to which might apply to Northern Ireland is difficult given the lack of research on MLAs. Information on the preferred approach of MLAs to constituency service, their ‘home style’ (Fenno, 1978), is also lacking. </w:t>
      </w:r>
    </w:p>
    <w:p w14:paraId="06DD6084" w14:textId="7374E1A2" w:rsidR="00153D4F" w:rsidRPr="00153D4F" w:rsidRDefault="00153D4F" w:rsidP="00637FAF">
      <w:pPr>
        <w:spacing w:line="360" w:lineRule="auto"/>
        <w:ind w:firstLine="720"/>
        <w:contextualSpacing/>
        <w:jc w:val="both"/>
        <w:rPr>
          <w:rFonts w:cstheme="minorHAnsi"/>
          <w:sz w:val="24"/>
          <w:szCs w:val="24"/>
        </w:rPr>
      </w:pPr>
      <w:r w:rsidRPr="00153D4F">
        <w:rPr>
          <w:rFonts w:cstheme="minorHAnsi"/>
          <w:sz w:val="24"/>
          <w:szCs w:val="24"/>
        </w:rPr>
        <w:t xml:space="preserve">To address these unknowns, we pursue three main lines of inquiry: MLAs’ constituency service effort, constituency service rationale, and constituency service style (hereafter ‘home style’). </w:t>
      </w:r>
      <w:r w:rsidR="00637FAF" w:rsidRPr="00153D4F">
        <w:rPr>
          <w:rFonts w:cstheme="minorHAnsi"/>
          <w:sz w:val="24"/>
          <w:szCs w:val="24"/>
        </w:rPr>
        <w:t>In doing so, we provide the first study of MLAs’ extra-parliamentary behaviour and, it is hoped, present information that will be useful from a comparative perspective.</w:t>
      </w:r>
      <w:r w:rsidR="00637FAF" w:rsidRPr="00153D4F">
        <w:rPr>
          <w:rStyle w:val="EndnoteReference"/>
          <w:rFonts w:cstheme="minorHAnsi"/>
          <w:sz w:val="24"/>
          <w:szCs w:val="24"/>
        </w:rPr>
        <w:endnoteReference w:id="3"/>
      </w:r>
      <w:r w:rsidR="00637FAF">
        <w:rPr>
          <w:rFonts w:cstheme="minorHAnsi"/>
          <w:sz w:val="24"/>
          <w:szCs w:val="24"/>
        </w:rPr>
        <w:t xml:space="preserve"> Using</w:t>
      </w:r>
      <w:r w:rsidR="00637FAF" w:rsidRPr="00153D4F">
        <w:rPr>
          <w:rFonts w:cstheme="minorHAnsi"/>
          <w:sz w:val="24"/>
          <w:szCs w:val="24"/>
        </w:rPr>
        <w:t xml:space="preserve"> a mixed-methods approach, </w:t>
      </w:r>
      <w:r w:rsidR="00945352">
        <w:rPr>
          <w:rFonts w:cstheme="minorHAnsi"/>
          <w:sz w:val="24"/>
          <w:szCs w:val="24"/>
        </w:rPr>
        <w:t>the study</w:t>
      </w:r>
      <w:r w:rsidR="00637FAF">
        <w:rPr>
          <w:rFonts w:cstheme="minorHAnsi"/>
          <w:sz w:val="24"/>
          <w:szCs w:val="24"/>
        </w:rPr>
        <w:t xml:space="preserve"> sheds light on the</w:t>
      </w:r>
      <w:r w:rsidR="00637FAF" w:rsidRPr="00153D4F">
        <w:rPr>
          <w:rFonts w:cstheme="minorHAnsi"/>
          <w:sz w:val="24"/>
          <w:szCs w:val="24"/>
        </w:rPr>
        <w:t xml:space="preserve"> connection between representatives and constituents in a polity where, as the NIA notes,</w:t>
      </w:r>
      <w:r w:rsidR="00637FAF" w:rsidRPr="00153D4F">
        <w:rPr>
          <w:rStyle w:val="EndnoteReference"/>
          <w:rFonts w:cstheme="minorHAnsi"/>
          <w:sz w:val="24"/>
          <w:szCs w:val="24"/>
        </w:rPr>
        <w:endnoteReference w:id="4"/>
      </w:r>
      <w:r w:rsidR="00637FAF" w:rsidRPr="00153D4F">
        <w:rPr>
          <w:rFonts w:cstheme="minorHAnsi"/>
          <w:sz w:val="24"/>
          <w:szCs w:val="24"/>
        </w:rPr>
        <w:t xml:space="preserve"> democratic engagemen</w:t>
      </w:r>
      <w:r w:rsidR="00637FAF">
        <w:rPr>
          <w:rFonts w:cstheme="minorHAnsi"/>
          <w:sz w:val="24"/>
          <w:szCs w:val="24"/>
        </w:rPr>
        <w:t xml:space="preserve">t is a relatively new concept. </w:t>
      </w:r>
    </w:p>
    <w:p w14:paraId="75CC549C" w14:textId="070E90AC" w:rsidR="00153D4F" w:rsidRPr="00337A9C" w:rsidRDefault="00153D4F" w:rsidP="00153D4F">
      <w:pPr>
        <w:spacing w:line="360" w:lineRule="auto"/>
        <w:contextualSpacing/>
        <w:jc w:val="both"/>
        <w:rPr>
          <w:rFonts w:cstheme="minorHAnsi"/>
          <w:sz w:val="24"/>
          <w:szCs w:val="24"/>
        </w:rPr>
      </w:pPr>
      <w:r w:rsidRPr="00153D4F">
        <w:rPr>
          <w:rFonts w:cstheme="minorHAnsi"/>
          <w:sz w:val="24"/>
          <w:szCs w:val="24"/>
        </w:rPr>
        <w:tab/>
        <w:t xml:space="preserve">The article proceeds in several stages. In the next section we briefly outline our research methodology. Attention then turns to how much time MLAs, and the main political parties, devote to constituency service provision. Assuming that some individuals will be more constituency-orientated than others, we then attempt to explain why. Two possible explanations are </w:t>
      </w:r>
      <w:r w:rsidR="00AD03F0">
        <w:rPr>
          <w:rFonts w:cstheme="minorHAnsi"/>
          <w:sz w:val="24"/>
          <w:szCs w:val="24"/>
        </w:rPr>
        <w:t>explored</w:t>
      </w:r>
      <w:r w:rsidRPr="00153D4F">
        <w:rPr>
          <w:rFonts w:cstheme="minorHAnsi"/>
          <w:sz w:val="24"/>
          <w:szCs w:val="24"/>
        </w:rPr>
        <w:t>: constituency service as a response to intra-party electoral competition, and constituency service as a result of MLAs’ role orientation</w:t>
      </w:r>
      <w:r w:rsidR="00086FEA">
        <w:rPr>
          <w:rFonts w:cstheme="minorHAnsi"/>
          <w:sz w:val="24"/>
          <w:szCs w:val="24"/>
        </w:rPr>
        <w:t>s</w:t>
      </w:r>
      <w:r w:rsidRPr="00153D4F">
        <w:rPr>
          <w:rFonts w:cstheme="minorHAnsi"/>
          <w:sz w:val="24"/>
          <w:szCs w:val="24"/>
        </w:rPr>
        <w:t xml:space="preserve">. In the penultimate section </w:t>
      </w:r>
      <w:r w:rsidRPr="00337A9C">
        <w:rPr>
          <w:rFonts w:cstheme="minorHAnsi"/>
          <w:sz w:val="24"/>
          <w:szCs w:val="24"/>
        </w:rPr>
        <w:t xml:space="preserve">we examine the range of local activities that characterise the MLA’s home style. We conclude with a summary of main findings and briefly </w:t>
      </w:r>
      <w:r w:rsidR="00417BFA">
        <w:rPr>
          <w:rFonts w:cstheme="minorHAnsi"/>
          <w:sz w:val="24"/>
          <w:szCs w:val="24"/>
        </w:rPr>
        <w:t>outline</w:t>
      </w:r>
      <w:r w:rsidRPr="00337A9C">
        <w:rPr>
          <w:rFonts w:cstheme="minorHAnsi"/>
          <w:sz w:val="24"/>
          <w:szCs w:val="24"/>
        </w:rPr>
        <w:t xml:space="preserve"> </w:t>
      </w:r>
      <w:r w:rsidR="00417BFA">
        <w:rPr>
          <w:rFonts w:cstheme="minorHAnsi"/>
          <w:sz w:val="24"/>
          <w:szCs w:val="24"/>
        </w:rPr>
        <w:t xml:space="preserve">opportunities for further research. </w:t>
      </w:r>
    </w:p>
    <w:p w14:paraId="3AD6C867" w14:textId="77777777" w:rsidR="00153D4F" w:rsidRPr="00337A9C" w:rsidRDefault="00153D4F" w:rsidP="00153D4F">
      <w:pPr>
        <w:spacing w:line="276" w:lineRule="auto"/>
        <w:contextualSpacing/>
        <w:jc w:val="both"/>
        <w:rPr>
          <w:rFonts w:cstheme="minorHAnsi"/>
          <w:sz w:val="24"/>
          <w:szCs w:val="24"/>
        </w:rPr>
      </w:pPr>
    </w:p>
    <w:p w14:paraId="5CD2E844" w14:textId="77777777" w:rsidR="00337A9C" w:rsidRPr="00153D4F" w:rsidRDefault="00337A9C" w:rsidP="00337A9C">
      <w:pPr>
        <w:spacing w:line="360" w:lineRule="auto"/>
        <w:rPr>
          <w:rFonts w:cstheme="minorHAnsi"/>
          <w:b/>
          <w:sz w:val="24"/>
          <w:szCs w:val="24"/>
        </w:rPr>
      </w:pPr>
      <w:r>
        <w:rPr>
          <w:rFonts w:cstheme="minorHAnsi"/>
          <w:b/>
          <w:sz w:val="24"/>
          <w:szCs w:val="24"/>
        </w:rPr>
        <w:t>Research methodology</w:t>
      </w:r>
    </w:p>
    <w:p w14:paraId="2225522B" w14:textId="1C596662" w:rsidR="00153D4F" w:rsidRDefault="00337A9C" w:rsidP="00337A9C">
      <w:pPr>
        <w:spacing w:after="0" w:line="360" w:lineRule="auto"/>
        <w:contextualSpacing/>
        <w:jc w:val="both"/>
        <w:rPr>
          <w:rStyle w:val="Emphasis"/>
          <w:rFonts w:cstheme="minorHAnsi"/>
          <w:b w:val="0"/>
          <w:sz w:val="24"/>
          <w:szCs w:val="24"/>
        </w:rPr>
      </w:pPr>
      <w:r>
        <w:rPr>
          <w:rFonts w:cstheme="minorHAnsi"/>
          <w:sz w:val="24"/>
          <w:szCs w:val="24"/>
        </w:rPr>
        <w:t>This</w:t>
      </w:r>
      <w:r w:rsidRPr="00153D4F">
        <w:rPr>
          <w:rFonts w:cstheme="minorHAnsi"/>
          <w:sz w:val="24"/>
          <w:szCs w:val="24"/>
        </w:rPr>
        <w:t xml:space="preserve"> </w:t>
      </w:r>
      <w:r w:rsidR="00153D4F" w:rsidRPr="00337A9C">
        <w:rPr>
          <w:rStyle w:val="Emphasis"/>
          <w:rFonts w:cstheme="minorHAnsi"/>
          <w:b w:val="0"/>
          <w:sz w:val="24"/>
          <w:szCs w:val="24"/>
        </w:rPr>
        <w:t>article adopts a mixed-methods approach which combines a quantitative survey of MLAs with</w:t>
      </w:r>
      <w:r w:rsidR="00153D4F" w:rsidRPr="00337A9C">
        <w:rPr>
          <w:rStyle w:val="Emphasis"/>
          <w:rFonts w:cstheme="minorHAnsi"/>
          <w:sz w:val="24"/>
          <w:szCs w:val="24"/>
        </w:rPr>
        <w:t xml:space="preserve"> </w:t>
      </w:r>
      <w:r w:rsidR="00153D4F" w:rsidRPr="00337A9C">
        <w:rPr>
          <w:rStyle w:val="Emphasis"/>
          <w:rFonts w:cstheme="minorHAnsi"/>
          <w:b w:val="0"/>
          <w:sz w:val="24"/>
          <w:szCs w:val="24"/>
        </w:rPr>
        <w:t xml:space="preserve">elite interviews of representatives from the five main political parties in the NIA. Although there are caveats to the value of this approach (see Bailer, 2014), there is a long precedent in legislative studies research of investigating legislators’ constituency service in this way (e.g. Martin, 2010; Wood &amp; Young, 1997: Searing, 1994). Postal surveys were distributed to MLAs over a </w:t>
      </w:r>
      <w:proofErr w:type="gramStart"/>
      <w:r w:rsidR="00153D4F" w:rsidRPr="00337A9C">
        <w:rPr>
          <w:rStyle w:val="Emphasis"/>
          <w:rFonts w:cstheme="minorHAnsi"/>
          <w:b w:val="0"/>
          <w:sz w:val="24"/>
          <w:szCs w:val="24"/>
        </w:rPr>
        <w:t>four month</w:t>
      </w:r>
      <w:proofErr w:type="gramEnd"/>
      <w:r w:rsidR="00153D4F" w:rsidRPr="00337A9C">
        <w:rPr>
          <w:rStyle w:val="Emphasis"/>
          <w:rFonts w:cstheme="minorHAnsi"/>
          <w:b w:val="0"/>
          <w:sz w:val="24"/>
          <w:szCs w:val="24"/>
        </w:rPr>
        <w:t xml:space="preserve"> period, from November 2015 to February 2016. 49 of 108 MLAs responded, making for a response rate of 45 percent</w:t>
      </w:r>
      <w:r w:rsidR="00AB7C65">
        <w:rPr>
          <w:rStyle w:val="Emphasis"/>
          <w:rFonts w:cstheme="minorHAnsi"/>
          <w:b w:val="0"/>
          <w:sz w:val="24"/>
          <w:szCs w:val="24"/>
        </w:rPr>
        <w:t>,</w:t>
      </w:r>
      <w:r w:rsidR="00153D4F" w:rsidRPr="00337A9C">
        <w:rPr>
          <w:rStyle w:val="Emphasis"/>
          <w:rFonts w:cstheme="minorHAnsi"/>
          <w:b w:val="0"/>
          <w:sz w:val="24"/>
          <w:szCs w:val="24"/>
        </w:rPr>
        <w:t xml:space="preserve"> which compares favourably </w:t>
      </w:r>
      <w:r w:rsidR="00153D4F" w:rsidRPr="00337A9C">
        <w:rPr>
          <w:rStyle w:val="Emphasis"/>
          <w:rFonts w:cstheme="minorHAnsi"/>
          <w:b w:val="0"/>
          <w:sz w:val="24"/>
          <w:szCs w:val="24"/>
        </w:rPr>
        <w:lastRenderedPageBreak/>
        <w:t>with similar studies.</w:t>
      </w:r>
      <w:r w:rsidR="00153D4F" w:rsidRPr="00337A9C">
        <w:rPr>
          <w:rStyle w:val="EndnoteReference"/>
          <w:rFonts w:cstheme="minorHAnsi"/>
          <w:bCs/>
          <w:sz w:val="24"/>
          <w:szCs w:val="24"/>
        </w:rPr>
        <w:endnoteReference w:id="5"/>
      </w:r>
      <w:r w:rsidR="00153D4F" w:rsidRPr="00337A9C">
        <w:rPr>
          <w:rStyle w:val="Emphasis"/>
          <w:rFonts w:cstheme="minorHAnsi"/>
          <w:b w:val="0"/>
          <w:sz w:val="24"/>
          <w:szCs w:val="24"/>
        </w:rPr>
        <w:t xml:space="preserve"> Our sample roughly reflects the party and ethno-national composition of the 2011-2016 NIA (Table 1).</w:t>
      </w:r>
      <w:r w:rsidR="00BC5490" w:rsidRPr="00337A9C">
        <w:rPr>
          <w:rStyle w:val="EndnoteReference"/>
          <w:rFonts w:cstheme="minorHAnsi"/>
          <w:bCs/>
        </w:rPr>
        <w:endnoteReference w:id="6"/>
      </w:r>
    </w:p>
    <w:p w14:paraId="734B3297" w14:textId="77777777" w:rsidR="001D68C1" w:rsidRDefault="001D68C1" w:rsidP="00337A9C">
      <w:pPr>
        <w:spacing w:after="0" w:line="360" w:lineRule="auto"/>
        <w:contextualSpacing/>
        <w:jc w:val="both"/>
        <w:rPr>
          <w:rStyle w:val="Emphasis"/>
          <w:rFonts w:cstheme="minorHAnsi"/>
          <w:b w:val="0"/>
          <w:sz w:val="24"/>
          <w:szCs w:val="24"/>
        </w:rPr>
      </w:pPr>
    </w:p>
    <w:p w14:paraId="27DEAC07" w14:textId="4F5072A8" w:rsidR="00BC5490" w:rsidRDefault="00BC5490" w:rsidP="00BC5490">
      <w:pPr>
        <w:spacing w:after="0" w:line="276" w:lineRule="auto"/>
        <w:contextualSpacing/>
        <w:jc w:val="center"/>
        <w:rPr>
          <w:rStyle w:val="Emphasis"/>
          <w:rFonts w:cstheme="minorHAnsi"/>
          <w:b w:val="0"/>
          <w:sz w:val="24"/>
          <w:szCs w:val="24"/>
        </w:rPr>
      </w:pPr>
      <w:r>
        <w:rPr>
          <w:rStyle w:val="Emphasis"/>
          <w:rFonts w:cstheme="minorHAnsi"/>
          <w:b w:val="0"/>
          <w:sz w:val="24"/>
          <w:szCs w:val="24"/>
        </w:rPr>
        <w:t>[</w:t>
      </w:r>
      <w:r w:rsidR="00153D4F" w:rsidRPr="009B152A">
        <w:rPr>
          <w:rStyle w:val="Emphasis"/>
          <w:rFonts w:cstheme="minorHAnsi"/>
          <w:b w:val="0"/>
          <w:sz w:val="24"/>
          <w:szCs w:val="24"/>
        </w:rPr>
        <w:t>Table 1</w:t>
      </w:r>
      <w:r>
        <w:rPr>
          <w:rStyle w:val="Emphasis"/>
          <w:rFonts w:cstheme="minorHAnsi"/>
          <w:b w:val="0"/>
          <w:sz w:val="24"/>
          <w:szCs w:val="24"/>
        </w:rPr>
        <w:t xml:space="preserve"> about here]</w:t>
      </w:r>
    </w:p>
    <w:p w14:paraId="54A84F28" w14:textId="77777777" w:rsidR="001D68C1" w:rsidRDefault="001D68C1" w:rsidP="00153D4F">
      <w:pPr>
        <w:spacing w:after="0" w:line="276" w:lineRule="auto"/>
        <w:contextualSpacing/>
        <w:jc w:val="both"/>
        <w:rPr>
          <w:rStyle w:val="Emphasis"/>
          <w:rFonts w:cstheme="minorHAnsi"/>
          <w:b w:val="0"/>
          <w:sz w:val="24"/>
          <w:szCs w:val="24"/>
        </w:rPr>
      </w:pPr>
    </w:p>
    <w:p w14:paraId="731A6907" w14:textId="77777777" w:rsidR="00BC5490" w:rsidRPr="00337A9C" w:rsidRDefault="00BC5490" w:rsidP="00153D4F">
      <w:pPr>
        <w:spacing w:after="0" w:line="276" w:lineRule="auto"/>
        <w:contextualSpacing/>
        <w:jc w:val="both"/>
        <w:rPr>
          <w:rStyle w:val="Emphasis"/>
          <w:rFonts w:cstheme="minorHAnsi"/>
          <w:b w:val="0"/>
        </w:rPr>
      </w:pPr>
    </w:p>
    <w:p w14:paraId="6FC01EB7" w14:textId="77777777" w:rsidR="00153D4F" w:rsidRPr="00337A9C" w:rsidRDefault="00153D4F" w:rsidP="00337A9C">
      <w:pPr>
        <w:spacing w:after="0" w:line="360" w:lineRule="auto"/>
        <w:contextualSpacing/>
        <w:jc w:val="both"/>
        <w:rPr>
          <w:rStyle w:val="Emphasis"/>
          <w:rFonts w:cstheme="minorHAnsi"/>
          <w:b w:val="0"/>
          <w:sz w:val="24"/>
          <w:szCs w:val="24"/>
        </w:rPr>
      </w:pPr>
      <w:r w:rsidRPr="00337A9C">
        <w:rPr>
          <w:rStyle w:val="Emphasis"/>
          <w:rFonts w:cstheme="minorHAnsi"/>
          <w:b w:val="0"/>
          <w:sz w:val="24"/>
          <w:szCs w:val="24"/>
        </w:rPr>
        <w:t xml:space="preserve">Follow-up semi-structured interviews were held with 12 MLAs over the course of six months, from February 2016 to July 2016. It was decided that interviews would not be conducted during the official campaign period (29th March – 5th May) for the fifth Assembly elections on 5th May 2016. All interviews were recorded with the MLA’s consent and, as with survey respondents, participants were promised anonymity. Interviews typically lasted between 40 minutes to an hour, although several lasted longer. Each MLA was asked a variety of questions, approximately 21, most of which were open-ended. Representatives from each of Northern Ireland’s five main political parties participated in the interview process and, with the exception of two interviews conducted at constituency offices, all interviews were held at Stormont, Parliament Buildings, in Belfast. </w:t>
      </w:r>
    </w:p>
    <w:p w14:paraId="38674918" w14:textId="77777777" w:rsidR="00153D4F" w:rsidRPr="00337A9C" w:rsidRDefault="00153D4F" w:rsidP="00153D4F">
      <w:pPr>
        <w:spacing w:after="0" w:line="276" w:lineRule="auto"/>
        <w:contextualSpacing/>
        <w:jc w:val="both"/>
        <w:rPr>
          <w:rStyle w:val="Emphasis"/>
          <w:rFonts w:cstheme="minorHAnsi"/>
          <w:b w:val="0"/>
        </w:rPr>
      </w:pPr>
    </w:p>
    <w:p w14:paraId="6D6BE5DF" w14:textId="77777777" w:rsidR="00337A9C" w:rsidRPr="00153D4F" w:rsidRDefault="00337A9C" w:rsidP="00337A9C">
      <w:pPr>
        <w:spacing w:line="360" w:lineRule="auto"/>
        <w:rPr>
          <w:rFonts w:cstheme="minorHAnsi"/>
          <w:b/>
          <w:sz w:val="24"/>
          <w:szCs w:val="24"/>
        </w:rPr>
      </w:pPr>
      <w:r>
        <w:rPr>
          <w:rFonts w:cstheme="minorHAnsi"/>
          <w:b/>
          <w:sz w:val="24"/>
          <w:szCs w:val="24"/>
        </w:rPr>
        <w:t>Constituency service effort</w:t>
      </w:r>
    </w:p>
    <w:p w14:paraId="07399949" w14:textId="63954285" w:rsidR="009B152A" w:rsidRPr="00500803" w:rsidRDefault="00337A9C" w:rsidP="00613911">
      <w:pPr>
        <w:spacing w:after="0" w:line="360" w:lineRule="auto"/>
        <w:contextualSpacing/>
        <w:jc w:val="both"/>
        <w:rPr>
          <w:rStyle w:val="Emphasis"/>
          <w:rFonts w:cstheme="minorHAnsi"/>
          <w:b w:val="0"/>
          <w:sz w:val="24"/>
          <w:szCs w:val="24"/>
        </w:rPr>
      </w:pPr>
      <w:r w:rsidRPr="00500803">
        <w:rPr>
          <w:rFonts w:cstheme="minorHAnsi"/>
          <w:sz w:val="24"/>
          <w:szCs w:val="24"/>
        </w:rPr>
        <w:t xml:space="preserve">We </w:t>
      </w:r>
      <w:r w:rsidR="00153D4F" w:rsidRPr="00500803">
        <w:rPr>
          <w:rStyle w:val="Emphasis"/>
          <w:rFonts w:cstheme="minorHAnsi"/>
          <w:b w:val="0"/>
          <w:sz w:val="24"/>
          <w:szCs w:val="24"/>
        </w:rPr>
        <w:t xml:space="preserve">use time – an elected representative’s scarcest resource (Fenno, 1978) </w:t>
      </w:r>
      <w:proofErr w:type="gramStart"/>
      <w:r w:rsidR="00153D4F" w:rsidRPr="00500803">
        <w:rPr>
          <w:rStyle w:val="Emphasis"/>
          <w:rFonts w:cstheme="minorHAnsi"/>
          <w:b w:val="0"/>
          <w:sz w:val="24"/>
          <w:szCs w:val="24"/>
        </w:rPr>
        <w:t>–  to</w:t>
      </w:r>
      <w:proofErr w:type="gramEnd"/>
      <w:r w:rsidR="00153D4F" w:rsidRPr="00500803">
        <w:rPr>
          <w:rStyle w:val="Emphasis"/>
          <w:rFonts w:cstheme="minorHAnsi"/>
          <w:b w:val="0"/>
          <w:sz w:val="24"/>
          <w:szCs w:val="24"/>
        </w:rPr>
        <w:t xml:space="preserve"> measure MLAs’ constituency service effort, asking each survey respondent to approximate how many working hours per week they devote to constituency service. Table 2 reports the results and provides a breakdown in terms of party affiliation and ethno-national background. We can see that MLAs attach considerable importance to constituency service, with each devoting an average of 27.9 working hours per week to its provision. That figure is remarkably commensurate with the constituency service provision of Members of the Scottish Parliament (MSPs) and National Assembly for Wales (AMs), at 27.4 and 28.1 weekly hours respectively (Bradbury &amp; Mitchell, 2007).</w:t>
      </w:r>
      <w:r w:rsidR="00153D4F" w:rsidRPr="00500803">
        <w:rPr>
          <w:rStyle w:val="EndnoteReference"/>
          <w:rFonts w:cstheme="minorHAnsi"/>
          <w:bCs/>
          <w:sz w:val="24"/>
          <w:szCs w:val="24"/>
        </w:rPr>
        <w:endnoteReference w:id="7"/>
      </w:r>
      <w:r w:rsidR="00613911" w:rsidRPr="00500803">
        <w:rPr>
          <w:rStyle w:val="Emphasis"/>
          <w:rFonts w:cstheme="minorHAnsi"/>
          <w:b w:val="0"/>
          <w:sz w:val="24"/>
          <w:szCs w:val="24"/>
        </w:rPr>
        <w:t xml:space="preserve"> However, given the number of MLAs per constituency and the region’s relatively small population, constituents in Northern Ireland undoubtedly receive the most attention from their representatives in the devolved UK context. The latest census figures i</w:t>
      </w:r>
      <w:r w:rsidR="00AB7C65" w:rsidRPr="00500803">
        <w:rPr>
          <w:rStyle w:val="Emphasis"/>
          <w:rFonts w:cstheme="minorHAnsi"/>
          <w:b w:val="0"/>
          <w:sz w:val="24"/>
          <w:szCs w:val="24"/>
        </w:rPr>
        <w:t>ndicate an MLA to citizen ratio</w:t>
      </w:r>
      <w:r w:rsidR="00613911" w:rsidRPr="00500803">
        <w:rPr>
          <w:rStyle w:val="Emphasis"/>
          <w:rFonts w:cstheme="minorHAnsi"/>
          <w:b w:val="0"/>
          <w:sz w:val="24"/>
          <w:szCs w:val="24"/>
        </w:rPr>
        <w:t xml:space="preserve"> of</w:t>
      </w:r>
      <w:r w:rsidR="00AD03F0" w:rsidRPr="00500803">
        <w:rPr>
          <w:rStyle w:val="Emphasis"/>
          <w:rFonts w:cstheme="minorHAnsi"/>
          <w:b w:val="0"/>
          <w:sz w:val="24"/>
          <w:szCs w:val="24"/>
        </w:rPr>
        <w:t xml:space="preserve"> approximately</w:t>
      </w:r>
      <w:r w:rsidR="00613911" w:rsidRPr="00500803">
        <w:rPr>
          <w:rStyle w:val="Emphasis"/>
          <w:rFonts w:cstheme="minorHAnsi"/>
          <w:b w:val="0"/>
          <w:sz w:val="24"/>
          <w:szCs w:val="24"/>
        </w:rPr>
        <w:t xml:space="preserve"> 1:17,000 in Northern Ireland, compared to 1:51,000 in Wales and 1:41,000 in Scotland.  </w:t>
      </w:r>
    </w:p>
    <w:p w14:paraId="47BA3C24" w14:textId="77777777" w:rsidR="00086FEA" w:rsidRDefault="00086FEA" w:rsidP="00153D4F">
      <w:pPr>
        <w:spacing w:after="0" w:line="276" w:lineRule="auto"/>
        <w:contextualSpacing/>
        <w:jc w:val="both"/>
        <w:rPr>
          <w:rStyle w:val="Emphasis"/>
          <w:rFonts w:cstheme="minorHAnsi"/>
          <w:b w:val="0"/>
          <w:sz w:val="24"/>
          <w:szCs w:val="24"/>
        </w:rPr>
      </w:pPr>
    </w:p>
    <w:p w14:paraId="2386245A" w14:textId="32029040" w:rsidR="00153D4F" w:rsidRPr="00BC5490" w:rsidRDefault="00BC5490" w:rsidP="00BC5490">
      <w:pPr>
        <w:spacing w:after="0" w:line="276" w:lineRule="auto"/>
        <w:contextualSpacing/>
        <w:jc w:val="center"/>
        <w:rPr>
          <w:rStyle w:val="Emphasis"/>
          <w:rFonts w:cstheme="minorHAnsi"/>
          <w:b w:val="0"/>
          <w:sz w:val="24"/>
          <w:szCs w:val="24"/>
        </w:rPr>
      </w:pPr>
      <w:r w:rsidRPr="00BC5490">
        <w:rPr>
          <w:rStyle w:val="Emphasis"/>
          <w:rFonts w:cstheme="minorHAnsi"/>
          <w:b w:val="0"/>
          <w:sz w:val="24"/>
          <w:szCs w:val="24"/>
        </w:rPr>
        <w:t>[Table 2 about here]</w:t>
      </w:r>
    </w:p>
    <w:p w14:paraId="57F19B2E" w14:textId="77777777" w:rsidR="001D68C1" w:rsidRDefault="001D68C1" w:rsidP="00337A9C">
      <w:pPr>
        <w:spacing w:after="0" w:line="360" w:lineRule="auto"/>
        <w:contextualSpacing/>
        <w:jc w:val="both"/>
        <w:rPr>
          <w:rStyle w:val="Emphasis"/>
          <w:rFonts w:cstheme="minorHAnsi"/>
          <w:b w:val="0"/>
          <w:sz w:val="24"/>
          <w:szCs w:val="24"/>
        </w:rPr>
      </w:pPr>
    </w:p>
    <w:p w14:paraId="2764B481" w14:textId="77777777" w:rsidR="00BC5490" w:rsidRDefault="00BC5490" w:rsidP="00337A9C">
      <w:pPr>
        <w:spacing w:after="0" w:line="360" w:lineRule="auto"/>
        <w:contextualSpacing/>
        <w:jc w:val="both"/>
        <w:rPr>
          <w:rStyle w:val="Emphasis"/>
          <w:rFonts w:cstheme="minorHAnsi"/>
          <w:b w:val="0"/>
          <w:sz w:val="24"/>
          <w:szCs w:val="24"/>
        </w:rPr>
      </w:pPr>
    </w:p>
    <w:p w14:paraId="6C2D5879" w14:textId="77777777" w:rsidR="00153D4F" w:rsidRPr="00337A9C" w:rsidRDefault="00153D4F" w:rsidP="00337A9C">
      <w:pPr>
        <w:spacing w:after="0" w:line="360" w:lineRule="auto"/>
        <w:contextualSpacing/>
        <w:jc w:val="both"/>
        <w:rPr>
          <w:rStyle w:val="Emphasis"/>
          <w:rFonts w:cstheme="minorHAnsi"/>
          <w:b w:val="0"/>
          <w:sz w:val="24"/>
          <w:szCs w:val="24"/>
        </w:rPr>
      </w:pPr>
      <w:r w:rsidRPr="00337A9C">
        <w:rPr>
          <w:rStyle w:val="Emphasis"/>
          <w:rFonts w:cstheme="minorHAnsi"/>
          <w:b w:val="0"/>
          <w:sz w:val="24"/>
          <w:szCs w:val="24"/>
        </w:rPr>
        <w:t xml:space="preserve">The importance of constituency service to MLAs is further underscored when we compare constituency service effort to parliamentary effort. MLAs were asked to estimate how many hours per week they devote to parliamentary tasks in the NIA including ‘plenary, committee, and </w:t>
      </w:r>
      <w:proofErr w:type="gramStart"/>
      <w:r w:rsidRPr="00337A9C">
        <w:rPr>
          <w:rStyle w:val="Emphasis"/>
          <w:rFonts w:cstheme="minorHAnsi"/>
          <w:b w:val="0"/>
          <w:sz w:val="24"/>
          <w:szCs w:val="24"/>
        </w:rPr>
        <w:t>All Party</w:t>
      </w:r>
      <w:proofErr w:type="gramEnd"/>
      <w:r w:rsidRPr="00337A9C">
        <w:rPr>
          <w:rStyle w:val="Emphasis"/>
          <w:rFonts w:cstheme="minorHAnsi"/>
          <w:b w:val="0"/>
          <w:sz w:val="24"/>
          <w:szCs w:val="24"/>
        </w:rPr>
        <w:t xml:space="preserve"> Group (APG) activities’. The weekly average declared by MLAs for these tasks is 22.9 hours, which indicates that MLAs spend more time on constituency matters than parliamentary duties. The same observation emerges from interviews with MLAs, some of whom unambiguously state that their priority lies in the constituency. One MLA, for instance, states: ‘I would actually sacrifice some of the work here [Parliament] to help constituents […] I don’t have any ambition other than my constituency’.</w:t>
      </w:r>
      <w:r w:rsidRPr="00337A9C">
        <w:rPr>
          <w:rStyle w:val="EndnoteReference"/>
          <w:rFonts w:cstheme="minorHAnsi"/>
          <w:bCs/>
          <w:sz w:val="24"/>
          <w:szCs w:val="24"/>
        </w:rPr>
        <w:endnoteReference w:id="8"/>
      </w:r>
      <w:r w:rsidRPr="00337A9C">
        <w:rPr>
          <w:rStyle w:val="Emphasis"/>
          <w:rFonts w:cstheme="minorHAnsi"/>
          <w:b w:val="0"/>
          <w:sz w:val="24"/>
          <w:szCs w:val="24"/>
        </w:rPr>
        <w:t xml:space="preserve">   </w:t>
      </w:r>
    </w:p>
    <w:p w14:paraId="22A81A9C" w14:textId="3EEE3547" w:rsidR="00153D4F" w:rsidRPr="00337A9C" w:rsidRDefault="00153D4F" w:rsidP="00337A9C">
      <w:pPr>
        <w:spacing w:after="0" w:line="360" w:lineRule="auto"/>
        <w:ind w:firstLine="720"/>
        <w:contextualSpacing/>
        <w:jc w:val="both"/>
        <w:rPr>
          <w:rStyle w:val="Emphasis"/>
          <w:rFonts w:cstheme="minorHAnsi"/>
          <w:b w:val="0"/>
          <w:sz w:val="24"/>
          <w:szCs w:val="24"/>
        </w:rPr>
      </w:pPr>
      <w:r w:rsidRPr="00337A9C">
        <w:rPr>
          <w:rStyle w:val="Emphasis"/>
          <w:rFonts w:cstheme="minorHAnsi"/>
          <w:b w:val="0"/>
          <w:sz w:val="24"/>
          <w:szCs w:val="24"/>
        </w:rPr>
        <w:t>Table 2 reveals noticeable variation between the main political parties in terms of their constituency service effort. Although this type of inter-party vari</w:t>
      </w:r>
      <w:r w:rsidR="006A2084">
        <w:rPr>
          <w:rStyle w:val="Emphasis"/>
          <w:rFonts w:cstheme="minorHAnsi"/>
          <w:b w:val="0"/>
          <w:sz w:val="24"/>
          <w:szCs w:val="24"/>
        </w:rPr>
        <w:t>ation is not unusual (Russo 2012</w:t>
      </w:r>
      <w:r w:rsidRPr="00337A9C">
        <w:rPr>
          <w:rStyle w:val="Emphasis"/>
          <w:rFonts w:cstheme="minorHAnsi"/>
          <w:b w:val="0"/>
          <w:sz w:val="24"/>
          <w:szCs w:val="24"/>
        </w:rPr>
        <w:t xml:space="preserve">; Cain </w:t>
      </w:r>
      <w:r w:rsidRPr="00337A9C">
        <w:rPr>
          <w:rStyle w:val="Emphasis"/>
          <w:rFonts w:cstheme="minorHAnsi"/>
          <w:b w:val="0"/>
          <w:i/>
          <w:sz w:val="24"/>
          <w:szCs w:val="24"/>
        </w:rPr>
        <w:t>et al</w:t>
      </w:r>
      <w:r w:rsidRPr="00337A9C">
        <w:rPr>
          <w:rStyle w:val="Emphasis"/>
          <w:rFonts w:cstheme="minorHAnsi"/>
          <w:b w:val="0"/>
          <w:sz w:val="24"/>
          <w:szCs w:val="24"/>
        </w:rPr>
        <w:t xml:space="preserve">. 1987), lack of data until now has made it difficult to establish the general dispositions of Northern Ireland’s main political parties towards constituency service. </w:t>
      </w:r>
    </w:p>
    <w:p w14:paraId="5876568A" w14:textId="57396410" w:rsidR="00A119D7" w:rsidRDefault="00153D4F" w:rsidP="00DE67B6">
      <w:pPr>
        <w:spacing w:after="0" w:line="360" w:lineRule="auto"/>
        <w:ind w:firstLine="720"/>
        <w:contextualSpacing/>
        <w:jc w:val="both"/>
        <w:rPr>
          <w:rStyle w:val="Emphasis"/>
          <w:rFonts w:cstheme="minorHAnsi"/>
          <w:b w:val="0"/>
          <w:sz w:val="24"/>
          <w:szCs w:val="24"/>
        </w:rPr>
      </w:pPr>
      <w:r w:rsidRPr="00337A9C">
        <w:rPr>
          <w:rStyle w:val="Emphasis"/>
          <w:rFonts w:cstheme="minorHAnsi"/>
          <w:b w:val="0"/>
          <w:sz w:val="24"/>
          <w:szCs w:val="24"/>
        </w:rPr>
        <w:t>Our data reveals Democratic Unionist (DUP) MLAs to be the most constituency-orientated, with the party’s MLAs devoting over 32 hours per week to constituency service.</w:t>
      </w:r>
      <w:r w:rsidR="002E7008">
        <w:rPr>
          <w:rStyle w:val="Emphasis"/>
          <w:rFonts w:cstheme="minorHAnsi"/>
          <w:b w:val="0"/>
          <w:sz w:val="24"/>
          <w:szCs w:val="24"/>
        </w:rPr>
        <w:t xml:space="preserve"> Ulster Unionist Party (UUP) MLAs closely follow as the second-most constituency orientated, devoting just under 30 hours per week to constituency service. </w:t>
      </w:r>
      <w:r w:rsidRPr="00FB587F">
        <w:rPr>
          <w:rStyle w:val="Emphasis"/>
          <w:rFonts w:cstheme="minorHAnsi"/>
          <w:b w:val="0"/>
          <w:sz w:val="24"/>
          <w:szCs w:val="24"/>
        </w:rPr>
        <w:t xml:space="preserve">A </w:t>
      </w:r>
      <w:r w:rsidR="00CC215A">
        <w:rPr>
          <w:rStyle w:val="Emphasis"/>
          <w:rFonts w:cstheme="minorHAnsi"/>
          <w:b w:val="0"/>
          <w:sz w:val="24"/>
          <w:szCs w:val="24"/>
        </w:rPr>
        <w:t xml:space="preserve">more noticeable </w:t>
      </w:r>
      <w:r w:rsidRPr="00FB587F">
        <w:rPr>
          <w:rStyle w:val="Emphasis"/>
          <w:rFonts w:cstheme="minorHAnsi"/>
          <w:b w:val="0"/>
          <w:sz w:val="24"/>
          <w:szCs w:val="24"/>
        </w:rPr>
        <w:t xml:space="preserve">gap in constituency service effort </w:t>
      </w:r>
      <w:r w:rsidR="002E7008">
        <w:rPr>
          <w:rStyle w:val="Emphasis"/>
          <w:rFonts w:cstheme="minorHAnsi"/>
          <w:b w:val="0"/>
          <w:sz w:val="24"/>
          <w:szCs w:val="24"/>
        </w:rPr>
        <w:t xml:space="preserve">then </w:t>
      </w:r>
      <w:r w:rsidRPr="00FB587F">
        <w:rPr>
          <w:rStyle w:val="Emphasis"/>
          <w:rFonts w:cstheme="minorHAnsi"/>
          <w:b w:val="0"/>
          <w:sz w:val="24"/>
          <w:szCs w:val="24"/>
        </w:rPr>
        <w:t>emerges between unionist and non-unionist parties</w:t>
      </w:r>
      <w:r w:rsidR="00FB587F">
        <w:rPr>
          <w:rStyle w:val="Emphasis"/>
          <w:rFonts w:cstheme="minorHAnsi"/>
          <w:b w:val="0"/>
          <w:sz w:val="24"/>
          <w:szCs w:val="24"/>
        </w:rPr>
        <w:t>.</w:t>
      </w:r>
      <w:r w:rsidRPr="00FB587F">
        <w:rPr>
          <w:rStyle w:val="Emphasis"/>
          <w:rFonts w:cstheme="minorHAnsi"/>
          <w:b w:val="0"/>
          <w:sz w:val="24"/>
          <w:szCs w:val="24"/>
        </w:rPr>
        <w:t xml:space="preserve"> Nationalist Sinn Féin and Social Democratic and Labour Party (SDLP) MLAs</w:t>
      </w:r>
      <w:r w:rsidR="00DE67B6">
        <w:rPr>
          <w:rStyle w:val="Emphasis"/>
          <w:rFonts w:cstheme="minorHAnsi"/>
          <w:b w:val="0"/>
          <w:sz w:val="24"/>
          <w:szCs w:val="24"/>
        </w:rPr>
        <w:t xml:space="preserve"> rank joint third,</w:t>
      </w:r>
      <w:r w:rsidRPr="00FB587F">
        <w:rPr>
          <w:rStyle w:val="Emphasis"/>
          <w:rFonts w:cstheme="minorHAnsi"/>
          <w:b w:val="0"/>
          <w:sz w:val="24"/>
          <w:szCs w:val="24"/>
        </w:rPr>
        <w:t xml:space="preserve"> both </w:t>
      </w:r>
      <w:r w:rsidR="00A119D7">
        <w:rPr>
          <w:rStyle w:val="Emphasis"/>
          <w:rFonts w:cstheme="minorHAnsi"/>
          <w:b w:val="0"/>
          <w:sz w:val="24"/>
          <w:szCs w:val="24"/>
        </w:rPr>
        <w:t>providing</w:t>
      </w:r>
      <w:r w:rsidRPr="00FB587F">
        <w:rPr>
          <w:rStyle w:val="Emphasis"/>
          <w:rFonts w:cstheme="minorHAnsi"/>
          <w:b w:val="0"/>
          <w:sz w:val="24"/>
          <w:szCs w:val="24"/>
        </w:rPr>
        <w:t xml:space="preserve"> 25.6 hours </w:t>
      </w:r>
      <w:r w:rsidR="00A119D7">
        <w:rPr>
          <w:rStyle w:val="Emphasis"/>
          <w:rFonts w:cstheme="minorHAnsi"/>
          <w:b w:val="0"/>
          <w:sz w:val="24"/>
          <w:szCs w:val="24"/>
        </w:rPr>
        <w:t>of</w:t>
      </w:r>
      <w:r w:rsidRPr="00FB587F">
        <w:rPr>
          <w:rStyle w:val="Emphasis"/>
          <w:rFonts w:cstheme="minorHAnsi"/>
          <w:b w:val="0"/>
          <w:sz w:val="24"/>
          <w:szCs w:val="24"/>
        </w:rPr>
        <w:t xml:space="preserve"> constituency service </w:t>
      </w:r>
      <w:r w:rsidR="00A119D7">
        <w:rPr>
          <w:rStyle w:val="Emphasis"/>
          <w:rFonts w:cstheme="minorHAnsi"/>
          <w:b w:val="0"/>
          <w:sz w:val="24"/>
          <w:szCs w:val="24"/>
        </w:rPr>
        <w:t>per week</w:t>
      </w:r>
      <w:r w:rsidRPr="00FB587F">
        <w:rPr>
          <w:rStyle w:val="Emphasis"/>
          <w:rFonts w:cstheme="minorHAnsi"/>
          <w:b w:val="0"/>
          <w:sz w:val="24"/>
          <w:szCs w:val="24"/>
        </w:rPr>
        <w:t>.</w:t>
      </w:r>
      <w:r w:rsidR="00685E0C">
        <w:rPr>
          <w:rStyle w:val="Emphasis"/>
          <w:rFonts w:cstheme="minorHAnsi"/>
          <w:b w:val="0"/>
          <w:sz w:val="24"/>
          <w:szCs w:val="24"/>
        </w:rPr>
        <w:t xml:space="preserve"> Of the five main parties in the NIA, Alliance Party MLAs, who designate as ‘Other’ (neither nationalist nor unionist), are the least constituency-orientated, allocating 23.4 hours per week to constituency service. </w:t>
      </w:r>
    </w:p>
    <w:p w14:paraId="559D678D" w14:textId="77777777" w:rsidR="001D7CBC" w:rsidRDefault="00685E0C" w:rsidP="001D7CBC">
      <w:pPr>
        <w:spacing w:after="0" w:line="360" w:lineRule="auto"/>
        <w:ind w:firstLine="720"/>
        <w:contextualSpacing/>
        <w:jc w:val="both"/>
        <w:rPr>
          <w:rStyle w:val="Emphasis"/>
          <w:rFonts w:cs="Arial"/>
          <w:b w:val="0"/>
          <w:sz w:val="24"/>
          <w:szCs w:val="24"/>
        </w:rPr>
      </w:pPr>
      <w:r>
        <w:rPr>
          <w:rStyle w:val="Emphasis"/>
          <w:rFonts w:cstheme="minorHAnsi"/>
          <w:b w:val="0"/>
          <w:sz w:val="24"/>
          <w:szCs w:val="24"/>
        </w:rPr>
        <w:t>That nationalist MLAs do not outperform their unionist counterparts in constituency service provision might come as something of a surprise</w:t>
      </w:r>
      <w:r w:rsidR="008C4931">
        <w:rPr>
          <w:rStyle w:val="Emphasis"/>
          <w:rFonts w:cstheme="minorHAnsi"/>
          <w:b w:val="0"/>
          <w:sz w:val="24"/>
          <w:szCs w:val="24"/>
        </w:rPr>
        <w:t>.</w:t>
      </w:r>
      <w:r w:rsidR="00514778">
        <w:rPr>
          <w:rStyle w:val="Emphasis"/>
          <w:rFonts w:cstheme="minorHAnsi"/>
          <w:b w:val="0"/>
          <w:sz w:val="24"/>
          <w:szCs w:val="24"/>
        </w:rPr>
        <w:t xml:space="preserve"> A perception has developed in </w:t>
      </w:r>
      <w:r w:rsidR="008C4931">
        <w:rPr>
          <w:rStyle w:val="Emphasis"/>
          <w:rFonts w:cstheme="minorHAnsi"/>
          <w:b w:val="0"/>
          <w:sz w:val="24"/>
          <w:szCs w:val="24"/>
        </w:rPr>
        <w:t>Northern Ireland</w:t>
      </w:r>
      <w:r w:rsidR="00514778">
        <w:rPr>
          <w:rStyle w:val="Emphasis"/>
          <w:rFonts w:cstheme="minorHAnsi"/>
          <w:b w:val="0"/>
          <w:sz w:val="24"/>
          <w:szCs w:val="24"/>
        </w:rPr>
        <w:t xml:space="preserve"> that unionist MLAs are not </w:t>
      </w:r>
      <w:r w:rsidR="008C4931">
        <w:rPr>
          <w:rStyle w:val="Emphasis"/>
          <w:rFonts w:cstheme="minorHAnsi"/>
          <w:b w:val="0"/>
          <w:sz w:val="24"/>
          <w:szCs w:val="24"/>
        </w:rPr>
        <w:t xml:space="preserve">quite </w:t>
      </w:r>
      <w:r w:rsidR="00514778">
        <w:rPr>
          <w:rStyle w:val="Emphasis"/>
          <w:rFonts w:cstheme="minorHAnsi"/>
          <w:b w:val="0"/>
          <w:sz w:val="24"/>
          <w:szCs w:val="24"/>
        </w:rPr>
        <w:t xml:space="preserve">as engaged in </w:t>
      </w:r>
      <w:r w:rsidR="00CA1C64">
        <w:rPr>
          <w:rStyle w:val="Emphasis"/>
          <w:rFonts w:cstheme="minorHAnsi"/>
          <w:b w:val="0"/>
          <w:sz w:val="24"/>
          <w:szCs w:val="24"/>
        </w:rPr>
        <w:t xml:space="preserve">local </w:t>
      </w:r>
      <w:r w:rsidR="00514778">
        <w:rPr>
          <w:rStyle w:val="Emphasis"/>
          <w:rFonts w:cstheme="minorHAnsi"/>
          <w:b w:val="0"/>
          <w:sz w:val="24"/>
          <w:szCs w:val="24"/>
        </w:rPr>
        <w:t>community work as nationalist MLAs</w:t>
      </w:r>
      <w:r w:rsidR="008C4931">
        <w:rPr>
          <w:rStyle w:val="Emphasis"/>
          <w:rFonts w:cstheme="minorHAnsi"/>
          <w:b w:val="0"/>
          <w:sz w:val="24"/>
          <w:szCs w:val="24"/>
        </w:rPr>
        <w:t xml:space="preserve"> (see</w:t>
      </w:r>
      <w:r w:rsidR="00CB6DDD">
        <w:rPr>
          <w:rStyle w:val="Emphasis"/>
          <w:rFonts w:cstheme="minorHAnsi"/>
          <w:b w:val="0"/>
          <w:sz w:val="24"/>
          <w:szCs w:val="24"/>
        </w:rPr>
        <w:t>, for example,</w:t>
      </w:r>
      <w:r w:rsidR="008C4931">
        <w:rPr>
          <w:rStyle w:val="Emphasis"/>
          <w:rFonts w:cstheme="minorHAnsi"/>
          <w:b w:val="0"/>
          <w:sz w:val="24"/>
          <w:szCs w:val="24"/>
        </w:rPr>
        <w:t xml:space="preserve"> McManus, 2015</w:t>
      </w:r>
      <w:r w:rsidR="00CA1C64">
        <w:rPr>
          <w:rStyle w:val="Emphasis"/>
          <w:rFonts w:cstheme="minorHAnsi"/>
          <w:b w:val="0"/>
          <w:sz w:val="24"/>
          <w:szCs w:val="24"/>
        </w:rPr>
        <w:t>: 60-61</w:t>
      </w:r>
      <w:r w:rsidR="008C4931">
        <w:rPr>
          <w:rStyle w:val="Emphasis"/>
          <w:rFonts w:cstheme="minorHAnsi"/>
          <w:b w:val="0"/>
          <w:sz w:val="24"/>
          <w:szCs w:val="24"/>
        </w:rPr>
        <w:t xml:space="preserve">). Our results suggest the opposite. This </w:t>
      </w:r>
      <w:r w:rsidR="00A119D7">
        <w:rPr>
          <w:rStyle w:val="Emphasis"/>
          <w:rFonts w:cstheme="minorHAnsi"/>
          <w:b w:val="0"/>
          <w:sz w:val="24"/>
          <w:szCs w:val="24"/>
        </w:rPr>
        <w:t>seems somewhat counter-intuitive</w:t>
      </w:r>
      <w:r w:rsidR="008C4931">
        <w:rPr>
          <w:rStyle w:val="Emphasis"/>
          <w:rFonts w:cstheme="minorHAnsi"/>
          <w:b w:val="0"/>
          <w:sz w:val="24"/>
          <w:szCs w:val="24"/>
        </w:rPr>
        <w:t xml:space="preserve">, particularly in the case of </w:t>
      </w:r>
      <w:r w:rsidR="004B4985">
        <w:rPr>
          <w:rStyle w:val="Emphasis"/>
          <w:rFonts w:cstheme="minorHAnsi"/>
          <w:b w:val="0"/>
          <w:sz w:val="24"/>
          <w:szCs w:val="24"/>
        </w:rPr>
        <w:t>the largest nationalist party,</w:t>
      </w:r>
      <w:r w:rsidR="000C43DB">
        <w:rPr>
          <w:rStyle w:val="Emphasis"/>
          <w:rFonts w:cstheme="minorHAnsi"/>
          <w:b w:val="0"/>
          <w:sz w:val="24"/>
          <w:szCs w:val="24"/>
        </w:rPr>
        <w:t xml:space="preserve"> Sinn </w:t>
      </w:r>
      <w:r w:rsidR="000C43DB" w:rsidRPr="00FB587F">
        <w:rPr>
          <w:rStyle w:val="Emphasis"/>
          <w:rFonts w:cstheme="minorHAnsi"/>
          <w:b w:val="0"/>
          <w:sz w:val="24"/>
          <w:szCs w:val="24"/>
        </w:rPr>
        <w:t>Féin</w:t>
      </w:r>
      <w:r w:rsidR="000C43DB">
        <w:rPr>
          <w:rStyle w:val="Emphasis"/>
          <w:rFonts w:cstheme="minorHAnsi"/>
          <w:b w:val="0"/>
          <w:sz w:val="24"/>
          <w:szCs w:val="24"/>
        </w:rPr>
        <w:t>,</w:t>
      </w:r>
      <w:r w:rsidR="00B161FA">
        <w:rPr>
          <w:rStyle w:val="Emphasis"/>
          <w:rFonts w:cstheme="minorHAnsi"/>
          <w:b w:val="0"/>
          <w:sz w:val="24"/>
          <w:szCs w:val="24"/>
        </w:rPr>
        <w:t xml:space="preserve"> </w:t>
      </w:r>
      <w:r w:rsidR="00322E91">
        <w:rPr>
          <w:rStyle w:val="Emphasis"/>
          <w:rFonts w:cstheme="minorHAnsi"/>
          <w:b w:val="0"/>
          <w:sz w:val="24"/>
          <w:szCs w:val="24"/>
        </w:rPr>
        <w:t xml:space="preserve">which </w:t>
      </w:r>
      <w:r w:rsidR="00CB553E">
        <w:rPr>
          <w:rStyle w:val="Emphasis"/>
          <w:rFonts w:cstheme="minorHAnsi"/>
          <w:b w:val="0"/>
          <w:sz w:val="24"/>
          <w:szCs w:val="24"/>
        </w:rPr>
        <w:t>owes much of its development</w:t>
      </w:r>
      <w:r w:rsidR="00322E91">
        <w:rPr>
          <w:rStyle w:val="Emphasis"/>
          <w:rFonts w:cstheme="minorHAnsi"/>
          <w:b w:val="0"/>
          <w:sz w:val="24"/>
          <w:szCs w:val="24"/>
        </w:rPr>
        <w:t xml:space="preserve"> into a</w:t>
      </w:r>
      <w:r w:rsidR="00224D44">
        <w:rPr>
          <w:rStyle w:val="Emphasis"/>
          <w:rFonts w:cstheme="minorHAnsi"/>
          <w:b w:val="0"/>
          <w:sz w:val="24"/>
          <w:szCs w:val="24"/>
        </w:rPr>
        <w:t xml:space="preserve"> mainstream political </w:t>
      </w:r>
      <w:r w:rsidR="00CB553E">
        <w:rPr>
          <w:rStyle w:val="Emphasis"/>
          <w:rFonts w:cstheme="minorHAnsi"/>
          <w:b w:val="0"/>
          <w:sz w:val="24"/>
          <w:szCs w:val="24"/>
        </w:rPr>
        <w:t>party</w:t>
      </w:r>
      <w:r w:rsidR="00224D44">
        <w:rPr>
          <w:rStyle w:val="Emphasis"/>
          <w:rFonts w:cstheme="minorHAnsi"/>
          <w:b w:val="0"/>
          <w:sz w:val="24"/>
          <w:szCs w:val="24"/>
        </w:rPr>
        <w:t xml:space="preserve"> </w:t>
      </w:r>
      <w:r w:rsidR="00CB553E">
        <w:rPr>
          <w:rStyle w:val="Emphasis"/>
          <w:rFonts w:cstheme="minorHAnsi"/>
          <w:b w:val="0"/>
          <w:sz w:val="24"/>
          <w:szCs w:val="24"/>
        </w:rPr>
        <w:t>to</w:t>
      </w:r>
      <w:r w:rsidR="00224D44">
        <w:rPr>
          <w:rStyle w:val="Emphasis"/>
          <w:rFonts w:cstheme="minorHAnsi"/>
          <w:b w:val="0"/>
          <w:sz w:val="24"/>
          <w:szCs w:val="24"/>
        </w:rPr>
        <w:t xml:space="preserve"> a</w:t>
      </w:r>
      <w:r w:rsidR="00B161FA">
        <w:rPr>
          <w:rStyle w:val="Emphasis"/>
          <w:rFonts w:cstheme="minorHAnsi"/>
          <w:b w:val="0"/>
          <w:sz w:val="24"/>
          <w:szCs w:val="24"/>
        </w:rPr>
        <w:t xml:space="preserve"> network of</w:t>
      </w:r>
      <w:r w:rsidR="00322E91">
        <w:rPr>
          <w:rStyle w:val="Emphasis"/>
          <w:rFonts w:cstheme="minorHAnsi"/>
          <w:b w:val="0"/>
          <w:sz w:val="24"/>
          <w:szCs w:val="24"/>
        </w:rPr>
        <w:t xml:space="preserve"> community-based advice centres</w:t>
      </w:r>
      <w:r w:rsidR="00291FDC">
        <w:rPr>
          <w:rStyle w:val="Emphasis"/>
          <w:rFonts w:cstheme="minorHAnsi"/>
          <w:b w:val="0"/>
          <w:sz w:val="24"/>
          <w:szCs w:val="24"/>
        </w:rPr>
        <w:t xml:space="preserve"> established in the 1980s and 1990s</w:t>
      </w:r>
      <w:r w:rsidR="00322E91">
        <w:rPr>
          <w:rStyle w:val="Emphasis"/>
          <w:rFonts w:cstheme="minorHAnsi"/>
          <w:b w:val="0"/>
          <w:sz w:val="24"/>
          <w:szCs w:val="24"/>
        </w:rPr>
        <w:t xml:space="preserve"> (</w:t>
      </w:r>
      <w:r w:rsidR="00B161FA">
        <w:rPr>
          <w:rStyle w:val="Emphasis"/>
          <w:rFonts w:cstheme="minorHAnsi"/>
          <w:b w:val="0"/>
          <w:sz w:val="24"/>
          <w:szCs w:val="24"/>
        </w:rPr>
        <w:t>Frampton, 2009: 27-28).</w:t>
      </w:r>
      <w:r w:rsidR="00291FDC">
        <w:rPr>
          <w:rStyle w:val="Emphasis"/>
          <w:rFonts w:cstheme="minorHAnsi"/>
          <w:b w:val="0"/>
          <w:sz w:val="24"/>
          <w:szCs w:val="24"/>
        </w:rPr>
        <w:t xml:space="preserve"> </w:t>
      </w:r>
      <w:r w:rsidR="007720B9">
        <w:rPr>
          <w:rStyle w:val="Emphasis"/>
          <w:rFonts w:cstheme="minorHAnsi"/>
          <w:b w:val="0"/>
          <w:sz w:val="24"/>
          <w:szCs w:val="24"/>
        </w:rPr>
        <w:t xml:space="preserve">Kusche’s (2017) study is also interesting in this regard: although her study </w:t>
      </w:r>
      <w:r w:rsidR="007720B9">
        <w:rPr>
          <w:rStyle w:val="Emphasis"/>
          <w:rFonts w:cstheme="minorHAnsi"/>
          <w:b w:val="0"/>
          <w:sz w:val="24"/>
          <w:szCs w:val="24"/>
        </w:rPr>
        <w:lastRenderedPageBreak/>
        <w:t xml:space="preserve">focuses on the Republic of Ireland, it finds Sinn </w:t>
      </w:r>
      <w:r w:rsidR="007720B9" w:rsidRPr="00FB587F">
        <w:rPr>
          <w:rStyle w:val="Emphasis"/>
          <w:rFonts w:cstheme="minorHAnsi"/>
          <w:b w:val="0"/>
          <w:sz w:val="24"/>
          <w:szCs w:val="24"/>
        </w:rPr>
        <w:t>Féin</w:t>
      </w:r>
      <w:r w:rsidR="009D61BC">
        <w:rPr>
          <w:rStyle w:val="Emphasis"/>
          <w:rFonts w:cstheme="minorHAnsi"/>
          <w:b w:val="0"/>
          <w:sz w:val="24"/>
          <w:szCs w:val="24"/>
        </w:rPr>
        <w:t xml:space="preserve">, whose members also </w:t>
      </w:r>
      <w:r w:rsidR="001D7CBC">
        <w:rPr>
          <w:rStyle w:val="Emphasis"/>
          <w:rFonts w:cstheme="minorHAnsi"/>
          <w:b w:val="0"/>
          <w:sz w:val="24"/>
          <w:szCs w:val="24"/>
        </w:rPr>
        <w:t>sit in the Irish Parliament,</w:t>
      </w:r>
      <w:r w:rsidR="007720B9">
        <w:rPr>
          <w:rStyle w:val="Emphasis"/>
          <w:rFonts w:cstheme="minorHAnsi"/>
          <w:b w:val="0"/>
          <w:sz w:val="24"/>
          <w:szCs w:val="24"/>
        </w:rPr>
        <w:t xml:space="preserve"> to have a weaker constituency </w:t>
      </w:r>
      <w:r w:rsidR="009D61BC">
        <w:rPr>
          <w:rStyle w:val="Emphasis"/>
          <w:rFonts w:cstheme="minorHAnsi"/>
          <w:b w:val="0"/>
          <w:sz w:val="24"/>
          <w:szCs w:val="24"/>
        </w:rPr>
        <w:t>orientation than</w:t>
      </w:r>
      <w:r w:rsidR="007720B9">
        <w:rPr>
          <w:rStyle w:val="Emphasis"/>
          <w:rFonts w:cstheme="minorHAnsi"/>
          <w:b w:val="0"/>
          <w:sz w:val="24"/>
          <w:szCs w:val="24"/>
        </w:rPr>
        <w:t xml:space="preserve"> most </w:t>
      </w:r>
      <w:r w:rsidR="001D7CBC">
        <w:rPr>
          <w:rStyle w:val="Emphasis"/>
          <w:rFonts w:cstheme="minorHAnsi"/>
          <w:b w:val="0"/>
          <w:sz w:val="24"/>
          <w:szCs w:val="24"/>
        </w:rPr>
        <w:t>other parties</w:t>
      </w:r>
      <w:r w:rsidR="009D61BC">
        <w:rPr>
          <w:rStyle w:val="Emphasis"/>
          <w:rFonts w:cs="Arial"/>
          <w:b w:val="0"/>
          <w:sz w:val="24"/>
          <w:szCs w:val="24"/>
        </w:rPr>
        <w:t>.</w:t>
      </w:r>
    </w:p>
    <w:p w14:paraId="31E0B305" w14:textId="65741632" w:rsidR="003D7368" w:rsidRPr="0058061E" w:rsidRDefault="008553B8" w:rsidP="0058061E">
      <w:pPr>
        <w:spacing w:after="0" w:line="360" w:lineRule="auto"/>
        <w:ind w:firstLine="720"/>
        <w:contextualSpacing/>
        <w:jc w:val="both"/>
        <w:rPr>
          <w:rStyle w:val="Emphasis"/>
          <w:rFonts w:cstheme="minorHAnsi"/>
          <w:b w:val="0"/>
          <w:sz w:val="24"/>
          <w:szCs w:val="24"/>
        </w:rPr>
      </w:pPr>
      <w:r>
        <w:rPr>
          <w:rStyle w:val="Emphasis"/>
          <w:rFonts w:cs="Arial"/>
          <w:b w:val="0"/>
          <w:sz w:val="24"/>
          <w:szCs w:val="24"/>
        </w:rPr>
        <w:t>Misdirected enquiries, and the manner in which MLA</w:t>
      </w:r>
      <w:r w:rsidR="00C96D41">
        <w:rPr>
          <w:rStyle w:val="Emphasis"/>
          <w:rFonts w:cs="Arial"/>
          <w:b w:val="0"/>
          <w:sz w:val="24"/>
          <w:szCs w:val="24"/>
        </w:rPr>
        <w:t>s</w:t>
      </w:r>
      <w:r>
        <w:rPr>
          <w:rStyle w:val="Emphasis"/>
          <w:rFonts w:cs="Arial"/>
          <w:b w:val="0"/>
          <w:sz w:val="24"/>
          <w:szCs w:val="24"/>
        </w:rPr>
        <w:t xml:space="preserve"> responds to such enquires, must also be </w:t>
      </w:r>
      <w:proofErr w:type="gramStart"/>
      <w:r>
        <w:rPr>
          <w:rStyle w:val="Emphasis"/>
          <w:rFonts w:cs="Arial"/>
          <w:b w:val="0"/>
          <w:sz w:val="24"/>
          <w:szCs w:val="24"/>
        </w:rPr>
        <w:t>taken into account</w:t>
      </w:r>
      <w:proofErr w:type="gramEnd"/>
      <w:r>
        <w:rPr>
          <w:rStyle w:val="Emphasis"/>
          <w:rFonts w:cs="Arial"/>
          <w:b w:val="0"/>
          <w:sz w:val="24"/>
          <w:szCs w:val="24"/>
        </w:rPr>
        <w:t xml:space="preserve"> when considering constituency service caseloads. In discussing their casework, </w:t>
      </w:r>
      <w:r w:rsidR="00DE0283">
        <w:rPr>
          <w:rStyle w:val="Emphasis"/>
          <w:rFonts w:cs="Arial"/>
          <w:b w:val="0"/>
          <w:sz w:val="24"/>
          <w:szCs w:val="24"/>
        </w:rPr>
        <w:t>some</w:t>
      </w:r>
      <w:r>
        <w:rPr>
          <w:rStyle w:val="Emphasis"/>
          <w:rFonts w:cs="Arial"/>
          <w:b w:val="0"/>
          <w:sz w:val="24"/>
          <w:szCs w:val="24"/>
        </w:rPr>
        <w:t xml:space="preserve"> MLAs </w:t>
      </w:r>
      <w:r w:rsidR="00DE0283">
        <w:rPr>
          <w:rStyle w:val="Emphasis"/>
          <w:rFonts w:cs="Arial"/>
          <w:b w:val="0"/>
          <w:sz w:val="24"/>
          <w:szCs w:val="24"/>
        </w:rPr>
        <w:t>cite</w:t>
      </w:r>
      <w:r>
        <w:rPr>
          <w:rStyle w:val="Emphasis"/>
          <w:rFonts w:cs="Arial"/>
          <w:b w:val="0"/>
          <w:sz w:val="24"/>
          <w:szCs w:val="24"/>
        </w:rPr>
        <w:t xml:space="preserve"> constituents seek</w:t>
      </w:r>
      <w:r w:rsidR="00DE0283">
        <w:rPr>
          <w:rStyle w:val="Emphasis"/>
          <w:rFonts w:cs="Arial"/>
          <w:b w:val="0"/>
          <w:sz w:val="24"/>
          <w:szCs w:val="24"/>
        </w:rPr>
        <w:t>ing</w:t>
      </w:r>
      <w:r>
        <w:rPr>
          <w:rStyle w:val="Emphasis"/>
          <w:rFonts w:cs="Arial"/>
          <w:b w:val="0"/>
          <w:sz w:val="24"/>
          <w:szCs w:val="24"/>
        </w:rPr>
        <w:t xml:space="preserve"> assistance with planning applications, a matter</w:t>
      </w:r>
      <w:r w:rsidR="00157E5B">
        <w:rPr>
          <w:rStyle w:val="Emphasis"/>
          <w:rFonts w:cs="Arial"/>
          <w:b w:val="0"/>
          <w:sz w:val="24"/>
          <w:szCs w:val="24"/>
        </w:rPr>
        <w:t xml:space="preserve"> outside the MLA’s jurisdiction, since</w:t>
      </w:r>
      <w:r>
        <w:rPr>
          <w:rStyle w:val="Emphasis"/>
          <w:rFonts w:cs="Arial"/>
          <w:b w:val="0"/>
          <w:sz w:val="24"/>
          <w:szCs w:val="24"/>
        </w:rPr>
        <w:t xml:space="preserve"> town planning is the responsibility of local government.</w:t>
      </w:r>
      <w:r>
        <w:rPr>
          <w:rStyle w:val="EndnoteReference"/>
          <w:rFonts w:cs="Arial"/>
          <w:bCs/>
          <w:sz w:val="24"/>
          <w:szCs w:val="24"/>
        </w:rPr>
        <w:endnoteReference w:id="9"/>
      </w:r>
      <w:r w:rsidR="00DE0283">
        <w:rPr>
          <w:rStyle w:val="Emphasis"/>
          <w:rFonts w:cs="Arial"/>
          <w:b w:val="0"/>
          <w:sz w:val="24"/>
          <w:szCs w:val="24"/>
        </w:rPr>
        <w:t xml:space="preserve"> In those circumstances it is advisable for </w:t>
      </w:r>
      <w:r w:rsidR="009B2BE9">
        <w:rPr>
          <w:rStyle w:val="Emphasis"/>
          <w:rFonts w:cs="Arial"/>
          <w:b w:val="0"/>
          <w:sz w:val="24"/>
          <w:szCs w:val="24"/>
        </w:rPr>
        <w:t>the MLA to redirect the enquiry elsewhere –</w:t>
      </w:r>
      <w:r w:rsidR="00157E5B">
        <w:rPr>
          <w:rStyle w:val="Emphasis"/>
          <w:rFonts w:cs="Arial"/>
          <w:b w:val="0"/>
          <w:sz w:val="24"/>
          <w:szCs w:val="24"/>
        </w:rPr>
        <w:t xml:space="preserve"> in this case</w:t>
      </w:r>
      <w:r w:rsidR="009B2BE9">
        <w:rPr>
          <w:rStyle w:val="Emphasis"/>
          <w:rFonts w:cs="Arial"/>
          <w:b w:val="0"/>
          <w:sz w:val="24"/>
          <w:szCs w:val="24"/>
        </w:rPr>
        <w:t xml:space="preserve"> to the local council –  since </w:t>
      </w:r>
      <w:r w:rsidR="00DE0283">
        <w:rPr>
          <w:rStyle w:val="Emphasis"/>
          <w:rFonts w:cs="Arial"/>
          <w:b w:val="0"/>
          <w:sz w:val="24"/>
          <w:szCs w:val="24"/>
        </w:rPr>
        <w:t>‘</w:t>
      </w:r>
      <w:r w:rsidR="009B2BE9">
        <w:rPr>
          <w:rStyle w:val="Emphasis"/>
          <w:rFonts w:cs="Arial"/>
          <w:b w:val="0"/>
          <w:sz w:val="24"/>
          <w:szCs w:val="24"/>
        </w:rPr>
        <w:t xml:space="preserve">there is a danger </w:t>
      </w:r>
      <w:r w:rsidR="00822515">
        <w:rPr>
          <w:rStyle w:val="Emphasis"/>
          <w:rFonts w:cs="Arial"/>
          <w:b w:val="0"/>
          <w:sz w:val="24"/>
          <w:szCs w:val="24"/>
        </w:rPr>
        <w:t xml:space="preserve">of </w:t>
      </w:r>
      <w:r w:rsidR="00DE0283">
        <w:rPr>
          <w:rStyle w:val="Emphasis"/>
          <w:rFonts w:cs="Arial"/>
          <w:b w:val="0"/>
          <w:sz w:val="24"/>
          <w:szCs w:val="24"/>
        </w:rPr>
        <w:t>poor accountability if members pursue cases outwith the competence of their own institution, and citizens lose sight of who is accountable for what’</w:t>
      </w:r>
      <w:r w:rsidR="009B2BE9">
        <w:rPr>
          <w:rStyle w:val="Emphasis"/>
          <w:rFonts w:cs="Arial"/>
          <w:b w:val="0"/>
          <w:sz w:val="24"/>
          <w:szCs w:val="24"/>
        </w:rPr>
        <w:t xml:space="preserve"> (Russell </w:t>
      </w:r>
      <w:r w:rsidR="00AC49D4">
        <w:rPr>
          <w:rStyle w:val="Emphasis"/>
          <w:rFonts w:cs="Arial"/>
          <w:b w:val="0"/>
          <w:sz w:val="24"/>
          <w:szCs w:val="24"/>
        </w:rPr>
        <w:t>&amp;</w:t>
      </w:r>
      <w:r w:rsidR="009B2BE9">
        <w:rPr>
          <w:rStyle w:val="Emphasis"/>
          <w:rFonts w:cs="Arial"/>
          <w:b w:val="0"/>
          <w:sz w:val="24"/>
          <w:szCs w:val="24"/>
        </w:rPr>
        <w:t xml:space="preserve"> Bradbury, 2007: 114).</w:t>
      </w:r>
      <w:r w:rsidR="007A03D8">
        <w:rPr>
          <w:rStyle w:val="Emphasis"/>
          <w:rFonts w:cs="Arial"/>
          <w:b w:val="0"/>
          <w:sz w:val="24"/>
          <w:szCs w:val="24"/>
        </w:rPr>
        <w:t xml:space="preserve"> There is some evidence that </w:t>
      </w:r>
      <w:r w:rsidR="00CA7DF4">
        <w:rPr>
          <w:rStyle w:val="Emphasis"/>
          <w:rFonts w:cs="Arial"/>
          <w:b w:val="0"/>
          <w:sz w:val="24"/>
          <w:szCs w:val="24"/>
        </w:rPr>
        <w:t>redirection</w:t>
      </w:r>
      <w:r w:rsidR="007A03D8">
        <w:rPr>
          <w:rStyle w:val="Emphasis"/>
          <w:rFonts w:cs="Arial"/>
          <w:b w:val="0"/>
          <w:sz w:val="24"/>
          <w:szCs w:val="24"/>
        </w:rPr>
        <w:t xml:space="preserve"> oc</w:t>
      </w:r>
      <w:r w:rsidR="0050598C">
        <w:rPr>
          <w:rStyle w:val="Emphasis"/>
          <w:rFonts w:cs="Arial"/>
          <w:b w:val="0"/>
          <w:sz w:val="24"/>
          <w:szCs w:val="24"/>
        </w:rPr>
        <w:t xml:space="preserve">curs. One Sinn </w:t>
      </w:r>
      <w:r w:rsidR="0050598C" w:rsidRPr="00FB587F">
        <w:rPr>
          <w:rStyle w:val="Emphasis"/>
          <w:rFonts w:cstheme="minorHAnsi"/>
          <w:b w:val="0"/>
          <w:sz w:val="24"/>
          <w:szCs w:val="24"/>
        </w:rPr>
        <w:t>Féin</w:t>
      </w:r>
      <w:r w:rsidR="0050598C">
        <w:rPr>
          <w:rStyle w:val="Emphasis"/>
          <w:rFonts w:cstheme="minorHAnsi"/>
          <w:b w:val="0"/>
          <w:sz w:val="24"/>
          <w:szCs w:val="24"/>
        </w:rPr>
        <w:t xml:space="preserve"> interviewee, for instance, discusses ‘referring’ cases to his party’s local councillors.</w:t>
      </w:r>
      <w:r w:rsidR="0058061E">
        <w:rPr>
          <w:rStyle w:val="EndnoteReference"/>
          <w:rFonts w:cstheme="minorHAnsi"/>
          <w:bCs/>
          <w:sz w:val="24"/>
          <w:szCs w:val="24"/>
        </w:rPr>
        <w:endnoteReference w:id="10"/>
      </w:r>
      <w:r w:rsidR="0050598C">
        <w:rPr>
          <w:rStyle w:val="Emphasis"/>
          <w:rFonts w:cstheme="minorHAnsi"/>
          <w:b w:val="0"/>
          <w:sz w:val="24"/>
          <w:szCs w:val="24"/>
        </w:rPr>
        <w:t xml:space="preserve"> Likewise, on the issue of </w:t>
      </w:r>
      <w:r w:rsidR="00363714">
        <w:rPr>
          <w:rStyle w:val="Emphasis"/>
          <w:rFonts w:cstheme="minorHAnsi"/>
          <w:b w:val="0"/>
          <w:sz w:val="24"/>
          <w:szCs w:val="24"/>
        </w:rPr>
        <w:t xml:space="preserve">town </w:t>
      </w:r>
      <w:r w:rsidR="0050598C">
        <w:rPr>
          <w:rStyle w:val="Emphasis"/>
          <w:rFonts w:cstheme="minorHAnsi"/>
          <w:b w:val="0"/>
          <w:sz w:val="24"/>
          <w:szCs w:val="24"/>
        </w:rPr>
        <w:t>planning, an Alliance Party MLA notes ‘if someone has written to me about [that] my first port of call is my party councillor</w:t>
      </w:r>
      <w:r w:rsidR="00157E5B">
        <w:rPr>
          <w:rStyle w:val="Emphasis"/>
          <w:rFonts w:cstheme="minorHAnsi"/>
          <w:b w:val="0"/>
          <w:sz w:val="24"/>
          <w:szCs w:val="24"/>
        </w:rPr>
        <w:t>s</w:t>
      </w:r>
      <w:r w:rsidR="0050598C">
        <w:rPr>
          <w:rStyle w:val="Emphasis"/>
          <w:rFonts w:cstheme="minorHAnsi"/>
          <w:b w:val="0"/>
          <w:sz w:val="24"/>
          <w:szCs w:val="24"/>
        </w:rPr>
        <w:t>’.</w:t>
      </w:r>
      <w:r w:rsidR="0058061E">
        <w:rPr>
          <w:rStyle w:val="EndnoteReference"/>
          <w:rFonts w:cstheme="minorHAnsi"/>
          <w:bCs/>
          <w:sz w:val="24"/>
          <w:szCs w:val="24"/>
        </w:rPr>
        <w:endnoteReference w:id="11"/>
      </w:r>
      <w:r w:rsidR="0050598C">
        <w:rPr>
          <w:rStyle w:val="Emphasis"/>
          <w:rFonts w:cstheme="minorHAnsi"/>
          <w:b w:val="0"/>
          <w:sz w:val="24"/>
          <w:szCs w:val="24"/>
        </w:rPr>
        <w:t xml:space="preserve"> </w:t>
      </w:r>
      <w:r w:rsidR="00B73D2A">
        <w:rPr>
          <w:rStyle w:val="Emphasis"/>
          <w:rFonts w:cstheme="minorHAnsi"/>
          <w:b w:val="0"/>
          <w:sz w:val="24"/>
          <w:szCs w:val="24"/>
        </w:rPr>
        <w:t>Redirection, however, does not appear t</w:t>
      </w:r>
      <w:r w:rsidR="00D80B2C">
        <w:rPr>
          <w:rStyle w:val="Emphasis"/>
          <w:rFonts w:cstheme="minorHAnsi"/>
          <w:b w:val="0"/>
          <w:sz w:val="24"/>
          <w:szCs w:val="24"/>
        </w:rPr>
        <w:t>o be a universal practice:</w:t>
      </w:r>
      <w:r w:rsidR="00B73D2A">
        <w:rPr>
          <w:rStyle w:val="Emphasis"/>
          <w:rFonts w:cstheme="minorHAnsi"/>
          <w:b w:val="0"/>
          <w:sz w:val="24"/>
          <w:szCs w:val="24"/>
        </w:rPr>
        <w:t xml:space="preserve"> </w:t>
      </w:r>
      <w:r w:rsidR="006101F0">
        <w:rPr>
          <w:rStyle w:val="Emphasis"/>
          <w:rFonts w:cstheme="minorHAnsi"/>
          <w:b w:val="0"/>
          <w:sz w:val="24"/>
          <w:szCs w:val="24"/>
        </w:rPr>
        <w:t>‘</w:t>
      </w:r>
      <w:r w:rsidR="00D80B2C">
        <w:rPr>
          <w:rStyle w:val="Emphasis"/>
          <w:rFonts w:cstheme="minorHAnsi"/>
          <w:b w:val="0"/>
          <w:sz w:val="24"/>
          <w:szCs w:val="24"/>
        </w:rPr>
        <w:t>i</w:t>
      </w:r>
      <w:r w:rsidR="006101F0">
        <w:rPr>
          <w:rStyle w:val="Emphasis"/>
          <w:rFonts w:cstheme="minorHAnsi"/>
          <w:b w:val="0"/>
          <w:sz w:val="24"/>
          <w:szCs w:val="24"/>
        </w:rPr>
        <w:t>f they want something done’, notes one DUP MLA, ‘no matter how small it is, I do it. I could say “there are other places where you could do that</w:t>
      </w:r>
      <w:r w:rsidR="00994385">
        <w:rPr>
          <w:rStyle w:val="Emphasis"/>
          <w:rFonts w:cstheme="minorHAnsi"/>
          <w:b w:val="0"/>
          <w:sz w:val="24"/>
          <w:szCs w:val="24"/>
        </w:rPr>
        <w:t>” but I don’t’</w:t>
      </w:r>
      <w:r w:rsidR="00157E5B">
        <w:rPr>
          <w:rStyle w:val="Emphasis"/>
          <w:rFonts w:cstheme="minorHAnsi"/>
          <w:b w:val="0"/>
          <w:sz w:val="24"/>
          <w:szCs w:val="24"/>
        </w:rPr>
        <w:t>.</w:t>
      </w:r>
      <w:r w:rsidR="0058061E">
        <w:rPr>
          <w:rStyle w:val="EndnoteReference"/>
          <w:rFonts w:cstheme="minorHAnsi"/>
          <w:bCs/>
          <w:sz w:val="24"/>
          <w:szCs w:val="24"/>
        </w:rPr>
        <w:endnoteReference w:id="12"/>
      </w:r>
      <w:r w:rsidR="00157E5B">
        <w:rPr>
          <w:rStyle w:val="Emphasis"/>
          <w:rFonts w:cstheme="minorHAnsi"/>
          <w:b w:val="0"/>
          <w:sz w:val="24"/>
          <w:szCs w:val="24"/>
        </w:rPr>
        <w:t xml:space="preserve"> Redirection of queries (or lack thereof) is likely to effect the MLA’s caseload and, in that regard, </w:t>
      </w:r>
      <w:r w:rsidR="00C96D41">
        <w:rPr>
          <w:rStyle w:val="Emphasis"/>
          <w:rFonts w:cstheme="minorHAnsi"/>
          <w:b w:val="0"/>
          <w:sz w:val="24"/>
          <w:szCs w:val="24"/>
        </w:rPr>
        <w:t>future</w:t>
      </w:r>
      <w:r w:rsidR="000C699C">
        <w:rPr>
          <w:rStyle w:val="Emphasis"/>
          <w:rFonts w:cstheme="minorHAnsi"/>
          <w:b w:val="0"/>
          <w:sz w:val="24"/>
          <w:szCs w:val="24"/>
        </w:rPr>
        <w:t xml:space="preserve"> </w:t>
      </w:r>
      <w:r w:rsidR="00157E5B">
        <w:rPr>
          <w:rStyle w:val="Emphasis"/>
          <w:rFonts w:cstheme="minorHAnsi"/>
          <w:b w:val="0"/>
          <w:sz w:val="24"/>
          <w:szCs w:val="24"/>
        </w:rPr>
        <w:t xml:space="preserve">research </w:t>
      </w:r>
      <w:r w:rsidR="00C96D41">
        <w:rPr>
          <w:rStyle w:val="Emphasis"/>
          <w:rFonts w:cstheme="minorHAnsi"/>
          <w:b w:val="0"/>
          <w:sz w:val="24"/>
          <w:szCs w:val="24"/>
        </w:rPr>
        <w:t>might explore</w:t>
      </w:r>
      <w:r w:rsidR="00157E5B">
        <w:rPr>
          <w:rStyle w:val="Emphasis"/>
          <w:rFonts w:cstheme="minorHAnsi"/>
          <w:b w:val="0"/>
          <w:sz w:val="24"/>
          <w:szCs w:val="24"/>
        </w:rPr>
        <w:t xml:space="preserve"> constituency service from the perspective of </w:t>
      </w:r>
      <w:r w:rsidR="0058061E">
        <w:rPr>
          <w:rStyle w:val="Emphasis"/>
          <w:rFonts w:cstheme="minorHAnsi"/>
          <w:b w:val="0"/>
          <w:sz w:val="24"/>
          <w:szCs w:val="24"/>
        </w:rPr>
        <w:t>local councillors.</w:t>
      </w:r>
    </w:p>
    <w:p w14:paraId="2E08227F" w14:textId="77777777" w:rsidR="00CB553E" w:rsidRDefault="00CB553E" w:rsidP="00CB553E">
      <w:pPr>
        <w:spacing w:after="0" w:line="360" w:lineRule="auto"/>
        <w:ind w:firstLine="720"/>
        <w:contextualSpacing/>
        <w:jc w:val="both"/>
        <w:rPr>
          <w:rStyle w:val="Emphasis"/>
          <w:rFonts w:cstheme="minorHAnsi"/>
          <w:b w:val="0"/>
          <w:sz w:val="24"/>
          <w:szCs w:val="24"/>
        </w:rPr>
      </w:pPr>
    </w:p>
    <w:p w14:paraId="3C0E73A0" w14:textId="77777777" w:rsidR="00337A9C" w:rsidRPr="00153D4F" w:rsidRDefault="00337A9C" w:rsidP="00337A9C">
      <w:pPr>
        <w:spacing w:line="360" w:lineRule="auto"/>
        <w:rPr>
          <w:rFonts w:cstheme="minorHAnsi"/>
          <w:b/>
          <w:sz w:val="24"/>
          <w:szCs w:val="24"/>
        </w:rPr>
      </w:pPr>
      <w:r>
        <w:rPr>
          <w:rFonts w:cstheme="minorHAnsi"/>
          <w:b/>
          <w:sz w:val="24"/>
          <w:szCs w:val="24"/>
        </w:rPr>
        <w:t>Constituency service rationale</w:t>
      </w:r>
    </w:p>
    <w:p w14:paraId="11768A68" w14:textId="77777777" w:rsidR="00153D4F" w:rsidRPr="00337A9C" w:rsidRDefault="00337A9C" w:rsidP="00337A9C">
      <w:pPr>
        <w:spacing w:line="360" w:lineRule="auto"/>
        <w:contextualSpacing/>
        <w:jc w:val="both"/>
        <w:rPr>
          <w:rFonts w:cstheme="minorHAnsi"/>
          <w:sz w:val="24"/>
          <w:szCs w:val="24"/>
        </w:rPr>
      </w:pPr>
      <w:r>
        <w:rPr>
          <w:rFonts w:cstheme="minorHAnsi"/>
          <w:sz w:val="24"/>
          <w:szCs w:val="24"/>
        </w:rPr>
        <w:t>Even</w:t>
      </w:r>
      <w:r w:rsidRPr="00153D4F">
        <w:rPr>
          <w:rFonts w:cstheme="minorHAnsi"/>
          <w:sz w:val="24"/>
          <w:szCs w:val="24"/>
        </w:rPr>
        <w:t xml:space="preserve"> </w:t>
      </w:r>
      <w:r w:rsidR="00153D4F" w:rsidRPr="00337A9C">
        <w:rPr>
          <w:rFonts w:cstheme="minorHAnsi"/>
          <w:sz w:val="24"/>
          <w:szCs w:val="24"/>
        </w:rPr>
        <w:t xml:space="preserve">within Northern Ireland’s political parties, it is clear that some MLAs are more constituency orientated than others. Although much more research is needed on the factors that affect legislators’ constituency effort (Heitshusen </w:t>
      </w:r>
      <w:r w:rsidR="00153D4F" w:rsidRPr="00337A9C">
        <w:rPr>
          <w:rFonts w:cstheme="minorHAnsi"/>
          <w:i/>
          <w:sz w:val="24"/>
          <w:szCs w:val="24"/>
        </w:rPr>
        <w:t>et al</w:t>
      </w:r>
      <w:r w:rsidR="00153D4F" w:rsidRPr="00337A9C">
        <w:rPr>
          <w:rFonts w:cstheme="minorHAnsi"/>
          <w:sz w:val="24"/>
          <w:szCs w:val="24"/>
        </w:rPr>
        <w:t>, 2005), existing literature highlights the influence of electoral rules (</w:t>
      </w:r>
      <w:r w:rsidR="009C563D">
        <w:rPr>
          <w:rFonts w:cstheme="minorHAnsi"/>
          <w:sz w:val="24"/>
          <w:szCs w:val="24"/>
        </w:rPr>
        <w:t>Carey &amp; Sh</w:t>
      </w:r>
      <w:r w:rsidR="00086FEA">
        <w:rPr>
          <w:rFonts w:cstheme="minorHAnsi"/>
          <w:sz w:val="24"/>
          <w:szCs w:val="24"/>
        </w:rPr>
        <w:t>ugart</w:t>
      </w:r>
      <w:r w:rsidR="009C563D">
        <w:rPr>
          <w:rFonts w:cstheme="minorHAnsi"/>
          <w:sz w:val="24"/>
          <w:szCs w:val="24"/>
        </w:rPr>
        <w:t xml:space="preserve">, 1995; </w:t>
      </w:r>
      <w:r w:rsidR="00153D4F" w:rsidRPr="00337A9C">
        <w:rPr>
          <w:rFonts w:cstheme="minorHAnsi"/>
          <w:sz w:val="24"/>
          <w:szCs w:val="24"/>
        </w:rPr>
        <w:t xml:space="preserve">Shugart </w:t>
      </w:r>
      <w:r w:rsidR="00153D4F" w:rsidRPr="00337A9C">
        <w:rPr>
          <w:rFonts w:cstheme="minorHAnsi"/>
          <w:i/>
          <w:sz w:val="24"/>
          <w:szCs w:val="24"/>
        </w:rPr>
        <w:t>et al.</w:t>
      </w:r>
      <w:r w:rsidR="004302A8">
        <w:rPr>
          <w:rFonts w:cstheme="minorHAnsi"/>
          <w:sz w:val="24"/>
          <w:szCs w:val="24"/>
        </w:rPr>
        <w:t>, 2005</w:t>
      </w:r>
      <w:r w:rsidR="00153D4F" w:rsidRPr="00337A9C">
        <w:rPr>
          <w:rFonts w:cstheme="minorHAnsi"/>
          <w:sz w:val="24"/>
          <w:szCs w:val="24"/>
        </w:rPr>
        <w:t xml:space="preserve">), electoral vulnerability (Cain </w:t>
      </w:r>
      <w:r w:rsidR="00153D4F" w:rsidRPr="00337A9C">
        <w:rPr>
          <w:rFonts w:cstheme="minorHAnsi"/>
          <w:i/>
          <w:sz w:val="24"/>
          <w:szCs w:val="24"/>
        </w:rPr>
        <w:t>et al</w:t>
      </w:r>
      <w:r w:rsidR="00153D4F" w:rsidRPr="00337A9C">
        <w:rPr>
          <w:rFonts w:cstheme="minorHAnsi"/>
          <w:sz w:val="24"/>
          <w:szCs w:val="24"/>
        </w:rPr>
        <w:t>., 1987; Johannes, 1980), and legislators’ role orientations (Searing, 1985; 1994). All MLAs in Northern Ireland are elected via the Single Transferable Vote (PR-STV) and, as such, the effect of differing electoral rules used to explain constituency service variation in devolved Scotland and Wales (Bradbury &amp; Mitchell, 2007) is not applicable here. Thus, in this section we assess the relationship between MLAs’ constituency service, their electoral vulnerability, and their role orientations.</w:t>
      </w:r>
    </w:p>
    <w:p w14:paraId="0BA883FD" w14:textId="77777777" w:rsidR="00153D4F" w:rsidRDefault="00153D4F" w:rsidP="00153D4F">
      <w:pPr>
        <w:spacing w:line="276" w:lineRule="auto"/>
        <w:contextualSpacing/>
        <w:jc w:val="both"/>
        <w:rPr>
          <w:rFonts w:cstheme="minorHAnsi"/>
        </w:rPr>
      </w:pPr>
    </w:p>
    <w:p w14:paraId="5F42EA5B" w14:textId="77777777" w:rsidR="009A6489" w:rsidRDefault="009A6489" w:rsidP="00153D4F">
      <w:pPr>
        <w:spacing w:line="276" w:lineRule="auto"/>
        <w:contextualSpacing/>
        <w:jc w:val="both"/>
        <w:rPr>
          <w:rFonts w:cstheme="minorHAnsi"/>
          <w:b/>
          <w:i/>
          <w:sz w:val="24"/>
          <w:szCs w:val="24"/>
        </w:rPr>
      </w:pPr>
    </w:p>
    <w:p w14:paraId="5ADC29F8" w14:textId="77777777" w:rsidR="00153D4F" w:rsidRPr="00337A9C" w:rsidRDefault="006B326B" w:rsidP="00153D4F">
      <w:pPr>
        <w:spacing w:line="276" w:lineRule="auto"/>
        <w:contextualSpacing/>
        <w:jc w:val="both"/>
        <w:rPr>
          <w:rFonts w:cstheme="minorHAnsi"/>
          <w:b/>
          <w:i/>
          <w:sz w:val="24"/>
          <w:szCs w:val="24"/>
        </w:rPr>
      </w:pPr>
      <w:r>
        <w:rPr>
          <w:rFonts w:cstheme="minorHAnsi"/>
          <w:b/>
          <w:i/>
          <w:sz w:val="24"/>
          <w:szCs w:val="24"/>
        </w:rPr>
        <w:lastRenderedPageBreak/>
        <w:t>A response to electoral v</w:t>
      </w:r>
      <w:r w:rsidR="00153D4F" w:rsidRPr="00337A9C">
        <w:rPr>
          <w:rFonts w:cstheme="minorHAnsi"/>
          <w:b/>
          <w:i/>
          <w:sz w:val="24"/>
          <w:szCs w:val="24"/>
        </w:rPr>
        <w:t>ulnerability?</w:t>
      </w:r>
    </w:p>
    <w:p w14:paraId="4B42FD9D" w14:textId="77777777" w:rsidR="00153D4F" w:rsidRPr="001C7187" w:rsidRDefault="00153D4F" w:rsidP="00153D4F">
      <w:pPr>
        <w:spacing w:line="276" w:lineRule="auto"/>
        <w:contextualSpacing/>
        <w:jc w:val="both"/>
        <w:rPr>
          <w:rFonts w:cstheme="minorHAnsi"/>
          <w:i/>
        </w:rPr>
      </w:pPr>
    </w:p>
    <w:p w14:paraId="640846CD" w14:textId="77777777" w:rsidR="00153D4F" w:rsidRPr="00337A9C" w:rsidRDefault="00153D4F" w:rsidP="00337A9C">
      <w:pPr>
        <w:spacing w:line="360" w:lineRule="auto"/>
        <w:contextualSpacing/>
        <w:jc w:val="both"/>
        <w:rPr>
          <w:rFonts w:cstheme="minorHAnsi"/>
          <w:sz w:val="24"/>
          <w:szCs w:val="24"/>
        </w:rPr>
      </w:pPr>
      <w:r w:rsidRPr="00337A9C">
        <w:rPr>
          <w:rFonts w:cstheme="minorHAnsi"/>
          <w:sz w:val="24"/>
          <w:szCs w:val="24"/>
        </w:rPr>
        <w:t>Constituency service enables legislators to credit-claim in their districts (Mayhew, 1974) and is of strategic value in developing a favourable local reputation (Fenno, 1978). Whether or not constituency service translates into concrete electoral reward, however, is open to ques</w:t>
      </w:r>
      <w:r w:rsidR="009100C1">
        <w:rPr>
          <w:rFonts w:cstheme="minorHAnsi"/>
          <w:sz w:val="24"/>
          <w:szCs w:val="24"/>
        </w:rPr>
        <w:t>tion (Studlar &amp; McAllister, 1996;</w:t>
      </w:r>
      <w:r w:rsidRPr="00337A9C">
        <w:rPr>
          <w:rFonts w:cstheme="minorHAnsi"/>
          <w:sz w:val="24"/>
          <w:szCs w:val="24"/>
        </w:rPr>
        <w:t xml:space="preserve"> Martin, 2010). Nevertheless, evidence that electorally vulnerable legislators conduct more constituency service (Johannes, 1980; Cain </w:t>
      </w:r>
      <w:r w:rsidRPr="00337A9C">
        <w:rPr>
          <w:rFonts w:cstheme="minorHAnsi"/>
          <w:i/>
          <w:sz w:val="24"/>
          <w:szCs w:val="24"/>
        </w:rPr>
        <w:t>et al</w:t>
      </w:r>
      <w:r w:rsidRPr="00337A9C">
        <w:rPr>
          <w:rFonts w:cstheme="minorHAnsi"/>
          <w:sz w:val="24"/>
          <w:szCs w:val="24"/>
        </w:rPr>
        <w:t xml:space="preserve">., 1987) suggests that, at the very least, it is perceived to be a means of improving one’s electoral security. </w:t>
      </w:r>
    </w:p>
    <w:p w14:paraId="2C910D5A" w14:textId="77777777" w:rsidR="00153D4F" w:rsidRPr="00337A9C" w:rsidRDefault="00153D4F" w:rsidP="00337A9C">
      <w:pPr>
        <w:spacing w:line="360" w:lineRule="auto"/>
        <w:ind w:firstLine="720"/>
        <w:contextualSpacing/>
        <w:jc w:val="both"/>
        <w:rPr>
          <w:rFonts w:cstheme="minorHAnsi"/>
          <w:sz w:val="24"/>
          <w:szCs w:val="24"/>
        </w:rPr>
      </w:pPr>
      <w:r w:rsidRPr="00337A9C">
        <w:rPr>
          <w:rFonts w:cstheme="minorHAnsi"/>
          <w:sz w:val="24"/>
          <w:szCs w:val="24"/>
        </w:rPr>
        <w:t xml:space="preserve">Given that MLAs are elected via PR-STV, a highly preferential electoral system, their electoral security is particularly precarious. Whereas legislators in non-preferential systems risk losing their seat only to another party, those in preferential systems can be unseated by other parties </w:t>
      </w:r>
      <w:r w:rsidRPr="00337A9C">
        <w:rPr>
          <w:rFonts w:cstheme="minorHAnsi"/>
          <w:i/>
          <w:sz w:val="24"/>
          <w:szCs w:val="24"/>
        </w:rPr>
        <w:t xml:space="preserve">and </w:t>
      </w:r>
      <w:r w:rsidRPr="00337A9C">
        <w:rPr>
          <w:rFonts w:cstheme="minorHAnsi"/>
          <w:sz w:val="24"/>
          <w:szCs w:val="24"/>
        </w:rPr>
        <w:t xml:space="preserve">party colleagues (Katz, 1986). Competition from party colleagues – intra-party competition – creates a ‘product differentiation problem’ for those affected since party label must be shared with others and, by itself, does not guarantee election (Cox &amp; Thies 1998: 271). To circumvent this problem, legislators seek to distinguish themselves by cultivating personal support in the constituency through, among other things, the provision of constituency service (Carey &amp; Shugart, 1995). </w:t>
      </w:r>
      <w:proofErr w:type="gramStart"/>
      <w:r w:rsidRPr="00337A9C">
        <w:rPr>
          <w:rFonts w:cstheme="minorHAnsi"/>
          <w:sz w:val="24"/>
          <w:szCs w:val="24"/>
        </w:rPr>
        <w:t>Thus</w:t>
      </w:r>
      <w:proofErr w:type="gramEnd"/>
      <w:r w:rsidRPr="00337A9C">
        <w:rPr>
          <w:rFonts w:cstheme="minorHAnsi"/>
          <w:sz w:val="24"/>
          <w:szCs w:val="24"/>
        </w:rPr>
        <w:t xml:space="preserve"> in the Republic of Ireland, which also uses the PR-STV electoral system, TDs’ constituency service has been attributed to fierce competition bet</w:t>
      </w:r>
      <w:r w:rsidR="00F97506">
        <w:rPr>
          <w:rFonts w:cstheme="minorHAnsi"/>
          <w:sz w:val="24"/>
          <w:szCs w:val="24"/>
        </w:rPr>
        <w:t>ween co-partisans (Komito, 1984</w:t>
      </w:r>
      <w:r w:rsidRPr="00337A9C">
        <w:rPr>
          <w:rFonts w:cstheme="minorHAnsi"/>
          <w:sz w:val="24"/>
          <w:szCs w:val="24"/>
        </w:rPr>
        <w:t xml:space="preserve">; Boland, 1991). ‘With little to distinguish themselves from their opponents (particularly party colleagues)’, agues Carty (1981: 134), TDs ‘are driven to emphasise their brokerage services to constituents’. </w:t>
      </w:r>
    </w:p>
    <w:p w14:paraId="3449156B" w14:textId="77777777" w:rsidR="001D08FF" w:rsidRDefault="00153D4F" w:rsidP="001D08FF">
      <w:pPr>
        <w:spacing w:line="360" w:lineRule="auto"/>
        <w:ind w:firstLine="720"/>
        <w:contextualSpacing/>
        <w:jc w:val="both"/>
        <w:rPr>
          <w:rFonts w:cstheme="minorHAnsi"/>
          <w:sz w:val="24"/>
          <w:szCs w:val="24"/>
        </w:rPr>
      </w:pPr>
      <w:r w:rsidRPr="00337A9C">
        <w:rPr>
          <w:rFonts w:cstheme="minorHAnsi"/>
          <w:sz w:val="24"/>
          <w:szCs w:val="24"/>
        </w:rPr>
        <w:t xml:space="preserve">Given the NIA’s use of PR-STV, there is a </w:t>
      </w:r>
      <w:r w:rsidRPr="00337A9C">
        <w:rPr>
          <w:rFonts w:cstheme="minorHAnsi"/>
          <w:i/>
          <w:sz w:val="24"/>
          <w:szCs w:val="24"/>
        </w:rPr>
        <w:t xml:space="preserve">prima facie </w:t>
      </w:r>
      <w:r w:rsidRPr="00337A9C">
        <w:rPr>
          <w:rFonts w:cstheme="minorHAnsi"/>
          <w:sz w:val="24"/>
          <w:szCs w:val="24"/>
        </w:rPr>
        <w:t>case for MLAs’ constituency service to be linked to intra-party vulnerability. The majority of NIA constituencies elect co-partisans, with some districts having as many as three to five party colleagues competing for election alongside one another. Given the product differentiation problem this can create, it is reasonable to assume that MLAs might use constituency service to gain a competitive edge over co-partisans. To test for this, we operationalise the intra-party vulnera</w:t>
      </w:r>
      <w:r w:rsidR="009C563D">
        <w:rPr>
          <w:rFonts w:cstheme="minorHAnsi"/>
          <w:sz w:val="24"/>
          <w:szCs w:val="24"/>
        </w:rPr>
        <w:t xml:space="preserve">bility measure devised by André, Depauw and Martin </w:t>
      </w:r>
      <w:r w:rsidRPr="00337A9C">
        <w:rPr>
          <w:rFonts w:cstheme="minorHAnsi"/>
          <w:sz w:val="24"/>
          <w:szCs w:val="24"/>
        </w:rPr>
        <w:t>(2015) and run a simple bivariate correlation analysis with MLAs’ constituency service hours.</w:t>
      </w:r>
      <w:r w:rsidRPr="00337A9C">
        <w:rPr>
          <w:rStyle w:val="EndnoteReference"/>
          <w:rFonts w:cstheme="minorHAnsi"/>
          <w:sz w:val="24"/>
          <w:szCs w:val="24"/>
        </w:rPr>
        <w:endnoteReference w:id="13"/>
      </w:r>
    </w:p>
    <w:p w14:paraId="2074D4AA" w14:textId="4FC09BF8" w:rsidR="00153D4F" w:rsidRPr="00133663" w:rsidRDefault="005D5BDF" w:rsidP="00CC215A">
      <w:pPr>
        <w:spacing w:line="360" w:lineRule="auto"/>
        <w:ind w:firstLine="709"/>
        <w:contextualSpacing/>
        <w:jc w:val="both"/>
        <w:rPr>
          <w:rFonts w:cstheme="minorHAnsi"/>
          <w:sz w:val="24"/>
          <w:szCs w:val="24"/>
        </w:rPr>
      </w:pPr>
      <w:r>
        <w:rPr>
          <w:rFonts w:cstheme="minorHAnsi"/>
          <w:sz w:val="24"/>
          <w:szCs w:val="24"/>
        </w:rPr>
        <w:t xml:space="preserve">Contrary to what we might expect, however, intra-party vulnerability is not a reliable predicator of MLAs’ constituency service; </w:t>
      </w:r>
      <w:r w:rsidR="00007C4B">
        <w:rPr>
          <w:rFonts w:cstheme="minorHAnsi"/>
          <w:sz w:val="24"/>
          <w:szCs w:val="24"/>
        </w:rPr>
        <w:t xml:space="preserve">only weak </w:t>
      </w:r>
      <w:r>
        <w:rPr>
          <w:rFonts w:cstheme="minorHAnsi"/>
          <w:sz w:val="24"/>
          <w:szCs w:val="24"/>
        </w:rPr>
        <w:t xml:space="preserve">and statistically insignificant correlation emerges. </w:t>
      </w:r>
      <w:r w:rsidR="00007C4B">
        <w:rPr>
          <w:rFonts w:cstheme="minorHAnsi"/>
          <w:sz w:val="24"/>
          <w:szCs w:val="24"/>
        </w:rPr>
        <w:t xml:space="preserve">MLAs elected alongside co-partisans are no more constituency-orientated than </w:t>
      </w:r>
      <w:r w:rsidR="00007C4B">
        <w:rPr>
          <w:rFonts w:cstheme="minorHAnsi"/>
          <w:sz w:val="24"/>
          <w:szCs w:val="24"/>
        </w:rPr>
        <w:lastRenderedPageBreak/>
        <w:t>those elected as the sole representative of their political party</w:t>
      </w:r>
      <w:r w:rsidR="00CC215A">
        <w:rPr>
          <w:rFonts w:cstheme="minorHAnsi"/>
          <w:sz w:val="24"/>
          <w:szCs w:val="24"/>
        </w:rPr>
        <w:t xml:space="preserve"> in the district</w:t>
      </w:r>
      <w:r w:rsidR="00007C4B">
        <w:rPr>
          <w:rFonts w:cstheme="minorHAnsi"/>
          <w:sz w:val="24"/>
          <w:szCs w:val="24"/>
        </w:rPr>
        <w:t xml:space="preserve">. </w:t>
      </w:r>
      <w:r w:rsidR="00112600">
        <w:rPr>
          <w:rFonts w:cstheme="minorHAnsi"/>
          <w:sz w:val="24"/>
          <w:szCs w:val="24"/>
        </w:rPr>
        <w:t>In accounting for this, the views of MLAs on co-partisan competi</w:t>
      </w:r>
      <w:r w:rsidR="00133663">
        <w:rPr>
          <w:rFonts w:cstheme="minorHAnsi"/>
          <w:sz w:val="24"/>
          <w:szCs w:val="24"/>
        </w:rPr>
        <w:t xml:space="preserve">tion – </w:t>
      </w:r>
      <w:r w:rsidR="00112600">
        <w:rPr>
          <w:rFonts w:cstheme="minorHAnsi"/>
          <w:sz w:val="24"/>
          <w:szCs w:val="24"/>
        </w:rPr>
        <w:t xml:space="preserve">or, </w:t>
      </w:r>
      <w:r w:rsidR="00133663">
        <w:rPr>
          <w:rFonts w:cstheme="minorHAnsi"/>
          <w:sz w:val="24"/>
          <w:szCs w:val="24"/>
        </w:rPr>
        <w:t>as the case may be</w:t>
      </w:r>
      <w:r w:rsidR="00112600">
        <w:rPr>
          <w:rFonts w:cstheme="minorHAnsi"/>
          <w:sz w:val="24"/>
          <w:szCs w:val="24"/>
        </w:rPr>
        <w:t xml:space="preserve">, </w:t>
      </w:r>
      <w:r w:rsidR="00133663">
        <w:rPr>
          <w:rFonts w:cstheme="minorHAnsi"/>
          <w:sz w:val="24"/>
          <w:szCs w:val="24"/>
        </w:rPr>
        <w:t xml:space="preserve">co-partisan cooperation – </w:t>
      </w:r>
      <w:r w:rsidR="00112600">
        <w:rPr>
          <w:rFonts w:cstheme="minorHAnsi"/>
          <w:sz w:val="24"/>
          <w:szCs w:val="24"/>
        </w:rPr>
        <w:t xml:space="preserve">are helpful. </w:t>
      </w:r>
      <w:r w:rsidR="001D68C1">
        <w:rPr>
          <w:rFonts w:cstheme="minorHAnsi"/>
          <w:sz w:val="24"/>
          <w:szCs w:val="24"/>
        </w:rPr>
        <w:t>I</w:t>
      </w:r>
      <w:r w:rsidR="00153D4F" w:rsidRPr="00337A9C">
        <w:rPr>
          <w:rFonts w:cstheme="minorHAnsi"/>
          <w:sz w:val="24"/>
          <w:szCs w:val="24"/>
        </w:rPr>
        <w:t>nterview evidence suggests that MLAs do not view their co-partisans in overly competitive terms. Co-partisans, for the most part, represent more friend that foe, easing the ‘burden’ of constituency work by enabling a division of labour.</w:t>
      </w:r>
      <w:r w:rsidR="00153D4F" w:rsidRPr="00337A9C">
        <w:rPr>
          <w:rStyle w:val="EndnoteReference"/>
          <w:rFonts w:cstheme="minorHAnsi"/>
          <w:sz w:val="24"/>
          <w:szCs w:val="24"/>
        </w:rPr>
        <w:endnoteReference w:id="14"/>
      </w:r>
      <w:r w:rsidR="00153D4F" w:rsidRPr="00337A9C">
        <w:rPr>
          <w:rFonts w:cstheme="minorHAnsi"/>
          <w:sz w:val="24"/>
          <w:szCs w:val="24"/>
        </w:rPr>
        <w:t xml:space="preserve"> As opposed to representing the constituency in its entirety, co-partisans agree to a territorial division of the district which, in essence, accords each MLA their own personal sphere of influence within which to act as the party’s primary representative:</w:t>
      </w:r>
      <w:r w:rsidR="00153D4F">
        <w:rPr>
          <w:rFonts w:cstheme="minorHAnsi"/>
        </w:rPr>
        <w:t xml:space="preserve"> </w:t>
      </w:r>
    </w:p>
    <w:p w14:paraId="3D0F4072" w14:textId="77777777" w:rsidR="00153D4F" w:rsidRDefault="00153D4F" w:rsidP="00153D4F">
      <w:pPr>
        <w:spacing w:line="276" w:lineRule="auto"/>
        <w:contextualSpacing/>
        <w:jc w:val="both"/>
        <w:rPr>
          <w:rFonts w:cstheme="minorHAnsi"/>
        </w:rPr>
      </w:pPr>
    </w:p>
    <w:p w14:paraId="0D282238" w14:textId="77777777" w:rsidR="00153D4F" w:rsidRDefault="00153D4F" w:rsidP="009B152A">
      <w:pPr>
        <w:spacing w:line="360" w:lineRule="auto"/>
        <w:ind w:left="709" w:right="425"/>
        <w:contextualSpacing/>
        <w:jc w:val="both"/>
        <w:rPr>
          <w:rFonts w:cstheme="minorHAnsi"/>
        </w:rPr>
      </w:pPr>
      <w:r>
        <w:rPr>
          <w:rFonts w:cstheme="minorHAnsi"/>
        </w:rPr>
        <w:t xml:space="preserve">It’s a matter of geographically dividing things […] if you make a sensible division of areas, you can avoid that kind of [co-partisan] rivalry. My constituency is easy because it has two large centres of population. </w:t>
      </w:r>
      <w:proofErr w:type="gramStart"/>
      <w:r>
        <w:rPr>
          <w:rFonts w:cstheme="minorHAnsi"/>
        </w:rPr>
        <w:t>So</w:t>
      </w:r>
      <w:proofErr w:type="gramEnd"/>
      <w:r>
        <w:rPr>
          <w:rFonts w:cstheme="minorHAnsi"/>
        </w:rPr>
        <w:t xml:space="preserve"> we base one representative in one centre and one in the other.</w:t>
      </w:r>
      <w:r w:rsidRPr="00F223B1">
        <w:rPr>
          <w:rStyle w:val="EndnoteReference"/>
          <w:rFonts w:cstheme="minorHAnsi"/>
        </w:rPr>
        <w:endnoteReference w:id="15"/>
      </w:r>
    </w:p>
    <w:p w14:paraId="57B578C9" w14:textId="77777777" w:rsidR="00153D4F" w:rsidRDefault="00153D4F" w:rsidP="00153D4F">
      <w:pPr>
        <w:spacing w:line="276" w:lineRule="auto"/>
        <w:contextualSpacing/>
        <w:jc w:val="both"/>
        <w:rPr>
          <w:rFonts w:cstheme="minorHAnsi"/>
        </w:rPr>
      </w:pPr>
    </w:p>
    <w:p w14:paraId="67E7AAEE" w14:textId="77777777" w:rsidR="00153D4F" w:rsidRPr="00337A9C" w:rsidRDefault="00153D4F" w:rsidP="00337A9C">
      <w:pPr>
        <w:spacing w:line="360" w:lineRule="auto"/>
        <w:contextualSpacing/>
        <w:jc w:val="both"/>
        <w:rPr>
          <w:rFonts w:cstheme="minorHAnsi"/>
          <w:sz w:val="24"/>
          <w:szCs w:val="24"/>
        </w:rPr>
      </w:pPr>
      <w:r w:rsidRPr="00337A9C">
        <w:rPr>
          <w:rFonts w:cstheme="minorHAnsi"/>
          <w:sz w:val="24"/>
          <w:szCs w:val="24"/>
        </w:rPr>
        <w:t>Having a personal sphere of influence deals with the product differentiation problem that MLAs might otherwise experience in circumstances of unbridled co-partisan competition. Party label is not shared in the sub-constituency, affording the MLA an individual profile. Crucially, sub-constituency boundaries are integrated into parties’ vote management strategies, with each co-partisan MLA only canvassing for first preference votes in ‘their’ area:</w:t>
      </w:r>
    </w:p>
    <w:p w14:paraId="3D956C97" w14:textId="77777777" w:rsidR="00153D4F" w:rsidRPr="00F223B1" w:rsidRDefault="00153D4F" w:rsidP="00153D4F">
      <w:pPr>
        <w:spacing w:line="276" w:lineRule="auto"/>
        <w:contextualSpacing/>
        <w:jc w:val="both"/>
        <w:rPr>
          <w:rFonts w:cstheme="minorHAnsi"/>
        </w:rPr>
      </w:pPr>
    </w:p>
    <w:p w14:paraId="2873A790" w14:textId="77777777" w:rsidR="00153D4F" w:rsidRDefault="00153D4F" w:rsidP="00337A9C">
      <w:pPr>
        <w:spacing w:line="360" w:lineRule="auto"/>
        <w:ind w:left="709" w:right="425"/>
        <w:contextualSpacing/>
        <w:jc w:val="both"/>
        <w:rPr>
          <w:rFonts w:cstheme="minorHAnsi"/>
        </w:rPr>
      </w:pPr>
      <w:r w:rsidRPr="00F223B1">
        <w:rPr>
          <w:rFonts w:cstheme="minorHAnsi"/>
        </w:rPr>
        <w:t xml:space="preserve">We have three candidates running in [constituency]. The first decision we had to make after we were selected for the constituency was how we were going to divide the district up in terms of who will be canvassing in which areas. I will be canvassing in </w:t>
      </w:r>
      <w:r w:rsidRPr="00F223B1">
        <w:rPr>
          <w:rFonts w:cstheme="minorHAnsi"/>
          <w:i/>
        </w:rPr>
        <w:t xml:space="preserve">my </w:t>
      </w:r>
      <w:r w:rsidRPr="00F223B1">
        <w:rPr>
          <w:rFonts w:cstheme="minorHAnsi"/>
        </w:rPr>
        <w:t xml:space="preserve">area and the other candidates will canvass in </w:t>
      </w:r>
      <w:r w:rsidRPr="00F223B1">
        <w:rPr>
          <w:rFonts w:cstheme="minorHAnsi"/>
          <w:i/>
        </w:rPr>
        <w:t xml:space="preserve">their </w:t>
      </w:r>
      <w:r w:rsidRPr="00F223B1">
        <w:rPr>
          <w:rFonts w:cstheme="minorHAnsi"/>
        </w:rPr>
        <w:t>areas.</w:t>
      </w:r>
      <w:r w:rsidRPr="00F223B1">
        <w:rPr>
          <w:rStyle w:val="EndnoteReference"/>
          <w:rFonts w:cstheme="minorHAnsi"/>
        </w:rPr>
        <w:endnoteReference w:id="16"/>
      </w:r>
    </w:p>
    <w:p w14:paraId="77EFF675" w14:textId="77777777" w:rsidR="00153D4F" w:rsidRDefault="00153D4F" w:rsidP="00153D4F">
      <w:pPr>
        <w:spacing w:line="276" w:lineRule="auto"/>
        <w:ind w:right="567"/>
        <w:contextualSpacing/>
        <w:jc w:val="both"/>
        <w:rPr>
          <w:rFonts w:cstheme="minorHAnsi"/>
        </w:rPr>
      </w:pPr>
    </w:p>
    <w:p w14:paraId="4BCEDAB8" w14:textId="628DD8F0" w:rsidR="00153D4F" w:rsidRPr="006B326B" w:rsidRDefault="00153D4F" w:rsidP="006B326B">
      <w:pPr>
        <w:spacing w:line="360" w:lineRule="auto"/>
        <w:contextualSpacing/>
        <w:jc w:val="both"/>
        <w:rPr>
          <w:rFonts w:cstheme="minorHAnsi"/>
          <w:sz w:val="24"/>
          <w:szCs w:val="24"/>
        </w:rPr>
      </w:pPr>
      <w:r w:rsidRPr="006B326B">
        <w:rPr>
          <w:rFonts w:cstheme="minorHAnsi"/>
          <w:sz w:val="24"/>
          <w:szCs w:val="24"/>
        </w:rPr>
        <w:t>This type of con-partisan cooperation is not, of course, unique to Northern Ireland. Most notably, parties in the Republic of Ireland adopt a similar practice of establishing personal ‘bailiwicks’, where constituencies are parcelled up among co-partisans (Sacks, 1970). Evidently, however, the practice does not inhibit co-partisan TDs from defying bailiwick boundaries and campaigning in one another’s areas (</w:t>
      </w:r>
      <w:r w:rsidR="00C35644">
        <w:rPr>
          <w:rFonts w:cstheme="minorHAnsi"/>
          <w:sz w:val="24"/>
          <w:szCs w:val="24"/>
        </w:rPr>
        <w:t>Downing</w:t>
      </w:r>
      <w:r w:rsidRPr="006B326B">
        <w:rPr>
          <w:rFonts w:cstheme="minorHAnsi"/>
          <w:sz w:val="24"/>
          <w:szCs w:val="24"/>
        </w:rPr>
        <w:t>, 2014). Perhaps unsurprisingly, then, research reveals a statistically significant relationship between co-partisan competition and constituency-orientation in the Republic of Ireland.</w:t>
      </w:r>
      <w:r w:rsidRPr="006B326B">
        <w:rPr>
          <w:rStyle w:val="EndnoteReference"/>
          <w:rFonts w:cstheme="minorHAnsi"/>
          <w:sz w:val="24"/>
          <w:szCs w:val="24"/>
        </w:rPr>
        <w:endnoteReference w:id="17"/>
      </w:r>
      <w:r w:rsidRPr="006B326B">
        <w:rPr>
          <w:rFonts w:cstheme="minorHAnsi"/>
          <w:sz w:val="24"/>
          <w:szCs w:val="24"/>
        </w:rPr>
        <w:t xml:space="preserve"> In Northern Ireland, where MLAs are particularly l</w:t>
      </w:r>
      <w:r w:rsidR="00473C87">
        <w:rPr>
          <w:rFonts w:cstheme="minorHAnsi"/>
          <w:sz w:val="24"/>
          <w:szCs w:val="24"/>
        </w:rPr>
        <w:t>oyal to party (see Wilford, 2015</w:t>
      </w:r>
      <w:r w:rsidRPr="006B326B">
        <w:rPr>
          <w:rFonts w:cstheme="minorHAnsi"/>
          <w:sz w:val="24"/>
          <w:szCs w:val="24"/>
        </w:rPr>
        <w:t xml:space="preserve">), sub-constituency boundaries are, for the </w:t>
      </w:r>
      <w:r w:rsidRPr="006B326B">
        <w:rPr>
          <w:rFonts w:cstheme="minorHAnsi"/>
          <w:sz w:val="24"/>
          <w:szCs w:val="24"/>
        </w:rPr>
        <w:lastRenderedPageBreak/>
        <w:t>most part, rigidly adhered to.</w:t>
      </w:r>
      <w:r w:rsidR="000A5CCA">
        <w:rPr>
          <w:rFonts w:cstheme="minorHAnsi"/>
          <w:sz w:val="24"/>
          <w:szCs w:val="24"/>
        </w:rPr>
        <w:t xml:space="preserve"> </w:t>
      </w:r>
      <w:r w:rsidR="006107C8">
        <w:rPr>
          <w:rFonts w:cstheme="minorHAnsi"/>
          <w:sz w:val="24"/>
          <w:szCs w:val="24"/>
        </w:rPr>
        <w:t>A veteran Sinn Fein MLA notes that she has ‘never’ witnessed friction or electoral rivalry between co-partisans in her party: ‘Sinn Fein work as a team’.</w:t>
      </w:r>
      <w:r w:rsidR="00516BE1">
        <w:rPr>
          <w:rStyle w:val="EndnoteReference"/>
          <w:rFonts w:cstheme="minorHAnsi"/>
          <w:sz w:val="24"/>
          <w:szCs w:val="24"/>
        </w:rPr>
        <w:endnoteReference w:id="18"/>
      </w:r>
      <w:r w:rsidR="006107C8">
        <w:rPr>
          <w:rFonts w:cstheme="minorHAnsi"/>
          <w:sz w:val="24"/>
          <w:szCs w:val="24"/>
        </w:rPr>
        <w:t xml:space="preserve"> </w:t>
      </w:r>
      <w:r w:rsidR="00516BE1">
        <w:rPr>
          <w:rFonts w:cstheme="minorHAnsi"/>
          <w:sz w:val="24"/>
          <w:szCs w:val="24"/>
        </w:rPr>
        <w:t xml:space="preserve">Even within the DUP, the largest party with the most co-partisans </w:t>
      </w:r>
      <w:r w:rsidR="00BD2A8C">
        <w:rPr>
          <w:rFonts w:cstheme="minorHAnsi"/>
          <w:sz w:val="24"/>
          <w:szCs w:val="24"/>
        </w:rPr>
        <w:t>among</w:t>
      </w:r>
      <w:r w:rsidR="00516BE1">
        <w:rPr>
          <w:rFonts w:cstheme="minorHAnsi"/>
          <w:sz w:val="24"/>
          <w:szCs w:val="24"/>
        </w:rPr>
        <w:t xml:space="preserve"> its ranks,</w:t>
      </w:r>
      <w:r w:rsidR="000A5CCA">
        <w:rPr>
          <w:rFonts w:cstheme="minorHAnsi"/>
          <w:sz w:val="24"/>
          <w:szCs w:val="24"/>
        </w:rPr>
        <w:t xml:space="preserve"> ‘aggravation’ between co-partisans</w:t>
      </w:r>
      <w:r w:rsidR="00516BE1">
        <w:rPr>
          <w:rFonts w:cstheme="minorHAnsi"/>
          <w:sz w:val="24"/>
          <w:szCs w:val="24"/>
        </w:rPr>
        <w:t>, according to one MLA,</w:t>
      </w:r>
      <w:r w:rsidR="000A5CCA">
        <w:rPr>
          <w:rFonts w:cstheme="minorHAnsi"/>
          <w:sz w:val="24"/>
          <w:szCs w:val="24"/>
        </w:rPr>
        <w:t xml:space="preserve"> is rare.</w:t>
      </w:r>
      <w:r w:rsidR="00CC215A">
        <w:rPr>
          <w:rStyle w:val="EndnoteReference"/>
          <w:rFonts w:cstheme="minorHAnsi"/>
          <w:sz w:val="24"/>
          <w:szCs w:val="24"/>
        </w:rPr>
        <w:endnoteReference w:id="19"/>
      </w:r>
      <w:r w:rsidR="000A5CCA">
        <w:rPr>
          <w:rFonts w:cstheme="minorHAnsi"/>
          <w:sz w:val="24"/>
          <w:szCs w:val="24"/>
        </w:rPr>
        <w:t xml:space="preserve"> </w:t>
      </w:r>
      <w:r w:rsidR="00CD326A">
        <w:rPr>
          <w:rFonts w:cstheme="minorHAnsi"/>
          <w:sz w:val="24"/>
          <w:szCs w:val="24"/>
        </w:rPr>
        <w:t>As such, the</w:t>
      </w:r>
      <w:r w:rsidRPr="006B326B">
        <w:rPr>
          <w:rFonts w:cstheme="minorHAnsi"/>
          <w:sz w:val="24"/>
          <w:szCs w:val="24"/>
        </w:rPr>
        <w:t xml:space="preserve"> sub-constituency arrangement </w:t>
      </w:r>
      <w:r w:rsidR="00CD326A">
        <w:rPr>
          <w:rFonts w:cstheme="minorHAnsi"/>
          <w:sz w:val="24"/>
          <w:szCs w:val="24"/>
        </w:rPr>
        <w:t>manages</w:t>
      </w:r>
      <w:r w:rsidRPr="006B326B">
        <w:rPr>
          <w:rFonts w:cstheme="minorHAnsi"/>
          <w:sz w:val="24"/>
          <w:szCs w:val="24"/>
        </w:rPr>
        <w:t xml:space="preserve"> co-partisan competition, mitigating against party colleagues having to outperform one another in a contest of constituency service.</w:t>
      </w:r>
    </w:p>
    <w:p w14:paraId="59A99431" w14:textId="77777777" w:rsidR="00153D4F" w:rsidRDefault="00153D4F" w:rsidP="00153D4F">
      <w:pPr>
        <w:spacing w:line="276" w:lineRule="auto"/>
        <w:contextualSpacing/>
        <w:jc w:val="both"/>
        <w:rPr>
          <w:rFonts w:cstheme="minorHAnsi"/>
          <w:i/>
        </w:rPr>
      </w:pPr>
    </w:p>
    <w:p w14:paraId="59A7035A" w14:textId="77777777" w:rsidR="006B326B" w:rsidRPr="00337A9C" w:rsidRDefault="006B326B" w:rsidP="006B326B">
      <w:pPr>
        <w:spacing w:line="276" w:lineRule="auto"/>
        <w:contextualSpacing/>
        <w:jc w:val="both"/>
        <w:rPr>
          <w:rFonts w:cstheme="minorHAnsi"/>
          <w:b/>
          <w:i/>
          <w:sz w:val="24"/>
          <w:szCs w:val="24"/>
        </w:rPr>
      </w:pPr>
      <w:r>
        <w:rPr>
          <w:rFonts w:cstheme="minorHAnsi"/>
          <w:b/>
          <w:i/>
          <w:sz w:val="24"/>
          <w:szCs w:val="24"/>
        </w:rPr>
        <w:t>A consequence of role orientation</w:t>
      </w:r>
      <w:r w:rsidRPr="00337A9C">
        <w:rPr>
          <w:rFonts w:cstheme="minorHAnsi"/>
          <w:b/>
          <w:i/>
          <w:sz w:val="24"/>
          <w:szCs w:val="24"/>
        </w:rPr>
        <w:t>?</w:t>
      </w:r>
    </w:p>
    <w:p w14:paraId="77386E95" w14:textId="77777777" w:rsidR="006B326B" w:rsidRPr="001C7187" w:rsidRDefault="006B326B" w:rsidP="006B326B">
      <w:pPr>
        <w:spacing w:line="276" w:lineRule="auto"/>
        <w:contextualSpacing/>
        <w:jc w:val="both"/>
        <w:rPr>
          <w:rFonts w:cstheme="minorHAnsi"/>
          <w:i/>
        </w:rPr>
      </w:pPr>
    </w:p>
    <w:p w14:paraId="4AF730A1" w14:textId="54678734" w:rsidR="00153D4F" w:rsidRPr="006B326B" w:rsidRDefault="006B326B" w:rsidP="006B326B">
      <w:pPr>
        <w:spacing w:line="360" w:lineRule="auto"/>
        <w:contextualSpacing/>
        <w:jc w:val="both"/>
        <w:rPr>
          <w:rFonts w:cstheme="minorHAnsi"/>
          <w:bCs/>
          <w:sz w:val="24"/>
          <w:szCs w:val="24"/>
        </w:rPr>
      </w:pPr>
      <w:r>
        <w:rPr>
          <w:rFonts w:cstheme="minorHAnsi"/>
          <w:sz w:val="24"/>
          <w:szCs w:val="24"/>
        </w:rPr>
        <w:t>Role</w:t>
      </w:r>
      <w:r w:rsidRPr="00337A9C">
        <w:rPr>
          <w:rFonts w:cstheme="minorHAnsi"/>
          <w:sz w:val="24"/>
          <w:szCs w:val="24"/>
        </w:rPr>
        <w:t xml:space="preserve"> </w:t>
      </w:r>
      <w:r w:rsidR="00153D4F" w:rsidRPr="006B326B">
        <w:rPr>
          <w:rFonts w:cstheme="minorHAnsi"/>
          <w:sz w:val="24"/>
          <w:szCs w:val="24"/>
        </w:rPr>
        <w:t>analysis is experiencing something of a revival in legislative studies (</w:t>
      </w:r>
      <w:r w:rsidR="00153D4F" w:rsidRPr="006B326B">
        <w:rPr>
          <w:rFonts w:cstheme="minorHAnsi"/>
          <w:bCs/>
          <w:sz w:val="24"/>
          <w:szCs w:val="24"/>
        </w:rPr>
        <w:t xml:space="preserve">Blomgren &amp; Rozenberg, 2012) and offers </w:t>
      </w:r>
      <w:r w:rsidR="00153D4F" w:rsidRPr="00473C87">
        <w:rPr>
          <w:rFonts w:cstheme="minorHAnsi"/>
          <w:bCs/>
          <w:sz w:val="24"/>
          <w:szCs w:val="24"/>
        </w:rPr>
        <w:t>an alternative, non-electoral, explanation for constituency service variation. ‘Role’ refers to a perceived set of norms which legislators associate with their position (</w:t>
      </w:r>
      <w:r w:rsidR="00473C87" w:rsidRPr="00473C87">
        <w:rPr>
          <w:sz w:val="24"/>
          <w:szCs w:val="24"/>
        </w:rPr>
        <w:t>Wahlke, Buchanan, Eulau &amp; Ferguson, 1962</w:t>
      </w:r>
      <w:r w:rsidR="00153D4F" w:rsidRPr="00473C87">
        <w:rPr>
          <w:rFonts w:cstheme="minorHAnsi"/>
          <w:bCs/>
          <w:sz w:val="24"/>
          <w:szCs w:val="24"/>
        </w:rPr>
        <w:t>). Although</w:t>
      </w:r>
      <w:r w:rsidR="00153D4F" w:rsidRPr="006B326B">
        <w:rPr>
          <w:rFonts w:cstheme="minorHAnsi"/>
          <w:bCs/>
          <w:sz w:val="24"/>
          <w:szCs w:val="24"/>
        </w:rPr>
        <w:t xml:space="preserve"> some question the behavioural consequences of role orientations (</w:t>
      </w:r>
      <w:r w:rsidR="00F01897">
        <w:rPr>
          <w:rFonts w:cstheme="minorHAnsi"/>
          <w:bCs/>
          <w:sz w:val="24"/>
          <w:szCs w:val="24"/>
        </w:rPr>
        <w:t xml:space="preserve">e.g. </w:t>
      </w:r>
      <w:r w:rsidR="00153D4F" w:rsidRPr="006B326B">
        <w:rPr>
          <w:rFonts w:cstheme="minorHAnsi"/>
          <w:bCs/>
          <w:sz w:val="24"/>
          <w:szCs w:val="24"/>
        </w:rPr>
        <w:t>Jewell, 1970), Searing (1994) offers empirical evidence supporting the use of role as a predicator of legislative behaviour. Roles, he argues, are adopted in accordance with the legislator’s personal preferences such that, for instance, some adopt a Policy Advocate role for ‘</w:t>
      </w:r>
      <w:r w:rsidR="00153D4F" w:rsidRPr="006B326B">
        <w:rPr>
          <w:rStyle w:val="Emphasis"/>
          <w:rFonts w:cstheme="minorHAnsi"/>
          <w:b w:val="0"/>
          <w:sz w:val="24"/>
          <w:szCs w:val="24"/>
        </w:rPr>
        <w:t xml:space="preserve">rectitude and hubris’ while others, desirous of a ‘sense of competence’, opt for a Constituency Member role (1991: 1253-54). As such, a legislator’s constituency effort has less to do with electoral circumstances than one’s individual motivations. Crucially, the Constituency Member role which Searing identifies among Westminster MPs covariates with their constituency service effort: MPs that adopt the role spend more time on constituency work than MPs that do not adopt the role (1994: 133-36) </w:t>
      </w:r>
    </w:p>
    <w:p w14:paraId="08117CEA" w14:textId="71711FA0" w:rsidR="00153D4F" w:rsidRPr="006B326B" w:rsidRDefault="00153D4F" w:rsidP="006B326B">
      <w:pPr>
        <w:spacing w:line="360" w:lineRule="auto"/>
        <w:ind w:firstLine="720"/>
        <w:contextualSpacing/>
        <w:jc w:val="both"/>
        <w:rPr>
          <w:rStyle w:val="Emphasis"/>
          <w:rFonts w:cstheme="minorHAnsi"/>
          <w:b w:val="0"/>
          <w:sz w:val="24"/>
          <w:szCs w:val="24"/>
        </w:rPr>
      </w:pPr>
      <w:r w:rsidRPr="006B326B">
        <w:rPr>
          <w:rStyle w:val="Emphasis"/>
          <w:rFonts w:cstheme="minorHAnsi"/>
          <w:b w:val="0"/>
          <w:sz w:val="24"/>
          <w:szCs w:val="24"/>
        </w:rPr>
        <w:t xml:space="preserve">Inspired by Searing (1994) and André </w:t>
      </w:r>
      <w:r w:rsidRPr="006B326B">
        <w:rPr>
          <w:rStyle w:val="Emphasis"/>
          <w:rFonts w:cstheme="minorHAnsi"/>
          <w:b w:val="0"/>
          <w:i/>
          <w:sz w:val="24"/>
          <w:szCs w:val="24"/>
        </w:rPr>
        <w:t>et al</w:t>
      </w:r>
      <w:r w:rsidR="000139C5">
        <w:rPr>
          <w:rStyle w:val="Emphasis"/>
          <w:rFonts w:cstheme="minorHAnsi"/>
          <w:b w:val="0"/>
          <w:sz w:val="24"/>
          <w:szCs w:val="24"/>
        </w:rPr>
        <w:t>. (2014c</w:t>
      </w:r>
      <w:r w:rsidRPr="006B326B">
        <w:rPr>
          <w:rStyle w:val="Emphasis"/>
          <w:rFonts w:cstheme="minorHAnsi"/>
          <w:b w:val="0"/>
          <w:sz w:val="24"/>
          <w:szCs w:val="24"/>
        </w:rPr>
        <w:t>), we operationalise a framework that identifies each MLA’s role orientation according to his or her political priority (as stated in our survey). MLAs who prioritise assisting individual constituents or the collective interests of their constituency are designated Constituency Members, MLAs who prioritise alternative objectives – policy, party, or parliamentary – are designated No</w:t>
      </w:r>
      <w:r w:rsidR="006C1F18">
        <w:rPr>
          <w:rStyle w:val="Emphasis"/>
          <w:rFonts w:cstheme="minorHAnsi"/>
          <w:b w:val="0"/>
          <w:sz w:val="24"/>
          <w:szCs w:val="24"/>
        </w:rPr>
        <w:t>n-Constituency Members (Table 3</w:t>
      </w:r>
      <w:r w:rsidRPr="006B326B">
        <w:rPr>
          <w:rStyle w:val="Emphasis"/>
          <w:rFonts w:cstheme="minorHAnsi"/>
          <w:b w:val="0"/>
          <w:sz w:val="24"/>
          <w:szCs w:val="24"/>
        </w:rPr>
        <w:t xml:space="preserve">). This allows us to test if MLAs’ constituency service effort relates to role orientation. If Searing is correct, Constituency Member MLAs should be more constituency-orientated than their Non-Constituency Member counterparts. </w:t>
      </w:r>
    </w:p>
    <w:p w14:paraId="21F1CA1E" w14:textId="77777777" w:rsidR="00153D4F" w:rsidRDefault="00153D4F" w:rsidP="00153D4F">
      <w:pPr>
        <w:spacing w:line="276" w:lineRule="auto"/>
        <w:contextualSpacing/>
        <w:jc w:val="both"/>
        <w:rPr>
          <w:rStyle w:val="Emphasis"/>
          <w:rFonts w:cstheme="minorHAnsi"/>
          <w:b w:val="0"/>
        </w:rPr>
      </w:pPr>
    </w:p>
    <w:p w14:paraId="74FA8E63" w14:textId="7669205A" w:rsidR="00153D4F" w:rsidRDefault="00BC5490" w:rsidP="00BC5490">
      <w:pPr>
        <w:spacing w:line="276" w:lineRule="auto"/>
        <w:contextualSpacing/>
        <w:jc w:val="center"/>
        <w:rPr>
          <w:rStyle w:val="Emphasis"/>
          <w:rFonts w:cstheme="minorHAnsi"/>
          <w:b w:val="0"/>
          <w:sz w:val="24"/>
          <w:szCs w:val="24"/>
        </w:rPr>
      </w:pPr>
      <w:r w:rsidRPr="00BC5490">
        <w:rPr>
          <w:rStyle w:val="Emphasis"/>
          <w:rFonts w:cstheme="minorHAnsi"/>
          <w:b w:val="0"/>
          <w:sz w:val="24"/>
          <w:szCs w:val="24"/>
        </w:rPr>
        <w:t>[</w:t>
      </w:r>
      <w:r w:rsidR="006C1F18">
        <w:rPr>
          <w:rStyle w:val="Emphasis"/>
          <w:rFonts w:cstheme="minorHAnsi"/>
          <w:b w:val="0"/>
          <w:sz w:val="24"/>
          <w:szCs w:val="24"/>
        </w:rPr>
        <w:t>Table 3</w:t>
      </w:r>
      <w:r w:rsidRPr="00BC5490">
        <w:rPr>
          <w:rStyle w:val="Emphasis"/>
          <w:rFonts w:cstheme="minorHAnsi"/>
          <w:b w:val="0"/>
          <w:sz w:val="24"/>
          <w:szCs w:val="24"/>
        </w:rPr>
        <w:t xml:space="preserve"> about here]</w:t>
      </w:r>
    </w:p>
    <w:p w14:paraId="59ECE194" w14:textId="77777777" w:rsidR="00CE6A5A" w:rsidRPr="00BC5490" w:rsidRDefault="00CE6A5A" w:rsidP="00BC5490">
      <w:pPr>
        <w:spacing w:line="276" w:lineRule="auto"/>
        <w:contextualSpacing/>
        <w:jc w:val="center"/>
        <w:rPr>
          <w:rStyle w:val="Emphasis"/>
          <w:rFonts w:cstheme="minorHAnsi"/>
          <w:b w:val="0"/>
          <w:sz w:val="24"/>
          <w:szCs w:val="24"/>
        </w:rPr>
      </w:pPr>
    </w:p>
    <w:p w14:paraId="27BE9A5D" w14:textId="2FAAD071" w:rsidR="007E5F6B" w:rsidRDefault="006C1F18" w:rsidP="009B152A">
      <w:pPr>
        <w:spacing w:line="360" w:lineRule="auto"/>
        <w:contextualSpacing/>
        <w:jc w:val="both"/>
        <w:rPr>
          <w:rStyle w:val="Emphasis"/>
          <w:rFonts w:cstheme="minorHAnsi"/>
          <w:b w:val="0"/>
          <w:sz w:val="24"/>
          <w:szCs w:val="24"/>
        </w:rPr>
      </w:pPr>
      <w:r>
        <w:rPr>
          <w:rStyle w:val="Emphasis"/>
          <w:rFonts w:cstheme="minorHAnsi"/>
          <w:b w:val="0"/>
          <w:sz w:val="24"/>
          <w:szCs w:val="24"/>
        </w:rPr>
        <w:t>Table 4</w:t>
      </w:r>
      <w:r w:rsidR="00153D4F" w:rsidRPr="006B326B">
        <w:rPr>
          <w:rStyle w:val="Emphasis"/>
          <w:rFonts w:cstheme="minorHAnsi"/>
          <w:b w:val="0"/>
          <w:sz w:val="24"/>
          <w:szCs w:val="24"/>
        </w:rPr>
        <w:t xml:space="preserve"> displays the distribution of role orientations among MLAs. In line with Searing’s thesis, considerable variation in constituency service effort emerges between Constituency and Non-Constituency Member MLAs. The difference is quite striking, with Constituency Member MLAs devoting </w:t>
      </w:r>
      <w:r w:rsidR="007C1622">
        <w:rPr>
          <w:rStyle w:val="Emphasis"/>
          <w:rFonts w:cstheme="minorHAnsi"/>
          <w:b w:val="0"/>
          <w:sz w:val="24"/>
          <w:szCs w:val="24"/>
        </w:rPr>
        <w:t xml:space="preserve">over </w:t>
      </w:r>
      <w:r w:rsidR="00DB3A0A">
        <w:rPr>
          <w:rStyle w:val="Emphasis"/>
          <w:rFonts w:cstheme="minorHAnsi"/>
          <w:b w:val="0"/>
          <w:sz w:val="24"/>
          <w:szCs w:val="24"/>
        </w:rPr>
        <w:t>30</w:t>
      </w:r>
      <w:r w:rsidR="00153D4F" w:rsidRPr="006B326B">
        <w:rPr>
          <w:rStyle w:val="Emphasis"/>
          <w:rFonts w:cstheme="minorHAnsi"/>
          <w:b w:val="0"/>
          <w:sz w:val="24"/>
          <w:szCs w:val="24"/>
        </w:rPr>
        <w:t xml:space="preserve"> hours per week to constituency service compared to Non-Constituency Memb</w:t>
      </w:r>
      <w:r w:rsidR="00DB3A0A">
        <w:rPr>
          <w:rStyle w:val="Emphasis"/>
          <w:rFonts w:cstheme="minorHAnsi"/>
          <w:b w:val="0"/>
          <w:sz w:val="24"/>
          <w:szCs w:val="24"/>
        </w:rPr>
        <w:t xml:space="preserve">er MLAs, who devote </w:t>
      </w:r>
      <w:r w:rsidR="007C1622">
        <w:rPr>
          <w:rStyle w:val="Emphasis"/>
          <w:rFonts w:cstheme="minorHAnsi"/>
          <w:b w:val="0"/>
          <w:sz w:val="24"/>
          <w:szCs w:val="24"/>
        </w:rPr>
        <w:t>21</w:t>
      </w:r>
      <w:r w:rsidR="00153D4F" w:rsidRPr="006B326B">
        <w:rPr>
          <w:rStyle w:val="Emphasis"/>
          <w:rFonts w:cstheme="minorHAnsi"/>
          <w:b w:val="0"/>
          <w:sz w:val="24"/>
          <w:szCs w:val="24"/>
        </w:rPr>
        <w:t xml:space="preserve">. </w:t>
      </w:r>
      <w:r w:rsidR="007C1622">
        <w:rPr>
          <w:rStyle w:val="Emphasis"/>
          <w:rFonts w:cstheme="minorHAnsi"/>
          <w:b w:val="0"/>
          <w:sz w:val="24"/>
          <w:szCs w:val="24"/>
        </w:rPr>
        <w:t xml:space="preserve">An independent samples t-test confirms the difference in mean constituency service hours between Constituency Member (M = 30.9, SD = </w:t>
      </w:r>
      <w:r w:rsidR="0079309B">
        <w:rPr>
          <w:rStyle w:val="Emphasis"/>
          <w:rFonts w:cstheme="minorHAnsi"/>
          <w:b w:val="0"/>
          <w:sz w:val="24"/>
          <w:szCs w:val="24"/>
        </w:rPr>
        <w:t>7.9) and Non-constituency Member MLAs (M = 20.8, SD = 18.2) to be statistically significant (p &lt; 0.05) with equal variances not assumed.</w:t>
      </w:r>
      <w:r w:rsidR="002C4469">
        <w:rPr>
          <w:rStyle w:val="EndnoteReference"/>
          <w:rFonts w:cstheme="minorHAnsi"/>
          <w:bCs/>
          <w:sz w:val="24"/>
          <w:szCs w:val="24"/>
        </w:rPr>
        <w:endnoteReference w:id="20"/>
      </w:r>
      <w:r w:rsidR="00273D63">
        <w:rPr>
          <w:rStyle w:val="Emphasis"/>
          <w:rFonts w:cstheme="minorHAnsi"/>
          <w:b w:val="0"/>
          <w:sz w:val="24"/>
          <w:szCs w:val="24"/>
        </w:rPr>
        <w:t xml:space="preserve"> </w:t>
      </w:r>
    </w:p>
    <w:p w14:paraId="6E6A70D0" w14:textId="77777777" w:rsidR="00F01897" w:rsidRDefault="00F01897" w:rsidP="006B326B">
      <w:pPr>
        <w:spacing w:after="0" w:line="360" w:lineRule="auto"/>
        <w:contextualSpacing/>
        <w:jc w:val="both"/>
        <w:rPr>
          <w:rFonts w:cstheme="minorHAnsi"/>
          <w:sz w:val="24"/>
          <w:szCs w:val="24"/>
        </w:rPr>
      </w:pPr>
    </w:p>
    <w:p w14:paraId="5015F7F6" w14:textId="46874F4F" w:rsidR="00BC5490" w:rsidRDefault="00BC5490" w:rsidP="00BC5490">
      <w:pPr>
        <w:spacing w:after="0" w:line="360" w:lineRule="auto"/>
        <w:contextualSpacing/>
        <w:jc w:val="center"/>
        <w:rPr>
          <w:rFonts w:cstheme="minorHAnsi"/>
          <w:sz w:val="24"/>
          <w:szCs w:val="24"/>
        </w:rPr>
      </w:pPr>
      <w:r>
        <w:rPr>
          <w:rFonts w:cstheme="minorHAnsi"/>
          <w:sz w:val="24"/>
          <w:szCs w:val="24"/>
        </w:rPr>
        <w:t>[Table</w:t>
      </w:r>
      <w:r w:rsidR="006C1F18">
        <w:rPr>
          <w:rFonts w:cstheme="minorHAnsi"/>
          <w:sz w:val="24"/>
          <w:szCs w:val="24"/>
        </w:rPr>
        <w:t xml:space="preserve"> 4</w:t>
      </w:r>
      <w:r>
        <w:rPr>
          <w:rFonts w:cstheme="minorHAnsi"/>
          <w:sz w:val="24"/>
          <w:szCs w:val="24"/>
        </w:rPr>
        <w:t xml:space="preserve"> about here]</w:t>
      </w:r>
    </w:p>
    <w:p w14:paraId="0476BAF3" w14:textId="77777777" w:rsidR="00F01897" w:rsidRDefault="00F01897" w:rsidP="006B326B">
      <w:pPr>
        <w:spacing w:after="0" w:line="360" w:lineRule="auto"/>
        <w:contextualSpacing/>
        <w:jc w:val="both"/>
        <w:rPr>
          <w:rFonts w:cstheme="minorHAnsi"/>
          <w:sz w:val="24"/>
          <w:szCs w:val="24"/>
        </w:rPr>
      </w:pPr>
    </w:p>
    <w:p w14:paraId="7DF97E55" w14:textId="0C9ED549" w:rsidR="00153D4F" w:rsidRPr="006B326B" w:rsidRDefault="00153D4F" w:rsidP="006B326B">
      <w:pPr>
        <w:spacing w:after="0" w:line="360" w:lineRule="auto"/>
        <w:contextualSpacing/>
        <w:jc w:val="both"/>
        <w:rPr>
          <w:rFonts w:cstheme="minorHAnsi"/>
          <w:sz w:val="24"/>
          <w:szCs w:val="24"/>
        </w:rPr>
      </w:pPr>
      <w:r w:rsidRPr="001C11A9">
        <w:rPr>
          <w:rFonts w:cstheme="minorHAnsi"/>
          <w:sz w:val="24"/>
          <w:szCs w:val="24"/>
        </w:rPr>
        <w:t xml:space="preserve">Given the </w:t>
      </w:r>
      <w:r w:rsidR="001128D8" w:rsidRPr="001C11A9">
        <w:rPr>
          <w:rFonts w:cstheme="minorHAnsi"/>
          <w:sz w:val="24"/>
          <w:szCs w:val="24"/>
        </w:rPr>
        <w:t>statistical significance</w:t>
      </w:r>
      <w:r w:rsidRPr="006B326B">
        <w:rPr>
          <w:rFonts w:cstheme="minorHAnsi"/>
          <w:sz w:val="24"/>
          <w:szCs w:val="24"/>
        </w:rPr>
        <w:t xml:space="preserve"> of role on MLAs’ constituency service, it would be remiss not to ask if any particular socio-demographic characteristics stand out among Constituency Member MLAs. A cursory glance at the Constituency Member sample, however, reveals a wide range of ages, a roughly proportionate gender balance, mixed educational attainment, and MLAs of various levels of seniority and electoral marginality. Such heterogeneity, though perhaps frustrating, aligns with Searing’s central claim that the legislator’s role choice is shaped by personal preference. </w:t>
      </w:r>
    </w:p>
    <w:p w14:paraId="67706D33" w14:textId="77777777" w:rsidR="00153D4F" w:rsidRPr="006B326B" w:rsidRDefault="00153D4F" w:rsidP="006B326B">
      <w:pPr>
        <w:spacing w:after="0" w:line="360" w:lineRule="auto"/>
        <w:contextualSpacing/>
        <w:jc w:val="both"/>
        <w:rPr>
          <w:rFonts w:cstheme="minorHAnsi"/>
          <w:sz w:val="24"/>
          <w:szCs w:val="24"/>
        </w:rPr>
      </w:pPr>
      <w:r w:rsidRPr="006B326B">
        <w:rPr>
          <w:rFonts w:cstheme="minorHAnsi"/>
          <w:sz w:val="24"/>
          <w:szCs w:val="24"/>
        </w:rPr>
        <w:tab/>
        <w:t>Interviews with Constituency Member MLAs do, however, reveal some similarity in terms of the motivations that underpin the role. For the most part, as Searing suggests, the role is associated with emotional incentives. Asked about their prioritisation of constituency service, MLAs’ comments indicate that the work provides job satisfaction or, simply, that they enjoy the personal interaction it involves. ‘I do it’, notes one MLA, ‘because I get a buzz from helping people’.</w:t>
      </w:r>
      <w:r w:rsidRPr="006B326B">
        <w:rPr>
          <w:rStyle w:val="EndnoteReference"/>
          <w:rFonts w:cstheme="minorHAnsi"/>
          <w:sz w:val="24"/>
          <w:szCs w:val="24"/>
        </w:rPr>
        <w:endnoteReference w:id="21"/>
      </w:r>
      <w:r w:rsidRPr="006B326B">
        <w:rPr>
          <w:rFonts w:cstheme="minorHAnsi"/>
          <w:sz w:val="24"/>
          <w:szCs w:val="24"/>
        </w:rPr>
        <w:t xml:space="preserve"> Use of vocation-like language is suggestive of attachment to the idea of public service: ‘I would find it very difficult to do anything less, I would feel like I was letting people down […] if people want to see me it is just like making an appointment at the doctor.’</w:t>
      </w:r>
      <w:r w:rsidRPr="006B326B">
        <w:rPr>
          <w:rStyle w:val="EndnoteReference"/>
          <w:rFonts w:cstheme="minorHAnsi"/>
          <w:sz w:val="24"/>
          <w:szCs w:val="24"/>
        </w:rPr>
        <w:endnoteReference w:id="22"/>
      </w:r>
      <w:r w:rsidRPr="006B326B">
        <w:rPr>
          <w:rFonts w:cstheme="minorHAnsi"/>
          <w:sz w:val="24"/>
          <w:szCs w:val="24"/>
        </w:rPr>
        <w:t xml:space="preserve"> Another discusses his Constituency Member role in the context of community spirit and activism:</w:t>
      </w:r>
    </w:p>
    <w:p w14:paraId="5F1A3423" w14:textId="77777777" w:rsidR="00153D4F" w:rsidRDefault="00153D4F" w:rsidP="00153D4F">
      <w:pPr>
        <w:spacing w:after="0" w:line="276" w:lineRule="auto"/>
        <w:contextualSpacing/>
        <w:jc w:val="both"/>
        <w:rPr>
          <w:rFonts w:cstheme="minorHAnsi"/>
        </w:rPr>
      </w:pPr>
    </w:p>
    <w:p w14:paraId="0B4F112A" w14:textId="77777777" w:rsidR="00153D4F" w:rsidRDefault="00153D4F" w:rsidP="00623F0E">
      <w:pPr>
        <w:spacing w:after="0" w:line="360" w:lineRule="auto"/>
        <w:ind w:left="709" w:right="425"/>
        <w:contextualSpacing/>
        <w:jc w:val="both"/>
        <w:rPr>
          <w:rFonts w:cstheme="minorHAnsi"/>
          <w:bCs/>
        </w:rPr>
      </w:pPr>
      <w:r>
        <w:rPr>
          <w:rFonts w:cstheme="minorHAnsi"/>
        </w:rPr>
        <w:t xml:space="preserve">I have always been passionate about </w:t>
      </w:r>
      <w:proofErr w:type="gramStart"/>
      <w:r>
        <w:rPr>
          <w:rFonts w:cstheme="minorHAnsi"/>
        </w:rPr>
        <w:t>making a contribution</w:t>
      </w:r>
      <w:proofErr w:type="gramEnd"/>
      <w:r>
        <w:rPr>
          <w:rFonts w:cstheme="minorHAnsi"/>
        </w:rPr>
        <w:t xml:space="preserve"> to my community. I was a volunteer youth worker with my church when I was younger, providing youth drop in </w:t>
      </w:r>
      <w:r>
        <w:rPr>
          <w:rFonts w:cstheme="minorHAnsi"/>
        </w:rPr>
        <w:lastRenderedPageBreak/>
        <w:t>facilities for at risk young people. Then a member of the inaugural district policing partnership. Now I do this [elected office]. It’s all out of a desire to build a better community.</w:t>
      </w:r>
      <w:r>
        <w:rPr>
          <w:rStyle w:val="EndnoteReference"/>
          <w:rFonts w:cstheme="minorHAnsi"/>
        </w:rPr>
        <w:endnoteReference w:id="23"/>
      </w:r>
    </w:p>
    <w:p w14:paraId="735221B1" w14:textId="77777777" w:rsidR="00623F0E" w:rsidRPr="00623F0E" w:rsidRDefault="00623F0E" w:rsidP="00623F0E">
      <w:pPr>
        <w:spacing w:after="0" w:line="360" w:lineRule="auto"/>
        <w:ind w:left="709" w:right="425"/>
        <w:contextualSpacing/>
        <w:jc w:val="both"/>
        <w:rPr>
          <w:rFonts w:cstheme="minorHAnsi"/>
          <w:bCs/>
        </w:rPr>
      </w:pPr>
    </w:p>
    <w:p w14:paraId="30E36E4D" w14:textId="77777777" w:rsidR="00153D4F" w:rsidRPr="00623F0E" w:rsidRDefault="00153D4F" w:rsidP="00623F0E">
      <w:pPr>
        <w:spacing w:after="0" w:line="360" w:lineRule="auto"/>
        <w:contextualSpacing/>
        <w:jc w:val="both"/>
        <w:rPr>
          <w:rFonts w:cstheme="minorHAnsi"/>
          <w:b/>
          <w:sz w:val="24"/>
          <w:szCs w:val="24"/>
        </w:rPr>
      </w:pPr>
      <w:r w:rsidRPr="00623F0E">
        <w:rPr>
          <w:rFonts w:cstheme="minorHAnsi"/>
          <w:sz w:val="24"/>
          <w:szCs w:val="24"/>
        </w:rPr>
        <w:t>Emotional ties to individual constituents and to the local area more generally are also in evidence. Family-like relationships develop through frequent interaction with vulnerable constituents, one MLA notes ‘they almost see you as a family member [and] need you for a lot of emotional support’.</w:t>
      </w:r>
      <w:r w:rsidRPr="00623F0E">
        <w:rPr>
          <w:rStyle w:val="EndnoteReference"/>
          <w:rFonts w:cstheme="minorHAnsi"/>
          <w:sz w:val="24"/>
          <w:szCs w:val="24"/>
        </w:rPr>
        <w:endnoteReference w:id="24"/>
      </w:r>
      <w:r w:rsidRPr="00623F0E">
        <w:rPr>
          <w:rFonts w:cstheme="minorHAnsi"/>
          <w:sz w:val="24"/>
          <w:szCs w:val="24"/>
        </w:rPr>
        <w:t xml:space="preserve"> Another describes siphoning off some of his constituency duties to his party’s local councillors to provide them with constituency work experience. Tellingly, the member admits to missing the local interaction that constituency service provides: ‘as time goes by you ask ‘am I still in touch with the community?’ […] almost without realising it, I started taking on more constituency work again to reconnect with the ground.’</w:t>
      </w:r>
      <w:r w:rsidRPr="00623F0E">
        <w:rPr>
          <w:rStyle w:val="EndnoteReference"/>
          <w:rFonts w:cstheme="minorHAnsi"/>
          <w:bCs/>
          <w:sz w:val="24"/>
          <w:szCs w:val="24"/>
        </w:rPr>
        <w:endnoteReference w:id="25"/>
      </w:r>
      <w:r w:rsidRPr="00623F0E">
        <w:rPr>
          <w:rStyle w:val="Emphasis"/>
          <w:rFonts w:cstheme="minorHAnsi"/>
          <w:sz w:val="24"/>
          <w:szCs w:val="24"/>
        </w:rPr>
        <w:t xml:space="preserve"> </w:t>
      </w:r>
      <w:r w:rsidRPr="00623F0E">
        <w:rPr>
          <w:rStyle w:val="Emphasis"/>
          <w:rFonts w:cstheme="minorHAnsi"/>
          <w:b w:val="0"/>
          <w:sz w:val="24"/>
          <w:szCs w:val="24"/>
        </w:rPr>
        <w:t>Comments such as these suggest, firstly, that the Constituency Member role is indeed a matter of personal choice and, secondly, that the choice is cemented by emotional and or psychological bonds.</w:t>
      </w:r>
    </w:p>
    <w:p w14:paraId="200B4223" w14:textId="77777777" w:rsidR="00153D4F" w:rsidRPr="00623F0E" w:rsidRDefault="00153D4F" w:rsidP="00153D4F">
      <w:pPr>
        <w:spacing w:after="0" w:line="276" w:lineRule="auto"/>
        <w:contextualSpacing/>
        <w:jc w:val="both"/>
        <w:rPr>
          <w:rStyle w:val="Emphasis"/>
          <w:rFonts w:cstheme="minorHAnsi"/>
          <w:b w:val="0"/>
        </w:rPr>
      </w:pPr>
    </w:p>
    <w:p w14:paraId="5351EBBC" w14:textId="3A9B0C7C" w:rsidR="00623F0E" w:rsidRDefault="00D2005F" w:rsidP="00623F0E">
      <w:pPr>
        <w:spacing w:line="276" w:lineRule="auto"/>
        <w:contextualSpacing/>
        <w:jc w:val="both"/>
        <w:rPr>
          <w:rFonts w:cstheme="minorHAnsi"/>
          <w:b/>
          <w:sz w:val="24"/>
          <w:szCs w:val="24"/>
        </w:rPr>
      </w:pPr>
      <w:r>
        <w:rPr>
          <w:rFonts w:cstheme="minorHAnsi"/>
          <w:b/>
          <w:sz w:val="24"/>
          <w:szCs w:val="24"/>
        </w:rPr>
        <w:t>Home Style</w:t>
      </w:r>
    </w:p>
    <w:p w14:paraId="702B4D34" w14:textId="77777777" w:rsidR="00D2005F" w:rsidRPr="001C7187" w:rsidRDefault="00D2005F" w:rsidP="00623F0E">
      <w:pPr>
        <w:spacing w:line="276" w:lineRule="auto"/>
        <w:contextualSpacing/>
        <w:jc w:val="both"/>
        <w:rPr>
          <w:rFonts w:cstheme="minorHAnsi"/>
          <w:i/>
        </w:rPr>
      </w:pPr>
    </w:p>
    <w:p w14:paraId="08CD7CAB" w14:textId="77777777" w:rsidR="00153D4F" w:rsidRPr="00623F0E" w:rsidRDefault="00623F0E" w:rsidP="00623F0E">
      <w:pPr>
        <w:spacing w:after="0" w:line="360" w:lineRule="auto"/>
        <w:contextualSpacing/>
        <w:jc w:val="both"/>
        <w:rPr>
          <w:rStyle w:val="Emphasis"/>
          <w:rFonts w:cstheme="minorHAnsi"/>
          <w:b w:val="0"/>
          <w:sz w:val="24"/>
          <w:szCs w:val="24"/>
        </w:rPr>
      </w:pPr>
      <w:r>
        <w:rPr>
          <w:rFonts w:cstheme="minorHAnsi"/>
          <w:sz w:val="24"/>
          <w:szCs w:val="24"/>
        </w:rPr>
        <w:t>Since</w:t>
      </w:r>
      <w:r w:rsidRPr="00337A9C">
        <w:rPr>
          <w:rFonts w:cstheme="minorHAnsi"/>
          <w:sz w:val="24"/>
          <w:szCs w:val="24"/>
        </w:rPr>
        <w:t xml:space="preserve"> </w:t>
      </w:r>
      <w:r w:rsidR="00153D4F" w:rsidRPr="00623F0E">
        <w:rPr>
          <w:rStyle w:val="Emphasis"/>
          <w:rFonts w:cstheme="minorHAnsi"/>
          <w:b w:val="0"/>
          <w:sz w:val="24"/>
          <w:szCs w:val="24"/>
        </w:rPr>
        <w:t>Fenno’s (1978) work on the ‘home styles’ of US Congressmen, a limited literature has developed around the different ways in which legislators connect with their constituencies (</w:t>
      </w:r>
      <w:r w:rsidR="00947060">
        <w:rPr>
          <w:rStyle w:val="Emphasis"/>
          <w:rFonts w:cstheme="minorHAnsi"/>
          <w:b w:val="0"/>
          <w:sz w:val="24"/>
          <w:szCs w:val="24"/>
        </w:rPr>
        <w:t>Norton &amp; Wood, 1993; Norton 1994</w:t>
      </w:r>
      <w:r w:rsidR="00153D4F" w:rsidRPr="00623F0E">
        <w:rPr>
          <w:rStyle w:val="Emphasis"/>
          <w:rFonts w:cstheme="minorHAnsi"/>
          <w:b w:val="0"/>
          <w:sz w:val="24"/>
          <w:szCs w:val="24"/>
        </w:rPr>
        <w:t xml:space="preserve">). Searing (1994), for instance, distinguishes between MPs that focus on the individual problems of constituents (‘Welfare Officers’) and those that concentrate on the district’s collective interests (‘Local Promoters’). The former tends to concentrate his energies on the constituency surgery and, perhaps, visiting constituents at home, whilst the latter visits sites of industry, meets with employers, and lobbies for local businesses. André and Depauw (2013a; 2013b) offer a more systematic framework that categorises legislators’ constituency styles based on the nature of their communication strategies: one-to-one, one-to-few, and one-to-many. </w:t>
      </w:r>
    </w:p>
    <w:p w14:paraId="4E3458C7" w14:textId="5E066D52" w:rsidR="00153D4F" w:rsidRDefault="00153D4F" w:rsidP="00623F0E">
      <w:pPr>
        <w:spacing w:after="0" w:line="360" w:lineRule="auto"/>
        <w:contextualSpacing/>
        <w:jc w:val="both"/>
        <w:rPr>
          <w:rStyle w:val="Emphasis"/>
          <w:rFonts w:cstheme="minorHAnsi"/>
          <w:b w:val="0"/>
          <w:sz w:val="24"/>
          <w:szCs w:val="24"/>
        </w:rPr>
      </w:pPr>
      <w:r w:rsidRPr="00623F0E">
        <w:rPr>
          <w:rStyle w:val="Emphasis"/>
          <w:rFonts w:cstheme="minorHAnsi"/>
          <w:b w:val="0"/>
          <w:sz w:val="24"/>
          <w:szCs w:val="24"/>
        </w:rPr>
        <w:tab/>
        <w:t xml:space="preserve">Inspired by the PatriRep Survey </w:t>
      </w:r>
      <w:r w:rsidRPr="00591418">
        <w:rPr>
          <w:rStyle w:val="Emphasis"/>
          <w:rFonts w:cstheme="minorHAnsi"/>
          <w:b w:val="0"/>
          <w:sz w:val="24"/>
          <w:szCs w:val="24"/>
        </w:rPr>
        <w:t>(</w:t>
      </w:r>
      <w:r w:rsidR="00BC5490" w:rsidRPr="00591418">
        <w:rPr>
          <w:rStyle w:val="Emphasis"/>
          <w:rFonts w:cstheme="minorHAnsi"/>
          <w:b w:val="0"/>
          <w:sz w:val="24"/>
          <w:szCs w:val="24"/>
        </w:rPr>
        <w:t xml:space="preserve">see </w:t>
      </w:r>
      <w:r w:rsidR="00591418" w:rsidRPr="00591418">
        <w:rPr>
          <w:rStyle w:val="research-output-journal-article-date"/>
          <w:rFonts w:cstheme="minorHAnsi"/>
          <w:sz w:val="24"/>
          <w:szCs w:val="24"/>
        </w:rPr>
        <w:t>Deschouwer, Depauw &amp; André, 2014</w:t>
      </w:r>
      <w:r w:rsidRPr="00591418">
        <w:rPr>
          <w:rStyle w:val="Emphasis"/>
          <w:rFonts w:cstheme="minorHAnsi"/>
          <w:b w:val="0"/>
          <w:sz w:val="24"/>
          <w:szCs w:val="24"/>
        </w:rPr>
        <w:t>),</w:t>
      </w:r>
      <w:r w:rsidRPr="00623F0E">
        <w:rPr>
          <w:rStyle w:val="Emphasis"/>
          <w:rFonts w:cstheme="minorHAnsi"/>
          <w:b w:val="0"/>
          <w:sz w:val="24"/>
          <w:szCs w:val="24"/>
        </w:rPr>
        <w:t xml:space="preserve"> we provided MLAs with a list of constituency service activities and asked each respondent to indicate how frequently (if at all) they participated in each. T</w:t>
      </w:r>
      <w:r w:rsidR="006C1F18">
        <w:rPr>
          <w:rStyle w:val="Emphasis"/>
          <w:rFonts w:cstheme="minorHAnsi"/>
          <w:b w:val="0"/>
          <w:sz w:val="24"/>
          <w:szCs w:val="24"/>
        </w:rPr>
        <w:t>he results, presented in Table 5</w:t>
      </w:r>
      <w:r w:rsidRPr="00623F0E">
        <w:rPr>
          <w:rStyle w:val="Emphasis"/>
          <w:rFonts w:cstheme="minorHAnsi"/>
          <w:b w:val="0"/>
          <w:sz w:val="24"/>
          <w:szCs w:val="24"/>
        </w:rPr>
        <w:t xml:space="preserve">, reveal an interesting pattern. MLAs clearly </w:t>
      </w:r>
      <w:proofErr w:type="gramStart"/>
      <w:r w:rsidRPr="00623F0E">
        <w:rPr>
          <w:rStyle w:val="Emphasis"/>
          <w:rFonts w:cstheme="minorHAnsi"/>
          <w:b w:val="0"/>
          <w:sz w:val="24"/>
          <w:szCs w:val="24"/>
        </w:rPr>
        <w:t>have a preference for</w:t>
      </w:r>
      <w:proofErr w:type="gramEnd"/>
      <w:r w:rsidRPr="00623F0E">
        <w:rPr>
          <w:rStyle w:val="Emphasis"/>
          <w:rFonts w:cstheme="minorHAnsi"/>
          <w:b w:val="0"/>
          <w:sz w:val="24"/>
          <w:szCs w:val="24"/>
        </w:rPr>
        <w:t xml:space="preserve"> one-to-one interactions, with constituent home visits and constituency surgeries the most frequently provided </w:t>
      </w:r>
      <w:r w:rsidRPr="00623F0E">
        <w:rPr>
          <w:rStyle w:val="Emphasis"/>
          <w:rFonts w:cstheme="minorHAnsi"/>
          <w:b w:val="0"/>
          <w:sz w:val="24"/>
          <w:szCs w:val="24"/>
        </w:rPr>
        <w:lastRenderedPageBreak/>
        <w:t>services. One-to-one activities create a closer and more solid relationship with constituents, but are costly in time and resources (Brack &amp; Pilet, 2016). Visiting constituents at home is particularly time consuming, yet more than two-thirds of MLAs participate in the activity at least once a fortnight. Local event attendance, a one-to-few activity, is also popular among MLAs with almost one-third of our sample attending a wedding, party, funeral, or similar event at least once a week. Although meeting local businesses is also a one-to-few activity, it is noticeably less popular among MLAs, narrowing the MLAs’ preferred style to mostly social one-to-one and one-to-few activities. Despite being perhaps the most cost-effective, newsletter publication, a one-to-many activity, is rare among MLAs, with most producing one every three months or not at all. This contrasts sharply with newsletter usage in devolved Scotland and Wales, where around 44% of MSPs and 30% of AMs produce one at least fortnightly.</w:t>
      </w:r>
      <w:r w:rsidRPr="00623F0E">
        <w:rPr>
          <w:rStyle w:val="EndnoteReference"/>
          <w:rFonts w:cstheme="minorHAnsi"/>
          <w:b/>
          <w:bCs/>
          <w:sz w:val="24"/>
          <w:szCs w:val="24"/>
        </w:rPr>
        <w:endnoteReference w:id="26"/>
      </w:r>
    </w:p>
    <w:p w14:paraId="693ACCAF" w14:textId="77777777" w:rsidR="00D2005F" w:rsidRPr="00623F0E" w:rsidRDefault="00D2005F" w:rsidP="00623F0E">
      <w:pPr>
        <w:spacing w:after="0" w:line="360" w:lineRule="auto"/>
        <w:contextualSpacing/>
        <w:jc w:val="both"/>
        <w:rPr>
          <w:rStyle w:val="Emphasis"/>
          <w:rFonts w:cstheme="minorHAnsi"/>
          <w:b w:val="0"/>
          <w:sz w:val="24"/>
          <w:szCs w:val="24"/>
        </w:rPr>
      </w:pPr>
    </w:p>
    <w:p w14:paraId="493EAE06" w14:textId="56365ADF" w:rsidR="00153D4F" w:rsidRPr="00BC5490" w:rsidRDefault="00BC5490" w:rsidP="00BC5490">
      <w:pPr>
        <w:spacing w:after="0" w:line="276" w:lineRule="auto"/>
        <w:contextualSpacing/>
        <w:jc w:val="center"/>
        <w:rPr>
          <w:rStyle w:val="Emphasis"/>
          <w:rFonts w:cstheme="minorHAnsi"/>
          <w:b w:val="0"/>
          <w:sz w:val="24"/>
          <w:szCs w:val="24"/>
        </w:rPr>
      </w:pPr>
      <w:r w:rsidRPr="00BC5490">
        <w:rPr>
          <w:rStyle w:val="Emphasis"/>
          <w:rFonts w:cstheme="minorHAnsi"/>
          <w:b w:val="0"/>
          <w:sz w:val="24"/>
          <w:szCs w:val="24"/>
        </w:rPr>
        <w:t>[</w:t>
      </w:r>
      <w:r w:rsidR="006C1F18">
        <w:rPr>
          <w:rStyle w:val="Emphasis"/>
          <w:rFonts w:cstheme="minorHAnsi"/>
          <w:b w:val="0"/>
          <w:sz w:val="24"/>
          <w:szCs w:val="24"/>
        </w:rPr>
        <w:t>Table 5</w:t>
      </w:r>
      <w:r w:rsidRPr="00BC5490">
        <w:rPr>
          <w:rStyle w:val="Emphasis"/>
          <w:rFonts w:cstheme="minorHAnsi"/>
          <w:b w:val="0"/>
          <w:sz w:val="24"/>
          <w:szCs w:val="24"/>
        </w:rPr>
        <w:t xml:space="preserve"> about here]</w:t>
      </w:r>
    </w:p>
    <w:p w14:paraId="1EF8C61B" w14:textId="77777777" w:rsidR="00153D4F" w:rsidRPr="00623F0E" w:rsidRDefault="00153D4F" w:rsidP="00623F0E">
      <w:pPr>
        <w:spacing w:after="0" w:line="360" w:lineRule="auto"/>
        <w:contextualSpacing/>
        <w:jc w:val="right"/>
        <w:rPr>
          <w:rStyle w:val="Emphasis"/>
          <w:rFonts w:cstheme="minorHAnsi"/>
          <w:b w:val="0"/>
          <w:sz w:val="24"/>
          <w:szCs w:val="24"/>
        </w:rPr>
      </w:pPr>
    </w:p>
    <w:p w14:paraId="48D4B347" w14:textId="54D0D2F3" w:rsidR="00153D4F" w:rsidRPr="00623F0E" w:rsidRDefault="00153D4F" w:rsidP="00623F0E">
      <w:pPr>
        <w:spacing w:after="0" w:line="360" w:lineRule="auto"/>
        <w:contextualSpacing/>
        <w:jc w:val="both"/>
        <w:rPr>
          <w:rStyle w:val="Emphasis"/>
          <w:rFonts w:cstheme="minorHAnsi"/>
          <w:b w:val="0"/>
          <w:sz w:val="24"/>
          <w:szCs w:val="24"/>
        </w:rPr>
      </w:pPr>
      <w:r w:rsidRPr="00623F0E">
        <w:rPr>
          <w:rStyle w:val="Emphasis"/>
          <w:rFonts w:cstheme="minorHAnsi"/>
          <w:b w:val="0"/>
          <w:sz w:val="24"/>
          <w:szCs w:val="24"/>
        </w:rPr>
        <w:t xml:space="preserve">The MLA’s ‘home style’ is therefore more personal than corporate, with a premium placed on one-to-one relationships and one-to-few social events. Arguably, this style is more in sync with legislators in the Republic of Ireland than with those in the rest of the UK. The importance MLAs attach to local events is a case in point: whereas 57% of MLAs attend an event at least once a fortnight, the collective figure for MPs, MSPs, and AMs for the same is less than 7% (André </w:t>
      </w:r>
      <w:r w:rsidRPr="00623F0E">
        <w:rPr>
          <w:rStyle w:val="Emphasis"/>
          <w:rFonts w:cstheme="minorHAnsi"/>
          <w:b w:val="0"/>
          <w:i/>
          <w:sz w:val="24"/>
          <w:szCs w:val="24"/>
        </w:rPr>
        <w:t>et al</w:t>
      </w:r>
      <w:r w:rsidRPr="00623F0E">
        <w:rPr>
          <w:rStyle w:val="Emphasis"/>
          <w:rFonts w:cstheme="minorHAnsi"/>
          <w:b w:val="0"/>
          <w:sz w:val="24"/>
          <w:szCs w:val="24"/>
        </w:rPr>
        <w:t>., 2014</w:t>
      </w:r>
      <w:r w:rsidR="00BF698B">
        <w:rPr>
          <w:rStyle w:val="Emphasis"/>
          <w:rFonts w:cstheme="minorHAnsi"/>
          <w:b w:val="0"/>
          <w:sz w:val="24"/>
          <w:szCs w:val="24"/>
        </w:rPr>
        <w:t>c</w:t>
      </w:r>
      <w:r w:rsidRPr="00623F0E">
        <w:rPr>
          <w:rStyle w:val="Emphasis"/>
          <w:rFonts w:cstheme="minorHAnsi"/>
          <w:b w:val="0"/>
          <w:sz w:val="24"/>
          <w:szCs w:val="24"/>
        </w:rPr>
        <w:t>). More than 70% of TDs, on the other hand, attend a local event on a fortnightly basis (</w:t>
      </w:r>
      <w:r w:rsidRPr="00623F0E">
        <w:rPr>
          <w:rStyle w:val="Emphasis"/>
          <w:rFonts w:cstheme="minorHAnsi"/>
          <w:b w:val="0"/>
          <w:i/>
          <w:sz w:val="24"/>
          <w:szCs w:val="24"/>
        </w:rPr>
        <w:t>ibid</w:t>
      </w:r>
      <w:r w:rsidRPr="00623F0E">
        <w:rPr>
          <w:rStyle w:val="Emphasis"/>
          <w:rFonts w:cstheme="minorHAnsi"/>
          <w:b w:val="0"/>
          <w:sz w:val="24"/>
          <w:szCs w:val="24"/>
        </w:rPr>
        <w:t xml:space="preserve">). For most MLAs, local events represent an opportunity to be seen ‘out and about’ in the constituency, although some were openly critical of the willingness of their colleagues to forego parliamentary business in the NIA in favour of constituency events. According to one MLA, certain members would not contemplate missing a funeral in the constituency, even if the event coincided with a vote on legislation. Another MLA’s comments are suggestive of a parochial </w:t>
      </w:r>
      <w:r w:rsidR="00DC663E" w:rsidRPr="00623F0E">
        <w:rPr>
          <w:rStyle w:val="Emphasis"/>
          <w:rFonts w:cstheme="minorHAnsi"/>
          <w:b w:val="0"/>
          <w:sz w:val="24"/>
          <w:szCs w:val="24"/>
        </w:rPr>
        <w:t>mind-set</w:t>
      </w:r>
      <w:r w:rsidRPr="00623F0E">
        <w:rPr>
          <w:rStyle w:val="Emphasis"/>
          <w:rFonts w:cstheme="minorHAnsi"/>
          <w:b w:val="0"/>
          <w:sz w:val="24"/>
          <w:szCs w:val="24"/>
        </w:rPr>
        <w:t xml:space="preserve"> not dissimilar to that ascribed to TDs in the Republic of Irela</w:t>
      </w:r>
      <w:r w:rsidR="00C35644">
        <w:rPr>
          <w:rStyle w:val="Emphasis"/>
          <w:rFonts w:cstheme="minorHAnsi"/>
          <w:b w:val="0"/>
          <w:sz w:val="24"/>
          <w:szCs w:val="24"/>
        </w:rPr>
        <w:t>nd (see Gallagher &amp; Komito, 2010</w:t>
      </w:r>
      <w:r w:rsidRPr="00623F0E">
        <w:rPr>
          <w:rStyle w:val="Emphasis"/>
          <w:rFonts w:cstheme="minorHAnsi"/>
          <w:b w:val="0"/>
          <w:sz w:val="24"/>
          <w:szCs w:val="24"/>
        </w:rPr>
        <w:t xml:space="preserve">): </w:t>
      </w:r>
    </w:p>
    <w:p w14:paraId="22EE90D9" w14:textId="77777777" w:rsidR="00153D4F" w:rsidRDefault="00153D4F" w:rsidP="00153D4F">
      <w:pPr>
        <w:spacing w:after="0" w:line="276" w:lineRule="auto"/>
        <w:contextualSpacing/>
        <w:jc w:val="both"/>
        <w:rPr>
          <w:rStyle w:val="Emphasis"/>
          <w:rFonts w:cstheme="minorHAnsi"/>
          <w:b w:val="0"/>
        </w:rPr>
      </w:pPr>
    </w:p>
    <w:p w14:paraId="35379772" w14:textId="77777777" w:rsidR="00153D4F" w:rsidRPr="00623F0E" w:rsidRDefault="00153D4F" w:rsidP="00623F0E">
      <w:pPr>
        <w:spacing w:after="0" w:line="360" w:lineRule="auto"/>
        <w:ind w:left="709" w:right="425"/>
        <w:contextualSpacing/>
        <w:jc w:val="both"/>
        <w:rPr>
          <w:rFonts w:cstheme="minorHAnsi"/>
        </w:rPr>
      </w:pPr>
      <w:r w:rsidRPr="00623F0E">
        <w:rPr>
          <w:rFonts w:cstheme="minorHAnsi"/>
        </w:rPr>
        <w:t xml:space="preserve">They open every flower show that there is, go to every church that there is, every school show, and they will be the bee’s knees and everybody will love them! But they might not </w:t>
      </w:r>
      <w:r w:rsidRPr="00623F0E">
        <w:rPr>
          <w:rFonts w:cstheme="minorHAnsi"/>
        </w:rPr>
        <w:lastRenderedPageBreak/>
        <w:t>make much of a contribution in terms of their legislative role. You have got to ask, is that what you want from an MLA?</w:t>
      </w:r>
      <w:r w:rsidRPr="00623F0E">
        <w:rPr>
          <w:rStyle w:val="EndnoteReference"/>
          <w:rFonts w:cstheme="minorHAnsi"/>
        </w:rPr>
        <w:endnoteReference w:id="27"/>
      </w:r>
    </w:p>
    <w:p w14:paraId="30B9B640" w14:textId="77777777" w:rsidR="00153D4F" w:rsidRPr="00A05A31" w:rsidRDefault="00153D4F" w:rsidP="00153D4F">
      <w:pPr>
        <w:spacing w:after="0" w:line="276" w:lineRule="auto"/>
        <w:contextualSpacing/>
        <w:jc w:val="both"/>
        <w:rPr>
          <w:rStyle w:val="Emphasis"/>
          <w:rFonts w:cstheme="minorHAnsi"/>
          <w:b w:val="0"/>
        </w:rPr>
      </w:pPr>
    </w:p>
    <w:p w14:paraId="5F9173D0" w14:textId="6402701C" w:rsidR="00153D4F" w:rsidRPr="00623F0E" w:rsidRDefault="00153D4F" w:rsidP="00623F0E">
      <w:pPr>
        <w:spacing w:after="0" w:line="360" w:lineRule="auto"/>
        <w:contextualSpacing/>
        <w:jc w:val="both"/>
        <w:rPr>
          <w:rStyle w:val="Emphasis"/>
          <w:rFonts w:cstheme="minorHAnsi"/>
          <w:b w:val="0"/>
          <w:sz w:val="24"/>
          <w:szCs w:val="24"/>
        </w:rPr>
      </w:pPr>
      <w:r w:rsidRPr="00623F0E">
        <w:rPr>
          <w:rStyle w:val="Emphasis"/>
          <w:rFonts w:cstheme="minorHAnsi"/>
          <w:b w:val="0"/>
          <w:sz w:val="24"/>
          <w:szCs w:val="24"/>
        </w:rPr>
        <w:t>Although constituency styles have been linked to the conditions under which legislators compete for re</w:t>
      </w:r>
      <w:r w:rsidR="00BF698B">
        <w:rPr>
          <w:rStyle w:val="Emphasis"/>
          <w:rFonts w:cstheme="minorHAnsi"/>
          <w:b w:val="0"/>
          <w:sz w:val="24"/>
          <w:szCs w:val="24"/>
        </w:rPr>
        <w:t>-election (André &amp; Depauw, 2013b</w:t>
      </w:r>
      <w:r w:rsidRPr="00623F0E">
        <w:rPr>
          <w:rStyle w:val="Emphasis"/>
          <w:rFonts w:cstheme="minorHAnsi"/>
          <w:b w:val="0"/>
          <w:sz w:val="24"/>
          <w:szCs w:val="24"/>
        </w:rPr>
        <w:t>), attributing the approach of MLAs to their electoral circumstances is not straightforward. Legislators in open-list systems, for example, are thought to favour one-to-many over one-to-one activities (</w:t>
      </w:r>
      <w:r w:rsidRPr="00623F0E">
        <w:rPr>
          <w:rStyle w:val="Emphasis"/>
          <w:rFonts w:cstheme="minorHAnsi"/>
          <w:b w:val="0"/>
          <w:i/>
          <w:sz w:val="24"/>
          <w:szCs w:val="24"/>
        </w:rPr>
        <w:t>ibid</w:t>
      </w:r>
      <w:r w:rsidRPr="00623F0E">
        <w:rPr>
          <w:rStyle w:val="Emphasis"/>
          <w:rFonts w:cstheme="minorHAnsi"/>
          <w:b w:val="0"/>
          <w:sz w:val="24"/>
          <w:szCs w:val="24"/>
        </w:rPr>
        <w:t xml:space="preserve">), though this is clearly not the case with MLAs. Interestingly, the presence of co-partisans in the constituency significantly reduces </w:t>
      </w:r>
      <w:r w:rsidR="00945352">
        <w:rPr>
          <w:rStyle w:val="Emphasis"/>
          <w:rFonts w:cstheme="minorHAnsi"/>
          <w:b w:val="0"/>
          <w:sz w:val="24"/>
          <w:szCs w:val="24"/>
        </w:rPr>
        <w:t>the frequency with which MLAs participate</w:t>
      </w:r>
      <w:r w:rsidRPr="00623F0E">
        <w:rPr>
          <w:rStyle w:val="Emphasis"/>
          <w:rFonts w:cstheme="minorHAnsi"/>
          <w:b w:val="0"/>
          <w:sz w:val="24"/>
          <w:szCs w:val="24"/>
        </w:rPr>
        <w:t xml:space="preserve"> in local events (r = -.372, p &lt; 0.01). However, we would argue that this is not an effect of co-partisan competition, but rather co-partisan cooperation. If we recall that co-partisan MLAs territorially divide the constituency, it is reasonable to assume that a division of labour also occurs in terms of local event invitations which, no doubt, are in abundance. Conversely, MLAs that are the sole party representative in the constituency need to attend events throughout the district if the party is to maintain a reasonable social presence.</w:t>
      </w:r>
      <w:r w:rsidRPr="00844C66">
        <w:rPr>
          <w:rStyle w:val="EndnoteReference"/>
          <w:rFonts w:cstheme="minorHAnsi"/>
          <w:bCs/>
          <w:sz w:val="24"/>
          <w:szCs w:val="24"/>
        </w:rPr>
        <w:endnoteReference w:id="28"/>
      </w:r>
      <w:r w:rsidRPr="00623F0E">
        <w:rPr>
          <w:rStyle w:val="Emphasis"/>
          <w:rFonts w:cstheme="minorHAnsi"/>
          <w:b w:val="0"/>
          <w:sz w:val="24"/>
          <w:szCs w:val="24"/>
        </w:rPr>
        <w:t xml:space="preserve">   </w:t>
      </w:r>
    </w:p>
    <w:p w14:paraId="6A14E61A" w14:textId="53CC5FD9" w:rsidR="00153D4F" w:rsidRDefault="00153D4F" w:rsidP="00772337">
      <w:pPr>
        <w:spacing w:after="0" w:line="360" w:lineRule="auto"/>
        <w:ind w:firstLine="720"/>
        <w:contextualSpacing/>
        <w:jc w:val="both"/>
        <w:rPr>
          <w:rStyle w:val="Emphasis"/>
          <w:rFonts w:cstheme="minorHAnsi"/>
          <w:b w:val="0"/>
          <w:sz w:val="24"/>
          <w:szCs w:val="24"/>
        </w:rPr>
      </w:pPr>
      <w:r w:rsidRPr="00E017D6">
        <w:rPr>
          <w:rStyle w:val="Emphasis"/>
          <w:rFonts w:cstheme="minorHAnsi"/>
          <w:b w:val="0"/>
          <w:sz w:val="24"/>
          <w:szCs w:val="24"/>
        </w:rPr>
        <w:t xml:space="preserve">Although Searing’s Welfare Officer/Local Promoter distinction has become common currency in the literature, no attempt has been made to </w:t>
      </w:r>
      <w:r w:rsidR="000706B2" w:rsidRPr="00E017D6">
        <w:rPr>
          <w:rStyle w:val="Emphasis"/>
          <w:rFonts w:cstheme="minorHAnsi"/>
          <w:b w:val="0"/>
          <w:sz w:val="24"/>
          <w:szCs w:val="24"/>
        </w:rPr>
        <w:t>investigate</w:t>
      </w:r>
      <w:r w:rsidRPr="00E017D6">
        <w:rPr>
          <w:rStyle w:val="Emphasis"/>
          <w:rFonts w:cstheme="minorHAnsi"/>
          <w:b w:val="0"/>
          <w:sz w:val="24"/>
          <w:szCs w:val="24"/>
        </w:rPr>
        <w:t xml:space="preserve"> if these Constituency Member subtypes </w:t>
      </w:r>
      <w:r w:rsidR="000706B2" w:rsidRPr="00E017D6">
        <w:rPr>
          <w:rStyle w:val="Emphasis"/>
          <w:rFonts w:cstheme="minorHAnsi"/>
          <w:b w:val="0"/>
          <w:sz w:val="24"/>
          <w:szCs w:val="24"/>
        </w:rPr>
        <w:t xml:space="preserve">exhibit differences in </w:t>
      </w:r>
      <w:r w:rsidRPr="00E017D6">
        <w:rPr>
          <w:rStyle w:val="Emphasis"/>
          <w:rFonts w:cstheme="minorHAnsi"/>
          <w:b w:val="0"/>
          <w:sz w:val="24"/>
          <w:szCs w:val="24"/>
        </w:rPr>
        <w:t>home style.</w:t>
      </w:r>
      <w:r w:rsidR="000706B2" w:rsidRPr="00E017D6">
        <w:rPr>
          <w:rStyle w:val="Emphasis"/>
          <w:rFonts w:cstheme="minorHAnsi"/>
          <w:b w:val="0"/>
          <w:sz w:val="24"/>
          <w:szCs w:val="24"/>
        </w:rPr>
        <w:t xml:space="preserve"> </w:t>
      </w:r>
      <w:r w:rsidR="000706B2" w:rsidRPr="00772337">
        <w:rPr>
          <w:rStyle w:val="Emphasis"/>
          <w:rFonts w:cstheme="minorHAnsi"/>
          <w:b w:val="0"/>
          <w:sz w:val="24"/>
          <w:szCs w:val="24"/>
        </w:rPr>
        <w:t>In that regard, our data</w:t>
      </w:r>
      <w:r w:rsidR="00365A4C" w:rsidRPr="00772337">
        <w:rPr>
          <w:rStyle w:val="Emphasis"/>
          <w:rFonts w:cstheme="minorHAnsi"/>
          <w:b w:val="0"/>
          <w:sz w:val="24"/>
          <w:szCs w:val="24"/>
        </w:rPr>
        <w:t xml:space="preserve"> reveals some interesting findings. </w:t>
      </w:r>
      <w:r w:rsidRPr="00E017D6">
        <w:rPr>
          <w:rStyle w:val="Emphasis"/>
          <w:rFonts w:cstheme="minorHAnsi"/>
          <w:b w:val="0"/>
          <w:sz w:val="24"/>
          <w:szCs w:val="24"/>
        </w:rPr>
        <w:t>After identifying the sub</w:t>
      </w:r>
      <w:r w:rsidR="006C1F18" w:rsidRPr="00E017D6">
        <w:rPr>
          <w:rStyle w:val="Emphasis"/>
          <w:rFonts w:cstheme="minorHAnsi"/>
          <w:b w:val="0"/>
          <w:sz w:val="24"/>
          <w:szCs w:val="24"/>
        </w:rPr>
        <w:t>types in our sample (see Table 4</w:t>
      </w:r>
      <w:r w:rsidRPr="00E017D6">
        <w:rPr>
          <w:rStyle w:val="Emphasis"/>
          <w:rFonts w:cstheme="minorHAnsi"/>
          <w:b w:val="0"/>
          <w:sz w:val="24"/>
          <w:szCs w:val="24"/>
        </w:rPr>
        <w:t xml:space="preserve"> above) </w:t>
      </w:r>
      <w:r w:rsidR="00365A4C" w:rsidRPr="00E017D6">
        <w:rPr>
          <w:rStyle w:val="Emphasis"/>
          <w:rFonts w:cstheme="minorHAnsi"/>
          <w:b w:val="0"/>
          <w:sz w:val="24"/>
          <w:szCs w:val="24"/>
        </w:rPr>
        <w:t>we compare the frequency with which each participate</w:t>
      </w:r>
      <w:r w:rsidR="00CD6C8C">
        <w:rPr>
          <w:rStyle w:val="Emphasis"/>
          <w:rFonts w:cstheme="minorHAnsi"/>
          <w:b w:val="0"/>
          <w:sz w:val="24"/>
          <w:szCs w:val="24"/>
        </w:rPr>
        <w:t xml:space="preserve"> in five constituency service related activities</w:t>
      </w:r>
      <w:r w:rsidR="001323E4">
        <w:rPr>
          <w:rStyle w:val="Emphasis"/>
          <w:rFonts w:cstheme="minorHAnsi"/>
          <w:b w:val="0"/>
          <w:sz w:val="24"/>
          <w:szCs w:val="24"/>
        </w:rPr>
        <w:t xml:space="preserve"> (Table 6).</w:t>
      </w:r>
    </w:p>
    <w:p w14:paraId="3ECC50BB" w14:textId="77777777" w:rsidR="009B152A" w:rsidRDefault="009B152A" w:rsidP="00623F0E">
      <w:pPr>
        <w:spacing w:after="0" w:line="360" w:lineRule="auto"/>
        <w:ind w:firstLine="720"/>
        <w:contextualSpacing/>
        <w:jc w:val="both"/>
        <w:rPr>
          <w:rStyle w:val="Emphasis"/>
          <w:rFonts w:cstheme="minorHAnsi"/>
          <w:b w:val="0"/>
          <w:sz w:val="24"/>
          <w:szCs w:val="24"/>
        </w:rPr>
      </w:pPr>
    </w:p>
    <w:p w14:paraId="07DF9219" w14:textId="1157E78F" w:rsidR="00153D4F" w:rsidRDefault="006C1F18" w:rsidP="00BC5490">
      <w:pPr>
        <w:spacing w:after="0" w:line="276" w:lineRule="auto"/>
        <w:contextualSpacing/>
        <w:jc w:val="center"/>
        <w:rPr>
          <w:rStyle w:val="Emphasis"/>
          <w:rFonts w:cstheme="minorHAnsi"/>
          <w:b w:val="0"/>
        </w:rPr>
      </w:pPr>
      <w:r>
        <w:rPr>
          <w:rStyle w:val="Emphasis"/>
          <w:rFonts w:cstheme="minorHAnsi"/>
          <w:b w:val="0"/>
          <w:sz w:val="24"/>
          <w:szCs w:val="24"/>
        </w:rPr>
        <w:t>[Table 6</w:t>
      </w:r>
      <w:r w:rsidR="00BC5490">
        <w:rPr>
          <w:rStyle w:val="Emphasis"/>
          <w:rFonts w:cstheme="minorHAnsi"/>
          <w:b w:val="0"/>
          <w:sz w:val="24"/>
          <w:szCs w:val="24"/>
        </w:rPr>
        <w:t xml:space="preserve"> about here]</w:t>
      </w:r>
    </w:p>
    <w:p w14:paraId="7B231813" w14:textId="77777777" w:rsidR="00F01897" w:rsidRDefault="00F01897" w:rsidP="00623F0E">
      <w:pPr>
        <w:spacing w:after="0" w:line="360" w:lineRule="auto"/>
        <w:contextualSpacing/>
        <w:jc w:val="both"/>
        <w:rPr>
          <w:rStyle w:val="Emphasis"/>
          <w:rFonts w:cstheme="minorHAnsi"/>
          <w:b w:val="0"/>
          <w:sz w:val="24"/>
          <w:szCs w:val="24"/>
        </w:rPr>
      </w:pPr>
    </w:p>
    <w:p w14:paraId="26F48D7E" w14:textId="45301ED0" w:rsidR="00153D4F" w:rsidRPr="00623F0E" w:rsidRDefault="00D74692" w:rsidP="00623F0E">
      <w:pPr>
        <w:spacing w:after="0" w:line="360" w:lineRule="auto"/>
        <w:contextualSpacing/>
        <w:jc w:val="both"/>
        <w:rPr>
          <w:rStyle w:val="Emphasis"/>
          <w:rFonts w:cstheme="minorHAnsi"/>
          <w:b w:val="0"/>
          <w:sz w:val="24"/>
          <w:szCs w:val="24"/>
        </w:rPr>
      </w:pPr>
      <w:r>
        <w:rPr>
          <w:rStyle w:val="Emphasis"/>
          <w:rFonts w:cstheme="minorHAnsi"/>
          <w:b w:val="0"/>
          <w:sz w:val="24"/>
          <w:szCs w:val="24"/>
        </w:rPr>
        <w:t xml:space="preserve">As Table 6 illustrates, </w:t>
      </w:r>
      <w:r w:rsidR="0095012C">
        <w:rPr>
          <w:rStyle w:val="Emphasis"/>
          <w:rFonts w:cstheme="minorHAnsi"/>
          <w:b w:val="0"/>
          <w:sz w:val="24"/>
          <w:szCs w:val="24"/>
        </w:rPr>
        <w:t>one-to-one activities are the clear favourite with Welfare Officers</w:t>
      </w:r>
      <w:r w:rsidR="00153D4F" w:rsidRPr="00623F0E">
        <w:rPr>
          <w:rStyle w:val="Emphasis"/>
          <w:rFonts w:cstheme="minorHAnsi"/>
          <w:b w:val="0"/>
          <w:sz w:val="24"/>
          <w:szCs w:val="24"/>
        </w:rPr>
        <w:t xml:space="preserve">, </w:t>
      </w:r>
      <w:r w:rsidR="001323E4">
        <w:rPr>
          <w:rStyle w:val="Emphasis"/>
          <w:rFonts w:cstheme="minorHAnsi"/>
          <w:b w:val="0"/>
          <w:sz w:val="24"/>
          <w:szCs w:val="24"/>
        </w:rPr>
        <w:t>with almost three-quarters of the sample holding weekly surgeries and more than half visiting constituents at home</w:t>
      </w:r>
      <w:r w:rsidR="0095012C">
        <w:rPr>
          <w:rStyle w:val="Emphasis"/>
          <w:rFonts w:cstheme="minorHAnsi"/>
          <w:b w:val="0"/>
          <w:sz w:val="24"/>
          <w:szCs w:val="24"/>
        </w:rPr>
        <w:t xml:space="preserve"> on a weekly basis</w:t>
      </w:r>
      <w:r w:rsidR="001323E4">
        <w:rPr>
          <w:rStyle w:val="Emphasis"/>
          <w:rFonts w:cstheme="minorHAnsi"/>
          <w:b w:val="0"/>
          <w:sz w:val="24"/>
          <w:szCs w:val="24"/>
        </w:rPr>
        <w:t>.</w:t>
      </w:r>
      <w:r w:rsidR="0095012C">
        <w:rPr>
          <w:rStyle w:val="Emphasis"/>
          <w:rFonts w:cstheme="minorHAnsi"/>
          <w:b w:val="0"/>
          <w:sz w:val="24"/>
          <w:szCs w:val="24"/>
        </w:rPr>
        <w:t xml:space="preserve"> One-to-few and one-t</w:t>
      </w:r>
      <w:r w:rsidR="004313A1">
        <w:rPr>
          <w:rStyle w:val="Emphasis"/>
          <w:rFonts w:cstheme="minorHAnsi"/>
          <w:b w:val="0"/>
          <w:sz w:val="24"/>
          <w:szCs w:val="24"/>
        </w:rPr>
        <w:t>o-</w:t>
      </w:r>
      <w:r w:rsidR="0095012C">
        <w:rPr>
          <w:rStyle w:val="Emphasis"/>
          <w:rFonts w:cstheme="minorHAnsi"/>
          <w:b w:val="0"/>
          <w:sz w:val="24"/>
          <w:szCs w:val="24"/>
        </w:rPr>
        <w:t>many activities, on the other hand, are more popular with Local Promoters</w:t>
      </w:r>
      <w:r w:rsidR="004313A1">
        <w:rPr>
          <w:rStyle w:val="Emphasis"/>
          <w:rFonts w:cstheme="minorHAnsi"/>
          <w:b w:val="0"/>
          <w:sz w:val="24"/>
          <w:szCs w:val="24"/>
        </w:rPr>
        <w:t>,</w:t>
      </w:r>
      <w:r w:rsidR="0095012C">
        <w:rPr>
          <w:rStyle w:val="Emphasis"/>
          <w:rFonts w:cstheme="minorHAnsi"/>
          <w:b w:val="0"/>
          <w:sz w:val="24"/>
          <w:szCs w:val="24"/>
        </w:rPr>
        <w:t xml:space="preserve"> who </w:t>
      </w:r>
      <w:r w:rsidR="004313A1">
        <w:rPr>
          <w:rStyle w:val="Emphasis"/>
          <w:rFonts w:cstheme="minorHAnsi"/>
          <w:b w:val="0"/>
          <w:sz w:val="24"/>
          <w:szCs w:val="24"/>
        </w:rPr>
        <w:t xml:space="preserve">attend local events and </w:t>
      </w:r>
      <w:r w:rsidR="0095012C">
        <w:rPr>
          <w:rStyle w:val="Emphasis"/>
          <w:rFonts w:cstheme="minorHAnsi"/>
          <w:b w:val="0"/>
          <w:sz w:val="24"/>
          <w:szCs w:val="24"/>
        </w:rPr>
        <w:t>meet</w:t>
      </w:r>
      <w:r w:rsidR="00153D4F" w:rsidRPr="00623F0E">
        <w:rPr>
          <w:rStyle w:val="Emphasis"/>
          <w:rFonts w:cstheme="minorHAnsi"/>
          <w:b w:val="0"/>
          <w:sz w:val="24"/>
          <w:szCs w:val="24"/>
        </w:rPr>
        <w:t xml:space="preserve"> with local </w:t>
      </w:r>
      <w:r w:rsidR="0095012C">
        <w:rPr>
          <w:rStyle w:val="Emphasis"/>
          <w:rFonts w:cstheme="minorHAnsi"/>
          <w:b w:val="0"/>
          <w:sz w:val="24"/>
          <w:szCs w:val="24"/>
        </w:rPr>
        <w:t>businesses more often</w:t>
      </w:r>
      <w:r w:rsidR="001C11A9">
        <w:rPr>
          <w:rStyle w:val="Emphasis"/>
          <w:rFonts w:cstheme="minorHAnsi"/>
          <w:b w:val="0"/>
          <w:sz w:val="24"/>
          <w:szCs w:val="24"/>
        </w:rPr>
        <w:t>,</w:t>
      </w:r>
      <w:r w:rsidR="0095012C">
        <w:rPr>
          <w:rStyle w:val="Emphasis"/>
          <w:rFonts w:cstheme="minorHAnsi"/>
          <w:b w:val="0"/>
          <w:sz w:val="24"/>
          <w:szCs w:val="24"/>
        </w:rPr>
        <w:t xml:space="preserve"> </w:t>
      </w:r>
      <w:r w:rsidR="004313A1">
        <w:rPr>
          <w:rStyle w:val="Emphasis"/>
          <w:rFonts w:cstheme="minorHAnsi"/>
          <w:b w:val="0"/>
          <w:sz w:val="24"/>
          <w:szCs w:val="24"/>
        </w:rPr>
        <w:t>whilst also making</w:t>
      </w:r>
      <w:r w:rsidR="00153D4F" w:rsidRPr="00623F0E">
        <w:rPr>
          <w:rStyle w:val="Emphasis"/>
          <w:rFonts w:cstheme="minorHAnsi"/>
          <w:b w:val="0"/>
          <w:sz w:val="24"/>
          <w:szCs w:val="24"/>
        </w:rPr>
        <w:t xml:space="preserve"> use of constituency newsletters. </w:t>
      </w:r>
      <w:r>
        <w:rPr>
          <w:rStyle w:val="Emphasis"/>
          <w:rFonts w:cstheme="minorHAnsi"/>
          <w:b w:val="0"/>
          <w:sz w:val="24"/>
          <w:szCs w:val="24"/>
        </w:rPr>
        <w:t>These</w:t>
      </w:r>
      <w:r w:rsidR="00153D4F" w:rsidRPr="00623F0E">
        <w:rPr>
          <w:rStyle w:val="Emphasis"/>
          <w:rFonts w:cstheme="minorHAnsi"/>
          <w:b w:val="0"/>
          <w:sz w:val="24"/>
          <w:szCs w:val="24"/>
        </w:rPr>
        <w:t xml:space="preserve"> </w:t>
      </w:r>
      <w:r>
        <w:rPr>
          <w:rStyle w:val="Emphasis"/>
          <w:rFonts w:cstheme="minorHAnsi"/>
          <w:b w:val="0"/>
          <w:sz w:val="24"/>
          <w:szCs w:val="24"/>
        </w:rPr>
        <w:t>behavioural patterns neatly align</w:t>
      </w:r>
      <w:r w:rsidR="00153D4F" w:rsidRPr="00623F0E">
        <w:rPr>
          <w:rStyle w:val="Emphasis"/>
          <w:rFonts w:cstheme="minorHAnsi"/>
          <w:b w:val="0"/>
          <w:sz w:val="24"/>
          <w:szCs w:val="24"/>
        </w:rPr>
        <w:t xml:space="preserve"> with Searing’s description</w:t>
      </w:r>
      <w:r>
        <w:rPr>
          <w:rStyle w:val="Emphasis"/>
          <w:rFonts w:cstheme="minorHAnsi"/>
          <w:b w:val="0"/>
          <w:sz w:val="24"/>
          <w:szCs w:val="24"/>
        </w:rPr>
        <w:t xml:space="preserve"> of the subtypes</w:t>
      </w:r>
      <w:r w:rsidR="00153D4F" w:rsidRPr="00623F0E">
        <w:rPr>
          <w:rStyle w:val="Emphasis"/>
          <w:rFonts w:cstheme="minorHAnsi"/>
          <w:b w:val="0"/>
          <w:sz w:val="24"/>
          <w:szCs w:val="24"/>
        </w:rPr>
        <w:t xml:space="preserve">: Welfare Officers focus on the ‘individual’, Local Promoters on the ‘collective’ (1994: 124). </w:t>
      </w:r>
      <w:r w:rsidR="00886161">
        <w:rPr>
          <w:rStyle w:val="Emphasis"/>
          <w:rFonts w:cstheme="minorHAnsi"/>
          <w:b w:val="0"/>
          <w:sz w:val="24"/>
          <w:szCs w:val="24"/>
        </w:rPr>
        <w:t>Not only, then,</w:t>
      </w:r>
      <w:r>
        <w:rPr>
          <w:rStyle w:val="Emphasis"/>
          <w:rFonts w:cstheme="minorHAnsi"/>
          <w:b w:val="0"/>
          <w:sz w:val="24"/>
          <w:szCs w:val="24"/>
        </w:rPr>
        <w:t xml:space="preserve"> do roles account </w:t>
      </w:r>
      <w:r>
        <w:rPr>
          <w:rStyle w:val="Emphasis"/>
          <w:rFonts w:cstheme="minorHAnsi"/>
          <w:b w:val="0"/>
          <w:sz w:val="24"/>
          <w:szCs w:val="24"/>
        </w:rPr>
        <w:lastRenderedPageBreak/>
        <w:t>for variation in</w:t>
      </w:r>
      <w:r w:rsidR="00EE1300">
        <w:rPr>
          <w:rStyle w:val="Emphasis"/>
          <w:rFonts w:cstheme="minorHAnsi"/>
          <w:b w:val="0"/>
          <w:sz w:val="24"/>
          <w:szCs w:val="24"/>
        </w:rPr>
        <w:t xml:space="preserve"> MLAs’</w:t>
      </w:r>
      <w:r>
        <w:rPr>
          <w:rStyle w:val="Emphasis"/>
          <w:rFonts w:cstheme="minorHAnsi"/>
          <w:b w:val="0"/>
          <w:sz w:val="24"/>
          <w:szCs w:val="24"/>
        </w:rPr>
        <w:t xml:space="preserve"> constituency service effort, they are also helpful to understanding </w:t>
      </w:r>
      <w:r w:rsidR="00886161">
        <w:rPr>
          <w:rStyle w:val="Emphasis"/>
          <w:rFonts w:cstheme="minorHAnsi"/>
          <w:b w:val="0"/>
          <w:sz w:val="24"/>
          <w:szCs w:val="24"/>
        </w:rPr>
        <w:t>differences in</w:t>
      </w:r>
      <w:r>
        <w:rPr>
          <w:rStyle w:val="Emphasis"/>
          <w:rFonts w:cstheme="minorHAnsi"/>
          <w:b w:val="0"/>
          <w:sz w:val="24"/>
          <w:szCs w:val="24"/>
        </w:rPr>
        <w:t xml:space="preserve"> home style. </w:t>
      </w:r>
    </w:p>
    <w:p w14:paraId="0EE4EE66" w14:textId="77777777" w:rsidR="00623F0E" w:rsidRDefault="00623F0E" w:rsidP="00153D4F">
      <w:pPr>
        <w:spacing w:after="0" w:line="276" w:lineRule="auto"/>
        <w:contextualSpacing/>
        <w:jc w:val="both"/>
        <w:rPr>
          <w:rStyle w:val="Emphasis"/>
          <w:rFonts w:cstheme="minorHAnsi"/>
          <w:b w:val="0"/>
        </w:rPr>
      </w:pPr>
    </w:p>
    <w:p w14:paraId="7F9A6770" w14:textId="77777777" w:rsidR="00153D4F" w:rsidRPr="00623F0E" w:rsidRDefault="00153D4F" w:rsidP="00153D4F">
      <w:pPr>
        <w:spacing w:after="0" w:line="276" w:lineRule="auto"/>
        <w:contextualSpacing/>
        <w:jc w:val="both"/>
        <w:rPr>
          <w:rStyle w:val="Emphasis"/>
          <w:rFonts w:cstheme="minorHAnsi"/>
          <w:sz w:val="24"/>
          <w:szCs w:val="24"/>
        </w:rPr>
      </w:pPr>
      <w:r w:rsidRPr="00623F0E">
        <w:rPr>
          <w:rStyle w:val="Emphasis"/>
          <w:rFonts w:cstheme="minorHAnsi"/>
          <w:sz w:val="24"/>
          <w:szCs w:val="24"/>
        </w:rPr>
        <w:t>Conclusion</w:t>
      </w:r>
    </w:p>
    <w:p w14:paraId="617F3037" w14:textId="77777777" w:rsidR="00153D4F" w:rsidRDefault="00153D4F" w:rsidP="00153D4F">
      <w:pPr>
        <w:spacing w:after="0" w:line="276" w:lineRule="auto"/>
        <w:contextualSpacing/>
        <w:jc w:val="both"/>
        <w:rPr>
          <w:rStyle w:val="Emphasis"/>
          <w:rFonts w:cstheme="minorHAnsi"/>
          <w:b w:val="0"/>
        </w:rPr>
      </w:pPr>
    </w:p>
    <w:p w14:paraId="6769A9FC" w14:textId="767C6E14" w:rsidR="00153D4F" w:rsidRPr="008430DC" w:rsidRDefault="00153D4F" w:rsidP="00623F0E">
      <w:pPr>
        <w:spacing w:after="0" w:line="360" w:lineRule="auto"/>
        <w:contextualSpacing/>
        <w:jc w:val="both"/>
        <w:rPr>
          <w:rStyle w:val="Emphasis"/>
          <w:rFonts w:cs="Times New Roman"/>
          <w:b w:val="0"/>
          <w:sz w:val="24"/>
          <w:szCs w:val="24"/>
        </w:rPr>
      </w:pPr>
      <w:r w:rsidRPr="008430DC">
        <w:rPr>
          <w:rStyle w:val="Emphasis"/>
          <w:rFonts w:cs="Times New Roman"/>
          <w:b w:val="0"/>
          <w:sz w:val="24"/>
          <w:szCs w:val="24"/>
        </w:rPr>
        <w:t>In concluding their study of constituency service in European democracies, André and Depauw (2013</w:t>
      </w:r>
      <w:r w:rsidR="00BF698B" w:rsidRPr="008430DC">
        <w:rPr>
          <w:rStyle w:val="Emphasis"/>
          <w:rFonts w:cs="Times New Roman"/>
          <w:b w:val="0"/>
          <w:sz w:val="24"/>
          <w:szCs w:val="24"/>
        </w:rPr>
        <w:t>b</w:t>
      </w:r>
      <w:r w:rsidRPr="008430DC">
        <w:rPr>
          <w:rStyle w:val="Emphasis"/>
          <w:rFonts w:cs="Times New Roman"/>
          <w:b w:val="0"/>
          <w:sz w:val="24"/>
          <w:szCs w:val="24"/>
        </w:rPr>
        <w:t>:</w:t>
      </w:r>
      <w:r w:rsidR="00E26CF6" w:rsidRPr="008430DC">
        <w:rPr>
          <w:rStyle w:val="Emphasis"/>
          <w:rFonts w:cs="Times New Roman"/>
          <w:b w:val="0"/>
          <w:sz w:val="24"/>
          <w:szCs w:val="24"/>
        </w:rPr>
        <w:t xml:space="preserve"> 1002)</w:t>
      </w:r>
      <w:r w:rsidR="004313A1" w:rsidRPr="008430DC">
        <w:rPr>
          <w:rStyle w:val="Emphasis"/>
          <w:rFonts w:cs="Times New Roman"/>
          <w:b w:val="0"/>
          <w:sz w:val="24"/>
          <w:szCs w:val="24"/>
        </w:rPr>
        <w:t xml:space="preserve"> note that ‘</w:t>
      </w:r>
      <w:r w:rsidRPr="008430DC">
        <w:rPr>
          <w:rStyle w:val="Emphasis"/>
          <w:rFonts w:cs="Times New Roman"/>
          <w:b w:val="0"/>
          <w:sz w:val="24"/>
          <w:szCs w:val="24"/>
        </w:rPr>
        <w:t>studies of the ways in which legislators “connect” to constituents have largely been limited to the realm of single-seat districts and the United States in particular. More research, in particular in the context of multi-member PR, is called for’. The PartiRep</w:t>
      </w:r>
      <w:r w:rsidR="00444890" w:rsidRPr="008430DC">
        <w:rPr>
          <w:rStyle w:val="Emphasis"/>
          <w:rFonts w:cs="Times New Roman"/>
          <w:b w:val="0"/>
          <w:sz w:val="24"/>
          <w:szCs w:val="24"/>
        </w:rPr>
        <w:t xml:space="preserve"> survey</w:t>
      </w:r>
      <w:r w:rsidRPr="008430DC">
        <w:rPr>
          <w:rStyle w:val="Emphasis"/>
          <w:rFonts w:cs="Times New Roman"/>
          <w:b w:val="0"/>
          <w:sz w:val="24"/>
          <w:szCs w:val="24"/>
        </w:rPr>
        <w:t xml:space="preserve"> of legislators in (mostly) European assemblies</w:t>
      </w:r>
      <w:r w:rsidR="00444890" w:rsidRPr="008430DC">
        <w:rPr>
          <w:rStyle w:val="Emphasis"/>
          <w:rFonts w:cs="Times New Roman"/>
          <w:b w:val="0"/>
          <w:sz w:val="24"/>
          <w:szCs w:val="24"/>
        </w:rPr>
        <w:t xml:space="preserve"> (</w:t>
      </w:r>
      <w:r w:rsidR="00591418">
        <w:rPr>
          <w:rStyle w:val="Emphasis"/>
          <w:rFonts w:cs="Times New Roman"/>
          <w:b w:val="0"/>
          <w:sz w:val="24"/>
          <w:szCs w:val="24"/>
        </w:rPr>
        <w:t>Deschouwer &amp; Depauw,</w:t>
      </w:r>
      <w:r w:rsidR="00444890" w:rsidRPr="008430DC">
        <w:rPr>
          <w:rStyle w:val="Emphasis"/>
          <w:rFonts w:cs="Times New Roman"/>
          <w:b w:val="0"/>
          <w:sz w:val="24"/>
          <w:szCs w:val="24"/>
        </w:rPr>
        <w:t xml:space="preserve"> 2014)</w:t>
      </w:r>
      <w:r w:rsidRPr="008430DC">
        <w:rPr>
          <w:rStyle w:val="Emphasis"/>
          <w:rFonts w:cs="Times New Roman"/>
          <w:b w:val="0"/>
          <w:sz w:val="24"/>
          <w:szCs w:val="24"/>
        </w:rPr>
        <w:t xml:space="preserve"> has made a significant contribution to filling that gap. Yet among the project’s long list of assemblies under consideration, including the Scottish Parliament, National Assembly for Wales and dozens of sub-state legislatures from across Europe, the NIA is conspicuous by its absence. To be sure, the NIA is no stranger to suspension and premature dissolution and does not always make for an easy subject matter. However, as we have seen, beyond the headlines and political crises, the region’s MLAs go about the business of ‘connecting’ with constituents unabated and, as such, their activities provide scope for enquiry.  </w:t>
      </w:r>
    </w:p>
    <w:p w14:paraId="64A03761" w14:textId="04AFAF09" w:rsidR="00E26CF6" w:rsidRPr="008430DC" w:rsidRDefault="001C11A9" w:rsidP="00B03A9E">
      <w:pPr>
        <w:spacing w:after="0" w:line="360" w:lineRule="auto"/>
        <w:ind w:firstLine="720"/>
        <w:contextualSpacing/>
        <w:jc w:val="both"/>
        <w:rPr>
          <w:rStyle w:val="Emphasis"/>
          <w:rFonts w:cs="Times New Roman"/>
          <w:b w:val="0"/>
          <w:sz w:val="24"/>
          <w:szCs w:val="24"/>
        </w:rPr>
      </w:pPr>
      <w:r w:rsidRPr="008430DC">
        <w:rPr>
          <w:rStyle w:val="Emphasis"/>
          <w:rFonts w:cs="Times New Roman"/>
          <w:b w:val="0"/>
          <w:sz w:val="24"/>
          <w:szCs w:val="24"/>
        </w:rPr>
        <w:t xml:space="preserve">This article establishes that MLAs attach great importance to the provision of constituency service. The average MLA devotes more time to constituency service than </w:t>
      </w:r>
      <w:r w:rsidR="00304E1B" w:rsidRPr="008430DC">
        <w:rPr>
          <w:rStyle w:val="Emphasis"/>
          <w:rFonts w:cs="Times New Roman"/>
          <w:b w:val="0"/>
          <w:sz w:val="24"/>
          <w:szCs w:val="24"/>
        </w:rPr>
        <w:t xml:space="preserve">to </w:t>
      </w:r>
      <w:r w:rsidRPr="008430DC">
        <w:rPr>
          <w:rStyle w:val="Emphasis"/>
          <w:rFonts w:cs="Times New Roman"/>
          <w:b w:val="0"/>
          <w:sz w:val="24"/>
          <w:szCs w:val="24"/>
        </w:rPr>
        <w:t>parliamentary duties and, for a majority of members, seeing to the individual or collective needs of their constituency is priority</w:t>
      </w:r>
      <w:r w:rsidR="007A0278" w:rsidRPr="008430DC">
        <w:rPr>
          <w:rStyle w:val="Emphasis"/>
          <w:rFonts w:cs="Times New Roman"/>
          <w:b w:val="0"/>
          <w:sz w:val="24"/>
          <w:szCs w:val="24"/>
        </w:rPr>
        <w:t xml:space="preserve">. </w:t>
      </w:r>
      <w:r w:rsidR="00304E1B" w:rsidRPr="008430DC">
        <w:rPr>
          <w:rStyle w:val="Emphasis"/>
          <w:rFonts w:cs="Times New Roman"/>
          <w:b w:val="0"/>
          <w:sz w:val="24"/>
          <w:szCs w:val="24"/>
        </w:rPr>
        <w:t>C</w:t>
      </w:r>
      <w:r w:rsidR="000409D7" w:rsidRPr="008430DC">
        <w:rPr>
          <w:rStyle w:val="Emphasis"/>
          <w:rFonts w:cs="Times New Roman"/>
          <w:b w:val="0"/>
          <w:sz w:val="24"/>
          <w:szCs w:val="24"/>
        </w:rPr>
        <w:t xml:space="preserve">ontrary to expectations, intra-party </w:t>
      </w:r>
      <w:r w:rsidR="007A0278" w:rsidRPr="008430DC">
        <w:rPr>
          <w:rStyle w:val="Emphasis"/>
          <w:rFonts w:cs="Times New Roman"/>
          <w:b w:val="0"/>
          <w:sz w:val="24"/>
          <w:szCs w:val="24"/>
        </w:rPr>
        <w:t xml:space="preserve">electoral </w:t>
      </w:r>
      <w:r w:rsidR="000409D7" w:rsidRPr="008430DC">
        <w:rPr>
          <w:rStyle w:val="Emphasis"/>
          <w:rFonts w:cs="Times New Roman"/>
          <w:b w:val="0"/>
          <w:sz w:val="24"/>
          <w:szCs w:val="24"/>
        </w:rPr>
        <w:t>vulnerability does not provide a reliable predicator of MLAs’</w:t>
      </w:r>
      <w:r w:rsidR="007A0278" w:rsidRPr="008430DC">
        <w:rPr>
          <w:rStyle w:val="Emphasis"/>
          <w:rFonts w:cs="Times New Roman"/>
          <w:b w:val="0"/>
          <w:sz w:val="24"/>
          <w:szCs w:val="24"/>
        </w:rPr>
        <w:t xml:space="preserve"> constituency service.</w:t>
      </w:r>
      <w:r w:rsidR="003C40DF" w:rsidRPr="008430DC">
        <w:rPr>
          <w:rStyle w:val="Emphasis"/>
          <w:rFonts w:cs="Times New Roman"/>
          <w:b w:val="0"/>
          <w:sz w:val="24"/>
          <w:szCs w:val="24"/>
        </w:rPr>
        <w:t xml:space="preserve"> I</w:t>
      </w:r>
      <w:r w:rsidR="000409D7" w:rsidRPr="008430DC">
        <w:rPr>
          <w:rStyle w:val="Emphasis"/>
          <w:rFonts w:cs="Times New Roman"/>
          <w:b w:val="0"/>
          <w:sz w:val="24"/>
          <w:szCs w:val="24"/>
        </w:rPr>
        <w:t>n the</w:t>
      </w:r>
      <w:r w:rsidR="007A0278" w:rsidRPr="008430DC">
        <w:rPr>
          <w:rStyle w:val="Emphasis"/>
          <w:rFonts w:cs="Times New Roman"/>
          <w:b w:val="0"/>
          <w:sz w:val="24"/>
          <w:szCs w:val="24"/>
        </w:rPr>
        <w:t xml:space="preserve"> case of Northern Ireland</w:t>
      </w:r>
      <w:r w:rsidR="003C40DF" w:rsidRPr="008430DC">
        <w:rPr>
          <w:rStyle w:val="Emphasis"/>
          <w:rFonts w:cs="Times New Roman"/>
          <w:b w:val="0"/>
          <w:sz w:val="24"/>
          <w:szCs w:val="24"/>
        </w:rPr>
        <w:t>, then,</w:t>
      </w:r>
      <w:r w:rsidR="007A0278" w:rsidRPr="008430DC">
        <w:rPr>
          <w:rStyle w:val="Emphasis"/>
          <w:rFonts w:cs="Times New Roman"/>
          <w:b w:val="0"/>
          <w:sz w:val="24"/>
          <w:szCs w:val="24"/>
        </w:rPr>
        <w:t xml:space="preserve"> </w:t>
      </w:r>
      <w:r w:rsidR="00E34640" w:rsidRPr="008430DC">
        <w:rPr>
          <w:rStyle w:val="Emphasis"/>
          <w:rFonts w:cs="Times New Roman"/>
          <w:b w:val="0"/>
          <w:sz w:val="24"/>
          <w:szCs w:val="24"/>
        </w:rPr>
        <w:t xml:space="preserve">André </w:t>
      </w:r>
      <w:r w:rsidR="000409D7" w:rsidRPr="008430DC">
        <w:rPr>
          <w:rStyle w:val="Emphasis"/>
          <w:rFonts w:cs="Times New Roman"/>
          <w:b w:val="0"/>
          <w:sz w:val="24"/>
          <w:szCs w:val="24"/>
        </w:rPr>
        <w:t xml:space="preserve">and her colleagues are </w:t>
      </w:r>
      <w:r w:rsidR="00304E1B" w:rsidRPr="008430DC">
        <w:rPr>
          <w:rStyle w:val="Emphasis"/>
          <w:rFonts w:cs="Times New Roman"/>
          <w:b w:val="0"/>
          <w:sz w:val="24"/>
          <w:szCs w:val="24"/>
        </w:rPr>
        <w:t>correct</w:t>
      </w:r>
      <w:r w:rsidR="000409D7" w:rsidRPr="008430DC">
        <w:rPr>
          <w:rStyle w:val="Emphasis"/>
          <w:rFonts w:cs="Times New Roman"/>
          <w:b w:val="0"/>
          <w:sz w:val="24"/>
          <w:szCs w:val="24"/>
        </w:rPr>
        <w:t xml:space="preserve">: </w:t>
      </w:r>
      <w:r w:rsidR="00154580" w:rsidRPr="008430DC">
        <w:rPr>
          <w:rStyle w:val="Emphasis"/>
          <w:rFonts w:cs="Times New Roman"/>
          <w:b w:val="0"/>
          <w:sz w:val="24"/>
          <w:szCs w:val="24"/>
        </w:rPr>
        <w:t xml:space="preserve">constituency orientation is not always reducible to </w:t>
      </w:r>
      <w:r w:rsidR="007A0278" w:rsidRPr="008430DC">
        <w:rPr>
          <w:rStyle w:val="Emphasis"/>
          <w:rFonts w:cs="Times New Roman"/>
          <w:b w:val="0"/>
          <w:sz w:val="24"/>
          <w:szCs w:val="24"/>
        </w:rPr>
        <w:t>‘</w:t>
      </w:r>
      <w:r w:rsidR="00154580" w:rsidRPr="008430DC">
        <w:rPr>
          <w:rStyle w:val="Emphasis"/>
          <w:rFonts w:cs="Times New Roman"/>
          <w:b w:val="0"/>
          <w:sz w:val="24"/>
          <w:szCs w:val="24"/>
        </w:rPr>
        <w:t xml:space="preserve">a </w:t>
      </w:r>
      <w:r w:rsidR="007A0278" w:rsidRPr="008430DC">
        <w:rPr>
          <w:rStyle w:val="Emphasis"/>
          <w:rFonts w:cs="Times New Roman"/>
          <w:b w:val="0"/>
          <w:sz w:val="24"/>
          <w:szCs w:val="24"/>
        </w:rPr>
        <w:t xml:space="preserve">pure </w:t>
      </w:r>
      <w:r w:rsidR="00154580" w:rsidRPr="008430DC">
        <w:rPr>
          <w:rStyle w:val="Emphasis"/>
          <w:rFonts w:cs="Times New Roman"/>
          <w:b w:val="0"/>
          <w:sz w:val="24"/>
          <w:szCs w:val="24"/>
        </w:rPr>
        <w:t>mechanical response</w:t>
      </w:r>
      <w:r w:rsidR="007A0278" w:rsidRPr="008430DC">
        <w:rPr>
          <w:rStyle w:val="Emphasis"/>
          <w:rFonts w:cs="Times New Roman"/>
          <w:b w:val="0"/>
          <w:sz w:val="24"/>
          <w:szCs w:val="24"/>
        </w:rPr>
        <w:t>’</w:t>
      </w:r>
      <w:r w:rsidR="00154580" w:rsidRPr="008430DC">
        <w:rPr>
          <w:rStyle w:val="Emphasis"/>
          <w:rFonts w:cs="Times New Roman"/>
          <w:b w:val="0"/>
          <w:sz w:val="24"/>
          <w:szCs w:val="24"/>
        </w:rPr>
        <w:t xml:space="preserve"> to electoral incentives</w:t>
      </w:r>
      <w:r w:rsidR="007A0278" w:rsidRPr="008430DC">
        <w:rPr>
          <w:rStyle w:val="Emphasis"/>
          <w:rFonts w:cs="Times New Roman"/>
          <w:b w:val="0"/>
          <w:sz w:val="24"/>
          <w:szCs w:val="24"/>
        </w:rPr>
        <w:t xml:space="preserve"> (André </w:t>
      </w:r>
      <w:r w:rsidR="007A0278" w:rsidRPr="008430DC">
        <w:rPr>
          <w:rStyle w:val="Emphasis"/>
          <w:rFonts w:cs="Times New Roman"/>
          <w:b w:val="0"/>
          <w:i/>
          <w:sz w:val="24"/>
          <w:szCs w:val="24"/>
        </w:rPr>
        <w:t>et al</w:t>
      </w:r>
      <w:r w:rsidR="007A0278" w:rsidRPr="008430DC">
        <w:rPr>
          <w:rStyle w:val="Emphasis"/>
          <w:rFonts w:cs="Times New Roman"/>
          <w:b w:val="0"/>
          <w:sz w:val="24"/>
          <w:szCs w:val="24"/>
        </w:rPr>
        <w:t>., 2014</w:t>
      </w:r>
      <w:r w:rsidR="00591418">
        <w:rPr>
          <w:rStyle w:val="Emphasis"/>
          <w:rFonts w:cs="Times New Roman"/>
          <w:b w:val="0"/>
          <w:sz w:val="24"/>
          <w:szCs w:val="24"/>
        </w:rPr>
        <w:t>c</w:t>
      </w:r>
      <w:r w:rsidR="007A0278" w:rsidRPr="008430DC">
        <w:rPr>
          <w:rStyle w:val="Emphasis"/>
          <w:rFonts w:cs="Times New Roman"/>
          <w:b w:val="0"/>
          <w:sz w:val="24"/>
          <w:szCs w:val="24"/>
        </w:rPr>
        <w:t>: 179)</w:t>
      </w:r>
      <w:r w:rsidR="00154580" w:rsidRPr="008430DC">
        <w:rPr>
          <w:rStyle w:val="Emphasis"/>
          <w:rFonts w:cs="Times New Roman"/>
          <w:b w:val="0"/>
          <w:sz w:val="24"/>
          <w:szCs w:val="24"/>
        </w:rPr>
        <w:t xml:space="preserve">. Rather, at a time </w:t>
      </w:r>
      <w:r w:rsidR="007A0278" w:rsidRPr="008430DC">
        <w:rPr>
          <w:rStyle w:val="Emphasis"/>
          <w:rFonts w:cs="Times New Roman"/>
          <w:b w:val="0"/>
          <w:sz w:val="24"/>
          <w:szCs w:val="24"/>
        </w:rPr>
        <w:t xml:space="preserve">of renewed </w:t>
      </w:r>
      <w:r w:rsidR="00E26CF6" w:rsidRPr="008430DC">
        <w:rPr>
          <w:rStyle w:val="Emphasis"/>
          <w:rFonts w:cs="Times New Roman"/>
          <w:b w:val="0"/>
          <w:sz w:val="24"/>
          <w:szCs w:val="24"/>
        </w:rPr>
        <w:t>interest in</w:t>
      </w:r>
      <w:r w:rsidR="007A0278" w:rsidRPr="008430DC">
        <w:rPr>
          <w:rStyle w:val="Emphasis"/>
          <w:rFonts w:cs="Times New Roman"/>
          <w:b w:val="0"/>
          <w:sz w:val="24"/>
          <w:szCs w:val="24"/>
        </w:rPr>
        <w:t xml:space="preserve"> the behavioural consequences of role</w:t>
      </w:r>
      <w:r w:rsidR="00154580" w:rsidRPr="008430DC">
        <w:rPr>
          <w:rStyle w:val="Emphasis"/>
          <w:rFonts w:cs="Times New Roman"/>
          <w:b w:val="0"/>
          <w:sz w:val="24"/>
          <w:szCs w:val="24"/>
        </w:rPr>
        <w:t xml:space="preserve"> (Andeweg, 2012), this study </w:t>
      </w:r>
      <w:r w:rsidR="000968BA" w:rsidRPr="008430DC">
        <w:rPr>
          <w:rStyle w:val="Emphasis"/>
          <w:rFonts w:cs="Times New Roman"/>
          <w:b w:val="0"/>
          <w:sz w:val="24"/>
          <w:szCs w:val="24"/>
        </w:rPr>
        <w:t xml:space="preserve">associates MLAs’ constituency </w:t>
      </w:r>
      <w:r w:rsidR="00467F88" w:rsidRPr="008430DC">
        <w:rPr>
          <w:rStyle w:val="Emphasis"/>
          <w:rFonts w:cs="Times New Roman"/>
          <w:b w:val="0"/>
          <w:sz w:val="24"/>
          <w:szCs w:val="24"/>
        </w:rPr>
        <w:t>service</w:t>
      </w:r>
      <w:r w:rsidR="000968BA" w:rsidRPr="008430DC">
        <w:rPr>
          <w:rStyle w:val="Emphasis"/>
          <w:rFonts w:cs="Times New Roman"/>
          <w:b w:val="0"/>
          <w:sz w:val="24"/>
          <w:szCs w:val="24"/>
        </w:rPr>
        <w:t xml:space="preserve"> with role </w:t>
      </w:r>
      <w:r w:rsidR="00467F88" w:rsidRPr="008430DC">
        <w:rPr>
          <w:rStyle w:val="Emphasis"/>
          <w:rFonts w:cs="Times New Roman"/>
          <w:b w:val="0"/>
          <w:sz w:val="24"/>
          <w:szCs w:val="24"/>
        </w:rPr>
        <w:t xml:space="preserve">orientation and, in that regard, lends support to Searing’s (1994) </w:t>
      </w:r>
      <w:r w:rsidR="00731616" w:rsidRPr="008430DC">
        <w:rPr>
          <w:rStyle w:val="Emphasis"/>
          <w:rFonts w:cs="Times New Roman"/>
          <w:b w:val="0"/>
          <w:sz w:val="24"/>
          <w:szCs w:val="24"/>
        </w:rPr>
        <w:t xml:space="preserve">original </w:t>
      </w:r>
      <w:r w:rsidR="00304E1B" w:rsidRPr="008430DC">
        <w:rPr>
          <w:rStyle w:val="Emphasis"/>
          <w:rFonts w:cs="Times New Roman"/>
          <w:b w:val="0"/>
          <w:sz w:val="24"/>
          <w:szCs w:val="24"/>
        </w:rPr>
        <w:t>Constituency Member</w:t>
      </w:r>
      <w:r w:rsidR="00467F88" w:rsidRPr="008430DC">
        <w:rPr>
          <w:rStyle w:val="Emphasis"/>
          <w:rFonts w:cs="Times New Roman"/>
          <w:b w:val="0"/>
          <w:sz w:val="24"/>
          <w:szCs w:val="24"/>
        </w:rPr>
        <w:t xml:space="preserve"> thesis.</w:t>
      </w:r>
      <w:r w:rsidR="00731616" w:rsidRPr="008430DC">
        <w:rPr>
          <w:rStyle w:val="Emphasis"/>
          <w:rFonts w:cs="Times New Roman"/>
          <w:b w:val="0"/>
          <w:sz w:val="24"/>
          <w:szCs w:val="24"/>
        </w:rPr>
        <w:t xml:space="preserve"> </w:t>
      </w:r>
      <w:r w:rsidR="00B03A9E" w:rsidRPr="008430DC">
        <w:rPr>
          <w:rStyle w:val="Emphasis"/>
          <w:rFonts w:cs="Times New Roman"/>
          <w:b w:val="0"/>
          <w:sz w:val="24"/>
          <w:szCs w:val="24"/>
        </w:rPr>
        <w:t xml:space="preserve">It also suggests a further use for the Constituency Member role, in that its subtypes help to explain some of the differences in home style among MLAs. This represents a modest contribution to the literature, which has thus far limited explanations of home style to cost-effectiveness, </w:t>
      </w:r>
      <w:r w:rsidR="00B03A9E" w:rsidRPr="008430DC">
        <w:rPr>
          <w:rStyle w:val="Emphasis"/>
          <w:rFonts w:cs="Times New Roman"/>
          <w:b w:val="0"/>
          <w:sz w:val="24"/>
          <w:szCs w:val="24"/>
        </w:rPr>
        <w:lastRenderedPageBreak/>
        <w:t>electoral conditions, and local political culture (Fenno, 1978; André &amp; Depauw, 2013b; Saward, 2010)</w:t>
      </w:r>
      <w:r w:rsidR="004F0FA1" w:rsidRPr="008430DC">
        <w:rPr>
          <w:rStyle w:val="Emphasis"/>
          <w:rFonts w:cs="Times New Roman"/>
          <w:b w:val="0"/>
          <w:sz w:val="24"/>
          <w:szCs w:val="24"/>
        </w:rPr>
        <w:t>.</w:t>
      </w:r>
    </w:p>
    <w:p w14:paraId="6C7CA3D3" w14:textId="2B7090EF" w:rsidR="00731616" w:rsidRPr="008430DC" w:rsidRDefault="00E26CF6" w:rsidP="004F0FA1">
      <w:pPr>
        <w:spacing w:after="0" w:line="360" w:lineRule="auto"/>
        <w:ind w:firstLine="720"/>
        <w:contextualSpacing/>
        <w:jc w:val="both"/>
        <w:rPr>
          <w:rStyle w:val="Emphasis"/>
          <w:rFonts w:cs="Times New Roman"/>
          <w:b w:val="0"/>
          <w:sz w:val="24"/>
          <w:szCs w:val="24"/>
        </w:rPr>
      </w:pPr>
      <w:r w:rsidRPr="008430DC">
        <w:rPr>
          <w:rStyle w:val="Emphasis"/>
          <w:rFonts w:cs="Times New Roman"/>
          <w:b w:val="0"/>
          <w:sz w:val="24"/>
          <w:szCs w:val="24"/>
        </w:rPr>
        <w:t>Of the MLA’s home style, it has been shown that their approach is more characteristic of their contemporaries in the Republic of Ireland than their counterparts in the rest of the UK. MLAs favour one-to-one and one-to-few relationships, and have a particular affinity for visiting constituents at home and attending social events. Cost-effectiveness is evidently not the determining factor in the MLA’s home style, given that one-to-many activities are the least costly in time and resources yet something of a rarity among MLAs.</w:t>
      </w:r>
      <w:r w:rsidR="00731616" w:rsidRPr="008430DC">
        <w:rPr>
          <w:rStyle w:val="Emphasis"/>
          <w:rFonts w:cs="Times New Roman"/>
          <w:b w:val="0"/>
          <w:sz w:val="24"/>
          <w:szCs w:val="24"/>
        </w:rPr>
        <w:t xml:space="preserve"> The preference for such a personalised and time-consuming home style would support a parochial characterisation of MLAs which, as interviews reveal, might not auger well for their parliamentary obligations.</w:t>
      </w:r>
      <w:r w:rsidRPr="008430DC">
        <w:rPr>
          <w:rStyle w:val="Emphasis"/>
          <w:rFonts w:cs="Times New Roman"/>
          <w:b w:val="0"/>
          <w:sz w:val="24"/>
          <w:szCs w:val="24"/>
        </w:rPr>
        <w:t xml:space="preserve"> </w:t>
      </w:r>
    </w:p>
    <w:p w14:paraId="07B570B8" w14:textId="08593E73" w:rsidR="00DA4E49" w:rsidRPr="008430DC" w:rsidRDefault="00B03A9E" w:rsidP="004F0FA1">
      <w:pPr>
        <w:spacing w:after="0" w:line="360" w:lineRule="auto"/>
        <w:contextualSpacing/>
        <w:jc w:val="both"/>
        <w:rPr>
          <w:rStyle w:val="Emphasis"/>
          <w:rFonts w:cs="Times New Roman"/>
          <w:b w:val="0"/>
          <w:sz w:val="24"/>
          <w:szCs w:val="24"/>
        </w:rPr>
      </w:pPr>
      <w:r w:rsidRPr="008430DC">
        <w:rPr>
          <w:rStyle w:val="Emphasis"/>
          <w:rFonts w:cs="Times New Roman"/>
          <w:b w:val="0"/>
          <w:sz w:val="24"/>
          <w:szCs w:val="24"/>
        </w:rPr>
        <w:tab/>
        <w:t>In scratching the surface of extra-parliamentary behaviour in Northern Ireland, new questions ar</w:t>
      </w:r>
      <w:r w:rsidR="0063643C" w:rsidRPr="008430DC">
        <w:rPr>
          <w:rStyle w:val="Emphasis"/>
          <w:rFonts w:cs="Times New Roman"/>
          <w:b w:val="0"/>
          <w:sz w:val="24"/>
          <w:szCs w:val="24"/>
        </w:rPr>
        <w:t>e revealed. In terms of the gap in constituency service provision between unionist and non</w:t>
      </w:r>
      <w:r w:rsidR="005B3B90" w:rsidRPr="008430DC">
        <w:rPr>
          <w:rStyle w:val="Emphasis"/>
          <w:rFonts w:cs="Times New Roman"/>
          <w:b w:val="0"/>
          <w:sz w:val="24"/>
          <w:szCs w:val="24"/>
        </w:rPr>
        <w:t>-unionists</w:t>
      </w:r>
      <w:r w:rsidR="0063643C" w:rsidRPr="008430DC">
        <w:rPr>
          <w:rStyle w:val="Emphasis"/>
          <w:rFonts w:cs="Times New Roman"/>
          <w:b w:val="0"/>
          <w:sz w:val="24"/>
          <w:szCs w:val="24"/>
        </w:rPr>
        <w:t xml:space="preserve">, future research might explore </w:t>
      </w:r>
      <w:r w:rsidR="005B3B90" w:rsidRPr="008430DC">
        <w:rPr>
          <w:rStyle w:val="Emphasis"/>
          <w:rFonts w:cs="Times New Roman"/>
          <w:b w:val="0"/>
          <w:sz w:val="24"/>
          <w:szCs w:val="24"/>
        </w:rPr>
        <w:t>the relevance of an MLA’s ideological position</w:t>
      </w:r>
      <w:r w:rsidR="0063643C" w:rsidRPr="008430DC">
        <w:rPr>
          <w:rStyle w:val="Emphasis"/>
          <w:rFonts w:cs="Times New Roman"/>
          <w:b w:val="0"/>
          <w:sz w:val="24"/>
          <w:szCs w:val="24"/>
        </w:rPr>
        <w:t xml:space="preserve">. Weaker constituency orientation among left-wing legislators has been attributed to </w:t>
      </w:r>
      <w:r w:rsidR="00A419B6" w:rsidRPr="008430DC">
        <w:rPr>
          <w:rStyle w:val="Emphasis"/>
          <w:rFonts w:cs="Times New Roman"/>
          <w:b w:val="0"/>
          <w:sz w:val="24"/>
          <w:szCs w:val="24"/>
        </w:rPr>
        <w:t>a</w:t>
      </w:r>
      <w:r w:rsidR="0063643C" w:rsidRPr="008430DC">
        <w:rPr>
          <w:rStyle w:val="Emphasis"/>
          <w:rFonts w:cs="Times New Roman"/>
          <w:b w:val="0"/>
          <w:sz w:val="24"/>
          <w:szCs w:val="24"/>
        </w:rPr>
        <w:t xml:space="preserve"> ‘greater importance of a general ideological framework within left-wing parties’ (Kusche, 2017: 16)</w:t>
      </w:r>
      <w:r w:rsidR="00881E3B" w:rsidRPr="008430DC">
        <w:rPr>
          <w:rStyle w:val="Emphasis"/>
          <w:rFonts w:cs="Times New Roman"/>
          <w:b w:val="0"/>
          <w:sz w:val="24"/>
          <w:szCs w:val="24"/>
        </w:rPr>
        <w:t>.</w:t>
      </w:r>
      <w:r w:rsidR="006B7A1D" w:rsidRPr="008430DC">
        <w:rPr>
          <w:rStyle w:val="Emphasis"/>
          <w:rFonts w:cs="Times New Roman"/>
          <w:b w:val="0"/>
          <w:sz w:val="24"/>
          <w:szCs w:val="24"/>
        </w:rPr>
        <w:t xml:space="preserve"> </w:t>
      </w:r>
      <w:r w:rsidR="00E11EF8" w:rsidRPr="008430DC">
        <w:rPr>
          <w:rStyle w:val="Emphasis"/>
          <w:rFonts w:cs="Times New Roman"/>
          <w:b w:val="0"/>
          <w:sz w:val="24"/>
          <w:szCs w:val="24"/>
        </w:rPr>
        <w:t xml:space="preserve">In that regard, it is </w:t>
      </w:r>
      <w:r w:rsidR="00F9756C" w:rsidRPr="008430DC">
        <w:rPr>
          <w:rStyle w:val="Emphasis"/>
          <w:rFonts w:cs="Times New Roman"/>
          <w:b w:val="0"/>
          <w:sz w:val="24"/>
          <w:szCs w:val="24"/>
        </w:rPr>
        <w:t>worth noting</w:t>
      </w:r>
      <w:r w:rsidR="00E11EF8" w:rsidRPr="008430DC">
        <w:rPr>
          <w:rStyle w:val="Emphasis"/>
          <w:rFonts w:cs="Times New Roman"/>
          <w:b w:val="0"/>
          <w:sz w:val="24"/>
          <w:szCs w:val="24"/>
        </w:rPr>
        <w:t xml:space="preserve"> that</w:t>
      </w:r>
      <w:r w:rsidR="00F9756C" w:rsidRPr="008430DC">
        <w:rPr>
          <w:rStyle w:val="Emphasis"/>
          <w:rFonts w:cs="Times New Roman"/>
          <w:b w:val="0"/>
          <w:sz w:val="24"/>
          <w:szCs w:val="24"/>
        </w:rPr>
        <w:t xml:space="preserve"> </w:t>
      </w:r>
      <w:r w:rsidR="00E11EF8" w:rsidRPr="008430DC">
        <w:rPr>
          <w:rStyle w:val="Emphasis"/>
          <w:rFonts w:cs="Times New Roman"/>
          <w:b w:val="0"/>
          <w:sz w:val="24"/>
          <w:szCs w:val="24"/>
        </w:rPr>
        <w:t>those MLAs on the left– Alliance, the SDLP, and Sinn Fein – have a weaker constituency orientation than those</w:t>
      </w:r>
      <w:r w:rsidR="00F9756C" w:rsidRPr="008430DC">
        <w:rPr>
          <w:rStyle w:val="Emphasis"/>
          <w:rFonts w:cs="Times New Roman"/>
          <w:b w:val="0"/>
          <w:sz w:val="24"/>
          <w:szCs w:val="24"/>
        </w:rPr>
        <w:t xml:space="preserve"> on the right, the DUP and UUP</w:t>
      </w:r>
      <w:r w:rsidR="006A2084">
        <w:rPr>
          <w:rStyle w:val="Emphasis"/>
          <w:rFonts w:cs="Times New Roman"/>
          <w:b w:val="0"/>
          <w:sz w:val="24"/>
          <w:szCs w:val="24"/>
        </w:rPr>
        <w:t xml:space="preserve"> (see Garry, Matthews &amp; Wheatley, 2016)</w:t>
      </w:r>
      <w:r w:rsidR="00F9756C" w:rsidRPr="008430DC">
        <w:rPr>
          <w:rStyle w:val="Emphasis"/>
          <w:rFonts w:cs="Times New Roman"/>
          <w:b w:val="0"/>
          <w:sz w:val="24"/>
          <w:szCs w:val="24"/>
        </w:rPr>
        <w:t xml:space="preserve">. </w:t>
      </w:r>
      <w:r w:rsidR="00AB5358" w:rsidRPr="008430DC">
        <w:rPr>
          <w:rStyle w:val="Emphasis"/>
          <w:rFonts w:cs="Times New Roman"/>
          <w:b w:val="0"/>
          <w:sz w:val="24"/>
          <w:szCs w:val="24"/>
        </w:rPr>
        <w:t xml:space="preserve">In discussing their constituency agendas, it is the non-unionist </w:t>
      </w:r>
      <w:r w:rsidR="006B7A1D" w:rsidRPr="008430DC">
        <w:rPr>
          <w:rStyle w:val="Emphasis"/>
          <w:rFonts w:cs="Times New Roman"/>
          <w:b w:val="0"/>
          <w:sz w:val="24"/>
          <w:szCs w:val="24"/>
        </w:rPr>
        <w:t>interviewees</w:t>
      </w:r>
      <w:r w:rsidR="00AB5358" w:rsidRPr="008430DC">
        <w:rPr>
          <w:rStyle w:val="Emphasis"/>
          <w:rFonts w:cs="Times New Roman"/>
          <w:b w:val="0"/>
          <w:sz w:val="24"/>
          <w:szCs w:val="24"/>
        </w:rPr>
        <w:t xml:space="preserve"> that reference wider policy, or ideological, matters</w:t>
      </w:r>
      <w:r w:rsidR="00F81240">
        <w:rPr>
          <w:rStyle w:val="Emphasis"/>
          <w:rFonts w:cs="Times New Roman"/>
          <w:b w:val="0"/>
          <w:sz w:val="24"/>
          <w:szCs w:val="24"/>
        </w:rPr>
        <w:t xml:space="preserve"> more often</w:t>
      </w:r>
      <w:r w:rsidR="00AB5358" w:rsidRPr="008430DC">
        <w:rPr>
          <w:rStyle w:val="Emphasis"/>
          <w:rFonts w:cs="Times New Roman"/>
          <w:b w:val="0"/>
          <w:sz w:val="24"/>
          <w:szCs w:val="24"/>
        </w:rPr>
        <w:t xml:space="preserve">; be it </w:t>
      </w:r>
      <w:r w:rsidR="006B7A1D" w:rsidRPr="008430DC">
        <w:rPr>
          <w:rStyle w:val="Emphasis"/>
          <w:rFonts w:cs="Times New Roman"/>
          <w:b w:val="0"/>
          <w:sz w:val="24"/>
          <w:szCs w:val="24"/>
        </w:rPr>
        <w:t>class and</w:t>
      </w:r>
      <w:r w:rsidR="00AB5358" w:rsidRPr="008430DC">
        <w:rPr>
          <w:rStyle w:val="Emphasis"/>
          <w:rFonts w:cs="Times New Roman"/>
          <w:b w:val="0"/>
          <w:sz w:val="24"/>
          <w:szCs w:val="24"/>
        </w:rPr>
        <w:t xml:space="preserve"> </w:t>
      </w:r>
      <w:r w:rsidR="006B7A1D" w:rsidRPr="008430DC">
        <w:rPr>
          <w:rStyle w:val="Emphasis"/>
          <w:rFonts w:cs="Times New Roman"/>
          <w:b w:val="0"/>
          <w:sz w:val="24"/>
          <w:szCs w:val="24"/>
        </w:rPr>
        <w:t>LGBT issues</w:t>
      </w:r>
      <w:r w:rsidR="00AB5358" w:rsidRPr="008430DC">
        <w:rPr>
          <w:rStyle w:val="Emphasis"/>
          <w:rFonts w:cs="Times New Roman"/>
          <w:b w:val="0"/>
          <w:sz w:val="24"/>
          <w:szCs w:val="24"/>
        </w:rPr>
        <w:t xml:space="preserve"> or a ‘shared future’.</w:t>
      </w:r>
      <w:r w:rsidR="005B3B90" w:rsidRPr="008430DC">
        <w:rPr>
          <w:rStyle w:val="EndnoteReference"/>
          <w:rFonts w:cs="Times New Roman"/>
          <w:bCs/>
          <w:sz w:val="24"/>
          <w:szCs w:val="24"/>
        </w:rPr>
        <w:endnoteReference w:id="29"/>
      </w:r>
      <w:r w:rsidR="006B7A1D" w:rsidRPr="008430DC">
        <w:rPr>
          <w:rStyle w:val="Emphasis"/>
          <w:rFonts w:cs="Times New Roman"/>
          <w:b w:val="0"/>
          <w:sz w:val="24"/>
          <w:szCs w:val="24"/>
        </w:rPr>
        <w:t xml:space="preserve"> </w:t>
      </w:r>
      <w:r w:rsidR="00D86442" w:rsidRPr="008430DC">
        <w:rPr>
          <w:rStyle w:val="Emphasis"/>
          <w:rFonts w:cs="Times New Roman"/>
          <w:b w:val="0"/>
          <w:sz w:val="24"/>
          <w:szCs w:val="24"/>
        </w:rPr>
        <w:t>This is not to say that unionists are devoid of ideological objectives (consider their defence of Northern Ireland’s constitutional position within the UK), nor that the distinction between constituency service and wider policy goals is absolute (an LGBT constituent seeking support for same-sex marriage could be considered either or both). There is, however, tentative grounds for further research</w:t>
      </w:r>
      <w:r w:rsidR="000023D8" w:rsidRPr="008430DC">
        <w:rPr>
          <w:rStyle w:val="Emphasis"/>
          <w:rFonts w:cs="Times New Roman"/>
          <w:b w:val="0"/>
          <w:sz w:val="24"/>
          <w:szCs w:val="24"/>
        </w:rPr>
        <w:t xml:space="preserve">. A survey eliciting MLAs’ </w:t>
      </w:r>
      <w:r w:rsidR="00DA4E49" w:rsidRPr="008430DC">
        <w:rPr>
          <w:rStyle w:val="Emphasis"/>
          <w:rFonts w:cs="Times New Roman"/>
          <w:b w:val="0"/>
          <w:sz w:val="24"/>
          <w:szCs w:val="24"/>
        </w:rPr>
        <w:t>left-to-right positions would, for instance, enable</w:t>
      </w:r>
      <w:r w:rsidR="004F0FA1" w:rsidRPr="008430DC">
        <w:rPr>
          <w:rStyle w:val="Emphasis"/>
          <w:rFonts w:cs="Times New Roman"/>
          <w:b w:val="0"/>
          <w:sz w:val="24"/>
          <w:szCs w:val="24"/>
        </w:rPr>
        <w:t xml:space="preserve"> an </w:t>
      </w:r>
      <w:r w:rsidR="00DA4E49" w:rsidRPr="008430DC">
        <w:rPr>
          <w:rStyle w:val="Emphasis"/>
          <w:rFonts w:cs="Times New Roman"/>
          <w:b w:val="0"/>
          <w:sz w:val="24"/>
          <w:szCs w:val="24"/>
        </w:rPr>
        <w:t>empirical test for correlation with constituency service provision.</w:t>
      </w:r>
    </w:p>
    <w:p w14:paraId="5CA089A8" w14:textId="31DFFEFF" w:rsidR="009D4247" w:rsidRPr="008430DC" w:rsidRDefault="004F0FA1" w:rsidP="00B03A9E">
      <w:pPr>
        <w:spacing w:after="0" w:line="360" w:lineRule="auto"/>
        <w:contextualSpacing/>
        <w:jc w:val="both"/>
        <w:rPr>
          <w:rStyle w:val="Emphasis"/>
          <w:rFonts w:cs="Times New Roman"/>
          <w:b w:val="0"/>
          <w:sz w:val="24"/>
          <w:szCs w:val="24"/>
        </w:rPr>
      </w:pPr>
      <w:r w:rsidRPr="008430DC">
        <w:rPr>
          <w:rStyle w:val="Emphasis"/>
          <w:rFonts w:cs="Times New Roman"/>
          <w:b w:val="0"/>
          <w:sz w:val="24"/>
          <w:szCs w:val="24"/>
        </w:rPr>
        <w:tab/>
        <w:t>Finally, the recent reduction in the size of the NIA from 108 to 90 MLAs invites further enquiry. With fewer representatives elected per constituency, one would expect</w:t>
      </w:r>
      <w:r w:rsidR="00886161">
        <w:rPr>
          <w:rStyle w:val="Emphasis"/>
          <w:rFonts w:cs="Times New Roman"/>
          <w:b w:val="0"/>
          <w:sz w:val="24"/>
          <w:szCs w:val="24"/>
        </w:rPr>
        <w:t xml:space="preserve"> the MLA’s caseload to increase and, in that regard, our data provides a benchmark for future comparison.</w:t>
      </w:r>
      <w:r w:rsidRPr="008430DC">
        <w:rPr>
          <w:rStyle w:val="Emphasis"/>
          <w:rFonts w:cs="Times New Roman"/>
          <w:b w:val="0"/>
          <w:sz w:val="24"/>
          <w:szCs w:val="24"/>
        </w:rPr>
        <w:t xml:space="preserve"> How </w:t>
      </w:r>
      <w:r w:rsidR="00886161">
        <w:rPr>
          <w:rStyle w:val="Emphasis"/>
          <w:rFonts w:cs="Times New Roman"/>
          <w:b w:val="0"/>
          <w:sz w:val="24"/>
          <w:szCs w:val="24"/>
        </w:rPr>
        <w:t>any</w:t>
      </w:r>
      <w:r w:rsidRPr="008430DC">
        <w:rPr>
          <w:rStyle w:val="Emphasis"/>
          <w:rFonts w:cs="Times New Roman"/>
          <w:b w:val="0"/>
          <w:sz w:val="24"/>
          <w:szCs w:val="24"/>
        </w:rPr>
        <w:t xml:space="preserve"> ‘slack’ is picked </w:t>
      </w:r>
      <w:r w:rsidR="002A4DD3" w:rsidRPr="008430DC">
        <w:rPr>
          <w:rStyle w:val="Emphasis"/>
          <w:rFonts w:cs="Times New Roman"/>
          <w:b w:val="0"/>
          <w:sz w:val="24"/>
          <w:szCs w:val="24"/>
        </w:rPr>
        <w:t>up</w:t>
      </w:r>
      <w:r w:rsidR="00886161">
        <w:rPr>
          <w:rStyle w:val="Emphasis"/>
          <w:rFonts w:cs="Times New Roman"/>
          <w:b w:val="0"/>
          <w:sz w:val="24"/>
          <w:szCs w:val="24"/>
        </w:rPr>
        <w:t xml:space="preserve"> among the smaller group of MLAs</w:t>
      </w:r>
      <w:r w:rsidR="002A4DD3" w:rsidRPr="008430DC">
        <w:rPr>
          <w:rStyle w:val="Emphasis"/>
          <w:rFonts w:cs="Times New Roman"/>
          <w:b w:val="0"/>
          <w:sz w:val="24"/>
          <w:szCs w:val="24"/>
        </w:rPr>
        <w:t xml:space="preserve"> </w:t>
      </w:r>
      <w:r w:rsidR="00A05B7E" w:rsidRPr="008430DC">
        <w:rPr>
          <w:rStyle w:val="Emphasis"/>
          <w:rFonts w:cs="Times New Roman"/>
          <w:b w:val="0"/>
          <w:sz w:val="24"/>
          <w:szCs w:val="24"/>
        </w:rPr>
        <w:t>may be interesting</w:t>
      </w:r>
      <w:r w:rsidRPr="008430DC">
        <w:rPr>
          <w:rStyle w:val="Emphasis"/>
          <w:rFonts w:cs="Times New Roman"/>
          <w:b w:val="0"/>
          <w:sz w:val="24"/>
          <w:szCs w:val="24"/>
        </w:rPr>
        <w:t xml:space="preserve">. In Newry and Armagh, for instance, unionist representation has been halved from </w:t>
      </w:r>
      <w:r w:rsidRPr="008430DC">
        <w:rPr>
          <w:rStyle w:val="Emphasis"/>
          <w:rFonts w:cs="Times New Roman"/>
          <w:b w:val="0"/>
          <w:sz w:val="24"/>
          <w:szCs w:val="24"/>
        </w:rPr>
        <w:lastRenderedPageBreak/>
        <w:t>two to one MLAs:</w:t>
      </w:r>
      <w:r w:rsidR="002A4DD3" w:rsidRPr="008430DC">
        <w:rPr>
          <w:rStyle w:val="Emphasis"/>
          <w:rFonts w:cs="Times New Roman"/>
          <w:b w:val="0"/>
          <w:sz w:val="24"/>
          <w:szCs w:val="24"/>
        </w:rPr>
        <w:t xml:space="preserve"> has this essentially doubled the constituency demands of the remaining unionist MLA, or have the nationalist MLAs experienced something of an increase also?</w:t>
      </w:r>
      <w:r w:rsidR="006D4F1B" w:rsidRPr="008430DC">
        <w:rPr>
          <w:rStyle w:val="Emphasis"/>
          <w:rFonts w:cs="Times New Roman"/>
          <w:b w:val="0"/>
          <w:sz w:val="24"/>
          <w:szCs w:val="24"/>
        </w:rPr>
        <w:t xml:space="preserve"> More generally speaking, i</w:t>
      </w:r>
      <w:r w:rsidR="00D24B7A" w:rsidRPr="008430DC">
        <w:rPr>
          <w:rStyle w:val="Emphasis"/>
          <w:rFonts w:cs="Times New Roman"/>
          <w:b w:val="0"/>
          <w:sz w:val="24"/>
          <w:szCs w:val="24"/>
        </w:rPr>
        <w:t xml:space="preserve">t is reasonable to assume that nationalist constituents seek assistance from nationalist MLAs, and the same for unionist constituents and unionist MLAs. </w:t>
      </w:r>
      <w:r w:rsidR="000B596C" w:rsidRPr="008430DC">
        <w:rPr>
          <w:rStyle w:val="Emphasis"/>
          <w:rFonts w:cs="Times New Roman"/>
          <w:b w:val="0"/>
          <w:sz w:val="24"/>
          <w:szCs w:val="24"/>
        </w:rPr>
        <w:t>What, then, of unionist constituents in West Belfast, for example, where no unionist MLA has been elected for over a decade? Interviewees, of course, claim to ‘work for everyone’, but to remove ethno-national identity from the constituent-representative relationship in Northern Ireland would be</w:t>
      </w:r>
      <w:r w:rsidR="006D4F1B" w:rsidRPr="008430DC">
        <w:rPr>
          <w:rStyle w:val="Emphasis"/>
          <w:rFonts w:cs="Times New Roman"/>
          <w:b w:val="0"/>
          <w:sz w:val="24"/>
          <w:szCs w:val="24"/>
        </w:rPr>
        <w:t xml:space="preserve"> </w:t>
      </w:r>
      <w:r w:rsidR="000B596C" w:rsidRPr="008430DC">
        <w:rPr>
          <w:rStyle w:val="Emphasis"/>
          <w:rFonts w:cs="Times New Roman"/>
          <w:b w:val="0"/>
          <w:sz w:val="24"/>
          <w:szCs w:val="24"/>
        </w:rPr>
        <w:t>naïve.</w:t>
      </w:r>
      <w:r w:rsidR="009D266E" w:rsidRPr="008430DC">
        <w:rPr>
          <w:rStyle w:val="Emphasis"/>
          <w:rFonts w:cs="Times New Roman"/>
          <w:b w:val="0"/>
          <w:sz w:val="24"/>
          <w:szCs w:val="24"/>
        </w:rPr>
        <w:t xml:space="preserve"> The reluctance of nationalist and unionist MLAs to remove flags and emblems from their constituency offices (BBC, 2015) suggests that </w:t>
      </w:r>
      <w:r w:rsidR="00A31BD0" w:rsidRPr="008430DC">
        <w:rPr>
          <w:rStyle w:val="Emphasis"/>
          <w:rFonts w:cs="Times New Roman"/>
          <w:b w:val="0"/>
          <w:sz w:val="24"/>
          <w:szCs w:val="24"/>
        </w:rPr>
        <w:t xml:space="preserve">even constituency service in Northern Ireland is tinged </w:t>
      </w:r>
      <w:r w:rsidR="00D55AB7">
        <w:rPr>
          <w:rStyle w:val="Emphasis"/>
          <w:rFonts w:cs="Times New Roman"/>
          <w:b w:val="0"/>
          <w:sz w:val="24"/>
          <w:szCs w:val="24"/>
        </w:rPr>
        <w:t>with</w:t>
      </w:r>
      <w:r w:rsidR="00A31BD0" w:rsidRPr="008430DC">
        <w:rPr>
          <w:rStyle w:val="Emphasis"/>
          <w:rFonts w:cs="Times New Roman"/>
          <w:b w:val="0"/>
          <w:sz w:val="24"/>
          <w:szCs w:val="24"/>
        </w:rPr>
        <w:t xml:space="preserve"> ethno-nationalism</w:t>
      </w:r>
      <w:r w:rsidR="009D266E" w:rsidRPr="008430DC">
        <w:rPr>
          <w:rStyle w:val="Emphasis"/>
          <w:rFonts w:cs="Times New Roman"/>
          <w:b w:val="0"/>
          <w:sz w:val="24"/>
          <w:szCs w:val="24"/>
        </w:rPr>
        <w:t xml:space="preserve">. Research on constituency service from a citizen’s perspective might explore the extent to which </w:t>
      </w:r>
      <w:proofErr w:type="gramStart"/>
      <w:r w:rsidR="009D266E" w:rsidRPr="008430DC">
        <w:rPr>
          <w:rStyle w:val="Emphasis"/>
          <w:rFonts w:cs="Times New Roman"/>
          <w:b w:val="0"/>
          <w:sz w:val="24"/>
          <w:szCs w:val="24"/>
        </w:rPr>
        <w:t>this influences</w:t>
      </w:r>
      <w:proofErr w:type="gramEnd"/>
      <w:r w:rsidR="008430DC" w:rsidRPr="008430DC">
        <w:rPr>
          <w:rStyle w:val="Emphasis"/>
          <w:rFonts w:cs="Times New Roman"/>
          <w:b w:val="0"/>
          <w:sz w:val="24"/>
          <w:szCs w:val="24"/>
        </w:rPr>
        <w:t xml:space="preserve">, or </w:t>
      </w:r>
      <w:r w:rsidR="00417BFA">
        <w:rPr>
          <w:rStyle w:val="Emphasis"/>
          <w:rFonts w:cs="Times New Roman"/>
          <w:b w:val="0"/>
          <w:sz w:val="24"/>
          <w:szCs w:val="24"/>
        </w:rPr>
        <w:t>even</w:t>
      </w:r>
      <w:r w:rsidR="008430DC" w:rsidRPr="008430DC">
        <w:rPr>
          <w:rStyle w:val="Emphasis"/>
          <w:rFonts w:cs="Times New Roman"/>
          <w:b w:val="0"/>
          <w:sz w:val="24"/>
          <w:szCs w:val="24"/>
        </w:rPr>
        <w:t xml:space="preserve"> deters, constituent-representative </w:t>
      </w:r>
      <w:r w:rsidR="00417BFA">
        <w:rPr>
          <w:rStyle w:val="Emphasis"/>
          <w:rFonts w:cs="Times New Roman"/>
          <w:b w:val="0"/>
          <w:sz w:val="24"/>
          <w:szCs w:val="24"/>
        </w:rPr>
        <w:t>interaction</w:t>
      </w:r>
      <w:r w:rsidR="008430DC" w:rsidRPr="008430DC">
        <w:rPr>
          <w:rStyle w:val="Emphasis"/>
          <w:rFonts w:cs="Times New Roman"/>
          <w:b w:val="0"/>
          <w:sz w:val="24"/>
          <w:szCs w:val="24"/>
        </w:rPr>
        <w:t xml:space="preserve"> in </w:t>
      </w:r>
      <w:r w:rsidR="00D55AB7">
        <w:rPr>
          <w:rStyle w:val="Emphasis"/>
          <w:rFonts w:cs="Times New Roman"/>
          <w:b w:val="0"/>
          <w:sz w:val="24"/>
          <w:szCs w:val="24"/>
        </w:rPr>
        <w:t>the region</w:t>
      </w:r>
      <w:r w:rsidR="008430DC" w:rsidRPr="008430DC">
        <w:rPr>
          <w:rStyle w:val="Emphasis"/>
          <w:rFonts w:cs="Times New Roman"/>
          <w:b w:val="0"/>
          <w:sz w:val="24"/>
          <w:szCs w:val="24"/>
        </w:rPr>
        <w:t xml:space="preserve">. </w:t>
      </w:r>
      <w:r w:rsidR="009D266E" w:rsidRPr="008430DC">
        <w:rPr>
          <w:rStyle w:val="Emphasis"/>
          <w:rFonts w:cs="Times New Roman"/>
          <w:b w:val="0"/>
          <w:sz w:val="24"/>
          <w:szCs w:val="24"/>
        </w:rPr>
        <w:t xml:space="preserve"> </w:t>
      </w:r>
      <w:r w:rsidR="006E392E" w:rsidRPr="008430DC">
        <w:rPr>
          <w:rStyle w:val="Emphasis"/>
          <w:rFonts w:cs="Times New Roman"/>
          <w:b w:val="0"/>
          <w:sz w:val="24"/>
          <w:szCs w:val="24"/>
        </w:rPr>
        <w:t xml:space="preserve"> </w:t>
      </w:r>
    </w:p>
    <w:p w14:paraId="2B513177" w14:textId="5A54458C" w:rsidR="001C11A9" w:rsidRPr="00623F0E" w:rsidRDefault="001C11A9" w:rsidP="00623F0E">
      <w:pPr>
        <w:spacing w:after="0" w:line="360" w:lineRule="auto"/>
        <w:contextualSpacing/>
        <w:jc w:val="both"/>
        <w:rPr>
          <w:rStyle w:val="Emphasis"/>
          <w:rFonts w:cstheme="minorHAnsi"/>
          <w:b w:val="0"/>
          <w:sz w:val="24"/>
          <w:szCs w:val="24"/>
        </w:rPr>
      </w:pPr>
    </w:p>
    <w:p w14:paraId="288F120F" w14:textId="77777777" w:rsidR="008355C2" w:rsidRPr="008355C2" w:rsidRDefault="008355C2" w:rsidP="008355C2">
      <w:pPr>
        <w:spacing w:after="0" w:line="360" w:lineRule="auto"/>
        <w:contextualSpacing/>
        <w:jc w:val="both"/>
        <w:rPr>
          <w:rStyle w:val="Emphasis"/>
          <w:rFonts w:cstheme="minorHAnsi"/>
          <w:sz w:val="24"/>
          <w:szCs w:val="24"/>
        </w:rPr>
        <w:sectPr w:rsidR="008355C2" w:rsidRPr="008355C2" w:rsidSect="009B152A">
          <w:footerReference w:type="default" r:id="rId8"/>
          <w:endnotePr>
            <w:numFmt w:val="decimal"/>
          </w:endnotePr>
          <w:pgSz w:w="11906" w:h="16838"/>
          <w:pgMar w:top="1440" w:right="1440" w:bottom="1440" w:left="1440" w:header="708" w:footer="708" w:gutter="0"/>
          <w:cols w:space="708"/>
          <w:docGrid w:linePitch="360"/>
        </w:sectPr>
      </w:pPr>
      <w:r>
        <w:rPr>
          <w:rStyle w:val="Emphasis"/>
          <w:rFonts w:cstheme="minorHAnsi"/>
          <w:sz w:val="24"/>
          <w:szCs w:val="24"/>
        </w:rPr>
        <w:t>Notes</w:t>
      </w:r>
    </w:p>
    <w:p w14:paraId="13B48E76" w14:textId="77777777" w:rsidR="008355C2" w:rsidRPr="004302A8" w:rsidRDefault="008355C2" w:rsidP="00122C73">
      <w:pPr>
        <w:spacing w:after="0" w:line="360" w:lineRule="auto"/>
        <w:contextualSpacing/>
        <w:jc w:val="both"/>
        <w:rPr>
          <w:rStyle w:val="Emphasis"/>
          <w:rFonts w:cstheme="minorHAnsi"/>
          <w:sz w:val="24"/>
          <w:szCs w:val="24"/>
        </w:rPr>
      </w:pPr>
      <w:r w:rsidRPr="004302A8">
        <w:rPr>
          <w:rStyle w:val="Emphasis"/>
          <w:rFonts w:cstheme="minorHAnsi"/>
          <w:sz w:val="24"/>
          <w:szCs w:val="24"/>
        </w:rPr>
        <w:lastRenderedPageBreak/>
        <w:t xml:space="preserve">Acknowledgements  </w:t>
      </w:r>
    </w:p>
    <w:p w14:paraId="10CA0383" w14:textId="6CA50D42" w:rsidR="0091521B" w:rsidRPr="004302A8" w:rsidRDefault="0091521B" w:rsidP="00FD433D">
      <w:pPr>
        <w:spacing w:line="240" w:lineRule="auto"/>
        <w:jc w:val="both"/>
        <w:rPr>
          <w:sz w:val="24"/>
          <w:szCs w:val="24"/>
        </w:rPr>
      </w:pPr>
      <w:r w:rsidRPr="004302A8">
        <w:rPr>
          <w:sz w:val="24"/>
          <w:szCs w:val="24"/>
        </w:rPr>
        <w:t xml:space="preserve">The author gratefully acknowledges </w:t>
      </w:r>
      <w:r w:rsidR="005036DE">
        <w:rPr>
          <w:sz w:val="24"/>
          <w:szCs w:val="24"/>
        </w:rPr>
        <w:t>funding</w:t>
      </w:r>
      <w:r w:rsidRPr="004302A8">
        <w:rPr>
          <w:sz w:val="24"/>
          <w:szCs w:val="24"/>
        </w:rPr>
        <w:t xml:space="preserve"> awarded by the Economic and Social Research Council</w:t>
      </w:r>
      <w:r w:rsidR="005036DE">
        <w:rPr>
          <w:sz w:val="24"/>
          <w:szCs w:val="24"/>
        </w:rPr>
        <w:t xml:space="preserve">, </w:t>
      </w:r>
      <w:r w:rsidRPr="004302A8">
        <w:rPr>
          <w:sz w:val="24"/>
          <w:szCs w:val="24"/>
        </w:rPr>
        <w:t>North West Doctoral Trai</w:t>
      </w:r>
      <w:r w:rsidR="00287622">
        <w:rPr>
          <w:sz w:val="24"/>
          <w:szCs w:val="24"/>
        </w:rPr>
        <w:t>ning Centre</w:t>
      </w:r>
      <w:r w:rsidR="00420488">
        <w:rPr>
          <w:sz w:val="24"/>
          <w:szCs w:val="24"/>
        </w:rPr>
        <w:t xml:space="preserve">. </w:t>
      </w:r>
      <w:r w:rsidR="00D7550F">
        <w:rPr>
          <w:sz w:val="24"/>
          <w:szCs w:val="24"/>
        </w:rPr>
        <w:t xml:space="preserve">He also extends his thanks to two anonymous reviewers for their helpful comments on an earlier draft. </w:t>
      </w:r>
    </w:p>
    <w:p w14:paraId="30F5665F" w14:textId="77777777" w:rsidR="0091521B" w:rsidRPr="004302A8" w:rsidRDefault="0091521B" w:rsidP="0091521B">
      <w:pPr>
        <w:rPr>
          <w:sz w:val="24"/>
          <w:szCs w:val="24"/>
        </w:rPr>
      </w:pPr>
      <w:r w:rsidRPr="004302A8">
        <w:rPr>
          <w:b/>
          <w:sz w:val="24"/>
          <w:szCs w:val="24"/>
        </w:rPr>
        <w:t>Disclosure statement</w:t>
      </w:r>
      <w:r w:rsidRPr="004302A8">
        <w:rPr>
          <w:sz w:val="24"/>
          <w:szCs w:val="24"/>
        </w:rPr>
        <w:t xml:space="preserve"> </w:t>
      </w:r>
    </w:p>
    <w:p w14:paraId="516523AD" w14:textId="77777777" w:rsidR="00153D4F" w:rsidRPr="004302A8" w:rsidRDefault="0091521B" w:rsidP="00FD433D">
      <w:pPr>
        <w:spacing w:line="240" w:lineRule="auto"/>
        <w:rPr>
          <w:sz w:val="24"/>
          <w:szCs w:val="24"/>
        </w:rPr>
      </w:pPr>
      <w:r w:rsidRPr="004302A8">
        <w:rPr>
          <w:sz w:val="24"/>
          <w:szCs w:val="24"/>
        </w:rPr>
        <w:t>No potential conflict of interest was reported by the author.</w:t>
      </w:r>
    </w:p>
    <w:p w14:paraId="30168388" w14:textId="77777777" w:rsidR="004302A8" w:rsidRPr="004302A8" w:rsidRDefault="004302A8" w:rsidP="0091521B">
      <w:pPr>
        <w:spacing w:after="0" w:line="276" w:lineRule="auto"/>
        <w:contextualSpacing/>
        <w:jc w:val="both"/>
        <w:rPr>
          <w:sz w:val="24"/>
          <w:szCs w:val="24"/>
        </w:rPr>
      </w:pPr>
    </w:p>
    <w:p w14:paraId="6AC0D085" w14:textId="77777777" w:rsidR="00287622" w:rsidRDefault="0091521B" w:rsidP="00287622">
      <w:pPr>
        <w:spacing w:after="0" w:line="276" w:lineRule="auto"/>
        <w:contextualSpacing/>
        <w:jc w:val="both"/>
        <w:rPr>
          <w:rStyle w:val="Emphasis"/>
          <w:rFonts w:cstheme="minorHAnsi"/>
          <w:sz w:val="24"/>
          <w:szCs w:val="24"/>
        </w:rPr>
      </w:pPr>
      <w:r w:rsidRPr="004302A8">
        <w:rPr>
          <w:rStyle w:val="Emphasis"/>
          <w:rFonts w:cstheme="minorHAnsi"/>
          <w:sz w:val="24"/>
          <w:szCs w:val="24"/>
        </w:rPr>
        <w:t xml:space="preserve">References </w:t>
      </w:r>
    </w:p>
    <w:p w14:paraId="1F9B6724" w14:textId="77777777" w:rsidR="00D64250" w:rsidRPr="00D64250" w:rsidRDefault="00D64250" w:rsidP="00D64250">
      <w:pPr>
        <w:autoSpaceDE w:val="0"/>
        <w:autoSpaceDN w:val="0"/>
        <w:adjustRightInd w:val="0"/>
        <w:spacing w:after="0" w:line="240" w:lineRule="auto"/>
        <w:rPr>
          <w:rFonts w:cstheme="minorHAnsi"/>
        </w:rPr>
      </w:pPr>
    </w:p>
    <w:p w14:paraId="27D08C19" w14:textId="77777777" w:rsidR="00D64250" w:rsidRDefault="00D64250" w:rsidP="00D64250">
      <w:pPr>
        <w:autoSpaceDE w:val="0"/>
        <w:autoSpaceDN w:val="0"/>
        <w:adjustRightInd w:val="0"/>
        <w:spacing w:after="0" w:line="240" w:lineRule="auto"/>
        <w:ind w:left="360"/>
        <w:jc w:val="both"/>
        <w:rPr>
          <w:rFonts w:cstheme="minorHAnsi"/>
          <w:iCs/>
        </w:rPr>
      </w:pPr>
      <w:r w:rsidRPr="00D64250">
        <w:rPr>
          <w:rFonts w:cstheme="minorHAnsi"/>
        </w:rPr>
        <w:t xml:space="preserve">Andeweg, R. (2012), ‘The Consequences of Representatives' Role Orientations: Attitudes, Behavior, Perceptions’, in M. Blomgren and O. Rozenberg (eds.), </w:t>
      </w:r>
      <w:r w:rsidRPr="00D64250">
        <w:rPr>
          <w:rFonts w:cstheme="minorHAnsi"/>
          <w:i/>
          <w:iCs/>
        </w:rPr>
        <w:t>Parliamentary Roles in Modern Legislatures</w:t>
      </w:r>
      <w:r w:rsidRPr="00D64250">
        <w:rPr>
          <w:rFonts w:cstheme="minorHAnsi"/>
          <w:iCs/>
        </w:rPr>
        <w:t>. London: Routledge, 66-84.</w:t>
      </w:r>
    </w:p>
    <w:p w14:paraId="20DED4D9" w14:textId="77777777" w:rsidR="00D64250" w:rsidRPr="00D64250" w:rsidRDefault="00D64250" w:rsidP="00D64250">
      <w:pPr>
        <w:autoSpaceDE w:val="0"/>
        <w:autoSpaceDN w:val="0"/>
        <w:adjustRightInd w:val="0"/>
        <w:spacing w:after="0" w:line="240" w:lineRule="auto"/>
        <w:ind w:left="360"/>
        <w:jc w:val="both"/>
        <w:rPr>
          <w:rFonts w:cstheme="minorHAnsi"/>
          <w:iCs/>
        </w:rPr>
      </w:pPr>
    </w:p>
    <w:p w14:paraId="069B6185" w14:textId="77777777" w:rsidR="00D64250" w:rsidRPr="00D64250" w:rsidRDefault="00D64250" w:rsidP="00D64250">
      <w:pPr>
        <w:spacing w:line="240" w:lineRule="auto"/>
        <w:ind w:left="360"/>
        <w:jc w:val="both"/>
        <w:rPr>
          <w:rFonts w:cstheme="minorHAnsi"/>
        </w:rPr>
      </w:pPr>
      <w:r w:rsidRPr="00D64250">
        <w:rPr>
          <w:rFonts w:cstheme="minorHAnsi"/>
        </w:rPr>
        <w:t xml:space="preserve">André, A. and S. Depauw (2013a), ‘Electoral competition and the constituent-representative relationship’, </w:t>
      </w:r>
      <w:r w:rsidRPr="00D64250">
        <w:rPr>
          <w:rFonts w:cstheme="minorHAnsi"/>
          <w:i/>
        </w:rPr>
        <w:t>World Political Science Review</w:t>
      </w:r>
      <w:r w:rsidRPr="00D64250">
        <w:rPr>
          <w:rFonts w:cstheme="minorHAnsi"/>
        </w:rPr>
        <w:t>, 9 (1): 337-355.</w:t>
      </w:r>
    </w:p>
    <w:p w14:paraId="11F8D4E8" w14:textId="77777777" w:rsidR="00D64250" w:rsidRPr="00D64250" w:rsidRDefault="00D64250" w:rsidP="00D64250">
      <w:pPr>
        <w:spacing w:line="240" w:lineRule="auto"/>
        <w:ind w:left="360"/>
        <w:jc w:val="both"/>
        <w:rPr>
          <w:rFonts w:cstheme="minorHAnsi"/>
        </w:rPr>
      </w:pPr>
      <w:r w:rsidRPr="00D64250">
        <w:rPr>
          <w:rFonts w:cstheme="minorHAnsi"/>
        </w:rPr>
        <w:t xml:space="preserve">André, A. and S. Depauw (2013b), ‘District Magnitude and Home Styles of Representation in European Democracies’, </w:t>
      </w:r>
      <w:r w:rsidRPr="00D64250">
        <w:rPr>
          <w:rFonts w:cstheme="minorHAnsi"/>
          <w:i/>
        </w:rPr>
        <w:t>West European Politics</w:t>
      </w:r>
      <w:r w:rsidRPr="00D64250">
        <w:rPr>
          <w:rFonts w:cstheme="minorHAnsi"/>
        </w:rPr>
        <w:t>, 36 (5): 986-1006.</w:t>
      </w:r>
    </w:p>
    <w:p w14:paraId="120C747E" w14:textId="1F985BA1" w:rsidR="00D64250" w:rsidRPr="00D64250" w:rsidRDefault="00D64250" w:rsidP="00D64250">
      <w:pPr>
        <w:spacing w:line="240" w:lineRule="auto"/>
        <w:ind w:left="360"/>
        <w:jc w:val="both"/>
        <w:rPr>
          <w:rFonts w:cstheme="minorHAnsi"/>
          <w:lang w:val="pl-PL"/>
        </w:rPr>
      </w:pPr>
      <w:r w:rsidRPr="00D64250">
        <w:rPr>
          <w:rFonts w:cstheme="minorHAnsi"/>
        </w:rPr>
        <w:t xml:space="preserve">André, A., M. Gallagher and G. Sandri (2014c), ‘Legislators’ Constituency Orientation’ in </w:t>
      </w:r>
      <w:r w:rsidRPr="00D64250">
        <w:rPr>
          <w:rFonts w:cstheme="minorHAnsi"/>
          <w:lang w:val="pl-PL"/>
        </w:rPr>
        <w:t xml:space="preserve">K. Deschouwer and M. Depauw (eds.), </w:t>
      </w:r>
      <w:r w:rsidRPr="00D64250">
        <w:rPr>
          <w:rFonts w:cstheme="minorHAnsi"/>
          <w:i/>
          <w:lang w:val="pl-PL"/>
        </w:rPr>
        <w:t xml:space="preserve">Representing the People: </w:t>
      </w:r>
      <w:proofErr w:type="gramStart"/>
      <w:r w:rsidRPr="00D64250">
        <w:rPr>
          <w:rFonts w:cstheme="minorHAnsi"/>
          <w:i/>
          <w:lang w:val="pl-PL"/>
        </w:rPr>
        <w:t>a</w:t>
      </w:r>
      <w:proofErr w:type="gramEnd"/>
      <w:r w:rsidRPr="00D64250">
        <w:rPr>
          <w:rFonts w:cstheme="minorHAnsi"/>
          <w:i/>
          <w:lang w:val="pl-PL"/>
        </w:rPr>
        <w:t xml:space="preserve"> Survey among Members of Statewide and Sub-state Parliaments</w:t>
      </w:r>
      <w:r w:rsidRPr="00D64250">
        <w:rPr>
          <w:rFonts w:cstheme="minorHAnsi"/>
          <w:lang w:val="pl-PL"/>
        </w:rPr>
        <w:t>. Oxford: Oxford University Press, 166-187</w:t>
      </w:r>
      <w:r>
        <w:rPr>
          <w:rFonts w:cstheme="minorHAnsi"/>
          <w:lang w:val="pl-PL"/>
        </w:rPr>
        <w:t>.</w:t>
      </w:r>
    </w:p>
    <w:p w14:paraId="02DDBFB2" w14:textId="77777777" w:rsidR="00D64250" w:rsidRPr="00D64250" w:rsidRDefault="00D64250" w:rsidP="00D64250">
      <w:pPr>
        <w:spacing w:line="240" w:lineRule="auto"/>
        <w:ind w:left="360"/>
        <w:jc w:val="both"/>
        <w:rPr>
          <w:rFonts w:cstheme="minorHAnsi"/>
          <w:lang w:val="en-IE"/>
        </w:rPr>
      </w:pPr>
      <w:r w:rsidRPr="00D64250">
        <w:rPr>
          <w:rFonts w:cstheme="minorHAnsi"/>
          <w:lang w:val="en-IE"/>
        </w:rPr>
        <w:t xml:space="preserve">André, A., S. Depauw and S. Martin (2015), ‘Electoral Systems and Legislators’ Constituency Effort: The Mediating Effect of Electoral Vulnerability’, </w:t>
      </w:r>
      <w:r w:rsidRPr="00D64250">
        <w:rPr>
          <w:rFonts w:cstheme="minorHAnsi"/>
          <w:i/>
          <w:iCs/>
          <w:lang w:val="en-IE"/>
        </w:rPr>
        <w:t>Comparative Political Studies</w:t>
      </w:r>
      <w:r w:rsidRPr="00D64250">
        <w:rPr>
          <w:rFonts w:cstheme="minorHAnsi"/>
          <w:lang w:val="en-IE"/>
        </w:rPr>
        <w:t>, 48 (4): 464-496.</w:t>
      </w:r>
    </w:p>
    <w:p w14:paraId="100FD2CE" w14:textId="44E482AD" w:rsidR="00D64250" w:rsidRPr="00D64250" w:rsidRDefault="00D64250" w:rsidP="00D64250">
      <w:pPr>
        <w:spacing w:line="240" w:lineRule="auto"/>
        <w:ind w:left="360"/>
        <w:jc w:val="both"/>
        <w:rPr>
          <w:rFonts w:cstheme="minorHAnsi"/>
          <w:shd w:val="clear" w:color="auto" w:fill="FFFFFF"/>
        </w:rPr>
      </w:pPr>
      <w:r w:rsidRPr="00D64250">
        <w:rPr>
          <w:rFonts w:cstheme="minorHAnsi"/>
          <w:shd w:val="clear" w:color="auto" w:fill="FFFFFF"/>
        </w:rPr>
        <w:t xml:space="preserve">Bailer, S. (2014), ‘Interviews and Surveys in Legislative Research’, in S. Martin, T. Saalfeld and K. Strom (eds.), </w:t>
      </w:r>
      <w:r w:rsidRPr="00D64250">
        <w:rPr>
          <w:rFonts w:cstheme="minorHAnsi"/>
          <w:i/>
          <w:shd w:val="clear" w:color="auto" w:fill="FFFFFF"/>
        </w:rPr>
        <w:t>The Oxford Handbook of Legislative Studies</w:t>
      </w:r>
      <w:r w:rsidRPr="00D64250">
        <w:rPr>
          <w:rFonts w:cstheme="minorHAnsi"/>
          <w:shd w:val="clear" w:color="auto" w:fill="FFFFFF"/>
        </w:rPr>
        <w:t xml:space="preserve">. </w:t>
      </w:r>
      <w:r>
        <w:rPr>
          <w:rFonts w:cstheme="minorHAnsi"/>
          <w:shd w:val="clear" w:color="auto" w:fill="FFFFFF"/>
        </w:rPr>
        <w:t>Oxford: Oxford University Press, 167-193.</w:t>
      </w:r>
    </w:p>
    <w:p w14:paraId="4A16D2B9" w14:textId="77777777" w:rsidR="00D64250" w:rsidRPr="00D64250" w:rsidRDefault="00D64250" w:rsidP="00D64250">
      <w:pPr>
        <w:spacing w:line="240" w:lineRule="auto"/>
        <w:ind w:left="360"/>
        <w:jc w:val="both"/>
        <w:rPr>
          <w:rFonts w:cstheme="minorHAnsi"/>
        </w:rPr>
      </w:pPr>
      <w:r w:rsidRPr="00D64250">
        <w:rPr>
          <w:rFonts w:cstheme="minorHAnsi"/>
          <w:shd w:val="clear" w:color="auto" w:fill="FFFFFF"/>
        </w:rPr>
        <w:t xml:space="preserve">BBC (2015), ‘Flags and emblems ban at MLA offices “ridiculous”’, retrieved from </w:t>
      </w:r>
      <w:hyperlink r:id="rId9" w:history="1">
        <w:r w:rsidRPr="00D64250">
          <w:rPr>
            <w:rStyle w:val="Hyperlink"/>
            <w:rFonts w:cstheme="minorHAnsi"/>
            <w:shd w:val="clear" w:color="auto" w:fill="FFFFFF"/>
          </w:rPr>
          <w:t>http://www.bbc.co.uk/news/uk-northern-ireland-33407088</w:t>
        </w:r>
      </w:hyperlink>
      <w:r w:rsidRPr="00D64250">
        <w:rPr>
          <w:rFonts w:cstheme="minorHAnsi"/>
          <w:shd w:val="clear" w:color="auto" w:fill="FFFFFF"/>
        </w:rPr>
        <w:t xml:space="preserve"> (accessed June 10, 2017).</w:t>
      </w:r>
    </w:p>
    <w:p w14:paraId="689EE24A" w14:textId="77777777" w:rsidR="00D64250" w:rsidRPr="00D64250" w:rsidRDefault="00D64250" w:rsidP="00D64250">
      <w:pPr>
        <w:spacing w:line="240" w:lineRule="auto"/>
        <w:ind w:left="360"/>
        <w:jc w:val="both"/>
        <w:rPr>
          <w:rFonts w:cstheme="minorHAnsi"/>
          <w:lang w:val="en-IE"/>
        </w:rPr>
      </w:pPr>
      <w:r w:rsidRPr="00D64250">
        <w:rPr>
          <w:rFonts w:cstheme="minorHAnsi"/>
        </w:rPr>
        <w:t xml:space="preserve">Blomgren, M. and O. Rozenberg (eds.) (2012), </w:t>
      </w:r>
      <w:r w:rsidRPr="00D64250">
        <w:rPr>
          <w:rFonts w:cstheme="minorHAnsi"/>
          <w:i/>
          <w:iCs/>
        </w:rPr>
        <w:t>Parliamentary Roles in Modern Legislatures</w:t>
      </w:r>
      <w:r w:rsidRPr="00D64250">
        <w:rPr>
          <w:rFonts w:cstheme="minorHAnsi"/>
          <w:iCs/>
        </w:rPr>
        <w:t>. London: Routledge.</w:t>
      </w:r>
    </w:p>
    <w:p w14:paraId="325C1DFB" w14:textId="77777777" w:rsidR="00D64250" w:rsidRDefault="00D64250" w:rsidP="00D64250">
      <w:pPr>
        <w:autoSpaceDE w:val="0"/>
        <w:autoSpaceDN w:val="0"/>
        <w:adjustRightInd w:val="0"/>
        <w:spacing w:after="0" w:line="240" w:lineRule="auto"/>
        <w:ind w:left="360"/>
        <w:jc w:val="both"/>
        <w:rPr>
          <w:rStyle w:val="nlmpublisher-name"/>
          <w:rFonts w:cstheme="minorHAnsi"/>
        </w:rPr>
      </w:pPr>
      <w:r w:rsidRPr="00D64250">
        <w:rPr>
          <w:rStyle w:val="nlmstring-name"/>
          <w:rFonts w:cstheme="minorHAnsi"/>
        </w:rPr>
        <w:t>Bogdanor V.</w:t>
      </w:r>
      <w:r w:rsidRPr="00D64250">
        <w:rPr>
          <w:rFonts w:cstheme="minorHAnsi"/>
        </w:rPr>
        <w:t xml:space="preserve"> (ed.) (</w:t>
      </w:r>
      <w:r w:rsidRPr="00D64250">
        <w:rPr>
          <w:rStyle w:val="nlmyear"/>
          <w:rFonts w:cstheme="minorHAnsi"/>
        </w:rPr>
        <w:t>1985</w:t>
      </w:r>
      <w:r w:rsidRPr="00D64250">
        <w:rPr>
          <w:rFonts w:cstheme="minorHAnsi"/>
        </w:rPr>
        <w:t xml:space="preserve">), </w:t>
      </w:r>
      <w:r w:rsidRPr="00D64250">
        <w:rPr>
          <w:rFonts w:cstheme="minorHAnsi"/>
          <w:i/>
        </w:rPr>
        <w:t>Representatives of the people? Parliamentarians and constituents in Western democracies</w:t>
      </w:r>
      <w:r w:rsidRPr="00D64250">
        <w:rPr>
          <w:rFonts w:cstheme="minorHAnsi"/>
        </w:rPr>
        <w:t xml:space="preserve">. </w:t>
      </w:r>
      <w:r w:rsidRPr="00D64250">
        <w:rPr>
          <w:rStyle w:val="nlmpublisher-loc"/>
          <w:rFonts w:cstheme="minorHAnsi"/>
        </w:rPr>
        <w:t>Aldershot, UK</w:t>
      </w:r>
      <w:r w:rsidRPr="00D64250">
        <w:rPr>
          <w:rFonts w:cstheme="minorHAnsi"/>
        </w:rPr>
        <w:t xml:space="preserve">: </w:t>
      </w:r>
      <w:r w:rsidRPr="00D64250">
        <w:rPr>
          <w:rStyle w:val="nlmpublisher-name"/>
          <w:rFonts w:cstheme="minorHAnsi"/>
        </w:rPr>
        <w:t>Gower.</w:t>
      </w:r>
    </w:p>
    <w:p w14:paraId="32FFFE50" w14:textId="77777777" w:rsidR="00D64250" w:rsidRPr="00D64250" w:rsidRDefault="00D64250" w:rsidP="00D64250">
      <w:pPr>
        <w:autoSpaceDE w:val="0"/>
        <w:autoSpaceDN w:val="0"/>
        <w:adjustRightInd w:val="0"/>
        <w:spacing w:after="0" w:line="240" w:lineRule="auto"/>
        <w:ind w:left="360"/>
        <w:jc w:val="both"/>
        <w:rPr>
          <w:rStyle w:val="nlmpublisher-name"/>
          <w:rFonts w:cstheme="minorHAnsi"/>
        </w:rPr>
      </w:pPr>
    </w:p>
    <w:p w14:paraId="12F6EBA5"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Boland, J. (1991), ‘Dáil can only be reformed if TDs are liberated from multi-seat constituencies’, </w:t>
      </w:r>
      <w:r w:rsidRPr="00D64250">
        <w:rPr>
          <w:rFonts w:cstheme="minorHAnsi"/>
          <w:i/>
          <w:iCs/>
        </w:rPr>
        <w:t>Representation</w:t>
      </w:r>
      <w:r w:rsidRPr="00D64250">
        <w:rPr>
          <w:rFonts w:cstheme="minorHAnsi"/>
          <w:iCs/>
        </w:rPr>
        <w:t>,</w:t>
      </w:r>
      <w:r w:rsidRPr="00D64250">
        <w:rPr>
          <w:rFonts w:cstheme="minorHAnsi"/>
          <w:i/>
          <w:iCs/>
        </w:rPr>
        <w:t xml:space="preserve"> </w:t>
      </w:r>
      <w:r w:rsidRPr="00D64250">
        <w:rPr>
          <w:rFonts w:cstheme="minorHAnsi"/>
        </w:rPr>
        <w:t>30 (111): 42-43.</w:t>
      </w:r>
    </w:p>
    <w:p w14:paraId="21CC2033" w14:textId="77777777" w:rsidR="00D64250" w:rsidRPr="00D64250" w:rsidRDefault="00D64250" w:rsidP="00D64250">
      <w:pPr>
        <w:autoSpaceDE w:val="0"/>
        <w:autoSpaceDN w:val="0"/>
        <w:adjustRightInd w:val="0"/>
        <w:spacing w:after="0" w:line="240" w:lineRule="auto"/>
        <w:ind w:left="360"/>
        <w:jc w:val="both"/>
        <w:rPr>
          <w:rFonts w:cstheme="minorHAnsi"/>
        </w:rPr>
      </w:pPr>
    </w:p>
    <w:p w14:paraId="25BADB08"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Brack, N. and J. Pilet (2016), ‘Explaining MPs’ constituency service in multi-level systems: the case of Belgium’, </w:t>
      </w:r>
      <w:r w:rsidRPr="00D64250">
        <w:rPr>
          <w:rFonts w:cstheme="minorHAnsi"/>
          <w:i/>
        </w:rPr>
        <w:t>French Politics</w:t>
      </w:r>
      <w:r w:rsidRPr="00D64250">
        <w:rPr>
          <w:rFonts w:cstheme="minorHAnsi"/>
        </w:rPr>
        <w:t>, 14 (4): 439-468.</w:t>
      </w:r>
    </w:p>
    <w:p w14:paraId="2EFC15E7" w14:textId="77777777" w:rsidR="00D64250" w:rsidRPr="00D64250" w:rsidRDefault="00D64250" w:rsidP="00D64250">
      <w:pPr>
        <w:autoSpaceDE w:val="0"/>
        <w:autoSpaceDN w:val="0"/>
        <w:adjustRightInd w:val="0"/>
        <w:spacing w:after="0" w:line="240" w:lineRule="auto"/>
        <w:ind w:left="360"/>
        <w:jc w:val="both"/>
        <w:rPr>
          <w:rFonts w:cstheme="minorHAnsi"/>
        </w:rPr>
      </w:pPr>
    </w:p>
    <w:p w14:paraId="0C717D54" w14:textId="77777777" w:rsidR="00D64250" w:rsidRDefault="00D64250" w:rsidP="00D64250">
      <w:pPr>
        <w:pStyle w:val="Default"/>
        <w:ind w:left="360"/>
        <w:contextualSpacing/>
        <w:jc w:val="both"/>
        <w:rPr>
          <w:rStyle w:val="research-output-journal-article-paginationstart"/>
          <w:rFonts w:asciiTheme="minorHAnsi" w:hAnsiTheme="minorHAnsi" w:cstheme="minorHAnsi"/>
          <w:color w:val="auto"/>
          <w:sz w:val="22"/>
          <w:szCs w:val="22"/>
        </w:rPr>
      </w:pPr>
      <w:r w:rsidRPr="00D64250">
        <w:rPr>
          <w:rStyle w:val="research-output-journal-article-author-surname"/>
          <w:rFonts w:asciiTheme="minorHAnsi" w:hAnsiTheme="minorHAnsi" w:cstheme="minorHAnsi"/>
          <w:color w:val="auto"/>
          <w:sz w:val="22"/>
          <w:szCs w:val="22"/>
        </w:rPr>
        <w:t>Bradbury,</w:t>
      </w:r>
      <w:r w:rsidRPr="00D64250">
        <w:rPr>
          <w:rStyle w:val="research-output-journal-article-author-initials"/>
          <w:rFonts w:asciiTheme="minorHAnsi" w:hAnsiTheme="minorHAnsi" w:cstheme="minorHAnsi"/>
          <w:color w:val="auto"/>
          <w:sz w:val="22"/>
          <w:szCs w:val="22"/>
        </w:rPr>
        <w:t xml:space="preserve"> J.</w:t>
      </w:r>
      <w:r w:rsidRPr="00D64250">
        <w:rPr>
          <w:rStyle w:val="research-output-journal-article-author"/>
          <w:rFonts w:asciiTheme="minorHAnsi" w:hAnsiTheme="minorHAnsi" w:cstheme="minorHAnsi"/>
          <w:color w:val="auto"/>
          <w:sz w:val="22"/>
          <w:szCs w:val="22"/>
        </w:rPr>
        <w:t xml:space="preserve"> </w:t>
      </w:r>
      <w:r w:rsidRPr="00D64250">
        <w:rPr>
          <w:rFonts w:asciiTheme="minorHAnsi" w:hAnsiTheme="minorHAnsi" w:cstheme="minorHAnsi"/>
          <w:color w:val="auto"/>
          <w:sz w:val="22"/>
          <w:szCs w:val="22"/>
        </w:rPr>
        <w:t xml:space="preserve">and J. </w:t>
      </w:r>
      <w:r w:rsidRPr="00D64250">
        <w:rPr>
          <w:rStyle w:val="research-output-journal-article-author-surname"/>
          <w:rFonts w:asciiTheme="minorHAnsi" w:hAnsiTheme="minorHAnsi" w:cstheme="minorHAnsi"/>
          <w:color w:val="auto"/>
          <w:sz w:val="22"/>
          <w:szCs w:val="22"/>
        </w:rPr>
        <w:t>Mitchell</w:t>
      </w:r>
      <w:r w:rsidRPr="00D64250">
        <w:rPr>
          <w:rStyle w:val="research-output-journal-article-author"/>
          <w:rFonts w:asciiTheme="minorHAnsi" w:hAnsiTheme="minorHAnsi" w:cstheme="minorHAnsi"/>
          <w:color w:val="auto"/>
          <w:sz w:val="22"/>
          <w:szCs w:val="22"/>
        </w:rPr>
        <w:t xml:space="preserve"> </w:t>
      </w:r>
      <w:r w:rsidRPr="00D64250">
        <w:rPr>
          <w:rStyle w:val="research-output-journal-article-date"/>
          <w:rFonts w:asciiTheme="minorHAnsi" w:hAnsiTheme="minorHAnsi" w:cstheme="minorHAnsi"/>
          <w:color w:val="auto"/>
          <w:sz w:val="22"/>
          <w:szCs w:val="22"/>
        </w:rPr>
        <w:t>(2007),</w:t>
      </w:r>
      <w:r w:rsidRPr="00D64250">
        <w:rPr>
          <w:rStyle w:val="research-output-journal-article-name"/>
          <w:rFonts w:asciiTheme="minorHAnsi" w:hAnsiTheme="minorHAnsi" w:cstheme="minorHAnsi"/>
          <w:color w:val="auto"/>
          <w:sz w:val="22"/>
          <w:szCs w:val="22"/>
        </w:rPr>
        <w:t xml:space="preserve"> ‘The Constituency Work of Members of the Scottish Parliament and National Assembly for Wales: Approaches, Relationships and Rules’, </w:t>
      </w:r>
      <w:r w:rsidRPr="00D64250">
        <w:rPr>
          <w:rStyle w:val="research-output-journal-article-periodical1"/>
          <w:rFonts w:asciiTheme="minorHAnsi" w:hAnsiTheme="minorHAnsi" w:cstheme="minorHAnsi"/>
          <w:color w:val="auto"/>
          <w:sz w:val="22"/>
          <w:szCs w:val="22"/>
        </w:rPr>
        <w:t>Regional &amp; Federal Studies,</w:t>
      </w:r>
      <w:r w:rsidRPr="00D64250">
        <w:rPr>
          <w:rStyle w:val="research-output-journal-article-volume"/>
          <w:rFonts w:asciiTheme="minorHAnsi" w:hAnsiTheme="minorHAnsi" w:cstheme="minorHAnsi"/>
          <w:color w:val="auto"/>
          <w:sz w:val="22"/>
          <w:szCs w:val="22"/>
        </w:rPr>
        <w:t xml:space="preserve"> 17 </w:t>
      </w:r>
      <w:r w:rsidRPr="00D64250">
        <w:rPr>
          <w:rStyle w:val="research-output-journal-article-issue"/>
          <w:rFonts w:asciiTheme="minorHAnsi" w:hAnsiTheme="minorHAnsi" w:cstheme="minorHAnsi"/>
          <w:color w:val="auto"/>
          <w:sz w:val="22"/>
          <w:szCs w:val="22"/>
        </w:rPr>
        <w:t>(1)</w:t>
      </w:r>
      <w:r w:rsidRPr="00D64250">
        <w:rPr>
          <w:rStyle w:val="research-output-journal-article-paginationstart"/>
          <w:rFonts w:asciiTheme="minorHAnsi" w:hAnsiTheme="minorHAnsi" w:cstheme="minorHAnsi"/>
          <w:color w:val="auto"/>
          <w:sz w:val="22"/>
          <w:szCs w:val="22"/>
        </w:rPr>
        <w:t>: 117-145.</w:t>
      </w:r>
    </w:p>
    <w:p w14:paraId="17E0FC70" w14:textId="77777777" w:rsidR="00D64250" w:rsidRPr="00D64250" w:rsidRDefault="00D64250" w:rsidP="00D64250">
      <w:pPr>
        <w:pStyle w:val="Default"/>
        <w:ind w:left="360"/>
        <w:contextualSpacing/>
        <w:jc w:val="both"/>
        <w:rPr>
          <w:rStyle w:val="research-output-journal-article-paginationstart"/>
          <w:rFonts w:asciiTheme="minorHAnsi" w:hAnsiTheme="minorHAnsi" w:cstheme="minorHAnsi"/>
          <w:color w:val="auto"/>
          <w:sz w:val="22"/>
          <w:szCs w:val="22"/>
        </w:rPr>
      </w:pPr>
    </w:p>
    <w:p w14:paraId="78E1B490" w14:textId="77777777" w:rsidR="00D64250" w:rsidRPr="00D64250" w:rsidRDefault="00D64250" w:rsidP="00D64250">
      <w:pPr>
        <w:spacing w:line="240" w:lineRule="auto"/>
        <w:ind w:left="360"/>
        <w:jc w:val="both"/>
        <w:rPr>
          <w:rFonts w:cstheme="minorHAnsi"/>
        </w:rPr>
      </w:pPr>
      <w:r w:rsidRPr="00D64250">
        <w:rPr>
          <w:rFonts w:cstheme="minorHAnsi"/>
        </w:rPr>
        <w:t xml:space="preserve">Cain, B., J. Ferejohn and M. Fiorina (1987), </w:t>
      </w:r>
      <w:r w:rsidRPr="00D64250">
        <w:rPr>
          <w:rFonts w:cstheme="minorHAnsi"/>
          <w:i/>
          <w:iCs/>
        </w:rPr>
        <w:t xml:space="preserve">The Personal Vote: Constituency Service and Electoral Independence. </w:t>
      </w:r>
      <w:r w:rsidRPr="00D64250">
        <w:rPr>
          <w:rFonts w:cstheme="minorHAnsi"/>
        </w:rPr>
        <w:t>Cambridge, MA: Harvard University Press.</w:t>
      </w:r>
    </w:p>
    <w:p w14:paraId="05D8E93C" w14:textId="77777777" w:rsidR="00D64250" w:rsidRPr="00D64250" w:rsidRDefault="00D64250" w:rsidP="00D64250">
      <w:pPr>
        <w:spacing w:line="240" w:lineRule="auto"/>
        <w:ind w:left="360"/>
        <w:jc w:val="both"/>
        <w:rPr>
          <w:rFonts w:cstheme="minorHAnsi"/>
        </w:rPr>
      </w:pPr>
      <w:r w:rsidRPr="00D64250">
        <w:rPr>
          <w:rFonts w:cstheme="minorHAnsi"/>
        </w:rPr>
        <w:lastRenderedPageBreak/>
        <w:t xml:space="preserve">Carey, J. M. and M. S. Shugart (1995), ‘Incentives to Cultivate a Personal Vote: A Rank Ordering of Electoral Formulas’, </w:t>
      </w:r>
      <w:r w:rsidRPr="00D64250">
        <w:rPr>
          <w:rFonts w:cstheme="minorHAnsi"/>
          <w:i/>
        </w:rPr>
        <w:t>Electoral Studies</w:t>
      </w:r>
      <w:r w:rsidRPr="00D64250">
        <w:rPr>
          <w:rFonts w:cstheme="minorHAnsi"/>
        </w:rPr>
        <w:t>, 14 (4): 417-439.</w:t>
      </w:r>
    </w:p>
    <w:p w14:paraId="6D784C14" w14:textId="77777777" w:rsidR="00D64250" w:rsidRPr="00D64250" w:rsidRDefault="00D64250" w:rsidP="00D64250">
      <w:pPr>
        <w:spacing w:line="240" w:lineRule="auto"/>
        <w:ind w:left="360"/>
        <w:jc w:val="both"/>
        <w:rPr>
          <w:rFonts w:cstheme="minorHAnsi"/>
        </w:rPr>
      </w:pPr>
      <w:r w:rsidRPr="00D64250">
        <w:rPr>
          <w:rFonts w:cstheme="minorHAnsi"/>
        </w:rPr>
        <w:t xml:space="preserve">Carty, R. (1981), </w:t>
      </w:r>
      <w:r w:rsidRPr="00D64250">
        <w:rPr>
          <w:rFonts w:cstheme="minorHAnsi"/>
          <w:i/>
        </w:rPr>
        <w:t>Party and Parish Pump: Electoral Politics in Ireland</w:t>
      </w:r>
      <w:r w:rsidRPr="00D64250">
        <w:rPr>
          <w:rFonts w:cstheme="minorHAnsi"/>
        </w:rPr>
        <w:t>. Waterloo, Ontario: Wilfrid Laurier University Press.</w:t>
      </w:r>
    </w:p>
    <w:p w14:paraId="3B0B9EB1" w14:textId="77777777" w:rsidR="00D64250" w:rsidRPr="00D64250" w:rsidRDefault="00D64250" w:rsidP="00D64250">
      <w:pPr>
        <w:spacing w:line="240" w:lineRule="auto"/>
        <w:ind w:left="360"/>
        <w:jc w:val="both"/>
        <w:rPr>
          <w:rFonts w:cstheme="minorHAnsi"/>
        </w:rPr>
      </w:pPr>
      <w:r w:rsidRPr="00D64250">
        <w:rPr>
          <w:rFonts w:cstheme="minorHAnsi"/>
        </w:rPr>
        <w:t xml:space="preserve">Conley, R. (2013), ‘Legislative Behaviour in the Northern Ireland Assembly, 2007-2011: Conflict and Consensus in a Developing Consociational Democracy’, </w:t>
      </w:r>
      <w:r w:rsidRPr="00D64250">
        <w:rPr>
          <w:rFonts w:cstheme="minorHAnsi"/>
          <w:i/>
        </w:rPr>
        <w:t>Political Studies</w:t>
      </w:r>
      <w:r w:rsidRPr="00D64250">
        <w:rPr>
          <w:rFonts w:cstheme="minorHAnsi"/>
        </w:rPr>
        <w:t>, 61: 179-197.</w:t>
      </w:r>
    </w:p>
    <w:p w14:paraId="47D3B6DB" w14:textId="77777777" w:rsidR="00D64250" w:rsidRPr="00D64250" w:rsidRDefault="00D64250" w:rsidP="00D64250">
      <w:pPr>
        <w:spacing w:line="240" w:lineRule="auto"/>
        <w:ind w:left="360"/>
        <w:jc w:val="both"/>
        <w:rPr>
          <w:rFonts w:cstheme="minorHAnsi"/>
        </w:rPr>
      </w:pPr>
      <w:r w:rsidRPr="00D64250">
        <w:rPr>
          <w:rFonts w:cstheme="minorHAnsi"/>
        </w:rPr>
        <w:t xml:space="preserve">Conley, R. and C. Dahan (2012), ‘The Consociational Model and Question Time in the Northern Ireland Assembly: Policy Issues, Procedural Reforms, and Executive Accountability, 2007-2011’, </w:t>
      </w:r>
      <w:r w:rsidRPr="00D64250">
        <w:rPr>
          <w:rFonts w:cstheme="minorHAnsi"/>
          <w:i/>
        </w:rPr>
        <w:t>Irish Political Studies</w:t>
      </w:r>
      <w:r w:rsidRPr="00D64250">
        <w:rPr>
          <w:rFonts w:cstheme="minorHAnsi"/>
        </w:rPr>
        <w:t xml:space="preserve">, 37: 1-21. </w:t>
      </w:r>
    </w:p>
    <w:p w14:paraId="201ABF22"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Cox, G. W., and M. F. Theis (1998), ‘The Cost of Intra-Party Competition: The Single Non-Transferable Vote and Money Politics in Japan’, </w:t>
      </w:r>
      <w:r w:rsidRPr="00D64250">
        <w:rPr>
          <w:rFonts w:cstheme="minorHAnsi"/>
          <w:i/>
        </w:rPr>
        <w:t>Comparative Political Studies</w:t>
      </w:r>
      <w:r w:rsidRPr="00D64250">
        <w:rPr>
          <w:rFonts w:cstheme="minorHAnsi"/>
        </w:rPr>
        <w:t>, 31: 267-291.</w:t>
      </w:r>
    </w:p>
    <w:p w14:paraId="6D7E7009" w14:textId="77777777" w:rsidR="00591418" w:rsidRPr="00D64250" w:rsidRDefault="00591418" w:rsidP="00591418">
      <w:pPr>
        <w:autoSpaceDE w:val="0"/>
        <w:autoSpaceDN w:val="0"/>
        <w:adjustRightInd w:val="0"/>
        <w:spacing w:after="0" w:line="240" w:lineRule="auto"/>
        <w:jc w:val="both"/>
        <w:rPr>
          <w:rFonts w:cstheme="minorHAnsi"/>
        </w:rPr>
      </w:pPr>
    </w:p>
    <w:p w14:paraId="269CF864" w14:textId="77777777" w:rsidR="00591418" w:rsidRDefault="00591418" w:rsidP="00D64250">
      <w:pPr>
        <w:autoSpaceDE w:val="0"/>
        <w:autoSpaceDN w:val="0"/>
        <w:adjustRightInd w:val="0"/>
        <w:spacing w:after="0" w:line="240" w:lineRule="auto"/>
        <w:ind w:left="360"/>
        <w:jc w:val="both"/>
        <w:rPr>
          <w:rFonts w:cstheme="minorHAnsi"/>
        </w:rPr>
      </w:pPr>
      <w:r w:rsidRPr="00D64250">
        <w:rPr>
          <w:rFonts w:cstheme="minorHAnsi"/>
        </w:rPr>
        <w:t xml:space="preserve">Dalton, R. (2004), </w:t>
      </w:r>
      <w:r w:rsidRPr="00D64250">
        <w:rPr>
          <w:rFonts w:cstheme="minorHAnsi"/>
          <w:i/>
        </w:rPr>
        <w:t>Democratic Challenges, Democratic Choices: The Erosion of Political Support in Advanced Industrial Democracies</w:t>
      </w:r>
      <w:r w:rsidRPr="00D64250">
        <w:rPr>
          <w:rFonts w:cstheme="minorHAnsi"/>
        </w:rPr>
        <w:t>. Oxford: Oxford University Press.</w:t>
      </w:r>
    </w:p>
    <w:p w14:paraId="5D223748" w14:textId="77777777" w:rsidR="00591418" w:rsidRDefault="00591418" w:rsidP="00D64250">
      <w:pPr>
        <w:autoSpaceDE w:val="0"/>
        <w:autoSpaceDN w:val="0"/>
        <w:adjustRightInd w:val="0"/>
        <w:spacing w:after="0" w:line="240" w:lineRule="auto"/>
        <w:ind w:left="360"/>
        <w:jc w:val="both"/>
        <w:rPr>
          <w:rFonts w:cstheme="minorHAnsi"/>
        </w:rPr>
      </w:pPr>
    </w:p>
    <w:p w14:paraId="6EF1D630" w14:textId="77777777" w:rsidR="00591418" w:rsidRPr="00D64250" w:rsidRDefault="00591418" w:rsidP="00591418">
      <w:pPr>
        <w:spacing w:line="240" w:lineRule="auto"/>
        <w:ind w:left="360"/>
        <w:jc w:val="both"/>
        <w:rPr>
          <w:rStyle w:val="research-output-journal-article-date"/>
          <w:rFonts w:cstheme="minorHAnsi"/>
        </w:rPr>
      </w:pPr>
      <w:r w:rsidRPr="00D64250">
        <w:rPr>
          <w:rFonts w:cstheme="minorHAnsi"/>
          <w:lang w:val="pl-PL"/>
        </w:rPr>
        <w:t>Deschouwer</w:t>
      </w:r>
      <w:r>
        <w:rPr>
          <w:rFonts w:cstheme="minorHAnsi"/>
          <w:lang w:val="pl-PL"/>
        </w:rPr>
        <w:t>, K.</w:t>
      </w:r>
      <w:r w:rsidRPr="00D64250">
        <w:rPr>
          <w:rFonts w:cstheme="minorHAnsi"/>
          <w:lang w:val="pl-PL"/>
        </w:rPr>
        <w:t xml:space="preserve"> and M. Depauw (eds.), </w:t>
      </w:r>
      <w:r w:rsidRPr="00D64250">
        <w:rPr>
          <w:rFonts w:cstheme="minorHAnsi"/>
          <w:i/>
          <w:lang w:val="pl-PL"/>
        </w:rPr>
        <w:t>Representing the People: a Survey among Members of Statewide and Sub-state Parliaments</w:t>
      </w:r>
      <w:r w:rsidRPr="00D64250">
        <w:rPr>
          <w:rFonts w:cstheme="minorHAnsi"/>
          <w:lang w:val="pl-PL"/>
        </w:rPr>
        <w:t>. Oxfor</w:t>
      </w:r>
      <w:r>
        <w:rPr>
          <w:rFonts w:cstheme="minorHAnsi"/>
          <w:lang w:val="pl-PL"/>
        </w:rPr>
        <w:t>d: Oxford University Press</w:t>
      </w:r>
      <w:r w:rsidRPr="00D64250">
        <w:rPr>
          <w:rFonts w:cstheme="minorHAnsi"/>
          <w:lang w:val="pl-PL"/>
        </w:rPr>
        <w:t>.</w:t>
      </w:r>
    </w:p>
    <w:p w14:paraId="4EB2E2AD" w14:textId="77777777" w:rsidR="00591418" w:rsidRDefault="00591418" w:rsidP="00D64250">
      <w:pPr>
        <w:spacing w:line="240" w:lineRule="auto"/>
        <w:ind w:left="360"/>
        <w:jc w:val="both"/>
        <w:rPr>
          <w:rFonts w:cstheme="minorHAnsi"/>
          <w:lang w:val="pl-PL"/>
        </w:rPr>
      </w:pPr>
      <w:r w:rsidRPr="00D64250">
        <w:rPr>
          <w:rStyle w:val="research-output-journal-article-date"/>
          <w:rFonts w:cstheme="minorHAnsi"/>
        </w:rPr>
        <w:t xml:space="preserve">Deschouwer, K., S. Depauw and A. André (2014), ‘Representing the People in Parliaments’ in </w:t>
      </w:r>
      <w:r w:rsidRPr="00D64250">
        <w:rPr>
          <w:rFonts w:cstheme="minorHAnsi"/>
          <w:lang w:val="pl-PL"/>
        </w:rPr>
        <w:t xml:space="preserve">K. Deschouwer and M. Depauw (eds.), </w:t>
      </w:r>
      <w:r w:rsidRPr="00D64250">
        <w:rPr>
          <w:rFonts w:cstheme="minorHAnsi"/>
          <w:i/>
          <w:lang w:val="pl-PL"/>
        </w:rPr>
        <w:t xml:space="preserve">Representing the People: </w:t>
      </w:r>
      <w:proofErr w:type="gramStart"/>
      <w:r w:rsidRPr="00D64250">
        <w:rPr>
          <w:rFonts w:cstheme="minorHAnsi"/>
          <w:i/>
          <w:lang w:val="pl-PL"/>
        </w:rPr>
        <w:t>a</w:t>
      </w:r>
      <w:proofErr w:type="gramEnd"/>
      <w:r w:rsidRPr="00D64250">
        <w:rPr>
          <w:rFonts w:cstheme="minorHAnsi"/>
          <w:i/>
          <w:lang w:val="pl-PL"/>
        </w:rPr>
        <w:t xml:space="preserve"> Survey among Members of Statewide and Sub-state Parliaments</w:t>
      </w:r>
      <w:r w:rsidRPr="00D64250">
        <w:rPr>
          <w:rFonts w:cstheme="minorHAnsi"/>
          <w:lang w:val="pl-PL"/>
        </w:rPr>
        <w:t>. Oxford: Oxford University Press, 1-18.</w:t>
      </w:r>
    </w:p>
    <w:p w14:paraId="4A21DABE" w14:textId="77777777" w:rsidR="00D64250" w:rsidRDefault="00D64250" w:rsidP="00D64250">
      <w:pPr>
        <w:autoSpaceDE w:val="0"/>
        <w:autoSpaceDN w:val="0"/>
        <w:adjustRightInd w:val="0"/>
        <w:spacing w:after="0" w:line="240" w:lineRule="auto"/>
        <w:ind w:left="360"/>
        <w:rPr>
          <w:rFonts w:cstheme="minorHAnsi"/>
        </w:rPr>
      </w:pPr>
      <w:r w:rsidRPr="00D64250">
        <w:rPr>
          <w:rFonts w:cstheme="minorHAnsi"/>
        </w:rPr>
        <w:t xml:space="preserve">Downing, J. (2014), ‘Fianna Fail candidates in “battle of the posters”’, </w:t>
      </w:r>
      <w:r w:rsidRPr="00D64250">
        <w:rPr>
          <w:rFonts w:cstheme="minorHAnsi"/>
          <w:i/>
        </w:rPr>
        <w:t>Irish Independent</w:t>
      </w:r>
      <w:r w:rsidRPr="00D64250">
        <w:rPr>
          <w:rFonts w:cstheme="minorHAnsi"/>
        </w:rPr>
        <w:t xml:space="preserve">, retrieved from </w:t>
      </w:r>
      <w:hyperlink r:id="rId10" w:history="1">
        <w:r w:rsidRPr="00D64250">
          <w:rPr>
            <w:rStyle w:val="Hyperlink"/>
            <w:rFonts w:cstheme="minorHAnsi"/>
            <w:color w:val="0070C0"/>
          </w:rPr>
          <w:t>http://www.independent.ie/irish-news/elections/latest-news/fianna-fail-candidates-in-battle-of-the-posters-30229997.html</w:t>
        </w:r>
      </w:hyperlink>
      <w:r w:rsidRPr="00D64250">
        <w:rPr>
          <w:rFonts w:cstheme="minorHAnsi"/>
          <w:i/>
        </w:rPr>
        <w:t xml:space="preserve"> </w:t>
      </w:r>
      <w:r w:rsidRPr="00D64250">
        <w:rPr>
          <w:rFonts w:cstheme="minorHAnsi"/>
        </w:rPr>
        <w:t>(accessed December 20, 2015)</w:t>
      </w:r>
    </w:p>
    <w:p w14:paraId="6745EED0" w14:textId="0FD1919B" w:rsidR="00D64250" w:rsidRPr="00D64250" w:rsidRDefault="00D64250" w:rsidP="00D64250">
      <w:pPr>
        <w:autoSpaceDE w:val="0"/>
        <w:autoSpaceDN w:val="0"/>
        <w:adjustRightInd w:val="0"/>
        <w:spacing w:after="0" w:line="240" w:lineRule="auto"/>
        <w:ind w:left="360"/>
        <w:rPr>
          <w:rFonts w:cstheme="minorHAnsi"/>
        </w:rPr>
      </w:pPr>
      <w:r w:rsidRPr="00D64250">
        <w:rPr>
          <w:rFonts w:cstheme="minorHAnsi"/>
        </w:rPr>
        <w:t xml:space="preserve"> </w:t>
      </w:r>
    </w:p>
    <w:p w14:paraId="00E7836C" w14:textId="77777777" w:rsidR="00D64250" w:rsidRDefault="00D64250" w:rsidP="00D64250">
      <w:pPr>
        <w:pStyle w:val="EndnoteText"/>
        <w:ind w:left="363"/>
        <w:jc w:val="both"/>
        <w:rPr>
          <w:sz w:val="22"/>
          <w:szCs w:val="22"/>
        </w:rPr>
      </w:pPr>
      <w:r w:rsidRPr="00D64250">
        <w:rPr>
          <w:i/>
          <w:sz w:val="22"/>
          <w:szCs w:val="22"/>
        </w:rPr>
        <w:t>Engagement Strategy for the Northern Ireland Assembly</w:t>
      </w:r>
      <w:r w:rsidRPr="00D64250">
        <w:rPr>
          <w:sz w:val="22"/>
          <w:szCs w:val="22"/>
        </w:rPr>
        <w:t xml:space="preserve"> (2010), available at </w:t>
      </w:r>
      <w:hyperlink r:id="rId11" w:history="1">
        <w:r w:rsidRPr="00D64250">
          <w:rPr>
            <w:rStyle w:val="Hyperlink"/>
            <w:sz w:val="22"/>
            <w:szCs w:val="22"/>
          </w:rPr>
          <w:t>archive.niassembly.gov.uk/corporate/EngagementStrategy.pdf</w:t>
        </w:r>
      </w:hyperlink>
      <w:r w:rsidRPr="00D64250">
        <w:rPr>
          <w:sz w:val="22"/>
          <w:szCs w:val="22"/>
        </w:rPr>
        <w:t xml:space="preserve"> (accessed January 28, 2016) </w:t>
      </w:r>
    </w:p>
    <w:p w14:paraId="75CB8DF8" w14:textId="77777777" w:rsidR="00D64250" w:rsidRPr="00D64250" w:rsidRDefault="00D64250" w:rsidP="00D64250">
      <w:pPr>
        <w:pStyle w:val="EndnoteText"/>
        <w:ind w:left="363"/>
        <w:jc w:val="both"/>
        <w:rPr>
          <w:sz w:val="22"/>
          <w:szCs w:val="22"/>
        </w:rPr>
      </w:pPr>
    </w:p>
    <w:p w14:paraId="4CA98240" w14:textId="63E5BE76"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Fenno, R. (1978), </w:t>
      </w:r>
      <w:r w:rsidRPr="00D64250">
        <w:rPr>
          <w:rFonts w:cstheme="minorHAnsi"/>
          <w:i/>
        </w:rPr>
        <w:t>Home Style: House Members in Their Districts</w:t>
      </w:r>
      <w:r w:rsidRPr="00D64250">
        <w:rPr>
          <w:rFonts w:cstheme="minorHAnsi"/>
        </w:rPr>
        <w:t>. Boston: Little, Brown and Company</w:t>
      </w:r>
      <w:r>
        <w:rPr>
          <w:rFonts w:cstheme="minorHAnsi"/>
        </w:rPr>
        <w:t>.</w:t>
      </w:r>
    </w:p>
    <w:p w14:paraId="1D1258CF" w14:textId="77777777" w:rsidR="00D64250" w:rsidRPr="00D64250" w:rsidRDefault="00D64250" w:rsidP="00D64250">
      <w:pPr>
        <w:autoSpaceDE w:val="0"/>
        <w:autoSpaceDN w:val="0"/>
        <w:adjustRightInd w:val="0"/>
        <w:spacing w:after="0" w:line="240" w:lineRule="auto"/>
        <w:ind w:left="360"/>
        <w:jc w:val="both"/>
        <w:rPr>
          <w:rFonts w:cstheme="minorHAnsi"/>
        </w:rPr>
      </w:pPr>
    </w:p>
    <w:p w14:paraId="1DF6BE0D" w14:textId="77777777" w:rsidR="00D64250" w:rsidRDefault="00D64250" w:rsidP="00D64250">
      <w:pPr>
        <w:autoSpaceDE w:val="0"/>
        <w:autoSpaceDN w:val="0"/>
        <w:adjustRightInd w:val="0"/>
        <w:spacing w:after="0" w:line="240" w:lineRule="auto"/>
        <w:ind w:left="360"/>
        <w:jc w:val="both"/>
        <w:rPr>
          <w:rStyle w:val="Emphasis"/>
          <w:rFonts w:cstheme="minorHAnsi"/>
          <w:b w:val="0"/>
        </w:rPr>
      </w:pPr>
      <w:r w:rsidRPr="00D64250">
        <w:rPr>
          <w:rFonts w:cstheme="minorHAnsi"/>
        </w:rPr>
        <w:t xml:space="preserve">Frampton, M. (2009), </w:t>
      </w:r>
      <w:r w:rsidRPr="00D64250">
        <w:rPr>
          <w:rFonts w:cstheme="minorHAnsi"/>
          <w:i/>
        </w:rPr>
        <w:t xml:space="preserve">The Long March: The Political Strategy of Sinn </w:t>
      </w:r>
      <w:r w:rsidRPr="00D64250">
        <w:rPr>
          <w:rStyle w:val="Emphasis"/>
          <w:rFonts w:cstheme="minorHAnsi"/>
          <w:b w:val="0"/>
          <w:i/>
        </w:rPr>
        <w:t>Féin, 1981-2007</w:t>
      </w:r>
      <w:r w:rsidRPr="00D64250">
        <w:rPr>
          <w:rStyle w:val="Emphasis"/>
          <w:rFonts w:cstheme="minorHAnsi"/>
          <w:b w:val="0"/>
        </w:rPr>
        <w:t xml:space="preserve">. Palgrave Macmillan UK. </w:t>
      </w:r>
    </w:p>
    <w:p w14:paraId="7FC896B8" w14:textId="77777777" w:rsidR="00D64250" w:rsidRPr="00D64250" w:rsidRDefault="00D64250" w:rsidP="00D64250">
      <w:pPr>
        <w:autoSpaceDE w:val="0"/>
        <w:autoSpaceDN w:val="0"/>
        <w:adjustRightInd w:val="0"/>
        <w:spacing w:after="0" w:line="240" w:lineRule="auto"/>
        <w:ind w:left="360"/>
        <w:jc w:val="both"/>
        <w:rPr>
          <w:rFonts w:cstheme="minorHAnsi"/>
        </w:rPr>
      </w:pPr>
    </w:p>
    <w:p w14:paraId="1DE5ADC6" w14:textId="59937A3A" w:rsidR="00D64250" w:rsidRPr="00D64250" w:rsidRDefault="00D64250" w:rsidP="00D64250">
      <w:pPr>
        <w:spacing w:line="240" w:lineRule="auto"/>
        <w:ind w:left="360"/>
        <w:jc w:val="both"/>
        <w:rPr>
          <w:rFonts w:cstheme="minorHAnsi"/>
        </w:rPr>
      </w:pPr>
      <w:r w:rsidRPr="00D64250">
        <w:rPr>
          <w:rFonts w:cstheme="minorHAnsi"/>
        </w:rPr>
        <w:t xml:space="preserve">Gallagher, M. and L. Komito (2010), ‘The constituency role of Dáil deputies’, in J. Coakley and M. Gallagher (eds.), </w:t>
      </w:r>
      <w:r w:rsidRPr="00D64250">
        <w:rPr>
          <w:rFonts w:cstheme="minorHAnsi"/>
          <w:i/>
        </w:rPr>
        <w:t>Politics in the Republic of Ireland</w:t>
      </w:r>
      <w:r w:rsidRPr="00D64250">
        <w:rPr>
          <w:rFonts w:cstheme="minorHAnsi"/>
        </w:rPr>
        <w:t>. Fif</w:t>
      </w:r>
      <w:r>
        <w:rPr>
          <w:rFonts w:cstheme="minorHAnsi"/>
        </w:rPr>
        <w:t>th edition, New York: Routledge, 230-262.</w:t>
      </w:r>
    </w:p>
    <w:p w14:paraId="0F484F7D" w14:textId="77777777" w:rsidR="00D64250" w:rsidRDefault="00D64250" w:rsidP="00D64250">
      <w:pPr>
        <w:autoSpaceDE w:val="0"/>
        <w:autoSpaceDN w:val="0"/>
        <w:adjustRightInd w:val="0"/>
        <w:spacing w:after="0" w:line="240" w:lineRule="auto"/>
        <w:ind w:left="360"/>
        <w:jc w:val="both"/>
        <w:rPr>
          <w:rFonts w:cstheme="minorHAnsi"/>
          <w:bCs/>
          <w:kern w:val="36"/>
          <w:lang w:val="en"/>
        </w:rPr>
      </w:pPr>
      <w:r w:rsidRPr="00D64250">
        <w:rPr>
          <w:rFonts w:cstheme="minorHAnsi"/>
        </w:rPr>
        <w:t>Garry, J., N. Matthews and J. Wheatley (2016), ‘</w:t>
      </w:r>
      <w:r w:rsidRPr="00D64250">
        <w:rPr>
          <w:rFonts w:cstheme="minorHAnsi"/>
          <w:bCs/>
          <w:kern w:val="36"/>
          <w:lang w:val="en"/>
        </w:rPr>
        <w:t xml:space="preserve">Dimensionality of Policy Space in Consociational Northern Ireland’, </w:t>
      </w:r>
      <w:r w:rsidRPr="00D64250">
        <w:rPr>
          <w:rFonts w:cstheme="minorHAnsi"/>
          <w:bCs/>
          <w:i/>
          <w:kern w:val="36"/>
          <w:lang w:val="en"/>
        </w:rPr>
        <w:t>Political Studies</w:t>
      </w:r>
      <w:r w:rsidRPr="00D64250">
        <w:rPr>
          <w:rFonts w:cstheme="minorHAnsi"/>
          <w:bCs/>
          <w:kern w:val="36"/>
          <w:lang w:val="en"/>
        </w:rPr>
        <w:t>, available online 12</w:t>
      </w:r>
      <w:r w:rsidRPr="00D64250">
        <w:rPr>
          <w:rFonts w:cstheme="minorHAnsi"/>
          <w:bCs/>
          <w:kern w:val="36"/>
          <w:vertAlign w:val="superscript"/>
          <w:lang w:val="en"/>
        </w:rPr>
        <w:t>th</w:t>
      </w:r>
      <w:r w:rsidRPr="00D64250">
        <w:rPr>
          <w:rFonts w:cstheme="minorHAnsi"/>
          <w:bCs/>
          <w:kern w:val="36"/>
          <w:lang w:val="en"/>
        </w:rPr>
        <w:t xml:space="preserve"> October 2016. </w:t>
      </w:r>
    </w:p>
    <w:p w14:paraId="4D4B1996" w14:textId="77777777" w:rsidR="00D64250" w:rsidRPr="00D64250" w:rsidRDefault="00D64250" w:rsidP="00D64250">
      <w:pPr>
        <w:autoSpaceDE w:val="0"/>
        <w:autoSpaceDN w:val="0"/>
        <w:adjustRightInd w:val="0"/>
        <w:spacing w:after="0" w:line="240" w:lineRule="auto"/>
        <w:ind w:left="360"/>
        <w:jc w:val="both"/>
        <w:rPr>
          <w:rFonts w:cstheme="minorHAnsi"/>
        </w:rPr>
      </w:pPr>
    </w:p>
    <w:p w14:paraId="641E179E"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Heitshusen, V., G. Young and D. M. Wood (2005), ‘Electoral Context and MP Constituency Focus in Australia, Canada, Ireland, New Zealand, and the United Kingdom’, </w:t>
      </w:r>
      <w:r w:rsidRPr="00D64250">
        <w:rPr>
          <w:rFonts w:cstheme="minorHAnsi"/>
          <w:i/>
        </w:rPr>
        <w:t>American Journal of Political Science</w:t>
      </w:r>
      <w:r w:rsidRPr="00D64250">
        <w:rPr>
          <w:rFonts w:cstheme="minorHAnsi"/>
        </w:rPr>
        <w:t>, 49 (1): 32-45.</w:t>
      </w:r>
    </w:p>
    <w:p w14:paraId="55217C5D" w14:textId="77777777" w:rsidR="00D64250" w:rsidRPr="00D64250" w:rsidRDefault="00D64250" w:rsidP="00D64250">
      <w:pPr>
        <w:autoSpaceDE w:val="0"/>
        <w:autoSpaceDN w:val="0"/>
        <w:adjustRightInd w:val="0"/>
        <w:spacing w:after="0" w:line="240" w:lineRule="auto"/>
        <w:ind w:left="360"/>
        <w:jc w:val="both"/>
        <w:rPr>
          <w:rFonts w:cstheme="minorHAnsi"/>
        </w:rPr>
      </w:pPr>
    </w:p>
    <w:p w14:paraId="717D04DA"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Jeffrey, C. (2006), ‘Devolution and Local Government’, </w:t>
      </w:r>
      <w:r w:rsidRPr="00D64250">
        <w:rPr>
          <w:rFonts w:cstheme="minorHAnsi"/>
          <w:i/>
        </w:rPr>
        <w:t>Journal of Federalism</w:t>
      </w:r>
      <w:r w:rsidRPr="00D64250">
        <w:rPr>
          <w:rFonts w:cstheme="minorHAnsi"/>
        </w:rPr>
        <w:t>, 36 (1): 57-73.</w:t>
      </w:r>
    </w:p>
    <w:p w14:paraId="00ACD2B5" w14:textId="77777777" w:rsidR="00D64250" w:rsidRPr="00D64250" w:rsidRDefault="00D64250" w:rsidP="00D64250">
      <w:pPr>
        <w:autoSpaceDE w:val="0"/>
        <w:autoSpaceDN w:val="0"/>
        <w:adjustRightInd w:val="0"/>
        <w:spacing w:after="0" w:line="240" w:lineRule="auto"/>
        <w:ind w:left="360"/>
        <w:jc w:val="both"/>
        <w:rPr>
          <w:rFonts w:cstheme="minorHAnsi"/>
        </w:rPr>
      </w:pPr>
    </w:p>
    <w:p w14:paraId="64301415" w14:textId="77777777" w:rsidR="00D64250" w:rsidRPr="00D64250" w:rsidRDefault="00D64250" w:rsidP="00D64250">
      <w:pPr>
        <w:spacing w:line="240" w:lineRule="auto"/>
        <w:ind w:left="360"/>
        <w:jc w:val="both"/>
        <w:rPr>
          <w:rFonts w:cstheme="minorHAnsi"/>
        </w:rPr>
      </w:pPr>
      <w:r w:rsidRPr="00D64250">
        <w:rPr>
          <w:rFonts w:cstheme="minorHAnsi"/>
        </w:rPr>
        <w:t xml:space="preserve">Jewell, M. E. (1970), ‘Attitudinal Determinants of Legislative Behavior: The Utility of Role Analysis’, in A. Kornberg and L. Musolf (eds.), </w:t>
      </w:r>
      <w:r w:rsidRPr="00D64250">
        <w:rPr>
          <w:rStyle w:val="Emphasis"/>
          <w:rFonts w:cstheme="minorHAnsi"/>
          <w:b w:val="0"/>
          <w:i/>
        </w:rPr>
        <w:t>Legislatures in Developmental Perspective</w:t>
      </w:r>
      <w:r w:rsidRPr="00D64250">
        <w:rPr>
          <w:rFonts w:cstheme="minorHAnsi"/>
        </w:rPr>
        <w:t>. Durham, NC: Duke University Press.</w:t>
      </w:r>
    </w:p>
    <w:p w14:paraId="237F5142" w14:textId="77777777" w:rsidR="00D64250" w:rsidRPr="00D64250" w:rsidRDefault="00D64250" w:rsidP="00D64250">
      <w:pPr>
        <w:spacing w:line="240" w:lineRule="auto"/>
        <w:ind w:left="360"/>
        <w:jc w:val="both"/>
        <w:rPr>
          <w:rFonts w:cstheme="minorHAnsi"/>
        </w:rPr>
      </w:pPr>
      <w:r w:rsidRPr="00D64250">
        <w:rPr>
          <w:rFonts w:cstheme="minorHAnsi"/>
        </w:rPr>
        <w:lastRenderedPageBreak/>
        <w:t xml:space="preserve">Johannes, J. R. (1980), ‘The distribution of casework in the U.S. Congress: An uneven burden’, </w:t>
      </w:r>
      <w:r w:rsidRPr="00D64250">
        <w:rPr>
          <w:rFonts w:cstheme="minorHAnsi"/>
          <w:i/>
          <w:iCs/>
        </w:rPr>
        <w:t xml:space="preserve">Legislative Studies Quarterly, </w:t>
      </w:r>
      <w:r w:rsidRPr="00D64250">
        <w:rPr>
          <w:rFonts w:cstheme="minorHAnsi"/>
        </w:rPr>
        <w:t>4: 517-544.</w:t>
      </w:r>
    </w:p>
    <w:p w14:paraId="665D0C78" w14:textId="77777777" w:rsidR="00D64250" w:rsidRPr="00D64250" w:rsidRDefault="00D64250" w:rsidP="00D64250">
      <w:pPr>
        <w:spacing w:line="240" w:lineRule="auto"/>
        <w:ind w:left="360"/>
        <w:jc w:val="both"/>
        <w:rPr>
          <w:rFonts w:cstheme="minorHAnsi"/>
        </w:rPr>
      </w:pPr>
      <w:r w:rsidRPr="00D64250">
        <w:rPr>
          <w:rFonts w:cstheme="minorHAnsi"/>
        </w:rPr>
        <w:t xml:space="preserve">Katz, R. (1986), ‘Intraparty preference voting’, in B. Grofman and A Lijphart (eds.), </w:t>
      </w:r>
      <w:r w:rsidRPr="00D64250">
        <w:rPr>
          <w:rFonts w:cstheme="minorHAnsi"/>
          <w:i/>
        </w:rPr>
        <w:t>Electoral laws and their political consequences</w:t>
      </w:r>
      <w:r w:rsidRPr="00D64250">
        <w:rPr>
          <w:rFonts w:cstheme="minorHAnsi"/>
        </w:rPr>
        <w:t>. New York: Agathon Press, 85-103.</w:t>
      </w:r>
    </w:p>
    <w:p w14:paraId="1AB439FA" w14:textId="77777777" w:rsidR="00D64250" w:rsidRPr="00D64250" w:rsidRDefault="00D64250" w:rsidP="00D64250">
      <w:pPr>
        <w:spacing w:line="240" w:lineRule="auto"/>
        <w:ind w:left="360"/>
        <w:jc w:val="both"/>
        <w:rPr>
          <w:rFonts w:cstheme="minorHAnsi"/>
          <w:shd w:val="clear" w:color="auto" w:fill="FFFFFF"/>
        </w:rPr>
      </w:pPr>
      <w:r w:rsidRPr="00D64250">
        <w:rPr>
          <w:rFonts w:cstheme="minorHAnsi"/>
          <w:shd w:val="clear" w:color="auto" w:fill="FFFFFF"/>
        </w:rPr>
        <w:t>Knox, C. (2010), </w:t>
      </w:r>
      <w:hyperlink r:id="rId12" w:tgtFrame="_blank" w:history="1">
        <w:r w:rsidRPr="00D64250">
          <w:rPr>
            <w:rFonts w:cstheme="minorHAnsi"/>
            <w:i/>
            <w:iCs/>
            <w:bdr w:val="none" w:sz="0" w:space="0" w:color="auto" w:frame="1"/>
            <w:shd w:val="clear" w:color="auto" w:fill="FFFFFF"/>
          </w:rPr>
          <w:t>Devolution and the Governance of Northern Ireland</w:t>
        </w:r>
      </w:hyperlink>
      <w:r w:rsidRPr="00D64250">
        <w:rPr>
          <w:rFonts w:cstheme="minorHAnsi"/>
          <w:shd w:val="clear" w:color="auto" w:fill="FFFFFF"/>
        </w:rPr>
        <w:t>. Manchester University Press. </w:t>
      </w:r>
    </w:p>
    <w:p w14:paraId="0F20F242" w14:textId="77777777" w:rsidR="00D64250" w:rsidRPr="00D64250" w:rsidRDefault="00D64250" w:rsidP="00D64250">
      <w:pPr>
        <w:spacing w:line="240" w:lineRule="auto"/>
        <w:ind w:left="360"/>
        <w:jc w:val="both"/>
      </w:pPr>
      <w:r w:rsidRPr="00D64250">
        <w:t xml:space="preserve">Komito, L. (1984), ‘Irish Clientelism: A Reappraisal’, </w:t>
      </w:r>
      <w:r w:rsidRPr="00D64250">
        <w:rPr>
          <w:i/>
        </w:rPr>
        <w:t>The Economic and Social Review</w:t>
      </w:r>
      <w:r w:rsidRPr="00D64250">
        <w:t>, 15 (3): 173-194.</w:t>
      </w:r>
    </w:p>
    <w:p w14:paraId="7DFA778F" w14:textId="51310ECF" w:rsidR="00D64250" w:rsidRPr="00D64250" w:rsidRDefault="00D64250" w:rsidP="00D64250">
      <w:pPr>
        <w:spacing w:line="240" w:lineRule="auto"/>
        <w:ind w:left="360"/>
        <w:jc w:val="both"/>
        <w:rPr>
          <w:rFonts w:cstheme="minorHAnsi"/>
        </w:rPr>
      </w:pPr>
      <w:r w:rsidRPr="00D64250">
        <w:t xml:space="preserve">Kusche, I. (2017), ‘Constituency orientation in Irish politics: video statements of the candidates in the Irish general election 2016’, </w:t>
      </w:r>
      <w:r w:rsidRPr="00D64250">
        <w:rPr>
          <w:i/>
        </w:rPr>
        <w:t>Irish Political Studies</w:t>
      </w:r>
      <w:r w:rsidRPr="00D64250">
        <w:t xml:space="preserve">, </w:t>
      </w:r>
      <w:r>
        <w:t>available online 19</w:t>
      </w:r>
      <w:r w:rsidRPr="00D64250">
        <w:rPr>
          <w:vertAlign w:val="superscript"/>
        </w:rPr>
        <w:t>th</w:t>
      </w:r>
      <w:r>
        <w:t xml:space="preserve"> June 2017</w:t>
      </w:r>
      <w:r w:rsidRPr="00D64250">
        <w:t xml:space="preserve">. </w:t>
      </w:r>
    </w:p>
    <w:p w14:paraId="0CC9A1E3" w14:textId="77777777" w:rsidR="00D64250" w:rsidRPr="00D64250" w:rsidRDefault="00D64250" w:rsidP="00D64250">
      <w:pPr>
        <w:spacing w:line="240" w:lineRule="auto"/>
        <w:ind w:left="360"/>
        <w:jc w:val="both"/>
        <w:rPr>
          <w:rFonts w:cstheme="minorHAnsi"/>
          <w:lang w:val="en-IE"/>
        </w:rPr>
      </w:pPr>
      <w:r w:rsidRPr="00D64250">
        <w:rPr>
          <w:rFonts w:cstheme="minorHAnsi"/>
          <w:lang w:val="en-IE"/>
        </w:rPr>
        <w:t xml:space="preserve">Martin, S. (2010), ‘Electoral Rewards for Personal Vote Cultivation under PR-STV’, </w:t>
      </w:r>
      <w:r w:rsidRPr="00D64250">
        <w:rPr>
          <w:rFonts w:cstheme="minorHAnsi"/>
          <w:i/>
          <w:iCs/>
          <w:lang w:val="en-IE"/>
        </w:rPr>
        <w:t>West European Politics</w:t>
      </w:r>
      <w:r w:rsidRPr="00D64250">
        <w:rPr>
          <w:rFonts w:cstheme="minorHAnsi"/>
          <w:lang w:val="en-IE"/>
        </w:rPr>
        <w:t>, 33 (2): 369-380.</w:t>
      </w:r>
    </w:p>
    <w:p w14:paraId="2E543B89" w14:textId="77777777" w:rsidR="00D64250" w:rsidRPr="00D64250" w:rsidRDefault="00D64250" w:rsidP="00D64250">
      <w:pPr>
        <w:spacing w:line="240" w:lineRule="auto"/>
        <w:ind w:left="360"/>
        <w:jc w:val="both"/>
        <w:rPr>
          <w:rFonts w:cstheme="minorHAnsi"/>
          <w:iCs/>
        </w:rPr>
      </w:pPr>
      <w:r w:rsidRPr="00D64250">
        <w:rPr>
          <w:rFonts w:cstheme="minorHAnsi"/>
          <w:iCs/>
        </w:rPr>
        <w:t xml:space="preserve">Mayhew, D. (1974), </w:t>
      </w:r>
      <w:r w:rsidRPr="00D64250">
        <w:rPr>
          <w:rFonts w:cstheme="minorHAnsi"/>
          <w:i/>
          <w:iCs/>
        </w:rPr>
        <w:t>Congress: The Electoral Connection</w:t>
      </w:r>
      <w:r w:rsidRPr="00D64250">
        <w:rPr>
          <w:rFonts w:cstheme="minorHAnsi"/>
          <w:iCs/>
        </w:rPr>
        <w:t>. New Haven, CT:  Yale University Press.</w:t>
      </w:r>
    </w:p>
    <w:p w14:paraId="707CC7D7" w14:textId="77777777" w:rsidR="00D64250" w:rsidRPr="00D64250" w:rsidRDefault="00D64250" w:rsidP="00D64250">
      <w:pPr>
        <w:spacing w:line="240" w:lineRule="auto"/>
        <w:ind w:left="360"/>
        <w:rPr>
          <w:rFonts w:cstheme="minorHAnsi"/>
          <w:iCs/>
        </w:rPr>
      </w:pPr>
      <w:r w:rsidRPr="00D64250">
        <w:t xml:space="preserve">McManus, C. (2015), ‘“Bound in darkness and idolatry”? Protestant working class underachievement and Unionist hegemony’, </w:t>
      </w:r>
      <w:r w:rsidRPr="00D64250">
        <w:rPr>
          <w:i/>
        </w:rPr>
        <w:t>Irish Studies Review</w:t>
      </w:r>
      <w:r w:rsidRPr="00D64250">
        <w:t>, 23 (1): 48-67.</w:t>
      </w:r>
    </w:p>
    <w:p w14:paraId="7E0B7179" w14:textId="77777777" w:rsidR="00D64250" w:rsidRDefault="00D64250" w:rsidP="00D64250">
      <w:pPr>
        <w:autoSpaceDE w:val="0"/>
        <w:autoSpaceDN w:val="0"/>
        <w:adjustRightInd w:val="0"/>
        <w:spacing w:after="0" w:line="240" w:lineRule="auto"/>
        <w:ind w:left="360"/>
        <w:jc w:val="both"/>
        <w:rPr>
          <w:rFonts w:cstheme="minorHAnsi"/>
          <w:lang w:val="pl-PL"/>
        </w:rPr>
      </w:pPr>
      <w:r w:rsidRPr="00D64250">
        <w:rPr>
          <w:rFonts w:cstheme="minorHAnsi"/>
          <w:lang w:val="pl-PL"/>
        </w:rPr>
        <w:t xml:space="preserve">Mezey, M. L. (2008), </w:t>
      </w:r>
      <w:r w:rsidRPr="00D64250">
        <w:rPr>
          <w:rFonts w:cstheme="minorHAnsi"/>
          <w:i/>
          <w:lang w:val="pl-PL"/>
        </w:rPr>
        <w:t>Representative Democracy: Legislators and Their Constituents</w:t>
      </w:r>
      <w:r w:rsidRPr="00D64250">
        <w:rPr>
          <w:rFonts w:cstheme="minorHAnsi"/>
          <w:lang w:val="pl-PL"/>
        </w:rPr>
        <w:t>. Lanham, MD: Rowman &amp; Littlefield.</w:t>
      </w:r>
    </w:p>
    <w:p w14:paraId="62120958" w14:textId="77777777" w:rsidR="00D64250" w:rsidRPr="00D64250" w:rsidRDefault="00D64250" w:rsidP="00D64250">
      <w:pPr>
        <w:autoSpaceDE w:val="0"/>
        <w:autoSpaceDN w:val="0"/>
        <w:adjustRightInd w:val="0"/>
        <w:spacing w:after="0" w:line="240" w:lineRule="auto"/>
        <w:ind w:left="360"/>
        <w:jc w:val="both"/>
        <w:rPr>
          <w:rFonts w:cstheme="minorHAnsi"/>
          <w:lang w:val="pl-PL"/>
        </w:rPr>
      </w:pPr>
    </w:p>
    <w:p w14:paraId="180D1E3A" w14:textId="77777777" w:rsidR="00D64250" w:rsidRPr="00D64250" w:rsidRDefault="00D64250" w:rsidP="00D64250">
      <w:pPr>
        <w:spacing w:line="240" w:lineRule="auto"/>
        <w:ind w:left="360"/>
        <w:jc w:val="both"/>
        <w:rPr>
          <w:rFonts w:cstheme="minorHAnsi"/>
        </w:rPr>
      </w:pPr>
      <w:r w:rsidRPr="00D64250">
        <w:rPr>
          <w:rFonts w:cstheme="minorHAnsi"/>
        </w:rPr>
        <w:t xml:space="preserve">Norris, P. (2011), </w:t>
      </w:r>
      <w:r w:rsidRPr="00D64250">
        <w:rPr>
          <w:rFonts w:cstheme="minorHAnsi"/>
          <w:i/>
        </w:rPr>
        <w:t>Democratic Deﬁcit: Critical Citizens Revisited</w:t>
      </w:r>
      <w:r w:rsidRPr="00D64250">
        <w:rPr>
          <w:rFonts w:cstheme="minorHAnsi"/>
        </w:rPr>
        <w:t>. Cambridge: Cambridge University Press.</w:t>
      </w:r>
    </w:p>
    <w:p w14:paraId="4A4D66DE" w14:textId="77777777" w:rsidR="00D64250" w:rsidRPr="00D64250" w:rsidRDefault="00D64250" w:rsidP="00D64250">
      <w:pPr>
        <w:spacing w:line="240" w:lineRule="auto"/>
        <w:ind w:left="360"/>
        <w:jc w:val="both"/>
        <w:rPr>
          <w:rFonts w:cstheme="minorHAnsi"/>
          <w:lang w:val="en"/>
        </w:rPr>
      </w:pPr>
      <w:r w:rsidRPr="00D64250">
        <w:rPr>
          <w:rFonts w:cstheme="minorHAnsi"/>
          <w:lang w:val="en"/>
        </w:rPr>
        <w:t xml:space="preserve">Norton, P. (1994), ‘The Growth of the Constituency Role of the MP’, </w:t>
      </w:r>
      <w:r w:rsidRPr="00D64250">
        <w:rPr>
          <w:rFonts w:cstheme="minorHAnsi"/>
          <w:i/>
          <w:lang w:val="en"/>
        </w:rPr>
        <w:t>Parliamentary Affairs</w:t>
      </w:r>
      <w:r w:rsidRPr="00D64250">
        <w:rPr>
          <w:rFonts w:cstheme="minorHAnsi"/>
          <w:lang w:val="en"/>
        </w:rPr>
        <w:t>, 47: 705-720.</w:t>
      </w:r>
    </w:p>
    <w:p w14:paraId="16703DA6" w14:textId="77777777" w:rsidR="00D64250" w:rsidRPr="00D64250" w:rsidRDefault="00D64250" w:rsidP="00D64250">
      <w:pPr>
        <w:spacing w:line="240" w:lineRule="auto"/>
        <w:ind w:left="360"/>
        <w:jc w:val="both"/>
        <w:rPr>
          <w:rFonts w:cstheme="minorHAnsi"/>
          <w:lang w:val="en"/>
        </w:rPr>
      </w:pPr>
      <w:r w:rsidRPr="00D64250">
        <w:rPr>
          <w:rFonts w:cstheme="minorHAnsi"/>
          <w:lang w:val="en"/>
        </w:rPr>
        <w:t xml:space="preserve">Norton, P. (ed.) (2002), </w:t>
      </w:r>
      <w:r w:rsidRPr="00D64250">
        <w:rPr>
          <w:rFonts w:cstheme="minorHAnsi"/>
          <w:i/>
          <w:lang w:val="en"/>
        </w:rPr>
        <w:t>Parliaments and Citizens in Western Europe</w:t>
      </w:r>
      <w:r w:rsidRPr="00D64250">
        <w:rPr>
          <w:rFonts w:cstheme="minorHAnsi"/>
          <w:lang w:val="en"/>
        </w:rPr>
        <w:t>. London: Frank Cass.</w:t>
      </w:r>
    </w:p>
    <w:p w14:paraId="6AF9CB77" w14:textId="77777777" w:rsidR="00D64250" w:rsidRPr="00D64250" w:rsidRDefault="00D64250" w:rsidP="00D64250">
      <w:pPr>
        <w:spacing w:line="240" w:lineRule="auto"/>
        <w:ind w:left="360"/>
        <w:jc w:val="both"/>
        <w:rPr>
          <w:rFonts w:cstheme="minorHAnsi"/>
        </w:rPr>
      </w:pPr>
      <w:r w:rsidRPr="00D64250">
        <w:rPr>
          <w:rFonts w:cstheme="minorHAnsi"/>
        </w:rPr>
        <w:t xml:space="preserve">Norton, P. and M. Wood (1993), </w:t>
      </w:r>
      <w:r w:rsidRPr="00D64250">
        <w:rPr>
          <w:rFonts w:cstheme="minorHAnsi"/>
          <w:i/>
        </w:rPr>
        <w:t xml:space="preserve">Back </w:t>
      </w:r>
      <w:proofErr w:type="gramStart"/>
      <w:r w:rsidRPr="00D64250">
        <w:rPr>
          <w:rFonts w:cstheme="minorHAnsi"/>
          <w:i/>
        </w:rPr>
        <w:t>From</w:t>
      </w:r>
      <w:proofErr w:type="gramEnd"/>
      <w:r w:rsidRPr="00D64250">
        <w:rPr>
          <w:rFonts w:cstheme="minorHAnsi"/>
          <w:i/>
        </w:rPr>
        <w:t xml:space="preserve"> Westminster: British Members of Parliament and Their Constituents</w:t>
      </w:r>
      <w:r w:rsidRPr="00D64250">
        <w:rPr>
          <w:rFonts w:cstheme="minorHAnsi"/>
        </w:rPr>
        <w:t xml:space="preserve">. Lexington, MA: University Press of Kentucky. </w:t>
      </w:r>
    </w:p>
    <w:p w14:paraId="0BFF7CFC" w14:textId="77777777" w:rsidR="00D64250" w:rsidRPr="00D64250" w:rsidRDefault="00D64250" w:rsidP="00D64250">
      <w:pPr>
        <w:spacing w:line="240" w:lineRule="auto"/>
        <w:ind w:left="360"/>
        <w:jc w:val="both"/>
        <w:rPr>
          <w:rFonts w:cstheme="minorHAnsi"/>
        </w:rPr>
      </w:pPr>
      <w:r w:rsidRPr="00D64250">
        <w:rPr>
          <w:rFonts w:cstheme="minorHAnsi"/>
        </w:rPr>
        <w:t xml:space="preserve">PartiRep MP Survey, </w:t>
      </w:r>
      <w:hyperlink r:id="rId13" w:history="1">
        <w:r w:rsidRPr="00D64250">
          <w:rPr>
            <w:rStyle w:val="Hyperlink"/>
            <w:rFonts w:cstheme="minorHAnsi"/>
          </w:rPr>
          <w:t>www.partirep.eu</w:t>
        </w:r>
      </w:hyperlink>
      <w:r w:rsidRPr="00D64250">
        <w:rPr>
          <w:rFonts w:cstheme="minorHAnsi"/>
        </w:rPr>
        <w:t xml:space="preserve"> (accessed January 2, 2016).</w:t>
      </w:r>
    </w:p>
    <w:p w14:paraId="636A80A0" w14:textId="77777777" w:rsidR="00D64250" w:rsidRPr="00D64250" w:rsidRDefault="00D64250" w:rsidP="00D64250">
      <w:pPr>
        <w:spacing w:line="240" w:lineRule="auto"/>
        <w:ind w:left="360"/>
        <w:jc w:val="both"/>
        <w:rPr>
          <w:rFonts w:cstheme="minorHAnsi"/>
        </w:rPr>
      </w:pPr>
      <w:r w:rsidRPr="00D64250">
        <w:rPr>
          <w:rFonts w:cstheme="minorHAnsi"/>
        </w:rPr>
        <w:t xml:space="preserve">Pitkin, H. (1967), </w:t>
      </w:r>
      <w:r w:rsidRPr="00D64250">
        <w:rPr>
          <w:rFonts w:cstheme="minorHAnsi"/>
          <w:i/>
        </w:rPr>
        <w:t>The Concept of Representation</w:t>
      </w:r>
      <w:r w:rsidRPr="00D64250">
        <w:rPr>
          <w:rFonts w:cstheme="minorHAnsi"/>
        </w:rPr>
        <w:t>. Berkeley: University of California Press.</w:t>
      </w:r>
    </w:p>
    <w:p w14:paraId="07D552FE" w14:textId="34FDBBBF" w:rsidR="00D64250" w:rsidRPr="00D64250" w:rsidRDefault="00D64250" w:rsidP="00D64250">
      <w:pPr>
        <w:spacing w:line="240" w:lineRule="auto"/>
        <w:ind w:left="360"/>
        <w:jc w:val="both"/>
        <w:rPr>
          <w:rFonts w:cstheme="minorHAnsi"/>
        </w:rPr>
      </w:pPr>
      <w:r w:rsidRPr="00D64250">
        <w:rPr>
          <w:rFonts w:cstheme="minorHAnsi"/>
        </w:rPr>
        <w:t xml:space="preserve">Raymond, C. and J. Holt (2017), ‘Constituency Pressures on Committee Selection: Evidence from the Northern Ireland Assembly and Dáil </w:t>
      </w:r>
      <w:r w:rsidRPr="00D64250">
        <w:rPr>
          <w:color w:val="2A2A2A"/>
        </w:rPr>
        <w:t xml:space="preserve">Éireann’, </w:t>
      </w:r>
      <w:r w:rsidRPr="00D64250">
        <w:rPr>
          <w:i/>
          <w:color w:val="2A2A2A"/>
        </w:rPr>
        <w:t>Parliamentary Affairs</w:t>
      </w:r>
      <w:r w:rsidRPr="00D64250">
        <w:rPr>
          <w:color w:val="2A2A2A"/>
        </w:rPr>
        <w:t xml:space="preserve">, </w:t>
      </w:r>
      <w:r>
        <w:rPr>
          <w:color w:val="2A2A2A"/>
        </w:rPr>
        <w:t>available online 19</w:t>
      </w:r>
      <w:r w:rsidRPr="00D64250">
        <w:rPr>
          <w:color w:val="2A2A2A"/>
          <w:vertAlign w:val="superscript"/>
        </w:rPr>
        <w:t>th</w:t>
      </w:r>
      <w:r>
        <w:rPr>
          <w:color w:val="2A2A2A"/>
        </w:rPr>
        <w:t xml:space="preserve"> June 2017</w:t>
      </w:r>
      <w:r w:rsidRPr="00D64250">
        <w:rPr>
          <w:color w:val="2A2A2A"/>
        </w:rPr>
        <w:t xml:space="preserve">. </w:t>
      </w:r>
    </w:p>
    <w:p w14:paraId="1DDD9E16"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Rose, R. (1976), </w:t>
      </w:r>
      <w:r w:rsidRPr="00D64250">
        <w:rPr>
          <w:rFonts w:cstheme="minorHAnsi"/>
          <w:i/>
        </w:rPr>
        <w:t>Northern Ireland: A Time of Choice</w:t>
      </w:r>
      <w:r w:rsidRPr="00D64250">
        <w:rPr>
          <w:rFonts w:cstheme="minorHAnsi"/>
        </w:rPr>
        <w:t xml:space="preserve">. London: Palgrave Macmillan. </w:t>
      </w:r>
    </w:p>
    <w:p w14:paraId="05185EDD" w14:textId="77777777" w:rsidR="00D64250" w:rsidRPr="00D64250" w:rsidRDefault="00D64250" w:rsidP="00D64250">
      <w:pPr>
        <w:autoSpaceDE w:val="0"/>
        <w:autoSpaceDN w:val="0"/>
        <w:adjustRightInd w:val="0"/>
        <w:spacing w:after="0" w:line="240" w:lineRule="auto"/>
        <w:ind w:left="360"/>
        <w:jc w:val="both"/>
        <w:rPr>
          <w:rFonts w:cstheme="minorHAnsi"/>
        </w:rPr>
      </w:pPr>
    </w:p>
    <w:p w14:paraId="5A06743A" w14:textId="77777777" w:rsidR="00D64250" w:rsidRDefault="00D64250" w:rsidP="00D64250">
      <w:pPr>
        <w:autoSpaceDE w:val="0"/>
        <w:autoSpaceDN w:val="0"/>
        <w:adjustRightInd w:val="0"/>
        <w:spacing w:after="0" w:line="240" w:lineRule="auto"/>
        <w:ind w:left="360"/>
        <w:jc w:val="both"/>
        <w:rPr>
          <w:rFonts w:cstheme="minorHAnsi"/>
        </w:rPr>
      </w:pPr>
      <w:r w:rsidRPr="00D64250">
        <w:rPr>
          <w:rFonts w:cstheme="minorHAnsi"/>
        </w:rPr>
        <w:t xml:space="preserve">Russell, M. and J. Bradbury (2007) ‘The Constituency Work of Scottish and Welsh MPs: Adjusting to Devolution’, </w:t>
      </w:r>
      <w:r w:rsidRPr="00D64250">
        <w:rPr>
          <w:rFonts w:cstheme="minorHAnsi"/>
          <w:i/>
        </w:rPr>
        <w:t>Regional &amp; Federal Studies</w:t>
      </w:r>
      <w:r w:rsidRPr="00D64250">
        <w:rPr>
          <w:rFonts w:cstheme="minorHAnsi"/>
        </w:rPr>
        <w:t>, 17 (1): 97-116.</w:t>
      </w:r>
    </w:p>
    <w:p w14:paraId="12FBFAE9" w14:textId="77777777" w:rsidR="00D64250" w:rsidRPr="00D64250" w:rsidRDefault="00D64250" w:rsidP="00D64250">
      <w:pPr>
        <w:autoSpaceDE w:val="0"/>
        <w:autoSpaceDN w:val="0"/>
        <w:adjustRightInd w:val="0"/>
        <w:spacing w:after="0" w:line="240" w:lineRule="auto"/>
        <w:ind w:left="360"/>
        <w:jc w:val="both"/>
        <w:rPr>
          <w:rFonts w:cstheme="minorHAnsi"/>
        </w:rPr>
      </w:pPr>
    </w:p>
    <w:p w14:paraId="5ADF6C77" w14:textId="4850E60D" w:rsidR="00D64250" w:rsidRPr="00D64250" w:rsidRDefault="00D64250" w:rsidP="00D64250">
      <w:pPr>
        <w:spacing w:line="240" w:lineRule="auto"/>
        <w:ind w:left="360"/>
        <w:jc w:val="both"/>
        <w:rPr>
          <w:rFonts w:cstheme="minorHAnsi"/>
        </w:rPr>
      </w:pPr>
      <w:r w:rsidRPr="00D64250">
        <w:rPr>
          <w:rFonts w:cstheme="minorHAnsi"/>
        </w:rPr>
        <w:t xml:space="preserve">Russo, F. (2012), ‘The Constituency as a Focus of Representation: Studying the Italian Case through the Analysis of Parliamentary Questions’, in S. Martin and O. Rozenberg (eds.), </w:t>
      </w:r>
      <w:r w:rsidRPr="00D64250">
        <w:rPr>
          <w:rFonts w:cstheme="minorHAnsi"/>
          <w:i/>
        </w:rPr>
        <w:t>The Roles and Function of Parliamentary Questions</w:t>
      </w:r>
      <w:r w:rsidRPr="00D64250">
        <w:rPr>
          <w:rFonts w:cstheme="minorHAnsi"/>
        </w:rPr>
        <w:t>. Routledge New York, 32-43.</w:t>
      </w:r>
    </w:p>
    <w:p w14:paraId="267B4C8E" w14:textId="77777777" w:rsidR="00D64250" w:rsidRPr="00D64250" w:rsidRDefault="00D64250" w:rsidP="00D64250">
      <w:pPr>
        <w:spacing w:line="240" w:lineRule="auto"/>
        <w:ind w:left="360"/>
        <w:jc w:val="both"/>
        <w:rPr>
          <w:rFonts w:cstheme="minorHAnsi"/>
          <w:shd w:val="clear" w:color="auto" w:fill="FFFFFF"/>
        </w:rPr>
      </w:pPr>
      <w:r w:rsidRPr="00D64250">
        <w:rPr>
          <w:rFonts w:cstheme="minorHAnsi"/>
          <w:shd w:val="clear" w:color="auto" w:fill="FFFFFF"/>
        </w:rPr>
        <w:t xml:space="preserve">Sacks, P. M. (1976), </w:t>
      </w:r>
      <w:r w:rsidRPr="00D64250">
        <w:rPr>
          <w:rFonts w:cstheme="minorHAnsi"/>
          <w:i/>
          <w:shd w:val="clear" w:color="auto" w:fill="FFFFFF"/>
        </w:rPr>
        <w:t>The Donegal Mafia: an Irish Political Machine</w:t>
      </w:r>
      <w:r w:rsidRPr="00D64250">
        <w:rPr>
          <w:rFonts w:cstheme="minorHAnsi"/>
          <w:shd w:val="clear" w:color="auto" w:fill="FFFFFF"/>
        </w:rPr>
        <w:t>. New Haven, CT and London: Yale University Press.</w:t>
      </w:r>
    </w:p>
    <w:p w14:paraId="6334AEE3" w14:textId="77777777" w:rsidR="00D64250" w:rsidRPr="00D64250" w:rsidRDefault="00D64250" w:rsidP="00D64250">
      <w:pPr>
        <w:spacing w:line="240" w:lineRule="auto"/>
        <w:ind w:left="360"/>
        <w:jc w:val="both"/>
        <w:rPr>
          <w:rFonts w:cstheme="minorHAnsi"/>
          <w:shd w:val="clear" w:color="auto" w:fill="FFFFFF"/>
        </w:rPr>
      </w:pPr>
      <w:r w:rsidRPr="00D64250">
        <w:rPr>
          <w:rFonts w:cstheme="minorHAnsi"/>
          <w:lang w:val="en"/>
        </w:rPr>
        <w:t xml:space="preserve">Saward, M. (2010), </w:t>
      </w:r>
      <w:r w:rsidRPr="00D64250">
        <w:rPr>
          <w:rFonts w:cstheme="minorHAnsi"/>
          <w:i/>
          <w:lang w:val="en"/>
        </w:rPr>
        <w:t>The Representative Claim</w:t>
      </w:r>
      <w:r w:rsidRPr="00D64250">
        <w:rPr>
          <w:rFonts w:cstheme="minorHAnsi"/>
          <w:lang w:val="en"/>
        </w:rPr>
        <w:t>. Oxford: Oxford University Press.</w:t>
      </w:r>
    </w:p>
    <w:p w14:paraId="7726295B" w14:textId="77777777" w:rsidR="00D64250" w:rsidRPr="00D64250" w:rsidRDefault="00D64250" w:rsidP="00D64250">
      <w:pPr>
        <w:spacing w:line="240" w:lineRule="auto"/>
        <w:ind w:left="360"/>
        <w:jc w:val="both"/>
        <w:rPr>
          <w:rStyle w:val="pages1"/>
          <w:rFonts w:cstheme="minorHAnsi"/>
          <w:lang w:val="en"/>
        </w:rPr>
      </w:pPr>
      <w:r w:rsidRPr="00D64250">
        <w:rPr>
          <w:rFonts w:cstheme="minorHAnsi"/>
          <w:lang w:val="en"/>
        </w:rPr>
        <w:lastRenderedPageBreak/>
        <w:t>Searing, D. (1985), ‘</w:t>
      </w:r>
      <w:hyperlink r:id="rId14" w:history="1">
        <w:r w:rsidRPr="00D64250">
          <w:rPr>
            <w:rStyle w:val="Hyperlink"/>
            <w:rFonts w:cstheme="minorHAnsi"/>
            <w:color w:val="auto"/>
            <w:u w:val="none"/>
            <w:lang w:val="en"/>
          </w:rPr>
          <w:t>The Role of the Good Constituency Member and the Practice of Representation in Great Britain</w:t>
        </w:r>
      </w:hyperlink>
      <w:r w:rsidRPr="00D64250">
        <w:rPr>
          <w:rFonts w:cstheme="minorHAnsi"/>
          <w:lang w:val="en"/>
        </w:rPr>
        <w:t xml:space="preserve">’, </w:t>
      </w:r>
      <w:r w:rsidRPr="00D64250">
        <w:rPr>
          <w:rFonts w:cstheme="minorHAnsi"/>
          <w:i/>
          <w:lang w:val="en"/>
        </w:rPr>
        <w:t>Journal of Politics,</w:t>
      </w:r>
      <w:r w:rsidRPr="00D64250">
        <w:rPr>
          <w:rFonts w:cstheme="minorHAnsi"/>
          <w:lang w:val="en"/>
        </w:rPr>
        <w:t xml:space="preserve"> </w:t>
      </w:r>
      <w:r w:rsidRPr="00D64250">
        <w:rPr>
          <w:rStyle w:val="volume"/>
          <w:rFonts w:cstheme="minorHAnsi"/>
          <w:lang w:val="en"/>
        </w:rPr>
        <w:t>47</w:t>
      </w:r>
      <w:r w:rsidRPr="00D64250">
        <w:rPr>
          <w:rFonts w:cstheme="minorHAnsi"/>
          <w:lang w:val="en"/>
        </w:rPr>
        <w:t xml:space="preserve"> (</w:t>
      </w:r>
      <w:r w:rsidRPr="00D64250">
        <w:rPr>
          <w:rStyle w:val="journalnumber"/>
          <w:rFonts w:cstheme="minorHAnsi"/>
          <w:lang w:val="en"/>
        </w:rPr>
        <w:t>2</w:t>
      </w:r>
      <w:r w:rsidRPr="00D64250">
        <w:rPr>
          <w:rFonts w:cstheme="minorHAnsi"/>
          <w:lang w:val="en"/>
        </w:rPr>
        <w:t xml:space="preserve">): </w:t>
      </w:r>
      <w:r w:rsidRPr="00D64250">
        <w:rPr>
          <w:rStyle w:val="pages1"/>
          <w:rFonts w:cstheme="minorHAnsi"/>
          <w:lang w:val="en"/>
        </w:rPr>
        <w:t>347-381.</w:t>
      </w:r>
    </w:p>
    <w:p w14:paraId="0E0D81AC" w14:textId="77777777" w:rsidR="00D64250" w:rsidRPr="00D64250" w:rsidRDefault="00D64250" w:rsidP="00D64250">
      <w:pPr>
        <w:spacing w:line="240" w:lineRule="auto"/>
        <w:ind w:left="360"/>
        <w:jc w:val="both"/>
        <w:rPr>
          <w:rFonts w:cstheme="minorHAnsi"/>
          <w:shd w:val="clear" w:color="auto" w:fill="FFFFFF"/>
        </w:rPr>
      </w:pPr>
      <w:r w:rsidRPr="00D64250">
        <w:rPr>
          <w:rFonts w:cstheme="minorHAnsi"/>
        </w:rPr>
        <w:t>Searing, D. (1991), ‘</w:t>
      </w:r>
      <w:r w:rsidRPr="00D64250">
        <w:rPr>
          <w:rFonts w:cstheme="minorHAnsi"/>
          <w:shd w:val="clear" w:color="auto" w:fill="FFFFFF"/>
        </w:rPr>
        <w:t xml:space="preserve">Roles, Rules, and Rationality in the New Institutionalism’, </w:t>
      </w:r>
      <w:r w:rsidRPr="00D64250">
        <w:rPr>
          <w:rFonts w:cstheme="minorHAnsi"/>
          <w:i/>
          <w:iCs/>
          <w:shd w:val="clear" w:color="auto" w:fill="FFFFFF"/>
        </w:rPr>
        <w:t>American Political Science Review</w:t>
      </w:r>
      <w:r w:rsidRPr="00D64250">
        <w:rPr>
          <w:rFonts w:cstheme="minorHAnsi"/>
          <w:shd w:val="clear" w:color="auto" w:fill="FFFFFF"/>
        </w:rPr>
        <w:t>, </w:t>
      </w:r>
      <w:r w:rsidRPr="00D64250">
        <w:rPr>
          <w:rFonts w:cstheme="minorHAnsi"/>
          <w:iCs/>
          <w:shd w:val="clear" w:color="auto" w:fill="FFFFFF"/>
        </w:rPr>
        <w:t xml:space="preserve">85 </w:t>
      </w:r>
      <w:r w:rsidRPr="00D64250">
        <w:rPr>
          <w:rFonts w:cstheme="minorHAnsi"/>
          <w:shd w:val="clear" w:color="auto" w:fill="FFFFFF"/>
        </w:rPr>
        <w:t>(4): 1239-1260.</w:t>
      </w:r>
    </w:p>
    <w:p w14:paraId="37344F78" w14:textId="77777777" w:rsidR="00D64250" w:rsidRPr="00D64250" w:rsidRDefault="00D64250" w:rsidP="00D64250">
      <w:pPr>
        <w:spacing w:line="240" w:lineRule="auto"/>
        <w:ind w:left="360"/>
        <w:jc w:val="both"/>
        <w:rPr>
          <w:rFonts w:cstheme="minorHAnsi"/>
        </w:rPr>
      </w:pPr>
      <w:r w:rsidRPr="00D64250">
        <w:rPr>
          <w:rFonts w:cstheme="minorHAnsi"/>
        </w:rPr>
        <w:t xml:space="preserve">Searing, D. (1994), </w:t>
      </w:r>
      <w:r w:rsidRPr="00D64250">
        <w:rPr>
          <w:rFonts w:cstheme="minorHAnsi"/>
          <w:i/>
        </w:rPr>
        <w:t xml:space="preserve">Westminster’s World: Understanding Political Roles. </w:t>
      </w:r>
      <w:r w:rsidRPr="00D64250">
        <w:rPr>
          <w:rFonts w:cstheme="minorHAnsi"/>
        </w:rPr>
        <w:t>Cambridge, MA: Harvard University Press.</w:t>
      </w:r>
    </w:p>
    <w:p w14:paraId="6CD979F8" w14:textId="77777777" w:rsidR="00D64250" w:rsidRDefault="00D64250" w:rsidP="00D64250">
      <w:pPr>
        <w:shd w:val="clear" w:color="auto" w:fill="FFFFFF"/>
        <w:spacing w:after="0" w:line="240" w:lineRule="auto"/>
        <w:ind w:left="360"/>
        <w:jc w:val="both"/>
        <w:rPr>
          <w:rFonts w:eastAsia="Times New Roman" w:cstheme="minorHAnsi"/>
          <w:lang w:val="en" w:eastAsia="en-GB"/>
        </w:rPr>
      </w:pPr>
      <w:r w:rsidRPr="00D64250">
        <w:rPr>
          <w:rFonts w:eastAsia="Times New Roman" w:cstheme="minorHAnsi"/>
          <w:lang w:val="en" w:eastAsia="en-GB"/>
        </w:rPr>
        <w:t>Shugart, M. S., M. E. Valdini and K. Suominen (2005), ‘</w:t>
      </w:r>
      <w:r w:rsidRPr="00D64250">
        <w:rPr>
          <w:rFonts w:cstheme="minorHAnsi"/>
          <w:lang w:val="en"/>
        </w:rPr>
        <w:t xml:space="preserve">Looking for Locals: Voter Information Demands and Personal Vote-Earning Attributes of Legislators under Proportional Representation’, </w:t>
      </w:r>
      <w:r w:rsidRPr="00D64250">
        <w:rPr>
          <w:rFonts w:eastAsia="Times New Roman" w:cstheme="minorHAnsi"/>
          <w:i/>
          <w:iCs/>
          <w:lang w:val="en" w:eastAsia="en-GB"/>
        </w:rPr>
        <w:t>American Journal of Political Science</w:t>
      </w:r>
      <w:r w:rsidRPr="00D64250">
        <w:rPr>
          <w:rFonts w:eastAsia="Times New Roman" w:cstheme="minorHAnsi"/>
          <w:lang w:val="en" w:eastAsia="en-GB"/>
        </w:rPr>
        <w:t>, 49 (2): 437-449.</w:t>
      </w:r>
    </w:p>
    <w:p w14:paraId="59517C42" w14:textId="77777777" w:rsidR="00CB5F5A" w:rsidRPr="00D64250" w:rsidRDefault="00CB5F5A" w:rsidP="00D64250">
      <w:pPr>
        <w:shd w:val="clear" w:color="auto" w:fill="FFFFFF"/>
        <w:spacing w:after="0" w:line="240" w:lineRule="auto"/>
        <w:ind w:left="360"/>
        <w:jc w:val="both"/>
        <w:rPr>
          <w:rFonts w:eastAsia="Times New Roman" w:cstheme="minorHAnsi"/>
          <w:lang w:val="en" w:eastAsia="en-GB"/>
        </w:rPr>
      </w:pPr>
    </w:p>
    <w:p w14:paraId="6E2914F4" w14:textId="77777777" w:rsidR="00D64250" w:rsidRDefault="00D64250" w:rsidP="00D64250">
      <w:pPr>
        <w:autoSpaceDE w:val="0"/>
        <w:autoSpaceDN w:val="0"/>
        <w:adjustRightInd w:val="0"/>
        <w:spacing w:after="0" w:line="240" w:lineRule="auto"/>
        <w:ind w:left="360"/>
        <w:jc w:val="both"/>
        <w:rPr>
          <w:rFonts w:cstheme="minorHAnsi"/>
          <w:iCs/>
        </w:rPr>
      </w:pPr>
      <w:r w:rsidRPr="00D64250">
        <w:rPr>
          <w:rFonts w:cstheme="minorHAnsi"/>
          <w:iCs/>
        </w:rPr>
        <w:t xml:space="preserve">Studlar, D. T. and I. McAllister, ‘Constituency Activity and Representational Roles among Australian Legislators’, </w:t>
      </w:r>
      <w:r w:rsidRPr="00D64250">
        <w:rPr>
          <w:rFonts w:cstheme="minorHAnsi"/>
          <w:i/>
          <w:iCs/>
        </w:rPr>
        <w:t>The Journal of Politics</w:t>
      </w:r>
      <w:r w:rsidRPr="00D64250">
        <w:rPr>
          <w:rFonts w:cstheme="minorHAnsi"/>
          <w:iCs/>
        </w:rPr>
        <w:t>, 58 (1): 69-90.</w:t>
      </w:r>
    </w:p>
    <w:p w14:paraId="2618C83E" w14:textId="77777777" w:rsidR="00CB5F5A" w:rsidRPr="00D64250" w:rsidRDefault="00CB5F5A" w:rsidP="00D64250">
      <w:pPr>
        <w:autoSpaceDE w:val="0"/>
        <w:autoSpaceDN w:val="0"/>
        <w:adjustRightInd w:val="0"/>
        <w:spacing w:after="0" w:line="240" w:lineRule="auto"/>
        <w:ind w:left="360"/>
        <w:jc w:val="both"/>
        <w:rPr>
          <w:rFonts w:cstheme="minorHAnsi"/>
          <w:iCs/>
        </w:rPr>
      </w:pPr>
    </w:p>
    <w:p w14:paraId="3915CA34" w14:textId="77777777" w:rsidR="00D64250" w:rsidRPr="00D64250" w:rsidRDefault="00D64250" w:rsidP="00D64250">
      <w:pPr>
        <w:spacing w:line="240" w:lineRule="auto"/>
        <w:ind w:left="360"/>
        <w:jc w:val="both"/>
        <w:rPr>
          <w:rFonts w:cstheme="minorHAnsi"/>
        </w:rPr>
      </w:pPr>
      <w:r w:rsidRPr="00D64250">
        <w:rPr>
          <w:rFonts w:cstheme="minorHAnsi"/>
        </w:rPr>
        <w:t xml:space="preserve">Tonge, J. (2002), </w:t>
      </w:r>
      <w:r w:rsidRPr="00D64250">
        <w:rPr>
          <w:rFonts w:cstheme="minorHAnsi"/>
          <w:i/>
        </w:rPr>
        <w:t>Northern Ireland: Conflict and Change</w:t>
      </w:r>
      <w:r w:rsidRPr="00D64250">
        <w:rPr>
          <w:rFonts w:cstheme="minorHAnsi"/>
        </w:rPr>
        <w:t>. Pearson Education Limited.</w:t>
      </w:r>
    </w:p>
    <w:p w14:paraId="13FB0695" w14:textId="77777777" w:rsidR="00D64250" w:rsidRDefault="00D64250" w:rsidP="00D64250">
      <w:pPr>
        <w:shd w:val="clear" w:color="auto" w:fill="FFFFFF"/>
        <w:spacing w:after="0" w:line="240" w:lineRule="auto"/>
        <w:ind w:left="360"/>
        <w:jc w:val="both"/>
      </w:pPr>
      <w:r w:rsidRPr="00D64250">
        <w:t xml:space="preserve">Wahlke, J. C., W. Buchanan, H. Eulau, L. Ferguson (1962), </w:t>
      </w:r>
      <w:r w:rsidRPr="00D64250">
        <w:rPr>
          <w:i/>
        </w:rPr>
        <w:t>The Legislative System. Explorations in Legislative Behavior</w:t>
      </w:r>
      <w:r w:rsidRPr="00D64250">
        <w:t>. New York, London: John Wiley and Sons, Inc.</w:t>
      </w:r>
    </w:p>
    <w:p w14:paraId="7B2C2D6D" w14:textId="77777777" w:rsidR="004D5775" w:rsidRDefault="004D5775" w:rsidP="00D64250">
      <w:pPr>
        <w:shd w:val="clear" w:color="auto" w:fill="FFFFFF"/>
        <w:spacing w:after="0" w:line="240" w:lineRule="auto"/>
        <w:ind w:left="360"/>
        <w:jc w:val="both"/>
      </w:pPr>
    </w:p>
    <w:p w14:paraId="68D7B936" w14:textId="00707CB1" w:rsidR="004D5775" w:rsidRPr="004D5775" w:rsidRDefault="004D5775" w:rsidP="00D64250">
      <w:pPr>
        <w:shd w:val="clear" w:color="auto" w:fill="FFFFFF"/>
        <w:spacing w:after="0" w:line="240" w:lineRule="auto"/>
        <w:ind w:left="360"/>
        <w:jc w:val="both"/>
      </w:pPr>
      <w:r>
        <w:t xml:space="preserve">Wall, M. (2011), ‘What did TDs do and who did they represent in the previous Dáil?’, </w:t>
      </w:r>
      <w:r>
        <w:rPr>
          <w:i/>
        </w:rPr>
        <w:t>Irish Politics Forum</w:t>
      </w:r>
      <w:r>
        <w:t xml:space="preserve">, available at </w:t>
      </w:r>
      <w:hyperlink r:id="rId15" w:history="1">
        <w:r w:rsidRPr="001E10C9">
          <w:rPr>
            <w:rStyle w:val="Hyperlink"/>
          </w:rPr>
          <w:t>https://politicalreform.ie/2011/03/29/what-did-tds-do-and-who-did-they-represent-in-the-previous-dail/</w:t>
        </w:r>
      </w:hyperlink>
      <w:r>
        <w:t xml:space="preserve"> (accessed June 6, 2017).</w:t>
      </w:r>
    </w:p>
    <w:p w14:paraId="1FC6CB51" w14:textId="77777777" w:rsidR="00CB5F5A" w:rsidRPr="00D64250" w:rsidRDefault="00CB5F5A" w:rsidP="00D64250">
      <w:pPr>
        <w:shd w:val="clear" w:color="auto" w:fill="FFFFFF"/>
        <w:spacing w:after="0" w:line="240" w:lineRule="auto"/>
        <w:ind w:left="360"/>
        <w:jc w:val="both"/>
      </w:pPr>
    </w:p>
    <w:p w14:paraId="203845DE" w14:textId="77777777" w:rsidR="00D64250" w:rsidRPr="00D64250" w:rsidRDefault="00D64250" w:rsidP="00D64250">
      <w:pPr>
        <w:spacing w:line="240" w:lineRule="auto"/>
        <w:ind w:left="360"/>
        <w:jc w:val="both"/>
        <w:rPr>
          <w:rFonts w:cstheme="minorHAnsi"/>
        </w:rPr>
      </w:pPr>
      <w:r w:rsidRPr="00D64250">
        <w:rPr>
          <w:rFonts w:cstheme="minorHAnsi"/>
          <w:shd w:val="clear" w:color="auto" w:fill="FFFFFF"/>
        </w:rPr>
        <w:t xml:space="preserve">Wilford, R. (2015), ‘Two Cheers for Consociational Democracy? Reforming the Northern Ireland Assembly and Executive’, </w:t>
      </w:r>
      <w:r w:rsidRPr="00D64250">
        <w:rPr>
          <w:rFonts w:cstheme="minorHAnsi"/>
          <w:i/>
          <w:shd w:val="clear" w:color="auto" w:fill="FFFFFF"/>
        </w:rPr>
        <w:t>Parliamentary Affairs</w:t>
      </w:r>
      <w:r w:rsidRPr="00D64250">
        <w:rPr>
          <w:rFonts w:cstheme="minorHAnsi"/>
          <w:shd w:val="clear" w:color="auto" w:fill="FFFFFF"/>
        </w:rPr>
        <w:t>, 68: 757-774.</w:t>
      </w:r>
    </w:p>
    <w:p w14:paraId="29DD10EB" w14:textId="77777777" w:rsidR="00D64250" w:rsidRPr="00D64250" w:rsidRDefault="00D64250" w:rsidP="00D64250">
      <w:pPr>
        <w:shd w:val="clear" w:color="auto" w:fill="FFFFFF"/>
        <w:spacing w:after="0" w:line="240" w:lineRule="auto"/>
        <w:ind w:left="360"/>
        <w:jc w:val="both"/>
        <w:rPr>
          <w:rFonts w:cstheme="minorHAnsi"/>
        </w:rPr>
      </w:pPr>
      <w:r w:rsidRPr="00D64250">
        <w:rPr>
          <w:rFonts w:cstheme="minorHAnsi"/>
        </w:rPr>
        <w:t xml:space="preserve">Wood, D. M., and G. Young (1997), ‘Constituency Activity by Junior Legislators in Britain and Ireland: A Comparison’, </w:t>
      </w:r>
      <w:r w:rsidRPr="00D64250">
        <w:rPr>
          <w:rFonts w:cstheme="minorHAnsi"/>
          <w:i/>
          <w:iCs/>
        </w:rPr>
        <w:t>Legislative Studies Quarterly</w:t>
      </w:r>
      <w:r w:rsidRPr="00D64250">
        <w:rPr>
          <w:rFonts w:cstheme="minorHAnsi"/>
          <w:iCs/>
        </w:rPr>
        <w:t>,</w:t>
      </w:r>
      <w:r w:rsidRPr="00D64250">
        <w:rPr>
          <w:rFonts w:cstheme="minorHAnsi"/>
          <w:i/>
          <w:iCs/>
        </w:rPr>
        <w:t xml:space="preserve"> </w:t>
      </w:r>
      <w:r w:rsidRPr="00D64250">
        <w:rPr>
          <w:rFonts w:cstheme="minorHAnsi"/>
        </w:rPr>
        <w:t>22 (2): 217– 232.</w:t>
      </w:r>
    </w:p>
    <w:p w14:paraId="5F25746A" w14:textId="77777777" w:rsidR="006E22B8" w:rsidRPr="00D64250" w:rsidRDefault="006E22B8" w:rsidP="00287622">
      <w:pPr>
        <w:shd w:val="clear" w:color="auto" w:fill="FFFFFF"/>
        <w:spacing w:after="0" w:line="360" w:lineRule="auto"/>
        <w:ind w:left="360"/>
        <w:jc w:val="both"/>
        <w:rPr>
          <w:rFonts w:cstheme="minorHAnsi"/>
        </w:rPr>
      </w:pPr>
    </w:p>
    <w:p w14:paraId="3AEFE67E" w14:textId="77777777" w:rsidR="006E22B8" w:rsidRPr="00D64250" w:rsidRDefault="006E22B8" w:rsidP="00287622">
      <w:pPr>
        <w:shd w:val="clear" w:color="auto" w:fill="FFFFFF"/>
        <w:spacing w:after="0" w:line="360" w:lineRule="auto"/>
        <w:ind w:left="360"/>
        <w:jc w:val="both"/>
        <w:rPr>
          <w:rFonts w:cstheme="minorHAnsi"/>
        </w:rPr>
      </w:pPr>
    </w:p>
    <w:p w14:paraId="206A3D67" w14:textId="77777777" w:rsidR="006E22B8" w:rsidRPr="00D64250" w:rsidRDefault="006E22B8" w:rsidP="00287622">
      <w:pPr>
        <w:shd w:val="clear" w:color="auto" w:fill="FFFFFF"/>
        <w:spacing w:after="0" w:line="360" w:lineRule="auto"/>
        <w:ind w:left="360"/>
        <w:jc w:val="both"/>
        <w:rPr>
          <w:rFonts w:cstheme="minorHAnsi"/>
        </w:rPr>
      </w:pPr>
    </w:p>
    <w:p w14:paraId="26C252CA" w14:textId="77777777" w:rsidR="006E22B8" w:rsidRPr="00D64250" w:rsidRDefault="006E22B8" w:rsidP="00287622">
      <w:pPr>
        <w:shd w:val="clear" w:color="auto" w:fill="FFFFFF"/>
        <w:spacing w:after="0" w:line="360" w:lineRule="auto"/>
        <w:ind w:left="360"/>
        <w:jc w:val="both"/>
        <w:rPr>
          <w:rFonts w:cstheme="minorHAnsi"/>
        </w:rPr>
      </w:pPr>
    </w:p>
    <w:p w14:paraId="07EED5F8" w14:textId="77777777" w:rsidR="006E22B8" w:rsidRDefault="006E22B8" w:rsidP="00287622">
      <w:pPr>
        <w:shd w:val="clear" w:color="auto" w:fill="FFFFFF"/>
        <w:spacing w:after="0" w:line="360" w:lineRule="auto"/>
        <w:ind w:left="360"/>
        <w:jc w:val="both"/>
        <w:rPr>
          <w:rFonts w:cstheme="minorHAnsi"/>
        </w:rPr>
      </w:pPr>
    </w:p>
    <w:p w14:paraId="7093429D" w14:textId="77777777" w:rsidR="006E22B8" w:rsidRDefault="006E22B8" w:rsidP="00287622">
      <w:pPr>
        <w:shd w:val="clear" w:color="auto" w:fill="FFFFFF"/>
        <w:spacing w:after="0" w:line="360" w:lineRule="auto"/>
        <w:ind w:left="360"/>
        <w:jc w:val="both"/>
        <w:rPr>
          <w:rFonts w:cstheme="minorHAnsi"/>
        </w:rPr>
      </w:pPr>
    </w:p>
    <w:p w14:paraId="5C6F71BA" w14:textId="77777777" w:rsidR="006E22B8" w:rsidRDefault="006E22B8" w:rsidP="00287622">
      <w:pPr>
        <w:shd w:val="clear" w:color="auto" w:fill="FFFFFF"/>
        <w:spacing w:after="0" w:line="360" w:lineRule="auto"/>
        <w:ind w:left="360"/>
        <w:jc w:val="both"/>
        <w:rPr>
          <w:rFonts w:cstheme="minorHAnsi"/>
        </w:rPr>
      </w:pPr>
    </w:p>
    <w:p w14:paraId="3A6ACD9A" w14:textId="77777777" w:rsidR="006E22B8" w:rsidRDefault="006E22B8" w:rsidP="00287622">
      <w:pPr>
        <w:shd w:val="clear" w:color="auto" w:fill="FFFFFF"/>
        <w:spacing w:after="0" w:line="360" w:lineRule="auto"/>
        <w:ind w:left="360"/>
        <w:jc w:val="both"/>
        <w:rPr>
          <w:rFonts w:cstheme="minorHAnsi"/>
        </w:rPr>
      </w:pPr>
    </w:p>
    <w:p w14:paraId="2E5E6F67" w14:textId="77777777" w:rsidR="006E22B8" w:rsidRDefault="006E22B8" w:rsidP="00287622">
      <w:pPr>
        <w:shd w:val="clear" w:color="auto" w:fill="FFFFFF"/>
        <w:spacing w:after="0" w:line="360" w:lineRule="auto"/>
        <w:ind w:left="360"/>
        <w:jc w:val="both"/>
        <w:rPr>
          <w:rFonts w:cstheme="minorHAnsi"/>
        </w:rPr>
      </w:pPr>
    </w:p>
    <w:p w14:paraId="77E48FD1" w14:textId="77777777" w:rsidR="006E22B8" w:rsidRDefault="006E22B8" w:rsidP="00287622">
      <w:pPr>
        <w:shd w:val="clear" w:color="auto" w:fill="FFFFFF"/>
        <w:spacing w:after="0" w:line="360" w:lineRule="auto"/>
        <w:ind w:left="360"/>
        <w:jc w:val="both"/>
        <w:rPr>
          <w:rFonts w:cstheme="minorHAnsi"/>
        </w:rPr>
      </w:pPr>
    </w:p>
    <w:p w14:paraId="166E371F" w14:textId="77777777" w:rsidR="006E22B8" w:rsidRDefault="006E22B8" w:rsidP="00287622">
      <w:pPr>
        <w:shd w:val="clear" w:color="auto" w:fill="FFFFFF"/>
        <w:spacing w:after="0" w:line="360" w:lineRule="auto"/>
        <w:ind w:left="360"/>
        <w:jc w:val="both"/>
        <w:rPr>
          <w:rFonts w:cstheme="minorHAnsi"/>
        </w:rPr>
      </w:pPr>
    </w:p>
    <w:p w14:paraId="1D454CD9" w14:textId="77777777" w:rsidR="006E22B8" w:rsidRDefault="006E22B8" w:rsidP="00287622">
      <w:pPr>
        <w:shd w:val="clear" w:color="auto" w:fill="FFFFFF"/>
        <w:spacing w:after="0" w:line="360" w:lineRule="auto"/>
        <w:ind w:left="360"/>
        <w:jc w:val="both"/>
        <w:rPr>
          <w:rFonts w:cstheme="minorHAnsi"/>
        </w:rPr>
      </w:pPr>
    </w:p>
    <w:p w14:paraId="06A1D73C" w14:textId="77777777" w:rsidR="006E22B8" w:rsidRDefault="006E22B8" w:rsidP="00287622">
      <w:pPr>
        <w:shd w:val="clear" w:color="auto" w:fill="FFFFFF"/>
        <w:spacing w:after="0" w:line="360" w:lineRule="auto"/>
        <w:ind w:left="360"/>
        <w:jc w:val="both"/>
        <w:rPr>
          <w:rFonts w:cstheme="minorHAnsi"/>
        </w:rPr>
      </w:pPr>
    </w:p>
    <w:p w14:paraId="09CAC755" w14:textId="77777777" w:rsidR="006E22B8" w:rsidRDefault="006E22B8" w:rsidP="00287622">
      <w:pPr>
        <w:shd w:val="clear" w:color="auto" w:fill="FFFFFF"/>
        <w:spacing w:after="0" w:line="360" w:lineRule="auto"/>
        <w:ind w:left="360"/>
        <w:jc w:val="both"/>
        <w:rPr>
          <w:rFonts w:cstheme="minorHAnsi"/>
        </w:rPr>
      </w:pPr>
    </w:p>
    <w:p w14:paraId="434DB3A3" w14:textId="77777777" w:rsidR="006E22B8" w:rsidRDefault="006E22B8" w:rsidP="00287622">
      <w:pPr>
        <w:shd w:val="clear" w:color="auto" w:fill="FFFFFF"/>
        <w:spacing w:after="0" w:line="360" w:lineRule="auto"/>
        <w:ind w:left="360"/>
        <w:jc w:val="both"/>
        <w:rPr>
          <w:rFonts w:cstheme="minorHAnsi"/>
        </w:rPr>
      </w:pPr>
    </w:p>
    <w:p w14:paraId="23FA8786" w14:textId="77777777" w:rsidR="009A6489" w:rsidRDefault="009A6489" w:rsidP="006E22B8">
      <w:pPr>
        <w:spacing w:after="0" w:line="276" w:lineRule="auto"/>
        <w:contextualSpacing/>
        <w:rPr>
          <w:rFonts w:cstheme="minorHAnsi"/>
        </w:rPr>
      </w:pPr>
    </w:p>
    <w:p w14:paraId="2B93C680" w14:textId="77777777" w:rsidR="006E22B8" w:rsidRPr="004A5651" w:rsidRDefault="006E22B8" w:rsidP="006E22B8">
      <w:pPr>
        <w:spacing w:after="0" w:line="276" w:lineRule="auto"/>
        <w:contextualSpacing/>
        <w:rPr>
          <w:rStyle w:val="Emphasis"/>
          <w:rFonts w:cstheme="minorHAnsi"/>
        </w:rPr>
      </w:pPr>
      <w:r w:rsidRPr="004A5651">
        <w:rPr>
          <w:rStyle w:val="Emphasis"/>
          <w:rFonts w:cstheme="minorHAnsi"/>
          <w:sz w:val="24"/>
          <w:szCs w:val="24"/>
        </w:rPr>
        <w:lastRenderedPageBreak/>
        <w:t>Table 1: Characteristics of the Survey Sample</w:t>
      </w:r>
    </w:p>
    <w:p w14:paraId="5F32F4D7" w14:textId="77777777" w:rsidR="006E22B8" w:rsidRPr="004A5651" w:rsidRDefault="006E22B8" w:rsidP="006E22B8">
      <w:pPr>
        <w:spacing w:after="0" w:line="276" w:lineRule="auto"/>
        <w:contextualSpacing/>
        <w:jc w:val="both"/>
        <w:rPr>
          <w:rStyle w:val="Emphasis"/>
          <w:rFonts w:cstheme="minorHAnsi"/>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2"/>
        <w:gridCol w:w="771"/>
        <w:gridCol w:w="1005"/>
        <w:gridCol w:w="925"/>
        <w:gridCol w:w="925"/>
      </w:tblGrid>
      <w:tr w:rsidR="006E22B8" w:rsidRPr="004A5651" w14:paraId="73DB9958" w14:textId="77777777" w:rsidTr="00AD03F0">
        <w:trPr>
          <w:trHeight w:val="359"/>
        </w:trPr>
        <w:tc>
          <w:tcPr>
            <w:tcW w:w="2612" w:type="dxa"/>
            <w:tcBorders>
              <w:top w:val="single" w:sz="4" w:space="0" w:color="auto"/>
              <w:bottom w:val="single" w:sz="4" w:space="0" w:color="auto"/>
            </w:tcBorders>
          </w:tcPr>
          <w:p w14:paraId="40E7BBDD" w14:textId="77777777" w:rsidR="006E22B8" w:rsidRPr="004A5651" w:rsidRDefault="006E22B8" w:rsidP="00AD03F0">
            <w:pPr>
              <w:spacing w:line="276" w:lineRule="auto"/>
              <w:contextualSpacing/>
              <w:jc w:val="both"/>
              <w:rPr>
                <w:rStyle w:val="Emphasis"/>
                <w:rFonts w:cstheme="minorHAnsi"/>
                <w:b w:val="0"/>
              </w:rPr>
            </w:pPr>
          </w:p>
        </w:tc>
        <w:tc>
          <w:tcPr>
            <w:tcW w:w="1776" w:type="dxa"/>
            <w:gridSpan w:val="2"/>
            <w:tcBorders>
              <w:top w:val="single" w:sz="4" w:space="0" w:color="auto"/>
              <w:bottom w:val="single" w:sz="4" w:space="0" w:color="auto"/>
            </w:tcBorders>
          </w:tcPr>
          <w:p w14:paraId="151EEC5F"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Sample</w:t>
            </w:r>
          </w:p>
        </w:tc>
        <w:tc>
          <w:tcPr>
            <w:tcW w:w="1850" w:type="dxa"/>
            <w:gridSpan w:val="2"/>
            <w:tcBorders>
              <w:top w:val="single" w:sz="4" w:space="0" w:color="auto"/>
              <w:bottom w:val="single" w:sz="4" w:space="0" w:color="auto"/>
            </w:tcBorders>
          </w:tcPr>
          <w:p w14:paraId="5E5EBF3E"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Population</w:t>
            </w:r>
          </w:p>
        </w:tc>
      </w:tr>
      <w:tr w:rsidR="006E22B8" w:rsidRPr="004A5651" w14:paraId="3A45A423" w14:textId="77777777" w:rsidTr="00AD03F0">
        <w:trPr>
          <w:trHeight w:val="344"/>
        </w:trPr>
        <w:tc>
          <w:tcPr>
            <w:tcW w:w="2612" w:type="dxa"/>
            <w:tcBorders>
              <w:top w:val="single" w:sz="4" w:space="0" w:color="auto"/>
            </w:tcBorders>
          </w:tcPr>
          <w:p w14:paraId="4A96AD6B" w14:textId="77777777" w:rsidR="006E22B8" w:rsidRPr="004A5651" w:rsidRDefault="006E22B8" w:rsidP="00AD03F0">
            <w:pPr>
              <w:spacing w:line="276" w:lineRule="auto"/>
              <w:contextualSpacing/>
              <w:jc w:val="both"/>
              <w:rPr>
                <w:rStyle w:val="Emphasis"/>
                <w:rFonts w:cstheme="minorHAnsi"/>
                <w:b w:val="0"/>
                <w:i/>
              </w:rPr>
            </w:pPr>
            <w:r w:rsidRPr="004A5651">
              <w:rPr>
                <w:rStyle w:val="Emphasis"/>
                <w:rFonts w:cstheme="minorHAnsi"/>
                <w:b w:val="0"/>
                <w:i/>
              </w:rPr>
              <w:t>Party</w:t>
            </w:r>
          </w:p>
        </w:tc>
        <w:tc>
          <w:tcPr>
            <w:tcW w:w="771" w:type="dxa"/>
            <w:tcBorders>
              <w:top w:val="single" w:sz="4" w:space="0" w:color="auto"/>
            </w:tcBorders>
          </w:tcPr>
          <w:p w14:paraId="1187C3CE"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N</w:t>
            </w:r>
          </w:p>
        </w:tc>
        <w:tc>
          <w:tcPr>
            <w:tcW w:w="1004" w:type="dxa"/>
            <w:tcBorders>
              <w:top w:val="single" w:sz="4" w:space="0" w:color="auto"/>
            </w:tcBorders>
          </w:tcPr>
          <w:p w14:paraId="206F78D3"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w:t>
            </w:r>
          </w:p>
        </w:tc>
        <w:tc>
          <w:tcPr>
            <w:tcW w:w="925" w:type="dxa"/>
            <w:tcBorders>
              <w:top w:val="single" w:sz="4" w:space="0" w:color="auto"/>
            </w:tcBorders>
          </w:tcPr>
          <w:p w14:paraId="6F7AF8F6"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N</w:t>
            </w:r>
          </w:p>
        </w:tc>
        <w:tc>
          <w:tcPr>
            <w:tcW w:w="925" w:type="dxa"/>
            <w:tcBorders>
              <w:top w:val="single" w:sz="4" w:space="0" w:color="auto"/>
            </w:tcBorders>
          </w:tcPr>
          <w:p w14:paraId="5BADEC0D"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w:t>
            </w:r>
          </w:p>
        </w:tc>
      </w:tr>
      <w:tr w:rsidR="006E22B8" w:rsidRPr="004A5651" w14:paraId="7C369725" w14:textId="77777777" w:rsidTr="00AD03F0">
        <w:trPr>
          <w:trHeight w:val="359"/>
        </w:trPr>
        <w:tc>
          <w:tcPr>
            <w:tcW w:w="2612" w:type="dxa"/>
          </w:tcPr>
          <w:p w14:paraId="1CB69E65"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DUP</w:t>
            </w:r>
          </w:p>
        </w:tc>
        <w:tc>
          <w:tcPr>
            <w:tcW w:w="771" w:type="dxa"/>
          </w:tcPr>
          <w:p w14:paraId="24E74DB4"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16</w:t>
            </w:r>
          </w:p>
        </w:tc>
        <w:tc>
          <w:tcPr>
            <w:tcW w:w="1004" w:type="dxa"/>
            <w:vAlign w:val="center"/>
          </w:tcPr>
          <w:p w14:paraId="589CB108" w14:textId="77777777" w:rsidR="006E22B8" w:rsidRPr="004A5651" w:rsidRDefault="006E22B8" w:rsidP="00AD03F0">
            <w:pPr>
              <w:jc w:val="center"/>
              <w:rPr>
                <w:rFonts w:cstheme="minorHAnsi"/>
                <w:color w:val="000000"/>
              </w:rPr>
            </w:pPr>
            <w:r w:rsidRPr="004A5651">
              <w:rPr>
                <w:rFonts w:cstheme="minorHAnsi"/>
                <w:bCs/>
                <w:color w:val="000000"/>
              </w:rPr>
              <w:t>33</w:t>
            </w:r>
          </w:p>
        </w:tc>
        <w:tc>
          <w:tcPr>
            <w:tcW w:w="925" w:type="dxa"/>
          </w:tcPr>
          <w:p w14:paraId="0E40540E"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38</w:t>
            </w:r>
          </w:p>
        </w:tc>
        <w:tc>
          <w:tcPr>
            <w:tcW w:w="925" w:type="dxa"/>
            <w:vAlign w:val="bottom"/>
          </w:tcPr>
          <w:p w14:paraId="54E54FE3" w14:textId="77777777" w:rsidR="006E22B8" w:rsidRPr="004A5651" w:rsidRDefault="006E22B8" w:rsidP="00AD03F0">
            <w:pPr>
              <w:jc w:val="center"/>
              <w:rPr>
                <w:rFonts w:cstheme="minorHAnsi"/>
                <w:color w:val="000000"/>
              </w:rPr>
            </w:pPr>
            <w:r w:rsidRPr="004A5651">
              <w:rPr>
                <w:rFonts w:cstheme="minorHAnsi"/>
                <w:color w:val="000000"/>
              </w:rPr>
              <w:t>35</w:t>
            </w:r>
          </w:p>
        </w:tc>
      </w:tr>
      <w:tr w:rsidR="006E22B8" w:rsidRPr="004A5651" w14:paraId="490F24E9" w14:textId="77777777" w:rsidTr="00AD03F0">
        <w:trPr>
          <w:trHeight w:val="344"/>
        </w:trPr>
        <w:tc>
          <w:tcPr>
            <w:tcW w:w="2612" w:type="dxa"/>
          </w:tcPr>
          <w:p w14:paraId="555164EB"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Sinn Féin</w:t>
            </w:r>
          </w:p>
        </w:tc>
        <w:tc>
          <w:tcPr>
            <w:tcW w:w="771" w:type="dxa"/>
          </w:tcPr>
          <w:p w14:paraId="2E997C97"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13</w:t>
            </w:r>
          </w:p>
        </w:tc>
        <w:tc>
          <w:tcPr>
            <w:tcW w:w="1004" w:type="dxa"/>
            <w:vAlign w:val="center"/>
          </w:tcPr>
          <w:p w14:paraId="514D71F0" w14:textId="77777777" w:rsidR="006E22B8" w:rsidRPr="004A5651" w:rsidRDefault="006E22B8" w:rsidP="00AD03F0">
            <w:pPr>
              <w:jc w:val="center"/>
              <w:rPr>
                <w:rFonts w:cstheme="minorHAnsi"/>
                <w:color w:val="000000"/>
              </w:rPr>
            </w:pPr>
            <w:r w:rsidRPr="004A5651">
              <w:rPr>
                <w:rFonts w:cstheme="minorHAnsi"/>
                <w:bCs/>
                <w:color w:val="000000"/>
              </w:rPr>
              <w:t>27</w:t>
            </w:r>
          </w:p>
        </w:tc>
        <w:tc>
          <w:tcPr>
            <w:tcW w:w="925" w:type="dxa"/>
          </w:tcPr>
          <w:p w14:paraId="2318F029"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29</w:t>
            </w:r>
          </w:p>
        </w:tc>
        <w:tc>
          <w:tcPr>
            <w:tcW w:w="925" w:type="dxa"/>
            <w:vAlign w:val="bottom"/>
          </w:tcPr>
          <w:p w14:paraId="0EC224EC" w14:textId="77777777" w:rsidR="006E22B8" w:rsidRPr="004A5651" w:rsidRDefault="006E22B8" w:rsidP="00AD03F0">
            <w:pPr>
              <w:jc w:val="center"/>
              <w:rPr>
                <w:rFonts w:cstheme="minorHAnsi"/>
                <w:color w:val="000000"/>
              </w:rPr>
            </w:pPr>
            <w:r w:rsidRPr="004A5651">
              <w:rPr>
                <w:rFonts w:cstheme="minorHAnsi"/>
                <w:color w:val="000000"/>
              </w:rPr>
              <w:t>27</w:t>
            </w:r>
          </w:p>
        </w:tc>
      </w:tr>
      <w:tr w:rsidR="006E22B8" w:rsidRPr="004A5651" w14:paraId="0D4489E8" w14:textId="77777777" w:rsidTr="00AD03F0">
        <w:trPr>
          <w:trHeight w:val="359"/>
        </w:trPr>
        <w:tc>
          <w:tcPr>
            <w:tcW w:w="2612" w:type="dxa"/>
          </w:tcPr>
          <w:p w14:paraId="6507DACE"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UUP</w:t>
            </w:r>
          </w:p>
        </w:tc>
        <w:tc>
          <w:tcPr>
            <w:tcW w:w="771" w:type="dxa"/>
          </w:tcPr>
          <w:p w14:paraId="7961FAB5"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5</w:t>
            </w:r>
          </w:p>
        </w:tc>
        <w:tc>
          <w:tcPr>
            <w:tcW w:w="1004" w:type="dxa"/>
            <w:vAlign w:val="center"/>
          </w:tcPr>
          <w:p w14:paraId="3EDBE4D8" w14:textId="77777777" w:rsidR="006E22B8" w:rsidRPr="004A5651" w:rsidRDefault="006E22B8" w:rsidP="00AD03F0">
            <w:pPr>
              <w:jc w:val="center"/>
              <w:rPr>
                <w:rFonts w:cstheme="minorHAnsi"/>
                <w:color w:val="000000"/>
              </w:rPr>
            </w:pPr>
            <w:r w:rsidRPr="004A5651">
              <w:rPr>
                <w:rFonts w:cstheme="minorHAnsi"/>
                <w:bCs/>
                <w:color w:val="000000"/>
              </w:rPr>
              <w:t>10</w:t>
            </w:r>
          </w:p>
        </w:tc>
        <w:tc>
          <w:tcPr>
            <w:tcW w:w="925" w:type="dxa"/>
          </w:tcPr>
          <w:p w14:paraId="14E70C50"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13</w:t>
            </w:r>
          </w:p>
        </w:tc>
        <w:tc>
          <w:tcPr>
            <w:tcW w:w="925" w:type="dxa"/>
            <w:vAlign w:val="bottom"/>
          </w:tcPr>
          <w:p w14:paraId="7ED0045E" w14:textId="77777777" w:rsidR="006E22B8" w:rsidRPr="004A5651" w:rsidRDefault="006E22B8" w:rsidP="00AD03F0">
            <w:pPr>
              <w:jc w:val="center"/>
              <w:rPr>
                <w:rFonts w:cstheme="minorHAnsi"/>
                <w:color w:val="000000"/>
              </w:rPr>
            </w:pPr>
            <w:r w:rsidRPr="004A5651">
              <w:rPr>
                <w:rFonts w:cstheme="minorHAnsi"/>
                <w:color w:val="000000"/>
              </w:rPr>
              <w:t>12</w:t>
            </w:r>
          </w:p>
        </w:tc>
      </w:tr>
      <w:tr w:rsidR="006E22B8" w:rsidRPr="004A5651" w14:paraId="26996D04" w14:textId="77777777" w:rsidTr="00AD03F0">
        <w:trPr>
          <w:trHeight w:val="344"/>
        </w:trPr>
        <w:tc>
          <w:tcPr>
            <w:tcW w:w="2612" w:type="dxa"/>
          </w:tcPr>
          <w:p w14:paraId="196B3139"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SDLP</w:t>
            </w:r>
          </w:p>
        </w:tc>
        <w:tc>
          <w:tcPr>
            <w:tcW w:w="771" w:type="dxa"/>
          </w:tcPr>
          <w:p w14:paraId="404C0411"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6</w:t>
            </w:r>
          </w:p>
        </w:tc>
        <w:tc>
          <w:tcPr>
            <w:tcW w:w="1004" w:type="dxa"/>
            <w:vAlign w:val="center"/>
          </w:tcPr>
          <w:p w14:paraId="3F44C808" w14:textId="77777777" w:rsidR="006E22B8" w:rsidRPr="004A5651" w:rsidRDefault="006E22B8" w:rsidP="00AD03F0">
            <w:pPr>
              <w:jc w:val="center"/>
              <w:rPr>
                <w:rFonts w:cstheme="minorHAnsi"/>
                <w:color w:val="000000"/>
              </w:rPr>
            </w:pPr>
            <w:r w:rsidRPr="004A5651">
              <w:rPr>
                <w:rFonts w:cstheme="minorHAnsi"/>
                <w:bCs/>
                <w:color w:val="000000"/>
              </w:rPr>
              <w:t>12</w:t>
            </w:r>
          </w:p>
        </w:tc>
        <w:tc>
          <w:tcPr>
            <w:tcW w:w="925" w:type="dxa"/>
          </w:tcPr>
          <w:p w14:paraId="4CBABC2A"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14</w:t>
            </w:r>
          </w:p>
        </w:tc>
        <w:tc>
          <w:tcPr>
            <w:tcW w:w="925" w:type="dxa"/>
            <w:vAlign w:val="bottom"/>
          </w:tcPr>
          <w:p w14:paraId="32D16842" w14:textId="77777777" w:rsidR="006E22B8" w:rsidRPr="004A5651" w:rsidRDefault="006E22B8" w:rsidP="00AD03F0">
            <w:pPr>
              <w:jc w:val="center"/>
              <w:rPr>
                <w:rFonts w:cstheme="minorHAnsi"/>
                <w:color w:val="000000"/>
              </w:rPr>
            </w:pPr>
            <w:r w:rsidRPr="004A5651">
              <w:rPr>
                <w:rFonts w:cstheme="minorHAnsi"/>
                <w:color w:val="000000"/>
              </w:rPr>
              <w:t>13</w:t>
            </w:r>
          </w:p>
        </w:tc>
      </w:tr>
      <w:tr w:rsidR="006E22B8" w:rsidRPr="004A5651" w14:paraId="1B4B7688" w14:textId="77777777" w:rsidTr="00AD03F0">
        <w:trPr>
          <w:trHeight w:val="359"/>
        </w:trPr>
        <w:tc>
          <w:tcPr>
            <w:tcW w:w="2612" w:type="dxa"/>
          </w:tcPr>
          <w:p w14:paraId="66F7FF67"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Alliance</w:t>
            </w:r>
          </w:p>
        </w:tc>
        <w:tc>
          <w:tcPr>
            <w:tcW w:w="771" w:type="dxa"/>
          </w:tcPr>
          <w:p w14:paraId="530E0129"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5</w:t>
            </w:r>
          </w:p>
        </w:tc>
        <w:tc>
          <w:tcPr>
            <w:tcW w:w="1004" w:type="dxa"/>
            <w:vAlign w:val="center"/>
          </w:tcPr>
          <w:p w14:paraId="5B4F6D91" w14:textId="77777777" w:rsidR="006E22B8" w:rsidRPr="004A5651" w:rsidRDefault="006E22B8" w:rsidP="00AD03F0">
            <w:pPr>
              <w:jc w:val="center"/>
              <w:rPr>
                <w:rFonts w:cstheme="minorHAnsi"/>
                <w:color w:val="000000"/>
              </w:rPr>
            </w:pPr>
            <w:r w:rsidRPr="004A5651">
              <w:rPr>
                <w:rFonts w:cstheme="minorHAnsi"/>
                <w:bCs/>
                <w:color w:val="000000"/>
              </w:rPr>
              <w:t>10</w:t>
            </w:r>
          </w:p>
        </w:tc>
        <w:tc>
          <w:tcPr>
            <w:tcW w:w="925" w:type="dxa"/>
          </w:tcPr>
          <w:p w14:paraId="112B2E31"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8</w:t>
            </w:r>
          </w:p>
        </w:tc>
        <w:tc>
          <w:tcPr>
            <w:tcW w:w="925" w:type="dxa"/>
            <w:vAlign w:val="bottom"/>
          </w:tcPr>
          <w:p w14:paraId="4097D176" w14:textId="77777777" w:rsidR="006E22B8" w:rsidRPr="004A5651" w:rsidRDefault="006E22B8" w:rsidP="00AD03F0">
            <w:pPr>
              <w:jc w:val="center"/>
              <w:rPr>
                <w:rFonts w:cstheme="minorHAnsi"/>
                <w:color w:val="000000"/>
              </w:rPr>
            </w:pPr>
            <w:r w:rsidRPr="004A5651">
              <w:rPr>
                <w:rFonts w:cstheme="minorHAnsi"/>
                <w:color w:val="000000"/>
              </w:rPr>
              <w:t>7</w:t>
            </w:r>
          </w:p>
        </w:tc>
      </w:tr>
      <w:tr w:rsidR="006E22B8" w:rsidRPr="004A5651" w14:paraId="52C7985C" w14:textId="77777777" w:rsidTr="00AD03F0">
        <w:trPr>
          <w:trHeight w:val="359"/>
        </w:trPr>
        <w:tc>
          <w:tcPr>
            <w:tcW w:w="2612" w:type="dxa"/>
          </w:tcPr>
          <w:p w14:paraId="390F1101" w14:textId="77777777" w:rsidR="006E22B8" w:rsidRPr="004A5651" w:rsidRDefault="006E22B8" w:rsidP="00AD03F0">
            <w:pPr>
              <w:spacing w:line="276" w:lineRule="auto"/>
              <w:contextualSpacing/>
              <w:rPr>
                <w:rStyle w:val="Emphasis"/>
                <w:rFonts w:cstheme="minorHAnsi"/>
                <w:b w:val="0"/>
              </w:rPr>
            </w:pPr>
            <w:r w:rsidRPr="004A5651">
              <w:rPr>
                <w:rStyle w:val="Emphasis"/>
                <w:rFonts w:cstheme="minorHAnsi"/>
                <w:b w:val="0"/>
              </w:rPr>
              <w:t xml:space="preserve">        Others</w:t>
            </w:r>
          </w:p>
        </w:tc>
        <w:tc>
          <w:tcPr>
            <w:tcW w:w="771" w:type="dxa"/>
          </w:tcPr>
          <w:p w14:paraId="120C25CA"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4</w:t>
            </w:r>
          </w:p>
        </w:tc>
        <w:tc>
          <w:tcPr>
            <w:tcW w:w="1004" w:type="dxa"/>
            <w:vAlign w:val="center"/>
          </w:tcPr>
          <w:p w14:paraId="7712625D" w14:textId="77777777" w:rsidR="006E22B8" w:rsidRPr="004A5651" w:rsidRDefault="006E22B8" w:rsidP="00AD03F0">
            <w:pPr>
              <w:jc w:val="center"/>
              <w:rPr>
                <w:rFonts w:cstheme="minorHAnsi"/>
                <w:color w:val="000000"/>
              </w:rPr>
            </w:pPr>
            <w:r w:rsidRPr="004A5651">
              <w:rPr>
                <w:rFonts w:cstheme="minorHAnsi"/>
                <w:bCs/>
                <w:color w:val="000000"/>
              </w:rPr>
              <w:t>8</w:t>
            </w:r>
          </w:p>
        </w:tc>
        <w:tc>
          <w:tcPr>
            <w:tcW w:w="925" w:type="dxa"/>
          </w:tcPr>
          <w:p w14:paraId="17547B87"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6</w:t>
            </w:r>
          </w:p>
        </w:tc>
        <w:tc>
          <w:tcPr>
            <w:tcW w:w="925" w:type="dxa"/>
            <w:vAlign w:val="bottom"/>
          </w:tcPr>
          <w:p w14:paraId="1F13B9B2" w14:textId="77777777" w:rsidR="006E22B8" w:rsidRPr="004A5651" w:rsidRDefault="006E22B8" w:rsidP="00AD03F0">
            <w:pPr>
              <w:jc w:val="center"/>
              <w:rPr>
                <w:rFonts w:cstheme="minorHAnsi"/>
                <w:color w:val="000000"/>
              </w:rPr>
            </w:pPr>
            <w:r w:rsidRPr="004A5651">
              <w:rPr>
                <w:rFonts w:cstheme="minorHAnsi"/>
                <w:color w:val="000000"/>
              </w:rPr>
              <w:t>6</w:t>
            </w:r>
          </w:p>
        </w:tc>
      </w:tr>
      <w:tr w:rsidR="006E22B8" w:rsidRPr="004A5651" w14:paraId="35CAB9F5" w14:textId="77777777" w:rsidTr="00AD03F0">
        <w:trPr>
          <w:trHeight w:val="366"/>
        </w:trPr>
        <w:tc>
          <w:tcPr>
            <w:tcW w:w="2612" w:type="dxa"/>
          </w:tcPr>
          <w:p w14:paraId="4E2CF230" w14:textId="77777777" w:rsidR="006E22B8" w:rsidRPr="004A5651" w:rsidRDefault="006E22B8" w:rsidP="00AD03F0">
            <w:pPr>
              <w:spacing w:line="276" w:lineRule="auto"/>
              <w:contextualSpacing/>
              <w:jc w:val="both"/>
              <w:rPr>
                <w:rStyle w:val="Emphasis"/>
                <w:rFonts w:cstheme="minorHAnsi"/>
                <w:b w:val="0"/>
                <w:i/>
              </w:rPr>
            </w:pPr>
            <w:r w:rsidRPr="004A5651">
              <w:rPr>
                <w:rStyle w:val="Emphasis"/>
                <w:rFonts w:cstheme="minorHAnsi"/>
                <w:b w:val="0"/>
                <w:i/>
              </w:rPr>
              <w:t>Community designation</w:t>
            </w:r>
          </w:p>
        </w:tc>
        <w:tc>
          <w:tcPr>
            <w:tcW w:w="1776" w:type="dxa"/>
            <w:gridSpan w:val="2"/>
          </w:tcPr>
          <w:p w14:paraId="2D540370" w14:textId="77777777" w:rsidR="006E22B8" w:rsidRPr="004A5651" w:rsidRDefault="006E22B8" w:rsidP="00AD03F0">
            <w:pPr>
              <w:spacing w:line="276" w:lineRule="auto"/>
              <w:contextualSpacing/>
              <w:jc w:val="both"/>
              <w:rPr>
                <w:rStyle w:val="Emphasis"/>
                <w:rFonts w:cstheme="minorHAnsi"/>
                <w:b w:val="0"/>
              </w:rPr>
            </w:pPr>
          </w:p>
        </w:tc>
        <w:tc>
          <w:tcPr>
            <w:tcW w:w="1850" w:type="dxa"/>
            <w:gridSpan w:val="2"/>
          </w:tcPr>
          <w:p w14:paraId="0B14BE07" w14:textId="77777777" w:rsidR="006E22B8" w:rsidRPr="004A5651" w:rsidRDefault="006E22B8" w:rsidP="00AD03F0">
            <w:pPr>
              <w:spacing w:line="276" w:lineRule="auto"/>
              <w:contextualSpacing/>
              <w:jc w:val="both"/>
              <w:rPr>
                <w:rStyle w:val="Emphasis"/>
                <w:rFonts w:cstheme="minorHAnsi"/>
                <w:b w:val="0"/>
              </w:rPr>
            </w:pPr>
          </w:p>
        </w:tc>
      </w:tr>
      <w:tr w:rsidR="006E22B8" w:rsidRPr="004A5651" w14:paraId="221095DE" w14:textId="77777777" w:rsidTr="00AD03F0">
        <w:trPr>
          <w:trHeight w:val="359"/>
        </w:trPr>
        <w:tc>
          <w:tcPr>
            <w:tcW w:w="2612" w:type="dxa"/>
          </w:tcPr>
          <w:p w14:paraId="3D4CB44F"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Unionist</w:t>
            </w:r>
          </w:p>
        </w:tc>
        <w:tc>
          <w:tcPr>
            <w:tcW w:w="771" w:type="dxa"/>
          </w:tcPr>
          <w:p w14:paraId="42AE1F67"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24</w:t>
            </w:r>
          </w:p>
        </w:tc>
        <w:tc>
          <w:tcPr>
            <w:tcW w:w="1004" w:type="dxa"/>
          </w:tcPr>
          <w:p w14:paraId="2CF7910E"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49</w:t>
            </w:r>
          </w:p>
        </w:tc>
        <w:tc>
          <w:tcPr>
            <w:tcW w:w="925" w:type="dxa"/>
          </w:tcPr>
          <w:p w14:paraId="3084895F"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56</w:t>
            </w:r>
          </w:p>
        </w:tc>
        <w:tc>
          <w:tcPr>
            <w:tcW w:w="925" w:type="dxa"/>
          </w:tcPr>
          <w:p w14:paraId="6796DFB2"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52</w:t>
            </w:r>
          </w:p>
        </w:tc>
      </w:tr>
      <w:tr w:rsidR="006E22B8" w:rsidRPr="004A5651" w14:paraId="7470097E" w14:textId="77777777" w:rsidTr="00AD03F0">
        <w:trPr>
          <w:trHeight w:val="344"/>
        </w:trPr>
        <w:tc>
          <w:tcPr>
            <w:tcW w:w="2612" w:type="dxa"/>
          </w:tcPr>
          <w:p w14:paraId="71523632"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Nationalist</w:t>
            </w:r>
          </w:p>
        </w:tc>
        <w:tc>
          <w:tcPr>
            <w:tcW w:w="771" w:type="dxa"/>
          </w:tcPr>
          <w:p w14:paraId="79F6001D"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19</w:t>
            </w:r>
          </w:p>
        </w:tc>
        <w:tc>
          <w:tcPr>
            <w:tcW w:w="1004" w:type="dxa"/>
          </w:tcPr>
          <w:p w14:paraId="6D6F64B9"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39</w:t>
            </w:r>
          </w:p>
        </w:tc>
        <w:tc>
          <w:tcPr>
            <w:tcW w:w="925" w:type="dxa"/>
          </w:tcPr>
          <w:p w14:paraId="657807B6"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43</w:t>
            </w:r>
          </w:p>
        </w:tc>
        <w:tc>
          <w:tcPr>
            <w:tcW w:w="925" w:type="dxa"/>
          </w:tcPr>
          <w:p w14:paraId="48CCD0B8"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40</w:t>
            </w:r>
          </w:p>
        </w:tc>
      </w:tr>
      <w:tr w:rsidR="006E22B8" w:rsidRPr="004A5651" w14:paraId="00791745" w14:textId="77777777" w:rsidTr="00AD03F0">
        <w:trPr>
          <w:trHeight w:val="344"/>
        </w:trPr>
        <w:tc>
          <w:tcPr>
            <w:tcW w:w="2612" w:type="dxa"/>
            <w:tcBorders>
              <w:bottom w:val="single" w:sz="4" w:space="0" w:color="auto"/>
            </w:tcBorders>
          </w:tcPr>
          <w:p w14:paraId="09292123" w14:textId="77777777" w:rsidR="006E22B8" w:rsidRPr="004A5651" w:rsidRDefault="006E22B8" w:rsidP="00AD03F0">
            <w:pPr>
              <w:spacing w:line="276" w:lineRule="auto"/>
              <w:contextualSpacing/>
              <w:jc w:val="both"/>
              <w:rPr>
                <w:rStyle w:val="Emphasis"/>
                <w:rFonts w:cstheme="minorHAnsi"/>
                <w:b w:val="0"/>
              </w:rPr>
            </w:pPr>
            <w:r w:rsidRPr="004A5651">
              <w:rPr>
                <w:rStyle w:val="Emphasis"/>
                <w:rFonts w:cstheme="minorHAnsi"/>
                <w:b w:val="0"/>
              </w:rPr>
              <w:t xml:space="preserve">        Other</w:t>
            </w:r>
          </w:p>
        </w:tc>
        <w:tc>
          <w:tcPr>
            <w:tcW w:w="771" w:type="dxa"/>
            <w:tcBorders>
              <w:bottom w:val="single" w:sz="4" w:space="0" w:color="auto"/>
            </w:tcBorders>
          </w:tcPr>
          <w:p w14:paraId="09E8E0A8"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6</w:t>
            </w:r>
          </w:p>
        </w:tc>
        <w:tc>
          <w:tcPr>
            <w:tcW w:w="1004" w:type="dxa"/>
            <w:tcBorders>
              <w:bottom w:val="single" w:sz="4" w:space="0" w:color="auto"/>
            </w:tcBorders>
          </w:tcPr>
          <w:p w14:paraId="45FF5590"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12</w:t>
            </w:r>
          </w:p>
        </w:tc>
        <w:tc>
          <w:tcPr>
            <w:tcW w:w="925" w:type="dxa"/>
            <w:tcBorders>
              <w:bottom w:val="single" w:sz="4" w:space="0" w:color="auto"/>
            </w:tcBorders>
          </w:tcPr>
          <w:p w14:paraId="6F82488E"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9</w:t>
            </w:r>
          </w:p>
        </w:tc>
        <w:tc>
          <w:tcPr>
            <w:tcW w:w="925" w:type="dxa"/>
            <w:tcBorders>
              <w:bottom w:val="single" w:sz="4" w:space="0" w:color="auto"/>
            </w:tcBorders>
          </w:tcPr>
          <w:p w14:paraId="74266838" w14:textId="77777777" w:rsidR="006E22B8" w:rsidRPr="004A5651" w:rsidRDefault="006E22B8" w:rsidP="00AD03F0">
            <w:pPr>
              <w:spacing w:line="276" w:lineRule="auto"/>
              <w:contextualSpacing/>
              <w:jc w:val="center"/>
              <w:rPr>
                <w:rStyle w:val="Emphasis"/>
                <w:rFonts w:cstheme="minorHAnsi"/>
                <w:b w:val="0"/>
              </w:rPr>
            </w:pPr>
            <w:r w:rsidRPr="004A5651">
              <w:rPr>
                <w:rStyle w:val="Emphasis"/>
                <w:rFonts w:cstheme="minorHAnsi"/>
                <w:b w:val="0"/>
              </w:rPr>
              <w:t>8</w:t>
            </w:r>
          </w:p>
        </w:tc>
      </w:tr>
    </w:tbl>
    <w:p w14:paraId="407E6D56" w14:textId="77777777" w:rsidR="006E22B8" w:rsidRDefault="006E22B8" w:rsidP="006E22B8">
      <w:pPr>
        <w:spacing w:after="0" w:line="276" w:lineRule="auto"/>
        <w:contextualSpacing/>
        <w:jc w:val="both"/>
        <w:rPr>
          <w:rStyle w:val="Emphasis"/>
          <w:rFonts w:cstheme="minorHAnsi"/>
          <w:b w:val="0"/>
        </w:rPr>
      </w:pPr>
    </w:p>
    <w:p w14:paraId="4D3549B8" w14:textId="77777777" w:rsidR="006E22B8" w:rsidRDefault="006E22B8" w:rsidP="006E22B8"/>
    <w:p w14:paraId="1059F61B" w14:textId="77777777" w:rsidR="006E22B8" w:rsidRDefault="006E22B8" w:rsidP="006E22B8"/>
    <w:p w14:paraId="6643309D" w14:textId="77777777" w:rsidR="006E22B8" w:rsidRDefault="006E22B8" w:rsidP="006E22B8"/>
    <w:p w14:paraId="3AACE9D3" w14:textId="77777777" w:rsidR="006E22B8" w:rsidRDefault="006E22B8" w:rsidP="006E22B8"/>
    <w:p w14:paraId="169327FC" w14:textId="77777777" w:rsidR="006E22B8" w:rsidRDefault="006E22B8" w:rsidP="006E22B8"/>
    <w:p w14:paraId="2671AA57" w14:textId="77777777" w:rsidR="006E22B8" w:rsidRDefault="006E22B8" w:rsidP="006E22B8"/>
    <w:p w14:paraId="71A0A37E" w14:textId="77777777" w:rsidR="006E22B8" w:rsidRDefault="006E22B8" w:rsidP="006E22B8"/>
    <w:p w14:paraId="3AAD1B73" w14:textId="77777777" w:rsidR="006E22B8" w:rsidRDefault="006E22B8" w:rsidP="006E22B8"/>
    <w:p w14:paraId="1E02DC3A" w14:textId="77777777" w:rsidR="006E22B8" w:rsidRDefault="006E22B8" w:rsidP="006E22B8"/>
    <w:p w14:paraId="6EC7618D" w14:textId="77777777" w:rsidR="006E22B8" w:rsidRDefault="006E22B8" w:rsidP="006E22B8"/>
    <w:p w14:paraId="71F65F2C" w14:textId="77777777" w:rsidR="006E22B8" w:rsidRDefault="006E22B8" w:rsidP="006E22B8"/>
    <w:p w14:paraId="13AE0C0E" w14:textId="77777777" w:rsidR="006E22B8" w:rsidRDefault="006E22B8" w:rsidP="006E22B8"/>
    <w:p w14:paraId="17112C50" w14:textId="77777777" w:rsidR="006E22B8" w:rsidRDefault="006E22B8" w:rsidP="006E22B8"/>
    <w:p w14:paraId="08DDA786" w14:textId="77777777" w:rsidR="006E22B8" w:rsidRDefault="006E22B8" w:rsidP="006E22B8"/>
    <w:p w14:paraId="5D2DEC2E" w14:textId="77777777" w:rsidR="009A6489" w:rsidRDefault="009A6489" w:rsidP="006E22B8"/>
    <w:p w14:paraId="45CA8C02" w14:textId="77777777" w:rsidR="009A6489" w:rsidRDefault="009A6489" w:rsidP="006E22B8"/>
    <w:p w14:paraId="066A06C4" w14:textId="77777777" w:rsidR="009A6489" w:rsidRDefault="009A6489" w:rsidP="006E22B8"/>
    <w:p w14:paraId="2C923F1B" w14:textId="77777777" w:rsidR="009A6489" w:rsidRDefault="009A6489" w:rsidP="006E22B8"/>
    <w:p w14:paraId="3A706478" w14:textId="77777777" w:rsidR="006E22B8" w:rsidRDefault="006E22B8" w:rsidP="006E22B8"/>
    <w:p w14:paraId="23E85B12" w14:textId="77777777" w:rsidR="009A6489" w:rsidRDefault="009A6489" w:rsidP="006E22B8">
      <w:pPr>
        <w:spacing w:after="0" w:line="276" w:lineRule="auto"/>
        <w:contextualSpacing/>
        <w:jc w:val="both"/>
      </w:pPr>
    </w:p>
    <w:p w14:paraId="39B6212D" w14:textId="77777777" w:rsidR="006E22B8" w:rsidRPr="006E22B8" w:rsidRDefault="006E22B8" w:rsidP="006E22B8">
      <w:pPr>
        <w:spacing w:after="0" w:line="276" w:lineRule="auto"/>
        <w:contextualSpacing/>
        <w:jc w:val="both"/>
        <w:rPr>
          <w:rStyle w:val="Emphasis"/>
          <w:rFonts w:cstheme="minorHAnsi"/>
          <w:sz w:val="24"/>
          <w:szCs w:val="24"/>
        </w:rPr>
      </w:pPr>
      <w:r w:rsidRPr="006E22B8">
        <w:rPr>
          <w:rStyle w:val="Emphasis"/>
          <w:rFonts w:cstheme="minorHAnsi"/>
          <w:sz w:val="24"/>
          <w:szCs w:val="24"/>
        </w:rPr>
        <w:t xml:space="preserve">Table 2: Working hours per week devoted to constituency service </w:t>
      </w:r>
    </w:p>
    <w:p w14:paraId="1B238F32" w14:textId="77777777" w:rsidR="006E22B8" w:rsidRPr="009B152A" w:rsidRDefault="006E22B8" w:rsidP="006E22B8">
      <w:pPr>
        <w:spacing w:after="0" w:line="276" w:lineRule="auto"/>
        <w:contextualSpacing/>
        <w:jc w:val="both"/>
        <w:rPr>
          <w:rStyle w:val="Emphasis"/>
          <w:rFonts w:cstheme="minorHAnsi"/>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385"/>
        <w:gridCol w:w="4626"/>
      </w:tblGrid>
      <w:tr w:rsidR="006E22B8" w:rsidRPr="00337A9C" w14:paraId="45241D5E" w14:textId="77777777" w:rsidTr="00AD03F0">
        <w:tc>
          <w:tcPr>
            <w:tcW w:w="3005" w:type="dxa"/>
            <w:tcBorders>
              <w:top w:val="single" w:sz="4" w:space="0" w:color="auto"/>
              <w:bottom w:val="single" w:sz="4" w:space="0" w:color="auto"/>
            </w:tcBorders>
          </w:tcPr>
          <w:p w14:paraId="3E392E75" w14:textId="77777777" w:rsidR="006E22B8" w:rsidRPr="009B152A" w:rsidRDefault="006E22B8" w:rsidP="00AD03F0">
            <w:pPr>
              <w:spacing w:line="360" w:lineRule="auto"/>
              <w:rPr>
                <w:rFonts w:cstheme="minorHAnsi"/>
              </w:rPr>
            </w:pPr>
          </w:p>
        </w:tc>
        <w:tc>
          <w:tcPr>
            <w:tcW w:w="1385" w:type="dxa"/>
            <w:tcBorders>
              <w:top w:val="single" w:sz="4" w:space="0" w:color="auto"/>
              <w:bottom w:val="single" w:sz="4" w:space="0" w:color="auto"/>
            </w:tcBorders>
          </w:tcPr>
          <w:p w14:paraId="32B8084F" w14:textId="77777777" w:rsidR="006E22B8" w:rsidRPr="009B152A" w:rsidRDefault="006E22B8" w:rsidP="00AD03F0">
            <w:pPr>
              <w:spacing w:line="360" w:lineRule="auto"/>
              <w:jc w:val="center"/>
              <w:rPr>
                <w:rFonts w:cstheme="minorHAnsi"/>
              </w:rPr>
            </w:pPr>
            <w:r w:rsidRPr="009B152A">
              <w:rPr>
                <w:rFonts w:cstheme="minorHAnsi"/>
              </w:rPr>
              <w:t>Sample % (n)</w:t>
            </w:r>
          </w:p>
        </w:tc>
        <w:tc>
          <w:tcPr>
            <w:tcW w:w="4626" w:type="dxa"/>
            <w:tcBorders>
              <w:top w:val="single" w:sz="4" w:space="0" w:color="auto"/>
              <w:bottom w:val="single" w:sz="4" w:space="0" w:color="auto"/>
            </w:tcBorders>
          </w:tcPr>
          <w:p w14:paraId="59239551" w14:textId="77777777" w:rsidR="006E22B8" w:rsidRPr="009B152A" w:rsidRDefault="006E22B8" w:rsidP="00AD03F0">
            <w:pPr>
              <w:spacing w:line="360" w:lineRule="auto"/>
              <w:jc w:val="center"/>
              <w:rPr>
                <w:rFonts w:cstheme="minorHAnsi"/>
              </w:rPr>
            </w:pPr>
            <w:r w:rsidRPr="009B152A">
              <w:rPr>
                <w:rFonts w:cstheme="minorHAnsi"/>
              </w:rPr>
              <w:t>Hours per week</w:t>
            </w:r>
          </w:p>
        </w:tc>
      </w:tr>
      <w:tr w:rsidR="006E22B8" w:rsidRPr="00337A9C" w14:paraId="15F447CA" w14:textId="77777777" w:rsidTr="00AD03F0">
        <w:tc>
          <w:tcPr>
            <w:tcW w:w="3005" w:type="dxa"/>
          </w:tcPr>
          <w:p w14:paraId="158769EE" w14:textId="77777777" w:rsidR="006E22B8" w:rsidRPr="00663ACC" w:rsidRDefault="006E22B8" w:rsidP="00AD03F0">
            <w:pPr>
              <w:spacing w:line="360" w:lineRule="auto"/>
              <w:rPr>
                <w:rFonts w:asciiTheme="majorHAnsi" w:hAnsiTheme="majorHAnsi" w:cstheme="minorHAnsi"/>
                <w:i/>
              </w:rPr>
            </w:pPr>
            <w:r w:rsidRPr="00663ACC">
              <w:rPr>
                <w:rFonts w:asciiTheme="majorHAnsi" w:hAnsiTheme="majorHAnsi" w:cstheme="minorHAnsi"/>
                <w:i/>
              </w:rPr>
              <w:t>Political party</w:t>
            </w:r>
          </w:p>
        </w:tc>
        <w:tc>
          <w:tcPr>
            <w:tcW w:w="1385" w:type="dxa"/>
          </w:tcPr>
          <w:p w14:paraId="06F78D95" w14:textId="77777777" w:rsidR="006E22B8" w:rsidRPr="00663ACC" w:rsidRDefault="006E22B8" w:rsidP="00AD03F0">
            <w:pPr>
              <w:spacing w:line="360" w:lineRule="auto"/>
              <w:jc w:val="center"/>
              <w:rPr>
                <w:rFonts w:asciiTheme="majorHAnsi" w:hAnsiTheme="majorHAnsi" w:cstheme="minorHAnsi"/>
              </w:rPr>
            </w:pPr>
          </w:p>
        </w:tc>
        <w:tc>
          <w:tcPr>
            <w:tcW w:w="4626" w:type="dxa"/>
          </w:tcPr>
          <w:p w14:paraId="61FF307E" w14:textId="77777777" w:rsidR="006E22B8" w:rsidRPr="00663ACC" w:rsidRDefault="006E22B8" w:rsidP="00AD03F0">
            <w:pPr>
              <w:spacing w:line="360" w:lineRule="auto"/>
              <w:jc w:val="center"/>
              <w:rPr>
                <w:rFonts w:asciiTheme="majorHAnsi" w:hAnsiTheme="majorHAnsi" w:cstheme="minorHAnsi"/>
              </w:rPr>
            </w:pPr>
          </w:p>
        </w:tc>
      </w:tr>
      <w:tr w:rsidR="006E22B8" w:rsidRPr="00337A9C" w14:paraId="0094679F" w14:textId="77777777" w:rsidTr="00AD03F0">
        <w:tc>
          <w:tcPr>
            <w:tcW w:w="3005" w:type="dxa"/>
          </w:tcPr>
          <w:p w14:paraId="5772C714"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DUP*</w:t>
            </w:r>
          </w:p>
        </w:tc>
        <w:tc>
          <w:tcPr>
            <w:tcW w:w="1385" w:type="dxa"/>
          </w:tcPr>
          <w:p w14:paraId="694C3B08"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32.6 (16)</w:t>
            </w:r>
          </w:p>
        </w:tc>
        <w:tc>
          <w:tcPr>
            <w:tcW w:w="4626" w:type="dxa"/>
          </w:tcPr>
          <w:p w14:paraId="2C8189E9"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32.25</w:t>
            </w:r>
          </w:p>
        </w:tc>
      </w:tr>
      <w:tr w:rsidR="006E22B8" w:rsidRPr="00337A9C" w14:paraId="3824FA5C" w14:textId="77777777" w:rsidTr="00AD03F0">
        <w:tc>
          <w:tcPr>
            <w:tcW w:w="3005" w:type="dxa"/>
          </w:tcPr>
          <w:p w14:paraId="5857E62C"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Sinn </w:t>
            </w:r>
            <w:r w:rsidRPr="00663ACC">
              <w:rPr>
                <w:rStyle w:val="Emphasis"/>
                <w:rFonts w:asciiTheme="majorHAnsi" w:hAnsiTheme="majorHAnsi" w:cstheme="minorHAnsi"/>
                <w:b w:val="0"/>
              </w:rPr>
              <w:t>Féin**</w:t>
            </w:r>
          </w:p>
        </w:tc>
        <w:tc>
          <w:tcPr>
            <w:tcW w:w="1385" w:type="dxa"/>
          </w:tcPr>
          <w:p w14:paraId="3F2614A8"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26.5 (13)</w:t>
            </w:r>
          </w:p>
        </w:tc>
        <w:tc>
          <w:tcPr>
            <w:tcW w:w="4626" w:type="dxa"/>
          </w:tcPr>
          <w:p w14:paraId="32F33AD6"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25.6</w:t>
            </w:r>
          </w:p>
        </w:tc>
      </w:tr>
      <w:tr w:rsidR="006E22B8" w:rsidRPr="00337A9C" w14:paraId="30AFDB38" w14:textId="77777777" w:rsidTr="00AD03F0">
        <w:tc>
          <w:tcPr>
            <w:tcW w:w="3005" w:type="dxa"/>
          </w:tcPr>
          <w:p w14:paraId="7DA5745C"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UUP*</w:t>
            </w:r>
          </w:p>
        </w:tc>
        <w:tc>
          <w:tcPr>
            <w:tcW w:w="1385" w:type="dxa"/>
          </w:tcPr>
          <w:p w14:paraId="4F6DDE90"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10.2 (5)</w:t>
            </w:r>
          </w:p>
        </w:tc>
        <w:tc>
          <w:tcPr>
            <w:tcW w:w="4626" w:type="dxa"/>
          </w:tcPr>
          <w:p w14:paraId="45001EF1"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29.8</w:t>
            </w:r>
          </w:p>
        </w:tc>
      </w:tr>
      <w:tr w:rsidR="006E22B8" w:rsidRPr="00337A9C" w14:paraId="2042E3A4" w14:textId="77777777" w:rsidTr="00AD03F0">
        <w:tc>
          <w:tcPr>
            <w:tcW w:w="3005" w:type="dxa"/>
          </w:tcPr>
          <w:p w14:paraId="6579BAC0"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SDLP**</w:t>
            </w:r>
          </w:p>
        </w:tc>
        <w:tc>
          <w:tcPr>
            <w:tcW w:w="1385" w:type="dxa"/>
          </w:tcPr>
          <w:p w14:paraId="09FE3590"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12.2 (6)</w:t>
            </w:r>
          </w:p>
        </w:tc>
        <w:tc>
          <w:tcPr>
            <w:tcW w:w="4626" w:type="dxa"/>
          </w:tcPr>
          <w:p w14:paraId="785998AC"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25.6</w:t>
            </w:r>
          </w:p>
        </w:tc>
      </w:tr>
      <w:tr w:rsidR="006E22B8" w:rsidRPr="00337A9C" w14:paraId="4747F895" w14:textId="77777777" w:rsidTr="00AD03F0">
        <w:tc>
          <w:tcPr>
            <w:tcW w:w="3005" w:type="dxa"/>
          </w:tcPr>
          <w:p w14:paraId="4123C672"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APNI***</w:t>
            </w:r>
          </w:p>
        </w:tc>
        <w:tc>
          <w:tcPr>
            <w:tcW w:w="1385" w:type="dxa"/>
          </w:tcPr>
          <w:p w14:paraId="1480E247"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10.2 (5)</w:t>
            </w:r>
          </w:p>
        </w:tc>
        <w:tc>
          <w:tcPr>
            <w:tcW w:w="4626" w:type="dxa"/>
          </w:tcPr>
          <w:p w14:paraId="2F756F9F"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23.4</w:t>
            </w:r>
          </w:p>
        </w:tc>
      </w:tr>
      <w:tr w:rsidR="006E22B8" w:rsidRPr="00337A9C" w14:paraId="5560BDF1" w14:textId="77777777" w:rsidTr="00AD03F0">
        <w:tc>
          <w:tcPr>
            <w:tcW w:w="3005" w:type="dxa"/>
          </w:tcPr>
          <w:p w14:paraId="2F185375" w14:textId="77777777" w:rsidR="006E22B8" w:rsidRPr="00663ACC" w:rsidRDefault="006E22B8" w:rsidP="00AD03F0">
            <w:pPr>
              <w:spacing w:line="360" w:lineRule="auto"/>
              <w:rPr>
                <w:rFonts w:asciiTheme="majorHAnsi" w:hAnsiTheme="majorHAnsi" w:cstheme="minorHAnsi"/>
                <w:i/>
              </w:rPr>
            </w:pPr>
            <w:r w:rsidRPr="00663ACC">
              <w:rPr>
                <w:rFonts w:asciiTheme="majorHAnsi" w:hAnsiTheme="majorHAnsi" w:cstheme="minorHAnsi"/>
                <w:i/>
              </w:rPr>
              <w:t>Community designation</w:t>
            </w:r>
          </w:p>
        </w:tc>
        <w:tc>
          <w:tcPr>
            <w:tcW w:w="1385" w:type="dxa"/>
          </w:tcPr>
          <w:p w14:paraId="5346757C" w14:textId="77777777" w:rsidR="006E22B8" w:rsidRPr="00663ACC" w:rsidRDefault="006E22B8" w:rsidP="00AD03F0">
            <w:pPr>
              <w:spacing w:line="360" w:lineRule="auto"/>
              <w:jc w:val="center"/>
              <w:rPr>
                <w:rFonts w:asciiTheme="majorHAnsi" w:hAnsiTheme="majorHAnsi" w:cstheme="minorHAnsi"/>
                <w:sz w:val="20"/>
                <w:szCs w:val="20"/>
              </w:rPr>
            </w:pPr>
          </w:p>
        </w:tc>
        <w:tc>
          <w:tcPr>
            <w:tcW w:w="4626" w:type="dxa"/>
          </w:tcPr>
          <w:p w14:paraId="511608E9" w14:textId="77777777" w:rsidR="006E22B8" w:rsidRPr="00663ACC" w:rsidRDefault="006E22B8" w:rsidP="00AD03F0">
            <w:pPr>
              <w:spacing w:line="360" w:lineRule="auto"/>
              <w:jc w:val="center"/>
              <w:rPr>
                <w:rFonts w:asciiTheme="majorHAnsi" w:hAnsiTheme="majorHAnsi" w:cstheme="minorHAnsi"/>
                <w:sz w:val="20"/>
                <w:szCs w:val="20"/>
              </w:rPr>
            </w:pPr>
          </w:p>
        </w:tc>
      </w:tr>
      <w:tr w:rsidR="006E22B8" w:rsidRPr="00337A9C" w14:paraId="2F90C8A7" w14:textId="77777777" w:rsidTr="00AD03F0">
        <w:tc>
          <w:tcPr>
            <w:tcW w:w="3005" w:type="dxa"/>
          </w:tcPr>
          <w:p w14:paraId="7B63A495"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Unionist</w:t>
            </w:r>
          </w:p>
        </w:tc>
        <w:tc>
          <w:tcPr>
            <w:tcW w:w="1385" w:type="dxa"/>
          </w:tcPr>
          <w:p w14:paraId="38ADE6C2"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48.9 (24)</w:t>
            </w:r>
          </w:p>
        </w:tc>
        <w:tc>
          <w:tcPr>
            <w:tcW w:w="4626" w:type="dxa"/>
          </w:tcPr>
          <w:p w14:paraId="027A796C"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31.04</w:t>
            </w:r>
          </w:p>
        </w:tc>
      </w:tr>
      <w:tr w:rsidR="006E22B8" w:rsidRPr="00337A9C" w14:paraId="2846878D" w14:textId="77777777" w:rsidTr="00AD03F0">
        <w:tc>
          <w:tcPr>
            <w:tcW w:w="3005" w:type="dxa"/>
          </w:tcPr>
          <w:p w14:paraId="606E6CC9"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Nationalist</w:t>
            </w:r>
          </w:p>
        </w:tc>
        <w:tc>
          <w:tcPr>
            <w:tcW w:w="1385" w:type="dxa"/>
          </w:tcPr>
          <w:p w14:paraId="07503BC1"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38.7 (19)</w:t>
            </w:r>
          </w:p>
        </w:tc>
        <w:tc>
          <w:tcPr>
            <w:tcW w:w="4626" w:type="dxa"/>
          </w:tcPr>
          <w:p w14:paraId="2C1121B3"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25.68</w:t>
            </w:r>
          </w:p>
        </w:tc>
      </w:tr>
      <w:tr w:rsidR="006E22B8" w:rsidRPr="00337A9C" w14:paraId="0F5BFFF1" w14:textId="77777777" w:rsidTr="00AD03F0">
        <w:tc>
          <w:tcPr>
            <w:tcW w:w="3005" w:type="dxa"/>
          </w:tcPr>
          <w:p w14:paraId="34CAF68D" w14:textId="77777777" w:rsidR="006E22B8" w:rsidRPr="00663ACC" w:rsidRDefault="006E22B8" w:rsidP="00AD03F0">
            <w:pPr>
              <w:spacing w:line="360" w:lineRule="auto"/>
              <w:rPr>
                <w:rFonts w:asciiTheme="majorHAnsi" w:hAnsiTheme="majorHAnsi" w:cstheme="minorHAnsi"/>
              </w:rPr>
            </w:pPr>
            <w:r w:rsidRPr="00663ACC">
              <w:rPr>
                <w:rFonts w:asciiTheme="majorHAnsi" w:hAnsiTheme="majorHAnsi" w:cstheme="minorHAnsi"/>
              </w:rPr>
              <w:t xml:space="preserve">   Other</w:t>
            </w:r>
          </w:p>
        </w:tc>
        <w:tc>
          <w:tcPr>
            <w:tcW w:w="1385" w:type="dxa"/>
          </w:tcPr>
          <w:p w14:paraId="69616041"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12.2 (6)</w:t>
            </w:r>
          </w:p>
        </w:tc>
        <w:tc>
          <w:tcPr>
            <w:tcW w:w="4626" w:type="dxa"/>
          </w:tcPr>
          <w:p w14:paraId="57B68011" w14:textId="77777777" w:rsidR="006E22B8" w:rsidRPr="00663ACC" w:rsidRDefault="006E22B8" w:rsidP="00AD03F0">
            <w:pPr>
              <w:spacing w:line="360" w:lineRule="auto"/>
              <w:jc w:val="center"/>
              <w:rPr>
                <w:rFonts w:asciiTheme="majorHAnsi" w:hAnsiTheme="majorHAnsi" w:cstheme="minorHAnsi"/>
              </w:rPr>
            </w:pPr>
            <w:r w:rsidRPr="00663ACC">
              <w:rPr>
                <w:rFonts w:asciiTheme="majorHAnsi" w:hAnsiTheme="majorHAnsi" w:cstheme="minorHAnsi"/>
              </w:rPr>
              <w:t>20.30</w:t>
            </w:r>
          </w:p>
        </w:tc>
      </w:tr>
      <w:tr w:rsidR="006E22B8" w:rsidRPr="00337A9C" w14:paraId="3BC9C9C9" w14:textId="77777777" w:rsidTr="00AD03F0">
        <w:tc>
          <w:tcPr>
            <w:tcW w:w="3005" w:type="dxa"/>
            <w:tcBorders>
              <w:top w:val="single" w:sz="4" w:space="0" w:color="auto"/>
              <w:bottom w:val="single" w:sz="4" w:space="0" w:color="auto"/>
            </w:tcBorders>
          </w:tcPr>
          <w:p w14:paraId="57768C61" w14:textId="77777777" w:rsidR="006E22B8" w:rsidRPr="00337A9C" w:rsidRDefault="006E22B8" w:rsidP="00AD03F0">
            <w:pPr>
              <w:spacing w:line="360" w:lineRule="auto"/>
              <w:rPr>
                <w:rFonts w:cstheme="minorHAnsi"/>
                <w:sz w:val="20"/>
                <w:szCs w:val="20"/>
              </w:rPr>
            </w:pPr>
            <w:r w:rsidRPr="00337A9C">
              <w:rPr>
                <w:rFonts w:cstheme="minorHAnsi"/>
                <w:sz w:val="20"/>
                <w:szCs w:val="20"/>
              </w:rPr>
              <w:t>Weighted average</w:t>
            </w:r>
          </w:p>
        </w:tc>
        <w:tc>
          <w:tcPr>
            <w:tcW w:w="1385" w:type="dxa"/>
            <w:tcBorders>
              <w:top w:val="single" w:sz="4" w:space="0" w:color="auto"/>
              <w:bottom w:val="single" w:sz="4" w:space="0" w:color="auto"/>
            </w:tcBorders>
          </w:tcPr>
          <w:p w14:paraId="79F4382E" w14:textId="77777777" w:rsidR="006E22B8" w:rsidRPr="00337A9C" w:rsidRDefault="006E22B8" w:rsidP="00AD03F0">
            <w:pPr>
              <w:spacing w:line="360" w:lineRule="auto"/>
              <w:jc w:val="center"/>
              <w:rPr>
                <w:rFonts w:cstheme="minorHAnsi"/>
                <w:sz w:val="20"/>
                <w:szCs w:val="20"/>
              </w:rPr>
            </w:pPr>
            <w:r w:rsidRPr="00337A9C">
              <w:rPr>
                <w:rFonts w:cstheme="minorHAnsi"/>
                <w:sz w:val="20"/>
                <w:szCs w:val="20"/>
              </w:rPr>
              <w:t>100 (49)</w:t>
            </w:r>
          </w:p>
        </w:tc>
        <w:tc>
          <w:tcPr>
            <w:tcW w:w="4626" w:type="dxa"/>
            <w:tcBorders>
              <w:top w:val="single" w:sz="4" w:space="0" w:color="auto"/>
              <w:bottom w:val="single" w:sz="4" w:space="0" w:color="auto"/>
            </w:tcBorders>
          </w:tcPr>
          <w:p w14:paraId="291C3FD6" w14:textId="77777777" w:rsidR="006E22B8" w:rsidRPr="00337A9C" w:rsidRDefault="006E22B8" w:rsidP="00AD03F0">
            <w:pPr>
              <w:spacing w:line="360" w:lineRule="auto"/>
              <w:jc w:val="center"/>
              <w:rPr>
                <w:rFonts w:cstheme="minorHAnsi"/>
                <w:sz w:val="20"/>
                <w:szCs w:val="20"/>
              </w:rPr>
            </w:pPr>
            <w:r w:rsidRPr="00337A9C">
              <w:rPr>
                <w:rFonts w:cstheme="minorHAnsi"/>
                <w:sz w:val="20"/>
                <w:szCs w:val="20"/>
              </w:rPr>
              <w:t>27.9</w:t>
            </w:r>
          </w:p>
        </w:tc>
      </w:tr>
    </w:tbl>
    <w:p w14:paraId="474F0414" w14:textId="77777777" w:rsidR="006E22B8" w:rsidRPr="004A5651" w:rsidRDefault="006E22B8" w:rsidP="006E22B8">
      <w:pPr>
        <w:spacing w:after="0" w:line="276" w:lineRule="auto"/>
        <w:contextualSpacing/>
        <w:jc w:val="both"/>
        <w:rPr>
          <w:rStyle w:val="Emphasis"/>
          <w:rFonts w:cstheme="minorHAnsi"/>
          <w:b w:val="0"/>
        </w:rPr>
      </w:pPr>
      <w:r w:rsidRPr="004A5651">
        <w:rPr>
          <w:rStyle w:val="Emphasis"/>
          <w:rFonts w:cstheme="minorHAnsi"/>
          <w:b w:val="0"/>
          <w:i/>
        </w:rPr>
        <w:t>Note</w:t>
      </w:r>
      <w:r w:rsidRPr="004A5651">
        <w:rPr>
          <w:rStyle w:val="Emphasis"/>
          <w:rFonts w:cstheme="minorHAnsi"/>
          <w:b w:val="0"/>
        </w:rPr>
        <w:t>: *Unionist, **Nationalist, ***Other.</w:t>
      </w:r>
    </w:p>
    <w:p w14:paraId="3D5C47DC" w14:textId="77777777" w:rsidR="006E22B8" w:rsidRDefault="006E22B8" w:rsidP="006E22B8"/>
    <w:p w14:paraId="183D9F89" w14:textId="77777777" w:rsidR="006E22B8" w:rsidRDefault="006E22B8" w:rsidP="006E22B8"/>
    <w:p w14:paraId="0F1E11BB" w14:textId="77777777" w:rsidR="006E22B8" w:rsidRDefault="006E22B8" w:rsidP="006E22B8"/>
    <w:p w14:paraId="0F9AE6F0" w14:textId="77777777" w:rsidR="006E22B8" w:rsidRDefault="006E22B8" w:rsidP="006E22B8"/>
    <w:p w14:paraId="449A3AE9" w14:textId="77777777" w:rsidR="006E22B8" w:rsidRDefault="006E22B8" w:rsidP="006E22B8"/>
    <w:p w14:paraId="6BD2DF8C" w14:textId="77777777" w:rsidR="006E22B8" w:rsidRDefault="006E22B8" w:rsidP="006E22B8"/>
    <w:p w14:paraId="13D6F513" w14:textId="77777777" w:rsidR="006E22B8" w:rsidRDefault="006E22B8" w:rsidP="006E22B8"/>
    <w:p w14:paraId="38848D14" w14:textId="77777777" w:rsidR="006E22B8" w:rsidRDefault="006E22B8" w:rsidP="006E22B8"/>
    <w:p w14:paraId="5025146D" w14:textId="77777777" w:rsidR="006E22B8" w:rsidRDefault="006E22B8" w:rsidP="006E22B8"/>
    <w:p w14:paraId="398D8379" w14:textId="77777777" w:rsidR="006E22B8" w:rsidRDefault="006E22B8" w:rsidP="006E22B8"/>
    <w:p w14:paraId="04F985B0" w14:textId="77777777" w:rsidR="006E22B8" w:rsidRDefault="006E22B8" w:rsidP="006E22B8"/>
    <w:p w14:paraId="738A6469" w14:textId="77777777" w:rsidR="006E22B8" w:rsidRDefault="006E22B8" w:rsidP="006E22B8"/>
    <w:p w14:paraId="1F3B082F" w14:textId="77777777" w:rsidR="006E22B8" w:rsidRDefault="006E22B8" w:rsidP="006E22B8"/>
    <w:p w14:paraId="36B5A640" w14:textId="77777777" w:rsidR="006E22B8" w:rsidRDefault="006E22B8" w:rsidP="006E22B8"/>
    <w:p w14:paraId="71B7C169" w14:textId="77777777" w:rsidR="006E22B8" w:rsidRDefault="006E22B8" w:rsidP="006E22B8"/>
    <w:p w14:paraId="3183C305" w14:textId="77777777" w:rsidR="006E22B8" w:rsidRDefault="006E22B8" w:rsidP="006E22B8"/>
    <w:p w14:paraId="16438535" w14:textId="77777777" w:rsidR="006E22B8" w:rsidRDefault="006E22B8" w:rsidP="006E22B8">
      <w:pPr>
        <w:spacing w:after="0" w:line="360" w:lineRule="auto"/>
        <w:jc w:val="both"/>
      </w:pPr>
    </w:p>
    <w:p w14:paraId="018BC79A" w14:textId="77777777" w:rsidR="009A6489" w:rsidRDefault="009A6489" w:rsidP="006E22B8">
      <w:pPr>
        <w:spacing w:after="0" w:line="360" w:lineRule="auto"/>
        <w:jc w:val="both"/>
      </w:pPr>
    </w:p>
    <w:p w14:paraId="375A0FCE" w14:textId="651B1676" w:rsidR="006E22B8" w:rsidRPr="004A5651" w:rsidRDefault="006E22B8" w:rsidP="006E22B8">
      <w:pPr>
        <w:spacing w:line="276" w:lineRule="auto"/>
        <w:contextualSpacing/>
        <w:jc w:val="both"/>
        <w:rPr>
          <w:rStyle w:val="Emphasis"/>
          <w:rFonts w:cstheme="minorHAnsi"/>
          <w:b w:val="0"/>
          <w:sz w:val="24"/>
          <w:szCs w:val="24"/>
        </w:rPr>
      </w:pPr>
      <w:r>
        <w:rPr>
          <w:rStyle w:val="Emphasis"/>
          <w:rFonts w:cstheme="minorHAnsi"/>
          <w:sz w:val="24"/>
          <w:szCs w:val="24"/>
        </w:rPr>
        <w:t>Table 3</w:t>
      </w:r>
      <w:r w:rsidRPr="004A5651">
        <w:rPr>
          <w:rStyle w:val="Emphasis"/>
          <w:rFonts w:cstheme="minorHAnsi"/>
          <w:b w:val="0"/>
          <w:sz w:val="24"/>
          <w:szCs w:val="24"/>
        </w:rPr>
        <w:t xml:space="preserve">: </w:t>
      </w:r>
      <w:r>
        <w:rPr>
          <w:rStyle w:val="Emphasis"/>
          <w:rFonts w:cstheme="minorHAnsi"/>
          <w:sz w:val="24"/>
          <w:szCs w:val="24"/>
        </w:rPr>
        <w:t>Role orientation matrix</w:t>
      </w:r>
    </w:p>
    <w:p w14:paraId="151D2B9A" w14:textId="77777777" w:rsidR="006E22B8" w:rsidRPr="00A67056" w:rsidRDefault="006E22B8" w:rsidP="006E22B8">
      <w:pPr>
        <w:spacing w:line="276" w:lineRule="auto"/>
        <w:contextualSpacing/>
        <w:jc w:val="both"/>
        <w:rPr>
          <w:rStyle w:val="Emphasis"/>
          <w:rFonts w:ascii="Times New Roman" w:hAnsi="Times New Roman" w:cs="Times New Roman"/>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706"/>
        <w:gridCol w:w="2693"/>
      </w:tblGrid>
      <w:tr w:rsidR="006E22B8" w:rsidRPr="00A67056" w14:paraId="1736BAA5" w14:textId="77777777" w:rsidTr="00AD03F0">
        <w:tc>
          <w:tcPr>
            <w:tcW w:w="4390" w:type="dxa"/>
            <w:tcBorders>
              <w:top w:val="single" w:sz="4" w:space="0" w:color="auto"/>
              <w:bottom w:val="single" w:sz="4" w:space="0" w:color="auto"/>
            </w:tcBorders>
          </w:tcPr>
          <w:p w14:paraId="1B1E7DA7" w14:textId="77777777" w:rsidR="006E22B8" w:rsidRPr="00A67056" w:rsidRDefault="006E22B8" w:rsidP="00AD03F0">
            <w:pPr>
              <w:rPr>
                <w:rFonts w:cstheme="minorHAnsi"/>
              </w:rPr>
            </w:pPr>
            <w:r>
              <w:rPr>
                <w:rFonts w:cstheme="minorHAnsi"/>
              </w:rPr>
              <w:t>P</w:t>
            </w:r>
            <w:r w:rsidRPr="00A67056">
              <w:rPr>
                <w:rFonts w:cstheme="minorHAnsi"/>
              </w:rPr>
              <w:t>riority</w:t>
            </w:r>
          </w:p>
        </w:tc>
        <w:tc>
          <w:tcPr>
            <w:tcW w:w="1706" w:type="dxa"/>
            <w:tcBorders>
              <w:top w:val="single" w:sz="4" w:space="0" w:color="auto"/>
              <w:bottom w:val="single" w:sz="4" w:space="0" w:color="auto"/>
            </w:tcBorders>
          </w:tcPr>
          <w:p w14:paraId="7BC726D0" w14:textId="77777777" w:rsidR="006E22B8" w:rsidRPr="00A67056" w:rsidRDefault="006E22B8" w:rsidP="00AD03F0">
            <w:pPr>
              <w:rPr>
                <w:rFonts w:cstheme="minorHAnsi"/>
              </w:rPr>
            </w:pPr>
            <w:r w:rsidRPr="00A67056">
              <w:rPr>
                <w:rFonts w:cstheme="minorHAnsi"/>
              </w:rPr>
              <w:t>Subtype</w:t>
            </w:r>
          </w:p>
        </w:tc>
        <w:tc>
          <w:tcPr>
            <w:tcW w:w="2693" w:type="dxa"/>
            <w:tcBorders>
              <w:top w:val="single" w:sz="4" w:space="0" w:color="auto"/>
              <w:bottom w:val="single" w:sz="4" w:space="0" w:color="auto"/>
            </w:tcBorders>
          </w:tcPr>
          <w:p w14:paraId="2228EDC7" w14:textId="77777777" w:rsidR="006E22B8" w:rsidRPr="00A67056" w:rsidRDefault="006E22B8" w:rsidP="00AD03F0">
            <w:pPr>
              <w:rPr>
                <w:rFonts w:cstheme="minorHAnsi"/>
              </w:rPr>
            </w:pPr>
            <w:r w:rsidRPr="00A67056">
              <w:rPr>
                <w:rFonts w:cstheme="minorHAnsi"/>
              </w:rPr>
              <w:t>Role Orientation</w:t>
            </w:r>
          </w:p>
        </w:tc>
      </w:tr>
      <w:tr w:rsidR="006E22B8" w:rsidRPr="00A67056" w14:paraId="62A625CB" w14:textId="77777777" w:rsidTr="00AD03F0">
        <w:tc>
          <w:tcPr>
            <w:tcW w:w="4390" w:type="dxa"/>
            <w:tcBorders>
              <w:top w:val="single" w:sz="4" w:space="0" w:color="auto"/>
            </w:tcBorders>
          </w:tcPr>
          <w:p w14:paraId="29A30D21" w14:textId="77777777" w:rsidR="006E22B8" w:rsidRPr="009A6489" w:rsidRDefault="006E22B8" w:rsidP="00AD03F0">
            <w:pPr>
              <w:rPr>
                <w:rFonts w:asciiTheme="majorHAnsi" w:hAnsiTheme="majorHAnsi" w:cstheme="minorHAnsi"/>
              </w:rPr>
            </w:pPr>
            <w:proofErr w:type="gramStart"/>
            <w:r w:rsidRPr="009A6489">
              <w:rPr>
                <w:rFonts w:asciiTheme="majorHAnsi" w:hAnsiTheme="majorHAnsi" w:cstheme="minorHAnsi"/>
              </w:rPr>
              <w:t>Providing assistance to</w:t>
            </w:r>
            <w:proofErr w:type="gramEnd"/>
            <w:r w:rsidRPr="009A6489">
              <w:rPr>
                <w:rFonts w:asciiTheme="majorHAnsi" w:hAnsiTheme="majorHAnsi" w:cstheme="minorHAnsi"/>
              </w:rPr>
              <w:t xml:space="preserve"> individual constituents </w:t>
            </w:r>
          </w:p>
        </w:tc>
        <w:tc>
          <w:tcPr>
            <w:tcW w:w="1706" w:type="dxa"/>
            <w:tcBorders>
              <w:top w:val="single" w:sz="4" w:space="0" w:color="auto"/>
            </w:tcBorders>
          </w:tcPr>
          <w:p w14:paraId="6F3B85E0"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Welfare Officer</w:t>
            </w:r>
          </w:p>
        </w:tc>
        <w:tc>
          <w:tcPr>
            <w:tcW w:w="2693" w:type="dxa"/>
            <w:tcBorders>
              <w:top w:val="single" w:sz="4" w:space="0" w:color="auto"/>
            </w:tcBorders>
          </w:tcPr>
          <w:p w14:paraId="598BC8E0"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Constituency Member</w:t>
            </w:r>
          </w:p>
        </w:tc>
      </w:tr>
      <w:tr w:rsidR="006E22B8" w:rsidRPr="00A67056" w14:paraId="4954BEEC" w14:textId="77777777" w:rsidTr="00AD03F0">
        <w:tc>
          <w:tcPr>
            <w:tcW w:w="4390" w:type="dxa"/>
          </w:tcPr>
          <w:p w14:paraId="1B04D695" w14:textId="77777777" w:rsidR="006E22B8" w:rsidRPr="009A6489" w:rsidRDefault="006E22B8" w:rsidP="00AD03F0">
            <w:pPr>
              <w:rPr>
                <w:rFonts w:asciiTheme="majorHAnsi" w:hAnsiTheme="majorHAnsi" w:cstheme="minorHAnsi"/>
              </w:rPr>
            </w:pPr>
          </w:p>
          <w:p w14:paraId="23A8D2F2"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To advance the social and economic wellbeing of my constituency</w:t>
            </w:r>
          </w:p>
        </w:tc>
        <w:tc>
          <w:tcPr>
            <w:tcW w:w="1706" w:type="dxa"/>
          </w:tcPr>
          <w:p w14:paraId="1EB145F6" w14:textId="77777777" w:rsidR="006E22B8" w:rsidRPr="009A6489" w:rsidRDefault="006E22B8" w:rsidP="00AD03F0">
            <w:pPr>
              <w:rPr>
                <w:rFonts w:asciiTheme="majorHAnsi" w:hAnsiTheme="majorHAnsi" w:cstheme="minorHAnsi"/>
              </w:rPr>
            </w:pPr>
          </w:p>
          <w:p w14:paraId="11D5C31D"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Local Promoter</w:t>
            </w:r>
          </w:p>
        </w:tc>
        <w:tc>
          <w:tcPr>
            <w:tcW w:w="2693" w:type="dxa"/>
          </w:tcPr>
          <w:p w14:paraId="50AAF3B8" w14:textId="77777777" w:rsidR="006E22B8" w:rsidRPr="009A6489" w:rsidRDefault="006E22B8" w:rsidP="00AD03F0">
            <w:pPr>
              <w:rPr>
                <w:rFonts w:asciiTheme="majorHAnsi" w:hAnsiTheme="majorHAnsi" w:cstheme="minorHAnsi"/>
              </w:rPr>
            </w:pPr>
          </w:p>
        </w:tc>
      </w:tr>
      <w:tr w:rsidR="006E22B8" w:rsidRPr="00A67056" w14:paraId="5B053E4D" w14:textId="77777777" w:rsidTr="00AD03F0">
        <w:tc>
          <w:tcPr>
            <w:tcW w:w="4390" w:type="dxa"/>
          </w:tcPr>
          <w:p w14:paraId="532D3ED9" w14:textId="77777777" w:rsidR="006E22B8" w:rsidRPr="009A6489" w:rsidRDefault="006E22B8" w:rsidP="00AD03F0">
            <w:pPr>
              <w:rPr>
                <w:rFonts w:asciiTheme="majorHAnsi" w:hAnsiTheme="majorHAnsi" w:cstheme="minorHAnsi"/>
              </w:rPr>
            </w:pPr>
          </w:p>
          <w:p w14:paraId="09D0DFE1"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To influence policy and legislation</w:t>
            </w:r>
          </w:p>
          <w:p w14:paraId="2D29746F" w14:textId="77777777" w:rsidR="006E22B8" w:rsidRPr="009A6489" w:rsidRDefault="006E22B8" w:rsidP="00AD03F0">
            <w:pPr>
              <w:rPr>
                <w:rFonts w:asciiTheme="majorHAnsi" w:hAnsiTheme="majorHAnsi" w:cstheme="minorHAnsi"/>
              </w:rPr>
            </w:pPr>
          </w:p>
        </w:tc>
        <w:tc>
          <w:tcPr>
            <w:tcW w:w="1706" w:type="dxa"/>
          </w:tcPr>
          <w:p w14:paraId="2A649AEB" w14:textId="77777777" w:rsidR="006E22B8" w:rsidRPr="009A6489" w:rsidRDefault="006E22B8" w:rsidP="00AD03F0">
            <w:pPr>
              <w:rPr>
                <w:rFonts w:asciiTheme="majorHAnsi" w:hAnsiTheme="majorHAnsi" w:cstheme="minorHAnsi"/>
              </w:rPr>
            </w:pPr>
          </w:p>
        </w:tc>
        <w:tc>
          <w:tcPr>
            <w:tcW w:w="2693" w:type="dxa"/>
          </w:tcPr>
          <w:p w14:paraId="709805FB" w14:textId="77777777" w:rsidR="006E22B8" w:rsidRPr="009A6489" w:rsidRDefault="006E22B8" w:rsidP="00AD03F0">
            <w:pPr>
              <w:rPr>
                <w:rFonts w:asciiTheme="majorHAnsi" w:hAnsiTheme="majorHAnsi" w:cstheme="minorHAnsi"/>
              </w:rPr>
            </w:pPr>
          </w:p>
          <w:p w14:paraId="132A5B82"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Non-Constituency Member</w:t>
            </w:r>
          </w:p>
        </w:tc>
      </w:tr>
      <w:tr w:rsidR="006E22B8" w:rsidRPr="00A67056" w14:paraId="30F8B57A" w14:textId="77777777" w:rsidTr="00AD03F0">
        <w:tc>
          <w:tcPr>
            <w:tcW w:w="4390" w:type="dxa"/>
          </w:tcPr>
          <w:p w14:paraId="7333F306"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To advance my political party’s objectives</w:t>
            </w:r>
          </w:p>
        </w:tc>
        <w:tc>
          <w:tcPr>
            <w:tcW w:w="1706" w:type="dxa"/>
          </w:tcPr>
          <w:p w14:paraId="2AFF3254" w14:textId="77777777" w:rsidR="006E22B8" w:rsidRPr="009A6489" w:rsidRDefault="006E22B8" w:rsidP="00AD03F0">
            <w:pPr>
              <w:rPr>
                <w:rFonts w:asciiTheme="majorHAnsi" w:hAnsiTheme="majorHAnsi" w:cstheme="minorHAnsi"/>
              </w:rPr>
            </w:pPr>
          </w:p>
        </w:tc>
        <w:tc>
          <w:tcPr>
            <w:tcW w:w="2693" w:type="dxa"/>
          </w:tcPr>
          <w:p w14:paraId="1B3A91D1" w14:textId="77777777" w:rsidR="006E22B8" w:rsidRPr="009A6489" w:rsidRDefault="006E22B8" w:rsidP="00AD03F0">
            <w:pPr>
              <w:rPr>
                <w:rFonts w:asciiTheme="majorHAnsi" w:hAnsiTheme="majorHAnsi" w:cstheme="minorHAnsi"/>
              </w:rPr>
            </w:pPr>
          </w:p>
        </w:tc>
      </w:tr>
      <w:tr w:rsidR="006E22B8" w:rsidRPr="00A67056" w14:paraId="57FF7986" w14:textId="77777777" w:rsidTr="00AD03F0">
        <w:tc>
          <w:tcPr>
            <w:tcW w:w="4390" w:type="dxa"/>
            <w:tcBorders>
              <w:bottom w:val="single" w:sz="4" w:space="0" w:color="auto"/>
            </w:tcBorders>
          </w:tcPr>
          <w:p w14:paraId="5056C5C9" w14:textId="77777777" w:rsidR="006E22B8" w:rsidRPr="009A6489" w:rsidRDefault="006E22B8" w:rsidP="00AD03F0">
            <w:pPr>
              <w:rPr>
                <w:rFonts w:asciiTheme="majorHAnsi" w:hAnsiTheme="majorHAnsi" w:cstheme="minorHAnsi"/>
              </w:rPr>
            </w:pPr>
          </w:p>
          <w:p w14:paraId="2BEEA043" w14:textId="77777777" w:rsidR="006E22B8" w:rsidRPr="009A6489" w:rsidRDefault="006E22B8" w:rsidP="00AD03F0">
            <w:pPr>
              <w:rPr>
                <w:rFonts w:asciiTheme="majorHAnsi" w:hAnsiTheme="majorHAnsi" w:cstheme="minorHAnsi"/>
              </w:rPr>
            </w:pPr>
            <w:r w:rsidRPr="009A6489">
              <w:rPr>
                <w:rFonts w:asciiTheme="majorHAnsi" w:hAnsiTheme="majorHAnsi" w:cstheme="minorHAnsi"/>
              </w:rPr>
              <w:t>To advance the interest of the Northern Ireland Assembly</w:t>
            </w:r>
          </w:p>
        </w:tc>
        <w:tc>
          <w:tcPr>
            <w:tcW w:w="1706" w:type="dxa"/>
            <w:tcBorders>
              <w:bottom w:val="single" w:sz="4" w:space="0" w:color="auto"/>
            </w:tcBorders>
          </w:tcPr>
          <w:p w14:paraId="7C8707EC" w14:textId="77777777" w:rsidR="006E22B8" w:rsidRPr="009A6489" w:rsidRDefault="006E22B8" w:rsidP="00AD03F0">
            <w:pPr>
              <w:rPr>
                <w:rFonts w:asciiTheme="majorHAnsi" w:hAnsiTheme="majorHAnsi" w:cstheme="minorHAnsi"/>
              </w:rPr>
            </w:pPr>
          </w:p>
        </w:tc>
        <w:tc>
          <w:tcPr>
            <w:tcW w:w="2693" w:type="dxa"/>
            <w:tcBorders>
              <w:bottom w:val="single" w:sz="4" w:space="0" w:color="auto"/>
            </w:tcBorders>
          </w:tcPr>
          <w:p w14:paraId="6347E3EA" w14:textId="77777777" w:rsidR="006E22B8" w:rsidRPr="009A6489" w:rsidRDefault="006E22B8" w:rsidP="00AD03F0">
            <w:pPr>
              <w:rPr>
                <w:rFonts w:asciiTheme="majorHAnsi" w:hAnsiTheme="majorHAnsi" w:cstheme="minorHAnsi"/>
              </w:rPr>
            </w:pPr>
          </w:p>
        </w:tc>
      </w:tr>
    </w:tbl>
    <w:p w14:paraId="7EE5EAA2" w14:textId="14C052D1" w:rsidR="006E22B8" w:rsidRPr="00A67056" w:rsidRDefault="006E22B8" w:rsidP="006E22B8">
      <w:pPr>
        <w:rPr>
          <w:rFonts w:cstheme="minorHAnsi"/>
        </w:rPr>
      </w:pPr>
    </w:p>
    <w:p w14:paraId="55674AB4" w14:textId="77777777" w:rsidR="006E22B8" w:rsidRDefault="006E22B8" w:rsidP="006E22B8">
      <w:pPr>
        <w:spacing w:after="0" w:line="360" w:lineRule="auto"/>
        <w:jc w:val="both"/>
        <w:rPr>
          <w:rFonts w:cstheme="minorHAnsi"/>
          <w:b/>
          <w:sz w:val="24"/>
          <w:szCs w:val="24"/>
        </w:rPr>
      </w:pPr>
    </w:p>
    <w:p w14:paraId="76A9ACFC" w14:textId="77777777" w:rsidR="006E22B8" w:rsidRDefault="006E22B8" w:rsidP="006E22B8">
      <w:pPr>
        <w:spacing w:after="0" w:line="360" w:lineRule="auto"/>
        <w:jc w:val="both"/>
        <w:rPr>
          <w:rFonts w:cstheme="minorHAnsi"/>
          <w:b/>
          <w:sz w:val="24"/>
          <w:szCs w:val="24"/>
        </w:rPr>
      </w:pPr>
    </w:p>
    <w:p w14:paraId="665E3854" w14:textId="77777777" w:rsidR="006E22B8" w:rsidRDefault="006E22B8" w:rsidP="006E22B8">
      <w:pPr>
        <w:spacing w:after="0" w:line="360" w:lineRule="auto"/>
        <w:jc w:val="both"/>
        <w:rPr>
          <w:rFonts w:cstheme="minorHAnsi"/>
          <w:b/>
          <w:sz w:val="24"/>
          <w:szCs w:val="24"/>
        </w:rPr>
      </w:pPr>
    </w:p>
    <w:p w14:paraId="47A3E73A" w14:textId="77777777" w:rsidR="006E22B8" w:rsidRDefault="006E22B8" w:rsidP="006E22B8">
      <w:pPr>
        <w:spacing w:after="0" w:line="360" w:lineRule="auto"/>
        <w:jc w:val="both"/>
        <w:rPr>
          <w:rFonts w:cstheme="minorHAnsi"/>
          <w:b/>
          <w:sz w:val="24"/>
          <w:szCs w:val="24"/>
        </w:rPr>
      </w:pPr>
    </w:p>
    <w:p w14:paraId="75EA6772" w14:textId="77777777" w:rsidR="006E22B8" w:rsidRDefault="006E22B8" w:rsidP="006E22B8">
      <w:pPr>
        <w:spacing w:after="0" w:line="360" w:lineRule="auto"/>
        <w:jc w:val="both"/>
        <w:rPr>
          <w:rFonts w:cstheme="minorHAnsi"/>
          <w:b/>
          <w:sz w:val="24"/>
          <w:szCs w:val="24"/>
        </w:rPr>
      </w:pPr>
    </w:p>
    <w:p w14:paraId="3C8F7647" w14:textId="77777777" w:rsidR="006E22B8" w:rsidRDefault="006E22B8" w:rsidP="006E22B8">
      <w:pPr>
        <w:spacing w:after="0" w:line="360" w:lineRule="auto"/>
        <w:jc w:val="both"/>
        <w:rPr>
          <w:rFonts w:cstheme="minorHAnsi"/>
          <w:b/>
          <w:sz w:val="24"/>
          <w:szCs w:val="24"/>
        </w:rPr>
      </w:pPr>
    </w:p>
    <w:p w14:paraId="66B950FD" w14:textId="77777777" w:rsidR="006E22B8" w:rsidRDefault="006E22B8" w:rsidP="006E22B8">
      <w:pPr>
        <w:spacing w:after="0" w:line="360" w:lineRule="auto"/>
        <w:jc w:val="both"/>
        <w:rPr>
          <w:rFonts w:cstheme="minorHAnsi"/>
          <w:b/>
          <w:sz w:val="24"/>
          <w:szCs w:val="24"/>
        </w:rPr>
      </w:pPr>
    </w:p>
    <w:p w14:paraId="6E64F9E3" w14:textId="77777777" w:rsidR="006E22B8" w:rsidRDefault="006E22B8" w:rsidP="006E22B8">
      <w:pPr>
        <w:spacing w:after="0" w:line="360" w:lineRule="auto"/>
        <w:jc w:val="both"/>
        <w:rPr>
          <w:rFonts w:cstheme="minorHAnsi"/>
          <w:b/>
          <w:sz w:val="24"/>
          <w:szCs w:val="24"/>
        </w:rPr>
      </w:pPr>
    </w:p>
    <w:p w14:paraId="32D35C99" w14:textId="77777777" w:rsidR="006E22B8" w:rsidRDefault="006E22B8" w:rsidP="006E22B8">
      <w:pPr>
        <w:spacing w:after="0" w:line="360" w:lineRule="auto"/>
        <w:jc w:val="both"/>
        <w:rPr>
          <w:rFonts w:cstheme="minorHAnsi"/>
          <w:b/>
          <w:sz w:val="24"/>
          <w:szCs w:val="24"/>
        </w:rPr>
      </w:pPr>
    </w:p>
    <w:p w14:paraId="7194190B" w14:textId="77777777" w:rsidR="006E22B8" w:rsidRDefault="006E22B8" w:rsidP="006E22B8">
      <w:pPr>
        <w:spacing w:after="0" w:line="360" w:lineRule="auto"/>
        <w:jc w:val="both"/>
        <w:rPr>
          <w:rFonts w:cstheme="minorHAnsi"/>
          <w:b/>
          <w:sz w:val="24"/>
          <w:szCs w:val="24"/>
        </w:rPr>
      </w:pPr>
    </w:p>
    <w:p w14:paraId="5991B56D" w14:textId="77777777" w:rsidR="006E22B8" w:rsidRDefault="006E22B8" w:rsidP="006E22B8">
      <w:pPr>
        <w:spacing w:after="0" w:line="360" w:lineRule="auto"/>
        <w:jc w:val="both"/>
        <w:rPr>
          <w:rFonts w:cstheme="minorHAnsi"/>
          <w:b/>
          <w:sz w:val="24"/>
          <w:szCs w:val="24"/>
        </w:rPr>
      </w:pPr>
    </w:p>
    <w:p w14:paraId="45EA0F4F" w14:textId="77777777" w:rsidR="006E22B8" w:rsidRDefault="006E22B8" w:rsidP="006E22B8">
      <w:pPr>
        <w:spacing w:after="0" w:line="360" w:lineRule="auto"/>
        <w:jc w:val="both"/>
        <w:rPr>
          <w:rFonts w:cstheme="minorHAnsi"/>
          <w:b/>
          <w:sz w:val="24"/>
          <w:szCs w:val="24"/>
        </w:rPr>
      </w:pPr>
    </w:p>
    <w:p w14:paraId="3F5A1514" w14:textId="77777777" w:rsidR="006E22B8" w:rsidRDefault="006E22B8" w:rsidP="006E22B8">
      <w:pPr>
        <w:spacing w:after="0" w:line="360" w:lineRule="auto"/>
        <w:jc w:val="both"/>
        <w:rPr>
          <w:rFonts w:cstheme="minorHAnsi"/>
          <w:b/>
          <w:sz w:val="24"/>
          <w:szCs w:val="24"/>
        </w:rPr>
      </w:pPr>
    </w:p>
    <w:p w14:paraId="7DE76FC3" w14:textId="77777777" w:rsidR="006E22B8" w:rsidRDefault="006E22B8" w:rsidP="006E22B8">
      <w:pPr>
        <w:spacing w:after="0" w:line="360" w:lineRule="auto"/>
        <w:jc w:val="both"/>
        <w:rPr>
          <w:rFonts w:cstheme="minorHAnsi"/>
          <w:b/>
          <w:sz w:val="24"/>
          <w:szCs w:val="24"/>
        </w:rPr>
      </w:pPr>
    </w:p>
    <w:p w14:paraId="32B78154" w14:textId="77777777" w:rsidR="006E22B8" w:rsidRDefault="006E22B8" w:rsidP="006E22B8">
      <w:pPr>
        <w:spacing w:after="0" w:line="360" w:lineRule="auto"/>
        <w:jc w:val="both"/>
        <w:rPr>
          <w:rFonts w:cstheme="minorHAnsi"/>
          <w:b/>
          <w:sz w:val="24"/>
          <w:szCs w:val="24"/>
        </w:rPr>
      </w:pPr>
    </w:p>
    <w:p w14:paraId="44E94629" w14:textId="77777777" w:rsidR="006E22B8" w:rsidRDefault="006E22B8" w:rsidP="006E22B8">
      <w:pPr>
        <w:spacing w:after="0" w:line="360" w:lineRule="auto"/>
        <w:jc w:val="both"/>
        <w:rPr>
          <w:rFonts w:cstheme="minorHAnsi"/>
          <w:b/>
          <w:sz w:val="24"/>
          <w:szCs w:val="24"/>
        </w:rPr>
      </w:pPr>
    </w:p>
    <w:p w14:paraId="44357A25" w14:textId="77777777" w:rsidR="006E22B8" w:rsidRDefault="006E22B8" w:rsidP="006E22B8">
      <w:pPr>
        <w:spacing w:after="0" w:line="360" w:lineRule="auto"/>
        <w:jc w:val="both"/>
        <w:rPr>
          <w:rFonts w:cstheme="minorHAnsi"/>
          <w:b/>
          <w:sz w:val="24"/>
          <w:szCs w:val="24"/>
        </w:rPr>
      </w:pPr>
    </w:p>
    <w:p w14:paraId="6A751BC9" w14:textId="77777777" w:rsidR="009A6489" w:rsidRDefault="009A6489" w:rsidP="006E22B8">
      <w:pPr>
        <w:spacing w:after="0" w:line="360" w:lineRule="auto"/>
        <w:jc w:val="both"/>
        <w:rPr>
          <w:rFonts w:cstheme="minorHAnsi"/>
          <w:b/>
          <w:sz w:val="24"/>
          <w:szCs w:val="24"/>
        </w:rPr>
      </w:pPr>
    </w:p>
    <w:p w14:paraId="3DD9ED45" w14:textId="77777777" w:rsidR="009A6489" w:rsidRDefault="009A6489" w:rsidP="006E22B8">
      <w:pPr>
        <w:spacing w:after="0" w:line="360" w:lineRule="auto"/>
        <w:jc w:val="both"/>
        <w:rPr>
          <w:rFonts w:cstheme="minorHAnsi"/>
          <w:b/>
          <w:sz w:val="24"/>
          <w:szCs w:val="24"/>
        </w:rPr>
      </w:pPr>
    </w:p>
    <w:p w14:paraId="65CE0EC1" w14:textId="77777777" w:rsidR="00D7550F" w:rsidRDefault="00D7550F" w:rsidP="006E22B8">
      <w:pPr>
        <w:spacing w:after="0" w:line="360" w:lineRule="auto"/>
        <w:jc w:val="both"/>
        <w:rPr>
          <w:rFonts w:cstheme="minorHAnsi"/>
          <w:b/>
          <w:sz w:val="24"/>
          <w:szCs w:val="24"/>
        </w:rPr>
      </w:pPr>
    </w:p>
    <w:p w14:paraId="6C703F43" w14:textId="77777777" w:rsidR="009A6489" w:rsidRDefault="009A6489" w:rsidP="006E22B8">
      <w:pPr>
        <w:spacing w:after="0" w:line="360" w:lineRule="auto"/>
        <w:jc w:val="both"/>
        <w:rPr>
          <w:rFonts w:cstheme="minorHAnsi"/>
          <w:b/>
          <w:sz w:val="24"/>
          <w:szCs w:val="24"/>
        </w:rPr>
      </w:pPr>
    </w:p>
    <w:p w14:paraId="2334E880" w14:textId="77777777" w:rsidR="009A6489" w:rsidRDefault="009A6489" w:rsidP="006E22B8">
      <w:pPr>
        <w:spacing w:after="0" w:line="360" w:lineRule="auto"/>
        <w:jc w:val="both"/>
        <w:rPr>
          <w:rFonts w:cstheme="minorHAnsi"/>
          <w:b/>
          <w:sz w:val="24"/>
          <w:szCs w:val="24"/>
        </w:rPr>
      </w:pPr>
    </w:p>
    <w:p w14:paraId="1A91C241" w14:textId="77777777" w:rsidR="006E22B8" w:rsidRDefault="006E22B8" w:rsidP="006E22B8">
      <w:pPr>
        <w:spacing w:after="0" w:line="360" w:lineRule="auto"/>
        <w:jc w:val="both"/>
        <w:rPr>
          <w:rFonts w:cstheme="minorHAnsi"/>
          <w:b/>
          <w:sz w:val="24"/>
          <w:szCs w:val="24"/>
        </w:rPr>
      </w:pPr>
      <w:r>
        <w:rPr>
          <w:rFonts w:cstheme="minorHAnsi"/>
          <w:b/>
          <w:sz w:val="24"/>
          <w:szCs w:val="24"/>
        </w:rPr>
        <w:t>Table 4</w:t>
      </w:r>
      <w:r w:rsidRPr="004A5651">
        <w:rPr>
          <w:rFonts w:cstheme="minorHAnsi"/>
          <w:b/>
          <w:sz w:val="24"/>
          <w:szCs w:val="24"/>
        </w:rPr>
        <w:t>: The distribution of Constituency and Non-Constituency Members</w:t>
      </w:r>
    </w:p>
    <w:p w14:paraId="64D60610" w14:textId="77777777" w:rsidR="006E22B8" w:rsidRPr="004A5651" w:rsidRDefault="006E22B8" w:rsidP="006E22B8">
      <w:pPr>
        <w:spacing w:after="0" w:line="240" w:lineRule="auto"/>
        <w:jc w:val="both"/>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56"/>
        <w:gridCol w:w="856"/>
        <w:gridCol w:w="1979"/>
      </w:tblGrid>
      <w:tr w:rsidR="009A6489" w:rsidRPr="004A5651" w14:paraId="70EE1DCE" w14:textId="77777777" w:rsidTr="00AD03F0">
        <w:tc>
          <w:tcPr>
            <w:tcW w:w="2830" w:type="dxa"/>
            <w:tcBorders>
              <w:top w:val="single" w:sz="4" w:space="0" w:color="auto"/>
              <w:bottom w:val="single" w:sz="4" w:space="0" w:color="auto"/>
            </w:tcBorders>
          </w:tcPr>
          <w:p w14:paraId="01B38B7A" w14:textId="77777777" w:rsidR="009A6489" w:rsidRPr="004A5651" w:rsidRDefault="009A6489" w:rsidP="00AD03F0">
            <w:pPr>
              <w:spacing w:line="360" w:lineRule="auto"/>
              <w:rPr>
                <w:rFonts w:asciiTheme="majorHAnsi" w:hAnsiTheme="majorHAnsi" w:cstheme="majorHAnsi"/>
              </w:rPr>
            </w:pPr>
            <w:r w:rsidRPr="004A5651">
              <w:rPr>
                <w:rFonts w:asciiTheme="majorHAnsi" w:hAnsiTheme="majorHAnsi" w:cstheme="majorHAnsi"/>
              </w:rPr>
              <w:t>Role</w:t>
            </w:r>
          </w:p>
        </w:tc>
        <w:tc>
          <w:tcPr>
            <w:tcW w:w="856" w:type="dxa"/>
            <w:tcBorders>
              <w:top w:val="single" w:sz="4" w:space="0" w:color="auto"/>
              <w:bottom w:val="single" w:sz="4" w:space="0" w:color="auto"/>
            </w:tcBorders>
          </w:tcPr>
          <w:p w14:paraId="5FFA7DDE"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N</w:t>
            </w:r>
          </w:p>
        </w:tc>
        <w:tc>
          <w:tcPr>
            <w:tcW w:w="856" w:type="dxa"/>
            <w:tcBorders>
              <w:top w:val="single" w:sz="4" w:space="0" w:color="auto"/>
              <w:bottom w:val="single" w:sz="4" w:space="0" w:color="auto"/>
            </w:tcBorders>
          </w:tcPr>
          <w:p w14:paraId="27BB907C"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w:t>
            </w:r>
          </w:p>
        </w:tc>
        <w:tc>
          <w:tcPr>
            <w:tcW w:w="1979" w:type="dxa"/>
            <w:tcBorders>
              <w:top w:val="single" w:sz="4" w:space="0" w:color="auto"/>
              <w:bottom w:val="single" w:sz="4" w:space="0" w:color="auto"/>
            </w:tcBorders>
          </w:tcPr>
          <w:p w14:paraId="61A29F90"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Mean constituency hours</w:t>
            </w:r>
          </w:p>
        </w:tc>
      </w:tr>
      <w:tr w:rsidR="009A6489" w:rsidRPr="004A5651" w14:paraId="4C03A3C2" w14:textId="77777777" w:rsidTr="00AD03F0">
        <w:tc>
          <w:tcPr>
            <w:tcW w:w="2830" w:type="dxa"/>
            <w:tcBorders>
              <w:top w:val="single" w:sz="4" w:space="0" w:color="auto"/>
            </w:tcBorders>
          </w:tcPr>
          <w:p w14:paraId="79FA5946" w14:textId="77777777" w:rsidR="009A6489" w:rsidRPr="004A5651" w:rsidRDefault="009A6489" w:rsidP="00AD03F0">
            <w:pPr>
              <w:rPr>
                <w:rFonts w:asciiTheme="majorHAnsi" w:hAnsiTheme="majorHAnsi" w:cstheme="majorHAnsi"/>
              </w:rPr>
            </w:pPr>
            <w:r w:rsidRPr="004A5651">
              <w:rPr>
                <w:rFonts w:asciiTheme="majorHAnsi" w:hAnsiTheme="majorHAnsi" w:cstheme="majorHAnsi"/>
              </w:rPr>
              <w:t>Constituency members</w:t>
            </w:r>
          </w:p>
          <w:p w14:paraId="143FD2EF" w14:textId="77777777" w:rsidR="009A6489" w:rsidRPr="004A5651" w:rsidRDefault="009A6489" w:rsidP="00AD03F0">
            <w:pPr>
              <w:rPr>
                <w:rFonts w:asciiTheme="majorHAnsi" w:hAnsiTheme="majorHAnsi" w:cstheme="majorHAnsi"/>
              </w:rPr>
            </w:pPr>
          </w:p>
        </w:tc>
        <w:tc>
          <w:tcPr>
            <w:tcW w:w="856" w:type="dxa"/>
            <w:tcBorders>
              <w:top w:val="single" w:sz="4" w:space="0" w:color="auto"/>
            </w:tcBorders>
          </w:tcPr>
          <w:p w14:paraId="6F8BE214" w14:textId="4F352556" w:rsidR="009A6489" w:rsidRPr="004A5651" w:rsidRDefault="009A6489" w:rsidP="00AD03F0">
            <w:pPr>
              <w:jc w:val="center"/>
              <w:rPr>
                <w:rFonts w:asciiTheme="majorHAnsi" w:hAnsiTheme="majorHAnsi" w:cstheme="majorHAnsi"/>
              </w:rPr>
            </w:pPr>
            <w:r>
              <w:rPr>
                <w:rFonts w:asciiTheme="majorHAnsi" w:hAnsiTheme="majorHAnsi" w:cstheme="majorHAnsi"/>
              </w:rPr>
              <w:t>34</w:t>
            </w:r>
          </w:p>
        </w:tc>
        <w:tc>
          <w:tcPr>
            <w:tcW w:w="856" w:type="dxa"/>
            <w:tcBorders>
              <w:top w:val="single" w:sz="4" w:space="0" w:color="auto"/>
            </w:tcBorders>
          </w:tcPr>
          <w:p w14:paraId="646D0F80" w14:textId="2E86C3C4" w:rsidR="009A6489" w:rsidRPr="004A5651" w:rsidRDefault="009A6489" w:rsidP="00AD03F0">
            <w:pPr>
              <w:jc w:val="center"/>
              <w:rPr>
                <w:rFonts w:asciiTheme="majorHAnsi" w:hAnsiTheme="majorHAnsi" w:cstheme="majorHAnsi"/>
              </w:rPr>
            </w:pPr>
            <w:r>
              <w:rPr>
                <w:rFonts w:asciiTheme="majorHAnsi" w:hAnsiTheme="majorHAnsi" w:cstheme="majorHAnsi"/>
              </w:rPr>
              <w:t>69.3</w:t>
            </w:r>
          </w:p>
        </w:tc>
        <w:tc>
          <w:tcPr>
            <w:tcW w:w="1979" w:type="dxa"/>
            <w:tcBorders>
              <w:top w:val="single" w:sz="4" w:space="0" w:color="auto"/>
            </w:tcBorders>
          </w:tcPr>
          <w:p w14:paraId="46F8939E" w14:textId="2CFC8FA5" w:rsidR="009A6489" w:rsidRPr="004A5651" w:rsidRDefault="009A6489" w:rsidP="00AD03F0">
            <w:pPr>
              <w:jc w:val="center"/>
              <w:rPr>
                <w:rFonts w:asciiTheme="majorHAnsi" w:hAnsiTheme="majorHAnsi" w:cstheme="majorHAnsi"/>
              </w:rPr>
            </w:pPr>
            <w:r>
              <w:rPr>
                <w:rFonts w:asciiTheme="majorHAnsi" w:hAnsiTheme="majorHAnsi" w:cstheme="majorHAnsi"/>
              </w:rPr>
              <w:t>30.9</w:t>
            </w:r>
          </w:p>
        </w:tc>
      </w:tr>
      <w:tr w:rsidR="009A6489" w:rsidRPr="004A5651" w14:paraId="6DDA0043" w14:textId="77777777" w:rsidTr="00AD03F0">
        <w:tc>
          <w:tcPr>
            <w:tcW w:w="2830" w:type="dxa"/>
          </w:tcPr>
          <w:p w14:paraId="42AE1DFF" w14:textId="77777777" w:rsidR="009A6489" w:rsidRPr="004A5651" w:rsidRDefault="009A6489" w:rsidP="00AD03F0">
            <w:pPr>
              <w:rPr>
                <w:rFonts w:asciiTheme="majorHAnsi" w:hAnsiTheme="majorHAnsi" w:cstheme="majorHAnsi"/>
              </w:rPr>
            </w:pPr>
            <w:r w:rsidRPr="004A5651">
              <w:rPr>
                <w:rFonts w:asciiTheme="majorHAnsi" w:hAnsiTheme="majorHAnsi" w:cstheme="majorHAnsi"/>
              </w:rPr>
              <w:t xml:space="preserve">      Welfare Officer</w:t>
            </w:r>
          </w:p>
          <w:p w14:paraId="2CC19548" w14:textId="77777777" w:rsidR="009A6489" w:rsidRPr="004A5651" w:rsidRDefault="009A6489" w:rsidP="00AD03F0">
            <w:pPr>
              <w:rPr>
                <w:rFonts w:asciiTheme="majorHAnsi" w:hAnsiTheme="majorHAnsi" w:cstheme="majorHAnsi"/>
              </w:rPr>
            </w:pPr>
          </w:p>
        </w:tc>
        <w:tc>
          <w:tcPr>
            <w:tcW w:w="856" w:type="dxa"/>
          </w:tcPr>
          <w:p w14:paraId="1988B63D" w14:textId="3FD530DA" w:rsidR="009A6489" w:rsidRPr="004A5651" w:rsidRDefault="009A6489" w:rsidP="00AD03F0">
            <w:pPr>
              <w:jc w:val="center"/>
              <w:rPr>
                <w:rFonts w:asciiTheme="majorHAnsi" w:hAnsiTheme="majorHAnsi" w:cstheme="majorHAnsi"/>
              </w:rPr>
            </w:pPr>
            <w:r>
              <w:rPr>
                <w:rFonts w:asciiTheme="majorHAnsi" w:hAnsiTheme="majorHAnsi" w:cstheme="majorHAnsi"/>
              </w:rPr>
              <w:t>20</w:t>
            </w:r>
          </w:p>
        </w:tc>
        <w:tc>
          <w:tcPr>
            <w:tcW w:w="856" w:type="dxa"/>
          </w:tcPr>
          <w:p w14:paraId="2CC3F5CA" w14:textId="0CF1FC6D" w:rsidR="009A6489" w:rsidRPr="004A5651" w:rsidRDefault="009A6489" w:rsidP="00AD03F0">
            <w:pPr>
              <w:jc w:val="center"/>
              <w:rPr>
                <w:rFonts w:asciiTheme="majorHAnsi" w:hAnsiTheme="majorHAnsi" w:cstheme="majorHAnsi"/>
              </w:rPr>
            </w:pPr>
            <w:r>
              <w:rPr>
                <w:rFonts w:asciiTheme="majorHAnsi" w:hAnsiTheme="majorHAnsi" w:cstheme="majorHAnsi"/>
              </w:rPr>
              <w:t>40</w:t>
            </w:r>
            <w:r w:rsidRPr="004A5651">
              <w:rPr>
                <w:rFonts w:asciiTheme="majorHAnsi" w:hAnsiTheme="majorHAnsi" w:cstheme="majorHAnsi"/>
              </w:rPr>
              <w:t>.8</w:t>
            </w:r>
          </w:p>
        </w:tc>
        <w:tc>
          <w:tcPr>
            <w:tcW w:w="1979" w:type="dxa"/>
          </w:tcPr>
          <w:p w14:paraId="74B8FFA0" w14:textId="41006C9A" w:rsidR="009A6489" w:rsidRPr="004A5651" w:rsidRDefault="009A6489" w:rsidP="00AD03F0">
            <w:pPr>
              <w:jc w:val="center"/>
              <w:rPr>
                <w:rFonts w:asciiTheme="majorHAnsi" w:hAnsiTheme="majorHAnsi" w:cstheme="majorHAnsi"/>
              </w:rPr>
            </w:pPr>
            <w:r>
              <w:rPr>
                <w:rFonts w:asciiTheme="majorHAnsi" w:hAnsiTheme="majorHAnsi" w:cstheme="majorHAnsi"/>
              </w:rPr>
              <w:t>29.8</w:t>
            </w:r>
          </w:p>
        </w:tc>
      </w:tr>
      <w:tr w:rsidR="009A6489" w:rsidRPr="004A5651" w14:paraId="1940B26C" w14:textId="77777777" w:rsidTr="00AD03F0">
        <w:tc>
          <w:tcPr>
            <w:tcW w:w="2830" w:type="dxa"/>
          </w:tcPr>
          <w:p w14:paraId="5F48FC74" w14:textId="77777777" w:rsidR="009A6489" w:rsidRPr="004A5651" w:rsidRDefault="009A6489" w:rsidP="00AD03F0">
            <w:pPr>
              <w:rPr>
                <w:rFonts w:asciiTheme="majorHAnsi" w:hAnsiTheme="majorHAnsi" w:cstheme="majorHAnsi"/>
              </w:rPr>
            </w:pPr>
            <w:r w:rsidRPr="004A5651">
              <w:rPr>
                <w:rFonts w:asciiTheme="majorHAnsi" w:hAnsiTheme="majorHAnsi" w:cstheme="majorHAnsi"/>
              </w:rPr>
              <w:t xml:space="preserve">      Local Promoter</w:t>
            </w:r>
          </w:p>
        </w:tc>
        <w:tc>
          <w:tcPr>
            <w:tcW w:w="856" w:type="dxa"/>
          </w:tcPr>
          <w:p w14:paraId="0E09E08F"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14</w:t>
            </w:r>
          </w:p>
          <w:p w14:paraId="2BF88F70" w14:textId="77777777" w:rsidR="009A6489" w:rsidRPr="004A5651" w:rsidRDefault="009A6489" w:rsidP="00AD03F0">
            <w:pPr>
              <w:jc w:val="center"/>
              <w:rPr>
                <w:rFonts w:asciiTheme="majorHAnsi" w:hAnsiTheme="majorHAnsi" w:cstheme="majorHAnsi"/>
              </w:rPr>
            </w:pPr>
          </w:p>
        </w:tc>
        <w:tc>
          <w:tcPr>
            <w:tcW w:w="856" w:type="dxa"/>
          </w:tcPr>
          <w:p w14:paraId="79A38C15" w14:textId="3B00A3F9" w:rsidR="009A6489" w:rsidRPr="004A5651" w:rsidRDefault="009A6489" w:rsidP="00AD03F0">
            <w:pPr>
              <w:jc w:val="center"/>
              <w:rPr>
                <w:rFonts w:asciiTheme="majorHAnsi" w:hAnsiTheme="majorHAnsi" w:cstheme="majorHAnsi"/>
              </w:rPr>
            </w:pPr>
            <w:r>
              <w:rPr>
                <w:rFonts w:asciiTheme="majorHAnsi" w:hAnsiTheme="majorHAnsi" w:cstheme="majorHAnsi"/>
              </w:rPr>
              <w:t>28.5</w:t>
            </w:r>
          </w:p>
          <w:p w14:paraId="1241FE03" w14:textId="77777777" w:rsidR="009A6489" w:rsidRPr="004A5651" w:rsidRDefault="009A6489" w:rsidP="00AD03F0">
            <w:pPr>
              <w:jc w:val="center"/>
              <w:rPr>
                <w:rFonts w:asciiTheme="majorHAnsi" w:hAnsiTheme="majorHAnsi" w:cstheme="majorHAnsi"/>
              </w:rPr>
            </w:pPr>
          </w:p>
        </w:tc>
        <w:tc>
          <w:tcPr>
            <w:tcW w:w="1979" w:type="dxa"/>
          </w:tcPr>
          <w:p w14:paraId="08BA80A6"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28.1</w:t>
            </w:r>
          </w:p>
        </w:tc>
      </w:tr>
      <w:tr w:rsidR="009A6489" w:rsidRPr="004A5651" w14:paraId="58104FE1" w14:textId="77777777" w:rsidTr="00AD03F0">
        <w:tc>
          <w:tcPr>
            <w:tcW w:w="2830" w:type="dxa"/>
            <w:tcBorders>
              <w:bottom w:val="single" w:sz="4" w:space="0" w:color="auto"/>
            </w:tcBorders>
          </w:tcPr>
          <w:p w14:paraId="620998D9" w14:textId="77777777" w:rsidR="009A6489" w:rsidRPr="004A5651" w:rsidRDefault="009A6489" w:rsidP="00AD03F0">
            <w:pPr>
              <w:rPr>
                <w:rFonts w:asciiTheme="majorHAnsi" w:hAnsiTheme="majorHAnsi" w:cstheme="majorHAnsi"/>
              </w:rPr>
            </w:pPr>
            <w:r w:rsidRPr="004A5651">
              <w:rPr>
                <w:rFonts w:asciiTheme="majorHAnsi" w:hAnsiTheme="majorHAnsi" w:cstheme="majorHAnsi"/>
              </w:rPr>
              <w:t>Non-Constituency members</w:t>
            </w:r>
          </w:p>
        </w:tc>
        <w:tc>
          <w:tcPr>
            <w:tcW w:w="856" w:type="dxa"/>
            <w:tcBorders>
              <w:bottom w:val="single" w:sz="4" w:space="0" w:color="auto"/>
            </w:tcBorders>
          </w:tcPr>
          <w:p w14:paraId="25399ED7"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15</w:t>
            </w:r>
          </w:p>
          <w:p w14:paraId="2E8F6810" w14:textId="77777777" w:rsidR="009A6489" w:rsidRPr="004A5651" w:rsidRDefault="009A6489" w:rsidP="00AD03F0">
            <w:pPr>
              <w:jc w:val="center"/>
              <w:rPr>
                <w:rFonts w:asciiTheme="majorHAnsi" w:hAnsiTheme="majorHAnsi" w:cstheme="majorHAnsi"/>
              </w:rPr>
            </w:pPr>
          </w:p>
        </w:tc>
        <w:tc>
          <w:tcPr>
            <w:tcW w:w="856" w:type="dxa"/>
            <w:tcBorders>
              <w:bottom w:val="single" w:sz="4" w:space="0" w:color="auto"/>
            </w:tcBorders>
          </w:tcPr>
          <w:p w14:paraId="4E97EC01" w14:textId="77777777" w:rsidR="009A6489" w:rsidRPr="004A5651" w:rsidRDefault="009A6489" w:rsidP="00AD03F0">
            <w:pPr>
              <w:jc w:val="center"/>
              <w:rPr>
                <w:rFonts w:asciiTheme="majorHAnsi" w:hAnsiTheme="majorHAnsi" w:cstheme="majorHAnsi"/>
              </w:rPr>
            </w:pPr>
            <w:r w:rsidRPr="004A5651">
              <w:rPr>
                <w:rFonts w:asciiTheme="majorHAnsi" w:hAnsiTheme="majorHAnsi" w:cstheme="majorHAnsi"/>
              </w:rPr>
              <w:t>30.6</w:t>
            </w:r>
          </w:p>
          <w:p w14:paraId="3545B310" w14:textId="77777777" w:rsidR="009A6489" w:rsidRPr="004A5651" w:rsidRDefault="009A6489" w:rsidP="00AD03F0">
            <w:pPr>
              <w:jc w:val="center"/>
              <w:rPr>
                <w:rFonts w:asciiTheme="majorHAnsi" w:hAnsiTheme="majorHAnsi" w:cstheme="majorHAnsi"/>
              </w:rPr>
            </w:pPr>
          </w:p>
        </w:tc>
        <w:tc>
          <w:tcPr>
            <w:tcW w:w="1979" w:type="dxa"/>
            <w:tcBorders>
              <w:bottom w:val="single" w:sz="4" w:space="0" w:color="auto"/>
            </w:tcBorders>
          </w:tcPr>
          <w:p w14:paraId="4DF33857" w14:textId="13610E46" w:rsidR="009A6489" w:rsidRPr="004A5651" w:rsidRDefault="009A6489" w:rsidP="00AD03F0">
            <w:pPr>
              <w:jc w:val="center"/>
              <w:rPr>
                <w:rFonts w:asciiTheme="majorHAnsi" w:hAnsiTheme="majorHAnsi" w:cstheme="majorHAnsi"/>
              </w:rPr>
            </w:pPr>
            <w:r>
              <w:rPr>
                <w:rFonts w:asciiTheme="majorHAnsi" w:hAnsiTheme="majorHAnsi" w:cstheme="majorHAnsi"/>
              </w:rPr>
              <w:t>20.8</w:t>
            </w:r>
          </w:p>
        </w:tc>
      </w:tr>
    </w:tbl>
    <w:p w14:paraId="04D53E23" w14:textId="242B379F" w:rsidR="006E22B8" w:rsidRPr="004A5651" w:rsidRDefault="006E22B8" w:rsidP="006E22B8">
      <w:pPr>
        <w:spacing w:line="276" w:lineRule="auto"/>
        <w:contextualSpacing/>
        <w:jc w:val="both"/>
        <w:rPr>
          <w:rStyle w:val="Emphasis"/>
          <w:rFonts w:cstheme="minorHAnsi"/>
          <w:b w:val="0"/>
        </w:rPr>
      </w:pPr>
    </w:p>
    <w:p w14:paraId="03BD7E90" w14:textId="77777777" w:rsidR="006E22B8" w:rsidRPr="004A5651" w:rsidRDefault="006E22B8" w:rsidP="006E22B8">
      <w:pPr>
        <w:spacing w:line="276" w:lineRule="auto"/>
        <w:contextualSpacing/>
        <w:jc w:val="both"/>
        <w:rPr>
          <w:rStyle w:val="Emphasis"/>
          <w:rFonts w:cstheme="minorHAnsi"/>
          <w:b w:val="0"/>
        </w:rPr>
      </w:pPr>
    </w:p>
    <w:p w14:paraId="17AD167C" w14:textId="77777777" w:rsidR="006E22B8" w:rsidRPr="004A5651" w:rsidRDefault="006E22B8" w:rsidP="006E22B8">
      <w:pPr>
        <w:spacing w:after="0" w:line="360" w:lineRule="auto"/>
        <w:contextualSpacing/>
        <w:jc w:val="both"/>
        <w:rPr>
          <w:rFonts w:cstheme="minorHAnsi"/>
        </w:rPr>
      </w:pPr>
    </w:p>
    <w:p w14:paraId="6644410D" w14:textId="77777777" w:rsidR="006E22B8" w:rsidRDefault="006E22B8" w:rsidP="006E22B8">
      <w:pPr>
        <w:spacing w:after="0" w:line="360" w:lineRule="auto"/>
        <w:contextualSpacing/>
        <w:jc w:val="both"/>
        <w:rPr>
          <w:rFonts w:cstheme="minorHAnsi"/>
          <w:sz w:val="24"/>
          <w:szCs w:val="24"/>
        </w:rPr>
      </w:pPr>
    </w:p>
    <w:p w14:paraId="63807DCA" w14:textId="77777777" w:rsidR="006E22B8" w:rsidRDefault="006E22B8" w:rsidP="006E22B8"/>
    <w:p w14:paraId="5366A811" w14:textId="77777777" w:rsidR="006E22B8" w:rsidRDefault="006E22B8" w:rsidP="006E22B8"/>
    <w:p w14:paraId="244A6D6B" w14:textId="77777777" w:rsidR="006E22B8" w:rsidRDefault="006E22B8" w:rsidP="006E22B8"/>
    <w:p w14:paraId="56546229" w14:textId="77777777" w:rsidR="006E22B8" w:rsidRDefault="006E22B8" w:rsidP="006E22B8"/>
    <w:p w14:paraId="7E4692E3" w14:textId="77777777" w:rsidR="006E22B8" w:rsidRDefault="006E22B8" w:rsidP="006E22B8"/>
    <w:p w14:paraId="747E000E" w14:textId="77777777" w:rsidR="006E22B8" w:rsidRDefault="006E22B8" w:rsidP="006E22B8"/>
    <w:p w14:paraId="20D50104" w14:textId="77777777" w:rsidR="006E22B8" w:rsidRDefault="006E22B8" w:rsidP="006E22B8"/>
    <w:p w14:paraId="2694A788" w14:textId="77777777" w:rsidR="006E22B8" w:rsidRDefault="006E22B8" w:rsidP="006E22B8"/>
    <w:p w14:paraId="2FEBE546" w14:textId="77777777" w:rsidR="006E22B8" w:rsidRDefault="006E22B8" w:rsidP="006E22B8"/>
    <w:p w14:paraId="07C7723E" w14:textId="77777777" w:rsidR="006E22B8" w:rsidRDefault="006E22B8" w:rsidP="006E22B8"/>
    <w:p w14:paraId="097676C4" w14:textId="77777777" w:rsidR="006E22B8" w:rsidRDefault="006E22B8" w:rsidP="006E22B8"/>
    <w:p w14:paraId="20B6E032" w14:textId="77777777" w:rsidR="006E22B8" w:rsidRDefault="006E22B8" w:rsidP="006E22B8"/>
    <w:p w14:paraId="22C3B156" w14:textId="77777777" w:rsidR="006E22B8" w:rsidRDefault="006E22B8" w:rsidP="006E22B8"/>
    <w:p w14:paraId="4876FB8C" w14:textId="77777777" w:rsidR="006E22B8" w:rsidRDefault="006E22B8" w:rsidP="006E22B8"/>
    <w:p w14:paraId="179CF265" w14:textId="77777777" w:rsidR="006E22B8" w:rsidRDefault="006E22B8" w:rsidP="006E22B8"/>
    <w:p w14:paraId="7B0BB992" w14:textId="77777777" w:rsidR="006E22B8" w:rsidRDefault="006E22B8" w:rsidP="006E22B8"/>
    <w:p w14:paraId="6DCEC768" w14:textId="77777777" w:rsidR="006E22B8" w:rsidRDefault="006E22B8" w:rsidP="006E22B8"/>
    <w:p w14:paraId="2937ED52" w14:textId="77777777" w:rsidR="009A6489" w:rsidRDefault="009A6489" w:rsidP="006E22B8"/>
    <w:p w14:paraId="30C4C257" w14:textId="77777777" w:rsidR="006E22B8" w:rsidRDefault="006E22B8" w:rsidP="006E22B8"/>
    <w:p w14:paraId="3FC82EFF" w14:textId="77777777" w:rsidR="009A6489" w:rsidRDefault="009A6489" w:rsidP="006E22B8">
      <w:pPr>
        <w:spacing w:after="0" w:line="276" w:lineRule="auto"/>
        <w:contextualSpacing/>
        <w:jc w:val="both"/>
      </w:pPr>
    </w:p>
    <w:p w14:paraId="140DD132" w14:textId="77777777" w:rsidR="006E22B8" w:rsidRPr="004A5651" w:rsidRDefault="006E22B8" w:rsidP="006E22B8">
      <w:pPr>
        <w:spacing w:after="0" w:line="276" w:lineRule="auto"/>
        <w:contextualSpacing/>
        <w:jc w:val="both"/>
        <w:rPr>
          <w:rStyle w:val="Emphasis"/>
          <w:rFonts w:cstheme="minorHAnsi"/>
          <w:sz w:val="24"/>
          <w:szCs w:val="24"/>
        </w:rPr>
      </w:pPr>
      <w:r>
        <w:rPr>
          <w:rStyle w:val="Emphasis"/>
          <w:rFonts w:cstheme="minorHAnsi"/>
          <w:sz w:val="24"/>
          <w:szCs w:val="24"/>
        </w:rPr>
        <w:t>Table 5</w:t>
      </w:r>
      <w:r w:rsidRPr="004A5651">
        <w:rPr>
          <w:rStyle w:val="Emphasis"/>
          <w:rFonts w:cstheme="minorHAnsi"/>
          <w:b w:val="0"/>
          <w:sz w:val="24"/>
          <w:szCs w:val="24"/>
        </w:rPr>
        <w:t>:</w:t>
      </w:r>
      <w:r w:rsidRPr="006E22B8">
        <w:rPr>
          <w:rStyle w:val="Emphasis"/>
          <w:rFonts w:cstheme="minorHAnsi"/>
          <w:sz w:val="24"/>
          <w:szCs w:val="24"/>
        </w:rPr>
        <w:t xml:space="preserve"> Activities of MLAs in the constituency</w:t>
      </w:r>
    </w:p>
    <w:p w14:paraId="711F315F" w14:textId="77777777" w:rsidR="006E22B8" w:rsidRPr="00623F0E" w:rsidRDefault="006E22B8" w:rsidP="006E22B8">
      <w:pPr>
        <w:spacing w:after="0" w:line="276" w:lineRule="auto"/>
        <w:contextualSpacing/>
        <w:jc w:val="both"/>
        <w:rPr>
          <w:rStyle w:val="Emphasis"/>
          <w:rFonts w:cstheme="minorHAnsi"/>
          <w:b w:val="0"/>
        </w:rPr>
      </w:pPr>
    </w:p>
    <w:tbl>
      <w:tblPr>
        <w:tblW w:w="9155" w:type="dxa"/>
        <w:jc w:val="center"/>
        <w:tblLook w:val="04A0" w:firstRow="1" w:lastRow="0" w:firstColumn="1" w:lastColumn="0" w:noHBand="0" w:noVBand="1"/>
      </w:tblPr>
      <w:tblGrid>
        <w:gridCol w:w="2539"/>
        <w:gridCol w:w="1276"/>
        <w:gridCol w:w="1275"/>
        <w:gridCol w:w="1276"/>
        <w:gridCol w:w="1494"/>
        <w:gridCol w:w="1295"/>
      </w:tblGrid>
      <w:tr w:rsidR="006E22B8" w:rsidRPr="004E062B" w14:paraId="1F412BA3" w14:textId="77777777" w:rsidTr="00AD03F0">
        <w:trPr>
          <w:trHeight w:val="256"/>
          <w:jc w:val="center"/>
        </w:trPr>
        <w:tc>
          <w:tcPr>
            <w:tcW w:w="2539" w:type="dxa"/>
            <w:tcBorders>
              <w:top w:val="single" w:sz="4" w:space="0" w:color="auto"/>
              <w:bottom w:val="single" w:sz="4" w:space="0" w:color="auto"/>
            </w:tcBorders>
            <w:shd w:val="clear" w:color="auto" w:fill="auto"/>
            <w:noWrap/>
            <w:vAlign w:val="bottom"/>
            <w:hideMark/>
          </w:tcPr>
          <w:p w14:paraId="54B5EAEB" w14:textId="77777777" w:rsidR="006E22B8" w:rsidRPr="002D3E3F" w:rsidRDefault="006E22B8" w:rsidP="00AD03F0">
            <w:pPr>
              <w:spacing w:after="0" w:line="240" w:lineRule="auto"/>
              <w:rPr>
                <w:rFonts w:asciiTheme="majorHAnsi" w:eastAsia="Times New Roman" w:hAnsiTheme="majorHAnsi" w:cstheme="majorHAnsi"/>
                <w:i/>
                <w:sz w:val="18"/>
                <w:szCs w:val="18"/>
                <w:lang w:eastAsia="en-GB"/>
              </w:rPr>
            </w:pPr>
            <w:r w:rsidRPr="002D3E3F">
              <w:rPr>
                <w:rFonts w:asciiTheme="majorHAnsi" w:eastAsia="Times New Roman" w:hAnsiTheme="majorHAnsi" w:cstheme="majorHAnsi"/>
                <w:i/>
                <w:sz w:val="18"/>
                <w:szCs w:val="18"/>
                <w:lang w:eastAsia="en-GB"/>
              </w:rPr>
              <w:t>Activity</w:t>
            </w:r>
          </w:p>
        </w:tc>
        <w:tc>
          <w:tcPr>
            <w:tcW w:w="1276" w:type="dxa"/>
            <w:tcBorders>
              <w:top w:val="single" w:sz="4" w:space="0" w:color="auto"/>
              <w:bottom w:val="single" w:sz="4" w:space="0" w:color="auto"/>
            </w:tcBorders>
            <w:shd w:val="clear" w:color="auto" w:fill="auto"/>
            <w:noWrap/>
            <w:vAlign w:val="bottom"/>
            <w:hideMark/>
          </w:tcPr>
          <w:p w14:paraId="6202184E"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At least once a week</w:t>
            </w:r>
          </w:p>
        </w:tc>
        <w:tc>
          <w:tcPr>
            <w:tcW w:w="1275" w:type="dxa"/>
            <w:tcBorders>
              <w:top w:val="single" w:sz="4" w:space="0" w:color="auto"/>
              <w:bottom w:val="single" w:sz="4" w:space="0" w:color="auto"/>
            </w:tcBorders>
            <w:shd w:val="clear" w:color="auto" w:fill="auto"/>
            <w:noWrap/>
            <w:vAlign w:val="bottom"/>
            <w:hideMark/>
          </w:tcPr>
          <w:p w14:paraId="056B4780"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At least once a fortnight</w:t>
            </w:r>
          </w:p>
        </w:tc>
        <w:tc>
          <w:tcPr>
            <w:tcW w:w="1276" w:type="dxa"/>
            <w:tcBorders>
              <w:top w:val="single" w:sz="4" w:space="0" w:color="auto"/>
              <w:bottom w:val="single" w:sz="4" w:space="0" w:color="auto"/>
            </w:tcBorders>
            <w:shd w:val="clear" w:color="auto" w:fill="auto"/>
            <w:noWrap/>
            <w:vAlign w:val="bottom"/>
            <w:hideMark/>
          </w:tcPr>
          <w:p w14:paraId="7FA2A0D5"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At least once a month</w:t>
            </w:r>
          </w:p>
        </w:tc>
        <w:tc>
          <w:tcPr>
            <w:tcW w:w="1494" w:type="dxa"/>
            <w:tcBorders>
              <w:top w:val="single" w:sz="4" w:space="0" w:color="auto"/>
              <w:bottom w:val="single" w:sz="4" w:space="0" w:color="auto"/>
            </w:tcBorders>
            <w:shd w:val="clear" w:color="auto" w:fill="auto"/>
            <w:noWrap/>
            <w:vAlign w:val="bottom"/>
            <w:hideMark/>
          </w:tcPr>
          <w:p w14:paraId="1D011972"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At least once every 3 months</w:t>
            </w:r>
          </w:p>
        </w:tc>
        <w:tc>
          <w:tcPr>
            <w:tcW w:w="1295" w:type="dxa"/>
            <w:tcBorders>
              <w:top w:val="single" w:sz="4" w:space="0" w:color="auto"/>
              <w:bottom w:val="single" w:sz="4" w:space="0" w:color="auto"/>
            </w:tcBorders>
            <w:shd w:val="clear" w:color="auto" w:fill="auto"/>
            <w:noWrap/>
            <w:vAlign w:val="bottom"/>
            <w:hideMark/>
          </w:tcPr>
          <w:p w14:paraId="4E39ECE0"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Do not participate</w:t>
            </w:r>
          </w:p>
        </w:tc>
      </w:tr>
      <w:tr w:rsidR="006E22B8" w:rsidRPr="004E062B" w14:paraId="3FF154BE" w14:textId="77777777" w:rsidTr="00AD03F0">
        <w:trPr>
          <w:trHeight w:val="256"/>
          <w:jc w:val="center"/>
        </w:trPr>
        <w:tc>
          <w:tcPr>
            <w:tcW w:w="2539" w:type="dxa"/>
            <w:tcBorders>
              <w:top w:val="single" w:sz="4" w:space="0" w:color="auto"/>
            </w:tcBorders>
            <w:shd w:val="clear" w:color="auto" w:fill="auto"/>
            <w:noWrap/>
            <w:vAlign w:val="bottom"/>
          </w:tcPr>
          <w:p w14:paraId="2233D306"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Hold Surgery</w:t>
            </w:r>
          </w:p>
        </w:tc>
        <w:tc>
          <w:tcPr>
            <w:tcW w:w="1276" w:type="dxa"/>
            <w:tcBorders>
              <w:top w:val="single" w:sz="4" w:space="0" w:color="auto"/>
            </w:tcBorders>
            <w:shd w:val="clear" w:color="auto" w:fill="auto"/>
            <w:noWrap/>
            <w:vAlign w:val="bottom"/>
          </w:tcPr>
          <w:p w14:paraId="3933599B"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59.1</w:t>
            </w:r>
          </w:p>
        </w:tc>
        <w:tc>
          <w:tcPr>
            <w:tcW w:w="1275" w:type="dxa"/>
            <w:tcBorders>
              <w:top w:val="single" w:sz="4" w:space="0" w:color="auto"/>
            </w:tcBorders>
            <w:shd w:val="clear" w:color="auto" w:fill="auto"/>
            <w:noWrap/>
            <w:vAlign w:val="bottom"/>
          </w:tcPr>
          <w:p w14:paraId="020173A4"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10.2</w:t>
            </w:r>
          </w:p>
        </w:tc>
        <w:tc>
          <w:tcPr>
            <w:tcW w:w="1276" w:type="dxa"/>
            <w:tcBorders>
              <w:top w:val="single" w:sz="4" w:space="0" w:color="auto"/>
            </w:tcBorders>
            <w:shd w:val="clear" w:color="auto" w:fill="auto"/>
            <w:noWrap/>
            <w:vAlign w:val="bottom"/>
          </w:tcPr>
          <w:p w14:paraId="0CBE1660"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16.3</w:t>
            </w:r>
          </w:p>
        </w:tc>
        <w:tc>
          <w:tcPr>
            <w:tcW w:w="1494" w:type="dxa"/>
            <w:tcBorders>
              <w:top w:val="single" w:sz="4" w:space="0" w:color="auto"/>
            </w:tcBorders>
            <w:shd w:val="clear" w:color="auto" w:fill="auto"/>
            <w:noWrap/>
            <w:vAlign w:val="bottom"/>
          </w:tcPr>
          <w:p w14:paraId="736D1267"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w:t>
            </w:r>
          </w:p>
        </w:tc>
        <w:tc>
          <w:tcPr>
            <w:tcW w:w="1295" w:type="dxa"/>
            <w:tcBorders>
              <w:top w:val="single" w:sz="4" w:space="0" w:color="auto"/>
            </w:tcBorders>
            <w:shd w:val="clear" w:color="auto" w:fill="auto"/>
            <w:noWrap/>
            <w:vAlign w:val="bottom"/>
          </w:tcPr>
          <w:p w14:paraId="3A67ECB9"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12.2</w:t>
            </w:r>
          </w:p>
        </w:tc>
      </w:tr>
      <w:tr w:rsidR="006E22B8" w:rsidRPr="004E062B" w14:paraId="6A3FD39B" w14:textId="77777777" w:rsidTr="00AD03F0">
        <w:trPr>
          <w:trHeight w:val="256"/>
          <w:jc w:val="center"/>
        </w:trPr>
        <w:tc>
          <w:tcPr>
            <w:tcW w:w="2539" w:type="dxa"/>
            <w:shd w:val="clear" w:color="auto" w:fill="auto"/>
            <w:noWrap/>
            <w:vAlign w:val="bottom"/>
          </w:tcPr>
          <w:p w14:paraId="284CC734" w14:textId="77777777" w:rsidR="006E22B8" w:rsidRPr="002D3E3F" w:rsidRDefault="006E22B8" w:rsidP="00AD03F0">
            <w:pPr>
              <w:spacing w:after="0" w:line="240" w:lineRule="auto"/>
              <w:ind w:right="283"/>
              <w:rPr>
                <w:rFonts w:asciiTheme="majorHAnsi" w:eastAsia="Times New Roman" w:hAnsiTheme="majorHAnsi" w:cstheme="majorHAnsi"/>
                <w:color w:val="000000"/>
                <w:sz w:val="18"/>
                <w:szCs w:val="18"/>
                <w:lang w:eastAsia="en-GB"/>
              </w:rPr>
            </w:pPr>
          </w:p>
          <w:p w14:paraId="2482E8FD" w14:textId="77777777" w:rsidR="006E22B8" w:rsidRPr="002D3E3F" w:rsidRDefault="006E22B8" w:rsidP="00AD03F0">
            <w:pPr>
              <w:spacing w:after="0" w:line="240" w:lineRule="auto"/>
              <w:ind w:right="283"/>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Visit constituents at home</w:t>
            </w:r>
          </w:p>
        </w:tc>
        <w:tc>
          <w:tcPr>
            <w:tcW w:w="1276" w:type="dxa"/>
            <w:shd w:val="clear" w:color="auto" w:fill="auto"/>
            <w:noWrap/>
            <w:vAlign w:val="bottom"/>
          </w:tcPr>
          <w:p w14:paraId="4D30F63F"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40.8</w:t>
            </w:r>
          </w:p>
        </w:tc>
        <w:tc>
          <w:tcPr>
            <w:tcW w:w="1275" w:type="dxa"/>
            <w:shd w:val="clear" w:color="auto" w:fill="auto"/>
            <w:noWrap/>
            <w:vAlign w:val="bottom"/>
          </w:tcPr>
          <w:p w14:paraId="6A639B89"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26.5</w:t>
            </w:r>
          </w:p>
        </w:tc>
        <w:tc>
          <w:tcPr>
            <w:tcW w:w="1276" w:type="dxa"/>
            <w:shd w:val="clear" w:color="auto" w:fill="auto"/>
            <w:noWrap/>
            <w:vAlign w:val="bottom"/>
          </w:tcPr>
          <w:p w14:paraId="0A52D002"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22.4</w:t>
            </w:r>
          </w:p>
        </w:tc>
        <w:tc>
          <w:tcPr>
            <w:tcW w:w="1494" w:type="dxa"/>
            <w:shd w:val="clear" w:color="auto" w:fill="auto"/>
            <w:noWrap/>
            <w:vAlign w:val="bottom"/>
          </w:tcPr>
          <w:p w14:paraId="26028C28"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0</w:t>
            </w:r>
          </w:p>
        </w:tc>
        <w:tc>
          <w:tcPr>
            <w:tcW w:w="1295" w:type="dxa"/>
            <w:shd w:val="clear" w:color="auto" w:fill="auto"/>
            <w:noWrap/>
            <w:vAlign w:val="bottom"/>
          </w:tcPr>
          <w:p w14:paraId="4AC7B38C"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10.2</w:t>
            </w:r>
          </w:p>
        </w:tc>
      </w:tr>
      <w:tr w:rsidR="006E22B8" w:rsidRPr="004E062B" w14:paraId="689D05D5" w14:textId="77777777" w:rsidTr="00AD03F0">
        <w:trPr>
          <w:trHeight w:val="256"/>
          <w:jc w:val="center"/>
        </w:trPr>
        <w:tc>
          <w:tcPr>
            <w:tcW w:w="2539" w:type="dxa"/>
            <w:shd w:val="clear" w:color="auto" w:fill="auto"/>
            <w:noWrap/>
            <w:vAlign w:val="bottom"/>
            <w:hideMark/>
          </w:tcPr>
          <w:p w14:paraId="2DA5C1AB" w14:textId="77777777" w:rsidR="006E22B8" w:rsidRDefault="006E22B8" w:rsidP="00AD03F0">
            <w:pPr>
              <w:spacing w:after="0" w:line="240" w:lineRule="auto"/>
              <w:rPr>
                <w:rFonts w:asciiTheme="majorHAnsi" w:eastAsia="Times New Roman" w:hAnsiTheme="majorHAnsi" w:cstheme="majorHAnsi"/>
                <w:color w:val="000000"/>
                <w:sz w:val="18"/>
                <w:szCs w:val="18"/>
                <w:lang w:eastAsia="en-GB"/>
              </w:rPr>
            </w:pPr>
          </w:p>
          <w:p w14:paraId="4B03873A"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Attend event</w:t>
            </w:r>
            <w:r>
              <w:rPr>
                <w:rFonts w:asciiTheme="majorHAnsi" w:eastAsia="Times New Roman" w:hAnsiTheme="majorHAnsi" w:cstheme="majorHAnsi"/>
                <w:color w:val="000000"/>
                <w:sz w:val="18"/>
                <w:szCs w:val="18"/>
                <w:lang w:eastAsia="en-GB"/>
              </w:rPr>
              <w:t xml:space="preserve"> in your local area (wedding</w:t>
            </w:r>
            <w:r w:rsidRPr="002D3E3F">
              <w:rPr>
                <w:rFonts w:asciiTheme="majorHAnsi" w:eastAsia="Times New Roman" w:hAnsiTheme="majorHAnsi" w:cstheme="majorHAnsi"/>
                <w:color w:val="000000"/>
                <w:sz w:val="18"/>
                <w:szCs w:val="18"/>
                <w:lang w:eastAsia="en-GB"/>
              </w:rPr>
              <w:t>, party, funeral etc.)</w:t>
            </w:r>
          </w:p>
        </w:tc>
        <w:tc>
          <w:tcPr>
            <w:tcW w:w="1276" w:type="dxa"/>
            <w:shd w:val="clear" w:color="auto" w:fill="auto"/>
            <w:noWrap/>
            <w:vAlign w:val="bottom"/>
            <w:hideMark/>
          </w:tcPr>
          <w:p w14:paraId="61678832"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32.6</w:t>
            </w:r>
          </w:p>
        </w:tc>
        <w:tc>
          <w:tcPr>
            <w:tcW w:w="1275" w:type="dxa"/>
            <w:shd w:val="clear" w:color="auto" w:fill="auto"/>
            <w:noWrap/>
            <w:vAlign w:val="bottom"/>
            <w:hideMark/>
          </w:tcPr>
          <w:p w14:paraId="5BE0D4FB"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24.4</w:t>
            </w:r>
          </w:p>
        </w:tc>
        <w:tc>
          <w:tcPr>
            <w:tcW w:w="1276" w:type="dxa"/>
            <w:shd w:val="clear" w:color="auto" w:fill="auto"/>
            <w:noWrap/>
            <w:vAlign w:val="bottom"/>
            <w:hideMark/>
          </w:tcPr>
          <w:p w14:paraId="5B5793D3"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20.4</w:t>
            </w:r>
          </w:p>
        </w:tc>
        <w:tc>
          <w:tcPr>
            <w:tcW w:w="1494" w:type="dxa"/>
            <w:shd w:val="clear" w:color="auto" w:fill="auto"/>
            <w:noWrap/>
            <w:vAlign w:val="bottom"/>
            <w:hideMark/>
          </w:tcPr>
          <w:p w14:paraId="49CEDC0B"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8.1</w:t>
            </w:r>
          </w:p>
        </w:tc>
        <w:tc>
          <w:tcPr>
            <w:tcW w:w="1295" w:type="dxa"/>
            <w:shd w:val="clear" w:color="auto" w:fill="auto"/>
            <w:noWrap/>
            <w:vAlign w:val="bottom"/>
            <w:hideMark/>
          </w:tcPr>
          <w:p w14:paraId="1FDC7C66"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14.2</w:t>
            </w:r>
          </w:p>
        </w:tc>
      </w:tr>
      <w:tr w:rsidR="006E22B8" w:rsidRPr="004E062B" w14:paraId="7153F4DA" w14:textId="77777777" w:rsidTr="00AD03F0">
        <w:trPr>
          <w:trHeight w:val="256"/>
          <w:jc w:val="center"/>
        </w:trPr>
        <w:tc>
          <w:tcPr>
            <w:tcW w:w="2539" w:type="dxa"/>
            <w:shd w:val="clear" w:color="auto" w:fill="auto"/>
            <w:noWrap/>
            <w:vAlign w:val="bottom"/>
          </w:tcPr>
          <w:p w14:paraId="6AF59FBB"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p>
          <w:p w14:paraId="6BFDC397"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Meet with local businesses</w:t>
            </w:r>
            <w:r>
              <w:rPr>
                <w:rFonts w:asciiTheme="majorHAnsi" w:eastAsia="Times New Roman" w:hAnsiTheme="majorHAnsi" w:cstheme="majorHAnsi"/>
                <w:color w:val="000000"/>
                <w:sz w:val="18"/>
                <w:szCs w:val="18"/>
                <w:lang w:eastAsia="en-GB"/>
              </w:rPr>
              <w:t xml:space="preserve"> </w:t>
            </w:r>
          </w:p>
        </w:tc>
        <w:tc>
          <w:tcPr>
            <w:tcW w:w="1276" w:type="dxa"/>
            <w:shd w:val="clear" w:color="auto" w:fill="auto"/>
            <w:noWrap/>
            <w:vAlign w:val="bottom"/>
          </w:tcPr>
          <w:p w14:paraId="01455F09"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8.1</w:t>
            </w:r>
          </w:p>
        </w:tc>
        <w:tc>
          <w:tcPr>
            <w:tcW w:w="1275" w:type="dxa"/>
            <w:shd w:val="clear" w:color="auto" w:fill="auto"/>
            <w:noWrap/>
            <w:vAlign w:val="bottom"/>
          </w:tcPr>
          <w:p w14:paraId="5D5B9464"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22.4</w:t>
            </w:r>
          </w:p>
        </w:tc>
        <w:tc>
          <w:tcPr>
            <w:tcW w:w="1276" w:type="dxa"/>
            <w:shd w:val="clear" w:color="auto" w:fill="auto"/>
            <w:noWrap/>
            <w:vAlign w:val="bottom"/>
          </w:tcPr>
          <w:p w14:paraId="1D589C0B"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38.7</w:t>
            </w:r>
          </w:p>
        </w:tc>
        <w:tc>
          <w:tcPr>
            <w:tcW w:w="1494" w:type="dxa"/>
            <w:shd w:val="clear" w:color="auto" w:fill="auto"/>
            <w:noWrap/>
            <w:vAlign w:val="bottom"/>
          </w:tcPr>
          <w:p w14:paraId="6B671D86"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24.4</w:t>
            </w:r>
          </w:p>
        </w:tc>
        <w:tc>
          <w:tcPr>
            <w:tcW w:w="1295" w:type="dxa"/>
            <w:shd w:val="clear" w:color="auto" w:fill="auto"/>
            <w:noWrap/>
            <w:vAlign w:val="bottom"/>
          </w:tcPr>
          <w:p w14:paraId="6DE47B1D"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6.1</w:t>
            </w:r>
          </w:p>
        </w:tc>
      </w:tr>
      <w:tr w:rsidR="006E22B8" w:rsidRPr="004E062B" w14:paraId="78D26950" w14:textId="77777777" w:rsidTr="00AD03F0">
        <w:trPr>
          <w:trHeight w:val="256"/>
          <w:jc w:val="center"/>
        </w:trPr>
        <w:tc>
          <w:tcPr>
            <w:tcW w:w="2539" w:type="dxa"/>
            <w:tcBorders>
              <w:bottom w:val="single" w:sz="4" w:space="0" w:color="auto"/>
            </w:tcBorders>
            <w:shd w:val="clear" w:color="auto" w:fill="auto"/>
            <w:noWrap/>
            <w:vAlign w:val="bottom"/>
            <w:hideMark/>
          </w:tcPr>
          <w:p w14:paraId="3CE54FFF"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p>
          <w:p w14:paraId="443ACCC4" w14:textId="77777777" w:rsidR="006E22B8" w:rsidRPr="002D3E3F" w:rsidRDefault="006E22B8" w:rsidP="00AD03F0">
            <w:pPr>
              <w:spacing w:after="0" w:line="240" w:lineRule="auto"/>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Send out personal newsletter</w:t>
            </w:r>
          </w:p>
        </w:tc>
        <w:tc>
          <w:tcPr>
            <w:tcW w:w="1276" w:type="dxa"/>
            <w:tcBorders>
              <w:bottom w:val="single" w:sz="4" w:space="0" w:color="auto"/>
            </w:tcBorders>
            <w:shd w:val="clear" w:color="auto" w:fill="auto"/>
            <w:noWrap/>
            <w:vAlign w:val="bottom"/>
            <w:hideMark/>
          </w:tcPr>
          <w:p w14:paraId="1ECE60F5"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4</w:t>
            </w:r>
          </w:p>
        </w:tc>
        <w:tc>
          <w:tcPr>
            <w:tcW w:w="1275" w:type="dxa"/>
            <w:tcBorders>
              <w:bottom w:val="single" w:sz="4" w:space="0" w:color="auto"/>
            </w:tcBorders>
            <w:shd w:val="clear" w:color="auto" w:fill="auto"/>
            <w:noWrap/>
            <w:vAlign w:val="bottom"/>
            <w:hideMark/>
          </w:tcPr>
          <w:p w14:paraId="6E6A641A"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0</w:t>
            </w:r>
          </w:p>
        </w:tc>
        <w:tc>
          <w:tcPr>
            <w:tcW w:w="1276" w:type="dxa"/>
            <w:tcBorders>
              <w:bottom w:val="single" w:sz="4" w:space="0" w:color="auto"/>
            </w:tcBorders>
            <w:shd w:val="clear" w:color="auto" w:fill="auto"/>
            <w:noWrap/>
            <w:vAlign w:val="bottom"/>
            <w:hideMark/>
          </w:tcPr>
          <w:p w14:paraId="028F3621"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6</w:t>
            </w:r>
          </w:p>
        </w:tc>
        <w:tc>
          <w:tcPr>
            <w:tcW w:w="1494" w:type="dxa"/>
            <w:tcBorders>
              <w:bottom w:val="single" w:sz="4" w:space="0" w:color="auto"/>
            </w:tcBorders>
            <w:shd w:val="clear" w:color="auto" w:fill="auto"/>
            <w:noWrap/>
            <w:vAlign w:val="bottom"/>
            <w:hideMark/>
          </w:tcPr>
          <w:p w14:paraId="4B1C4D0E"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59.1</w:t>
            </w:r>
          </w:p>
        </w:tc>
        <w:tc>
          <w:tcPr>
            <w:tcW w:w="1295" w:type="dxa"/>
            <w:tcBorders>
              <w:bottom w:val="single" w:sz="4" w:space="0" w:color="auto"/>
            </w:tcBorders>
            <w:shd w:val="clear" w:color="auto" w:fill="auto"/>
            <w:noWrap/>
            <w:vAlign w:val="bottom"/>
            <w:hideMark/>
          </w:tcPr>
          <w:p w14:paraId="17C4ED5B" w14:textId="77777777" w:rsidR="006E22B8" w:rsidRPr="002D3E3F" w:rsidRDefault="006E22B8" w:rsidP="00AD03F0">
            <w:pPr>
              <w:spacing w:after="0" w:line="240" w:lineRule="auto"/>
              <w:jc w:val="center"/>
              <w:rPr>
                <w:rFonts w:asciiTheme="majorHAnsi" w:eastAsia="Times New Roman" w:hAnsiTheme="majorHAnsi" w:cstheme="majorHAnsi"/>
                <w:color w:val="000000"/>
                <w:sz w:val="18"/>
                <w:szCs w:val="18"/>
                <w:lang w:eastAsia="en-GB"/>
              </w:rPr>
            </w:pPr>
            <w:r w:rsidRPr="002D3E3F">
              <w:rPr>
                <w:rFonts w:asciiTheme="majorHAnsi" w:eastAsia="Times New Roman" w:hAnsiTheme="majorHAnsi" w:cstheme="majorHAnsi"/>
                <w:color w:val="000000"/>
                <w:sz w:val="18"/>
                <w:szCs w:val="18"/>
                <w:lang w:eastAsia="en-GB"/>
              </w:rPr>
              <w:t>30.6</w:t>
            </w:r>
          </w:p>
        </w:tc>
      </w:tr>
    </w:tbl>
    <w:p w14:paraId="3B1F172D" w14:textId="77777777" w:rsidR="006E22B8" w:rsidRDefault="006E22B8" w:rsidP="006E22B8">
      <w:pPr>
        <w:spacing w:after="0" w:line="276" w:lineRule="auto"/>
        <w:contextualSpacing/>
        <w:jc w:val="both"/>
        <w:rPr>
          <w:rStyle w:val="Emphasis"/>
          <w:rFonts w:cstheme="minorHAnsi"/>
          <w:b w:val="0"/>
        </w:rPr>
      </w:pPr>
    </w:p>
    <w:p w14:paraId="32C8EF97" w14:textId="77777777" w:rsidR="006E22B8" w:rsidRDefault="006E22B8" w:rsidP="006E22B8"/>
    <w:p w14:paraId="619C5051" w14:textId="77777777" w:rsidR="006E22B8" w:rsidRDefault="006E22B8" w:rsidP="006E22B8"/>
    <w:p w14:paraId="44C212CF" w14:textId="77777777" w:rsidR="006E22B8" w:rsidRDefault="006E22B8" w:rsidP="006E22B8"/>
    <w:p w14:paraId="645871CE" w14:textId="77777777" w:rsidR="006E22B8" w:rsidRDefault="006E22B8" w:rsidP="006E22B8"/>
    <w:p w14:paraId="3012C72D" w14:textId="77777777" w:rsidR="006E22B8" w:rsidRDefault="006E22B8" w:rsidP="006E22B8"/>
    <w:p w14:paraId="5B6FCCEE" w14:textId="77777777" w:rsidR="006E22B8" w:rsidRDefault="006E22B8" w:rsidP="006E22B8"/>
    <w:p w14:paraId="6B15C084" w14:textId="77777777" w:rsidR="006E22B8" w:rsidRDefault="006E22B8" w:rsidP="006E22B8"/>
    <w:p w14:paraId="3C878409" w14:textId="77777777" w:rsidR="006E22B8" w:rsidRDefault="006E22B8" w:rsidP="006E22B8"/>
    <w:p w14:paraId="35E11F51" w14:textId="77777777" w:rsidR="006E22B8" w:rsidRDefault="006E22B8" w:rsidP="006E22B8"/>
    <w:p w14:paraId="187B3C4C" w14:textId="77777777" w:rsidR="006E22B8" w:rsidRDefault="006E22B8" w:rsidP="006E22B8"/>
    <w:p w14:paraId="4AC4E93B" w14:textId="77777777" w:rsidR="006E22B8" w:rsidRDefault="006E22B8" w:rsidP="006E22B8"/>
    <w:p w14:paraId="7F344A0E" w14:textId="77777777" w:rsidR="006E22B8" w:rsidRDefault="006E22B8" w:rsidP="006E22B8"/>
    <w:p w14:paraId="140A022F" w14:textId="77777777" w:rsidR="006E22B8" w:rsidRDefault="006E22B8" w:rsidP="006E22B8"/>
    <w:p w14:paraId="5F028BBB" w14:textId="77777777" w:rsidR="006E22B8" w:rsidRDefault="006E22B8" w:rsidP="006E22B8"/>
    <w:p w14:paraId="7FB769C9" w14:textId="77777777" w:rsidR="006E22B8" w:rsidRDefault="006E22B8" w:rsidP="006E22B8"/>
    <w:p w14:paraId="3A623097" w14:textId="77777777" w:rsidR="006E22B8" w:rsidRDefault="006E22B8" w:rsidP="006E22B8"/>
    <w:p w14:paraId="63EEF256" w14:textId="77777777" w:rsidR="006E22B8" w:rsidRDefault="006E22B8" w:rsidP="006E22B8"/>
    <w:p w14:paraId="60D3B325" w14:textId="77777777" w:rsidR="006E22B8" w:rsidRDefault="006E22B8" w:rsidP="006E22B8"/>
    <w:p w14:paraId="348C6D7B" w14:textId="77777777" w:rsidR="006E22B8" w:rsidRDefault="006E22B8" w:rsidP="006E22B8"/>
    <w:p w14:paraId="0A50D5C3" w14:textId="77777777" w:rsidR="006E22B8" w:rsidRDefault="006E22B8" w:rsidP="006E22B8"/>
    <w:p w14:paraId="5A2557A8" w14:textId="77777777" w:rsidR="006E22B8" w:rsidRDefault="006E22B8" w:rsidP="006E22B8"/>
    <w:p w14:paraId="65A09C40" w14:textId="77777777" w:rsidR="006E22B8" w:rsidRDefault="006E22B8" w:rsidP="006E22B8"/>
    <w:p w14:paraId="7DBFC4D3" w14:textId="77777777" w:rsidR="009A6489" w:rsidRDefault="009A6489" w:rsidP="006E22B8">
      <w:pPr>
        <w:spacing w:after="0" w:line="276" w:lineRule="auto"/>
        <w:contextualSpacing/>
        <w:jc w:val="both"/>
      </w:pPr>
    </w:p>
    <w:p w14:paraId="0A35422B" w14:textId="1DEC54B6" w:rsidR="006E22B8" w:rsidRDefault="006E22B8" w:rsidP="006E22B8">
      <w:pPr>
        <w:spacing w:after="0" w:line="276" w:lineRule="auto"/>
        <w:contextualSpacing/>
        <w:jc w:val="both"/>
        <w:rPr>
          <w:rStyle w:val="Emphasis"/>
          <w:rFonts w:cstheme="minorHAnsi"/>
        </w:rPr>
      </w:pPr>
      <w:r>
        <w:rPr>
          <w:rStyle w:val="Emphasis"/>
          <w:rFonts w:cstheme="minorHAnsi"/>
        </w:rPr>
        <w:t>Table 6</w:t>
      </w:r>
      <w:r w:rsidRPr="009B152A">
        <w:rPr>
          <w:rStyle w:val="Emphasis"/>
          <w:rFonts w:cstheme="minorHAnsi"/>
          <w:b w:val="0"/>
        </w:rPr>
        <w:t xml:space="preserve">: </w:t>
      </w:r>
      <w:r>
        <w:rPr>
          <w:rStyle w:val="Emphasis"/>
          <w:rFonts w:cstheme="minorHAnsi"/>
        </w:rPr>
        <w:t>Role orientation and c</w:t>
      </w:r>
      <w:r w:rsidRPr="006E22B8">
        <w:rPr>
          <w:rStyle w:val="Emphasis"/>
          <w:rFonts w:cstheme="minorHAnsi"/>
        </w:rPr>
        <w:t>ons</w:t>
      </w:r>
      <w:r>
        <w:rPr>
          <w:rStyle w:val="Emphasis"/>
          <w:rFonts w:cstheme="minorHAnsi"/>
        </w:rPr>
        <w:t>tituency a</w:t>
      </w:r>
      <w:r w:rsidRPr="006E22B8">
        <w:rPr>
          <w:rStyle w:val="Emphasis"/>
          <w:rFonts w:cstheme="minorHAnsi"/>
        </w:rPr>
        <w:t>ctivities</w:t>
      </w:r>
    </w:p>
    <w:p w14:paraId="38381DC0" w14:textId="77777777" w:rsidR="006E22B8" w:rsidRPr="009B152A" w:rsidRDefault="006E22B8" w:rsidP="006E22B8">
      <w:pPr>
        <w:spacing w:after="0" w:line="276" w:lineRule="auto"/>
        <w:contextualSpacing/>
        <w:jc w:val="both"/>
        <w:rPr>
          <w:rStyle w:val="Emphasis"/>
          <w:rFonts w:cstheme="minorHAnsi"/>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E22B8" w14:paraId="6AF99C77" w14:textId="77777777" w:rsidTr="00AD03F0">
        <w:tc>
          <w:tcPr>
            <w:tcW w:w="3005" w:type="dxa"/>
            <w:tcBorders>
              <w:top w:val="single" w:sz="4" w:space="0" w:color="auto"/>
              <w:bottom w:val="single" w:sz="4" w:space="0" w:color="auto"/>
            </w:tcBorders>
          </w:tcPr>
          <w:p w14:paraId="5BDA1615" w14:textId="77777777" w:rsidR="006E22B8" w:rsidRPr="004A5651" w:rsidRDefault="006E22B8" w:rsidP="00AD03F0">
            <w:pPr>
              <w:spacing w:line="276" w:lineRule="auto"/>
              <w:contextualSpacing/>
              <w:jc w:val="both"/>
              <w:rPr>
                <w:rFonts w:asciiTheme="majorHAnsi" w:hAnsiTheme="majorHAnsi" w:cstheme="majorHAnsi"/>
                <w:bCs/>
              </w:rPr>
            </w:pPr>
          </w:p>
        </w:tc>
        <w:tc>
          <w:tcPr>
            <w:tcW w:w="3005" w:type="dxa"/>
            <w:tcBorders>
              <w:top w:val="single" w:sz="4" w:space="0" w:color="auto"/>
              <w:bottom w:val="single" w:sz="4" w:space="0" w:color="auto"/>
            </w:tcBorders>
          </w:tcPr>
          <w:p w14:paraId="588DFA78" w14:textId="77777777" w:rsidR="006E22B8" w:rsidRPr="004A5651" w:rsidRDefault="006E22B8" w:rsidP="00AD03F0">
            <w:pPr>
              <w:spacing w:line="276" w:lineRule="auto"/>
              <w:contextualSpacing/>
              <w:jc w:val="center"/>
              <w:rPr>
                <w:rFonts w:asciiTheme="majorHAnsi" w:hAnsiTheme="majorHAnsi" w:cstheme="majorHAnsi"/>
                <w:bCs/>
              </w:rPr>
            </w:pPr>
            <w:r w:rsidRPr="004A5651">
              <w:rPr>
                <w:rFonts w:asciiTheme="majorHAnsi" w:hAnsiTheme="majorHAnsi" w:cstheme="majorHAnsi"/>
                <w:bCs/>
              </w:rPr>
              <w:t>Welfare Officer</w:t>
            </w:r>
          </w:p>
        </w:tc>
        <w:tc>
          <w:tcPr>
            <w:tcW w:w="3006" w:type="dxa"/>
            <w:tcBorders>
              <w:top w:val="single" w:sz="4" w:space="0" w:color="auto"/>
              <w:bottom w:val="single" w:sz="4" w:space="0" w:color="auto"/>
            </w:tcBorders>
          </w:tcPr>
          <w:p w14:paraId="59CEBB70" w14:textId="77777777" w:rsidR="006E22B8" w:rsidRPr="004A5651" w:rsidRDefault="006E22B8" w:rsidP="00AD03F0">
            <w:pPr>
              <w:spacing w:line="276" w:lineRule="auto"/>
              <w:contextualSpacing/>
              <w:jc w:val="center"/>
              <w:rPr>
                <w:rFonts w:asciiTheme="majorHAnsi" w:hAnsiTheme="majorHAnsi" w:cstheme="majorHAnsi"/>
                <w:bCs/>
              </w:rPr>
            </w:pPr>
            <w:r w:rsidRPr="004A5651">
              <w:rPr>
                <w:rFonts w:asciiTheme="majorHAnsi" w:hAnsiTheme="majorHAnsi" w:cstheme="majorHAnsi"/>
                <w:bCs/>
              </w:rPr>
              <w:t>Local Promoter</w:t>
            </w:r>
          </w:p>
        </w:tc>
      </w:tr>
      <w:tr w:rsidR="006E22B8" w14:paraId="43BC42C9" w14:textId="77777777" w:rsidTr="00AD03F0">
        <w:tc>
          <w:tcPr>
            <w:tcW w:w="3005" w:type="dxa"/>
            <w:tcBorders>
              <w:top w:val="single" w:sz="4" w:space="0" w:color="auto"/>
            </w:tcBorders>
          </w:tcPr>
          <w:p w14:paraId="04F466D6" w14:textId="77777777" w:rsidR="006E22B8" w:rsidRPr="004A5651" w:rsidRDefault="006E22B8" w:rsidP="00AD03F0">
            <w:pPr>
              <w:spacing w:line="276" w:lineRule="auto"/>
              <w:contextualSpacing/>
              <w:jc w:val="both"/>
              <w:rPr>
                <w:rFonts w:asciiTheme="majorHAnsi" w:hAnsiTheme="majorHAnsi" w:cstheme="majorHAnsi"/>
                <w:bCs/>
              </w:rPr>
            </w:pPr>
            <w:r w:rsidRPr="004A5651">
              <w:rPr>
                <w:rFonts w:asciiTheme="majorHAnsi" w:hAnsiTheme="majorHAnsi" w:cstheme="majorHAnsi"/>
                <w:bCs/>
              </w:rPr>
              <w:t xml:space="preserve">Hold surgery </w:t>
            </w:r>
          </w:p>
        </w:tc>
        <w:tc>
          <w:tcPr>
            <w:tcW w:w="3005" w:type="dxa"/>
            <w:tcBorders>
              <w:top w:val="single" w:sz="4" w:space="0" w:color="auto"/>
            </w:tcBorders>
          </w:tcPr>
          <w:p w14:paraId="2F19DEE8" w14:textId="12ABCB76"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73.7</w:t>
            </w:r>
          </w:p>
        </w:tc>
        <w:tc>
          <w:tcPr>
            <w:tcW w:w="3006" w:type="dxa"/>
            <w:tcBorders>
              <w:top w:val="single" w:sz="4" w:space="0" w:color="auto"/>
            </w:tcBorders>
          </w:tcPr>
          <w:p w14:paraId="0E8948D8" w14:textId="755C0B2A"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50</w:t>
            </w:r>
          </w:p>
        </w:tc>
      </w:tr>
      <w:tr w:rsidR="006E22B8" w14:paraId="1DB340D0" w14:textId="77777777" w:rsidTr="00AD03F0">
        <w:tc>
          <w:tcPr>
            <w:tcW w:w="3005" w:type="dxa"/>
          </w:tcPr>
          <w:p w14:paraId="285AFB54" w14:textId="77777777" w:rsidR="006E22B8" w:rsidRPr="004A5651" w:rsidRDefault="006E22B8" w:rsidP="00AD03F0">
            <w:pPr>
              <w:spacing w:line="276" w:lineRule="auto"/>
              <w:contextualSpacing/>
              <w:jc w:val="both"/>
              <w:rPr>
                <w:rFonts w:asciiTheme="majorHAnsi" w:hAnsiTheme="majorHAnsi" w:cstheme="majorHAnsi"/>
                <w:bCs/>
              </w:rPr>
            </w:pPr>
            <w:r w:rsidRPr="004A5651">
              <w:rPr>
                <w:rFonts w:asciiTheme="majorHAnsi" w:hAnsiTheme="majorHAnsi" w:cstheme="majorHAnsi"/>
                <w:bCs/>
              </w:rPr>
              <w:t>Visit constituents at home</w:t>
            </w:r>
          </w:p>
        </w:tc>
        <w:tc>
          <w:tcPr>
            <w:tcW w:w="3005" w:type="dxa"/>
          </w:tcPr>
          <w:p w14:paraId="456884FB" w14:textId="63A93652"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57.9</w:t>
            </w:r>
          </w:p>
        </w:tc>
        <w:tc>
          <w:tcPr>
            <w:tcW w:w="3006" w:type="dxa"/>
          </w:tcPr>
          <w:p w14:paraId="55C26541" w14:textId="6725454A"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42.9</w:t>
            </w:r>
          </w:p>
        </w:tc>
      </w:tr>
      <w:tr w:rsidR="006E22B8" w14:paraId="06435D3B" w14:textId="77777777" w:rsidTr="00AD03F0">
        <w:tc>
          <w:tcPr>
            <w:tcW w:w="3005" w:type="dxa"/>
          </w:tcPr>
          <w:p w14:paraId="00CA2902" w14:textId="77777777" w:rsidR="006E22B8" w:rsidRPr="004A5651" w:rsidRDefault="006E22B8" w:rsidP="00AD03F0">
            <w:pPr>
              <w:spacing w:line="276" w:lineRule="auto"/>
              <w:contextualSpacing/>
              <w:jc w:val="both"/>
              <w:rPr>
                <w:rFonts w:asciiTheme="majorHAnsi" w:hAnsiTheme="majorHAnsi" w:cstheme="majorHAnsi"/>
                <w:bCs/>
              </w:rPr>
            </w:pPr>
            <w:r w:rsidRPr="004A5651">
              <w:rPr>
                <w:rFonts w:asciiTheme="majorHAnsi" w:hAnsiTheme="majorHAnsi" w:cstheme="majorHAnsi"/>
                <w:bCs/>
              </w:rPr>
              <w:t>Attend local event</w:t>
            </w:r>
          </w:p>
        </w:tc>
        <w:tc>
          <w:tcPr>
            <w:tcW w:w="3005" w:type="dxa"/>
          </w:tcPr>
          <w:p w14:paraId="6693E31A" w14:textId="28E9845B"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31.6</w:t>
            </w:r>
          </w:p>
        </w:tc>
        <w:tc>
          <w:tcPr>
            <w:tcW w:w="3006" w:type="dxa"/>
          </w:tcPr>
          <w:p w14:paraId="527C512F" w14:textId="1BE00B9D"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42.9</w:t>
            </w:r>
          </w:p>
        </w:tc>
      </w:tr>
      <w:tr w:rsidR="006E22B8" w14:paraId="5E5E5D74" w14:textId="77777777" w:rsidTr="00AD03F0">
        <w:tc>
          <w:tcPr>
            <w:tcW w:w="3005" w:type="dxa"/>
          </w:tcPr>
          <w:p w14:paraId="615C5C26" w14:textId="77777777" w:rsidR="006E22B8" w:rsidRPr="004A5651" w:rsidRDefault="006E22B8" w:rsidP="00AD03F0">
            <w:pPr>
              <w:spacing w:line="276" w:lineRule="auto"/>
              <w:contextualSpacing/>
              <w:jc w:val="both"/>
              <w:rPr>
                <w:rFonts w:asciiTheme="majorHAnsi" w:hAnsiTheme="majorHAnsi" w:cstheme="majorHAnsi"/>
                <w:bCs/>
              </w:rPr>
            </w:pPr>
            <w:r w:rsidRPr="004A5651">
              <w:rPr>
                <w:rFonts w:asciiTheme="majorHAnsi" w:hAnsiTheme="majorHAnsi" w:cstheme="majorHAnsi"/>
                <w:bCs/>
              </w:rPr>
              <w:t xml:space="preserve">Meet with local businesses </w:t>
            </w:r>
          </w:p>
        </w:tc>
        <w:tc>
          <w:tcPr>
            <w:tcW w:w="3005" w:type="dxa"/>
          </w:tcPr>
          <w:p w14:paraId="2F481518" w14:textId="21875B2C"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10.5</w:t>
            </w:r>
          </w:p>
        </w:tc>
        <w:tc>
          <w:tcPr>
            <w:tcW w:w="3006" w:type="dxa"/>
          </w:tcPr>
          <w:p w14:paraId="7B5DF3C9" w14:textId="5C5115B2"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14.3</w:t>
            </w:r>
          </w:p>
        </w:tc>
      </w:tr>
      <w:tr w:rsidR="006E22B8" w14:paraId="613CE477" w14:textId="77777777" w:rsidTr="00AD03F0">
        <w:tc>
          <w:tcPr>
            <w:tcW w:w="3005" w:type="dxa"/>
            <w:tcBorders>
              <w:bottom w:val="single" w:sz="4" w:space="0" w:color="auto"/>
            </w:tcBorders>
          </w:tcPr>
          <w:p w14:paraId="653419A8" w14:textId="77777777" w:rsidR="006E22B8" w:rsidRPr="004A5651" w:rsidRDefault="006E22B8" w:rsidP="00AD03F0">
            <w:pPr>
              <w:spacing w:line="276" w:lineRule="auto"/>
              <w:contextualSpacing/>
              <w:jc w:val="both"/>
              <w:rPr>
                <w:rFonts w:asciiTheme="majorHAnsi" w:hAnsiTheme="majorHAnsi" w:cstheme="majorHAnsi"/>
                <w:bCs/>
              </w:rPr>
            </w:pPr>
            <w:r w:rsidRPr="004A5651">
              <w:rPr>
                <w:rFonts w:asciiTheme="majorHAnsi" w:hAnsiTheme="majorHAnsi" w:cstheme="majorHAnsi"/>
                <w:bCs/>
              </w:rPr>
              <w:t>Send out personal newsletter</w:t>
            </w:r>
          </w:p>
        </w:tc>
        <w:tc>
          <w:tcPr>
            <w:tcW w:w="3005" w:type="dxa"/>
            <w:tcBorders>
              <w:bottom w:val="single" w:sz="4" w:space="0" w:color="auto"/>
            </w:tcBorders>
          </w:tcPr>
          <w:p w14:paraId="1AC93F2A" w14:textId="60C15EBB"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0</w:t>
            </w:r>
          </w:p>
        </w:tc>
        <w:tc>
          <w:tcPr>
            <w:tcW w:w="3006" w:type="dxa"/>
            <w:tcBorders>
              <w:bottom w:val="single" w:sz="4" w:space="0" w:color="auto"/>
            </w:tcBorders>
          </w:tcPr>
          <w:p w14:paraId="3588EEC6" w14:textId="2DBA270E" w:rsidR="006E22B8" w:rsidRPr="004A5651" w:rsidRDefault="00C54959" w:rsidP="00AD03F0">
            <w:pPr>
              <w:spacing w:line="276" w:lineRule="auto"/>
              <w:contextualSpacing/>
              <w:jc w:val="center"/>
              <w:rPr>
                <w:rFonts w:asciiTheme="majorHAnsi" w:hAnsiTheme="majorHAnsi" w:cstheme="majorHAnsi"/>
                <w:bCs/>
              </w:rPr>
            </w:pPr>
            <w:r>
              <w:rPr>
                <w:rFonts w:asciiTheme="majorHAnsi" w:hAnsiTheme="majorHAnsi" w:cstheme="majorHAnsi"/>
                <w:bCs/>
              </w:rPr>
              <w:t>14.3</w:t>
            </w:r>
          </w:p>
        </w:tc>
      </w:tr>
    </w:tbl>
    <w:p w14:paraId="33882C73" w14:textId="70A2164A" w:rsidR="00FD52A1" w:rsidRPr="004A5651" w:rsidRDefault="00FD52A1" w:rsidP="00FD52A1">
      <w:pPr>
        <w:spacing w:after="0" w:line="276" w:lineRule="auto"/>
        <w:contextualSpacing/>
        <w:jc w:val="both"/>
        <w:rPr>
          <w:rStyle w:val="Emphasis"/>
          <w:rFonts w:cstheme="minorHAnsi"/>
          <w:b w:val="0"/>
        </w:rPr>
      </w:pPr>
      <w:r w:rsidRPr="004A5651">
        <w:rPr>
          <w:rStyle w:val="Emphasis"/>
          <w:rFonts w:cstheme="minorHAnsi"/>
          <w:b w:val="0"/>
          <w:i/>
        </w:rPr>
        <w:t>Note</w:t>
      </w:r>
      <w:r>
        <w:rPr>
          <w:rStyle w:val="Emphasis"/>
          <w:rFonts w:cstheme="minorHAnsi"/>
          <w:b w:val="0"/>
        </w:rPr>
        <w:t>: Entries display the percentage of MLAs that engage in the activity at least once a week.</w:t>
      </w:r>
    </w:p>
    <w:p w14:paraId="6E07078D" w14:textId="77777777" w:rsidR="006E22B8" w:rsidRDefault="006E22B8" w:rsidP="006E22B8"/>
    <w:p w14:paraId="1EB99F8A" w14:textId="77777777" w:rsidR="006E22B8" w:rsidRDefault="006E22B8" w:rsidP="006E22B8"/>
    <w:p w14:paraId="522A3996" w14:textId="77777777" w:rsidR="006E22B8" w:rsidRDefault="006E22B8" w:rsidP="006E22B8"/>
    <w:p w14:paraId="38F02222" w14:textId="77777777" w:rsidR="006E22B8" w:rsidRDefault="006E22B8" w:rsidP="006E22B8"/>
    <w:p w14:paraId="6F5A48BE" w14:textId="77777777" w:rsidR="006E22B8" w:rsidRDefault="006E22B8" w:rsidP="006E22B8"/>
    <w:p w14:paraId="75A58B6B" w14:textId="77777777" w:rsidR="006E22B8" w:rsidRDefault="006E22B8" w:rsidP="006E22B8"/>
    <w:p w14:paraId="6AE28560" w14:textId="77777777" w:rsidR="006E22B8" w:rsidRDefault="006E22B8" w:rsidP="006E22B8"/>
    <w:p w14:paraId="0F23974F" w14:textId="77777777" w:rsidR="006E22B8" w:rsidRDefault="006E22B8" w:rsidP="006E22B8"/>
    <w:p w14:paraId="637066AC" w14:textId="77777777" w:rsidR="006E22B8" w:rsidRDefault="006E22B8" w:rsidP="006E22B8"/>
    <w:p w14:paraId="6A1FBE6E" w14:textId="77777777" w:rsidR="006E22B8" w:rsidRDefault="006E22B8" w:rsidP="006E22B8"/>
    <w:p w14:paraId="5ED97C04" w14:textId="77777777" w:rsidR="006E22B8" w:rsidRDefault="006E22B8" w:rsidP="006E22B8"/>
    <w:p w14:paraId="5877A189" w14:textId="77777777" w:rsidR="006E22B8" w:rsidRDefault="006E22B8" w:rsidP="006E22B8"/>
    <w:p w14:paraId="007CD6D2" w14:textId="77777777" w:rsidR="006E22B8" w:rsidRDefault="006E22B8" w:rsidP="006E22B8"/>
    <w:p w14:paraId="5049E5CB" w14:textId="77777777" w:rsidR="006E22B8" w:rsidRDefault="006E22B8" w:rsidP="006E22B8"/>
    <w:p w14:paraId="3E017CBB" w14:textId="77777777" w:rsidR="006E22B8" w:rsidRDefault="006E22B8" w:rsidP="006E22B8"/>
    <w:p w14:paraId="5A1AEB06" w14:textId="77777777" w:rsidR="006E22B8" w:rsidRDefault="006E22B8" w:rsidP="006E22B8"/>
    <w:p w14:paraId="55B71DE5" w14:textId="77777777" w:rsidR="006E22B8" w:rsidRDefault="006E22B8" w:rsidP="006E22B8"/>
    <w:p w14:paraId="6D02B66D" w14:textId="77777777" w:rsidR="006E22B8" w:rsidRDefault="006E22B8" w:rsidP="006E22B8"/>
    <w:p w14:paraId="1C1D6471" w14:textId="77777777" w:rsidR="006E22B8" w:rsidRDefault="006E22B8" w:rsidP="006E22B8"/>
    <w:p w14:paraId="2EA30BCF" w14:textId="77777777" w:rsidR="006E22B8" w:rsidRDefault="006E22B8" w:rsidP="006E22B8"/>
    <w:p w14:paraId="4008C5FD" w14:textId="77777777" w:rsidR="006E22B8" w:rsidRDefault="006E22B8" w:rsidP="006E22B8"/>
    <w:p w14:paraId="2BA040D2" w14:textId="77777777" w:rsidR="006E22B8" w:rsidRDefault="006E22B8" w:rsidP="006E22B8"/>
    <w:p w14:paraId="3DE37DD3" w14:textId="77777777" w:rsidR="006E22B8" w:rsidRDefault="006E22B8" w:rsidP="006E22B8"/>
    <w:p w14:paraId="5F798D6A" w14:textId="77777777" w:rsidR="006E22B8" w:rsidRPr="00A67056" w:rsidRDefault="006E22B8" w:rsidP="006E22B8">
      <w:pPr>
        <w:rPr>
          <w:rFonts w:ascii="Times New Roman" w:hAnsi="Times New Roman" w:cs="Times New Roman"/>
        </w:rPr>
      </w:pPr>
      <w:bookmarkStart w:id="0" w:name="_GoBack"/>
      <w:bookmarkEnd w:id="0"/>
    </w:p>
    <w:sectPr w:rsidR="006E22B8" w:rsidRPr="00A67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01B65" w14:textId="77777777" w:rsidR="00D6681D" w:rsidRDefault="00D6681D" w:rsidP="00153D4F">
      <w:pPr>
        <w:spacing w:after="0" w:line="240" w:lineRule="auto"/>
      </w:pPr>
      <w:r>
        <w:separator/>
      </w:r>
    </w:p>
  </w:endnote>
  <w:endnote w:type="continuationSeparator" w:id="0">
    <w:p w14:paraId="00E63CA1" w14:textId="77777777" w:rsidR="00D6681D" w:rsidRDefault="00D6681D" w:rsidP="00153D4F">
      <w:pPr>
        <w:spacing w:after="0" w:line="240" w:lineRule="auto"/>
      </w:pPr>
      <w:r>
        <w:continuationSeparator/>
      </w:r>
    </w:p>
  </w:endnote>
  <w:endnote w:id="1">
    <w:p w14:paraId="68CA0624" w14:textId="77777777" w:rsidR="00007C4B" w:rsidRDefault="00007C4B" w:rsidP="00153D4F">
      <w:pPr>
        <w:pStyle w:val="EndnoteText"/>
        <w:jc w:val="both"/>
      </w:pPr>
      <w:r>
        <w:rPr>
          <w:rStyle w:val="EndnoteReference"/>
        </w:rPr>
        <w:endnoteRef/>
      </w:r>
      <w:r>
        <w:t xml:space="preserve"> From 1921 to 1972 Northern Ireland had its own Home Rule parliament within the UK, the Parliament of Northern Ireland. Although the region’s minority Irish Catholic population had representation in the Parliament, the period has been dubbed ‘Government without Consensus’ (Rose, 1976: 14-15) because, for the most part, the Irish Catholic community neither supported nor engaged with the Unionist regime. After the suspension of the regime in 1972, subsequent attempts to establish power-sharing institutions in the 1970s and 1980s were opposed by sections of both Nationalist/Republican and Unionist communities (Tonge, 2002: 113-126). As such, the cross-community endorsement of power-sharing via referendum in 1998 marked a new departure. Although some ultra-Unionists, namely the Democratic Unionists (DUP), opposed the 1998 settlement, they came to support power-sharing after a renegotiation of the 1998 settlement at St Andrew’s in 2006.</w:t>
      </w:r>
    </w:p>
  </w:endnote>
  <w:endnote w:id="2">
    <w:p w14:paraId="295A705E" w14:textId="6389F514" w:rsidR="00007C4B" w:rsidRDefault="00007C4B" w:rsidP="00153D4F">
      <w:pPr>
        <w:pStyle w:val="EndnoteText"/>
        <w:jc w:val="both"/>
      </w:pPr>
      <w:r>
        <w:rPr>
          <w:rStyle w:val="EndnoteReference"/>
        </w:rPr>
        <w:endnoteRef/>
      </w:r>
      <w:r>
        <w:t xml:space="preserve"> The district magnitude of NIA constituencies decreased from six to five for the March 2017 Assembly elections, reducing the size of the NIA from 108 to 90 seats. </w:t>
      </w:r>
    </w:p>
  </w:endnote>
  <w:endnote w:id="3">
    <w:p w14:paraId="3FBF8CA0" w14:textId="76382AB0" w:rsidR="00007C4B" w:rsidRDefault="00007C4B" w:rsidP="00637FAF">
      <w:pPr>
        <w:pStyle w:val="EndnoteText"/>
        <w:jc w:val="both"/>
      </w:pPr>
      <w:r>
        <w:rPr>
          <w:rStyle w:val="EndnoteReference"/>
        </w:rPr>
        <w:endnoteRef/>
      </w:r>
      <w:r>
        <w:t xml:space="preserve"> </w:t>
      </w:r>
      <w:r w:rsidRPr="00BE48F7">
        <w:rPr>
          <w:rFonts w:cstheme="minorHAnsi"/>
        </w:rPr>
        <w:t>André and Depauw (2013</w:t>
      </w:r>
      <w:r w:rsidR="00591418">
        <w:rPr>
          <w:rFonts w:cstheme="minorHAnsi"/>
        </w:rPr>
        <w:t>b: 10</w:t>
      </w:r>
      <w:r>
        <w:rPr>
          <w:rFonts w:cstheme="minorHAnsi"/>
        </w:rPr>
        <w:t>02</w:t>
      </w:r>
      <w:r w:rsidRPr="00BE48F7">
        <w:rPr>
          <w:rFonts w:cstheme="minorHAnsi"/>
        </w:rPr>
        <w:t xml:space="preserve">) </w:t>
      </w:r>
      <w:r>
        <w:rPr>
          <w:rFonts w:cstheme="minorHAnsi"/>
        </w:rPr>
        <w:t>note that studies of the ways in which representatives connect to their constituents have largely been limited to single-seat districts in the USA. They call for more research in the context of multi-member PR districts.</w:t>
      </w:r>
    </w:p>
  </w:endnote>
  <w:endnote w:id="4">
    <w:p w14:paraId="3282B00A" w14:textId="10408B62" w:rsidR="00007C4B" w:rsidRDefault="00007C4B" w:rsidP="00637FAF">
      <w:pPr>
        <w:pStyle w:val="EndnoteText"/>
        <w:jc w:val="both"/>
      </w:pPr>
      <w:r>
        <w:rPr>
          <w:rStyle w:val="EndnoteReference"/>
        </w:rPr>
        <w:endnoteRef/>
      </w:r>
      <w:r w:rsidR="001D51D1">
        <w:t xml:space="preserve"> </w:t>
      </w:r>
      <w:r w:rsidRPr="00533176">
        <w:rPr>
          <w:i/>
        </w:rPr>
        <w:t>Engagement Strategy for the Northern Ireland Assembly</w:t>
      </w:r>
      <w:r>
        <w:t xml:space="preserve"> (2010), available at </w:t>
      </w:r>
      <w:hyperlink r:id="rId1" w:history="1">
        <w:r w:rsidRPr="00732994">
          <w:rPr>
            <w:rStyle w:val="Hyperlink"/>
          </w:rPr>
          <w:t>archive.niassembly.gov.uk/corporate/EngagementStrategy.pdf</w:t>
        </w:r>
      </w:hyperlink>
      <w:r>
        <w:t xml:space="preserve"> (accessed 28</w:t>
      </w:r>
      <w:r w:rsidRPr="0064180C">
        <w:rPr>
          <w:vertAlign w:val="superscript"/>
        </w:rPr>
        <w:t>th</w:t>
      </w:r>
      <w:r>
        <w:t xml:space="preserve"> January 2016) </w:t>
      </w:r>
    </w:p>
  </w:endnote>
  <w:endnote w:id="5">
    <w:p w14:paraId="10C07A88" w14:textId="77777777" w:rsidR="00007C4B" w:rsidRDefault="00007C4B" w:rsidP="00153D4F">
      <w:pPr>
        <w:pStyle w:val="EndnoteText"/>
        <w:jc w:val="both"/>
      </w:pPr>
      <w:r>
        <w:rPr>
          <w:rStyle w:val="EndnoteReference"/>
        </w:rPr>
        <w:endnoteRef/>
      </w:r>
      <w:r>
        <w:t xml:space="preserve"> Response rates for Bradbury and Mitchell’s (2007) survey on constituency work in devolved Scotland and Wales: Members of the Scottish Parliament n = 44-55 (34-43%); Members of the National Assembly for Wales n = 26-30 (43-50%). Also see Bailer’s (2014: 178-184) overview of recent parliamentary surveys and their response rates.</w:t>
      </w:r>
    </w:p>
  </w:endnote>
  <w:endnote w:id="6">
    <w:p w14:paraId="6A897E27" w14:textId="383B4DF9" w:rsidR="00007C4B" w:rsidRPr="00A0746F" w:rsidRDefault="00007C4B" w:rsidP="00BC5490">
      <w:pPr>
        <w:pStyle w:val="EndnoteText"/>
        <w:jc w:val="both"/>
        <w:rPr>
          <w:rFonts w:cstheme="minorHAnsi"/>
        </w:rPr>
      </w:pPr>
      <w:r w:rsidRPr="00A0746F">
        <w:rPr>
          <w:rStyle w:val="EndnoteReference"/>
          <w:rFonts w:cstheme="minorHAnsi"/>
        </w:rPr>
        <w:endnoteRef/>
      </w:r>
      <w:r w:rsidRPr="00A0746F">
        <w:rPr>
          <w:rFonts w:cstheme="minorHAnsi"/>
        </w:rPr>
        <w:t xml:space="preserve"> Party composition figures accurate as of February 2016. ‘Others’ refers to smaller parties and independent MLAs. One respondent withheld their party political affiliation and is included in the ‘others’ category. Ethno-national designation refers to the community identity which each MLA, upon election, must register as. Community designation is necessary for the operation of cross-community consent mechanisms established as part of the 1998 Good Friday Agreement. Those MLAs who do not identify as unionist or nationalist are designated ‘other’. </w:t>
      </w:r>
    </w:p>
  </w:endnote>
  <w:endnote w:id="7">
    <w:p w14:paraId="25F8224D" w14:textId="77777777" w:rsidR="00007C4B" w:rsidRPr="00A0746F" w:rsidRDefault="00007C4B" w:rsidP="00153D4F">
      <w:pPr>
        <w:pStyle w:val="EndnoteText"/>
        <w:jc w:val="both"/>
        <w:rPr>
          <w:rFonts w:cstheme="minorHAnsi"/>
        </w:rPr>
      </w:pPr>
      <w:r w:rsidRPr="00A0746F">
        <w:rPr>
          <w:rStyle w:val="EndnoteReference"/>
          <w:rFonts w:cstheme="minorHAnsi"/>
        </w:rPr>
        <w:endnoteRef/>
      </w:r>
      <w:r w:rsidRPr="00A0746F">
        <w:rPr>
          <w:rFonts w:cstheme="minorHAnsi"/>
        </w:rPr>
        <w:t xml:space="preserve"> Bradbury and Mitchell distinguish between Constituency and List Member MSPs and AMs. The figures reported here (27.4 and 28.1) represent the </w:t>
      </w:r>
      <w:r>
        <w:rPr>
          <w:rFonts w:cstheme="minorHAnsi"/>
        </w:rPr>
        <w:t xml:space="preserve">author’s calculation of the </w:t>
      </w:r>
      <w:r w:rsidRPr="00A0746F">
        <w:rPr>
          <w:rFonts w:cstheme="minorHAnsi"/>
        </w:rPr>
        <w:t>average per jur</w:t>
      </w:r>
      <w:r>
        <w:rPr>
          <w:rFonts w:cstheme="minorHAnsi"/>
        </w:rPr>
        <w:t>isdiction.</w:t>
      </w:r>
      <w:r w:rsidRPr="00A0746F">
        <w:rPr>
          <w:rFonts w:cstheme="minorHAnsi"/>
        </w:rPr>
        <w:t xml:space="preserve"> </w:t>
      </w:r>
    </w:p>
  </w:endnote>
  <w:endnote w:id="8">
    <w:p w14:paraId="6F33D6EA" w14:textId="77777777" w:rsidR="00007C4B" w:rsidRDefault="00007C4B" w:rsidP="00153D4F">
      <w:pPr>
        <w:pStyle w:val="EndnoteText"/>
        <w:jc w:val="both"/>
      </w:pPr>
      <w:r>
        <w:rPr>
          <w:rStyle w:val="EndnoteReference"/>
        </w:rPr>
        <w:endnoteRef/>
      </w:r>
      <w:r>
        <w:t xml:space="preserve"> Independent Unionist MLA, interview, 14</w:t>
      </w:r>
      <w:r w:rsidRPr="00324CB5">
        <w:rPr>
          <w:vertAlign w:val="superscript"/>
        </w:rPr>
        <w:t>th</w:t>
      </w:r>
      <w:r>
        <w:t xml:space="preserve"> March 2016.</w:t>
      </w:r>
    </w:p>
  </w:endnote>
  <w:endnote w:id="9">
    <w:p w14:paraId="7BA0C42B" w14:textId="7BB6FD6C" w:rsidR="00007C4B" w:rsidRDefault="00007C4B">
      <w:pPr>
        <w:pStyle w:val="EndnoteText"/>
      </w:pPr>
      <w:r>
        <w:rPr>
          <w:rStyle w:val="EndnoteReference"/>
        </w:rPr>
        <w:endnoteRef/>
      </w:r>
      <w:r>
        <w:t xml:space="preserve"> SDLP MLA, interview, 22</w:t>
      </w:r>
      <w:r w:rsidRPr="00492BED">
        <w:rPr>
          <w:vertAlign w:val="superscript"/>
        </w:rPr>
        <w:t>nd</w:t>
      </w:r>
      <w:r>
        <w:t xml:space="preserve"> February 2016; Independent Unionist MLA, interview, 24</w:t>
      </w:r>
      <w:r w:rsidRPr="008553B8">
        <w:rPr>
          <w:vertAlign w:val="superscript"/>
        </w:rPr>
        <w:t>th</w:t>
      </w:r>
      <w:r>
        <w:t xml:space="preserve"> February 2016.</w:t>
      </w:r>
    </w:p>
  </w:endnote>
  <w:endnote w:id="10">
    <w:p w14:paraId="4AEBD35F" w14:textId="0CE954C1" w:rsidR="00007C4B" w:rsidRDefault="00007C4B">
      <w:pPr>
        <w:pStyle w:val="EndnoteText"/>
      </w:pPr>
      <w:r>
        <w:rPr>
          <w:rStyle w:val="EndnoteReference"/>
        </w:rPr>
        <w:endnoteRef/>
      </w:r>
      <w:r>
        <w:t xml:space="preserve"> Sinn Féin MLA, interview, 14</w:t>
      </w:r>
      <w:r w:rsidRPr="00492BED">
        <w:rPr>
          <w:vertAlign w:val="superscript"/>
        </w:rPr>
        <w:t>th</w:t>
      </w:r>
      <w:r>
        <w:t xml:space="preserve"> March, 2016</w:t>
      </w:r>
    </w:p>
  </w:endnote>
  <w:endnote w:id="11">
    <w:p w14:paraId="37080111" w14:textId="715095E1" w:rsidR="00007C4B" w:rsidRDefault="00007C4B">
      <w:pPr>
        <w:pStyle w:val="EndnoteText"/>
      </w:pPr>
      <w:r>
        <w:rPr>
          <w:rStyle w:val="EndnoteReference"/>
        </w:rPr>
        <w:endnoteRef/>
      </w:r>
      <w:r>
        <w:t xml:space="preserve"> </w:t>
      </w:r>
      <w:r w:rsidRPr="00A0746F">
        <w:rPr>
          <w:rFonts w:cstheme="minorHAnsi"/>
        </w:rPr>
        <w:t>Alliance Party MLA</w:t>
      </w:r>
      <w:r>
        <w:rPr>
          <w:rFonts w:cstheme="minorHAnsi"/>
        </w:rPr>
        <w:t xml:space="preserve"> (1)</w:t>
      </w:r>
      <w:r w:rsidRPr="00A0746F">
        <w:rPr>
          <w:rFonts w:cstheme="minorHAnsi"/>
        </w:rPr>
        <w:t>, interview, 23</w:t>
      </w:r>
      <w:r w:rsidRPr="00A0746F">
        <w:rPr>
          <w:rFonts w:cstheme="minorHAnsi"/>
          <w:vertAlign w:val="superscript"/>
        </w:rPr>
        <w:t>rd</w:t>
      </w:r>
      <w:r w:rsidRPr="00A0746F">
        <w:rPr>
          <w:rFonts w:cstheme="minorHAnsi"/>
        </w:rPr>
        <w:t xml:space="preserve"> February 2016.</w:t>
      </w:r>
    </w:p>
  </w:endnote>
  <w:endnote w:id="12">
    <w:p w14:paraId="08212F57" w14:textId="7DAA07C1" w:rsidR="00007C4B" w:rsidRDefault="00007C4B">
      <w:pPr>
        <w:pStyle w:val="EndnoteText"/>
      </w:pPr>
      <w:r>
        <w:rPr>
          <w:rStyle w:val="EndnoteReference"/>
        </w:rPr>
        <w:endnoteRef/>
      </w:r>
      <w:r>
        <w:t xml:space="preserve"> DUP MLA, interview, 14</w:t>
      </w:r>
      <w:r w:rsidRPr="000E0D3B">
        <w:rPr>
          <w:vertAlign w:val="superscript"/>
        </w:rPr>
        <w:t>th</w:t>
      </w:r>
      <w:r>
        <w:t xml:space="preserve"> March 2016.</w:t>
      </w:r>
    </w:p>
  </w:endnote>
  <w:endnote w:id="13">
    <w:p w14:paraId="0E94CC65" w14:textId="562A2997" w:rsidR="00007C4B" w:rsidRPr="009E7931" w:rsidRDefault="00007C4B" w:rsidP="00153D4F">
      <w:pPr>
        <w:pStyle w:val="EndnoteText"/>
        <w:jc w:val="both"/>
      </w:pPr>
      <w:r>
        <w:rPr>
          <w:rStyle w:val="EndnoteReference"/>
        </w:rPr>
        <w:endnoteRef/>
      </w:r>
      <w:r>
        <w:t xml:space="preserve"> André </w:t>
      </w:r>
      <w:r>
        <w:rPr>
          <w:i/>
        </w:rPr>
        <w:t>et al</w:t>
      </w:r>
      <w:r>
        <w:t>. (2015</w:t>
      </w:r>
      <w:r w:rsidR="00886161">
        <w:t>: 472</w:t>
      </w:r>
      <w:r>
        <w:t xml:space="preserve">) </w:t>
      </w:r>
      <w:r w:rsidR="00663ACC">
        <w:t>suggest</w:t>
      </w:r>
      <w:r>
        <w:t xml:space="preserve"> the following calculation for measuring intra-party vulnerability in strong preferential systems: 1 – ([PV candidate – PV first non-elected co-partisan] </w:t>
      </w:r>
      <w:r w:rsidRPr="009E7931">
        <w:rPr>
          <w:color w:val="222222"/>
          <w:lang w:val="en"/>
        </w:rPr>
        <w:t>÷</w:t>
      </w:r>
      <w:r>
        <w:t xml:space="preserve"> PV party’s candidates), where PV = number of preference votes.   </w:t>
      </w:r>
    </w:p>
  </w:endnote>
  <w:endnote w:id="14">
    <w:p w14:paraId="7D71EF51" w14:textId="77777777" w:rsidR="00007C4B" w:rsidRDefault="00007C4B" w:rsidP="00153D4F">
      <w:pPr>
        <w:pStyle w:val="EndnoteText"/>
      </w:pPr>
      <w:r>
        <w:rPr>
          <w:rStyle w:val="EndnoteReference"/>
        </w:rPr>
        <w:endnoteRef/>
      </w:r>
      <w:r>
        <w:t xml:space="preserve"> DUP MLA, interview, 14</w:t>
      </w:r>
      <w:r w:rsidRPr="000E0D3B">
        <w:rPr>
          <w:vertAlign w:val="superscript"/>
        </w:rPr>
        <w:t>th</w:t>
      </w:r>
      <w:r>
        <w:t xml:space="preserve"> March 2016. </w:t>
      </w:r>
    </w:p>
  </w:endnote>
  <w:endnote w:id="15">
    <w:p w14:paraId="16F6F236" w14:textId="77777777" w:rsidR="00007C4B" w:rsidRPr="00A0746F" w:rsidRDefault="00007C4B" w:rsidP="00153D4F">
      <w:pPr>
        <w:pStyle w:val="EndnoteText"/>
        <w:jc w:val="both"/>
        <w:rPr>
          <w:rFonts w:cstheme="minorHAnsi"/>
        </w:rPr>
      </w:pPr>
      <w:r w:rsidRPr="00A0746F">
        <w:rPr>
          <w:rStyle w:val="EndnoteReference"/>
          <w:rFonts w:cstheme="minorHAnsi"/>
        </w:rPr>
        <w:endnoteRef/>
      </w:r>
      <w:r w:rsidRPr="00A0746F">
        <w:rPr>
          <w:rFonts w:cstheme="minorHAnsi"/>
        </w:rPr>
        <w:t xml:space="preserve"> Alliance Party MLA</w:t>
      </w:r>
      <w:r>
        <w:rPr>
          <w:rFonts w:cstheme="minorHAnsi"/>
        </w:rPr>
        <w:t xml:space="preserve"> (1)</w:t>
      </w:r>
      <w:r w:rsidRPr="00A0746F">
        <w:rPr>
          <w:rFonts w:cstheme="minorHAnsi"/>
        </w:rPr>
        <w:t>, interview, 23</w:t>
      </w:r>
      <w:r w:rsidRPr="00A0746F">
        <w:rPr>
          <w:rFonts w:cstheme="minorHAnsi"/>
          <w:vertAlign w:val="superscript"/>
        </w:rPr>
        <w:t>rd</w:t>
      </w:r>
      <w:r w:rsidRPr="00A0746F">
        <w:rPr>
          <w:rFonts w:cstheme="minorHAnsi"/>
        </w:rPr>
        <w:t xml:space="preserve"> February 2016. </w:t>
      </w:r>
    </w:p>
  </w:endnote>
  <w:endnote w:id="16">
    <w:p w14:paraId="1AB6B7CB" w14:textId="77777777" w:rsidR="00007C4B" w:rsidRPr="00A0746F" w:rsidRDefault="00007C4B" w:rsidP="00153D4F">
      <w:pPr>
        <w:pStyle w:val="EndnoteText"/>
        <w:jc w:val="both"/>
        <w:rPr>
          <w:rFonts w:cstheme="minorHAnsi"/>
        </w:rPr>
      </w:pPr>
      <w:r w:rsidRPr="00A0746F">
        <w:rPr>
          <w:rStyle w:val="EndnoteReference"/>
          <w:rFonts w:cstheme="minorHAnsi"/>
        </w:rPr>
        <w:endnoteRef/>
      </w:r>
      <w:r w:rsidRPr="00A0746F">
        <w:rPr>
          <w:rFonts w:cstheme="minorHAnsi"/>
        </w:rPr>
        <w:t xml:space="preserve"> SDLP MLA, interview, 22</w:t>
      </w:r>
      <w:r w:rsidRPr="00A0746F">
        <w:rPr>
          <w:rFonts w:cstheme="minorHAnsi"/>
          <w:vertAlign w:val="superscript"/>
        </w:rPr>
        <w:t>nd</w:t>
      </w:r>
      <w:r w:rsidRPr="00A0746F">
        <w:rPr>
          <w:rFonts w:cstheme="minorHAnsi"/>
        </w:rPr>
        <w:t xml:space="preserve"> February 2016. Emphasis added. </w:t>
      </w:r>
    </w:p>
  </w:endnote>
  <w:endnote w:id="17">
    <w:p w14:paraId="6EB5A6BB" w14:textId="3E8BE26C" w:rsidR="00007C4B" w:rsidRDefault="00007C4B" w:rsidP="00153D4F">
      <w:pPr>
        <w:pStyle w:val="EndnoteText"/>
      </w:pPr>
      <w:r>
        <w:rPr>
          <w:rStyle w:val="EndnoteReference"/>
        </w:rPr>
        <w:endnoteRef/>
      </w:r>
      <w:r>
        <w:t xml:space="preserve"> In a survey of TDs in the Republic of Ireland (n = 75, 47%), Wall (2011) reports a statistically significant relationship between co-partisan competition and TDs’ constituency work (p &lt; 0.05). See </w:t>
      </w:r>
      <w:hyperlink r:id="rId2" w:history="1">
        <w:r w:rsidRPr="000A7A43">
          <w:rPr>
            <w:rStyle w:val="Hyperlink"/>
          </w:rPr>
          <w:t>https://politicalreform.ie/2011/03/29/what-did-tds-do-and-who-did-they-represent-in-the-previous-dail/</w:t>
        </w:r>
      </w:hyperlink>
      <w:r>
        <w:t xml:space="preserve"> (accessed 6</w:t>
      </w:r>
      <w:r w:rsidRPr="003A7951">
        <w:rPr>
          <w:vertAlign w:val="superscript"/>
        </w:rPr>
        <w:t>th</w:t>
      </w:r>
      <w:r>
        <w:t xml:space="preserve"> February 2017). </w:t>
      </w:r>
    </w:p>
  </w:endnote>
  <w:endnote w:id="18">
    <w:p w14:paraId="5D23AFAE" w14:textId="11892BBD" w:rsidR="00516BE1" w:rsidRDefault="00516BE1" w:rsidP="00BD2A8C">
      <w:pPr>
        <w:pStyle w:val="EndnoteText"/>
        <w:jc w:val="both"/>
      </w:pPr>
      <w:r>
        <w:rPr>
          <w:rStyle w:val="EndnoteReference"/>
        </w:rPr>
        <w:endnoteRef/>
      </w:r>
      <w:r>
        <w:t xml:space="preserve"> </w:t>
      </w:r>
      <w:r w:rsidR="00BD2A8C">
        <w:t>Sinn Féin MLA, interview, 22</w:t>
      </w:r>
      <w:r w:rsidR="00BD2A8C" w:rsidRPr="00573684">
        <w:rPr>
          <w:vertAlign w:val="superscript"/>
        </w:rPr>
        <w:t>nd</w:t>
      </w:r>
      <w:r w:rsidR="00BD2A8C">
        <w:t xml:space="preserve"> February 2016.</w:t>
      </w:r>
    </w:p>
  </w:endnote>
  <w:endnote w:id="19">
    <w:p w14:paraId="5E2BAFDB" w14:textId="379468C8" w:rsidR="00CC215A" w:rsidRDefault="00CC215A">
      <w:pPr>
        <w:pStyle w:val="EndnoteText"/>
      </w:pPr>
      <w:r>
        <w:rPr>
          <w:rStyle w:val="EndnoteReference"/>
        </w:rPr>
        <w:endnoteRef/>
      </w:r>
      <w:r>
        <w:t xml:space="preserve"> DUP MLA, interview, 14</w:t>
      </w:r>
      <w:r w:rsidRPr="000E0D3B">
        <w:rPr>
          <w:vertAlign w:val="superscript"/>
        </w:rPr>
        <w:t>th</w:t>
      </w:r>
      <w:r>
        <w:t xml:space="preserve"> March 2016. </w:t>
      </w:r>
      <w:r w:rsidR="00100B62">
        <w:t>Although uncommon, co-partisan disagreements are not unheard of.</w:t>
      </w:r>
      <w:r w:rsidR="00E8560B">
        <w:t xml:space="preserve"> One former DUP MLA recently accused her party colleague’s election campaigners of canvassing in ‘her’ area during the most recent Assembly elections (see Bell, 2017). </w:t>
      </w:r>
    </w:p>
  </w:endnote>
  <w:endnote w:id="20">
    <w:p w14:paraId="470B50B9" w14:textId="50F117B0" w:rsidR="002C4469" w:rsidRDefault="002C4469">
      <w:pPr>
        <w:pStyle w:val="EndnoteText"/>
      </w:pPr>
      <w:r>
        <w:rPr>
          <w:rStyle w:val="EndnoteReference"/>
        </w:rPr>
        <w:endnoteRef/>
      </w:r>
      <w:r>
        <w:t xml:space="preserve"> The magnitude of the difference in the means (mean difference = -10.14, 95% CI: -20.0 to -.21) is medium (eta squared = .09)</w:t>
      </w:r>
    </w:p>
  </w:endnote>
  <w:endnote w:id="21">
    <w:p w14:paraId="72BCCC71" w14:textId="77777777" w:rsidR="00007C4B" w:rsidRDefault="00007C4B" w:rsidP="00153D4F">
      <w:pPr>
        <w:pStyle w:val="EndnoteText"/>
        <w:jc w:val="both"/>
      </w:pPr>
      <w:r>
        <w:rPr>
          <w:rStyle w:val="EndnoteReference"/>
        </w:rPr>
        <w:endnoteRef/>
      </w:r>
      <w:r>
        <w:t xml:space="preserve"> SDLP MLA, interview, 22</w:t>
      </w:r>
      <w:r w:rsidRPr="00492BED">
        <w:rPr>
          <w:vertAlign w:val="superscript"/>
        </w:rPr>
        <w:t>nd</w:t>
      </w:r>
      <w:r>
        <w:t xml:space="preserve"> February 2016. </w:t>
      </w:r>
    </w:p>
  </w:endnote>
  <w:endnote w:id="22">
    <w:p w14:paraId="4FFBF872" w14:textId="77777777" w:rsidR="00007C4B" w:rsidRDefault="00007C4B" w:rsidP="00153D4F">
      <w:pPr>
        <w:pStyle w:val="EndnoteText"/>
        <w:jc w:val="both"/>
      </w:pPr>
      <w:r>
        <w:rPr>
          <w:rStyle w:val="EndnoteReference"/>
        </w:rPr>
        <w:endnoteRef/>
      </w:r>
      <w:r>
        <w:t xml:space="preserve"> UUP MLA, interview, 23</w:t>
      </w:r>
      <w:r w:rsidRPr="00492BED">
        <w:rPr>
          <w:vertAlign w:val="superscript"/>
        </w:rPr>
        <w:t>rd</w:t>
      </w:r>
      <w:r>
        <w:t xml:space="preserve"> February 2016. </w:t>
      </w:r>
    </w:p>
  </w:endnote>
  <w:endnote w:id="23">
    <w:p w14:paraId="10770EC0" w14:textId="77777777" w:rsidR="00007C4B" w:rsidRDefault="00007C4B" w:rsidP="00153D4F">
      <w:pPr>
        <w:pStyle w:val="EndnoteText"/>
        <w:jc w:val="both"/>
      </w:pPr>
      <w:r>
        <w:rPr>
          <w:rStyle w:val="EndnoteReference"/>
        </w:rPr>
        <w:endnoteRef/>
      </w:r>
      <w:r>
        <w:t xml:space="preserve"> Alliance Party MLA (2), interview, 23</w:t>
      </w:r>
      <w:r w:rsidRPr="00492BED">
        <w:rPr>
          <w:vertAlign w:val="superscript"/>
        </w:rPr>
        <w:t>rd</w:t>
      </w:r>
      <w:r>
        <w:t xml:space="preserve"> February 2016.</w:t>
      </w:r>
    </w:p>
  </w:endnote>
  <w:endnote w:id="24">
    <w:p w14:paraId="427D8D5A" w14:textId="77777777" w:rsidR="00007C4B" w:rsidRDefault="00007C4B" w:rsidP="00153D4F">
      <w:pPr>
        <w:pStyle w:val="EndnoteText"/>
        <w:jc w:val="both"/>
      </w:pPr>
      <w:r>
        <w:rPr>
          <w:rStyle w:val="EndnoteReference"/>
        </w:rPr>
        <w:endnoteRef/>
      </w:r>
      <w:r>
        <w:t xml:space="preserve"> SDLP MLA, interview, 18</w:t>
      </w:r>
      <w:r w:rsidRPr="00EB45E1">
        <w:rPr>
          <w:vertAlign w:val="superscript"/>
        </w:rPr>
        <w:t>th</w:t>
      </w:r>
      <w:r>
        <w:t xml:space="preserve"> July 2016.</w:t>
      </w:r>
    </w:p>
  </w:endnote>
  <w:endnote w:id="25">
    <w:p w14:paraId="65A498F9" w14:textId="77777777" w:rsidR="00007C4B" w:rsidRDefault="00007C4B" w:rsidP="00153D4F">
      <w:pPr>
        <w:pStyle w:val="EndnoteText"/>
        <w:jc w:val="both"/>
      </w:pPr>
      <w:r>
        <w:rPr>
          <w:rStyle w:val="EndnoteReference"/>
        </w:rPr>
        <w:endnoteRef/>
      </w:r>
      <w:r>
        <w:t xml:space="preserve"> Sinn Féin MLA, interview, 14</w:t>
      </w:r>
      <w:r w:rsidRPr="00492BED">
        <w:rPr>
          <w:vertAlign w:val="superscript"/>
        </w:rPr>
        <w:t>th</w:t>
      </w:r>
      <w:r>
        <w:t xml:space="preserve"> March, 2016</w:t>
      </w:r>
    </w:p>
  </w:endnote>
  <w:endnote w:id="26">
    <w:p w14:paraId="768D7C25" w14:textId="0801AEDB" w:rsidR="00007C4B" w:rsidRPr="002D1D71" w:rsidRDefault="00007C4B" w:rsidP="00153D4F">
      <w:pPr>
        <w:pStyle w:val="EndnoteText"/>
      </w:pPr>
      <w:r>
        <w:rPr>
          <w:rStyle w:val="EndnoteReference"/>
        </w:rPr>
        <w:endnoteRef/>
      </w:r>
      <w:r>
        <w:t xml:space="preserve"> Data made available by the PartiRep MP Survey (see </w:t>
      </w:r>
      <w:hyperlink r:id="rId3" w:history="1">
        <w:r w:rsidRPr="00965617">
          <w:rPr>
            <w:rStyle w:val="Hyperlink"/>
          </w:rPr>
          <w:t>www.partirep.eu</w:t>
        </w:r>
      </w:hyperlink>
      <w:r>
        <w:t xml:space="preserve"> also Deschouwer </w:t>
      </w:r>
      <w:r>
        <w:rPr>
          <w:i/>
        </w:rPr>
        <w:t>et al</w:t>
      </w:r>
      <w:r>
        <w:t>., 2014).</w:t>
      </w:r>
    </w:p>
  </w:endnote>
  <w:endnote w:id="27">
    <w:p w14:paraId="2CE082AA" w14:textId="77777777" w:rsidR="00007C4B" w:rsidRPr="00A0746F" w:rsidRDefault="00007C4B" w:rsidP="00153D4F">
      <w:pPr>
        <w:pStyle w:val="EndnoteText"/>
        <w:jc w:val="both"/>
        <w:rPr>
          <w:rFonts w:cstheme="minorHAnsi"/>
        </w:rPr>
      </w:pPr>
      <w:r w:rsidRPr="00A0746F">
        <w:rPr>
          <w:rStyle w:val="EndnoteReference"/>
          <w:rFonts w:cstheme="minorHAnsi"/>
        </w:rPr>
        <w:endnoteRef/>
      </w:r>
      <w:r w:rsidRPr="00A0746F">
        <w:rPr>
          <w:rFonts w:cstheme="minorHAnsi"/>
        </w:rPr>
        <w:t xml:space="preserve"> SDLP MLA, interview, 26</w:t>
      </w:r>
      <w:r w:rsidRPr="00A0746F">
        <w:rPr>
          <w:rFonts w:cstheme="minorHAnsi"/>
          <w:vertAlign w:val="superscript"/>
        </w:rPr>
        <w:t>th</w:t>
      </w:r>
      <w:r w:rsidRPr="00A0746F">
        <w:rPr>
          <w:rFonts w:cstheme="minorHAnsi"/>
        </w:rPr>
        <w:t xml:space="preserve"> February 2016. </w:t>
      </w:r>
    </w:p>
  </w:endnote>
  <w:endnote w:id="28">
    <w:p w14:paraId="3C018AE6" w14:textId="296B3C70" w:rsidR="00007C4B" w:rsidRDefault="00007C4B" w:rsidP="00153D4F">
      <w:pPr>
        <w:pStyle w:val="EndnoteText"/>
      </w:pPr>
      <w:r>
        <w:rPr>
          <w:rStyle w:val="EndnoteReference"/>
        </w:rPr>
        <w:endnoteRef/>
      </w:r>
      <w:r>
        <w:t xml:space="preserve"> One Sinn Féin MLA </w:t>
      </w:r>
      <w:r w:rsidR="00CC215A">
        <w:t xml:space="preserve">from a rural constituency </w:t>
      </w:r>
      <w:r>
        <w:t>notes ‘</w:t>
      </w:r>
      <w:r w:rsidRPr="00E10907">
        <w:t>w</w:t>
      </w:r>
      <w:r w:rsidRPr="00E10907">
        <w:rPr>
          <w:rStyle w:val="Emphasis"/>
          <w:rFonts w:cstheme="minorHAnsi"/>
          <w:b w:val="0"/>
        </w:rPr>
        <w:t>here I would be envious of the DUP in our constituency is that they have three MLAs and they can split up the constituency, whereas I have the whole of [constituency]. I get invites to events all over the constituency and I can’t delegate that or share those with another MLA’.</w:t>
      </w:r>
      <w:r>
        <w:rPr>
          <w:rStyle w:val="Emphasis"/>
          <w:rFonts w:cstheme="minorHAnsi"/>
        </w:rPr>
        <w:t xml:space="preserve"> </w:t>
      </w:r>
      <w:r>
        <w:t>Interview, 14</w:t>
      </w:r>
      <w:r w:rsidRPr="00492BED">
        <w:rPr>
          <w:vertAlign w:val="superscript"/>
        </w:rPr>
        <w:t>th</w:t>
      </w:r>
      <w:r>
        <w:t xml:space="preserve"> March, 2016.</w:t>
      </w:r>
    </w:p>
  </w:endnote>
  <w:endnote w:id="29">
    <w:p w14:paraId="6474C98E" w14:textId="507AF14C" w:rsidR="005B3B90" w:rsidRDefault="005B3B90">
      <w:pPr>
        <w:pStyle w:val="EndnoteText"/>
      </w:pPr>
      <w:r>
        <w:rPr>
          <w:rStyle w:val="EndnoteReference"/>
        </w:rPr>
        <w:endnoteRef/>
      </w:r>
      <w:r>
        <w:t xml:space="preserve"> ‘A Shared Future’ is the Alliance Party’s flagship policy. It aims to end sectarian divisions in Northern Ireland through promoting integration (e.g. in housing and education), reconciliation, and mutual respect for religious, political, and cultural diversity.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84659"/>
      <w:docPartObj>
        <w:docPartGallery w:val="Page Numbers (Bottom of Page)"/>
        <w:docPartUnique/>
      </w:docPartObj>
    </w:sdtPr>
    <w:sdtEndPr>
      <w:rPr>
        <w:noProof/>
      </w:rPr>
    </w:sdtEndPr>
    <w:sdtContent>
      <w:p w14:paraId="04774F4D" w14:textId="77777777" w:rsidR="00007C4B" w:rsidRDefault="00007C4B">
        <w:pPr>
          <w:pStyle w:val="Footer"/>
          <w:jc w:val="center"/>
        </w:pPr>
        <w:r>
          <w:fldChar w:fldCharType="begin"/>
        </w:r>
        <w:r>
          <w:instrText xml:space="preserve"> PAGE   \* MERGEFORMAT </w:instrText>
        </w:r>
        <w:r>
          <w:fldChar w:fldCharType="separate"/>
        </w:r>
        <w:r w:rsidR="00446E2B">
          <w:rPr>
            <w:noProof/>
          </w:rPr>
          <w:t>1</w:t>
        </w:r>
        <w:r>
          <w:rPr>
            <w:noProof/>
          </w:rPr>
          <w:fldChar w:fldCharType="end"/>
        </w:r>
      </w:p>
    </w:sdtContent>
  </w:sdt>
  <w:p w14:paraId="7029F684" w14:textId="77777777" w:rsidR="00007C4B" w:rsidRDefault="0000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3913B" w14:textId="77777777" w:rsidR="00D6681D" w:rsidRDefault="00D6681D" w:rsidP="00153D4F">
      <w:pPr>
        <w:spacing w:after="0" w:line="240" w:lineRule="auto"/>
      </w:pPr>
      <w:r>
        <w:separator/>
      </w:r>
    </w:p>
  </w:footnote>
  <w:footnote w:type="continuationSeparator" w:id="0">
    <w:p w14:paraId="68B0D27F" w14:textId="77777777" w:rsidR="00D6681D" w:rsidRDefault="00D6681D" w:rsidP="00153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77CA"/>
    <w:multiLevelType w:val="hybridMultilevel"/>
    <w:tmpl w:val="9BC8D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922E0"/>
    <w:multiLevelType w:val="hybridMultilevel"/>
    <w:tmpl w:val="3EEA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7135A"/>
    <w:multiLevelType w:val="hybridMultilevel"/>
    <w:tmpl w:val="551E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D4221"/>
    <w:multiLevelType w:val="hybridMultilevel"/>
    <w:tmpl w:val="39E80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636D4"/>
    <w:multiLevelType w:val="hybridMultilevel"/>
    <w:tmpl w:val="544C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A6203"/>
    <w:multiLevelType w:val="hybridMultilevel"/>
    <w:tmpl w:val="8D76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F8068A"/>
    <w:multiLevelType w:val="hybridMultilevel"/>
    <w:tmpl w:val="235CC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AB"/>
    <w:rsid w:val="000023D8"/>
    <w:rsid w:val="00007C4B"/>
    <w:rsid w:val="00011817"/>
    <w:rsid w:val="000139C5"/>
    <w:rsid w:val="00035612"/>
    <w:rsid w:val="000409D7"/>
    <w:rsid w:val="00045F2B"/>
    <w:rsid w:val="00054D6A"/>
    <w:rsid w:val="000706B2"/>
    <w:rsid w:val="00086D0E"/>
    <w:rsid w:val="00086FEA"/>
    <w:rsid w:val="000968BA"/>
    <w:rsid w:val="000A5CCA"/>
    <w:rsid w:val="000B17C6"/>
    <w:rsid w:val="000B596C"/>
    <w:rsid w:val="000C43DB"/>
    <w:rsid w:val="000C699C"/>
    <w:rsid w:val="000D0A82"/>
    <w:rsid w:val="000D784E"/>
    <w:rsid w:val="00100B62"/>
    <w:rsid w:val="00106C86"/>
    <w:rsid w:val="00112600"/>
    <w:rsid w:val="001128D8"/>
    <w:rsid w:val="00112F34"/>
    <w:rsid w:val="0011620D"/>
    <w:rsid w:val="00122C73"/>
    <w:rsid w:val="001323E4"/>
    <w:rsid w:val="00133663"/>
    <w:rsid w:val="00153D4F"/>
    <w:rsid w:val="00154580"/>
    <w:rsid w:val="00157E5B"/>
    <w:rsid w:val="00162C72"/>
    <w:rsid w:val="00181FA6"/>
    <w:rsid w:val="00183CCD"/>
    <w:rsid w:val="001A3A3C"/>
    <w:rsid w:val="001A4F63"/>
    <w:rsid w:val="001A52CE"/>
    <w:rsid w:val="001B4A6E"/>
    <w:rsid w:val="001C11A9"/>
    <w:rsid w:val="001C7F8F"/>
    <w:rsid w:val="001D08FF"/>
    <w:rsid w:val="001D51D1"/>
    <w:rsid w:val="001D68C1"/>
    <w:rsid w:val="001D7CBC"/>
    <w:rsid w:val="001F1C0C"/>
    <w:rsid w:val="001F24F0"/>
    <w:rsid w:val="002124D0"/>
    <w:rsid w:val="0021302E"/>
    <w:rsid w:val="0022018B"/>
    <w:rsid w:val="00224D44"/>
    <w:rsid w:val="0022672A"/>
    <w:rsid w:val="002431C8"/>
    <w:rsid w:val="00266F6E"/>
    <w:rsid w:val="00273D63"/>
    <w:rsid w:val="002763BD"/>
    <w:rsid w:val="00287622"/>
    <w:rsid w:val="00291FDC"/>
    <w:rsid w:val="00297BB7"/>
    <w:rsid w:val="002A138E"/>
    <w:rsid w:val="002A4DD3"/>
    <w:rsid w:val="002B0D99"/>
    <w:rsid w:val="002C1954"/>
    <w:rsid w:val="002C440F"/>
    <w:rsid w:val="002C4469"/>
    <w:rsid w:val="002E32F6"/>
    <w:rsid w:val="002E42C0"/>
    <w:rsid w:val="002E7008"/>
    <w:rsid w:val="002F76A2"/>
    <w:rsid w:val="00304E1B"/>
    <w:rsid w:val="00312E41"/>
    <w:rsid w:val="003143E5"/>
    <w:rsid w:val="00322E91"/>
    <w:rsid w:val="00325F85"/>
    <w:rsid w:val="00336EAC"/>
    <w:rsid w:val="00337A9C"/>
    <w:rsid w:val="00363714"/>
    <w:rsid w:val="0036389C"/>
    <w:rsid w:val="00365883"/>
    <w:rsid w:val="00365A4C"/>
    <w:rsid w:val="003B4E2A"/>
    <w:rsid w:val="003C40DF"/>
    <w:rsid w:val="003C6596"/>
    <w:rsid w:val="003D7368"/>
    <w:rsid w:val="003E3591"/>
    <w:rsid w:val="003E6BC5"/>
    <w:rsid w:val="00417BFA"/>
    <w:rsid w:val="00420488"/>
    <w:rsid w:val="004302A8"/>
    <w:rsid w:val="004313A1"/>
    <w:rsid w:val="00444890"/>
    <w:rsid w:val="00445665"/>
    <w:rsid w:val="004462A6"/>
    <w:rsid w:val="00446E2B"/>
    <w:rsid w:val="0045639C"/>
    <w:rsid w:val="00467F88"/>
    <w:rsid w:val="004712C0"/>
    <w:rsid w:val="00473C87"/>
    <w:rsid w:val="00492F9C"/>
    <w:rsid w:val="00496092"/>
    <w:rsid w:val="004A7580"/>
    <w:rsid w:val="004B4985"/>
    <w:rsid w:val="004C34D1"/>
    <w:rsid w:val="004D5775"/>
    <w:rsid w:val="004F0FA1"/>
    <w:rsid w:val="004F2AD9"/>
    <w:rsid w:val="004F711D"/>
    <w:rsid w:val="00500803"/>
    <w:rsid w:val="005036DE"/>
    <w:rsid w:val="0050598C"/>
    <w:rsid w:val="005064C6"/>
    <w:rsid w:val="00514240"/>
    <w:rsid w:val="00514778"/>
    <w:rsid w:val="00516BE1"/>
    <w:rsid w:val="0052706C"/>
    <w:rsid w:val="00552107"/>
    <w:rsid w:val="00562602"/>
    <w:rsid w:val="00567F00"/>
    <w:rsid w:val="00575385"/>
    <w:rsid w:val="0058061E"/>
    <w:rsid w:val="00591418"/>
    <w:rsid w:val="00593CAE"/>
    <w:rsid w:val="005943F1"/>
    <w:rsid w:val="005A237D"/>
    <w:rsid w:val="005A723E"/>
    <w:rsid w:val="005A7C64"/>
    <w:rsid w:val="005B3B90"/>
    <w:rsid w:val="005C2271"/>
    <w:rsid w:val="005C2480"/>
    <w:rsid w:val="005D5BDF"/>
    <w:rsid w:val="006059F5"/>
    <w:rsid w:val="006101F0"/>
    <w:rsid w:val="006107C8"/>
    <w:rsid w:val="00613911"/>
    <w:rsid w:val="0061395B"/>
    <w:rsid w:val="006141B9"/>
    <w:rsid w:val="00623F0E"/>
    <w:rsid w:val="0063643C"/>
    <w:rsid w:val="00637FAF"/>
    <w:rsid w:val="006433B7"/>
    <w:rsid w:val="00645389"/>
    <w:rsid w:val="0065122B"/>
    <w:rsid w:val="00657EBE"/>
    <w:rsid w:val="00663ACC"/>
    <w:rsid w:val="00675F5B"/>
    <w:rsid w:val="006778FA"/>
    <w:rsid w:val="00681E50"/>
    <w:rsid w:val="00685E0C"/>
    <w:rsid w:val="006A2084"/>
    <w:rsid w:val="006B326B"/>
    <w:rsid w:val="006B7A1D"/>
    <w:rsid w:val="006C1F18"/>
    <w:rsid w:val="006C6334"/>
    <w:rsid w:val="006D1ABE"/>
    <w:rsid w:val="006D4F1B"/>
    <w:rsid w:val="006E22B8"/>
    <w:rsid w:val="006E392E"/>
    <w:rsid w:val="006F0209"/>
    <w:rsid w:val="007121CA"/>
    <w:rsid w:val="00731616"/>
    <w:rsid w:val="00732467"/>
    <w:rsid w:val="007445E5"/>
    <w:rsid w:val="0076107D"/>
    <w:rsid w:val="00763ACE"/>
    <w:rsid w:val="007720B9"/>
    <w:rsid w:val="00772337"/>
    <w:rsid w:val="00777FF0"/>
    <w:rsid w:val="007872AC"/>
    <w:rsid w:val="007912C2"/>
    <w:rsid w:val="0079309B"/>
    <w:rsid w:val="00794CCF"/>
    <w:rsid w:val="007A0278"/>
    <w:rsid w:val="007A03D8"/>
    <w:rsid w:val="007A36FC"/>
    <w:rsid w:val="007C1622"/>
    <w:rsid w:val="007E5F6B"/>
    <w:rsid w:val="00807C20"/>
    <w:rsid w:val="00807DF3"/>
    <w:rsid w:val="00822515"/>
    <w:rsid w:val="008355C2"/>
    <w:rsid w:val="008430DC"/>
    <w:rsid w:val="00844C66"/>
    <w:rsid w:val="008553B8"/>
    <w:rsid w:val="00855FA5"/>
    <w:rsid w:val="00881CEF"/>
    <w:rsid w:val="00881E3B"/>
    <w:rsid w:val="00886161"/>
    <w:rsid w:val="008952D8"/>
    <w:rsid w:val="008C4931"/>
    <w:rsid w:val="008F2B2C"/>
    <w:rsid w:val="009021AC"/>
    <w:rsid w:val="009100C1"/>
    <w:rsid w:val="0091521B"/>
    <w:rsid w:val="00920A41"/>
    <w:rsid w:val="00945352"/>
    <w:rsid w:val="00947060"/>
    <w:rsid w:val="0095012C"/>
    <w:rsid w:val="00957728"/>
    <w:rsid w:val="00971401"/>
    <w:rsid w:val="009842A1"/>
    <w:rsid w:val="00987EC8"/>
    <w:rsid w:val="00994385"/>
    <w:rsid w:val="009A0A58"/>
    <w:rsid w:val="009A6489"/>
    <w:rsid w:val="009B152A"/>
    <w:rsid w:val="009B2BE9"/>
    <w:rsid w:val="009C563D"/>
    <w:rsid w:val="009D235C"/>
    <w:rsid w:val="009D266E"/>
    <w:rsid w:val="009D4247"/>
    <w:rsid w:val="009D61BC"/>
    <w:rsid w:val="00A05B7E"/>
    <w:rsid w:val="00A119D7"/>
    <w:rsid w:val="00A25B33"/>
    <w:rsid w:val="00A262E0"/>
    <w:rsid w:val="00A31BD0"/>
    <w:rsid w:val="00A419B6"/>
    <w:rsid w:val="00A44546"/>
    <w:rsid w:val="00A51709"/>
    <w:rsid w:val="00A92009"/>
    <w:rsid w:val="00AA000C"/>
    <w:rsid w:val="00AB4A1B"/>
    <w:rsid w:val="00AB5358"/>
    <w:rsid w:val="00AB7C65"/>
    <w:rsid w:val="00AC49D4"/>
    <w:rsid w:val="00AD03F0"/>
    <w:rsid w:val="00AF5128"/>
    <w:rsid w:val="00B02E59"/>
    <w:rsid w:val="00B03A9E"/>
    <w:rsid w:val="00B161FA"/>
    <w:rsid w:val="00B300CC"/>
    <w:rsid w:val="00B323E5"/>
    <w:rsid w:val="00B62109"/>
    <w:rsid w:val="00B67032"/>
    <w:rsid w:val="00B73D2A"/>
    <w:rsid w:val="00B754E3"/>
    <w:rsid w:val="00B844BC"/>
    <w:rsid w:val="00B939FF"/>
    <w:rsid w:val="00BA2741"/>
    <w:rsid w:val="00BA50AB"/>
    <w:rsid w:val="00BB091E"/>
    <w:rsid w:val="00BC5490"/>
    <w:rsid w:val="00BC619F"/>
    <w:rsid w:val="00BD256D"/>
    <w:rsid w:val="00BD2A8C"/>
    <w:rsid w:val="00BF24FB"/>
    <w:rsid w:val="00BF6057"/>
    <w:rsid w:val="00BF698B"/>
    <w:rsid w:val="00C2414E"/>
    <w:rsid w:val="00C3101A"/>
    <w:rsid w:val="00C35644"/>
    <w:rsid w:val="00C414E6"/>
    <w:rsid w:val="00C54959"/>
    <w:rsid w:val="00C77D15"/>
    <w:rsid w:val="00C96D41"/>
    <w:rsid w:val="00CA1C64"/>
    <w:rsid w:val="00CA7DF4"/>
    <w:rsid w:val="00CB553E"/>
    <w:rsid w:val="00CB5F5A"/>
    <w:rsid w:val="00CB6DDD"/>
    <w:rsid w:val="00CC215A"/>
    <w:rsid w:val="00CD0414"/>
    <w:rsid w:val="00CD326A"/>
    <w:rsid w:val="00CD6C8C"/>
    <w:rsid w:val="00CE1906"/>
    <w:rsid w:val="00CE3D1D"/>
    <w:rsid w:val="00CE6A5A"/>
    <w:rsid w:val="00CE7AA5"/>
    <w:rsid w:val="00CF6BC8"/>
    <w:rsid w:val="00D04334"/>
    <w:rsid w:val="00D14B5D"/>
    <w:rsid w:val="00D2005F"/>
    <w:rsid w:val="00D24B7A"/>
    <w:rsid w:val="00D55AB7"/>
    <w:rsid w:val="00D64250"/>
    <w:rsid w:val="00D6681D"/>
    <w:rsid w:val="00D74692"/>
    <w:rsid w:val="00D7550F"/>
    <w:rsid w:val="00D80B2C"/>
    <w:rsid w:val="00D86442"/>
    <w:rsid w:val="00D86859"/>
    <w:rsid w:val="00D926A3"/>
    <w:rsid w:val="00DA4E49"/>
    <w:rsid w:val="00DA5DB1"/>
    <w:rsid w:val="00DB1628"/>
    <w:rsid w:val="00DB3A0A"/>
    <w:rsid w:val="00DC663E"/>
    <w:rsid w:val="00DD46C6"/>
    <w:rsid w:val="00DE0283"/>
    <w:rsid w:val="00DE25A6"/>
    <w:rsid w:val="00DE67B6"/>
    <w:rsid w:val="00E0112A"/>
    <w:rsid w:val="00E017D6"/>
    <w:rsid w:val="00E10907"/>
    <w:rsid w:val="00E11EF8"/>
    <w:rsid w:val="00E23FAD"/>
    <w:rsid w:val="00E2558D"/>
    <w:rsid w:val="00E26CF6"/>
    <w:rsid w:val="00E34640"/>
    <w:rsid w:val="00E36096"/>
    <w:rsid w:val="00E360A1"/>
    <w:rsid w:val="00E4755E"/>
    <w:rsid w:val="00E519CE"/>
    <w:rsid w:val="00E8560B"/>
    <w:rsid w:val="00E861DA"/>
    <w:rsid w:val="00E96B9E"/>
    <w:rsid w:val="00EB383E"/>
    <w:rsid w:val="00EB6342"/>
    <w:rsid w:val="00EC3AAE"/>
    <w:rsid w:val="00EE1300"/>
    <w:rsid w:val="00EE33D3"/>
    <w:rsid w:val="00EF5598"/>
    <w:rsid w:val="00F01897"/>
    <w:rsid w:val="00F02B6B"/>
    <w:rsid w:val="00F15CE8"/>
    <w:rsid w:val="00F36480"/>
    <w:rsid w:val="00F45987"/>
    <w:rsid w:val="00F45C4D"/>
    <w:rsid w:val="00F81240"/>
    <w:rsid w:val="00F97506"/>
    <w:rsid w:val="00F9756C"/>
    <w:rsid w:val="00FB587F"/>
    <w:rsid w:val="00FD433D"/>
    <w:rsid w:val="00FD52A1"/>
    <w:rsid w:val="00FE4F25"/>
    <w:rsid w:val="00FF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A0CC"/>
  <w15:chartTrackingRefBased/>
  <w15:docId w15:val="{CBBAD7BF-9EEB-4A49-B4F0-D9B56ACB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A50AB"/>
    <w:pPr>
      <w:spacing w:after="120" w:line="360" w:lineRule="auto"/>
    </w:pPr>
    <w:rPr>
      <w:rFonts w:ascii="Times New Roman" w:eastAsia="Times New Roman" w:hAnsi="Times New Roman" w:cs="Times New Roman"/>
      <w:b/>
      <w:sz w:val="28"/>
      <w:szCs w:val="24"/>
      <w:lang w:eastAsia="en-GB"/>
    </w:rPr>
  </w:style>
  <w:style w:type="character" w:styleId="Hyperlink">
    <w:name w:val="Hyperlink"/>
    <w:basedOn w:val="DefaultParagraphFont"/>
    <w:uiPriority w:val="99"/>
    <w:unhideWhenUsed/>
    <w:rsid w:val="00BA50AB"/>
    <w:rPr>
      <w:color w:val="0563C1" w:themeColor="hyperlink"/>
      <w:u w:val="single"/>
    </w:rPr>
  </w:style>
  <w:style w:type="character" w:customStyle="1" w:styleId="apple-converted-space">
    <w:name w:val="apple-converted-space"/>
    <w:basedOn w:val="DefaultParagraphFont"/>
    <w:rsid w:val="00BA50AB"/>
  </w:style>
  <w:style w:type="paragraph" w:styleId="EndnoteText">
    <w:name w:val="endnote text"/>
    <w:basedOn w:val="Normal"/>
    <w:link w:val="EndnoteTextChar"/>
    <w:uiPriority w:val="99"/>
    <w:semiHidden/>
    <w:unhideWhenUsed/>
    <w:rsid w:val="00153D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D4F"/>
    <w:rPr>
      <w:sz w:val="20"/>
      <w:szCs w:val="20"/>
    </w:rPr>
  </w:style>
  <w:style w:type="character" w:styleId="EndnoteReference">
    <w:name w:val="endnote reference"/>
    <w:basedOn w:val="DefaultParagraphFont"/>
    <w:uiPriority w:val="99"/>
    <w:semiHidden/>
    <w:unhideWhenUsed/>
    <w:rsid w:val="00153D4F"/>
    <w:rPr>
      <w:vertAlign w:val="superscript"/>
    </w:rPr>
  </w:style>
  <w:style w:type="paragraph" w:styleId="FootnoteText">
    <w:name w:val="footnote text"/>
    <w:basedOn w:val="Normal"/>
    <w:link w:val="FootnoteTextChar"/>
    <w:uiPriority w:val="99"/>
    <w:unhideWhenUsed/>
    <w:rsid w:val="00153D4F"/>
    <w:pPr>
      <w:spacing w:after="0" w:line="240" w:lineRule="auto"/>
    </w:pPr>
    <w:rPr>
      <w:sz w:val="20"/>
      <w:szCs w:val="20"/>
    </w:rPr>
  </w:style>
  <w:style w:type="character" w:customStyle="1" w:styleId="FootnoteTextChar">
    <w:name w:val="Footnote Text Char"/>
    <w:basedOn w:val="DefaultParagraphFont"/>
    <w:link w:val="FootnoteText"/>
    <w:uiPriority w:val="99"/>
    <w:rsid w:val="00153D4F"/>
    <w:rPr>
      <w:sz w:val="20"/>
      <w:szCs w:val="20"/>
    </w:rPr>
  </w:style>
  <w:style w:type="character" w:styleId="FootnoteReference">
    <w:name w:val="footnote reference"/>
    <w:basedOn w:val="DefaultParagraphFont"/>
    <w:uiPriority w:val="99"/>
    <w:semiHidden/>
    <w:unhideWhenUsed/>
    <w:rsid w:val="00153D4F"/>
    <w:rPr>
      <w:vertAlign w:val="superscript"/>
    </w:rPr>
  </w:style>
  <w:style w:type="character" w:styleId="FollowedHyperlink">
    <w:name w:val="FollowedHyperlink"/>
    <w:basedOn w:val="DefaultParagraphFont"/>
    <w:uiPriority w:val="99"/>
    <w:semiHidden/>
    <w:unhideWhenUsed/>
    <w:rsid w:val="00153D4F"/>
    <w:rPr>
      <w:color w:val="954F72" w:themeColor="followedHyperlink"/>
      <w:u w:val="single"/>
    </w:rPr>
  </w:style>
  <w:style w:type="character" w:styleId="Emphasis">
    <w:name w:val="Emphasis"/>
    <w:basedOn w:val="DefaultParagraphFont"/>
    <w:uiPriority w:val="20"/>
    <w:qFormat/>
    <w:rsid w:val="00153D4F"/>
    <w:rPr>
      <w:b/>
      <w:bCs/>
      <w:i w:val="0"/>
      <w:iCs w:val="0"/>
    </w:rPr>
  </w:style>
  <w:style w:type="character" w:customStyle="1" w:styleId="singlehighlightclass">
    <w:name w:val="single_highlight_class"/>
    <w:basedOn w:val="DefaultParagraphFont"/>
    <w:rsid w:val="00153D4F"/>
  </w:style>
  <w:style w:type="paragraph" w:styleId="Header">
    <w:name w:val="header"/>
    <w:basedOn w:val="Normal"/>
    <w:link w:val="HeaderChar"/>
    <w:uiPriority w:val="99"/>
    <w:unhideWhenUsed/>
    <w:rsid w:val="00153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D4F"/>
  </w:style>
  <w:style w:type="paragraph" w:styleId="Footer">
    <w:name w:val="footer"/>
    <w:basedOn w:val="Normal"/>
    <w:link w:val="FooterChar"/>
    <w:uiPriority w:val="99"/>
    <w:unhideWhenUsed/>
    <w:rsid w:val="00153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D4F"/>
  </w:style>
  <w:style w:type="character" w:customStyle="1" w:styleId="st1">
    <w:name w:val="st1"/>
    <w:basedOn w:val="DefaultParagraphFont"/>
    <w:rsid w:val="00153D4F"/>
  </w:style>
  <w:style w:type="character" w:customStyle="1" w:styleId="byline5">
    <w:name w:val="byline5"/>
    <w:basedOn w:val="DefaultParagraphFont"/>
    <w:rsid w:val="00153D4F"/>
    <w:rPr>
      <w:rFonts w:ascii="Arial" w:hAnsi="Arial" w:cs="Arial" w:hint="default"/>
      <w:b/>
      <w:bCs/>
      <w:vanish w:val="0"/>
      <w:webHidden w:val="0"/>
      <w:sz w:val="20"/>
      <w:szCs w:val="20"/>
      <w:specVanish w:val="0"/>
    </w:rPr>
  </w:style>
  <w:style w:type="table" w:styleId="TableGrid">
    <w:name w:val="Table Grid"/>
    <w:basedOn w:val="TableNormal"/>
    <w:uiPriority w:val="39"/>
    <w:rsid w:val="0015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D4F"/>
    <w:pPr>
      <w:ind w:left="720"/>
      <w:contextualSpacing/>
    </w:pPr>
  </w:style>
  <w:style w:type="character" w:customStyle="1" w:styleId="research-output-journal-article-date">
    <w:name w:val="research-output-journal-article-date"/>
    <w:basedOn w:val="DefaultParagraphFont"/>
    <w:rsid w:val="00153D4F"/>
  </w:style>
  <w:style w:type="character" w:customStyle="1" w:styleId="research-output-journal-article-name">
    <w:name w:val="research-output-journal-article-name"/>
    <w:basedOn w:val="DefaultParagraphFont"/>
    <w:rsid w:val="00153D4F"/>
  </w:style>
  <w:style w:type="character" w:customStyle="1" w:styleId="research-output-journal-article-periodical1">
    <w:name w:val="research-output-journal-article-periodical1"/>
    <w:basedOn w:val="DefaultParagraphFont"/>
    <w:rsid w:val="00153D4F"/>
    <w:rPr>
      <w:i/>
      <w:iCs/>
    </w:rPr>
  </w:style>
  <w:style w:type="character" w:customStyle="1" w:styleId="research-output-journal-article-volume">
    <w:name w:val="research-output-journal-article-volume"/>
    <w:basedOn w:val="DefaultParagraphFont"/>
    <w:rsid w:val="00153D4F"/>
  </w:style>
  <w:style w:type="character" w:customStyle="1" w:styleId="research-output-journal-article-issue">
    <w:name w:val="research-output-journal-article-issue"/>
    <w:basedOn w:val="DefaultParagraphFont"/>
    <w:rsid w:val="00153D4F"/>
  </w:style>
  <w:style w:type="character" w:customStyle="1" w:styleId="research-output-journal-article-paginationstart">
    <w:name w:val="research-output-journal-article-paginationstart"/>
    <w:basedOn w:val="DefaultParagraphFont"/>
    <w:rsid w:val="00153D4F"/>
  </w:style>
  <w:style w:type="character" w:customStyle="1" w:styleId="research-output-journal-article-paginationend">
    <w:name w:val="research-output-journal-article-paginationend"/>
    <w:basedOn w:val="DefaultParagraphFont"/>
    <w:rsid w:val="00153D4F"/>
  </w:style>
  <w:style w:type="character" w:customStyle="1" w:styleId="research-output-journal-article-author">
    <w:name w:val="research-output-journal-article-author"/>
    <w:basedOn w:val="DefaultParagraphFont"/>
    <w:rsid w:val="00153D4F"/>
  </w:style>
  <w:style w:type="character" w:customStyle="1" w:styleId="research-output-journal-article-author-surname">
    <w:name w:val="research-output-journal-article-author-surname"/>
    <w:basedOn w:val="DefaultParagraphFont"/>
    <w:rsid w:val="00153D4F"/>
  </w:style>
  <w:style w:type="character" w:customStyle="1" w:styleId="research-output-journal-article-author-initials">
    <w:name w:val="research-output-journal-article-author-initials"/>
    <w:basedOn w:val="DefaultParagraphFont"/>
    <w:rsid w:val="00153D4F"/>
  </w:style>
  <w:style w:type="character" w:customStyle="1" w:styleId="volume">
    <w:name w:val="volume"/>
    <w:basedOn w:val="DefaultParagraphFont"/>
    <w:rsid w:val="00153D4F"/>
  </w:style>
  <w:style w:type="character" w:customStyle="1" w:styleId="journalnumber">
    <w:name w:val="journalnumber"/>
    <w:basedOn w:val="DefaultParagraphFont"/>
    <w:rsid w:val="00153D4F"/>
  </w:style>
  <w:style w:type="character" w:customStyle="1" w:styleId="pages1">
    <w:name w:val="pages1"/>
    <w:basedOn w:val="DefaultParagraphFont"/>
    <w:rsid w:val="00153D4F"/>
  </w:style>
  <w:style w:type="character" w:styleId="HTMLCite">
    <w:name w:val="HTML Cite"/>
    <w:basedOn w:val="DefaultParagraphFont"/>
    <w:uiPriority w:val="99"/>
    <w:semiHidden/>
    <w:unhideWhenUsed/>
    <w:rsid w:val="00153D4F"/>
    <w:rPr>
      <w:i/>
      <w:iCs/>
    </w:rPr>
  </w:style>
  <w:style w:type="character" w:customStyle="1" w:styleId="pagesnum">
    <w:name w:val="pagesnum"/>
    <w:basedOn w:val="DefaultParagraphFont"/>
    <w:rsid w:val="00153D4F"/>
  </w:style>
  <w:style w:type="character" w:customStyle="1" w:styleId="cit-name-surname">
    <w:name w:val="cit-name-surname"/>
    <w:basedOn w:val="DefaultParagraphFont"/>
    <w:rsid w:val="00153D4F"/>
  </w:style>
  <w:style w:type="character" w:customStyle="1" w:styleId="cit-pub-date">
    <w:name w:val="cit-pub-date"/>
    <w:basedOn w:val="DefaultParagraphFont"/>
    <w:rsid w:val="00153D4F"/>
  </w:style>
  <w:style w:type="character" w:customStyle="1" w:styleId="cit-article-title">
    <w:name w:val="cit-article-title"/>
    <w:basedOn w:val="DefaultParagraphFont"/>
    <w:rsid w:val="00153D4F"/>
  </w:style>
  <w:style w:type="character" w:customStyle="1" w:styleId="cit-source">
    <w:name w:val="cit-source"/>
    <w:basedOn w:val="DefaultParagraphFont"/>
    <w:rsid w:val="00153D4F"/>
  </w:style>
  <w:style w:type="character" w:customStyle="1" w:styleId="cit-fpage">
    <w:name w:val="cit-fpage"/>
    <w:basedOn w:val="DefaultParagraphFont"/>
    <w:rsid w:val="00153D4F"/>
  </w:style>
  <w:style w:type="character" w:customStyle="1" w:styleId="cit-lpage">
    <w:name w:val="cit-lpage"/>
    <w:basedOn w:val="DefaultParagraphFont"/>
    <w:rsid w:val="00153D4F"/>
  </w:style>
  <w:style w:type="character" w:customStyle="1" w:styleId="cit-publ-loc">
    <w:name w:val="cit-publ-loc"/>
    <w:basedOn w:val="DefaultParagraphFont"/>
    <w:rsid w:val="00153D4F"/>
  </w:style>
  <w:style w:type="character" w:customStyle="1" w:styleId="cit-publ-name">
    <w:name w:val="cit-publ-name"/>
    <w:basedOn w:val="DefaultParagraphFont"/>
    <w:rsid w:val="00153D4F"/>
  </w:style>
  <w:style w:type="paragraph" w:customStyle="1" w:styleId="Default">
    <w:name w:val="Default"/>
    <w:rsid w:val="00153D4F"/>
    <w:pPr>
      <w:autoSpaceDE w:val="0"/>
      <w:autoSpaceDN w:val="0"/>
      <w:adjustRightInd w:val="0"/>
      <w:spacing w:after="0" w:line="240" w:lineRule="auto"/>
    </w:pPr>
    <w:rPr>
      <w:rFonts w:ascii="Arial" w:hAnsi="Arial" w:cs="Arial"/>
      <w:color w:val="000000"/>
      <w:sz w:val="24"/>
      <w:szCs w:val="24"/>
    </w:rPr>
  </w:style>
  <w:style w:type="character" w:customStyle="1" w:styleId="hlfld-title">
    <w:name w:val="hlfld-title"/>
    <w:basedOn w:val="DefaultParagraphFont"/>
    <w:rsid w:val="00153D4F"/>
  </w:style>
  <w:style w:type="character" w:customStyle="1" w:styleId="personname">
    <w:name w:val="person_name"/>
    <w:basedOn w:val="DefaultParagraphFont"/>
    <w:rsid w:val="00153D4F"/>
  </w:style>
  <w:style w:type="character" w:styleId="Strong">
    <w:name w:val="Strong"/>
    <w:basedOn w:val="DefaultParagraphFont"/>
    <w:uiPriority w:val="22"/>
    <w:qFormat/>
    <w:rsid w:val="00153D4F"/>
    <w:rPr>
      <w:b/>
      <w:bCs/>
    </w:rPr>
  </w:style>
  <w:style w:type="paragraph" w:styleId="NormalWeb">
    <w:name w:val="Normal (Web)"/>
    <w:basedOn w:val="Normal"/>
    <w:uiPriority w:val="99"/>
    <w:unhideWhenUsed/>
    <w:rsid w:val="00153D4F"/>
    <w:pPr>
      <w:spacing w:before="100" w:beforeAutospacing="1" w:after="150" w:line="360" w:lineRule="atLeast"/>
    </w:pPr>
    <w:rPr>
      <w:rFonts w:ascii="Times New Roman" w:eastAsia="Times New Roman" w:hAnsi="Times New Roman" w:cs="Times New Roman"/>
      <w:sz w:val="24"/>
      <w:szCs w:val="24"/>
      <w:lang w:eastAsia="en-GB"/>
    </w:rPr>
  </w:style>
  <w:style w:type="character" w:customStyle="1" w:styleId="nlmstring-name">
    <w:name w:val="nlm_string-name"/>
    <w:basedOn w:val="DefaultParagraphFont"/>
    <w:rsid w:val="00153D4F"/>
  </w:style>
  <w:style w:type="character" w:customStyle="1" w:styleId="nlmyear">
    <w:name w:val="nlm_year"/>
    <w:basedOn w:val="DefaultParagraphFont"/>
    <w:rsid w:val="00153D4F"/>
  </w:style>
  <w:style w:type="character" w:customStyle="1" w:styleId="nlmpublisher-loc">
    <w:name w:val="nlm_publisher-loc"/>
    <w:basedOn w:val="DefaultParagraphFont"/>
    <w:rsid w:val="00153D4F"/>
  </w:style>
  <w:style w:type="character" w:customStyle="1" w:styleId="nlmpublisher-name">
    <w:name w:val="nlm_publisher-name"/>
    <w:basedOn w:val="DefaultParagraphFont"/>
    <w:rsid w:val="00153D4F"/>
  </w:style>
  <w:style w:type="character" w:customStyle="1" w:styleId="cit-name">
    <w:name w:val="cit-name"/>
    <w:basedOn w:val="DefaultParagraphFont"/>
    <w:rsid w:val="00153D4F"/>
  </w:style>
  <w:style w:type="character" w:customStyle="1" w:styleId="cit-given-names">
    <w:name w:val="cit-given-names"/>
    <w:basedOn w:val="DefaultParagraphFont"/>
    <w:rsid w:val="00153D4F"/>
  </w:style>
  <w:style w:type="character" w:customStyle="1" w:styleId="cit-surname">
    <w:name w:val="cit-surname"/>
    <w:basedOn w:val="DefaultParagraphFont"/>
    <w:rsid w:val="00153D4F"/>
  </w:style>
  <w:style w:type="character" w:customStyle="1" w:styleId="cit-string-name">
    <w:name w:val="cit-string-name"/>
    <w:basedOn w:val="DefaultParagraphFont"/>
    <w:rsid w:val="00153D4F"/>
  </w:style>
  <w:style w:type="character" w:customStyle="1" w:styleId="cit-year">
    <w:name w:val="cit-year"/>
    <w:basedOn w:val="DefaultParagraphFont"/>
    <w:rsid w:val="00153D4F"/>
  </w:style>
  <w:style w:type="character" w:customStyle="1" w:styleId="cit-volume">
    <w:name w:val="cit-volume"/>
    <w:basedOn w:val="DefaultParagraphFont"/>
    <w:rsid w:val="00153D4F"/>
  </w:style>
  <w:style w:type="character" w:customStyle="1" w:styleId="cit-issue">
    <w:name w:val="cit-issue"/>
    <w:basedOn w:val="DefaultParagraphFont"/>
    <w:rsid w:val="00153D4F"/>
  </w:style>
  <w:style w:type="character" w:styleId="CommentReference">
    <w:name w:val="annotation reference"/>
    <w:basedOn w:val="DefaultParagraphFont"/>
    <w:uiPriority w:val="99"/>
    <w:semiHidden/>
    <w:unhideWhenUsed/>
    <w:rsid w:val="00CE7AA5"/>
    <w:rPr>
      <w:sz w:val="16"/>
      <w:szCs w:val="16"/>
    </w:rPr>
  </w:style>
  <w:style w:type="paragraph" w:styleId="CommentText">
    <w:name w:val="annotation text"/>
    <w:basedOn w:val="Normal"/>
    <w:link w:val="CommentTextChar"/>
    <w:uiPriority w:val="99"/>
    <w:semiHidden/>
    <w:unhideWhenUsed/>
    <w:rsid w:val="00CE7AA5"/>
    <w:pPr>
      <w:spacing w:line="240" w:lineRule="auto"/>
    </w:pPr>
    <w:rPr>
      <w:sz w:val="20"/>
      <w:szCs w:val="20"/>
    </w:rPr>
  </w:style>
  <w:style w:type="character" w:customStyle="1" w:styleId="CommentTextChar">
    <w:name w:val="Comment Text Char"/>
    <w:basedOn w:val="DefaultParagraphFont"/>
    <w:link w:val="CommentText"/>
    <w:uiPriority w:val="99"/>
    <w:semiHidden/>
    <w:rsid w:val="00CE7AA5"/>
    <w:rPr>
      <w:sz w:val="20"/>
      <w:szCs w:val="20"/>
    </w:rPr>
  </w:style>
  <w:style w:type="paragraph" w:styleId="CommentSubject">
    <w:name w:val="annotation subject"/>
    <w:basedOn w:val="CommentText"/>
    <w:next w:val="CommentText"/>
    <w:link w:val="CommentSubjectChar"/>
    <w:uiPriority w:val="99"/>
    <w:semiHidden/>
    <w:unhideWhenUsed/>
    <w:rsid w:val="00CE7AA5"/>
    <w:rPr>
      <w:b/>
      <w:bCs/>
    </w:rPr>
  </w:style>
  <w:style w:type="character" w:customStyle="1" w:styleId="CommentSubjectChar">
    <w:name w:val="Comment Subject Char"/>
    <w:basedOn w:val="CommentTextChar"/>
    <w:link w:val="CommentSubject"/>
    <w:uiPriority w:val="99"/>
    <w:semiHidden/>
    <w:rsid w:val="00CE7AA5"/>
    <w:rPr>
      <w:b/>
      <w:bCs/>
      <w:sz w:val="20"/>
      <w:szCs w:val="20"/>
    </w:rPr>
  </w:style>
  <w:style w:type="paragraph" w:styleId="BalloonText">
    <w:name w:val="Balloon Text"/>
    <w:basedOn w:val="Normal"/>
    <w:link w:val="BalloonTextChar"/>
    <w:uiPriority w:val="99"/>
    <w:semiHidden/>
    <w:unhideWhenUsed/>
    <w:rsid w:val="00CE7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36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artire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ir.ulster.ac.uk/154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niassembly.gov.uk/corporate/EngagementStrategy.pdf" TargetMode="External"/><Relationship Id="rId5" Type="http://schemas.openxmlformats.org/officeDocument/2006/relationships/webSettings" Target="webSettings.xml"/><Relationship Id="rId15" Type="http://schemas.openxmlformats.org/officeDocument/2006/relationships/hyperlink" Target="https://politicalreform.ie/2011/03/29/what-did-tds-do-and-who-did-they-represent-in-the-previous-dail/" TargetMode="External"/><Relationship Id="rId10" Type="http://schemas.openxmlformats.org/officeDocument/2006/relationships/hyperlink" Target="http://www.independent.ie/irish-news/elections/latest-news/fianna-fail-candidates-in-battle-of-the-posters-30229997.html" TargetMode="External"/><Relationship Id="rId4" Type="http://schemas.openxmlformats.org/officeDocument/2006/relationships/settings" Target="settings.xml"/><Relationship Id="rId9" Type="http://schemas.openxmlformats.org/officeDocument/2006/relationships/hyperlink" Target="http://www.bbc.co.uk/news/uk-northern-ireland-33407088" TargetMode="External"/><Relationship Id="rId14" Type="http://schemas.openxmlformats.org/officeDocument/2006/relationships/hyperlink" Target="https://uncch.pure.elsevier.com/en/publications/the-role-of-the-good-constituency-member-and-the-practice-of-rep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partirep.eu" TargetMode="External"/><Relationship Id="rId2" Type="http://schemas.openxmlformats.org/officeDocument/2006/relationships/hyperlink" Target="https://politicalreform.ie/2011/03/29/what-did-tds-do-and-who-did-they-represent-in-the-previous-dail/" TargetMode="External"/><Relationship Id="rId1" Type="http://schemas.openxmlformats.org/officeDocument/2006/relationships/hyperlink" Target="http://www.archive.niassembly.gov.uk/corporate/Engagement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F9FE-DDC6-4FCB-A2DE-5806715D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7638</Words>
  <Characters>43540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dc:creator>
  <cp:keywords/>
  <dc:description/>
  <cp:lastModifiedBy>Haughey, Sean [haughey1]</cp:lastModifiedBy>
  <cp:revision>3</cp:revision>
  <cp:lastPrinted>2017-06-11T19:53:00Z</cp:lastPrinted>
  <dcterms:created xsi:type="dcterms:W3CDTF">2020-03-02T12:38:00Z</dcterms:created>
  <dcterms:modified xsi:type="dcterms:W3CDTF">2020-03-02T12:38:00Z</dcterms:modified>
</cp:coreProperties>
</file>