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899A" w14:textId="77777777" w:rsidR="004758A1" w:rsidRDefault="004758A1" w:rsidP="004758A1">
      <w:pPr>
        <w:pStyle w:val="Title"/>
        <w:rPr>
          <w:rFonts w:eastAsia="Times New Roman"/>
          <w:lang w:eastAsia="en-GB"/>
        </w:rPr>
      </w:pPr>
      <w:r w:rsidRPr="00CE0882">
        <w:rPr>
          <w:rFonts w:eastAsia="Times New Roman"/>
          <w:lang w:eastAsia="en-GB"/>
        </w:rPr>
        <w:t>Impact of the Public Health Responsibility Deal on salt intake, cardiovascular disease and gastric cancer: interrupted time series and microsimulation study</w:t>
      </w:r>
    </w:p>
    <w:p w14:paraId="1F13D2A2" w14:textId="77777777" w:rsidR="004758A1" w:rsidRDefault="004758A1" w:rsidP="004758A1">
      <w:pPr>
        <w:rPr>
          <w:lang w:eastAsia="en-GB"/>
        </w:rPr>
      </w:pPr>
    </w:p>
    <w:p w14:paraId="568443BA" w14:textId="77777777" w:rsidR="004758A1" w:rsidRPr="00CE0882" w:rsidRDefault="004758A1" w:rsidP="004758A1">
      <w:pPr>
        <w:rPr>
          <w:lang w:eastAsia="en-GB"/>
        </w:rPr>
      </w:pPr>
      <w:r w:rsidRPr="00CE0882">
        <w:rPr>
          <w:rFonts w:ascii="Times New Roman" w:eastAsia="Times New Roman" w:hAnsi="Times New Roman" w:cs="Times New Roman"/>
          <w:sz w:val="24"/>
          <w:szCs w:val="24"/>
          <w:u w:val="single"/>
          <w:lang w:eastAsia="en-GB"/>
        </w:rPr>
        <w:t>Anthony Laverty - </w:t>
      </w:r>
      <w:r w:rsidRPr="00CE0882">
        <w:rPr>
          <w:rFonts w:ascii="Times New Roman" w:eastAsia="Times New Roman" w:hAnsi="Times New Roman" w:cs="Times New Roman"/>
          <w:i/>
          <w:iCs/>
          <w:sz w:val="24"/>
          <w:szCs w:val="24"/>
          <w:u w:val="single"/>
          <w:lang w:eastAsia="en-GB"/>
        </w:rPr>
        <w:t>Public Health Policy Evaluation Unit, School of Public Health, Imperial College London</w:t>
      </w:r>
      <w:r w:rsidRPr="00CE0882">
        <w:rPr>
          <w:rFonts w:ascii="Times New Roman" w:eastAsia="Times New Roman" w:hAnsi="Times New Roman" w:cs="Times New Roman"/>
          <w:sz w:val="24"/>
          <w:szCs w:val="24"/>
          <w:lang w:eastAsia="en-GB"/>
        </w:rPr>
        <w:t>; Chris Kypridemos - </w:t>
      </w:r>
      <w:r w:rsidRPr="00CE0882">
        <w:rPr>
          <w:rFonts w:ascii="Times New Roman" w:eastAsia="Times New Roman" w:hAnsi="Times New Roman" w:cs="Times New Roman"/>
          <w:i/>
          <w:iCs/>
          <w:sz w:val="24"/>
          <w:szCs w:val="24"/>
          <w:lang w:eastAsia="en-GB"/>
        </w:rPr>
        <w:t>University of Liverpool</w:t>
      </w:r>
      <w:r w:rsidRPr="00CE0882">
        <w:rPr>
          <w:rFonts w:ascii="Times New Roman" w:eastAsia="Times New Roman" w:hAnsi="Times New Roman" w:cs="Times New Roman"/>
          <w:sz w:val="24"/>
          <w:szCs w:val="24"/>
          <w:lang w:eastAsia="en-GB"/>
        </w:rPr>
        <w:t>; Paraskevi Seferidi - </w:t>
      </w:r>
      <w:r w:rsidRPr="00CE0882">
        <w:rPr>
          <w:rFonts w:ascii="Times New Roman" w:eastAsia="Times New Roman" w:hAnsi="Times New Roman" w:cs="Times New Roman"/>
          <w:i/>
          <w:iCs/>
          <w:sz w:val="24"/>
          <w:szCs w:val="24"/>
          <w:lang w:eastAsia="en-GB"/>
        </w:rPr>
        <w:t>Imperial College London</w:t>
      </w:r>
      <w:r w:rsidRPr="00CE0882">
        <w:rPr>
          <w:rFonts w:ascii="Times New Roman" w:eastAsia="Times New Roman" w:hAnsi="Times New Roman" w:cs="Times New Roman"/>
          <w:sz w:val="24"/>
          <w:szCs w:val="24"/>
          <w:lang w:eastAsia="en-GB"/>
        </w:rPr>
        <w:t>; Eszter Vamos - </w:t>
      </w:r>
      <w:r w:rsidRPr="00CE0882">
        <w:rPr>
          <w:rFonts w:ascii="Times New Roman" w:eastAsia="Times New Roman" w:hAnsi="Times New Roman" w:cs="Times New Roman"/>
          <w:i/>
          <w:iCs/>
          <w:sz w:val="24"/>
          <w:szCs w:val="24"/>
          <w:lang w:eastAsia="en-GB"/>
        </w:rPr>
        <w:t>Imperial College London</w:t>
      </w:r>
      <w:r w:rsidRPr="00CE0882">
        <w:rPr>
          <w:rFonts w:ascii="Times New Roman" w:eastAsia="Times New Roman" w:hAnsi="Times New Roman" w:cs="Times New Roman"/>
          <w:sz w:val="24"/>
          <w:szCs w:val="24"/>
          <w:lang w:eastAsia="en-GB"/>
        </w:rPr>
        <w:t>; Jonathan Pearson-Stuttard - </w:t>
      </w:r>
      <w:r w:rsidRPr="00CE0882">
        <w:rPr>
          <w:rFonts w:ascii="Times New Roman" w:eastAsia="Times New Roman" w:hAnsi="Times New Roman" w:cs="Times New Roman"/>
          <w:i/>
          <w:iCs/>
          <w:sz w:val="24"/>
          <w:szCs w:val="24"/>
          <w:lang w:eastAsia="en-GB"/>
        </w:rPr>
        <w:t>Imperial College London</w:t>
      </w:r>
      <w:r w:rsidRPr="00CE0882">
        <w:rPr>
          <w:rFonts w:ascii="Times New Roman" w:eastAsia="Times New Roman" w:hAnsi="Times New Roman" w:cs="Times New Roman"/>
          <w:sz w:val="24"/>
          <w:szCs w:val="24"/>
          <w:lang w:eastAsia="en-GB"/>
        </w:rPr>
        <w:t>; Brendan Collins - </w:t>
      </w:r>
      <w:r w:rsidRPr="00CE0882">
        <w:rPr>
          <w:rFonts w:ascii="Times New Roman" w:eastAsia="Times New Roman" w:hAnsi="Times New Roman" w:cs="Times New Roman"/>
          <w:i/>
          <w:iCs/>
          <w:sz w:val="24"/>
          <w:szCs w:val="24"/>
          <w:lang w:eastAsia="en-GB"/>
        </w:rPr>
        <w:t>University of Liverpool</w:t>
      </w:r>
      <w:r w:rsidRPr="00CE0882">
        <w:rPr>
          <w:rFonts w:ascii="Times New Roman" w:eastAsia="Times New Roman" w:hAnsi="Times New Roman" w:cs="Times New Roman"/>
          <w:sz w:val="24"/>
          <w:szCs w:val="24"/>
          <w:lang w:eastAsia="en-GB"/>
        </w:rPr>
        <w:t>; Simon Capewell - </w:t>
      </w:r>
      <w:r w:rsidRPr="00CE0882">
        <w:rPr>
          <w:rFonts w:ascii="Times New Roman" w:eastAsia="Times New Roman" w:hAnsi="Times New Roman" w:cs="Times New Roman"/>
          <w:i/>
          <w:iCs/>
          <w:sz w:val="24"/>
          <w:szCs w:val="24"/>
          <w:lang w:eastAsia="en-GB"/>
        </w:rPr>
        <w:t>University of Liverpool</w:t>
      </w:r>
      <w:r w:rsidRPr="00CE0882">
        <w:rPr>
          <w:rFonts w:ascii="Times New Roman" w:eastAsia="Times New Roman" w:hAnsi="Times New Roman" w:cs="Times New Roman"/>
          <w:sz w:val="24"/>
          <w:szCs w:val="24"/>
          <w:lang w:eastAsia="en-GB"/>
        </w:rPr>
        <w:t>; Modi Mwatsama - </w:t>
      </w:r>
      <w:r w:rsidRPr="00CE0882">
        <w:rPr>
          <w:rFonts w:ascii="Times New Roman" w:eastAsia="Times New Roman" w:hAnsi="Times New Roman" w:cs="Times New Roman"/>
          <w:i/>
          <w:iCs/>
          <w:sz w:val="24"/>
          <w:szCs w:val="24"/>
          <w:lang w:eastAsia="en-GB"/>
        </w:rPr>
        <w:t>UK Health Forum</w:t>
      </w:r>
      <w:r w:rsidRPr="00CE0882">
        <w:rPr>
          <w:rFonts w:ascii="Times New Roman" w:eastAsia="Times New Roman" w:hAnsi="Times New Roman" w:cs="Times New Roman"/>
          <w:sz w:val="24"/>
          <w:szCs w:val="24"/>
          <w:lang w:eastAsia="en-GB"/>
        </w:rPr>
        <w:t>; Paul Cairney - </w:t>
      </w:r>
      <w:r w:rsidRPr="00CE0882">
        <w:rPr>
          <w:rFonts w:ascii="Times New Roman" w:eastAsia="Times New Roman" w:hAnsi="Times New Roman" w:cs="Times New Roman"/>
          <w:i/>
          <w:iCs/>
          <w:sz w:val="24"/>
          <w:szCs w:val="24"/>
          <w:lang w:eastAsia="en-GB"/>
        </w:rPr>
        <w:t>University of Stirling</w:t>
      </w:r>
      <w:r w:rsidRPr="00CE0882">
        <w:rPr>
          <w:rFonts w:ascii="Times New Roman" w:eastAsia="Times New Roman" w:hAnsi="Times New Roman" w:cs="Times New Roman"/>
          <w:sz w:val="24"/>
          <w:szCs w:val="24"/>
          <w:lang w:eastAsia="en-GB"/>
        </w:rPr>
        <w:t>; Kate Fleming - </w:t>
      </w:r>
      <w:r w:rsidRPr="00CE0882">
        <w:rPr>
          <w:rFonts w:ascii="Times New Roman" w:eastAsia="Times New Roman" w:hAnsi="Times New Roman" w:cs="Times New Roman"/>
          <w:i/>
          <w:iCs/>
          <w:sz w:val="24"/>
          <w:szCs w:val="24"/>
          <w:lang w:eastAsia="en-GB"/>
        </w:rPr>
        <w:t>University of Liverpool</w:t>
      </w:r>
      <w:r w:rsidRPr="00CE0882">
        <w:rPr>
          <w:rFonts w:ascii="Times New Roman" w:eastAsia="Times New Roman" w:hAnsi="Times New Roman" w:cs="Times New Roman"/>
          <w:sz w:val="24"/>
          <w:szCs w:val="24"/>
          <w:lang w:eastAsia="en-GB"/>
        </w:rPr>
        <w:t>; Martin O'Flaherty - </w:t>
      </w:r>
      <w:r w:rsidRPr="00CE0882">
        <w:rPr>
          <w:rFonts w:ascii="Times New Roman" w:eastAsia="Times New Roman" w:hAnsi="Times New Roman" w:cs="Times New Roman"/>
          <w:i/>
          <w:iCs/>
          <w:sz w:val="24"/>
          <w:szCs w:val="24"/>
          <w:lang w:eastAsia="en-GB"/>
        </w:rPr>
        <w:t>University of Liverpool</w:t>
      </w:r>
      <w:r w:rsidRPr="00CE0882">
        <w:rPr>
          <w:rFonts w:ascii="Times New Roman" w:eastAsia="Times New Roman" w:hAnsi="Times New Roman" w:cs="Times New Roman"/>
          <w:sz w:val="24"/>
          <w:szCs w:val="24"/>
          <w:lang w:eastAsia="en-GB"/>
        </w:rPr>
        <w:t>; Christopher Millett - </w:t>
      </w:r>
      <w:r w:rsidRPr="00CE0882">
        <w:rPr>
          <w:rFonts w:ascii="Times New Roman" w:eastAsia="Times New Roman" w:hAnsi="Times New Roman" w:cs="Times New Roman"/>
          <w:i/>
          <w:iCs/>
          <w:sz w:val="24"/>
          <w:szCs w:val="24"/>
          <w:lang w:eastAsia="en-GB"/>
        </w:rPr>
        <w:t>Imperial College London</w:t>
      </w:r>
    </w:p>
    <w:p w14:paraId="05623ED3" w14:textId="77777777" w:rsidR="004758A1" w:rsidRPr="00CE0882" w:rsidRDefault="004758A1" w:rsidP="004758A1">
      <w:pPr>
        <w:spacing w:before="300" w:after="150" w:line="390" w:lineRule="atLeast"/>
        <w:outlineLvl w:val="1"/>
        <w:rPr>
          <w:rFonts w:ascii="Arial" w:eastAsia="Times New Roman" w:hAnsi="Arial" w:cs="Arial"/>
          <w:b/>
          <w:bCs/>
          <w:color w:val="960730"/>
          <w:sz w:val="30"/>
          <w:szCs w:val="30"/>
          <w:lang w:eastAsia="en-GB"/>
        </w:rPr>
      </w:pPr>
      <w:r w:rsidRPr="00CE0882">
        <w:rPr>
          <w:rFonts w:ascii="Arial" w:eastAsia="Times New Roman" w:hAnsi="Arial" w:cs="Arial"/>
          <w:b/>
          <w:bCs/>
          <w:color w:val="960730"/>
          <w:sz w:val="30"/>
          <w:szCs w:val="30"/>
          <w:lang w:eastAsia="en-GB"/>
        </w:rPr>
        <w:t>Abstract</w:t>
      </w:r>
    </w:p>
    <w:p w14:paraId="2510DA27"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i/>
          <w:iCs/>
          <w:color w:val="000000"/>
          <w:sz w:val="23"/>
          <w:szCs w:val="23"/>
          <w:lang w:eastAsia="en-GB"/>
        </w:rPr>
        <w:t>Background</w:t>
      </w:r>
    </w:p>
    <w:p w14:paraId="128DD82C"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color w:val="000000"/>
          <w:sz w:val="23"/>
          <w:szCs w:val="23"/>
          <w:lang w:eastAsia="en-GB"/>
        </w:rPr>
        <w:t>In 2011, England introduced the Public Health Responsibility Deal (RD), a public private partnership (PPP) which gave greater freedom to the food industry to set and monitor targets for salt intakes. We estimated the impact of the RD on trends in salt intake and associated changes in cardiovascular disease (CVD) and gastric cancer (GCa) incidence, mortality and economic costs in England 2011-2025.</w:t>
      </w:r>
    </w:p>
    <w:p w14:paraId="66AAC6D4"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color w:val="000000"/>
          <w:sz w:val="23"/>
          <w:szCs w:val="23"/>
          <w:lang w:eastAsia="en-GB"/>
        </w:rPr>
        <w:t> </w:t>
      </w:r>
    </w:p>
    <w:p w14:paraId="409AB1B8"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i/>
          <w:iCs/>
          <w:color w:val="000000"/>
          <w:sz w:val="23"/>
          <w:szCs w:val="23"/>
          <w:lang w:eastAsia="en-GB"/>
        </w:rPr>
        <w:t>Methods</w:t>
      </w:r>
    </w:p>
    <w:p w14:paraId="09A0BF9B" w14:textId="77777777" w:rsidR="004758A1" w:rsidRPr="00CE0882" w:rsidRDefault="004758A1" w:rsidP="004758A1">
      <w:pPr>
        <w:spacing w:after="120" w:line="330" w:lineRule="atLeast"/>
        <w:rPr>
          <w:rFonts w:ascii="Arial" w:eastAsia="Times New Roman" w:hAnsi="Arial" w:cs="Arial"/>
          <w:color w:val="000000"/>
          <w:sz w:val="23"/>
          <w:szCs w:val="23"/>
          <w:lang w:eastAsia="en-GB"/>
        </w:rPr>
      </w:pPr>
      <w:r w:rsidRPr="00CE0882">
        <w:rPr>
          <w:rFonts w:ascii="Arial" w:eastAsia="Times New Roman" w:hAnsi="Arial" w:cs="Arial"/>
          <w:color w:val="000000"/>
          <w:sz w:val="23"/>
          <w:szCs w:val="23"/>
          <w:lang w:eastAsia="en-GB"/>
        </w:rPr>
        <w:t>We used interrupted time series models with 24-hour urine sample data and the IMPACT</w:t>
      </w:r>
      <w:r w:rsidRPr="00CE0882">
        <w:rPr>
          <w:rFonts w:ascii="Arial" w:eastAsia="Times New Roman" w:hAnsi="Arial" w:cs="Arial"/>
          <w:color w:val="000000"/>
          <w:sz w:val="17"/>
          <w:szCs w:val="17"/>
          <w:vertAlign w:val="subscript"/>
          <w:lang w:eastAsia="en-GB"/>
        </w:rPr>
        <w:t>NCD</w:t>
      </w:r>
      <w:r w:rsidRPr="00CE0882">
        <w:rPr>
          <w:rFonts w:ascii="Arial" w:eastAsia="Times New Roman" w:hAnsi="Arial" w:cs="Arial"/>
          <w:color w:val="000000"/>
          <w:sz w:val="23"/>
          <w:szCs w:val="23"/>
          <w:lang w:eastAsia="en-GB"/>
        </w:rPr>
        <w:t> microsimulation model to estimate impacts of changes in salt consumption on CVD and GCa incidence, mortality and economic impacts, as well as equity impacts. We modelled a baseline scenario of sodium intake continuing as it had pre-RD and compared observed intakes with this.</w:t>
      </w:r>
    </w:p>
    <w:p w14:paraId="76E35607" w14:textId="77777777" w:rsidR="004758A1" w:rsidRPr="00CE0882" w:rsidRDefault="004758A1" w:rsidP="004758A1">
      <w:pPr>
        <w:spacing w:after="120" w:line="330" w:lineRule="atLeast"/>
        <w:rPr>
          <w:rFonts w:ascii="Arial" w:eastAsia="Times New Roman" w:hAnsi="Arial" w:cs="Arial"/>
          <w:color w:val="000000"/>
          <w:sz w:val="23"/>
          <w:szCs w:val="23"/>
          <w:lang w:eastAsia="en-GB"/>
        </w:rPr>
      </w:pPr>
      <w:r w:rsidRPr="00CE0882">
        <w:rPr>
          <w:rFonts w:ascii="Arial" w:eastAsia="Times New Roman" w:hAnsi="Arial" w:cs="Arial"/>
          <w:color w:val="000000"/>
          <w:sz w:val="23"/>
          <w:szCs w:val="23"/>
          <w:lang w:eastAsia="en-GB"/>
        </w:rPr>
        <w:t> </w:t>
      </w:r>
    </w:p>
    <w:p w14:paraId="0A6837A4"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i/>
          <w:iCs/>
          <w:color w:val="000000"/>
          <w:sz w:val="23"/>
          <w:szCs w:val="23"/>
          <w:lang w:eastAsia="en-GB"/>
        </w:rPr>
        <w:t>Results</w:t>
      </w:r>
    </w:p>
    <w:p w14:paraId="5B2B5409"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color w:val="000000"/>
          <w:sz w:val="23"/>
          <w:szCs w:val="23"/>
          <w:lang w:eastAsia="en-GB"/>
        </w:rPr>
        <w:t xml:space="preserve">Between 2003 and 2010 mean salt intake was falling annually by 0.20 grams/day among men and 0.12g/d among women (p value for trend both &lt;0.001). After RD implementation in 2011, annual declines in salt intake slowed statistically significantly to 0.11g/d among men and 0.07g/d among women (p values for differences in trend both p &lt;0.001).  We estimated that the RD has been responsible for approximately 9,900 </w:t>
      </w:r>
      <w:r w:rsidRPr="00CE0882">
        <w:rPr>
          <w:rFonts w:ascii="Arial" w:eastAsia="Times New Roman" w:hAnsi="Arial" w:cs="Arial"/>
          <w:color w:val="000000"/>
          <w:sz w:val="23"/>
          <w:szCs w:val="23"/>
          <w:lang w:eastAsia="en-GB"/>
        </w:rPr>
        <w:lastRenderedPageBreak/>
        <w:t>(Interquartile Quartile Range: 6,700 to 13,000) additional cases of CVD and 1,500 (IQR: 510 to 2,300) additional cases of GCa between 2011 and 2018. If the RD continues unchanged between 2019 and 2025, approximately 26,000 (IQR: 20,000 to 31,000) additional cases of CVD and 3,800 (IQR: 2,200 to 5,300) cases of GCa may occur.</w:t>
      </w:r>
    </w:p>
    <w:p w14:paraId="2843C5B9"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color w:val="000000"/>
          <w:sz w:val="23"/>
          <w:szCs w:val="23"/>
          <w:lang w:eastAsia="en-GB"/>
        </w:rPr>
        <w:t> </w:t>
      </w:r>
    </w:p>
    <w:p w14:paraId="4B0505A0"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i/>
          <w:iCs/>
          <w:color w:val="000000"/>
          <w:sz w:val="23"/>
          <w:szCs w:val="23"/>
          <w:lang w:eastAsia="en-GB"/>
        </w:rPr>
        <w:t>Interpretation</w:t>
      </w:r>
    </w:p>
    <w:p w14:paraId="1AB5A68A" w14:textId="77777777" w:rsidR="004758A1" w:rsidRPr="00CE0882" w:rsidRDefault="004758A1" w:rsidP="004758A1">
      <w:pPr>
        <w:spacing w:after="150" w:line="330" w:lineRule="atLeast"/>
        <w:rPr>
          <w:rFonts w:ascii="Arial" w:eastAsia="Times New Roman" w:hAnsi="Arial" w:cs="Arial"/>
          <w:color w:val="000000"/>
          <w:sz w:val="23"/>
          <w:szCs w:val="23"/>
          <w:lang w:eastAsia="en-GB"/>
        </w:rPr>
      </w:pPr>
      <w:r w:rsidRPr="00CE0882">
        <w:rPr>
          <w:rFonts w:ascii="Arial" w:eastAsia="Times New Roman" w:hAnsi="Arial" w:cs="Arial"/>
          <w:color w:val="000000"/>
          <w:sz w:val="23"/>
          <w:szCs w:val="23"/>
          <w:lang w:eastAsia="en-GB"/>
        </w:rPr>
        <w:t>Public private partnerships such as the RD which lack robust and independent target setting, monitoring and enforcement are unlikely to produce optimal health gains.</w:t>
      </w:r>
    </w:p>
    <w:p w14:paraId="45C2C6B0" w14:textId="77777777" w:rsidR="004758A1" w:rsidRPr="00CE0882" w:rsidRDefault="004758A1" w:rsidP="004758A1">
      <w:pPr>
        <w:spacing w:before="300" w:after="150" w:line="390" w:lineRule="atLeast"/>
        <w:outlineLvl w:val="1"/>
        <w:rPr>
          <w:rFonts w:ascii="Arial" w:eastAsia="Times New Roman" w:hAnsi="Arial" w:cs="Arial"/>
          <w:b/>
          <w:bCs/>
          <w:color w:val="960730"/>
          <w:sz w:val="30"/>
          <w:szCs w:val="30"/>
          <w:lang w:eastAsia="en-GB"/>
        </w:rPr>
      </w:pPr>
      <w:r w:rsidRPr="00CE0882">
        <w:rPr>
          <w:rFonts w:ascii="Arial" w:eastAsia="Times New Roman" w:hAnsi="Arial" w:cs="Arial"/>
          <w:b/>
          <w:bCs/>
          <w:color w:val="960730"/>
          <w:sz w:val="30"/>
          <w:szCs w:val="30"/>
          <w:lang w:eastAsia="en-GB"/>
        </w:rPr>
        <w:t>Funding</w:t>
      </w:r>
    </w:p>
    <w:p w14:paraId="16AFFB98" w14:textId="5C4D1D83" w:rsidR="00EA335B" w:rsidRDefault="004758A1" w:rsidP="004758A1">
      <w:r w:rsidRPr="00CE0882">
        <w:rPr>
          <w:rFonts w:ascii="Arial" w:eastAsia="Times New Roman" w:hAnsi="Arial" w:cs="Arial"/>
          <w:color w:val="000000"/>
          <w:sz w:val="23"/>
          <w:szCs w:val="23"/>
          <w:lang w:eastAsia="en-GB"/>
        </w:rPr>
        <w:t xml:space="preserve">UK Prevention Research Partnership. UKPRP Consortium Development Grant. UKPRP_CO1_105. QUEST:  </w:t>
      </w:r>
      <w:proofErr w:type="spellStart"/>
      <w:r w:rsidRPr="00CE0882">
        <w:rPr>
          <w:rFonts w:ascii="Arial" w:eastAsia="Times New Roman" w:hAnsi="Arial" w:cs="Arial"/>
          <w:color w:val="000000"/>
          <w:sz w:val="23"/>
          <w:szCs w:val="23"/>
          <w:lang w:eastAsia="en-GB"/>
        </w:rPr>
        <w:t>QUantifying</w:t>
      </w:r>
      <w:proofErr w:type="spellEnd"/>
      <w:r w:rsidRPr="00CE0882">
        <w:rPr>
          <w:rFonts w:ascii="Arial" w:eastAsia="Times New Roman" w:hAnsi="Arial" w:cs="Arial"/>
          <w:color w:val="000000"/>
          <w:sz w:val="23"/>
          <w:szCs w:val="23"/>
          <w:lang w:eastAsia="en-GB"/>
        </w:rPr>
        <w:t xml:space="preserve"> Equitable Solutions To prevent Non-Communicable Diseases.      The School of Public Health at Imperial College London is grateful for support from NIHR SPHR</w:t>
      </w:r>
      <w:bookmarkStart w:id="0" w:name="_GoBack"/>
      <w:bookmarkEnd w:id="0"/>
    </w:p>
    <w:sectPr w:rsidR="00EA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0MDcC0sbmhsbGZko6SsGpxcWZ+XkgBYa1AMRnPUgsAAAA"/>
  </w:docVars>
  <w:rsids>
    <w:rsidRoot w:val="00CE0882"/>
    <w:rsid w:val="004758A1"/>
    <w:rsid w:val="00CE0882"/>
    <w:rsid w:val="00EA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49EF"/>
  <w15:chartTrackingRefBased/>
  <w15:docId w15:val="{E9CEA26E-E07F-4428-8D34-6FDA5874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E08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882"/>
    <w:rPr>
      <w:rFonts w:ascii="Times New Roman" w:eastAsia="Times New Roman" w:hAnsi="Times New Roman" w:cs="Times New Roman"/>
      <w:b/>
      <w:bCs/>
      <w:sz w:val="36"/>
      <w:szCs w:val="36"/>
      <w:lang w:eastAsia="en-GB"/>
    </w:rPr>
  </w:style>
  <w:style w:type="character" w:customStyle="1" w:styleId="ef-presenting-author">
    <w:name w:val="ef-presenting-author"/>
    <w:basedOn w:val="DefaultParagraphFont"/>
    <w:rsid w:val="00CE0882"/>
  </w:style>
  <w:style w:type="character" w:customStyle="1" w:styleId="ef-author-name">
    <w:name w:val="ef-author-name"/>
    <w:basedOn w:val="DefaultParagraphFont"/>
    <w:rsid w:val="00CE0882"/>
  </w:style>
  <w:style w:type="character" w:customStyle="1" w:styleId="ef-author-affiliation">
    <w:name w:val="ef-author-affiliation"/>
    <w:basedOn w:val="DefaultParagraphFont"/>
    <w:rsid w:val="00CE0882"/>
  </w:style>
  <w:style w:type="character" w:styleId="Hyperlink">
    <w:name w:val="Hyperlink"/>
    <w:basedOn w:val="DefaultParagraphFont"/>
    <w:uiPriority w:val="99"/>
    <w:semiHidden/>
    <w:unhideWhenUsed/>
    <w:rsid w:val="00CE0882"/>
    <w:rPr>
      <w:color w:val="0000FF"/>
      <w:u w:val="single"/>
    </w:rPr>
  </w:style>
  <w:style w:type="paragraph" w:styleId="NormalWeb">
    <w:name w:val="Normal (Web)"/>
    <w:basedOn w:val="Normal"/>
    <w:uiPriority w:val="99"/>
    <w:semiHidden/>
    <w:unhideWhenUsed/>
    <w:rsid w:val="00CE0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0882"/>
    <w:rPr>
      <w:i/>
      <w:iCs/>
    </w:rPr>
  </w:style>
  <w:style w:type="paragraph" w:styleId="Title">
    <w:name w:val="Title"/>
    <w:basedOn w:val="Normal"/>
    <w:next w:val="Normal"/>
    <w:link w:val="TitleChar"/>
    <w:uiPriority w:val="10"/>
    <w:qFormat/>
    <w:rsid w:val="00CE0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8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5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Kypridemos</dc:creator>
  <cp:keywords/>
  <dc:description/>
  <cp:lastModifiedBy>Chris Kypridemos</cp:lastModifiedBy>
  <cp:revision>2</cp:revision>
  <dcterms:created xsi:type="dcterms:W3CDTF">2019-03-01T09:47:00Z</dcterms:created>
  <dcterms:modified xsi:type="dcterms:W3CDTF">2019-03-01T09:50:00Z</dcterms:modified>
</cp:coreProperties>
</file>