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97A28" w14:textId="69808D7E" w:rsidR="00747C3B" w:rsidRPr="00EB7B5F" w:rsidRDefault="00DC780F" w:rsidP="00FF0BD7">
      <w:pPr>
        <w:jc w:val="center"/>
        <w:rPr>
          <w:rFonts w:ascii="Garamond" w:hAnsi="Garamond"/>
          <w:b/>
          <w:bCs/>
          <w:sz w:val="28"/>
          <w:szCs w:val="28"/>
        </w:rPr>
      </w:pPr>
      <w:bookmarkStart w:id="0" w:name="_Hlk24718969"/>
      <w:r w:rsidRPr="00EB7B5F">
        <w:rPr>
          <w:rFonts w:ascii="Garamond" w:hAnsi="Garamond"/>
          <w:b/>
          <w:bCs/>
          <w:sz w:val="28"/>
          <w:szCs w:val="28"/>
        </w:rPr>
        <w:t xml:space="preserve">THE NICE GUIDELINE ON MEDICINAL CANNABIS: </w:t>
      </w:r>
    </w:p>
    <w:p w14:paraId="48F0FB96" w14:textId="2C7F7DBF" w:rsidR="0023406F" w:rsidRPr="00EB7B5F" w:rsidRDefault="00DC780F" w:rsidP="00FF0BD7">
      <w:pPr>
        <w:jc w:val="center"/>
        <w:rPr>
          <w:rFonts w:ascii="Garamond" w:hAnsi="Garamond"/>
          <w:b/>
          <w:bCs/>
          <w:sz w:val="28"/>
          <w:szCs w:val="28"/>
        </w:rPr>
      </w:pPr>
      <w:r w:rsidRPr="00EB7B5F">
        <w:rPr>
          <w:rFonts w:ascii="Garamond" w:hAnsi="Garamond"/>
          <w:b/>
          <w:bCs/>
          <w:sz w:val="28"/>
          <w:szCs w:val="28"/>
        </w:rPr>
        <w:t xml:space="preserve">KEEPING PANDORA’S BOX </w:t>
      </w:r>
      <w:r w:rsidR="00E35ACA" w:rsidRPr="00EB7B5F">
        <w:rPr>
          <w:rFonts w:ascii="Garamond" w:hAnsi="Garamond"/>
          <w:b/>
          <w:bCs/>
          <w:sz w:val="28"/>
          <w:szCs w:val="28"/>
        </w:rPr>
        <w:t xml:space="preserve">SHUT </w:t>
      </w:r>
      <w:r w:rsidR="0009639E" w:rsidRPr="00EB7B5F">
        <w:rPr>
          <w:rFonts w:ascii="Garamond" w:hAnsi="Garamond"/>
          <w:b/>
          <w:bCs/>
          <w:sz w:val="28"/>
          <w:szCs w:val="28"/>
        </w:rPr>
        <w:t>TIGHT</w:t>
      </w:r>
      <w:r w:rsidRPr="00EB7B5F">
        <w:rPr>
          <w:rFonts w:ascii="Garamond" w:hAnsi="Garamond"/>
          <w:b/>
          <w:bCs/>
          <w:sz w:val="28"/>
          <w:szCs w:val="28"/>
        </w:rPr>
        <w:t xml:space="preserve">? </w:t>
      </w:r>
    </w:p>
    <w:p w14:paraId="1054E5F5" w14:textId="77777777" w:rsidR="00EB7B5F" w:rsidRPr="00EB7B5F" w:rsidRDefault="00EB7B5F" w:rsidP="00FF0BD7">
      <w:pPr>
        <w:jc w:val="center"/>
        <w:rPr>
          <w:rFonts w:ascii="Garamond" w:hAnsi="Garamond"/>
          <w:b/>
          <w:bCs/>
          <w:sz w:val="28"/>
          <w:szCs w:val="28"/>
        </w:rPr>
      </w:pPr>
    </w:p>
    <w:p w14:paraId="1D4AEA50" w14:textId="0803AEC8" w:rsidR="000721E7" w:rsidRPr="00EB7B5F" w:rsidRDefault="00740AFC" w:rsidP="00FF0BD7">
      <w:pPr>
        <w:jc w:val="center"/>
        <w:rPr>
          <w:rFonts w:ascii="Garamond" w:hAnsi="Garamond"/>
          <w:sz w:val="28"/>
          <w:szCs w:val="28"/>
        </w:rPr>
      </w:pPr>
      <w:r w:rsidRPr="00EB7B5F">
        <w:rPr>
          <w:rFonts w:ascii="Garamond" w:hAnsi="Garamond"/>
          <w:b/>
          <w:bCs/>
          <w:sz w:val="28"/>
          <w:szCs w:val="28"/>
        </w:rPr>
        <w:t>ABSTRACT</w:t>
      </w:r>
    </w:p>
    <w:p w14:paraId="4F338F0C" w14:textId="77777777" w:rsidR="00EB7B5F" w:rsidRPr="00EB7B5F" w:rsidRDefault="00EB7B5F" w:rsidP="00A55C75">
      <w:pPr>
        <w:spacing w:line="480" w:lineRule="auto"/>
        <w:jc w:val="both"/>
        <w:rPr>
          <w:rFonts w:ascii="Garamond" w:hAnsi="Garamond"/>
        </w:rPr>
      </w:pPr>
    </w:p>
    <w:p w14:paraId="50EEADA9" w14:textId="4A08D080" w:rsidR="000721E7" w:rsidRPr="00EB7B5F" w:rsidRDefault="000721E7" w:rsidP="00A55C75">
      <w:pPr>
        <w:spacing w:line="480" w:lineRule="auto"/>
        <w:jc w:val="both"/>
        <w:rPr>
          <w:rFonts w:ascii="Garamond" w:hAnsi="Garamond"/>
        </w:rPr>
      </w:pPr>
      <w:r w:rsidRPr="00EB7B5F">
        <w:rPr>
          <w:rFonts w:ascii="Garamond" w:hAnsi="Garamond"/>
        </w:rPr>
        <w:t xml:space="preserve">November 2018 saw the prescription of unlicensed medicinal cannabis products </w:t>
      </w:r>
      <w:r w:rsidR="00A25944" w:rsidRPr="00EB7B5F">
        <w:rPr>
          <w:rFonts w:ascii="Garamond" w:hAnsi="Garamond"/>
        </w:rPr>
        <w:t>being</w:t>
      </w:r>
      <w:r w:rsidRPr="00EB7B5F">
        <w:rPr>
          <w:rFonts w:ascii="Garamond" w:hAnsi="Garamond"/>
        </w:rPr>
        <w:t xml:space="preserve"> legalised</w:t>
      </w:r>
      <w:r w:rsidR="00A25944" w:rsidRPr="00EB7B5F">
        <w:rPr>
          <w:rFonts w:ascii="Garamond" w:hAnsi="Garamond"/>
        </w:rPr>
        <w:t xml:space="preserve"> in the UK</w:t>
      </w:r>
      <w:r w:rsidRPr="00EB7B5F">
        <w:rPr>
          <w:rFonts w:ascii="Garamond" w:hAnsi="Garamond"/>
        </w:rPr>
        <w:t xml:space="preserve">, </w:t>
      </w:r>
      <w:r w:rsidR="00A25944" w:rsidRPr="00EB7B5F">
        <w:rPr>
          <w:rFonts w:ascii="Garamond" w:hAnsi="Garamond"/>
        </w:rPr>
        <w:t xml:space="preserve">accompanied by </w:t>
      </w:r>
      <w:r w:rsidRPr="00EB7B5F">
        <w:rPr>
          <w:rFonts w:ascii="Garamond" w:hAnsi="Garamond"/>
        </w:rPr>
        <w:t xml:space="preserve">loud media fanfare. </w:t>
      </w:r>
      <w:r w:rsidR="00A25944" w:rsidRPr="00EB7B5F">
        <w:rPr>
          <w:rFonts w:ascii="Garamond" w:hAnsi="Garamond"/>
        </w:rPr>
        <w:t xml:space="preserve">One year on, it seems that access to medicinal cannabis in this country continues to be extremely rare, raising questions about </w:t>
      </w:r>
      <w:r w:rsidR="00671E5E" w:rsidRPr="00EB7B5F">
        <w:rPr>
          <w:rFonts w:ascii="Garamond" w:hAnsi="Garamond"/>
        </w:rPr>
        <w:t>what might be stopping doctors from</w:t>
      </w:r>
      <w:r w:rsidR="00A25944" w:rsidRPr="00EB7B5F">
        <w:rPr>
          <w:rFonts w:ascii="Garamond" w:hAnsi="Garamond"/>
        </w:rPr>
        <w:t xml:space="preserve"> making use of the legal space to prescribe. This commentary explores </w:t>
      </w:r>
      <w:r w:rsidR="0009639E" w:rsidRPr="00EB7B5F">
        <w:rPr>
          <w:rFonts w:ascii="Garamond" w:hAnsi="Garamond"/>
        </w:rPr>
        <w:t>some of these</w:t>
      </w:r>
      <w:r w:rsidR="00A25944" w:rsidRPr="00EB7B5F">
        <w:rPr>
          <w:rFonts w:ascii="Garamond" w:hAnsi="Garamond"/>
        </w:rPr>
        <w:t xml:space="preserve"> question</w:t>
      </w:r>
      <w:r w:rsidR="0009639E" w:rsidRPr="00EB7B5F">
        <w:rPr>
          <w:rFonts w:ascii="Garamond" w:hAnsi="Garamond"/>
        </w:rPr>
        <w:t>s</w:t>
      </w:r>
      <w:r w:rsidR="00A25944" w:rsidRPr="00EB7B5F">
        <w:rPr>
          <w:rFonts w:ascii="Garamond" w:hAnsi="Garamond"/>
        </w:rPr>
        <w:t xml:space="preserve">, outlining the theoretical space for legal prescribing and examining whether the recently announced NICE guideline does anything to ease the deadlock. </w:t>
      </w:r>
    </w:p>
    <w:p w14:paraId="44A83AF6" w14:textId="51F54BE4" w:rsidR="004A4253" w:rsidRPr="00EB7B5F" w:rsidRDefault="004A4253" w:rsidP="004A4253">
      <w:pPr>
        <w:spacing w:line="480" w:lineRule="auto"/>
        <w:jc w:val="center"/>
        <w:rPr>
          <w:rFonts w:ascii="Garamond" w:hAnsi="Garamond"/>
        </w:rPr>
      </w:pPr>
      <w:r w:rsidRPr="00EB7B5F">
        <w:rPr>
          <w:rFonts w:ascii="Garamond" w:hAnsi="Garamond"/>
        </w:rPr>
        <w:t>Keywords –</w:t>
      </w:r>
      <w:r w:rsidR="002C42BF" w:rsidRPr="00EB7B5F">
        <w:rPr>
          <w:rFonts w:ascii="Garamond" w:hAnsi="Garamond"/>
        </w:rPr>
        <w:t xml:space="preserve"> </w:t>
      </w:r>
      <w:r w:rsidRPr="00EB7B5F">
        <w:rPr>
          <w:rFonts w:ascii="Garamond" w:hAnsi="Garamond"/>
        </w:rPr>
        <w:t xml:space="preserve">cannabis – </w:t>
      </w:r>
      <w:r w:rsidR="002C42BF" w:rsidRPr="00EB7B5F">
        <w:rPr>
          <w:rFonts w:ascii="Garamond" w:hAnsi="Garamond"/>
        </w:rPr>
        <w:t xml:space="preserve">guideline - legalisation - medicines - NICE - </w:t>
      </w:r>
      <w:r w:rsidRPr="00EB7B5F">
        <w:rPr>
          <w:rFonts w:ascii="Garamond" w:hAnsi="Garamond"/>
        </w:rPr>
        <w:t xml:space="preserve">prescribing </w:t>
      </w:r>
    </w:p>
    <w:p w14:paraId="205070C0" w14:textId="0CD86C46" w:rsidR="00A25944" w:rsidRPr="00EB7B5F" w:rsidRDefault="00DC780F" w:rsidP="00DC780F">
      <w:pPr>
        <w:spacing w:line="480" w:lineRule="auto"/>
        <w:jc w:val="center"/>
        <w:rPr>
          <w:rFonts w:ascii="Garamond" w:hAnsi="Garamond"/>
          <w:b/>
          <w:bCs/>
        </w:rPr>
      </w:pPr>
      <w:r w:rsidRPr="00EB7B5F">
        <w:rPr>
          <w:rFonts w:ascii="Garamond" w:hAnsi="Garamond"/>
          <w:b/>
          <w:bCs/>
        </w:rPr>
        <w:t>INTRODUCTION</w:t>
      </w:r>
    </w:p>
    <w:p w14:paraId="56DC8D47" w14:textId="6A9917D8" w:rsidR="007E07F4" w:rsidRPr="00EB7B5F" w:rsidRDefault="007E07F4" w:rsidP="00A55C75">
      <w:pPr>
        <w:spacing w:line="480" w:lineRule="auto"/>
        <w:jc w:val="both"/>
        <w:rPr>
          <w:rFonts w:ascii="Garamond" w:hAnsi="Garamond"/>
        </w:rPr>
      </w:pPr>
      <w:r w:rsidRPr="00EB7B5F">
        <w:rPr>
          <w:rFonts w:ascii="Garamond" w:hAnsi="Garamond"/>
        </w:rPr>
        <w:t>The prescription of unlicensed ‘Cannabis Products for Medicinal Use’</w:t>
      </w:r>
      <w:r w:rsidRPr="00EB7B5F">
        <w:rPr>
          <w:rFonts w:ascii="Garamond" w:hAnsi="Garamond"/>
          <w:vertAlign w:val="superscript"/>
        </w:rPr>
        <w:footnoteReference w:id="1"/>
      </w:r>
      <w:r w:rsidRPr="00EB7B5F">
        <w:rPr>
          <w:rFonts w:ascii="Garamond" w:hAnsi="Garamond"/>
        </w:rPr>
        <w:t xml:space="preserve"> was legalised in the UK in November 2018.</w:t>
      </w:r>
      <w:r w:rsidRPr="00EB7B5F">
        <w:rPr>
          <w:rFonts w:ascii="Garamond" w:hAnsi="Garamond"/>
          <w:vertAlign w:val="superscript"/>
        </w:rPr>
        <w:t xml:space="preserve"> </w:t>
      </w:r>
      <w:r w:rsidRPr="00EB7B5F">
        <w:rPr>
          <w:rFonts w:ascii="Garamond" w:hAnsi="Garamond"/>
        </w:rPr>
        <w:t>This was achieved by rescheduling ‘Cannabis Products for Medicinal Use by Humans’ (CPMs) under the Misuse of Drugs Regulations 2001, moving them from Schedule 1 (controlled drugs considered to have no medicinal value) to Schedule 2 (controlled drugs acknowledged to have medicinal benefits).</w:t>
      </w:r>
      <w:r w:rsidRPr="00EB7B5F">
        <w:rPr>
          <w:rFonts w:ascii="Garamond" w:hAnsi="Garamond"/>
          <w:vertAlign w:val="superscript"/>
        </w:rPr>
        <w:footnoteReference w:id="2"/>
      </w:r>
      <w:r w:rsidRPr="00EB7B5F">
        <w:rPr>
          <w:rFonts w:ascii="Garamond" w:hAnsi="Garamond"/>
        </w:rPr>
        <w:t xml:space="preserve"> The </w:t>
      </w:r>
      <w:r w:rsidR="00033D5F" w:rsidRPr="00EB7B5F">
        <w:rPr>
          <w:rFonts w:ascii="Garamond" w:hAnsi="Garamond"/>
        </w:rPr>
        <w:t>reform</w:t>
      </w:r>
      <w:r w:rsidRPr="00EB7B5F">
        <w:rPr>
          <w:rFonts w:ascii="Garamond" w:hAnsi="Garamond"/>
        </w:rPr>
        <w:t xml:space="preserve"> enabled investigation of these products via clinical trials</w:t>
      </w:r>
      <w:r w:rsidRPr="00EB7B5F">
        <w:rPr>
          <w:rFonts w:ascii="Garamond" w:hAnsi="Garamond"/>
          <w:vertAlign w:val="superscript"/>
        </w:rPr>
        <w:footnoteReference w:id="3"/>
      </w:r>
      <w:r w:rsidRPr="00EB7B5F">
        <w:rPr>
          <w:rFonts w:ascii="Garamond" w:hAnsi="Garamond"/>
        </w:rPr>
        <w:t xml:space="preserve"> (previously </w:t>
      </w:r>
      <w:r w:rsidR="00671E5E" w:rsidRPr="00EB7B5F">
        <w:rPr>
          <w:rFonts w:ascii="Garamond" w:hAnsi="Garamond"/>
        </w:rPr>
        <w:t>breaching criminal law</w:t>
      </w:r>
      <w:r w:rsidRPr="00EB7B5F">
        <w:rPr>
          <w:rFonts w:ascii="Garamond" w:hAnsi="Garamond"/>
        </w:rPr>
        <w:t>) and opened a theoretical space for doctors to prescribe these drugs, albeit currently stifled by practical and legal obstacles and medico-legal concerns.</w:t>
      </w:r>
    </w:p>
    <w:p w14:paraId="3B6FB585" w14:textId="59C2B00C" w:rsidR="00BF641F" w:rsidRPr="00EB7B5F" w:rsidRDefault="00DC780F" w:rsidP="00DC780F">
      <w:pPr>
        <w:spacing w:line="480" w:lineRule="auto"/>
        <w:jc w:val="center"/>
        <w:rPr>
          <w:rFonts w:ascii="Garamond" w:hAnsi="Garamond"/>
          <w:b/>
          <w:bCs/>
        </w:rPr>
      </w:pPr>
      <w:r w:rsidRPr="00EB7B5F">
        <w:rPr>
          <w:rFonts w:ascii="Garamond" w:hAnsi="Garamond"/>
          <w:b/>
          <w:bCs/>
        </w:rPr>
        <w:t>I. THE ROAD TO LEGALISATION – A MEDICALISED APPROACH?</w:t>
      </w:r>
    </w:p>
    <w:p w14:paraId="4346E01A" w14:textId="358522BC" w:rsidR="007E4B45" w:rsidRPr="00EB7B5F" w:rsidRDefault="004B0BFF" w:rsidP="00A55C75">
      <w:pPr>
        <w:spacing w:line="480" w:lineRule="auto"/>
        <w:jc w:val="both"/>
        <w:rPr>
          <w:rFonts w:ascii="Garamond" w:hAnsi="Garamond"/>
        </w:rPr>
      </w:pPr>
      <w:r w:rsidRPr="00EB7B5F">
        <w:rPr>
          <w:rFonts w:ascii="Garamond" w:hAnsi="Garamond"/>
        </w:rPr>
        <w:lastRenderedPageBreak/>
        <w:t>C</w:t>
      </w:r>
      <w:r w:rsidR="0059495E" w:rsidRPr="00EB7B5F">
        <w:rPr>
          <w:rFonts w:ascii="Garamond" w:hAnsi="Garamond"/>
        </w:rPr>
        <w:t>ritical</w:t>
      </w:r>
      <w:r w:rsidRPr="00EB7B5F">
        <w:rPr>
          <w:rFonts w:ascii="Garamond" w:hAnsi="Garamond"/>
        </w:rPr>
        <w:t xml:space="preserve"> in the process of legal reform </w:t>
      </w:r>
      <w:r w:rsidR="00E142CC" w:rsidRPr="00EB7B5F">
        <w:rPr>
          <w:rFonts w:ascii="Garamond" w:hAnsi="Garamond"/>
        </w:rPr>
        <w:t>were</w:t>
      </w:r>
      <w:r w:rsidR="0059495E" w:rsidRPr="00EB7B5F">
        <w:rPr>
          <w:rFonts w:ascii="Garamond" w:hAnsi="Garamond"/>
        </w:rPr>
        <w:t xml:space="preserve"> the</w:t>
      </w:r>
      <w:r w:rsidR="00E776C5" w:rsidRPr="00EB7B5F">
        <w:rPr>
          <w:rFonts w:ascii="Garamond" w:hAnsi="Garamond"/>
        </w:rPr>
        <w:t xml:space="preserve"> experiences of</w:t>
      </w:r>
      <w:r w:rsidR="0059495E" w:rsidRPr="00EB7B5F">
        <w:rPr>
          <w:rFonts w:ascii="Garamond" w:hAnsi="Garamond"/>
        </w:rPr>
        <w:t xml:space="preserve"> </w:t>
      </w:r>
      <w:r w:rsidRPr="00EB7B5F">
        <w:rPr>
          <w:rFonts w:ascii="Garamond" w:hAnsi="Garamond"/>
        </w:rPr>
        <w:t xml:space="preserve">Alfie Dingley and Billy Caldwell, </w:t>
      </w:r>
      <w:r w:rsidR="00E776C5" w:rsidRPr="00EB7B5F">
        <w:rPr>
          <w:rFonts w:ascii="Garamond" w:hAnsi="Garamond"/>
        </w:rPr>
        <w:t xml:space="preserve">children </w:t>
      </w:r>
      <w:r w:rsidRPr="00EB7B5F">
        <w:rPr>
          <w:rFonts w:ascii="Garamond" w:hAnsi="Garamond"/>
        </w:rPr>
        <w:t>suffering from rare</w:t>
      </w:r>
      <w:r w:rsidR="0059495E" w:rsidRPr="00EB7B5F">
        <w:rPr>
          <w:rFonts w:ascii="Garamond" w:hAnsi="Garamond"/>
        </w:rPr>
        <w:t>,</w:t>
      </w:r>
      <w:r w:rsidRPr="00EB7B5F">
        <w:rPr>
          <w:rFonts w:ascii="Garamond" w:hAnsi="Garamond"/>
        </w:rPr>
        <w:t xml:space="preserve"> </w:t>
      </w:r>
      <w:r w:rsidR="003F5071" w:rsidRPr="00EB7B5F">
        <w:rPr>
          <w:rFonts w:ascii="Garamond" w:hAnsi="Garamond"/>
        </w:rPr>
        <w:t>treatment</w:t>
      </w:r>
      <w:r w:rsidR="0059495E" w:rsidRPr="00EB7B5F">
        <w:rPr>
          <w:rFonts w:ascii="Garamond" w:hAnsi="Garamond"/>
        </w:rPr>
        <w:t>-</w:t>
      </w:r>
      <w:r w:rsidR="003F5071" w:rsidRPr="00EB7B5F">
        <w:rPr>
          <w:rFonts w:ascii="Garamond" w:hAnsi="Garamond"/>
        </w:rPr>
        <w:t xml:space="preserve">resistant </w:t>
      </w:r>
      <w:r w:rsidRPr="00EB7B5F">
        <w:rPr>
          <w:rFonts w:ascii="Garamond" w:hAnsi="Garamond"/>
        </w:rPr>
        <w:t>forms of epilepsy. Both children’s parents</w:t>
      </w:r>
      <w:r w:rsidR="00671E5E" w:rsidRPr="00EB7B5F">
        <w:rPr>
          <w:rFonts w:ascii="Garamond" w:hAnsi="Garamond"/>
        </w:rPr>
        <w:t>, amongst others,</w:t>
      </w:r>
      <w:r w:rsidRPr="00EB7B5F">
        <w:rPr>
          <w:rFonts w:ascii="Garamond" w:hAnsi="Garamond"/>
        </w:rPr>
        <w:t xml:space="preserve"> campaigned tirelessly to pave the way for their children to have access to medicinal cannabis without breaking the law.</w:t>
      </w:r>
      <w:r w:rsidR="00B82F69" w:rsidRPr="00EB7B5F">
        <w:rPr>
          <w:rStyle w:val="FootnoteReference"/>
          <w:rFonts w:ascii="Garamond" w:hAnsi="Garamond"/>
        </w:rPr>
        <w:footnoteReference w:id="4"/>
      </w:r>
      <w:r w:rsidRPr="00EB7B5F">
        <w:rPr>
          <w:rFonts w:ascii="Garamond" w:hAnsi="Garamond"/>
        </w:rPr>
        <w:t xml:space="preserve"> B</w:t>
      </w:r>
      <w:r w:rsidR="00BF641F" w:rsidRPr="00EB7B5F">
        <w:rPr>
          <w:rFonts w:ascii="Garamond" w:hAnsi="Garamond"/>
        </w:rPr>
        <w:t xml:space="preserve">ut it was the </w:t>
      </w:r>
      <w:r w:rsidR="00DF1198" w:rsidRPr="00EB7B5F">
        <w:rPr>
          <w:rFonts w:ascii="Garamond" w:hAnsi="Garamond"/>
        </w:rPr>
        <w:t xml:space="preserve">announcement </w:t>
      </w:r>
      <w:r w:rsidR="00BF641F" w:rsidRPr="00EB7B5F">
        <w:rPr>
          <w:rFonts w:ascii="Garamond" w:hAnsi="Garamond"/>
        </w:rPr>
        <w:t xml:space="preserve">of </w:t>
      </w:r>
      <w:r w:rsidR="00671E5E" w:rsidRPr="00EB7B5F">
        <w:rPr>
          <w:rFonts w:ascii="Garamond" w:hAnsi="Garamond"/>
        </w:rPr>
        <w:t>Dame Sally Davies,</w:t>
      </w:r>
      <w:r w:rsidR="00BF641F" w:rsidRPr="00EB7B5F">
        <w:rPr>
          <w:rFonts w:ascii="Garamond" w:hAnsi="Garamond"/>
        </w:rPr>
        <w:t xml:space="preserve"> </w:t>
      </w:r>
      <w:r w:rsidR="00FA01D1" w:rsidRPr="00EB7B5F">
        <w:rPr>
          <w:rFonts w:ascii="Garamond" w:hAnsi="Garamond"/>
        </w:rPr>
        <w:t xml:space="preserve">then </w:t>
      </w:r>
      <w:r w:rsidR="00DF1198" w:rsidRPr="00EB7B5F">
        <w:rPr>
          <w:rFonts w:ascii="Garamond" w:hAnsi="Garamond"/>
        </w:rPr>
        <w:t xml:space="preserve">Chief Medical Officer, </w:t>
      </w:r>
      <w:r w:rsidR="00FA01D1" w:rsidRPr="00EB7B5F">
        <w:rPr>
          <w:rFonts w:ascii="Garamond" w:hAnsi="Garamond"/>
        </w:rPr>
        <w:t>in June</w:t>
      </w:r>
      <w:r w:rsidR="00DF1198" w:rsidRPr="00EB7B5F">
        <w:rPr>
          <w:rFonts w:ascii="Garamond" w:hAnsi="Garamond"/>
        </w:rPr>
        <w:t xml:space="preserve"> 2018</w:t>
      </w:r>
      <w:r w:rsidR="00BF641F" w:rsidRPr="00EB7B5F">
        <w:rPr>
          <w:rFonts w:ascii="Garamond" w:hAnsi="Garamond"/>
        </w:rPr>
        <w:t xml:space="preserve">, </w:t>
      </w:r>
      <w:r w:rsidR="00FA01D1" w:rsidRPr="00EB7B5F">
        <w:rPr>
          <w:rFonts w:ascii="Garamond" w:hAnsi="Garamond"/>
        </w:rPr>
        <w:t xml:space="preserve">that there was ‘conclusive evidence of the therapeutic benefit of cannabis based medicinal products for certain medical conditions and reasonable evidence of therapeutic benefit in several other medical conditions’ </w:t>
      </w:r>
      <w:r w:rsidR="00BF641F" w:rsidRPr="00EB7B5F">
        <w:rPr>
          <w:rFonts w:ascii="Garamond" w:hAnsi="Garamond"/>
        </w:rPr>
        <w:t>which</w:t>
      </w:r>
      <w:r w:rsidR="00052D24" w:rsidRPr="00EB7B5F">
        <w:rPr>
          <w:rFonts w:ascii="Garamond" w:hAnsi="Garamond"/>
        </w:rPr>
        <w:t xml:space="preserve"> </w:t>
      </w:r>
      <w:r w:rsidR="00F0672E" w:rsidRPr="00EB7B5F">
        <w:rPr>
          <w:rFonts w:ascii="Garamond" w:hAnsi="Garamond"/>
        </w:rPr>
        <w:t>finally opened the door to</w:t>
      </w:r>
      <w:r w:rsidR="00DF1198" w:rsidRPr="00EB7B5F">
        <w:rPr>
          <w:rFonts w:ascii="Garamond" w:hAnsi="Garamond"/>
        </w:rPr>
        <w:t xml:space="preserve"> liberalisation</w:t>
      </w:r>
      <w:r w:rsidR="00052D24" w:rsidRPr="00EB7B5F">
        <w:rPr>
          <w:rFonts w:ascii="Garamond" w:hAnsi="Garamond"/>
        </w:rPr>
        <w:t>.</w:t>
      </w:r>
      <w:r w:rsidR="0089286D" w:rsidRPr="00EB7B5F">
        <w:rPr>
          <w:rStyle w:val="FootnoteReference"/>
          <w:rFonts w:ascii="Garamond" w:hAnsi="Garamond"/>
        </w:rPr>
        <w:footnoteReference w:id="5"/>
      </w:r>
      <w:r w:rsidR="00052D24" w:rsidRPr="00EB7B5F">
        <w:rPr>
          <w:rFonts w:ascii="Garamond" w:hAnsi="Garamond"/>
        </w:rPr>
        <w:t xml:space="preserve"> </w:t>
      </w:r>
    </w:p>
    <w:p w14:paraId="4B3B1672" w14:textId="64419AB1" w:rsidR="00D018D3" w:rsidRPr="00EB7B5F" w:rsidRDefault="00BD1892" w:rsidP="00A55C75">
      <w:pPr>
        <w:spacing w:line="480" w:lineRule="auto"/>
        <w:jc w:val="both"/>
        <w:rPr>
          <w:rFonts w:ascii="Garamond" w:hAnsi="Garamond"/>
        </w:rPr>
      </w:pPr>
      <w:r w:rsidRPr="00EB7B5F">
        <w:rPr>
          <w:rFonts w:ascii="Garamond" w:hAnsi="Garamond"/>
        </w:rPr>
        <w:t>However, i</w:t>
      </w:r>
      <w:r w:rsidR="00E142CC" w:rsidRPr="00EB7B5F">
        <w:rPr>
          <w:rFonts w:ascii="Garamond" w:hAnsi="Garamond"/>
        </w:rPr>
        <w:t>n March 2019</w:t>
      </w:r>
      <w:r w:rsidR="00D018D3" w:rsidRPr="00EB7B5F">
        <w:rPr>
          <w:rFonts w:ascii="Garamond" w:hAnsi="Garamond"/>
        </w:rPr>
        <w:t xml:space="preserve">, </w:t>
      </w:r>
      <w:r w:rsidR="003C2831" w:rsidRPr="00EB7B5F">
        <w:rPr>
          <w:rFonts w:ascii="Garamond" w:hAnsi="Garamond"/>
        </w:rPr>
        <w:t xml:space="preserve">Dame Davies observed that </w:t>
      </w:r>
      <w:r w:rsidR="00A36C3A" w:rsidRPr="00EB7B5F">
        <w:rPr>
          <w:rFonts w:ascii="Garamond" w:hAnsi="Garamond"/>
        </w:rPr>
        <w:t>the reforms</w:t>
      </w:r>
      <w:r w:rsidR="003C2831" w:rsidRPr="00EB7B5F">
        <w:rPr>
          <w:rFonts w:ascii="Garamond" w:hAnsi="Garamond"/>
        </w:rPr>
        <w:t xml:space="preserve"> had opened </w:t>
      </w:r>
      <w:r w:rsidR="0013485D" w:rsidRPr="00EB7B5F">
        <w:rPr>
          <w:rFonts w:ascii="Garamond" w:hAnsi="Garamond"/>
        </w:rPr>
        <w:t>a</w:t>
      </w:r>
      <w:r w:rsidR="0009639E" w:rsidRPr="00EB7B5F">
        <w:rPr>
          <w:rFonts w:ascii="Garamond" w:hAnsi="Garamond"/>
        </w:rPr>
        <w:t xml:space="preserve"> </w:t>
      </w:r>
      <w:r w:rsidR="00D018D3" w:rsidRPr="00EB7B5F">
        <w:rPr>
          <w:rFonts w:ascii="Garamond" w:hAnsi="Garamond"/>
        </w:rPr>
        <w:t>’</w:t>
      </w:r>
      <w:r w:rsidR="003C2831" w:rsidRPr="00EB7B5F">
        <w:rPr>
          <w:rFonts w:ascii="Garamond" w:hAnsi="Garamond"/>
        </w:rPr>
        <w:t>Pandora’s box</w:t>
      </w:r>
      <w:r w:rsidR="00D018D3" w:rsidRPr="00EB7B5F">
        <w:rPr>
          <w:rFonts w:ascii="Garamond" w:hAnsi="Garamond"/>
        </w:rPr>
        <w:t>’</w:t>
      </w:r>
      <w:r w:rsidR="0009639E" w:rsidRPr="00EB7B5F">
        <w:rPr>
          <w:rFonts w:ascii="Garamond" w:hAnsi="Garamond"/>
          <w:vertAlign w:val="superscript"/>
        </w:rPr>
        <w:footnoteReference w:id="6"/>
      </w:r>
      <w:r w:rsidR="007E4B45" w:rsidRPr="00EB7B5F">
        <w:rPr>
          <w:rFonts w:ascii="Garamond" w:hAnsi="Garamond"/>
        </w:rPr>
        <w:t xml:space="preserve"> – the near panacea of asserted medicinal possibilities, alongside media trumpeting of </w:t>
      </w:r>
      <w:r w:rsidR="00A36C3A" w:rsidRPr="00EB7B5F">
        <w:rPr>
          <w:rFonts w:ascii="Garamond" w:hAnsi="Garamond"/>
        </w:rPr>
        <w:t>‘</w:t>
      </w:r>
      <w:r w:rsidR="007E4B45" w:rsidRPr="00EB7B5F">
        <w:rPr>
          <w:rFonts w:ascii="Garamond" w:hAnsi="Garamond"/>
        </w:rPr>
        <w:t>legalisation</w:t>
      </w:r>
      <w:r w:rsidR="00A36C3A" w:rsidRPr="00EB7B5F">
        <w:rPr>
          <w:rFonts w:ascii="Garamond" w:hAnsi="Garamond"/>
        </w:rPr>
        <w:t>’</w:t>
      </w:r>
      <w:r w:rsidR="007E4B45" w:rsidRPr="00EB7B5F">
        <w:rPr>
          <w:rFonts w:ascii="Garamond" w:hAnsi="Garamond"/>
        </w:rPr>
        <w:t xml:space="preserve"> had </w:t>
      </w:r>
      <w:r w:rsidR="00A36C3A" w:rsidRPr="00EB7B5F">
        <w:rPr>
          <w:rFonts w:ascii="Garamond" w:hAnsi="Garamond"/>
        </w:rPr>
        <w:t>generated</w:t>
      </w:r>
      <w:r w:rsidR="007E4B45" w:rsidRPr="00EB7B5F">
        <w:rPr>
          <w:rFonts w:ascii="Garamond" w:hAnsi="Garamond"/>
        </w:rPr>
        <w:t xml:space="preserve"> unrealistic expectations of access </w:t>
      </w:r>
      <w:r w:rsidR="00A36C3A" w:rsidRPr="00EB7B5F">
        <w:rPr>
          <w:rFonts w:ascii="Garamond" w:hAnsi="Garamond"/>
        </w:rPr>
        <w:t>on the part of</w:t>
      </w:r>
      <w:r w:rsidR="007E4B45" w:rsidRPr="00EB7B5F">
        <w:rPr>
          <w:rFonts w:ascii="Garamond" w:hAnsi="Garamond"/>
        </w:rPr>
        <w:t xml:space="preserve"> patients, </w:t>
      </w:r>
      <w:r w:rsidR="00A36C3A" w:rsidRPr="00EB7B5F">
        <w:rPr>
          <w:rFonts w:ascii="Garamond" w:hAnsi="Garamond"/>
        </w:rPr>
        <w:t xml:space="preserve">which were </w:t>
      </w:r>
      <w:r w:rsidR="007E4B45" w:rsidRPr="00EB7B5F">
        <w:rPr>
          <w:rFonts w:ascii="Garamond" w:hAnsi="Garamond"/>
        </w:rPr>
        <w:t>unlikely to be met until randomised controlled trials had been completed. Certainly, t</w:t>
      </w:r>
      <w:r w:rsidR="00D018D3" w:rsidRPr="00EB7B5F">
        <w:rPr>
          <w:rFonts w:ascii="Garamond" w:hAnsi="Garamond"/>
        </w:rPr>
        <w:t xml:space="preserve">he list of potential therapeutic applications for cannabis and its derivatives is staggering. These drugs </w:t>
      </w:r>
      <w:r w:rsidR="009E2046" w:rsidRPr="00EB7B5F">
        <w:rPr>
          <w:rFonts w:ascii="Garamond" w:hAnsi="Garamond"/>
        </w:rPr>
        <w:t>are</w:t>
      </w:r>
      <w:r w:rsidR="00D018D3" w:rsidRPr="00EB7B5F">
        <w:rPr>
          <w:rFonts w:ascii="Garamond" w:hAnsi="Garamond"/>
        </w:rPr>
        <w:t xml:space="preserve"> reported as having medicinal value for patients with intractable epilepsy, nausea/vomiting caused by chemotherapy, spasticity in multiple sclerosis, chronic pain, fibromyalgia, anxiety and depression, the rigidity and tremors associated with Parkinson’s disease, Alzheimer’s disease, chronic fatigue syndrome, cancer and the distress experienced by patients receiving palliative care, amongst other conditions. The multitude of therapeutic applications is thought to be attributable to the 100+ constituents of the plant with known or suspected effects on the body’s natural endocannabinoid system which pervades the human anatomy.</w:t>
      </w:r>
      <w:r w:rsidR="00D018D3" w:rsidRPr="00EB7B5F">
        <w:rPr>
          <w:rFonts w:ascii="Garamond" w:hAnsi="Garamond"/>
          <w:vertAlign w:val="superscript"/>
        </w:rPr>
        <w:footnoteReference w:id="7"/>
      </w:r>
      <w:r w:rsidR="00D018D3" w:rsidRPr="00EB7B5F">
        <w:rPr>
          <w:rFonts w:ascii="Garamond" w:hAnsi="Garamond"/>
        </w:rPr>
        <w:t xml:space="preserve"> </w:t>
      </w:r>
    </w:p>
    <w:p w14:paraId="05933992" w14:textId="02E9BE70" w:rsidR="00D018D3" w:rsidRPr="00EB7B5F" w:rsidRDefault="00D018D3" w:rsidP="00A55C75">
      <w:pPr>
        <w:spacing w:line="480" w:lineRule="auto"/>
        <w:jc w:val="both"/>
        <w:rPr>
          <w:rFonts w:ascii="Garamond" w:hAnsi="Garamond"/>
        </w:rPr>
      </w:pPr>
      <w:r w:rsidRPr="00EB7B5F">
        <w:rPr>
          <w:rFonts w:ascii="Garamond" w:hAnsi="Garamond"/>
        </w:rPr>
        <w:t>Whatever the true therapeutic range of medicinal cannabis is, we do know that cannabis derived drugs can be life-saving.</w:t>
      </w:r>
      <w:r w:rsidRPr="00EB7B5F">
        <w:rPr>
          <w:rFonts w:ascii="Garamond" w:hAnsi="Garamond"/>
          <w:vertAlign w:val="superscript"/>
        </w:rPr>
        <w:footnoteReference w:id="8"/>
      </w:r>
      <w:r w:rsidRPr="00EB7B5F">
        <w:rPr>
          <w:rFonts w:ascii="Garamond" w:hAnsi="Garamond"/>
        </w:rPr>
        <w:t xml:space="preserve"> Where found to be safe and effective they may also have the potential to reduce pain and suffering associated with many conditions, whilst </w:t>
      </w:r>
      <w:r w:rsidR="00E07435" w:rsidRPr="00EB7B5F">
        <w:rPr>
          <w:rFonts w:ascii="Garamond" w:hAnsi="Garamond"/>
        </w:rPr>
        <w:t>simultaneously</w:t>
      </w:r>
      <w:r w:rsidRPr="00EB7B5F">
        <w:rPr>
          <w:rFonts w:ascii="Garamond" w:hAnsi="Garamond"/>
        </w:rPr>
        <w:t xml:space="preserve"> releasing patients from the serious side effects associated with  conventional treatments.</w:t>
      </w:r>
      <w:r w:rsidRPr="00EB7B5F">
        <w:rPr>
          <w:rFonts w:ascii="Garamond" w:hAnsi="Garamond"/>
          <w:vertAlign w:val="superscript"/>
        </w:rPr>
        <w:footnoteReference w:id="9"/>
      </w:r>
      <w:r w:rsidRPr="00EB7B5F">
        <w:rPr>
          <w:rFonts w:ascii="Garamond" w:hAnsi="Garamond"/>
        </w:rPr>
        <w:t xml:space="preserve"> </w:t>
      </w:r>
      <w:r w:rsidR="00895793" w:rsidRPr="00EB7B5F">
        <w:rPr>
          <w:rFonts w:ascii="Garamond" w:hAnsi="Garamond"/>
        </w:rPr>
        <w:t xml:space="preserve">There have been indications from other jurisdictions that </w:t>
      </w:r>
      <w:r w:rsidR="00895793" w:rsidRPr="00EB7B5F">
        <w:rPr>
          <w:rFonts w:ascii="Garamond" w:hAnsi="Garamond"/>
        </w:rPr>
        <w:lastRenderedPageBreak/>
        <w:t xml:space="preserve">legalisation of cannabis use (medicinal </w:t>
      </w:r>
      <w:r w:rsidR="00895793" w:rsidRPr="00EB7B5F">
        <w:rPr>
          <w:rFonts w:ascii="Garamond" w:hAnsi="Garamond"/>
          <w:i/>
          <w:iCs/>
        </w:rPr>
        <w:t>or</w:t>
      </w:r>
      <w:r w:rsidR="00895793" w:rsidRPr="00EB7B5F">
        <w:rPr>
          <w:rFonts w:ascii="Garamond" w:hAnsi="Garamond"/>
        </w:rPr>
        <w:t xml:space="preserve"> recreational) was followed by a reduction in morbidity related to opioid use.</w:t>
      </w:r>
      <w:r w:rsidR="00895793" w:rsidRPr="00EB7B5F">
        <w:rPr>
          <w:rFonts w:ascii="Garamond" w:hAnsi="Garamond"/>
          <w:vertAlign w:val="superscript"/>
        </w:rPr>
        <w:footnoteReference w:id="10"/>
      </w:r>
      <w:r w:rsidR="00895793" w:rsidRPr="00EB7B5F">
        <w:rPr>
          <w:rFonts w:ascii="Garamond" w:hAnsi="Garamond"/>
        </w:rPr>
        <w:t xml:space="preserve"> </w:t>
      </w:r>
      <w:r w:rsidRPr="00EB7B5F">
        <w:rPr>
          <w:rFonts w:ascii="Garamond" w:hAnsi="Garamond"/>
        </w:rPr>
        <w:t>In addition to direct quality of life improvements for many patients and their families</w:t>
      </w:r>
      <w:r w:rsidR="00895793" w:rsidRPr="00EB7B5F">
        <w:rPr>
          <w:rFonts w:ascii="Garamond" w:hAnsi="Garamond"/>
        </w:rPr>
        <w:t>,</w:t>
      </w:r>
      <w:r w:rsidRPr="00EB7B5F">
        <w:rPr>
          <w:rFonts w:ascii="Garamond" w:hAnsi="Garamond"/>
        </w:rPr>
        <w:t xml:space="preserve"> it is </w:t>
      </w:r>
      <w:r w:rsidR="0009639E" w:rsidRPr="00EB7B5F">
        <w:rPr>
          <w:rFonts w:ascii="Garamond" w:hAnsi="Garamond"/>
        </w:rPr>
        <w:t>entirely plausible</w:t>
      </w:r>
      <w:r w:rsidRPr="00EB7B5F">
        <w:rPr>
          <w:rFonts w:ascii="Garamond" w:hAnsi="Garamond"/>
        </w:rPr>
        <w:t xml:space="preserve"> that</w:t>
      </w:r>
      <w:r w:rsidR="00D04AA8" w:rsidRPr="00EB7B5F">
        <w:rPr>
          <w:rFonts w:ascii="Garamond" w:hAnsi="Garamond"/>
        </w:rPr>
        <w:t>,</w:t>
      </w:r>
      <w:r w:rsidRPr="00EB7B5F">
        <w:rPr>
          <w:rFonts w:ascii="Garamond" w:hAnsi="Garamond"/>
        </w:rPr>
        <w:t xml:space="preserve"> in time, conversion to medicinal cannabis could have cost savings for an over-stretched and under-resourced National Health Service (NHS).</w:t>
      </w:r>
      <w:r w:rsidRPr="00EB7B5F">
        <w:rPr>
          <w:rFonts w:ascii="Garamond" w:hAnsi="Garamond"/>
          <w:vertAlign w:val="superscript"/>
        </w:rPr>
        <w:footnoteReference w:id="11"/>
      </w:r>
      <w:r w:rsidRPr="00EB7B5F">
        <w:rPr>
          <w:rFonts w:ascii="Garamond" w:hAnsi="Garamond"/>
        </w:rPr>
        <w:t xml:space="preserve"> These savings could take the form of reduced prescriptions of other expensive therapies</w:t>
      </w:r>
      <w:r w:rsidRPr="00EB7B5F">
        <w:rPr>
          <w:rFonts w:ascii="Garamond" w:hAnsi="Garamond"/>
          <w:vertAlign w:val="superscript"/>
        </w:rPr>
        <w:footnoteReference w:id="12"/>
      </w:r>
      <w:r w:rsidRPr="00EB7B5F">
        <w:rPr>
          <w:rFonts w:ascii="Garamond" w:hAnsi="Garamond"/>
        </w:rPr>
        <w:t xml:space="preserve"> and reduced hospitalisation of patients with chronic conditions.   </w:t>
      </w:r>
    </w:p>
    <w:p w14:paraId="2E5DB671" w14:textId="145BECA6" w:rsidR="00BD1892" w:rsidRPr="00EB7B5F" w:rsidRDefault="00DC780F" w:rsidP="00DC780F">
      <w:pPr>
        <w:spacing w:line="480" w:lineRule="auto"/>
        <w:jc w:val="center"/>
        <w:rPr>
          <w:rFonts w:ascii="Garamond" w:hAnsi="Garamond"/>
          <w:b/>
          <w:bCs/>
        </w:rPr>
      </w:pPr>
      <w:r w:rsidRPr="00EB7B5F">
        <w:rPr>
          <w:rFonts w:ascii="Garamond" w:hAnsi="Garamond"/>
          <w:b/>
          <w:bCs/>
        </w:rPr>
        <w:t>II. A TWO-TIER SYSTEM?</w:t>
      </w:r>
    </w:p>
    <w:p w14:paraId="19241F19" w14:textId="1B53950F" w:rsidR="00BD1892" w:rsidRPr="00EB7B5F" w:rsidRDefault="00BD1892" w:rsidP="00A55C75">
      <w:pPr>
        <w:spacing w:line="480" w:lineRule="auto"/>
        <w:jc w:val="both"/>
        <w:rPr>
          <w:rFonts w:ascii="Garamond" w:hAnsi="Garamond"/>
        </w:rPr>
      </w:pPr>
      <w:r w:rsidRPr="00EB7B5F">
        <w:rPr>
          <w:rFonts w:ascii="Garamond" w:hAnsi="Garamond"/>
        </w:rPr>
        <w:t>Despite legalisation, many patients who could potentially benefit from cannabis products have been unable to access these drugs, whether through the NHS or privately. It appears that a two-tier system is in operation, with access being determined</w:t>
      </w:r>
      <w:r w:rsidR="009E2046" w:rsidRPr="00EB7B5F">
        <w:rPr>
          <w:rFonts w:ascii="Garamond" w:hAnsi="Garamond"/>
        </w:rPr>
        <w:t xml:space="preserve"> </w:t>
      </w:r>
      <w:r w:rsidRPr="00EB7B5F">
        <w:rPr>
          <w:rFonts w:ascii="Garamond" w:hAnsi="Garamond"/>
        </w:rPr>
        <w:t xml:space="preserve">by ability to pay. At the time of writing it is thought that there have been around </w:t>
      </w:r>
      <w:r w:rsidR="00274826" w:rsidRPr="00EB7B5F">
        <w:rPr>
          <w:rFonts w:ascii="Garamond" w:hAnsi="Garamond"/>
        </w:rPr>
        <w:t>20</w:t>
      </w:r>
      <w:r w:rsidRPr="00EB7B5F">
        <w:rPr>
          <w:rFonts w:ascii="Garamond" w:hAnsi="Garamond"/>
        </w:rPr>
        <w:t xml:space="preserve"> prescriptions for medicinal cannabis in the UK </w:t>
      </w:r>
      <w:r w:rsidR="00274826" w:rsidRPr="00EB7B5F">
        <w:rPr>
          <w:rFonts w:ascii="Garamond" w:hAnsi="Garamond"/>
        </w:rPr>
        <w:t xml:space="preserve">on the NHS </w:t>
      </w:r>
      <w:r w:rsidRPr="00EB7B5F">
        <w:rPr>
          <w:rFonts w:ascii="Garamond" w:hAnsi="Garamond"/>
        </w:rPr>
        <w:t>since legalisation in November 2018.</w:t>
      </w:r>
      <w:r w:rsidRPr="00EB7B5F">
        <w:rPr>
          <w:rFonts w:ascii="Garamond" w:hAnsi="Garamond"/>
          <w:vertAlign w:val="superscript"/>
        </w:rPr>
        <w:footnoteReference w:id="13"/>
      </w:r>
      <w:r w:rsidRPr="00EB7B5F">
        <w:rPr>
          <w:rFonts w:ascii="Garamond" w:hAnsi="Garamond"/>
        </w:rPr>
        <w:t xml:space="preserve"> Even then, prescription rates in the private sector are extremely low, and </w:t>
      </w:r>
      <w:r w:rsidR="00E07435" w:rsidRPr="00EB7B5F">
        <w:rPr>
          <w:rFonts w:ascii="Garamond" w:hAnsi="Garamond"/>
        </w:rPr>
        <w:t xml:space="preserve">the cost remains prohibitive, with </w:t>
      </w:r>
      <w:r w:rsidRPr="00EB7B5F">
        <w:rPr>
          <w:rFonts w:ascii="Garamond" w:hAnsi="Garamond"/>
        </w:rPr>
        <w:t>a number of the families concerned fac</w:t>
      </w:r>
      <w:r w:rsidR="00E07435" w:rsidRPr="00EB7B5F">
        <w:rPr>
          <w:rFonts w:ascii="Garamond" w:hAnsi="Garamond"/>
        </w:rPr>
        <w:t>ing</w:t>
      </w:r>
      <w:r w:rsidRPr="00EB7B5F">
        <w:rPr>
          <w:rFonts w:ascii="Garamond" w:hAnsi="Garamond"/>
        </w:rPr>
        <w:t xml:space="preserve"> financial hardship to provide a life-changing drug at a cost of £800 to £1500 per month for their loved ones. </w:t>
      </w:r>
    </w:p>
    <w:p w14:paraId="3E4543B6" w14:textId="31F303E7" w:rsidR="00F0672E" w:rsidRPr="00EB7B5F" w:rsidRDefault="005F466B" w:rsidP="00A55C75">
      <w:pPr>
        <w:spacing w:line="480" w:lineRule="auto"/>
        <w:jc w:val="both"/>
        <w:rPr>
          <w:rFonts w:ascii="Garamond" w:hAnsi="Garamond"/>
        </w:rPr>
      </w:pPr>
      <w:r w:rsidRPr="00EB7B5F">
        <w:rPr>
          <w:rFonts w:ascii="Garamond" w:hAnsi="Garamond"/>
        </w:rPr>
        <w:t>S</w:t>
      </w:r>
      <w:r w:rsidR="00C53363" w:rsidRPr="00EB7B5F">
        <w:rPr>
          <w:rFonts w:ascii="Garamond" w:hAnsi="Garamond"/>
        </w:rPr>
        <w:t xml:space="preserve">o why are doctors not prescribing?  </w:t>
      </w:r>
      <w:r w:rsidR="00607716" w:rsidRPr="00EB7B5F">
        <w:rPr>
          <w:rFonts w:ascii="Garamond" w:hAnsi="Garamond"/>
        </w:rPr>
        <w:t>A number of factors c</w:t>
      </w:r>
      <w:r w:rsidR="00B9595D" w:rsidRPr="00EB7B5F">
        <w:rPr>
          <w:rFonts w:ascii="Garamond" w:hAnsi="Garamond"/>
        </w:rPr>
        <w:t>ollectively impede access to medicinal cannabis;</w:t>
      </w:r>
      <w:r w:rsidR="00413C1C" w:rsidRPr="00EB7B5F">
        <w:rPr>
          <w:rFonts w:ascii="Garamond" w:hAnsi="Garamond"/>
        </w:rPr>
        <w:t xml:space="preserve"> </w:t>
      </w:r>
      <w:r w:rsidR="00F0672E" w:rsidRPr="00EB7B5F">
        <w:rPr>
          <w:rFonts w:ascii="Garamond" w:hAnsi="Garamond"/>
        </w:rPr>
        <w:t>the</w:t>
      </w:r>
      <w:r w:rsidR="00413C1C" w:rsidRPr="00EB7B5F">
        <w:rPr>
          <w:rFonts w:ascii="Garamond" w:hAnsi="Garamond"/>
        </w:rPr>
        <w:t xml:space="preserve"> relative absence of good quality, randomised controlled trial data</w:t>
      </w:r>
      <w:r w:rsidR="00413C1C" w:rsidRPr="00EB7B5F">
        <w:rPr>
          <w:rStyle w:val="FootnoteReference"/>
          <w:rFonts w:ascii="Garamond" w:hAnsi="Garamond"/>
        </w:rPr>
        <w:footnoteReference w:id="14"/>
      </w:r>
      <w:r w:rsidR="00413C1C" w:rsidRPr="00EB7B5F">
        <w:rPr>
          <w:rFonts w:ascii="Garamond" w:hAnsi="Garamond"/>
        </w:rPr>
        <w:t>,</w:t>
      </w:r>
      <w:r w:rsidR="00F0672E" w:rsidRPr="00EB7B5F">
        <w:rPr>
          <w:rFonts w:ascii="Garamond" w:hAnsi="Garamond"/>
        </w:rPr>
        <w:t xml:space="preserve"> the </w:t>
      </w:r>
      <w:r w:rsidR="00EF316C" w:rsidRPr="00EB7B5F">
        <w:rPr>
          <w:rFonts w:ascii="Garamond" w:hAnsi="Garamond"/>
        </w:rPr>
        <w:t>narrowly drawn practice</w:t>
      </w:r>
      <w:r w:rsidR="00F0672E" w:rsidRPr="00EB7B5F">
        <w:rPr>
          <w:rFonts w:ascii="Garamond" w:hAnsi="Garamond"/>
        </w:rPr>
        <w:t xml:space="preserve"> guid</w:t>
      </w:r>
      <w:r w:rsidR="00EF316C" w:rsidRPr="00EB7B5F">
        <w:rPr>
          <w:rFonts w:ascii="Garamond" w:hAnsi="Garamond"/>
        </w:rPr>
        <w:t>ance</w:t>
      </w:r>
      <w:r w:rsidR="00F0672E" w:rsidRPr="00EB7B5F">
        <w:rPr>
          <w:rFonts w:ascii="Garamond" w:hAnsi="Garamond"/>
        </w:rPr>
        <w:t xml:space="preserve">, </w:t>
      </w:r>
      <w:r w:rsidR="00B9595D" w:rsidRPr="00EB7B5F">
        <w:rPr>
          <w:rFonts w:ascii="Garamond" w:hAnsi="Garamond"/>
        </w:rPr>
        <w:t>uneven</w:t>
      </w:r>
      <w:r w:rsidR="00607716" w:rsidRPr="00EB7B5F">
        <w:rPr>
          <w:rFonts w:ascii="Garamond" w:hAnsi="Garamond"/>
        </w:rPr>
        <w:t xml:space="preserve"> </w:t>
      </w:r>
      <w:r w:rsidR="00F0672E" w:rsidRPr="00EB7B5F">
        <w:rPr>
          <w:rFonts w:ascii="Garamond" w:hAnsi="Garamond"/>
        </w:rPr>
        <w:t xml:space="preserve">distribution of knowledge relating to cannabis products and their effects </w:t>
      </w:r>
      <w:r w:rsidR="00607716" w:rsidRPr="00EB7B5F">
        <w:rPr>
          <w:rFonts w:ascii="Garamond" w:hAnsi="Garamond"/>
        </w:rPr>
        <w:t>(the endocannabinoid system is not currently taught on many medical school curricula)</w:t>
      </w:r>
      <w:r w:rsidR="00F0672E" w:rsidRPr="00EB7B5F">
        <w:rPr>
          <w:rFonts w:ascii="Garamond" w:hAnsi="Garamond"/>
        </w:rPr>
        <w:t>, stigma</w:t>
      </w:r>
      <w:r w:rsidR="001B3634" w:rsidRPr="00EB7B5F">
        <w:rPr>
          <w:rFonts w:ascii="Garamond" w:hAnsi="Garamond"/>
        </w:rPr>
        <w:t xml:space="preserve"> </w:t>
      </w:r>
      <w:r w:rsidR="006D3FC5" w:rsidRPr="00EB7B5F">
        <w:rPr>
          <w:rFonts w:ascii="Garamond" w:hAnsi="Garamond"/>
        </w:rPr>
        <w:t xml:space="preserve">surrounding these drugs </w:t>
      </w:r>
      <w:r w:rsidR="001B3634" w:rsidRPr="00EB7B5F">
        <w:rPr>
          <w:rFonts w:ascii="Garamond" w:hAnsi="Garamond"/>
        </w:rPr>
        <w:t>and</w:t>
      </w:r>
      <w:r w:rsidR="00F0672E" w:rsidRPr="00EB7B5F">
        <w:rPr>
          <w:rFonts w:ascii="Garamond" w:hAnsi="Garamond"/>
        </w:rPr>
        <w:t xml:space="preserve"> medico-legal defensiveness amongst doctors</w:t>
      </w:r>
      <w:r w:rsidR="006D3FC5" w:rsidRPr="00EB7B5F">
        <w:rPr>
          <w:rFonts w:ascii="Garamond" w:hAnsi="Garamond"/>
        </w:rPr>
        <w:t>,</w:t>
      </w:r>
      <w:r w:rsidR="00AE247C" w:rsidRPr="00EB7B5F">
        <w:rPr>
          <w:rFonts w:ascii="Garamond" w:hAnsi="Garamond"/>
        </w:rPr>
        <w:t xml:space="preserve"> compounded by</w:t>
      </w:r>
      <w:r w:rsidR="00F0672E" w:rsidRPr="00EB7B5F">
        <w:rPr>
          <w:rFonts w:ascii="Garamond" w:hAnsi="Garamond"/>
        </w:rPr>
        <w:t xml:space="preserve"> uncertainty about the</w:t>
      </w:r>
      <w:r w:rsidR="003C76B2" w:rsidRPr="00EB7B5F">
        <w:rPr>
          <w:rFonts w:ascii="Garamond" w:hAnsi="Garamond"/>
        </w:rPr>
        <w:t>ir</w:t>
      </w:r>
      <w:r w:rsidR="00F0672E" w:rsidRPr="00EB7B5F">
        <w:rPr>
          <w:rFonts w:ascii="Garamond" w:hAnsi="Garamond"/>
        </w:rPr>
        <w:t xml:space="preserve"> </w:t>
      </w:r>
      <w:r w:rsidR="00F0672E" w:rsidRPr="00EB7B5F">
        <w:rPr>
          <w:rFonts w:ascii="Garamond" w:hAnsi="Garamond"/>
        </w:rPr>
        <w:lastRenderedPageBreak/>
        <w:t xml:space="preserve">indemnity position. In addition to these constraints, the administrative burdens </w:t>
      </w:r>
      <w:r w:rsidR="006D3FC5" w:rsidRPr="00EB7B5F">
        <w:rPr>
          <w:rFonts w:ascii="Garamond" w:hAnsi="Garamond"/>
        </w:rPr>
        <w:t>for a doctor</w:t>
      </w:r>
      <w:r w:rsidR="00F0672E" w:rsidRPr="00EB7B5F">
        <w:rPr>
          <w:rFonts w:ascii="Garamond" w:hAnsi="Garamond"/>
        </w:rPr>
        <w:t xml:space="preserve"> arranging a prescription are extremely daunting. </w:t>
      </w:r>
      <w:r w:rsidR="00AE247C" w:rsidRPr="00EB7B5F">
        <w:rPr>
          <w:rFonts w:ascii="Garamond" w:hAnsi="Garamond"/>
        </w:rPr>
        <w:t>As things stand, despite the UK being one of the world’s largest exporters of cannabis for medical use</w:t>
      </w:r>
      <w:r w:rsidR="003C7A06" w:rsidRPr="00EB7B5F">
        <w:rPr>
          <w:rFonts w:ascii="Garamond" w:hAnsi="Garamond"/>
        </w:rPr>
        <w:t>,</w:t>
      </w:r>
      <w:r w:rsidR="00F646B0" w:rsidRPr="00EB7B5F">
        <w:rPr>
          <w:rStyle w:val="FootnoteReference"/>
          <w:rFonts w:ascii="Garamond" w:hAnsi="Garamond"/>
        </w:rPr>
        <w:footnoteReference w:id="15"/>
      </w:r>
      <w:r w:rsidR="00AE247C" w:rsidRPr="00EB7B5F">
        <w:rPr>
          <w:rFonts w:ascii="Garamond" w:hAnsi="Garamond"/>
        </w:rPr>
        <w:t xml:space="preserve"> </w:t>
      </w:r>
      <w:r w:rsidR="0013070A" w:rsidRPr="00EB7B5F">
        <w:rPr>
          <w:rFonts w:ascii="Garamond" w:hAnsi="Garamond"/>
        </w:rPr>
        <w:t>u</w:t>
      </w:r>
      <w:r w:rsidR="00D411C1" w:rsidRPr="00EB7B5F">
        <w:rPr>
          <w:rFonts w:ascii="Garamond" w:hAnsi="Garamond"/>
        </w:rPr>
        <w:t xml:space="preserve">nlicensed </w:t>
      </w:r>
      <w:r w:rsidR="00573AEA" w:rsidRPr="00EB7B5F">
        <w:rPr>
          <w:rFonts w:ascii="Garamond" w:hAnsi="Garamond"/>
        </w:rPr>
        <w:t>CP</w:t>
      </w:r>
      <w:r w:rsidR="006D3FC5" w:rsidRPr="00EB7B5F">
        <w:rPr>
          <w:rFonts w:ascii="Garamond" w:hAnsi="Garamond"/>
        </w:rPr>
        <w:t>M</w:t>
      </w:r>
      <w:r w:rsidR="00573AEA" w:rsidRPr="00EB7B5F">
        <w:rPr>
          <w:rFonts w:ascii="Garamond" w:hAnsi="Garamond"/>
        </w:rPr>
        <w:t>s</w:t>
      </w:r>
      <w:r w:rsidR="008826C1" w:rsidRPr="00EB7B5F">
        <w:rPr>
          <w:rFonts w:ascii="Garamond" w:hAnsi="Garamond"/>
        </w:rPr>
        <w:t xml:space="preserve"> fall under the M</w:t>
      </w:r>
      <w:r w:rsidR="00F17F71" w:rsidRPr="00EB7B5F">
        <w:rPr>
          <w:rFonts w:ascii="Garamond" w:hAnsi="Garamond"/>
        </w:rPr>
        <w:t>edicine and Healthcare Products Regulatory Agency’s (M</w:t>
      </w:r>
      <w:r w:rsidR="008826C1" w:rsidRPr="00EB7B5F">
        <w:rPr>
          <w:rFonts w:ascii="Garamond" w:hAnsi="Garamond"/>
        </w:rPr>
        <w:t>HRA</w:t>
      </w:r>
      <w:r w:rsidR="00F17F71" w:rsidRPr="00EB7B5F">
        <w:rPr>
          <w:rFonts w:ascii="Garamond" w:hAnsi="Garamond"/>
        </w:rPr>
        <w:t>)</w:t>
      </w:r>
      <w:r w:rsidR="008826C1" w:rsidRPr="00EB7B5F">
        <w:rPr>
          <w:rFonts w:ascii="Garamond" w:hAnsi="Garamond"/>
        </w:rPr>
        <w:t xml:space="preserve"> ‘specials’ regime</w:t>
      </w:r>
      <w:r w:rsidR="00FC3CCA" w:rsidRPr="00EB7B5F">
        <w:rPr>
          <w:rFonts w:ascii="Garamond" w:hAnsi="Garamond"/>
        </w:rPr>
        <w:t>.</w:t>
      </w:r>
      <w:r w:rsidR="008826C1" w:rsidRPr="00EB7B5F">
        <w:rPr>
          <w:rStyle w:val="FootnoteReference"/>
          <w:rFonts w:ascii="Garamond" w:hAnsi="Garamond"/>
        </w:rPr>
        <w:footnoteReference w:id="16"/>
      </w:r>
      <w:r w:rsidR="00FC3CCA" w:rsidRPr="00EB7B5F">
        <w:rPr>
          <w:rFonts w:ascii="Garamond" w:hAnsi="Garamond"/>
        </w:rPr>
        <w:t xml:space="preserve"> A</w:t>
      </w:r>
      <w:r w:rsidR="008826C1" w:rsidRPr="00EB7B5F">
        <w:rPr>
          <w:rFonts w:ascii="Garamond" w:hAnsi="Garamond"/>
        </w:rPr>
        <w:t>ccordingly</w:t>
      </w:r>
      <w:r w:rsidR="00A14649" w:rsidRPr="00EB7B5F">
        <w:rPr>
          <w:rFonts w:ascii="Garamond" w:hAnsi="Garamond"/>
        </w:rPr>
        <w:t>,</w:t>
      </w:r>
      <w:r w:rsidR="008826C1" w:rsidRPr="00EB7B5F">
        <w:rPr>
          <w:rFonts w:ascii="Garamond" w:hAnsi="Garamond"/>
        </w:rPr>
        <w:t xml:space="preserve"> </w:t>
      </w:r>
      <w:r w:rsidR="003C76B2" w:rsidRPr="00EB7B5F">
        <w:rPr>
          <w:rFonts w:ascii="Garamond" w:hAnsi="Garamond"/>
        </w:rPr>
        <w:t xml:space="preserve">these </w:t>
      </w:r>
      <w:r w:rsidR="00AE247C" w:rsidRPr="00EB7B5F">
        <w:rPr>
          <w:rFonts w:ascii="Garamond" w:hAnsi="Garamond"/>
        </w:rPr>
        <w:t>products can only be imported on a</w:t>
      </w:r>
      <w:r w:rsidR="00A14649" w:rsidRPr="00EB7B5F">
        <w:rPr>
          <w:rFonts w:ascii="Garamond" w:hAnsi="Garamond"/>
        </w:rPr>
        <w:t xml:space="preserve"> </w:t>
      </w:r>
      <w:r w:rsidR="00BE63F8" w:rsidRPr="00EB7B5F">
        <w:rPr>
          <w:rFonts w:ascii="Garamond" w:hAnsi="Garamond"/>
        </w:rPr>
        <w:t>‘</w:t>
      </w:r>
      <w:r w:rsidR="00A14649" w:rsidRPr="00EB7B5F">
        <w:rPr>
          <w:rFonts w:ascii="Garamond" w:hAnsi="Garamond"/>
        </w:rPr>
        <w:t>patient by patient</w:t>
      </w:r>
      <w:r w:rsidR="00AE247C" w:rsidRPr="00EB7B5F">
        <w:rPr>
          <w:rFonts w:ascii="Garamond" w:hAnsi="Garamond"/>
        </w:rPr>
        <w:t xml:space="preserve"> basis’ and subject to a number of other strict regulatory requirements.</w:t>
      </w:r>
      <w:r w:rsidR="008826C1" w:rsidRPr="00EB7B5F">
        <w:rPr>
          <w:rStyle w:val="FootnoteReference"/>
          <w:rFonts w:ascii="Garamond" w:hAnsi="Garamond"/>
        </w:rPr>
        <w:footnoteReference w:id="17"/>
      </w:r>
      <w:r w:rsidR="008826C1" w:rsidRPr="00EB7B5F">
        <w:rPr>
          <w:rFonts w:ascii="Garamond" w:hAnsi="Garamond"/>
        </w:rPr>
        <w:t xml:space="preserve"> </w:t>
      </w:r>
      <w:r w:rsidR="00AE247C" w:rsidRPr="00EB7B5F">
        <w:rPr>
          <w:rFonts w:ascii="Garamond" w:hAnsi="Garamond"/>
        </w:rPr>
        <w:t>E</w:t>
      </w:r>
      <w:r w:rsidR="00F0672E" w:rsidRPr="00EB7B5F">
        <w:rPr>
          <w:rFonts w:ascii="Garamond" w:hAnsi="Garamond"/>
        </w:rPr>
        <w:t>ach new prescription requires a special Home Office licence</w:t>
      </w:r>
      <w:r w:rsidR="00415091" w:rsidRPr="00EB7B5F">
        <w:rPr>
          <w:rStyle w:val="FootnoteReference"/>
          <w:rFonts w:ascii="Garamond" w:hAnsi="Garamond"/>
        </w:rPr>
        <w:footnoteReference w:id="18"/>
      </w:r>
      <w:r w:rsidR="00F0672E" w:rsidRPr="00EB7B5F">
        <w:rPr>
          <w:rFonts w:ascii="Garamond" w:hAnsi="Garamond"/>
        </w:rPr>
        <w:t xml:space="preserve"> to import the product from an EU G</w:t>
      </w:r>
      <w:r w:rsidR="003C7A06" w:rsidRPr="00EB7B5F">
        <w:rPr>
          <w:rFonts w:ascii="Garamond" w:hAnsi="Garamond"/>
        </w:rPr>
        <w:t xml:space="preserve">ood </w:t>
      </w:r>
      <w:r w:rsidR="00F0672E" w:rsidRPr="00EB7B5F">
        <w:rPr>
          <w:rFonts w:ascii="Garamond" w:hAnsi="Garamond"/>
        </w:rPr>
        <w:t>M</w:t>
      </w:r>
      <w:r w:rsidR="003C7A06" w:rsidRPr="00EB7B5F">
        <w:rPr>
          <w:rFonts w:ascii="Garamond" w:hAnsi="Garamond"/>
        </w:rPr>
        <w:t xml:space="preserve">edical </w:t>
      </w:r>
      <w:r w:rsidR="00F0672E" w:rsidRPr="00EB7B5F">
        <w:rPr>
          <w:rFonts w:ascii="Garamond" w:hAnsi="Garamond"/>
        </w:rPr>
        <w:t>P</w:t>
      </w:r>
      <w:r w:rsidR="003C7A06" w:rsidRPr="00EB7B5F">
        <w:rPr>
          <w:rFonts w:ascii="Garamond" w:hAnsi="Garamond"/>
        </w:rPr>
        <w:t>ractice</w:t>
      </w:r>
      <w:r w:rsidR="00F0672E" w:rsidRPr="00EB7B5F">
        <w:rPr>
          <w:rFonts w:ascii="Garamond" w:hAnsi="Garamond"/>
        </w:rPr>
        <w:t xml:space="preserve"> approved supplier</w:t>
      </w:r>
      <w:r w:rsidR="00895793" w:rsidRPr="00EB7B5F">
        <w:rPr>
          <w:rFonts w:ascii="Garamond" w:hAnsi="Garamond"/>
        </w:rPr>
        <w:t>,</w:t>
      </w:r>
      <w:r w:rsidR="00415091" w:rsidRPr="00EB7B5F">
        <w:rPr>
          <w:rFonts w:ascii="Garamond" w:hAnsi="Garamond"/>
        </w:rPr>
        <w:t xml:space="preserve"> and this </w:t>
      </w:r>
      <w:r w:rsidR="006D3FC5" w:rsidRPr="00EB7B5F">
        <w:rPr>
          <w:rFonts w:ascii="Garamond" w:hAnsi="Garamond"/>
        </w:rPr>
        <w:t xml:space="preserve">adds </w:t>
      </w:r>
      <w:r w:rsidR="00415091" w:rsidRPr="00EB7B5F">
        <w:rPr>
          <w:rFonts w:ascii="Garamond" w:hAnsi="Garamond"/>
        </w:rPr>
        <w:t xml:space="preserve">a significant </w:t>
      </w:r>
      <w:r w:rsidR="006D3FC5" w:rsidRPr="00EB7B5F">
        <w:rPr>
          <w:rFonts w:ascii="Garamond" w:hAnsi="Garamond"/>
        </w:rPr>
        <w:t>uplift</w:t>
      </w:r>
      <w:r w:rsidR="00415091" w:rsidRPr="00EB7B5F">
        <w:rPr>
          <w:rFonts w:ascii="Garamond" w:hAnsi="Garamond"/>
        </w:rPr>
        <w:t xml:space="preserve"> </w:t>
      </w:r>
      <w:r w:rsidR="006D3FC5" w:rsidRPr="00EB7B5F">
        <w:rPr>
          <w:rFonts w:ascii="Garamond" w:hAnsi="Garamond"/>
        </w:rPr>
        <w:t>to</w:t>
      </w:r>
      <w:r w:rsidR="00415091" w:rsidRPr="00EB7B5F">
        <w:rPr>
          <w:rFonts w:ascii="Garamond" w:hAnsi="Garamond"/>
        </w:rPr>
        <w:t xml:space="preserve"> the cost</w:t>
      </w:r>
      <w:r w:rsidR="00F0672E" w:rsidRPr="00EB7B5F">
        <w:rPr>
          <w:rFonts w:ascii="Garamond" w:hAnsi="Garamond"/>
        </w:rPr>
        <w:t xml:space="preserve">.  </w:t>
      </w:r>
    </w:p>
    <w:p w14:paraId="02436966" w14:textId="5CEA2537" w:rsidR="00F0672E" w:rsidRPr="00EB7B5F" w:rsidRDefault="00BE63F8" w:rsidP="00A55C75">
      <w:pPr>
        <w:spacing w:line="480" w:lineRule="auto"/>
        <w:jc w:val="both"/>
        <w:rPr>
          <w:rFonts w:ascii="Garamond" w:hAnsi="Garamond"/>
        </w:rPr>
      </w:pPr>
      <w:r w:rsidRPr="00EB7B5F">
        <w:rPr>
          <w:rFonts w:ascii="Garamond" w:hAnsi="Garamond"/>
        </w:rPr>
        <w:t>Medical societies have cautioned against prescribing whilst the legalisation of randomised controlled trials is exploited, but it could take years for the anticipated high</w:t>
      </w:r>
      <w:r w:rsidR="00BD1892" w:rsidRPr="00EB7B5F">
        <w:rPr>
          <w:rFonts w:ascii="Garamond" w:hAnsi="Garamond"/>
        </w:rPr>
        <w:t>-</w:t>
      </w:r>
      <w:r w:rsidRPr="00EB7B5F">
        <w:rPr>
          <w:rFonts w:ascii="Garamond" w:hAnsi="Garamond"/>
        </w:rPr>
        <w:t xml:space="preserve">quality data to emerge. </w:t>
      </w:r>
      <w:r w:rsidR="00F540C0" w:rsidRPr="00EB7B5F">
        <w:rPr>
          <w:rFonts w:ascii="Garamond" w:hAnsi="Garamond"/>
        </w:rPr>
        <w:t>I</w:t>
      </w:r>
      <w:r w:rsidR="00573AEA" w:rsidRPr="00EB7B5F">
        <w:rPr>
          <w:rFonts w:ascii="Garamond" w:hAnsi="Garamond"/>
        </w:rPr>
        <w:t>n the meantime, i</w:t>
      </w:r>
      <w:r w:rsidR="00F540C0" w:rsidRPr="00EB7B5F">
        <w:rPr>
          <w:rFonts w:ascii="Garamond" w:hAnsi="Garamond"/>
        </w:rPr>
        <w:t>n</w:t>
      </w:r>
      <w:r w:rsidR="00BD1892" w:rsidRPr="00EB7B5F">
        <w:rPr>
          <w:rFonts w:ascii="Garamond" w:hAnsi="Garamond"/>
        </w:rPr>
        <w:t>novative</w:t>
      </w:r>
      <w:r w:rsidR="00F540C0" w:rsidRPr="00EB7B5F">
        <w:rPr>
          <w:rFonts w:ascii="Garamond" w:hAnsi="Garamond"/>
        </w:rPr>
        <w:t xml:space="preserve"> prescribing </w:t>
      </w:r>
      <w:r w:rsidR="00BD1892" w:rsidRPr="00EB7B5F">
        <w:rPr>
          <w:rFonts w:ascii="Garamond" w:hAnsi="Garamond"/>
        </w:rPr>
        <w:t>could be</w:t>
      </w:r>
      <w:r w:rsidR="00F540C0" w:rsidRPr="00EB7B5F">
        <w:rPr>
          <w:rFonts w:ascii="Garamond" w:hAnsi="Garamond"/>
        </w:rPr>
        <w:t xml:space="preserve"> one of the keys to unlocking parts of this sequential puzzle – in</w:t>
      </w:r>
      <w:r w:rsidR="00E776C5" w:rsidRPr="00EB7B5F">
        <w:rPr>
          <w:rFonts w:ascii="Garamond" w:hAnsi="Garamond"/>
        </w:rPr>
        <w:t xml:space="preserve"> time</w:t>
      </w:r>
      <w:r w:rsidR="003B21BF" w:rsidRPr="00EB7B5F">
        <w:rPr>
          <w:rFonts w:ascii="Garamond" w:hAnsi="Garamond"/>
        </w:rPr>
        <w:t xml:space="preserve"> it will</w:t>
      </w:r>
      <w:r w:rsidR="00E776C5" w:rsidRPr="00EB7B5F">
        <w:rPr>
          <w:rFonts w:ascii="Garamond" w:hAnsi="Garamond"/>
        </w:rPr>
        <w:t xml:space="preserve"> help to </w:t>
      </w:r>
      <w:r w:rsidR="00F540C0" w:rsidRPr="00EB7B5F">
        <w:rPr>
          <w:rFonts w:ascii="Garamond" w:hAnsi="Garamond"/>
        </w:rPr>
        <w:t>normalise</w:t>
      </w:r>
      <w:r w:rsidR="00E776C5" w:rsidRPr="00EB7B5F">
        <w:rPr>
          <w:rFonts w:ascii="Garamond" w:hAnsi="Garamond"/>
        </w:rPr>
        <w:t xml:space="preserve"> CP</w:t>
      </w:r>
      <w:r w:rsidR="007C3CCB" w:rsidRPr="00EB7B5F">
        <w:rPr>
          <w:rFonts w:ascii="Garamond" w:hAnsi="Garamond"/>
        </w:rPr>
        <w:t>M</w:t>
      </w:r>
      <w:r w:rsidR="00E776C5" w:rsidRPr="00EB7B5F">
        <w:rPr>
          <w:rFonts w:ascii="Garamond" w:hAnsi="Garamond"/>
        </w:rPr>
        <w:t>s</w:t>
      </w:r>
      <w:r w:rsidR="00EF316C" w:rsidRPr="00EB7B5F">
        <w:rPr>
          <w:rFonts w:ascii="Garamond" w:hAnsi="Garamond"/>
        </w:rPr>
        <w:t xml:space="preserve"> as part of a clinician’s toolbox</w:t>
      </w:r>
      <w:r w:rsidR="00F540C0" w:rsidRPr="00EB7B5F">
        <w:rPr>
          <w:rFonts w:ascii="Garamond" w:hAnsi="Garamond"/>
        </w:rPr>
        <w:t>, reduce stigma</w:t>
      </w:r>
      <w:r w:rsidR="00E776C5" w:rsidRPr="00EB7B5F">
        <w:rPr>
          <w:rFonts w:ascii="Garamond" w:hAnsi="Garamond"/>
        </w:rPr>
        <w:t xml:space="preserve"> for both doctors and their patients</w:t>
      </w:r>
      <w:r w:rsidR="00F540C0" w:rsidRPr="00EB7B5F">
        <w:rPr>
          <w:rFonts w:ascii="Garamond" w:hAnsi="Garamond"/>
        </w:rPr>
        <w:t>, generate  experience which can be shared</w:t>
      </w:r>
      <w:r w:rsidR="00E776C5" w:rsidRPr="00EB7B5F">
        <w:rPr>
          <w:rFonts w:ascii="Garamond" w:hAnsi="Garamond"/>
        </w:rPr>
        <w:t xml:space="preserve"> with other clinicians</w:t>
      </w:r>
      <w:r w:rsidR="00F540C0" w:rsidRPr="00EB7B5F">
        <w:rPr>
          <w:rFonts w:ascii="Garamond" w:hAnsi="Garamond"/>
        </w:rPr>
        <w:t xml:space="preserve"> and produce data which will expand the knowledge base, whilst also assuring industry that there is a UK market worth investing in, consequently bringing down the price</w:t>
      </w:r>
      <w:r w:rsidRPr="00EB7B5F">
        <w:rPr>
          <w:rStyle w:val="FootnoteReference"/>
          <w:rFonts w:ascii="Garamond" w:hAnsi="Garamond"/>
        </w:rPr>
        <w:footnoteReference w:id="19"/>
      </w:r>
      <w:r w:rsidR="00F540C0" w:rsidRPr="00EB7B5F">
        <w:rPr>
          <w:rFonts w:ascii="Garamond" w:hAnsi="Garamond"/>
        </w:rPr>
        <w:t xml:space="preserve">. </w:t>
      </w:r>
      <w:r w:rsidR="00F0672E" w:rsidRPr="00EB7B5F">
        <w:rPr>
          <w:rFonts w:ascii="Garamond" w:hAnsi="Garamond"/>
        </w:rPr>
        <w:t>This commentary will ex</w:t>
      </w:r>
      <w:r w:rsidR="001B3634" w:rsidRPr="00EB7B5F">
        <w:rPr>
          <w:rFonts w:ascii="Garamond" w:hAnsi="Garamond"/>
        </w:rPr>
        <w:t xml:space="preserve">amine some of the </w:t>
      </w:r>
      <w:r w:rsidR="00F0672E" w:rsidRPr="00EB7B5F">
        <w:rPr>
          <w:rFonts w:ascii="Garamond" w:hAnsi="Garamond"/>
        </w:rPr>
        <w:t xml:space="preserve">implications of the </w:t>
      </w:r>
      <w:r w:rsidR="00EF316C" w:rsidRPr="00EB7B5F">
        <w:rPr>
          <w:rFonts w:ascii="Garamond" w:hAnsi="Garamond"/>
        </w:rPr>
        <w:t>recent</w:t>
      </w:r>
      <w:r w:rsidR="007C3CCB" w:rsidRPr="00EB7B5F">
        <w:rPr>
          <w:rFonts w:ascii="Garamond" w:hAnsi="Garamond"/>
        </w:rPr>
        <w:t xml:space="preserve"> National Institute for Health and Care Excellence (NICE)</w:t>
      </w:r>
      <w:r w:rsidR="00F0672E" w:rsidRPr="00EB7B5F">
        <w:rPr>
          <w:rFonts w:ascii="Garamond" w:hAnsi="Garamond"/>
        </w:rPr>
        <w:t xml:space="preserve"> guideline </w:t>
      </w:r>
      <w:r w:rsidR="001B3634" w:rsidRPr="00EB7B5F">
        <w:rPr>
          <w:rFonts w:ascii="Garamond" w:hAnsi="Garamond"/>
        </w:rPr>
        <w:t>within the current regulatory framework</w:t>
      </w:r>
      <w:r w:rsidR="00F540C0" w:rsidRPr="00EB7B5F">
        <w:rPr>
          <w:rFonts w:ascii="Garamond" w:hAnsi="Garamond"/>
        </w:rPr>
        <w:t xml:space="preserve"> and ask to what extent it facilitates that process and indeed encourages innovative prescribing in this field of medicine</w:t>
      </w:r>
      <w:r w:rsidR="001B3634" w:rsidRPr="00EB7B5F">
        <w:rPr>
          <w:rFonts w:ascii="Garamond" w:hAnsi="Garamond"/>
        </w:rPr>
        <w:t xml:space="preserve">. </w:t>
      </w:r>
    </w:p>
    <w:p w14:paraId="49483523" w14:textId="09FC4F81" w:rsidR="00C66A18" w:rsidRPr="00EB7B5F" w:rsidRDefault="00DC780F" w:rsidP="00DC780F">
      <w:pPr>
        <w:spacing w:line="480" w:lineRule="auto"/>
        <w:jc w:val="center"/>
        <w:rPr>
          <w:rFonts w:ascii="Garamond" w:hAnsi="Garamond"/>
          <w:b/>
          <w:bCs/>
        </w:rPr>
      </w:pPr>
      <w:r w:rsidRPr="00EB7B5F">
        <w:rPr>
          <w:rFonts w:ascii="Garamond" w:hAnsi="Garamond"/>
          <w:b/>
          <w:bCs/>
        </w:rPr>
        <w:t>III. NICE GUIDELINE: BALANCING BENEFITS, COSTS, NEED AND INNOVATION?</w:t>
      </w:r>
    </w:p>
    <w:p w14:paraId="41A72A39" w14:textId="77777777" w:rsidR="007C3CCB" w:rsidRPr="00EB7B5F" w:rsidRDefault="007C3CCB" w:rsidP="00A55C75">
      <w:pPr>
        <w:spacing w:line="480" w:lineRule="auto"/>
        <w:jc w:val="both"/>
        <w:rPr>
          <w:rFonts w:ascii="Garamond" w:hAnsi="Garamond"/>
        </w:rPr>
      </w:pPr>
      <w:r w:rsidRPr="00EB7B5F">
        <w:rPr>
          <w:rFonts w:ascii="Garamond" w:hAnsi="Garamond"/>
        </w:rPr>
        <w:t>NICE</w:t>
      </w:r>
      <w:r w:rsidR="00A97027" w:rsidRPr="00EB7B5F">
        <w:rPr>
          <w:rFonts w:ascii="Garamond" w:hAnsi="Garamond"/>
        </w:rPr>
        <w:t xml:space="preserve"> </w:t>
      </w:r>
      <w:r w:rsidR="00C22339" w:rsidRPr="00EB7B5F">
        <w:rPr>
          <w:rFonts w:ascii="Garamond" w:hAnsi="Garamond"/>
        </w:rPr>
        <w:t>issues recommendations on pharmaceutical products based on a rev</w:t>
      </w:r>
      <w:r w:rsidR="00F35FD1" w:rsidRPr="00EB7B5F">
        <w:rPr>
          <w:rFonts w:ascii="Garamond" w:hAnsi="Garamond"/>
        </w:rPr>
        <w:t>i</w:t>
      </w:r>
      <w:r w:rsidR="00C22339" w:rsidRPr="00EB7B5F">
        <w:rPr>
          <w:rFonts w:ascii="Garamond" w:hAnsi="Garamond"/>
        </w:rPr>
        <w:t xml:space="preserve">ew of their safety, efficacy and cost-effectiveness. </w:t>
      </w:r>
      <w:r w:rsidR="00A97027" w:rsidRPr="00EB7B5F">
        <w:rPr>
          <w:rFonts w:ascii="Garamond" w:hAnsi="Garamond"/>
        </w:rPr>
        <w:t xml:space="preserve">In exercising </w:t>
      </w:r>
      <w:r w:rsidR="00C22339" w:rsidRPr="00EB7B5F">
        <w:rPr>
          <w:rFonts w:ascii="Garamond" w:hAnsi="Garamond"/>
        </w:rPr>
        <w:t>this</w:t>
      </w:r>
      <w:r w:rsidR="00A97027" w:rsidRPr="00EB7B5F">
        <w:rPr>
          <w:rFonts w:ascii="Garamond" w:hAnsi="Garamond"/>
        </w:rPr>
        <w:t xml:space="preserve"> function, </w:t>
      </w:r>
      <w:r w:rsidR="00C22339" w:rsidRPr="00EB7B5F">
        <w:rPr>
          <w:rFonts w:ascii="Garamond" w:hAnsi="Garamond"/>
        </w:rPr>
        <w:t xml:space="preserve">it </w:t>
      </w:r>
      <w:r w:rsidR="00A97027" w:rsidRPr="00EB7B5F">
        <w:rPr>
          <w:rFonts w:ascii="Garamond" w:hAnsi="Garamond"/>
        </w:rPr>
        <w:t xml:space="preserve">must ‘have regard to’ </w:t>
      </w:r>
      <w:r w:rsidR="00A97027" w:rsidRPr="00EB7B5F">
        <w:rPr>
          <w:rStyle w:val="legds"/>
          <w:rFonts w:ascii="Garamond" w:hAnsi="Garamond" w:cs="Arial"/>
          <w:color w:val="000000"/>
        </w:rPr>
        <w:t>the broad balance between the benefits and costs of health service</w:t>
      </w:r>
      <w:r w:rsidRPr="00EB7B5F">
        <w:rPr>
          <w:rStyle w:val="legds"/>
          <w:rFonts w:ascii="Garamond" w:hAnsi="Garamond" w:cs="Arial"/>
          <w:color w:val="000000"/>
        </w:rPr>
        <w:t xml:space="preserve"> provision</w:t>
      </w:r>
      <w:r w:rsidR="00A97027" w:rsidRPr="00EB7B5F">
        <w:rPr>
          <w:rStyle w:val="legds"/>
          <w:rFonts w:ascii="Garamond" w:hAnsi="Garamond" w:cs="Arial"/>
          <w:color w:val="000000"/>
        </w:rPr>
        <w:t xml:space="preserve">, the degree of need of persons for health services or social </w:t>
      </w:r>
      <w:r w:rsidR="00A97027" w:rsidRPr="00EB7B5F">
        <w:rPr>
          <w:rStyle w:val="legds"/>
          <w:rFonts w:ascii="Garamond" w:hAnsi="Garamond" w:cs="Arial"/>
          <w:color w:val="000000"/>
        </w:rPr>
        <w:lastRenderedPageBreak/>
        <w:t>care in England, and the desirability of promoting innovation.</w:t>
      </w:r>
      <w:r w:rsidR="00A97027" w:rsidRPr="00EB7B5F">
        <w:rPr>
          <w:rStyle w:val="FootnoteReference"/>
          <w:rFonts w:ascii="Garamond" w:hAnsi="Garamond" w:cs="Arial"/>
          <w:color w:val="000000"/>
        </w:rPr>
        <w:footnoteReference w:id="20"/>
      </w:r>
      <w:r w:rsidR="00A97027" w:rsidRPr="00EB7B5F">
        <w:rPr>
          <w:rStyle w:val="legds"/>
          <w:rFonts w:ascii="Garamond" w:hAnsi="Garamond" w:cs="Arial"/>
          <w:color w:val="000000"/>
        </w:rPr>
        <w:t xml:space="preserve"> </w:t>
      </w:r>
      <w:r w:rsidR="001F418A" w:rsidRPr="00EB7B5F">
        <w:rPr>
          <w:rFonts w:ascii="Garamond" w:hAnsi="Garamond"/>
        </w:rPr>
        <w:t>The NICE guideline</w:t>
      </w:r>
      <w:r w:rsidR="00A97027" w:rsidRPr="00EB7B5F">
        <w:rPr>
          <w:rFonts w:ascii="Garamond" w:hAnsi="Garamond"/>
        </w:rPr>
        <w:t xml:space="preserve"> on </w:t>
      </w:r>
      <w:r w:rsidR="00A97027" w:rsidRPr="00EB7B5F">
        <w:rPr>
          <w:rFonts w:ascii="Garamond" w:hAnsi="Garamond"/>
          <w:i/>
        </w:rPr>
        <w:t>Cannabis Based Medicinal Products</w:t>
      </w:r>
      <w:r w:rsidR="001F418A" w:rsidRPr="00EB7B5F">
        <w:rPr>
          <w:rFonts w:ascii="Garamond" w:hAnsi="Garamond"/>
        </w:rPr>
        <w:t xml:space="preserve"> </w:t>
      </w:r>
      <w:r w:rsidR="00C811A7" w:rsidRPr="00EB7B5F">
        <w:rPr>
          <w:rFonts w:ascii="Garamond" w:hAnsi="Garamond"/>
        </w:rPr>
        <w:t>(CBMPs</w:t>
      </w:r>
      <w:r w:rsidR="00C811A7" w:rsidRPr="00EB7B5F">
        <w:rPr>
          <w:rStyle w:val="FootnoteReference"/>
          <w:rFonts w:ascii="Garamond" w:hAnsi="Garamond"/>
        </w:rPr>
        <w:footnoteReference w:id="21"/>
      </w:r>
      <w:r w:rsidR="00C811A7" w:rsidRPr="00EB7B5F">
        <w:rPr>
          <w:rFonts w:ascii="Garamond" w:hAnsi="Garamond"/>
        </w:rPr>
        <w:t xml:space="preserve">) </w:t>
      </w:r>
      <w:r w:rsidR="00A97027" w:rsidRPr="00EB7B5F">
        <w:rPr>
          <w:rFonts w:ascii="Garamond" w:hAnsi="Garamond"/>
        </w:rPr>
        <w:t>was published in November 2019</w:t>
      </w:r>
      <w:r w:rsidR="009B7212" w:rsidRPr="00EB7B5F">
        <w:rPr>
          <w:rFonts w:ascii="Garamond" w:hAnsi="Garamond"/>
          <w:vertAlign w:val="superscript"/>
        </w:rPr>
        <w:footnoteReference w:id="22"/>
      </w:r>
      <w:r w:rsidR="00A97027" w:rsidRPr="00EB7B5F">
        <w:rPr>
          <w:rFonts w:ascii="Garamond" w:hAnsi="Garamond"/>
        </w:rPr>
        <w:t xml:space="preserve"> and</w:t>
      </w:r>
      <w:r w:rsidR="003F0449" w:rsidRPr="00EB7B5F">
        <w:rPr>
          <w:rFonts w:ascii="Garamond" w:hAnsi="Garamond"/>
        </w:rPr>
        <w:t>,</w:t>
      </w:r>
      <w:r w:rsidR="00A97027" w:rsidRPr="00EB7B5F">
        <w:rPr>
          <w:rFonts w:ascii="Garamond" w:hAnsi="Garamond"/>
        </w:rPr>
        <w:t xml:space="preserve"> </w:t>
      </w:r>
      <w:r w:rsidR="00C61FCA" w:rsidRPr="00EB7B5F">
        <w:rPr>
          <w:rFonts w:ascii="Garamond" w:hAnsi="Garamond"/>
        </w:rPr>
        <w:t>whilst it endorses the therapeutic value of CBMPs for some conditions, it does so in very narrow</w:t>
      </w:r>
      <w:r w:rsidR="001F418A" w:rsidRPr="00EB7B5F">
        <w:rPr>
          <w:rFonts w:ascii="Garamond" w:hAnsi="Garamond"/>
        </w:rPr>
        <w:t xml:space="preserve"> terms</w:t>
      </w:r>
      <w:r w:rsidR="006E3373" w:rsidRPr="00EB7B5F">
        <w:rPr>
          <w:rFonts w:ascii="Garamond" w:hAnsi="Garamond"/>
        </w:rPr>
        <w:t>, namely in the case of three licensed products</w:t>
      </w:r>
      <w:r w:rsidR="001F418A" w:rsidRPr="00EB7B5F">
        <w:rPr>
          <w:rFonts w:ascii="Garamond" w:hAnsi="Garamond"/>
        </w:rPr>
        <w:t>.</w:t>
      </w:r>
      <w:r w:rsidR="001C4014" w:rsidRPr="00EB7B5F">
        <w:rPr>
          <w:rFonts w:ascii="Garamond" w:hAnsi="Garamond"/>
        </w:rPr>
        <w:t xml:space="preserve"> </w:t>
      </w:r>
    </w:p>
    <w:p w14:paraId="7CBDB6D9" w14:textId="59F6F8C3" w:rsidR="00DF68B0" w:rsidRPr="00EB7B5F" w:rsidRDefault="001C4014" w:rsidP="00A55C75">
      <w:pPr>
        <w:spacing w:line="480" w:lineRule="auto"/>
        <w:jc w:val="both"/>
        <w:rPr>
          <w:rFonts w:ascii="Garamond" w:hAnsi="Garamond"/>
        </w:rPr>
      </w:pPr>
      <w:r w:rsidRPr="00EB7B5F">
        <w:rPr>
          <w:rFonts w:ascii="Garamond" w:hAnsi="Garamond"/>
        </w:rPr>
        <w:t xml:space="preserve">The guideline covers </w:t>
      </w:r>
      <w:r w:rsidR="00DF68B0" w:rsidRPr="00EB7B5F">
        <w:rPr>
          <w:rFonts w:ascii="Garamond" w:hAnsi="Garamond"/>
        </w:rPr>
        <w:t xml:space="preserve">applications of </w:t>
      </w:r>
      <w:r w:rsidR="007C3CCB" w:rsidRPr="00EB7B5F">
        <w:rPr>
          <w:rFonts w:ascii="Garamond" w:hAnsi="Garamond"/>
        </w:rPr>
        <w:t xml:space="preserve">CBMPs </w:t>
      </w:r>
      <w:r w:rsidR="00DF68B0" w:rsidRPr="00EB7B5F">
        <w:rPr>
          <w:rFonts w:ascii="Garamond" w:hAnsi="Garamond"/>
        </w:rPr>
        <w:t xml:space="preserve">in </w:t>
      </w:r>
      <w:r w:rsidRPr="00EB7B5F">
        <w:rPr>
          <w:rFonts w:ascii="Garamond" w:hAnsi="Garamond"/>
        </w:rPr>
        <w:t xml:space="preserve">four conditions: </w:t>
      </w:r>
      <w:r w:rsidR="00630A15" w:rsidRPr="00EB7B5F">
        <w:rPr>
          <w:rFonts w:ascii="Garamond" w:hAnsi="Garamond"/>
        </w:rPr>
        <w:t xml:space="preserve">1) </w:t>
      </w:r>
      <w:r w:rsidRPr="00EB7B5F">
        <w:rPr>
          <w:rFonts w:ascii="Garamond" w:hAnsi="Garamond"/>
        </w:rPr>
        <w:t xml:space="preserve">spasticity in adults with multiple sclerosis, </w:t>
      </w:r>
      <w:r w:rsidR="00630A15" w:rsidRPr="00EB7B5F">
        <w:rPr>
          <w:rFonts w:ascii="Garamond" w:hAnsi="Garamond"/>
        </w:rPr>
        <w:t xml:space="preserve">2) </w:t>
      </w:r>
      <w:r w:rsidRPr="00EB7B5F">
        <w:rPr>
          <w:rFonts w:ascii="Garamond" w:hAnsi="Garamond"/>
        </w:rPr>
        <w:t>intractable nausea and vomiting</w:t>
      </w:r>
      <w:r w:rsidR="00DF68B0" w:rsidRPr="00EB7B5F">
        <w:rPr>
          <w:rFonts w:ascii="Garamond" w:hAnsi="Garamond"/>
        </w:rPr>
        <w:t xml:space="preserve"> caused by chemotherapy</w:t>
      </w:r>
      <w:r w:rsidRPr="00EB7B5F">
        <w:rPr>
          <w:rFonts w:ascii="Garamond" w:hAnsi="Garamond"/>
        </w:rPr>
        <w:t xml:space="preserve"> in adults, </w:t>
      </w:r>
      <w:r w:rsidR="00630A15" w:rsidRPr="00EB7B5F">
        <w:rPr>
          <w:rFonts w:ascii="Garamond" w:hAnsi="Garamond"/>
        </w:rPr>
        <w:t xml:space="preserve">3) </w:t>
      </w:r>
      <w:r w:rsidRPr="00EB7B5F">
        <w:rPr>
          <w:rFonts w:ascii="Garamond" w:hAnsi="Garamond"/>
        </w:rPr>
        <w:t xml:space="preserve">severe treatment-resistant epilepsy and </w:t>
      </w:r>
      <w:r w:rsidR="00630A15" w:rsidRPr="00EB7B5F">
        <w:rPr>
          <w:rFonts w:ascii="Garamond" w:hAnsi="Garamond"/>
        </w:rPr>
        <w:t xml:space="preserve">4) </w:t>
      </w:r>
      <w:r w:rsidRPr="00EB7B5F">
        <w:rPr>
          <w:rFonts w:ascii="Garamond" w:hAnsi="Garamond"/>
        </w:rPr>
        <w:t>chronic pain</w:t>
      </w:r>
      <w:r w:rsidR="00DF68B0" w:rsidRPr="00EB7B5F">
        <w:rPr>
          <w:rFonts w:ascii="Garamond" w:hAnsi="Garamond"/>
        </w:rPr>
        <w:t xml:space="preserve">: </w:t>
      </w:r>
    </w:p>
    <w:p w14:paraId="05CCEBD9" w14:textId="4BEF1688" w:rsidR="00DF68B0" w:rsidRPr="00EB7B5F" w:rsidRDefault="00281646" w:rsidP="00A55C75">
      <w:pPr>
        <w:pStyle w:val="ListParagraph"/>
        <w:numPr>
          <w:ilvl w:val="0"/>
          <w:numId w:val="1"/>
        </w:numPr>
        <w:spacing w:line="480" w:lineRule="auto"/>
        <w:jc w:val="both"/>
        <w:rPr>
          <w:rFonts w:ascii="Garamond" w:hAnsi="Garamond"/>
        </w:rPr>
      </w:pPr>
      <w:r w:rsidRPr="00EB7B5F">
        <w:rPr>
          <w:rFonts w:ascii="Garamond" w:hAnsi="Garamond"/>
        </w:rPr>
        <w:t xml:space="preserve">in respect of </w:t>
      </w:r>
      <w:r w:rsidR="00DF68B0" w:rsidRPr="00EB7B5F">
        <w:rPr>
          <w:rFonts w:ascii="Garamond" w:hAnsi="Garamond"/>
        </w:rPr>
        <w:t xml:space="preserve">cases of </w:t>
      </w:r>
      <w:r w:rsidR="00DF68B0" w:rsidRPr="00EB7B5F">
        <w:rPr>
          <w:rFonts w:ascii="Garamond" w:hAnsi="Garamond"/>
          <w:i/>
          <w:iCs/>
        </w:rPr>
        <w:t>spasticity in multiple sclerosis</w:t>
      </w:r>
      <w:r w:rsidR="00DF68B0" w:rsidRPr="00EB7B5F">
        <w:rPr>
          <w:rFonts w:ascii="Garamond" w:hAnsi="Garamond"/>
        </w:rPr>
        <w:t>,</w:t>
      </w:r>
      <w:r w:rsidR="004E45D4" w:rsidRPr="00EB7B5F">
        <w:rPr>
          <w:rFonts w:ascii="Garamond" w:hAnsi="Garamond"/>
        </w:rPr>
        <w:t xml:space="preserve"> </w:t>
      </w:r>
      <w:r w:rsidR="00DF68B0" w:rsidRPr="00EB7B5F">
        <w:rPr>
          <w:rFonts w:ascii="Garamond" w:hAnsi="Garamond"/>
        </w:rPr>
        <w:t>prescribers should ‘offer’ a four</w:t>
      </w:r>
      <w:r w:rsidR="00FD7A63" w:rsidRPr="00EB7B5F">
        <w:rPr>
          <w:rFonts w:ascii="Garamond" w:hAnsi="Garamond"/>
        </w:rPr>
        <w:t>-</w:t>
      </w:r>
      <w:r w:rsidR="00DF68B0" w:rsidRPr="00EB7B5F">
        <w:rPr>
          <w:rFonts w:ascii="Garamond" w:hAnsi="Garamond"/>
        </w:rPr>
        <w:t xml:space="preserve">week trial of </w:t>
      </w:r>
      <w:r w:rsidR="00D5128A" w:rsidRPr="00EB7B5F">
        <w:rPr>
          <w:rFonts w:ascii="Garamond" w:hAnsi="Garamond"/>
        </w:rPr>
        <w:t>tetrahydrocannabinol (</w:t>
      </w:r>
      <w:r w:rsidR="00DF68B0" w:rsidRPr="00EB7B5F">
        <w:rPr>
          <w:rFonts w:ascii="Garamond" w:hAnsi="Garamond"/>
        </w:rPr>
        <w:t>THC</w:t>
      </w:r>
      <w:r w:rsidR="00D5128A" w:rsidRPr="00EB7B5F">
        <w:rPr>
          <w:rFonts w:ascii="Garamond" w:hAnsi="Garamond"/>
        </w:rPr>
        <w:t>)</w:t>
      </w:r>
      <w:r w:rsidR="00DF68B0" w:rsidRPr="00EB7B5F">
        <w:rPr>
          <w:rFonts w:ascii="Garamond" w:hAnsi="Garamond"/>
        </w:rPr>
        <w:t>:</w:t>
      </w:r>
      <w:r w:rsidRPr="00EB7B5F">
        <w:rPr>
          <w:rFonts w:ascii="Garamond" w:hAnsi="Garamond"/>
        </w:rPr>
        <w:t xml:space="preserve"> </w:t>
      </w:r>
      <w:r w:rsidR="00D5128A" w:rsidRPr="00EB7B5F">
        <w:rPr>
          <w:rFonts w:ascii="Garamond" w:hAnsi="Garamond"/>
        </w:rPr>
        <w:t>cannabidiol (</w:t>
      </w:r>
      <w:r w:rsidR="00DF68B0" w:rsidRPr="00EB7B5F">
        <w:rPr>
          <w:rFonts w:ascii="Garamond" w:hAnsi="Garamond"/>
        </w:rPr>
        <w:t>CBD</w:t>
      </w:r>
      <w:r w:rsidR="00D5128A" w:rsidRPr="00EB7B5F">
        <w:rPr>
          <w:rFonts w:ascii="Garamond" w:hAnsi="Garamond"/>
        </w:rPr>
        <w:t>)</w:t>
      </w:r>
      <w:r w:rsidR="00DF68B0" w:rsidRPr="00EB7B5F">
        <w:rPr>
          <w:rFonts w:ascii="Garamond" w:hAnsi="Garamond"/>
        </w:rPr>
        <w:t xml:space="preserve"> spray, to be continued if the patient reports a 20% reduction in spasticity.</w:t>
      </w:r>
      <w:r w:rsidR="00DF68B0" w:rsidRPr="00EB7B5F">
        <w:rPr>
          <w:rFonts w:ascii="Garamond" w:hAnsi="Garamond"/>
          <w:vertAlign w:val="superscript"/>
        </w:rPr>
        <w:footnoteReference w:id="23"/>
      </w:r>
      <w:r w:rsidR="00DF68B0" w:rsidRPr="00EB7B5F">
        <w:rPr>
          <w:rFonts w:ascii="Garamond" w:hAnsi="Garamond"/>
        </w:rPr>
        <w:t xml:space="preserve"> </w:t>
      </w:r>
    </w:p>
    <w:p w14:paraId="5BE4A961" w14:textId="25699023" w:rsidR="007426B6" w:rsidRPr="00EB7B5F" w:rsidRDefault="007426B6" w:rsidP="00A55C75">
      <w:pPr>
        <w:pStyle w:val="ListParagraph"/>
        <w:numPr>
          <w:ilvl w:val="0"/>
          <w:numId w:val="1"/>
        </w:numPr>
        <w:spacing w:line="480" w:lineRule="auto"/>
        <w:jc w:val="both"/>
        <w:rPr>
          <w:rFonts w:ascii="Garamond" w:hAnsi="Garamond"/>
        </w:rPr>
      </w:pPr>
      <w:r w:rsidRPr="00EB7B5F">
        <w:rPr>
          <w:rFonts w:ascii="Garamond" w:hAnsi="Garamond"/>
        </w:rPr>
        <w:t xml:space="preserve">NICE has </w:t>
      </w:r>
      <w:r w:rsidR="004E45D4" w:rsidRPr="00EB7B5F">
        <w:rPr>
          <w:rFonts w:ascii="Garamond" w:hAnsi="Garamond"/>
        </w:rPr>
        <w:t xml:space="preserve">recommended the use of </w:t>
      </w:r>
      <w:r w:rsidRPr="00EB7B5F">
        <w:rPr>
          <w:rFonts w:ascii="Garamond" w:hAnsi="Garamond"/>
        </w:rPr>
        <w:t xml:space="preserve">cannabidiol </w:t>
      </w:r>
      <w:r w:rsidR="004E45D4" w:rsidRPr="00EB7B5F">
        <w:rPr>
          <w:rFonts w:ascii="Garamond" w:hAnsi="Garamond"/>
        </w:rPr>
        <w:t xml:space="preserve">as an ‘adjunctive therapy’ </w:t>
      </w:r>
      <w:r w:rsidRPr="00EB7B5F">
        <w:rPr>
          <w:rFonts w:ascii="Garamond" w:hAnsi="Garamond"/>
        </w:rPr>
        <w:t xml:space="preserve">with clobazam, as an option for the treatment of two rare forms of </w:t>
      </w:r>
      <w:r w:rsidRPr="00EB7B5F">
        <w:rPr>
          <w:rFonts w:ascii="Garamond" w:hAnsi="Garamond"/>
          <w:i/>
          <w:iCs/>
        </w:rPr>
        <w:t>treatment-resistant epilepsy</w:t>
      </w:r>
      <w:r w:rsidRPr="00EB7B5F">
        <w:rPr>
          <w:rFonts w:ascii="Garamond" w:hAnsi="Garamond"/>
        </w:rPr>
        <w:t>, Lennox-</w:t>
      </w:r>
      <w:proofErr w:type="spellStart"/>
      <w:r w:rsidRPr="00EB7B5F">
        <w:rPr>
          <w:rFonts w:ascii="Garamond" w:hAnsi="Garamond"/>
        </w:rPr>
        <w:t>Gestaut</w:t>
      </w:r>
      <w:proofErr w:type="spellEnd"/>
      <w:r w:rsidRPr="00EB7B5F">
        <w:rPr>
          <w:rFonts w:ascii="Garamond" w:hAnsi="Garamond"/>
        </w:rPr>
        <w:t xml:space="preserve"> Syndrome and </w:t>
      </w:r>
      <w:proofErr w:type="spellStart"/>
      <w:r w:rsidRPr="00EB7B5F">
        <w:rPr>
          <w:rFonts w:ascii="Garamond" w:hAnsi="Garamond"/>
        </w:rPr>
        <w:t>Dravet’s</w:t>
      </w:r>
      <w:proofErr w:type="spellEnd"/>
      <w:r w:rsidRPr="00EB7B5F">
        <w:rPr>
          <w:rFonts w:ascii="Garamond" w:hAnsi="Garamond"/>
        </w:rPr>
        <w:t xml:space="preserve"> Syndrome</w:t>
      </w:r>
      <w:r w:rsidR="007C3CCB" w:rsidRPr="00EB7B5F">
        <w:rPr>
          <w:rFonts w:ascii="Garamond" w:hAnsi="Garamond"/>
        </w:rPr>
        <w:t xml:space="preserve"> only</w:t>
      </w:r>
      <w:r w:rsidRPr="00EB7B5F">
        <w:rPr>
          <w:rFonts w:ascii="Garamond" w:hAnsi="Garamond"/>
        </w:rPr>
        <w:t>.</w:t>
      </w:r>
      <w:r w:rsidRPr="00EB7B5F">
        <w:rPr>
          <w:rFonts w:ascii="Garamond" w:hAnsi="Garamond"/>
          <w:vertAlign w:val="superscript"/>
        </w:rPr>
        <w:footnoteReference w:id="24"/>
      </w:r>
    </w:p>
    <w:p w14:paraId="5F250D41" w14:textId="732E15BD" w:rsidR="00DF68B0" w:rsidRPr="00EB7B5F" w:rsidRDefault="00DF68B0" w:rsidP="00A55C75">
      <w:pPr>
        <w:pStyle w:val="ListParagraph"/>
        <w:numPr>
          <w:ilvl w:val="0"/>
          <w:numId w:val="1"/>
        </w:numPr>
        <w:spacing w:line="480" w:lineRule="auto"/>
        <w:jc w:val="both"/>
        <w:rPr>
          <w:rFonts w:ascii="Garamond" w:hAnsi="Garamond"/>
        </w:rPr>
      </w:pPr>
      <w:r w:rsidRPr="00EB7B5F">
        <w:rPr>
          <w:rFonts w:ascii="Garamond" w:hAnsi="Garamond"/>
        </w:rPr>
        <w:t xml:space="preserve">For </w:t>
      </w:r>
      <w:r w:rsidR="001C4014" w:rsidRPr="00EB7B5F">
        <w:rPr>
          <w:rFonts w:ascii="Garamond" w:hAnsi="Garamond"/>
          <w:i/>
          <w:iCs/>
        </w:rPr>
        <w:t xml:space="preserve">adults with </w:t>
      </w:r>
      <w:r w:rsidR="00AB31A6" w:rsidRPr="00EB7B5F">
        <w:rPr>
          <w:rFonts w:ascii="Garamond" w:hAnsi="Garamond"/>
          <w:i/>
          <w:iCs/>
        </w:rPr>
        <w:t>intractable nausea/vomiting</w:t>
      </w:r>
      <w:r w:rsidR="00F726D4" w:rsidRPr="00EB7B5F">
        <w:rPr>
          <w:rFonts w:ascii="Garamond" w:hAnsi="Garamond"/>
          <w:i/>
          <w:iCs/>
        </w:rPr>
        <w:t xml:space="preserve"> </w:t>
      </w:r>
      <w:r w:rsidR="00AB31A6" w:rsidRPr="00EB7B5F">
        <w:rPr>
          <w:rFonts w:ascii="Garamond" w:hAnsi="Garamond"/>
          <w:i/>
          <w:iCs/>
        </w:rPr>
        <w:t>associated with chemotherapy</w:t>
      </w:r>
      <w:r w:rsidRPr="00EB7B5F">
        <w:rPr>
          <w:rFonts w:ascii="Garamond" w:hAnsi="Garamond"/>
        </w:rPr>
        <w:t xml:space="preserve">, prescribers should ‘consider’ nabilone – </w:t>
      </w:r>
      <w:r w:rsidR="009B7CD9" w:rsidRPr="00EB7B5F">
        <w:rPr>
          <w:rFonts w:ascii="Garamond" w:hAnsi="Garamond"/>
        </w:rPr>
        <w:t xml:space="preserve">the word </w:t>
      </w:r>
      <w:r w:rsidRPr="00EB7B5F">
        <w:rPr>
          <w:rFonts w:ascii="Garamond" w:hAnsi="Garamond"/>
        </w:rPr>
        <w:t xml:space="preserve">‘consider’ </w:t>
      </w:r>
      <w:r w:rsidR="009B7CD9" w:rsidRPr="00EB7B5F">
        <w:rPr>
          <w:rFonts w:ascii="Garamond" w:hAnsi="Garamond"/>
        </w:rPr>
        <w:t xml:space="preserve">here </w:t>
      </w:r>
      <w:r w:rsidRPr="00EB7B5F">
        <w:rPr>
          <w:rFonts w:ascii="Garamond" w:hAnsi="Garamond"/>
        </w:rPr>
        <w:t>indicat</w:t>
      </w:r>
      <w:r w:rsidR="004E45D4" w:rsidRPr="00EB7B5F">
        <w:rPr>
          <w:rFonts w:ascii="Garamond" w:hAnsi="Garamond"/>
        </w:rPr>
        <w:t>es</w:t>
      </w:r>
      <w:r w:rsidRPr="00EB7B5F">
        <w:rPr>
          <w:rFonts w:ascii="Garamond" w:hAnsi="Garamond"/>
        </w:rPr>
        <w:t xml:space="preserve"> that in NICE’s view there is a close</w:t>
      </w:r>
      <w:r w:rsidR="00281646" w:rsidRPr="00EB7B5F">
        <w:rPr>
          <w:rFonts w:ascii="Garamond" w:hAnsi="Garamond"/>
        </w:rPr>
        <w:t>r</w:t>
      </w:r>
      <w:r w:rsidRPr="00EB7B5F">
        <w:rPr>
          <w:rFonts w:ascii="Garamond" w:hAnsi="Garamond"/>
        </w:rPr>
        <w:t xml:space="preserve"> balance between benefits and harms.</w:t>
      </w:r>
      <w:r w:rsidR="00281646" w:rsidRPr="00EB7B5F">
        <w:rPr>
          <w:rStyle w:val="FootnoteReference"/>
          <w:rFonts w:ascii="Garamond" w:hAnsi="Garamond"/>
        </w:rPr>
        <w:footnoteReference w:id="25"/>
      </w:r>
      <w:r w:rsidRPr="00EB7B5F">
        <w:rPr>
          <w:rFonts w:ascii="Garamond" w:hAnsi="Garamond"/>
        </w:rPr>
        <w:t xml:space="preserve"> </w:t>
      </w:r>
    </w:p>
    <w:p w14:paraId="5DA589F6" w14:textId="215C2360" w:rsidR="00DF68B0" w:rsidRPr="00EB7B5F" w:rsidRDefault="00DF68B0" w:rsidP="00A55C75">
      <w:pPr>
        <w:pStyle w:val="ListParagraph"/>
        <w:numPr>
          <w:ilvl w:val="0"/>
          <w:numId w:val="1"/>
        </w:numPr>
        <w:spacing w:line="480" w:lineRule="auto"/>
        <w:jc w:val="both"/>
        <w:rPr>
          <w:rFonts w:ascii="Garamond" w:hAnsi="Garamond"/>
        </w:rPr>
      </w:pPr>
      <w:r w:rsidRPr="00EB7B5F">
        <w:rPr>
          <w:rFonts w:ascii="Garamond" w:hAnsi="Garamond"/>
        </w:rPr>
        <w:t>I</w:t>
      </w:r>
      <w:r w:rsidR="00F370E9" w:rsidRPr="00EB7B5F">
        <w:rPr>
          <w:rFonts w:ascii="Garamond" w:hAnsi="Garamond"/>
        </w:rPr>
        <w:t xml:space="preserve">n </w:t>
      </w:r>
      <w:r w:rsidRPr="00EB7B5F">
        <w:rPr>
          <w:rFonts w:ascii="Garamond" w:hAnsi="Garamond"/>
        </w:rPr>
        <w:t xml:space="preserve">cases of </w:t>
      </w:r>
      <w:r w:rsidRPr="00EB7B5F">
        <w:rPr>
          <w:rFonts w:ascii="Garamond" w:hAnsi="Garamond"/>
          <w:i/>
          <w:iCs/>
        </w:rPr>
        <w:t>chronic pain</w:t>
      </w:r>
      <w:r w:rsidRPr="00EB7B5F">
        <w:rPr>
          <w:rFonts w:ascii="Garamond" w:hAnsi="Garamond"/>
        </w:rPr>
        <w:t xml:space="preserve">, </w:t>
      </w:r>
      <w:r w:rsidR="00F370E9" w:rsidRPr="00EB7B5F">
        <w:rPr>
          <w:rFonts w:ascii="Garamond" w:hAnsi="Garamond"/>
        </w:rPr>
        <w:t>the guideline adopts the more prescriptive tone of ‘Do not offer’</w:t>
      </w:r>
      <w:r w:rsidR="001C4014" w:rsidRPr="00EB7B5F">
        <w:rPr>
          <w:rFonts w:ascii="Garamond" w:hAnsi="Garamond"/>
        </w:rPr>
        <w:t xml:space="preserve"> nabilone, </w:t>
      </w:r>
      <w:proofErr w:type="spellStart"/>
      <w:r w:rsidR="001C4014" w:rsidRPr="00EB7B5F">
        <w:rPr>
          <w:rFonts w:ascii="Garamond" w:hAnsi="Garamond"/>
        </w:rPr>
        <w:t>drabilone</w:t>
      </w:r>
      <w:proofErr w:type="spellEnd"/>
      <w:r w:rsidR="001C4014" w:rsidRPr="00EB7B5F">
        <w:rPr>
          <w:rFonts w:ascii="Garamond" w:hAnsi="Garamond"/>
        </w:rPr>
        <w:t>, THC or CBD with THC</w:t>
      </w:r>
      <w:r w:rsidR="001C4014" w:rsidRPr="00EB7B5F">
        <w:rPr>
          <w:rFonts w:ascii="Garamond" w:hAnsi="Garamond"/>
          <w:vertAlign w:val="superscript"/>
        </w:rPr>
        <w:footnoteReference w:id="26"/>
      </w:r>
      <w:r w:rsidR="001C4014" w:rsidRPr="00EB7B5F">
        <w:rPr>
          <w:rFonts w:ascii="Garamond" w:hAnsi="Garamond"/>
        </w:rPr>
        <w:t xml:space="preserve"> </w:t>
      </w:r>
      <w:r w:rsidR="00F370E9" w:rsidRPr="00EB7B5F">
        <w:rPr>
          <w:rFonts w:ascii="Garamond" w:hAnsi="Garamond"/>
        </w:rPr>
        <w:t xml:space="preserve">and ‘Do not offer’ </w:t>
      </w:r>
      <w:r w:rsidR="001C4014" w:rsidRPr="00EB7B5F">
        <w:rPr>
          <w:rFonts w:ascii="Garamond" w:hAnsi="Garamond"/>
        </w:rPr>
        <w:t>CBD for chronic pain in adults</w:t>
      </w:r>
      <w:r w:rsidR="00F370E9" w:rsidRPr="00EB7B5F">
        <w:rPr>
          <w:rFonts w:ascii="Garamond" w:hAnsi="Garamond"/>
        </w:rPr>
        <w:t>,</w:t>
      </w:r>
      <w:r w:rsidR="001C4014" w:rsidRPr="00EB7B5F">
        <w:rPr>
          <w:rFonts w:ascii="Garamond" w:hAnsi="Garamond"/>
        </w:rPr>
        <w:t xml:space="preserve"> unless as part of a controlled trial.</w:t>
      </w:r>
      <w:r w:rsidR="001C4014" w:rsidRPr="00EB7B5F">
        <w:rPr>
          <w:rFonts w:ascii="Garamond" w:hAnsi="Garamond"/>
          <w:vertAlign w:val="superscript"/>
        </w:rPr>
        <w:footnoteReference w:id="27"/>
      </w:r>
      <w:r w:rsidR="001C4014" w:rsidRPr="00EB7B5F">
        <w:rPr>
          <w:rFonts w:ascii="Garamond" w:hAnsi="Garamond"/>
        </w:rPr>
        <w:t xml:space="preserve"> </w:t>
      </w:r>
      <w:r w:rsidR="00035A39" w:rsidRPr="00EB7B5F">
        <w:rPr>
          <w:rFonts w:ascii="Garamond" w:hAnsi="Garamond"/>
        </w:rPr>
        <w:t>Whilst prescribers in many countries clearly do prescribe</w:t>
      </w:r>
      <w:r w:rsidR="007C3CCB" w:rsidRPr="00EB7B5F">
        <w:rPr>
          <w:rFonts w:ascii="Garamond" w:hAnsi="Garamond"/>
        </w:rPr>
        <w:t xml:space="preserve"> medicinal cannabis</w:t>
      </w:r>
      <w:r w:rsidR="00035A39" w:rsidRPr="00EB7B5F">
        <w:rPr>
          <w:rFonts w:ascii="Garamond" w:hAnsi="Garamond"/>
        </w:rPr>
        <w:t xml:space="preserve"> </w:t>
      </w:r>
      <w:r w:rsidR="003B21BF" w:rsidRPr="00EB7B5F">
        <w:rPr>
          <w:rFonts w:ascii="Garamond" w:hAnsi="Garamond"/>
        </w:rPr>
        <w:t>for chronic pain</w:t>
      </w:r>
      <w:r w:rsidR="003B21BF" w:rsidRPr="00EB7B5F">
        <w:rPr>
          <w:rFonts w:ascii="Garamond" w:hAnsi="Garamond"/>
          <w:vertAlign w:val="superscript"/>
        </w:rPr>
        <w:footnoteReference w:id="28"/>
      </w:r>
      <w:r w:rsidR="003B21BF" w:rsidRPr="00EB7B5F">
        <w:rPr>
          <w:rFonts w:ascii="Garamond" w:hAnsi="Garamond"/>
        </w:rPr>
        <w:t xml:space="preserve">, NICE steers prescribers away from considering this option. The </w:t>
      </w:r>
      <w:r w:rsidR="003B21BF" w:rsidRPr="00EB7B5F">
        <w:rPr>
          <w:rFonts w:ascii="Garamond" w:hAnsi="Garamond"/>
        </w:rPr>
        <w:lastRenderedPageBreak/>
        <w:t>recommendation regarding chronic pain was based on there being ‘some evidence’ of ‘modest’ effectiveness, but given the large number of people who might benefit, medicinal cannabis was not cost effective as a treatment option.</w:t>
      </w:r>
      <w:r w:rsidR="003B21BF" w:rsidRPr="00EB7B5F">
        <w:rPr>
          <w:rFonts w:ascii="Garamond" w:hAnsi="Garamond"/>
          <w:vertAlign w:val="superscript"/>
        </w:rPr>
        <w:footnoteReference w:id="29"/>
      </w:r>
      <w:r w:rsidR="003B21BF" w:rsidRPr="00EB7B5F">
        <w:rPr>
          <w:rFonts w:ascii="Garamond" w:hAnsi="Garamond"/>
        </w:rPr>
        <w:t xml:space="preserve"> Presumably where, as </w:t>
      </w:r>
      <w:r w:rsidR="00E013A6" w:rsidRPr="00EB7B5F">
        <w:rPr>
          <w:rFonts w:ascii="Garamond" w:hAnsi="Garamond"/>
        </w:rPr>
        <w:t>in the case of chronic pain</w:t>
      </w:r>
      <w:r w:rsidR="003B21BF" w:rsidRPr="00EB7B5F">
        <w:rPr>
          <w:rFonts w:ascii="Garamond" w:hAnsi="Garamond"/>
        </w:rPr>
        <w:t>, a guideline is based largely on cost effectiveness rather than safety concerns, the impact of NICE guidance on private prescribing could be markedly lower.</w:t>
      </w:r>
    </w:p>
    <w:p w14:paraId="3B469A8B" w14:textId="5BB1FD66" w:rsidR="00485D62" w:rsidRPr="00EB7B5F" w:rsidRDefault="00485D62" w:rsidP="00A55C75">
      <w:pPr>
        <w:spacing w:line="480" w:lineRule="auto"/>
        <w:jc w:val="both"/>
        <w:rPr>
          <w:rFonts w:ascii="Garamond" w:hAnsi="Garamond"/>
        </w:rPr>
      </w:pPr>
      <w:r w:rsidRPr="00EB7B5F">
        <w:rPr>
          <w:rFonts w:ascii="Garamond" w:hAnsi="Garamond"/>
        </w:rPr>
        <w:t>Whilst the recommendation</w:t>
      </w:r>
      <w:r w:rsidR="00A97027" w:rsidRPr="00EB7B5F">
        <w:rPr>
          <w:rFonts w:ascii="Garamond" w:hAnsi="Garamond"/>
        </w:rPr>
        <w:t>s</w:t>
      </w:r>
      <w:r w:rsidRPr="00EB7B5F">
        <w:rPr>
          <w:rFonts w:ascii="Garamond" w:hAnsi="Garamond"/>
        </w:rPr>
        <w:t xml:space="preserve"> in relation to </w:t>
      </w:r>
      <w:r w:rsidR="00CD2C36" w:rsidRPr="00EB7B5F">
        <w:rPr>
          <w:rFonts w:ascii="Garamond" w:hAnsi="Garamond"/>
        </w:rPr>
        <w:t>spasticity</w:t>
      </w:r>
      <w:r w:rsidR="00B14C53" w:rsidRPr="00EB7B5F">
        <w:rPr>
          <w:rFonts w:ascii="Garamond" w:hAnsi="Garamond"/>
        </w:rPr>
        <w:t xml:space="preserve"> and </w:t>
      </w:r>
      <w:r w:rsidR="00CD2C36" w:rsidRPr="00EB7B5F">
        <w:rPr>
          <w:rFonts w:ascii="Garamond" w:hAnsi="Garamond"/>
        </w:rPr>
        <w:t>epilepsy</w:t>
      </w:r>
      <w:r w:rsidRPr="00EB7B5F">
        <w:rPr>
          <w:rFonts w:ascii="Garamond" w:hAnsi="Garamond"/>
        </w:rPr>
        <w:t xml:space="preserve"> represent </w:t>
      </w:r>
      <w:r w:rsidR="00A97027" w:rsidRPr="00EB7B5F">
        <w:rPr>
          <w:rFonts w:ascii="Garamond" w:hAnsi="Garamond"/>
        </w:rPr>
        <w:t xml:space="preserve">an </w:t>
      </w:r>
      <w:r w:rsidRPr="00EB7B5F">
        <w:rPr>
          <w:rFonts w:ascii="Garamond" w:hAnsi="Garamond"/>
        </w:rPr>
        <w:t>advance on the draft guideline</w:t>
      </w:r>
      <w:r w:rsidR="00895793" w:rsidRPr="00EB7B5F">
        <w:rPr>
          <w:rFonts w:ascii="Garamond" w:hAnsi="Garamond"/>
        </w:rPr>
        <w:t xml:space="preserve"> published earlier in the year</w:t>
      </w:r>
      <w:r w:rsidR="00A71BFA" w:rsidRPr="00EB7B5F">
        <w:rPr>
          <w:rStyle w:val="FootnoteReference"/>
          <w:rFonts w:ascii="Garamond" w:hAnsi="Garamond"/>
        </w:rPr>
        <w:footnoteReference w:id="30"/>
      </w:r>
      <w:r w:rsidRPr="00EB7B5F">
        <w:rPr>
          <w:rFonts w:ascii="Garamond" w:hAnsi="Garamond"/>
        </w:rPr>
        <w:t xml:space="preserve">, they </w:t>
      </w:r>
      <w:r w:rsidR="007C3CCB" w:rsidRPr="00EB7B5F">
        <w:rPr>
          <w:rFonts w:ascii="Garamond" w:hAnsi="Garamond"/>
        </w:rPr>
        <w:t xml:space="preserve">are </w:t>
      </w:r>
      <w:r w:rsidRPr="00EB7B5F">
        <w:rPr>
          <w:rFonts w:ascii="Garamond" w:hAnsi="Garamond"/>
        </w:rPr>
        <w:t>small increments of liberalisatio</w:t>
      </w:r>
      <w:r w:rsidR="003B21BF" w:rsidRPr="00EB7B5F">
        <w:rPr>
          <w:rFonts w:ascii="Garamond" w:hAnsi="Garamond"/>
        </w:rPr>
        <w:t>n</w:t>
      </w:r>
      <w:r w:rsidR="00EF316C" w:rsidRPr="00EB7B5F">
        <w:rPr>
          <w:rFonts w:ascii="Garamond" w:hAnsi="Garamond"/>
        </w:rPr>
        <w:t>,</w:t>
      </w:r>
      <w:r w:rsidR="00226EAA" w:rsidRPr="00EB7B5F">
        <w:rPr>
          <w:rFonts w:ascii="Garamond" w:hAnsi="Garamond"/>
        </w:rPr>
        <w:t xml:space="preserve"> notably restricted </w:t>
      </w:r>
      <w:r w:rsidR="003F0449" w:rsidRPr="00EB7B5F">
        <w:rPr>
          <w:rFonts w:ascii="Garamond" w:hAnsi="Garamond"/>
        </w:rPr>
        <w:t xml:space="preserve">to drugs already licensed for those uses in the UK: </w:t>
      </w:r>
      <w:r w:rsidR="00071F34" w:rsidRPr="00EB7B5F">
        <w:rPr>
          <w:rFonts w:ascii="Garamond" w:hAnsi="Garamond"/>
        </w:rPr>
        <w:t xml:space="preserve">nabilone, </w:t>
      </w:r>
      <w:r w:rsidR="003F0449" w:rsidRPr="00EB7B5F">
        <w:rPr>
          <w:rFonts w:ascii="Garamond" w:hAnsi="Garamond"/>
        </w:rPr>
        <w:t>‘</w:t>
      </w:r>
      <w:proofErr w:type="spellStart"/>
      <w:r w:rsidRPr="00EB7B5F">
        <w:rPr>
          <w:rFonts w:ascii="Garamond" w:hAnsi="Garamond"/>
        </w:rPr>
        <w:t>Epid</w:t>
      </w:r>
      <w:r w:rsidR="00B14C53" w:rsidRPr="00EB7B5F">
        <w:rPr>
          <w:rFonts w:ascii="Garamond" w:hAnsi="Garamond"/>
        </w:rPr>
        <w:t>y</w:t>
      </w:r>
      <w:r w:rsidRPr="00EB7B5F">
        <w:rPr>
          <w:rFonts w:ascii="Garamond" w:hAnsi="Garamond"/>
        </w:rPr>
        <w:t>olex</w:t>
      </w:r>
      <w:proofErr w:type="spellEnd"/>
      <w:r w:rsidR="003F0449" w:rsidRPr="00EB7B5F">
        <w:rPr>
          <w:rFonts w:ascii="Garamond" w:hAnsi="Garamond"/>
        </w:rPr>
        <w:t>’ and ‘Sativex’.</w:t>
      </w:r>
      <w:r w:rsidR="00BE63F8" w:rsidRPr="00EB7B5F">
        <w:rPr>
          <w:rStyle w:val="FootnoteReference"/>
          <w:rFonts w:ascii="Garamond" w:hAnsi="Garamond"/>
        </w:rPr>
        <w:footnoteReference w:id="31"/>
      </w:r>
      <w:r w:rsidR="003F0449" w:rsidRPr="00EB7B5F">
        <w:rPr>
          <w:rFonts w:ascii="Garamond" w:hAnsi="Garamond"/>
        </w:rPr>
        <w:t xml:space="preserve"> </w:t>
      </w:r>
      <w:r w:rsidR="006F2ED5" w:rsidRPr="00EB7B5F">
        <w:rPr>
          <w:rFonts w:ascii="Garamond" w:hAnsi="Garamond"/>
        </w:rPr>
        <w:t xml:space="preserve">Prescribing beyond the terms of the guideline can be regarded as an example of medical innovation, which, with appropriate attention to safeguarding </w:t>
      </w:r>
      <w:r w:rsidR="007C3CCB" w:rsidRPr="00EB7B5F">
        <w:rPr>
          <w:rFonts w:ascii="Garamond" w:hAnsi="Garamond"/>
        </w:rPr>
        <w:t>a</w:t>
      </w:r>
      <w:r w:rsidR="006F2ED5" w:rsidRPr="00EB7B5F">
        <w:rPr>
          <w:rFonts w:ascii="Garamond" w:hAnsi="Garamond"/>
        </w:rPr>
        <w:t xml:space="preserve"> patient’s interests, can be entirely consistent with a doctor’s duties.</w:t>
      </w:r>
      <w:r w:rsidR="006F2ED5" w:rsidRPr="00EB7B5F">
        <w:rPr>
          <w:rFonts w:ascii="Garamond" w:hAnsi="Garamond"/>
          <w:vertAlign w:val="superscript"/>
        </w:rPr>
        <w:footnoteReference w:id="32"/>
      </w:r>
      <w:r w:rsidR="006F2ED5" w:rsidRPr="00EB7B5F">
        <w:rPr>
          <w:rFonts w:ascii="Garamond" w:hAnsi="Garamond"/>
        </w:rPr>
        <w:t xml:space="preserve"> The legal space within which to prescribe currently unlicensed CBMPs, or prescribe licensed CBMPs ‘off-label’</w:t>
      </w:r>
      <w:r w:rsidR="00FC3DEC" w:rsidRPr="00EB7B5F">
        <w:rPr>
          <w:rFonts w:ascii="Garamond" w:hAnsi="Garamond"/>
          <w:vertAlign w:val="superscript"/>
        </w:rPr>
        <w:footnoteReference w:id="33"/>
      </w:r>
      <w:r w:rsidR="006F2ED5" w:rsidRPr="00EB7B5F">
        <w:rPr>
          <w:rFonts w:ascii="Garamond" w:hAnsi="Garamond"/>
        </w:rPr>
        <w:t xml:space="preserve"> (e.g. prescribing Sativex for chronic pain</w:t>
      </w:r>
      <w:r w:rsidR="006F2ED5" w:rsidRPr="00EB7B5F">
        <w:rPr>
          <w:rFonts w:ascii="Garamond" w:hAnsi="Garamond"/>
          <w:vertAlign w:val="superscript"/>
        </w:rPr>
        <w:footnoteReference w:id="34"/>
      </w:r>
      <w:r w:rsidR="007C3CCB" w:rsidRPr="00EB7B5F">
        <w:rPr>
          <w:rFonts w:ascii="Garamond" w:hAnsi="Garamond"/>
        </w:rPr>
        <w:t xml:space="preserve"> or </w:t>
      </w:r>
      <w:proofErr w:type="spellStart"/>
      <w:r w:rsidR="007C3CCB" w:rsidRPr="00EB7B5F">
        <w:rPr>
          <w:rFonts w:ascii="Garamond" w:hAnsi="Garamond"/>
        </w:rPr>
        <w:t>Epidyolex</w:t>
      </w:r>
      <w:proofErr w:type="spellEnd"/>
      <w:r w:rsidR="007C3CCB" w:rsidRPr="00EB7B5F">
        <w:rPr>
          <w:rFonts w:ascii="Garamond" w:hAnsi="Garamond"/>
        </w:rPr>
        <w:t xml:space="preserve"> for other types of epilepsy</w:t>
      </w:r>
      <w:r w:rsidR="006F2ED5" w:rsidRPr="00EB7B5F">
        <w:rPr>
          <w:rFonts w:ascii="Garamond" w:hAnsi="Garamond"/>
        </w:rPr>
        <w:t xml:space="preserve">) is an example of an innovative therapeutic option, but </w:t>
      </w:r>
      <w:r w:rsidR="007C3CCB" w:rsidRPr="00EB7B5F">
        <w:rPr>
          <w:rFonts w:ascii="Garamond" w:hAnsi="Garamond"/>
        </w:rPr>
        <w:t xml:space="preserve">there are fears that </w:t>
      </w:r>
      <w:r w:rsidR="006F2ED5" w:rsidRPr="00EB7B5F">
        <w:rPr>
          <w:rFonts w:ascii="Garamond" w:hAnsi="Garamond"/>
        </w:rPr>
        <w:t>the guideline</w:t>
      </w:r>
      <w:r w:rsidR="007C3CCB" w:rsidRPr="00EB7B5F">
        <w:rPr>
          <w:rFonts w:ascii="Garamond" w:hAnsi="Garamond"/>
        </w:rPr>
        <w:t xml:space="preserve"> will</w:t>
      </w:r>
      <w:r w:rsidR="006F2ED5" w:rsidRPr="00EB7B5F">
        <w:rPr>
          <w:rFonts w:ascii="Garamond" w:hAnsi="Garamond"/>
        </w:rPr>
        <w:t xml:space="preserve"> </w:t>
      </w:r>
      <w:r w:rsidR="00895793" w:rsidRPr="00EB7B5F">
        <w:rPr>
          <w:rFonts w:ascii="Garamond" w:hAnsi="Garamond"/>
        </w:rPr>
        <w:t xml:space="preserve">merely </w:t>
      </w:r>
      <w:r w:rsidR="00CE5002" w:rsidRPr="00EB7B5F">
        <w:rPr>
          <w:rFonts w:ascii="Garamond" w:hAnsi="Garamond"/>
        </w:rPr>
        <w:t xml:space="preserve">serve to sustain </w:t>
      </w:r>
      <w:r w:rsidR="006F2ED5" w:rsidRPr="00EB7B5F">
        <w:rPr>
          <w:rFonts w:ascii="Garamond" w:hAnsi="Garamond"/>
        </w:rPr>
        <w:t xml:space="preserve">the </w:t>
      </w:r>
      <w:r w:rsidR="006639C3" w:rsidRPr="00EB7B5F">
        <w:rPr>
          <w:rFonts w:ascii="Garamond" w:hAnsi="Garamond"/>
        </w:rPr>
        <w:t>deadlock</w:t>
      </w:r>
      <w:r w:rsidR="006F2ED5" w:rsidRPr="00EB7B5F">
        <w:rPr>
          <w:rFonts w:ascii="Garamond" w:hAnsi="Garamond"/>
        </w:rPr>
        <w:t xml:space="preserve"> around CBMP prescribing</w:t>
      </w:r>
      <w:r w:rsidR="007C3CCB" w:rsidRPr="00EB7B5F">
        <w:rPr>
          <w:rFonts w:ascii="Garamond" w:hAnsi="Garamond"/>
        </w:rPr>
        <w:t>.</w:t>
      </w:r>
      <w:r w:rsidR="006F2ED5" w:rsidRPr="00EB7B5F">
        <w:rPr>
          <w:rFonts w:ascii="Garamond" w:hAnsi="Garamond"/>
        </w:rPr>
        <w:t xml:space="preserve"> </w:t>
      </w:r>
    </w:p>
    <w:p w14:paraId="470C6ECB" w14:textId="1DFCC683" w:rsidR="00F05FA3" w:rsidRPr="00EB7B5F" w:rsidRDefault="00FC3DEC" w:rsidP="00DC780F">
      <w:pPr>
        <w:spacing w:line="480" w:lineRule="auto"/>
        <w:jc w:val="center"/>
        <w:rPr>
          <w:rFonts w:ascii="Garamond" w:hAnsi="Garamond"/>
          <w:b/>
          <w:bCs/>
          <w:i/>
          <w:iCs/>
        </w:rPr>
      </w:pPr>
      <w:r w:rsidRPr="00EB7B5F">
        <w:rPr>
          <w:rFonts w:ascii="Garamond" w:hAnsi="Garamond"/>
          <w:b/>
          <w:bCs/>
          <w:i/>
          <w:iCs/>
        </w:rPr>
        <w:t xml:space="preserve">Facilitating </w:t>
      </w:r>
      <w:r w:rsidR="00DC780F" w:rsidRPr="00EB7B5F">
        <w:rPr>
          <w:rFonts w:ascii="Garamond" w:hAnsi="Garamond"/>
          <w:b/>
          <w:bCs/>
          <w:i/>
          <w:iCs/>
        </w:rPr>
        <w:t>or Paralysing Innovative Prescribing?</w:t>
      </w:r>
    </w:p>
    <w:p w14:paraId="0107EA6A" w14:textId="40B9F7E3" w:rsidR="00E15424" w:rsidRPr="00EB7B5F" w:rsidRDefault="006F2ED5" w:rsidP="00A55C75">
      <w:pPr>
        <w:spacing w:line="480" w:lineRule="auto"/>
        <w:jc w:val="both"/>
        <w:rPr>
          <w:rFonts w:ascii="Garamond" w:hAnsi="Garamond" w:cs="Arial"/>
          <w:color w:val="000000"/>
        </w:rPr>
      </w:pPr>
      <w:r w:rsidRPr="00EB7B5F">
        <w:rPr>
          <w:rFonts w:ascii="Garamond" w:hAnsi="Garamond"/>
        </w:rPr>
        <w:t>The precise status and impact of NICE guidance on prescribing practices generally</w:t>
      </w:r>
      <w:r w:rsidR="006639C3" w:rsidRPr="00EB7B5F">
        <w:rPr>
          <w:rFonts w:ascii="Garamond" w:hAnsi="Garamond"/>
        </w:rPr>
        <w:t>,</w:t>
      </w:r>
      <w:r w:rsidRPr="00EB7B5F">
        <w:rPr>
          <w:rFonts w:ascii="Garamond" w:hAnsi="Garamond"/>
        </w:rPr>
        <w:t xml:space="preserve"> or in this context</w:t>
      </w:r>
      <w:r w:rsidR="006639C3" w:rsidRPr="00EB7B5F">
        <w:rPr>
          <w:rFonts w:ascii="Garamond" w:hAnsi="Garamond"/>
        </w:rPr>
        <w:t>,</w:t>
      </w:r>
      <w:r w:rsidRPr="00EB7B5F">
        <w:rPr>
          <w:rFonts w:ascii="Garamond" w:hAnsi="Garamond"/>
        </w:rPr>
        <w:t xml:space="preserve"> is unclear</w:t>
      </w:r>
      <w:r w:rsidR="00CE5002" w:rsidRPr="00EB7B5F">
        <w:rPr>
          <w:rFonts w:ascii="Garamond" w:hAnsi="Garamond"/>
        </w:rPr>
        <w:t xml:space="preserve"> - </w:t>
      </w:r>
      <w:r w:rsidRPr="00EB7B5F">
        <w:rPr>
          <w:rFonts w:ascii="Garamond" w:hAnsi="Garamond"/>
        </w:rPr>
        <w:t>much depend</w:t>
      </w:r>
      <w:r w:rsidR="00895793" w:rsidRPr="00EB7B5F">
        <w:rPr>
          <w:rFonts w:ascii="Garamond" w:hAnsi="Garamond"/>
        </w:rPr>
        <w:t>s</w:t>
      </w:r>
      <w:r w:rsidRPr="00EB7B5F">
        <w:rPr>
          <w:rFonts w:ascii="Garamond" w:hAnsi="Garamond"/>
        </w:rPr>
        <w:t xml:space="preserve"> on how doctors engage with it.</w:t>
      </w:r>
      <w:r w:rsidRPr="00EB7B5F">
        <w:rPr>
          <w:rFonts w:ascii="Garamond" w:hAnsi="Garamond"/>
          <w:vertAlign w:val="superscript"/>
        </w:rPr>
        <w:footnoteReference w:id="35"/>
      </w:r>
      <w:r w:rsidRPr="00EB7B5F">
        <w:rPr>
          <w:rFonts w:ascii="Garamond" w:hAnsi="Garamond"/>
        </w:rPr>
        <w:t xml:space="preserve"> </w:t>
      </w:r>
      <w:r w:rsidR="00EF316C" w:rsidRPr="00EB7B5F">
        <w:rPr>
          <w:rFonts w:ascii="Garamond" w:hAnsi="Garamond"/>
        </w:rPr>
        <w:t xml:space="preserve">On the one hand, </w:t>
      </w:r>
      <w:r w:rsidR="005C6F92" w:rsidRPr="00EB7B5F">
        <w:rPr>
          <w:rFonts w:ascii="Garamond" w:hAnsi="Garamond" w:cs="Arial"/>
          <w:color w:val="000000"/>
        </w:rPr>
        <w:t xml:space="preserve">NICE guidelines are </w:t>
      </w:r>
      <w:r w:rsidR="00EF316C" w:rsidRPr="00EB7B5F">
        <w:rPr>
          <w:rFonts w:ascii="Garamond" w:hAnsi="Garamond" w:cs="Arial"/>
          <w:color w:val="000000"/>
        </w:rPr>
        <w:t>widely</w:t>
      </w:r>
      <w:r w:rsidR="002318EA" w:rsidRPr="00EB7B5F">
        <w:rPr>
          <w:rFonts w:ascii="Garamond" w:hAnsi="Garamond" w:cs="Arial"/>
          <w:color w:val="000000"/>
        </w:rPr>
        <w:t xml:space="preserve"> </w:t>
      </w:r>
      <w:r w:rsidR="00BB0236" w:rsidRPr="00EB7B5F">
        <w:rPr>
          <w:rFonts w:ascii="Garamond" w:hAnsi="Garamond" w:cs="Arial"/>
          <w:color w:val="000000"/>
        </w:rPr>
        <w:t>perceived</w:t>
      </w:r>
      <w:r w:rsidR="002318EA" w:rsidRPr="00EB7B5F">
        <w:rPr>
          <w:rFonts w:ascii="Garamond" w:hAnsi="Garamond" w:cs="Arial"/>
          <w:color w:val="000000"/>
        </w:rPr>
        <w:t xml:space="preserve"> as constraining clinical freedom</w:t>
      </w:r>
      <w:r w:rsidR="00FD494D" w:rsidRPr="00EB7B5F">
        <w:rPr>
          <w:rFonts w:ascii="Garamond" w:hAnsi="Garamond" w:cs="Arial"/>
          <w:color w:val="000000"/>
        </w:rPr>
        <w:t>,</w:t>
      </w:r>
      <w:r w:rsidR="002318EA" w:rsidRPr="00EB7B5F">
        <w:rPr>
          <w:rStyle w:val="FootnoteReference"/>
          <w:rFonts w:ascii="Garamond" w:hAnsi="Garamond" w:cs="Arial"/>
          <w:color w:val="000000"/>
        </w:rPr>
        <w:footnoteReference w:id="36"/>
      </w:r>
      <w:r w:rsidR="00BB0236" w:rsidRPr="00EB7B5F">
        <w:rPr>
          <w:rFonts w:ascii="Garamond" w:hAnsi="Garamond" w:cs="Arial"/>
          <w:color w:val="000000"/>
        </w:rPr>
        <w:t xml:space="preserve"> and </w:t>
      </w:r>
      <w:r w:rsidR="00BB0236" w:rsidRPr="00EB7B5F">
        <w:rPr>
          <w:rFonts w:ascii="Garamond" w:eastAsia="Times New Roman" w:hAnsi="Garamond" w:cs="Arial"/>
          <w:color w:val="000000"/>
          <w:lang w:eastAsia="en-GB"/>
        </w:rPr>
        <w:t xml:space="preserve">NICE recognises that the wording of its guideline on </w:t>
      </w:r>
      <w:r w:rsidR="00BB0236" w:rsidRPr="00EB7B5F">
        <w:rPr>
          <w:rFonts w:ascii="Garamond" w:eastAsia="Times New Roman" w:hAnsi="Garamond" w:cs="Arial"/>
          <w:color w:val="000000"/>
          <w:lang w:eastAsia="en-GB"/>
        </w:rPr>
        <w:lastRenderedPageBreak/>
        <w:t>CBMPs and ‘chronic pain’ is likely to have a chilling effect on prescriptions in this area.</w:t>
      </w:r>
      <w:r w:rsidR="00BB0236" w:rsidRPr="00EB7B5F">
        <w:rPr>
          <w:rFonts w:ascii="Garamond" w:eastAsia="Times New Roman" w:hAnsi="Garamond" w:cs="Arial"/>
          <w:color w:val="000000"/>
          <w:vertAlign w:val="superscript"/>
          <w:lang w:eastAsia="en-GB"/>
        </w:rPr>
        <w:footnoteReference w:id="37"/>
      </w:r>
      <w:r w:rsidR="00BB0236" w:rsidRPr="00EB7B5F">
        <w:rPr>
          <w:rFonts w:ascii="Garamond" w:eastAsia="Times New Roman" w:hAnsi="Garamond" w:cs="Arial"/>
          <w:color w:val="000000"/>
          <w:lang w:eastAsia="en-GB"/>
        </w:rPr>
        <w:t xml:space="preserve"> </w:t>
      </w:r>
      <w:r w:rsidR="00F05FA3" w:rsidRPr="00EB7B5F">
        <w:rPr>
          <w:rFonts w:ascii="Garamond" w:hAnsi="Garamond" w:cs="Arial"/>
          <w:color w:val="000000"/>
        </w:rPr>
        <w:t xml:space="preserve">Defensive approaches to doctoring may rule out even considering prescribing medicinal cannabis, except (perhaps) in situations which fall squarely within the NICE recommendation, due to a fear that departing from the guideline will invite the possibility of challenge, complaint or litigation. </w:t>
      </w:r>
      <w:r w:rsidR="00FD494D" w:rsidRPr="00EB7B5F">
        <w:rPr>
          <w:rFonts w:ascii="Garamond" w:hAnsi="Garamond" w:cs="Arial"/>
          <w:color w:val="000000"/>
        </w:rPr>
        <w:t>G</w:t>
      </w:r>
      <w:r w:rsidR="00F05FA3" w:rsidRPr="00EB7B5F">
        <w:rPr>
          <w:rFonts w:ascii="Garamond" w:hAnsi="Garamond" w:cs="Arial"/>
          <w:color w:val="000000"/>
        </w:rPr>
        <w:t>uidance</w:t>
      </w:r>
      <w:r w:rsidR="00FD494D" w:rsidRPr="00EB7B5F">
        <w:rPr>
          <w:rFonts w:ascii="Garamond" w:hAnsi="Garamond" w:cs="Arial"/>
          <w:color w:val="000000"/>
        </w:rPr>
        <w:t xml:space="preserve"> issued by professional bodies</w:t>
      </w:r>
      <w:r w:rsidR="00F05FA3" w:rsidRPr="00EB7B5F">
        <w:rPr>
          <w:rFonts w:ascii="Garamond" w:hAnsi="Garamond" w:cs="Arial"/>
          <w:color w:val="000000"/>
        </w:rPr>
        <w:t xml:space="preserve"> only amplifies these concerns, repeating with mantra-like frequency, ‘the responsibility of prescribing a (cannabis product) will remain with the prescribing clinician’ with no further explanation of what </w:t>
      </w:r>
      <w:r w:rsidR="00FD494D" w:rsidRPr="00EB7B5F">
        <w:rPr>
          <w:rFonts w:ascii="Garamond" w:hAnsi="Garamond" w:cs="Arial"/>
          <w:color w:val="000000"/>
        </w:rPr>
        <w:t xml:space="preserve">this </w:t>
      </w:r>
      <w:r w:rsidR="00F05FA3" w:rsidRPr="00EB7B5F">
        <w:rPr>
          <w:rFonts w:ascii="Garamond" w:hAnsi="Garamond" w:cs="Arial"/>
          <w:color w:val="000000"/>
        </w:rPr>
        <w:t>means.</w:t>
      </w:r>
      <w:r w:rsidR="00F05FA3" w:rsidRPr="00EB7B5F">
        <w:rPr>
          <w:rFonts w:ascii="Garamond" w:hAnsi="Garamond" w:cs="Arial"/>
          <w:color w:val="000000"/>
          <w:vertAlign w:val="superscript"/>
        </w:rPr>
        <w:footnoteReference w:id="38"/>
      </w:r>
      <w:r w:rsidR="00F05FA3" w:rsidRPr="00EB7B5F">
        <w:rPr>
          <w:rFonts w:ascii="Garamond" w:hAnsi="Garamond" w:cs="Arial"/>
          <w:color w:val="000000"/>
        </w:rPr>
        <w:t xml:space="preserve"> </w:t>
      </w:r>
      <w:r w:rsidR="00F35FD1" w:rsidRPr="00EB7B5F">
        <w:rPr>
          <w:rFonts w:ascii="Garamond" w:hAnsi="Garamond" w:cs="Arial"/>
          <w:color w:val="000000"/>
        </w:rPr>
        <w:t xml:space="preserve">NICE guidance is in effect the conduit through which NHS prescriptions of cannabis products might be reliably accessed, but it also </w:t>
      </w:r>
      <w:r w:rsidR="00BB0236" w:rsidRPr="00EB7B5F">
        <w:rPr>
          <w:rFonts w:ascii="Garamond" w:hAnsi="Garamond" w:cs="Arial"/>
          <w:color w:val="000000"/>
        </w:rPr>
        <w:t xml:space="preserve">has an </w:t>
      </w:r>
      <w:r w:rsidR="00F35FD1" w:rsidRPr="00EB7B5F">
        <w:rPr>
          <w:rFonts w:ascii="Garamond" w:hAnsi="Garamond" w:cs="Arial"/>
          <w:color w:val="000000"/>
        </w:rPr>
        <w:t xml:space="preserve">impact on private practice because of its relationship with the standard of care. </w:t>
      </w:r>
      <w:r w:rsidR="00F05FA3" w:rsidRPr="00EB7B5F">
        <w:rPr>
          <w:rFonts w:ascii="Garamond" w:hAnsi="Garamond" w:cs="Arial"/>
          <w:color w:val="000000"/>
        </w:rPr>
        <w:t>Although we know little about practitioner application of NICE guidelines, we do know they are used by lawyers in negligence litigation</w:t>
      </w:r>
      <w:r w:rsidR="006639C3" w:rsidRPr="00EB7B5F">
        <w:rPr>
          <w:rFonts w:ascii="Garamond" w:hAnsi="Garamond" w:cs="Arial"/>
          <w:color w:val="000000"/>
        </w:rPr>
        <w:t>.</w:t>
      </w:r>
      <w:r w:rsidR="005C6F92" w:rsidRPr="00EB7B5F">
        <w:rPr>
          <w:rStyle w:val="FootnoteReference"/>
          <w:rFonts w:ascii="Garamond" w:hAnsi="Garamond" w:cs="Arial"/>
          <w:color w:val="000000"/>
        </w:rPr>
        <w:footnoteReference w:id="39"/>
      </w:r>
      <w:r w:rsidR="005C6F92" w:rsidRPr="00EB7B5F">
        <w:rPr>
          <w:rFonts w:ascii="Garamond" w:hAnsi="Garamond" w:cs="Arial"/>
          <w:color w:val="000000"/>
        </w:rPr>
        <w:t xml:space="preserve">  </w:t>
      </w:r>
      <w:r w:rsidR="006639C3" w:rsidRPr="00EB7B5F">
        <w:rPr>
          <w:rFonts w:ascii="Garamond" w:hAnsi="Garamond" w:cs="Arial"/>
          <w:color w:val="000000"/>
        </w:rPr>
        <w:t>They are often observed</w:t>
      </w:r>
      <w:r w:rsidR="005C6F92" w:rsidRPr="00EB7B5F">
        <w:rPr>
          <w:rFonts w:ascii="Garamond" w:hAnsi="Garamond" w:cs="Arial"/>
          <w:color w:val="000000"/>
        </w:rPr>
        <w:t xml:space="preserve"> as part of the claimant’s narrative that there was a failure to ‘comply’ with the guideline and that this is </w:t>
      </w:r>
      <w:r w:rsidR="006639C3" w:rsidRPr="00EB7B5F">
        <w:rPr>
          <w:rFonts w:ascii="Garamond" w:hAnsi="Garamond" w:cs="Arial"/>
          <w:color w:val="000000"/>
        </w:rPr>
        <w:t>indicative</w:t>
      </w:r>
      <w:r w:rsidR="005C6F92" w:rsidRPr="00EB7B5F">
        <w:rPr>
          <w:rFonts w:ascii="Garamond" w:hAnsi="Garamond" w:cs="Arial"/>
          <w:color w:val="000000"/>
        </w:rPr>
        <w:t xml:space="preserve"> of a finding of negligence.</w:t>
      </w:r>
      <w:r w:rsidR="00EC3E39" w:rsidRPr="00EB7B5F">
        <w:rPr>
          <w:rFonts w:ascii="Garamond" w:hAnsi="Garamond" w:cs="Arial"/>
          <w:color w:val="000000"/>
        </w:rPr>
        <w:t xml:space="preserve"> </w:t>
      </w:r>
      <w:r w:rsidR="00407246" w:rsidRPr="00EB7B5F">
        <w:rPr>
          <w:rFonts w:ascii="Garamond" w:hAnsi="Garamond" w:cs="Arial"/>
          <w:color w:val="000000"/>
        </w:rPr>
        <w:t xml:space="preserve">Doctors may harbour concerns that if trial of a cannabis product with a </w:t>
      </w:r>
      <w:proofErr w:type="gramStart"/>
      <w:r w:rsidR="00407246" w:rsidRPr="00EB7B5F">
        <w:rPr>
          <w:rFonts w:ascii="Garamond" w:hAnsi="Garamond" w:cs="Arial"/>
          <w:color w:val="000000"/>
        </w:rPr>
        <w:t>patient results</w:t>
      </w:r>
      <w:proofErr w:type="gramEnd"/>
      <w:r w:rsidR="00407246" w:rsidRPr="00EB7B5F">
        <w:rPr>
          <w:rFonts w:ascii="Garamond" w:hAnsi="Garamond" w:cs="Arial"/>
          <w:color w:val="000000"/>
        </w:rPr>
        <w:t xml:space="preserve"> in </w:t>
      </w:r>
      <w:r w:rsidR="00EF316C" w:rsidRPr="00EB7B5F">
        <w:rPr>
          <w:rFonts w:ascii="Garamond" w:hAnsi="Garamond" w:cs="Arial"/>
          <w:color w:val="000000"/>
        </w:rPr>
        <w:t xml:space="preserve">unanticipated </w:t>
      </w:r>
      <w:r w:rsidR="00407246" w:rsidRPr="00EB7B5F">
        <w:rPr>
          <w:rFonts w:ascii="Garamond" w:hAnsi="Garamond" w:cs="Arial"/>
          <w:color w:val="000000"/>
        </w:rPr>
        <w:t>side effects, the patient may</w:t>
      </w:r>
      <w:r w:rsidR="007426B6" w:rsidRPr="00EB7B5F">
        <w:rPr>
          <w:rFonts w:ascii="Garamond" w:hAnsi="Garamond" w:cs="Arial"/>
          <w:color w:val="000000"/>
        </w:rPr>
        <w:t xml:space="preserve"> </w:t>
      </w:r>
      <w:proofErr w:type="spellStart"/>
      <w:r w:rsidR="007426B6" w:rsidRPr="00EB7B5F">
        <w:rPr>
          <w:rFonts w:ascii="Garamond" w:hAnsi="Garamond" w:cs="Arial"/>
          <w:color w:val="000000"/>
        </w:rPr>
        <w:t>weaponise</w:t>
      </w:r>
      <w:proofErr w:type="spellEnd"/>
      <w:r w:rsidR="00407246" w:rsidRPr="00EB7B5F">
        <w:rPr>
          <w:rFonts w:ascii="Garamond" w:hAnsi="Garamond" w:cs="Arial"/>
          <w:color w:val="000000"/>
        </w:rPr>
        <w:t xml:space="preserve"> departure from the NICE guideline to bolster </w:t>
      </w:r>
      <w:r w:rsidR="003B2685" w:rsidRPr="00EB7B5F">
        <w:rPr>
          <w:rFonts w:ascii="Garamond" w:hAnsi="Garamond" w:cs="Arial"/>
          <w:color w:val="000000"/>
        </w:rPr>
        <w:t>an</w:t>
      </w:r>
      <w:r w:rsidR="00407246" w:rsidRPr="00EB7B5F">
        <w:rPr>
          <w:rFonts w:ascii="Garamond" w:hAnsi="Garamond" w:cs="Arial"/>
          <w:color w:val="000000"/>
        </w:rPr>
        <w:t xml:space="preserve"> allegation of negligence or impaired fitness to practice.</w:t>
      </w:r>
      <w:r w:rsidR="003C6B75" w:rsidRPr="00EB7B5F">
        <w:rPr>
          <w:rFonts w:ascii="Garamond" w:hAnsi="Garamond" w:cs="Arial"/>
          <w:bCs/>
          <w:color w:val="000000"/>
          <w:vertAlign w:val="superscript"/>
        </w:rPr>
        <w:footnoteReference w:id="40"/>
      </w:r>
      <w:r w:rsidR="00407246" w:rsidRPr="00EB7B5F">
        <w:rPr>
          <w:rFonts w:ascii="Garamond" w:hAnsi="Garamond" w:cs="Arial"/>
          <w:color w:val="000000"/>
        </w:rPr>
        <w:t xml:space="preserve"> </w:t>
      </w:r>
    </w:p>
    <w:p w14:paraId="22A07A3A" w14:textId="3348B0EB" w:rsidR="00226EAA" w:rsidRPr="00EB7B5F" w:rsidRDefault="00BB0236" w:rsidP="00A55C75">
      <w:pPr>
        <w:pStyle w:val="legclearfix"/>
        <w:shd w:val="clear" w:color="auto" w:fill="FFFFFF"/>
        <w:spacing w:after="120" w:line="480" w:lineRule="auto"/>
        <w:jc w:val="both"/>
        <w:rPr>
          <w:rFonts w:ascii="Garamond" w:hAnsi="Garamond" w:cs="Arial"/>
          <w:color w:val="000000"/>
          <w:sz w:val="22"/>
          <w:szCs w:val="22"/>
        </w:rPr>
      </w:pPr>
      <w:r w:rsidRPr="00EB7B5F">
        <w:rPr>
          <w:rFonts w:ascii="Garamond" w:hAnsi="Garamond" w:cs="Arial"/>
          <w:color w:val="000000"/>
          <w:sz w:val="22"/>
          <w:szCs w:val="22"/>
        </w:rPr>
        <w:t xml:space="preserve">However, guidance </w:t>
      </w:r>
      <w:r w:rsidR="00E15424" w:rsidRPr="00EB7B5F">
        <w:rPr>
          <w:rFonts w:ascii="Garamond" w:hAnsi="Garamond" w:cs="Arial"/>
          <w:color w:val="000000"/>
          <w:sz w:val="22"/>
          <w:szCs w:val="22"/>
        </w:rPr>
        <w:t>do</w:t>
      </w:r>
      <w:r w:rsidRPr="00EB7B5F">
        <w:rPr>
          <w:rFonts w:ascii="Garamond" w:hAnsi="Garamond" w:cs="Arial"/>
          <w:color w:val="000000"/>
          <w:sz w:val="22"/>
          <w:szCs w:val="22"/>
        </w:rPr>
        <w:t>es</w:t>
      </w:r>
      <w:r w:rsidR="00E15424" w:rsidRPr="00EB7B5F">
        <w:rPr>
          <w:rFonts w:ascii="Garamond" w:hAnsi="Garamond" w:cs="Arial"/>
          <w:color w:val="000000"/>
          <w:sz w:val="22"/>
          <w:szCs w:val="22"/>
        </w:rPr>
        <w:t xml:space="preserve"> not take the place of clinical judgement in relation to individual patients</w:t>
      </w:r>
      <w:r w:rsidR="00E15424" w:rsidRPr="00EB7B5F">
        <w:rPr>
          <w:rFonts w:ascii="Garamond" w:hAnsi="Garamond" w:cs="Arial"/>
          <w:color w:val="000000"/>
          <w:sz w:val="22"/>
          <w:szCs w:val="22"/>
          <w:vertAlign w:val="superscript"/>
        </w:rPr>
        <w:footnoteReference w:id="41"/>
      </w:r>
      <w:r w:rsidR="00E15424" w:rsidRPr="00EB7B5F">
        <w:rPr>
          <w:rFonts w:ascii="Garamond" w:hAnsi="Garamond" w:cs="Arial"/>
          <w:color w:val="000000"/>
          <w:sz w:val="22"/>
          <w:szCs w:val="22"/>
        </w:rPr>
        <w:t xml:space="preserve"> and </w:t>
      </w:r>
      <w:r w:rsidRPr="00EB7B5F">
        <w:rPr>
          <w:rFonts w:ascii="Garamond" w:hAnsi="Garamond" w:cs="Arial"/>
          <w:color w:val="000000"/>
          <w:sz w:val="22"/>
          <w:szCs w:val="22"/>
        </w:rPr>
        <w:t>the NICE guidelines</w:t>
      </w:r>
      <w:r w:rsidR="00B962AF" w:rsidRPr="00EB7B5F">
        <w:rPr>
          <w:rFonts w:ascii="Garamond" w:hAnsi="Garamond" w:cs="Arial"/>
          <w:color w:val="000000"/>
          <w:sz w:val="22"/>
          <w:szCs w:val="22"/>
        </w:rPr>
        <w:t xml:space="preserve"> explicitly</w:t>
      </w:r>
      <w:r w:rsidRPr="00EB7B5F">
        <w:rPr>
          <w:rFonts w:ascii="Garamond" w:hAnsi="Garamond" w:cs="Arial"/>
          <w:color w:val="000000"/>
          <w:sz w:val="22"/>
          <w:szCs w:val="22"/>
        </w:rPr>
        <w:t xml:space="preserve"> </w:t>
      </w:r>
      <w:r w:rsidR="00B962AF" w:rsidRPr="00EB7B5F">
        <w:rPr>
          <w:rFonts w:ascii="Garamond" w:hAnsi="Garamond" w:cs="Arial"/>
          <w:color w:val="000000"/>
          <w:sz w:val="22"/>
          <w:szCs w:val="22"/>
        </w:rPr>
        <w:t xml:space="preserve">remind practitioners </w:t>
      </w:r>
      <w:r w:rsidR="00E15424" w:rsidRPr="00EB7B5F">
        <w:rPr>
          <w:rFonts w:ascii="Garamond" w:hAnsi="Garamond" w:cs="Arial"/>
          <w:color w:val="000000"/>
          <w:sz w:val="22"/>
          <w:szCs w:val="22"/>
        </w:rPr>
        <w:t>that they are ‘not mandatory’.</w:t>
      </w:r>
      <w:r w:rsidR="00E15424" w:rsidRPr="00EB7B5F">
        <w:rPr>
          <w:rFonts w:ascii="Garamond" w:hAnsi="Garamond" w:cs="Arial"/>
          <w:color w:val="000000"/>
          <w:sz w:val="22"/>
          <w:szCs w:val="22"/>
          <w:vertAlign w:val="superscript"/>
        </w:rPr>
        <w:footnoteReference w:id="42"/>
      </w:r>
      <w:r w:rsidR="00E15424" w:rsidRPr="00EB7B5F">
        <w:rPr>
          <w:rFonts w:ascii="Garamond" w:hAnsi="Garamond" w:cs="Arial"/>
          <w:color w:val="000000"/>
          <w:sz w:val="22"/>
          <w:szCs w:val="22"/>
        </w:rPr>
        <w:t xml:space="preserve"> </w:t>
      </w:r>
      <w:r w:rsidR="009D7B34" w:rsidRPr="00EB7B5F">
        <w:rPr>
          <w:rFonts w:ascii="Garamond" w:hAnsi="Garamond" w:cs="Arial"/>
          <w:color w:val="000000"/>
          <w:sz w:val="22"/>
          <w:szCs w:val="22"/>
        </w:rPr>
        <w:t xml:space="preserve">Recent </w:t>
      </w:r>
      <w:r w:rsidRPr="00EB7B5F">
        <w:rPr>
          <w:rFonts w:ascii="Garamond" w:hAnsi="Garamond" w:cs="Arial"/>
          <w:color w:val="000000"/>
          <w:sz w:val="22"/>
          <w:szCs w:val="22"/>
        </w:rPr>
        <w:t xml:space="preserve">court </w:t>
      </w:r>
      <w:r w:rsidR="009D7B34" w:rsidRPr="00EB7B5F">
        <w:rPr>
          <w:rFonts w:ascii="Garamond" w:hAnsi="Garamond" w:cs="Arial"/>
          <w:color w:val="000000"/>
          <w:sz w:val="22"/>
          <w:szCs w:val="22"/>
        </w:rPr>
        <w:t>judgments</w:t>
      </w:r>
      <w:r w:rsidR="003B2685" w:rsidRPr="00EB7B5F">
        <w:rPr>
          <w:rFonts w:ascii="Garamond" w:hAnsi="Garamond" w:cs="Arial"/>
          <w:color w:val="000000"/>
          <w:sz w:val="22"/>
          <w:szCs w:val="22"/>
        </w:rPr>
        <w:t xml:space="preserve"> consistently </w:t>
      </w:r>
      <w:r w:rsidR="009D7B34" w:rsidRPr="00EB7B5F">
        <w:rPr>
          <w:rFonts w:ascii="Garamond" w:hAnsi="Garamond" w:cs="Arial"/>
          <w:color w:val="000000"/>
          <w:sz w:val="22"/>
          <w:szCs w:val="22"/>
        </w:rPr>
        <w:t xml:space="preserve">emphasise that </w:t>
      </w:r>
      <w:r w:rsidR="005C6F92" w:rsidRPr="00EB7B5F">
        <w:rPr>
          <w:rFonts w:ascii="Garamond" w:hAnsi="Garamond" w:cs="Arial"/>
          <w:color w:val="000000"/>
          <w:sz w:val="22"/>
          <w:szCs w:val="22"/>
        </w:rPr>
        <w:t>NICE gu</w:t>
      </w:r>
      <w:r w:rsidR="00D1132B" w:rsidRPr="00EB7B5F">
        <w:rPr>
          <w:rFonts w:ascii="Garamond" w:hAnsi="Garamond" w:cs="Arial"/>
          <w:color w:val="000000"/>
          <w:sz w:val="22"/>
          <w:szCs w:val="22"/>
        </w:rPr>
        <w:t xml:space="preserve">idance and the </w:t>
      </w:r>
      <w:r w:rsidR="009D7B34" w:rsidRPr="00EB7B5F">
        <w:rPr>
          <w:rFonts w:ascii="Garamond" w:hAnsi="Garamond" w:cs="Arial"/>
          <w:color w:val="000000"/>
          <w:sz w:val="22"/>
          <w:szCs w:val="22"/>
        </w:rPr>
        <w:t xml:space="preserve">clinician’s </w:t>
      </w:r>
      <w:r w:rsidR="00D1132B" w:rsidRPr="00EB7B5F">
        <w:rPr>
          <w:rFonts w:ascii="Garamond" w:hAnsi="Garamond" w:cs="Arial"/>
          <w:color w:val="000000"/>
          <w:sz w:val="22"/>
          <w:szCs w:val="22"/>
        </w:rPr>
        <w:t>standard of care</w:t>
      </w:r>
      <w:r w:rsidR="00EF316C" w:rsidRPr="00EB7B5F">
        <w:rPr>
          <w:rFonts w:ascii="Garamond" w:hAnsi="Garamond" w:cs="Arial"/>
          <w:color w:val="000000"/>
          <w:sz w:val="22"/>
          <w:szCs w:val="22"/>
        </w:rPr>
        <w:t xml:space="preserve"> </w:t>
      </w:r>
      <w:r w:rsidR="00D349D1" w:rsidRPr="00EB7B5F">
        <w:rPr>
          <w:rFonts w:ascii="Garamond" w:hAnsi="Garamond" w:cs="Arial"/>
          <w:color w:val="000000"/>
          <w:sz w:val="22"/>
          <w:szCs w:val="22"/>
        </w:rPr>
        <w:t xml:space="preserve">are not </w:t>
      </w:r>
      <w:r w:rsidR="00EF316C" w:rsidRPr="00EB7B5F">
        <w:rPr>
          <w:rFonts w:ascii="Garamond" w:hAnsi="Garamond" w:cs="Arial"/>
          <w:color w:val="000000"/>
          <w:sz w:val="22"/>
          <w:szCs w:val="22"/>
        </w:rPr>
        <w:t>coextensive</w:t>
      </w:r>
      <w:r w:rsidR="00D1132B" w:rsidRPr="00EB7B5F">
        <w:rPr>
          <w:rFonts w:ascii="Garamond" w:hAnsi="Garamond" w:cs="Arial"/>
          <w:color w:val="000000"/>
          <w:sz w:val="22"/>
          <w:szCs w:val="22"/>
        </w:rPr>
        <w:t xml:space="preserve">. </w:t>
      </w:r>
      <w:r w:rsidR="003B2685" w:rsidRPr="00EB7B5F">
        <w:rPr>
          <w:rFonts w:ascii="Garamond" w:hAnsi="Garamond" w:cs="Arial"/>
          <w:color w:val="000000"/>
          <w:sz w:val="22"/>
          <w:szCs w:val="22"/>
        </w:rPr>
        <w:t>I</w:t>
      </w:r>
      <w:r w:rsidR="00D1132B" w:rsidRPr="00EB7B5F">
        <w:rPr>
          <w:rFonts w:ascii="Garamond" w:hAnsi="Garamond" w:cs="Arial"/>
          <w:color w:val="000000"/>
          <w:sz w:val="22"/>
          <w:szCs w:val="22"/>
        </w:rPr>
        <w:t xml:space="preserve">n </w:t>
      </w:r>
      <w:r w:rsidR="00D1132B" w:rsidRPr="00EB7B5F">
        <w:rPr>
          <w:rFonts w:ascii="Garamond" w:hAnsi="Garamond" w:cs="Arial"/>
          <w:i/>
          <w:color w:val="000000"/>
          <w:sz w:val="22"/>
          <w:szCs w:val="22"/>
        </w:rPr>
        <w:t>Darnley v Croydon</w:t>
      </w:r>
      <w:r w:rsidR="00072EAF" w:rsidRPr="00EB7B5F">
        <w:rPr>
          <w:rFonts w:ascii="Garamond" w:hAnsi="Garamond" w:cs="Arial"/>
          <w:color w:val="000000"/>
          <w:sz w:val="22"/>
          <w:szCs w:val="22"/>
        </w:rPr>
        <w:t xml:space="preserve"> </w:t>
      </w:r>
      <w:r w:rsidR="00072EAF" w:rsidRPr="00EB7B5F">
        <w:rPr>
          <w:rFonts w:ascii="Garamond" w:hAnsi="Garamond" w:cs="Arial"/>
          <w:i/>
          <w:color w:val="000000"/>
          <w:sz w:val="22"/>
          <w:szCs w:val="22"/>
        </w:rPr>
        <w:t>Services NHS Trust</w:t>
      </w:r>
      <w:r w:rsidR="00072EAF" w:rsidRPr="00EB7B5F">
        <w:rPr>
          <w:rFonts w:ascii="Garamond" w:hAnsi="Garamond" w:cs="Arial"/>
          <w:color w:val="000000"/>
          <w:sz w:val="22"/>
          <w:szCs w:val="22"/>
        </w:rPr>
        <w:t xml:space="preserve">, </w:t>
      </w:r>
      <w:r w:rsidR="00D1132B" w:rsidRPr="00EB7B5F">
        <w:rPr>
          <w:rFonts w:ascii="Garamond" w:hAnsi="Garamond" w:cs="Arial"/>
          <w:color w:val="000000"/>
          <w:sz w:val="22"/>
          <w:szCs w:val="22"/>
        </w:rPr>
        <w:t>Robinson J regarded the argument that failing to meet a NICE guideline</w:t>
      </w:r>
      <w:r w:rsidR="00072EAF" w:rsidRPr="00EB7B5F">
        <w:rPr>
          <w:rFonts w:ascii="Garamond" w:hAnsi="Garamond" w:cs="Arial"/>
          <w:color w:val="000000"/>
          <w:sz w:val="22"/>
          <w:szCs w:val="22"/>
        </w:rPr>
        <w:t xml:space="preserve"> on target waiting times in A&amp;E</w:t>
      </w:r>
      <w:r w:rsidR="00D1132B" w:rsidRPr="00EB7B5F">
        <w:rPr>
          <w:rFonts w:ascii="Garamond" w:hAnsi="Garamond" w:cs="Arial"/>
          <w:color w:val="000000"/>
          <w:sz w:val="22"/>
          <w:szCs w:val="22"/>
        </w:rPr>
        <w:t xml:space="preserve"> represented suboptimal care and therefore negligence</w:t>
      </w:r>
      <w:r w:rsidR="00072EAF" w:rsidRPr="00EB7B5F">
        <w:rPr>
          <w:rFonts w:ascii="Garamond" w:hAnsi="Garamond" w:cs="Arial"/>
          <w:color w:val="000000"/>
          <w:sz w:val="22"/>
          <w:szCs w:val="22"/>
        </w:rPr>
        <w:t>,</w:t>
      </w:r>
      <w:r w:rsidR="00D1132B" w:rsidRPr="00EB7B5F">
        <w:rPr>
          <w:rFonts w:ascii="Garamond" w:hAnsi="Garamond" w:cs="Arial"/>
          <w:color w:val="000000"/>
          <w:sz w:val="22"/>
          <w:szCs w:val="22"/>
        </w:rPr>
        <w:t xml:space="preserve"> as ‘superficially </w:t>
      </w:r>
      <w:r w:rsidR="00D1132B" w:rsidRPr="00EB7B5F">
        <w:rPr>
          <w:rFonts w:ascii="Garamond" w:hAnsi="Garamond" w:cs="Arial"/>
          <w:color w:val="000000"/>
          <w:sz w:val="22"/>
          <w:szCs w:val="22"/>
        </w:rPr>
        <w:lastRenderedPageBreak/>
        <w:t>attractive’</w:t>
      </w:r>
      <w:r w:rsidR="003B2685" w:rsidRPr="00EB7B5F">
        <w:rPr>
          <w:rFonts w:ascii="Garamond" w:hAnsi="Garamond" w:cs="Arial"/>
          <w:color w:val="000000"/>
          <w:sz w:val="22"/>
          <w:szCs w:val="22"/>
        </w:rPr>
        <w:t xml:space="preserve"> whilst observing</w:t>
      </w:r>
      <w:r w:rsidR="00D1132B" w:rsidRPr="00EB7B5F">
        <w:rPr>
          <w:rFonts w:ascii="Garamond" w:hAnsi="Garamond" w:cs="Arial"/>
          <w:color w:val="000000"/>
          <w:sz w:val="22"/>
          <w:szCs w:val="22"/>
        </w:rPr>
        <w:t xml:space="preserve"> that ‘</w:t>
      </w:r>
      <w:r w:rsidR="00072EAF" w:rsidRPr="00EB7B5F">
        <w:rPr>
          <w:rFonts w:ascii="Garamond" w:hAnsi="Garamond" w:cs="Arial"/>
          <w:color w:val="000000"/>
          <w:sz w:val="22"/>
          <w:szCs w:val="22"/>
        </w:rPr>
        <w:t>the real world is not so simple.</w:t>
      </w:r>
      <w:r w:rsidR="00D1132B" w:rsidRPr="00EB7B5F">
        <w:rPr>
          <w:rFonts w:ascii="Garamond" w:hAnsi="Garamond" w:cs="Arial"/>
          <w:color w:val="000000"/>
          <w:sz w:val="22"/>
          <w:szCs w:val="22"/>
        </w:rPr>
        <w:t>’</w:t>
      </w:r>
      <w:r w:rsidR="00D1132B" w:rsidRPr="00EB7B5F">
        <w:rPr>
          <w:rStyle w:val="FootnoteReference"/>
          <w:rFonts w:ascii="Garamond" w:hAnsi="Garamond" w:cs="Arial"/>
          <w:color w:val="000000"/>
          <w:sz w:val="22"/>
          <w:szCs w:val="22"/>
        </w:rPr>
        <w:footnoteReference w:id="43"/>
      </w:r>
      <w:r w:rsidR="00D1132B" w:rsidRPr="00EB7B5F">
        <w:rPr>
          <w:rFonts w:ascii="Garamond" w:hAnsi="Garamond" w:cs="Arial"/>
          <w:color w:val="000000"/>
          <w:sz w:val="22"/>
          <w:szCs w:val="22"/>
        </w:rPr>
        <w:t xml:space="preserve"> </w:t>
      </w:r>
      <w:r w:rsidR="00DC7827" w:rsidRPr="00EB7B5F">
        <w:rPr>
          <w:rFonts w:ascii="Garamond" w:hAnsi="Garamond" w:cs="Arial"/>
          <w:color w:val="000000"/>
          <w:sz w:val="22"/>
          <w:szCs w:val="22"/>
        </w:rPr>
        <w:t>In</w:t>
      </w:r>
      <w:r w:rsidR="00572EA5" w:rsidRPr="00EB7B5F">
        <w:rPr>
          <w:rFonts w:ascii="Garamond" w:hAnsi="Garamond" w:cs="Arial"/>
          <w:color w:val="000000"/>
          <w:sz w:val="22"/>
          <w:szCs w:val="22"/>
        </w:rPr>
        <w:t xml:space="preserve"> </w:t>
      </w:r>
      <w:r w:rsidR="00DC7827" w:rsidRPr="00EB7B5F">
        <w:rPr>
          <w:rFonts w:ascii="Garamond" w:hAnsi="Garamond" w:cs="Arial"/>
          <w:i/>
          <w:iCs/>
          <w:color w:val="000000"/>
          <w:sz w:val="22"/>
          <w:szCs w:val="22"/>
        </w:rPr>
        <w:t xml:space="preserve">Price v Cwm </w:t>
      </w:r>
      <w:proofErr w:type="spellStart"/>
      <w:r w:rsidR="00DC7827" w:rsidRPr="00EB7B5F">
        <w:rPr>
          <w:rFonts w:ascii="Garamond" w:hAnsi="Garamond" w:cs="Arial"/>
          <w:i/>
          <w:iCs/>
          <w:color w:val="000000"/>
          <w:sz w:val="22"/>
          <w:szCs w:val="22"/>
        </w:rPr>
        <w:t>Taf</w:t>
      </w:r>
      <w:proofErr w:type="spellEnd"/>
      <w:r w:rsidR="00DC7827" w:rsidRPr="00EB7B5F">
        <w:rPr>
          <w:rStyle w:val="FootnoteReference"/>
          <w:rFonts w:ascii="Garamond" w:hAnsi="Garamond" w:cs="Arial"/>
          <w:i/>
          <w:iCs/>
          <w:color w:val="000000"/>
          <w:sz w:val="22"/>
          <w:szCs w:val="22"/>
        </w:rPr>
        <w:footnoteReference w:id="44"/>
      </w:r>
      <w:r w:rsidR="00DC7827" w:rsidRPr="00EB7B5F">
        <w:rPr>
          <w:rFonts w:ascii="Garamond" w:hAnsi="Garamond" w:cs="Arial"/>
          <w:color w:val="000000"/>
          <w:sz w:val="22"/>
          <w:szCs w:val="22"/>
        </w:rPr>
        <w:t>, the claimant similarly failed to persuade the court to view a departure from NICE guidelines as ‘prima facie negligence</w:t>
      </w:r>
      <w:r w:rsidR="00D349D1" w:rsidRPr="00EB7B5F">
        <w:rPr>
          <w:rFonts w:ascii="Garamond" w:hAnsi="Garamond" w:cs="Arial"/>
          <w:color w:val="000000"/>
          <w:sz w:val="22"/>
          <w:szCs w:val="22"/>
        </w:rPr>
        <w:t>,</w:t>
      </w:r>
      <w:r w:rsidR="00DC7827" w:rsidRPr="00EB7B5F">
        <w:rPr>
          <w:rFonts w:ascii="Garamond" w:hAnsi="Garamond" w:cs="Arial"/>
          <w:color w:val="000000"/>
          <w:sz w:val="22"/>
          <w:szCs w:val="22"/>
        </w:rPr>
        <w:t xml:space="preserve">’ </w:t>
      </w:r>
      <w:r w:rsidRPr="00EB7B5F">
        <w:rPr>
          <w:rFonts w:ascii="Garamond" w:hAnsi="Garamond" w:cs="Arial"/>
          <w:color w:val="000000"/>
          <w:sz w:val="22"/>
          <w:szCs w:val="22"/>
        </w:rPr>
        <w:t>the judge preferring to say that</w:t>
      </w:r>
      <w:r w:rsidR="00E950FE" w:rsidRPr="00EB7B5F">
        <w:rPr>
          <w:rFonts w:ascii="Garamond" w:hAnsi="Garamond" w:cs="Arial"/>
          <w:color w:val="000000"/>
          <w:sz w:val="22"/>
          <w:szCs w:val="22"/>
        </w:rPr>
        <w:t>:</w:t>
      </w:r>
    </w:p>
    <w:p w14:paraId="52E45B96" w14:textId="77777777" w:rsidR="00226EAA" w:rsidRPr="00EB7B5F" w:rsidRDefault="00BB0236" w:rsidP="00A55C75">
      <w:pPr>
        <w:pStyle w:val="legclearfix"/>
        <w:shd w:val="clear" w:color="auto" w:fill="FFFFFF"/>
        <w:spacing w:line="480" w:lineRule="auto"/>
        <w:ind w:left="397" w:right="397"/>
        <w:jc w:val="both"/>
        <w:rPr>
          <w:rFonts w:ascii="Garamond" w:hAnsi="Garamond" w:cs="Arial"/>
          <w:color w:val="000000"/>
          <w:sz w:val="22"/>
          <w:szCs w:val="22"/>
        </w:rPr>
      </w:pPr>
      <w:r w:rsidRPr="00EB7B5F">
        <w:rPr>
          <w:rFonts w:ascii="Garamond" w:hAnsi="Garamond" w:cs="Arial"/>
          <w:color w:val="000000"/>
          <w:sz w:val="22"/>
          <w:szCs w:val="22"/>
        </w:rPr>
        <w:t xml:space="preserve"> </w:t>
      </w:r>
      <w:bookmarkStart w:id="1" w:name="para22"/>
      <w:r w:rsidRPr="00EB7B5F">
        <w:rPr>
          <w:rFonts w:ascii="Garamond" w:hAnsi="Garamond" w:cs="Arial"/>
          <w:color w:val="000000"/>
          <w:sz w:val="22"/>
          <w:szCs w:val="22"/>
        </w:rPr>
        <w:t>‘</w:t>
      </w:r>
      <w:r w:rsidR="00572EA5" w:rsidRPr="00EB7B5F">
        <w:rPr>
          <w:rFonts w:ascii="Garamond" w:hAnsi="Garamond"/>
          <w:sz w:val="22"/>
          <w:szCs w:val="22"/>
        </w:rPr>
        <w:t>a clinical decision which departs from the NICE Guidelines is likely to call for an explanation of some</w:t>
      </w:r>
      <w:bookmarkEnd w:id="1"/>
      <w:r w:rsidR="00572EA5" w:rsidRPr="00EB7B5F">
        <w:rPr>
          <w:rFonts w:ascii="Garamond" w:hAnsi="Garamond"/>
          <w:sz w:val="22"/>
          <w:szCs w:val="22"/>
        </w:rPr>
        <w:t xml:space="preserve"> sort</w:t>
      </w:r>
      <w:r w:rsidR="00DC7827" w:rsidRPr="00EB7B5F">
        <w:rPr>
          <w:rFonts w:ascii="Garamond" w:hAnsi="Garamond" w:cs="Arial"/>
          <w:color w:val="000000"/>
          <w:sz w:val="22"/>
          <w:szCs w:val="22"/>
        </w:rPr>
        <w:t>.</w:t>
      </w:r>
      <w:r w:rsidR="00572EA5" w:rsidRPr="00EB7B5F">
        <w:rPr>
          <w:rFonts w:ascii="Garamond" w:hAnsi="Garamond" w:cs="Arial"/>
          <w:color w:val="000000"/>
          <w:sz w:val="22"/>
          <w:szCs w:val="22"/>
        </w:rPr>
        <w:t xml:space="preserve"> </w:t>
      </w:r>
      <w:r w:rsidR="00572EA5" w:rsidRPr="00EB7B5F">
        <w:rPr>
          <w:rFonts w:ascii="Garamond" w:hAnsi="Garamond"/>
          <w:sz w:val="22"/>
          <w:szCs w:val="22"/>
        </w:rPr>
        <w:t>The nature and degree of detail required will depend on all the circumstances.</w:t>
      </w:r>
      <w:r w:rsidR="00DC7827" w:rsidRPr="00EB7B5F">
        <w:rPr>
          <w:rFonts w:ascii="Garamond" w:hAnsi="Garamond" w:cs="Arial"/>
          <w:color w:val="000000"/>
          <w:sz w:val="22"/>
          <w:szCs w:val="22"/>
        </w:rPr>
        <w:t>’</w:t>
      </w:r>
      <w:r w:rsidR="00DC7827" w:rsidRPr="00EB7B5F">
        <w:rPr>
          <w:rStyle w:val="FootnoteReference"/>
          <w:rFonts w:ascii="Garamond" w:hAnsi="Garamond" w:cs="Arial"/>
          <w:color w:val="000000"/>
          <w:sz w:val="22"/>
          <w:szCs w:val="22"/>
        </w:rPr>
        <w:footnoteReference w:id="45"/>
      </w:r>
    </w:p>
    <w:p w14:paraId="762CE37E" w14:textId="06B7FF1E" w:rsidR="00BB0236" w:rsidRPr="00EB7B5F" w:rsidRDefault="00BB0236" w:rsidP="00A55C75">
      <w:pPr>
        <w:pStyle w:val="legclearfix"/>
        <w:shd w:val="clear" w:color="auto" w:fill="FFFFFF"/>
        <w:spacing w:after="120" w:line="480" w:lineRule="auto"/>
        <w:jc w:val="both"/>
        <w:rPr>
          <w:rFonts w:ascii="Garamond" w:hAnsi="Garamond" w:cs="Arial"/>
          <w:color w:val="000000"/>
          <w:sz w:val="22"/>
          <w:szCs w:val="22"/>
        </w:rPr>
      </w:pPr>
      <w:r w:rsidRPr="00EB7B5F">
        <w:rPr>
          <w:rFonts w:ascii="Garamond" w:hAnsi="Garamond" w:cs="Arial"/>
          <w:color w:val="000000"/>
          <w:sz w:val="22"/>
          <w:szCs w:val="22"/>
        </w:rPr>
        <w:t>Attempts to argue that departures from NICE guidelines ought to be disclosed to the patient as part of the duty to ensure patients are giving informed consent</w:t>
      </w:r>
      <w:r w:rsidR="00C433D5" w:rsidRPr="00EB7B5F">
        <w:rPr>
          <w:rFonts w:ascii="Garamond" w:hAnsi="Garamond" w:cs="Arial"/>
          <w:color w:val="000000"/>
          <w:sz w:val="22"/>
          <w:szCs w:val="22"/>
          <w:vertAlign w:val="superscript"/>
        </w:rPr>
        <w:footnoteReference w:id="46"/>
      </w:r>
      <w:r w:rsidRPr="00EB7B5F">
        <w:rPr>
          <w:rFonts w:ascii="Garamond" w:hAnsi="Garamond" w:cs="Arial"/>
          <w:color w:val="000000"/>
          <w:sz w:val="22"/>
          <w:szCs w:val="22"/>
        </w:rPr>
        <w:t xml:space="preserve"> have also failed. Justice Robinson acknowledged that whilst there was a public law duty on a Clinical Commissioning Group to provide clear reasons for not following NICE guidelines,</w:t>
      </w:r>
      <w:r w:rsidRPr="00EB7B5F">
        <w:rPr>
          <w:rFonts w:ascii="Garamond" w:hAnsi="Garamond" w:cs="Arial"/>
          <w:color w:val="000000"/>
          <w:sz w:val="22"/>
          <w:szCs w:val="22"/>
          <w:vertAlign w:val="superscript"/>
        </w:rPr>
        <w:footnoteReference w:id="47"/>
      </w:r>
      <w:r w:rsidRPr="00EB7B5F">
        <w:rPr>
          <w:rFonts w:ascii="Garamond" w:hAnsi="Garamond" w:cs="Arial"/>
          <w:color w:val="000000"/>
          <w:sz w:val="22"/>
          <w:szCs w:val="22"/>
        </w:rPr>
        <w:t xml:space="preserve"> there was no universal duty to inform the patient that their treatment involved a departure from NICE guidelines.</w:t>
      </w:r>
      <w:r w:rsidRPr="00EB7B5F">
        <w:rPr>
          <w:rFonts w:ascii="Garamond" w:hAnsi="Garamond" w:cs="Arial"/>
          <w:color w:val="000000"/>
          <w:sz w:val="22"/>
          <w:szCs w:val="22"/>
          <w:vertAlign w:val="superscript"/>
        </w:rPr>
        <w:footnoteReference w:id="48"/>
      </w:r>
    </w:p>
    <w:p w14:paraId="2531ECA3" w14:textId="68768457" w:rsidR="00205809" w:rsidRPr="00EB7B5F" w:rsidRDefault="009D7B34" w:rsidP="00A55C75">
      <w:pPr>
        <w:pStyle w:val="legclearfix"/>
        <w:shd w:val="clear" w:color="auto" w:fill="FFFFFF"/>
        <w:spacing w:after="120" w:line="480" w:lineRule="auto"/>
        <w:jc w:val="both"/>
        <w:rPr>
          <w:rFonts w:ascii="Garamond" w:hAnsi="Garamond" w:cs="Arial"/>
          <w:color w:val="000000"/>
          <w:sz w:val="22"/>
          <w:szCs w:val="22"/>
        </w:rPr>
      </w:pPr>
      <w:r w:rsidRPr="00EB7B5F">
        <w:rPr>
          <w:rFonts w:ascii="Garamond" w:hAnsi="Garamond" w:cs="Arial"/>
          <w:color w:val="000000"/>
          <w:sz w:val="22"/>
          <w:szCs w:val="22"/>
        </w:rPr>
        <w:t xml:space="preserve">It is </w:t>
      </w:r>
      <w:r w:rsidR="003B2685" w:rsidRPr="00EB7B5F">
        <w:rPr>
          <w:rFonts w:ascii="Garamond" w:hAnsi="Garamond" w:cs="Arial"/>
          <w:color w:val="000000"/>
          <w:sz w:val="22"/>
          <w:szCs w:val="22"/>
        </w:rPr>
        <w:t xml:space="preserve">therefore </w:t>
      </w:r>
      <w:r w:rsidRPr="00EB7B5F">
        <w:rPr>
          <w:rFonts w:ascii="Garamond" w:hAnsi="Garamond" w:cs="Arial"/>
          <w:color w:val="000000"/>
          <w:sz w:val="22"/>
          <w:szCs w:val="22"/>
        </w:rPr>
        <w:t xml:space="preserve">clear that departing from the recent guideline is not to be equated with negligence, </w:t>
      </w:r>
      <w:r w:rsidR="00CE5002" w:rsidRPr="00EB7B5F">
        <w:rPr>
          <w:rFonts w:ascii="Garamond" w:hAnsi="Garamond" w:cs="Arial"/>
          <w:color w:val="000000"/>
          <w:sz w:val="22"/>
          <w:szCs w:val="22"/>
        </w:rPr>
        <w:t xml:space="preserve">however, </w:t>
      </w:r>
      <w:r w:rsidRPr="00EB7B5F">
        <w:rPr>
          <w:rFonts w:ascii="Garamond" w:hAnsi="Garamond" w:cs="Arial"/>
          <w:color w:val="000000"/>
          <w:sz w:val="22"/>
          <w:szCs w:val="22"/>
        </w:rPr>
        <w:t xml:space="preserve">clinicians </w:t>
      </w:r>
      <w:r w:rsidR="00205809" w:rsidRPr="00EB7B5F">
        <w:rPr>
          <w:rFonts w:ascii="Garamond" w:hAnsi="Garamond" w:cs="Arial"/>
          <w:color w:val="000000"/>
          <w:sz w:val="22"/>
          <w:szCs w:val="22"/>
        </w:rPr>
        <w:t xml:space="preserve">prescribing beyond NICE recommendations </w:t>
      </w:r>
      <w:r w:rsidR="00954CBD" w:rsidRPr="00EB7B5F">
        <w:rPr>
          <w:rFonts w:ascii="Garamond" w:hAnsi="Garamond" w:cs="Arial"/>
          <w:color w:val="000000"/>
          <w:sz w:val="22"/>
          <w:szCs w:val="22"/>
        </w:rPr>
        <w:t xml:space="preserve">should </w:t>
      </w:r>
      <w:r w:rsidR="009B7CD9" w:rsidRPr="00EB7B5F">
        <w:rPr>
          <w:rFonts w:ascii="Garamond" w:hAnsi="Garamond" w:cs="Arial"/>
          <w:color w:val="000000"/>
          <w:sz w:val="22"/>
          <w:szCs w:val="22"/>
        </w:rPr>
        <w:t xml:space="preserve">certainly </w:t>
      </w:r>
      <w:r w:rsidR="00954CBD" w:rsidRPr="00EB7B5F">
        <w:rPr>
          <w:rFonts w:ascii="Garamond" w:hAnsi="Garamond" w:cs="Arial"/>
          <w:color w:val="000000"/>
          <w:sz w:val="22"/>
          <w:szCs w:val="22"/>
        </w:rPr>
        <w:t xml:space="preserve">be advised to </w:t>
      </w:r>
      <w:r w:rsidR="009B7CD9" w:rsidRPr="00EB7B5F">
        <w:rPr>
          <w:rFonts w:ascii="Garamond" w:hAnsi="Garamond" w:cs="Arial"/>
          <w:color w:val="000000"/>
          <w:sz w:val="22"/>
          <w:szCs w:val="22"/>
        </w:rPr>
        <w:t>document their rationale for prescribing</w:t>
      </w:r>
      <w:r w:rsidR="00B962AF" w:rsidRPr="00EB7B5F">
        <w:rPr>
          <w:rFonts w:ascii="Garamond" w:hAnsi="Garamond" w:cs="Arial"/>
          <w:color w:val="000000"/>
          <w:sz w:val="22"/>
          <w:szCs w:val="22"/>
        </w:rPr>
        <w:t xml:space="preserve"> in detail</w:t>
      </w:r>
      <w:r w:rsidR="00B962AF" w:rsidRPr="00EB7B5F">
        <w:rPr>
          <w:rFonts w:ascii="Garamond" w:hAnsi="Garamond" w:cs="Arial"/>
          <w:color w:val="000000"/>
          <w:sz w:val="22"/>
          <w:szCs w:val="22"/>
          <w:vertAlign w:val="superscript"/>
        </w:rPr>
        <w:t xml:space="preserve"> </w:t>
      </w:r>
      <w:r w:rsidR="009B7CD9" w:rsidRPr="00EB7B5F">
        <w:rPr>
          <w:rStyle w:val="FootnoteReference"/>
          <w:rFonts w:ascii="Garamond" w:hAnsi="Garamond" w:cs="Arial"/>
          <w:color w:val="000000"/>
          <w:sz w:val="22"/>
          <w:szCs w:val="22"/>
        </w:rPr>
        <w:footnoteReference w:id="49"/>
      </w:r>
      <w:r w:rsidR="009B7CD9" w:rsidRPr="00EB7B5F">
        <w:rPr>
          <w:rFonts w:ascii="Garamond" w:hAnsi="Garamond" w:cs="Arial"/>
          <w:color w:val="000000"/>
          <w:sz w:val="22"/>
          <w:szCs w:val="22"/>
        </w:rPr>
        <w:t xml:space="preserve">, and generally </w:t>
      </w:r>
      <w:r w:rsidR="00205809" w:rsidRPr="00EB7B5F">
        <w:rPr>
          <w:rFonts w:ascii="Garamond" w:hAnsi="Garamond" w:cs="Arial"/>
          <w:color w:val="000000"/>
          <w:sz w:val="22"/>
          <w:szCs w:val="22"/>
        </w:rPr>
        <w:t>‘safety net’ even more assiduously</w:t>
      </w:r>
      <w:r w:rsidR="00A07E2C" w:rsidRPr="00EB7B5F">
        <w:rPr>
          <w:rFonts w:ascii="Garamond" w:hAnsi="Garamond" w:cs="Arial"/>
          <w:color w:val="000000"/>
          <w:sz w:val="22"/>
          <w:szCs w:val="22"/>
        </w:rPr>
        <w:t xml:space="preserve"> than usual,</w:t>
      </w:r>
      <w:r w:rsidR="00205809" w:rsidRPr="00EB7B5F">
        <w:rPr>
          <w:rFonts w:ascii="Garamond" w:hAnsi="Garamond" w:cs="Arial"/>
          <w:color w:val="000000"/>
          <w:sz w:val="22"/>
          <w:szCs w:val="22"/>
        </w:rPr>
        <w:t xml:space="preserve"> including when researching possible contraindications, taking detailed histories from their patients, consulting </w:t>
      </w:r>
      <w:r w:rsidR="003B2685" w:rsidRPr="00EB7B5F">
        <w:rPr>
          <w:rFonts w:ascii="Garamond" w:hAnsi="Garamond" w:cs="Arial"/>
          <w:color w:val="000000"/>
          <w:sz w:val="22"/>
          <w:szCs w:val="22"/>
        </w:rPr>
        <w:t>and taking account of the views of</w:t>
      </w:r>
      <w:r w:rsidR="00205809" w:rsidRPr="00EB7B5F">
        <w:rPr>
          <w:rFonts w:ascii="Garamond" w:hAnsi="Garamond" w:cs="Arial"/>
          <w:color w:val="000000"/>
          <w:sz w:val="22"/>
          <w:szCs w:val="22"/>
        </w:rPr>
        <w:t xml:space="preserve"> other doctors</w:t>
      </w:r>
      <w:r w:rsidR="00D2297C" w:rsidRPr="00EB7B5F">
        <w:rPr>
          <w:rStyle w:val="FootnoteReference"/>
          <w:rFonts w:ascii="Garamond" w:hAnsi="Garamond" w:cs="Arial"/>
          <w:color w:val="000000"/>
          <w:sz w:val="22"/>
          <w:szCs w:val="22"/>
        </w:rPr>
        <w:footnoteReference w:id="50"/>
      </w:r>
      <w:r w:rsidR="003B2685" w:rsidRPr="00EB7B5F">
        <w:rPr>
          <w:rFonts w:ascii="Garamond" w:hAnsi="Garamond" w:cs="Arial"/>
          <w:color w:val="000000"/>
          <w:sz w:val="22"/>
          <w:szCs w:val="22"/>
        </w:rPr>
        <w:t xml:space="preserve"> and recording the results of this</w:t>
      </w:r>
      <w:r w:rsidR="00205809" w:rsidRPr="00EB7B5F">
        <w:rPr>
          <w:rFonts w:ascii="Garamond" w:hAnsi="Garamond" w:cs="Arial"/>
          <w:color w:val="000000"/>
          <w:sz w:val="22"/>
          <w:szCs w:val="22"/>
        </w:rPr>
        <w:t xml:space="preserve">, and taking time </w:t>
      </w:r>
      <w:r w:rsidR="00D349D1" w:rsidRPr="00EB7B5F">
        <w:rPr>
          <w:rFonts w:ascii="Garamond" w:hAnsi="Garamond" w:cs="Arial"/>
          <w:color w:val="000000"/>
          <w:sz w:val="22"/>
          <w:szCs w:val="22"/>
        </w:rPr>
        <w:t>over</w:t>
      </w:r>
      <w:r w:rsidR="00205809" w:rsidRPr="00EB7B5F">
        <w:rPr>
          <w:rFonts w:ascii="Garamond" w:hAnsi="Garamond" w:cs="Arial"/>
          <w:color w:val="000000"/>
          <w:sz w:val="22"/>
          <w:szCs w:val="22"/>
        </w:rPr>
        <w:t xml:space="preserve"> obtain</w:t>
      </w:r>
      <w:r w:rsidR="00D349D1" w:rsidRPr="00EB7B5F">
        <w:rPr>
          <w:rFonts w:ascii="Garamond" w:hAnsi="Garamond" w:cs="Arial"/>
          <w:color w:val="000000"/>
          <w:sz w:val="22"/>
          <w:szCs w:val="22"/>
        </w:rPr>
        <w:t>ing</w:t>
      </w:r>
      <w:r w:rsidR="00205809" w:rsidRPr="00EB7B5F">
        <w:rPr>
          <w:rFonts w:ascii="Garamond" w:hAnsi="Garamond" w:cs="Arial"/>
          <w:color w:val="000000"/>
          <w:sz w:val="22"/>
          <w:szCs w:val="22"/>
        </w:rPr>
        <w:t xml:space="preserve"> the informed consent of their patients, so as to </w:t>
      </w:r>
      <w:r w:rsidRPr="00EB7B5F">
        <w:rPr>
          <w:rFonts w:ascii="Garamond" w:hAnsi="Garamond" w:cs="Arial"/>
          <w:color w:val="000000"/>
          <w:sz w:val="22"/>
          <w:szCs w:val="22"/>
        </w:rPr>
        <w:t xml:space="preserve">be able to justify their decision on clinical grounds. </w:t>
      </w:r>
    </w:p>
    <w:p w14:paraId="7879CB68" w14:textId="617373E4" w:rsidR="005565F5" w:rsidRPr="00EB7B5F" w:rsidRDefault="00251A3D" w:rsidP="00DC780F">
      <w:pPr>
        <w:pStyle w:val="legclearfix"/>
        <w:shd w:val="clear" w:color="auto" w:fill="FFFFFF"/>
        <w:spacing w:after="120" w:line="480" w:lineRule="auto"/>
        <w:jc w:val="center"/>
        <w:rPr>
          <w:rFonts w:ascii="Garamond" w:hAnsi="Garamond" w:cs="Arial"/>
          <w:b/>
          <w:i/>
          <w:iCs/>
          <w:color w:val="000000"/>
          <w:sz w:val="22"/>
          <w:szCs w:val="22"/>
        </w:rPr>
      </w:pPr>
      <w:r w:rsidRPr="00EB7B5F">
        <w:rPr>
          <w:rFonts w:ascii="Garamond" w:hAnsi="Garamond" w:cs="Arial"/>
          <w:b/>
          <w:i/>
          <w:iCs/>
          <w:color w:val="000000"/>
          <w:sz w:val="22"/>
          <w:szCs w:val="22"/>
        </w:rPr>
        <w:t>‘</w:t>
      </w:r>
      <w:r w:rsidR="00D228DD" w:rsidRPr="00EB7B5F">
        <w:rPr>
          <w:rFonts w:ascii="Garamond" w:hAnsi="Garamond" w:cs="Arial"/>
          <w:b/>
          <w:i/>
          <w:iCs/>
          <w:color w:val="000000"/>
          <w:sz w:val="22"/>
          <w:szCs w:val="22"/>
        </w:rPr>
        <w:t>Shared Care Arrangements</w:t>
      </w:r>
      <w:r w:rsidRPr="00EB7B5F">
        <w:rPr>
          <w:rFonts w:ascii="Garamond" w:hAnsi="Garamond" w:cs="Arial"/>
          <w:b/>
          <w:i/>
          <w:iCs/>
          <w:color w:val="000000"/>
          <w:sz w:val="22"/>
          <w:szCs w:val="22"/>
        </w:rPr>
        <w:t>’: Softening t</w:t>
      </w:r>
      <w:r w:rsidR="005565F5" w:rsidRPr="00EB7B5F">
        <w:rPr>
          <w:rFonts w:ascii="Garamond" w:hAnsi="Garamond" w:cs="Arial"/>
          <w:b/>
          <w:i/>
          <w:iCs/>
          <w:color w:val="000000"/>
          <w:sz w:val="22"/>
          <w:szCs w:val="22"/>
        </w:rPr>
        <w:t>he Requirement of Specialist Prescribing</w:t>
      </w:r>
      <w:r w:rsidRPr="00EB7B5F">
        <w:rPr>
          <w:rFonts w:ascii="Garamond" w:hAnsi="Garamond" w:cs="Arial"/>
          <w:b/>
          <w:i/>
          <w:iCs/>
          <w:color w:val="000000"/>
          <w:sz w:val="22"/>
          <w:szCs w:val="22"/>
        </w:rPr>
        <w:t>?</w:t>
      </w:r>
    </w:p>
    <w:p w14:paraId="6C550EBD" w14:textId="1C41B194" w:rsidR="00661C7E" w:rsidRPr="00EB7B5F" w:rsidRDefault="008E66AF" w:rsidP="00A55C75">
      <w:pPr>
        <w:pStyle w:val="legclearfix"/>
        <w:shd w:val="clear" w:color="auto" w:fill="FFFFFF"/>
        <w:spacing w:after="120" w:line="480" w:lineRule="auto"/>
        <w:jc w:val="both"/>
        <w:rPr>
          <w:rFonts w:ascii="Garamond" w:hAnsi="Garamond" w:cs="Arial"/>
          <w:color w:val="000000"/>
          <w:sz w:val="22"/>
          <w:szCs w:val="22"/>
        </w:rPr>
      </w:pPr>
      <w:r w:rsidRPr="00EB7B5F">
        <w:rPr>
          <w:rFonts w:ascii="Garamond" w:hAnsi="Garamond" w:cs="Arial"/>
          <w:color w:val="000000"/>
          <w:sz w:val="22"/>
          <w:szCs w:val="22"/>
        </w:rPr>
        <w:t>One aspect of the NICE guideline which is m</w:t>
      </w:r>
      <w:r w:rsidR="00D349D1" w:rsidRPr="00EB7B5F">
        <w:rPr>
          <w:rFonts w:ascii="Garamond" w:hAnsi="Garamond" w:cs="Arial"/>
          <w:color w:val="000000"/>
          <w:sz w:val="22"/>
          <w:szCs w:val="22"/>
        </w:rPr>
        <w:t>arginally</w:t>
      </w:r>
      <w:r w:rsidRPr="00EB7B5F">
        <w:rPr>
          <w:rFonts w:ascii="Garamond" w:hAnsi="Garamond" w:cs="Arial"/>
          <w:color w:val="000000"/>
          <w:sz w:val="22"/>
          <w:szCs w:val="22"/>
        </w:rPr>
        <w:t xml:space="preserve"> conducive to enabling access to these drugs relates to the issue of ‘who’ can prescribe. </w:t>
      </w:r>
      <w:r w:rsidR="00D20366" w:rsidRPr="00EB7B5F">
        <w:rPr>
          <w:rFonts w:ascii="Garamond" w:hAnsi="Garamond" w:cs="Arial"/>
          <w:color w:val="000000"/>
          <w:sz w:val="22"/>
          <w:szCs w:val="22"/>
        </w:rPr>
        <w:t xml:space="preserve">Most </w:t>
      </w:r>
      <w:r w:rsidR="00B962AF" w:rsidRPr="00EB7B5F">
        <w:rPr>
          <w:rFonts w:ascii="Garamond" w:hAnsi="Garamond" w:cs="Arial"/>
          <w:color w:val="000000"/>
          <w:sz w:val="22"/>
          <w:szCs w:val="22"/>
        </w:rPr>
        <w:t>CBMPs</w:t>
      </w:r>
      <w:r w:rsidR="00D20366" w:rsidRPr="00EB7B5F">
        <w:rPr>
          <w:rFonts w:ascii="Garamond" w:hAnsi="Garamond" w:cs="Arial"/>
          <w:color w:val="000000"/>
          <w:sz w:val="22"/>
          <w:szCs w:val="22"/>
        </w:rPr>
        <w:t xml:space="preserve"> remain ‘unlicensed’ (i.e. without a market authorisation) </w:t>
      </w:r>
      <w:r w:rsidR="00D20366" w:rsidRPr="00EB7B5F">
        <w:rPr>
          <w:rFonts w:ascii="Garamond" w:hAnsi="Garamond" w:cs="Arial"/>
          <w:color w:val="000000"/>
          <w:sz w:val="22"/>
          <w:szCs w:val="22"/>
        </w:rPr>
        <w:lastRenderedPageBreak/>
        <w:t xml:space="preserve">and the 2018 regulations require that the </w:t>
      </w:r>
      <w:r w:rsidR="00D20366" w:rsidRPr="00EB7B5F">
        <w:rPr>
          <w:rFonts w:ascii="Garamond" w:hAnsi="Garamond" w:cs="Arial"/>
          <w:i/>
          <w:iCs/>
          <w:color w:val="000000"/>
          <w:sz w:val="22"/>
          <w:szCs w:val="22"/>
        </w:rPr>
        <w:t>initial</w:t>
      </w:r>
      <w:r w:rsidR="00D20366" w:rsidRPr="00EB7B5F">
        <w:rPr>
          <w:rFonts w:ascii="Garamond" w:hAnsi="Garamond" w:cs="Arial"/>
          <w:color w:val="000000"/>
          <w:sz w:val="22"/>
          <w:szCs w:val="22"/>
        </w:rPr>
        <w:t xml:space="preserve"> prescription of these</w:t>
      </w:r>
      <w:r w:rsidR="00226EAA" w:rsidRPr="00EB7B5F">
        <w:rPr>
          <w:rFonts w:ascii="Garamond" w:hAnsi="Garamond" w:cs="Arial"/>
          <w:color w:val="000000"/>
          <w:sz w:val="22"/>
          <w:szCs w:val="22"/>
        </w:rPr>
        <w:t xml:space="preserve"> unlicensed</w:t>
      </w:r>
      <w:r w:rsidR="00D20366" w:rsidRPr="00EB7B5F">
        <w:rPr>
          <w:rFonts w:ascii="Garamond" w:hAnsi="Garamond" w:cs="Arial"/>
          <w:color w:val="000000"/>
          <w:sz w:val="22"/>
          <w:szCs w:val="22"/>
        </w:rPr>
        <w:t xml:space="preserve"> drugs must be by specialists listed on the Specialist Register of the General Medical Council with a specialist interest in the condition being treated.</w:t>
      </w:r>
      <w:r w:rsidR="00D20366" w:rsidRPr="00EB7B5F">
        <w:rPr>
          <w:rFonts w:ascii="Garamond" w:hAnsi="Garamond" w:cs="Arial"/>
          <w:color w:val="000000"/>
          <w:sz w:val="22"/>
          <w:szCs w:val="22"/>
          <w:vertAlign w:val="superscript"/>
        </w:rPr>
        <w:footnoteReference w:id="51"/>
      </w:r>
      <w:r w:rsidR="00D20366" w:rsidRPr="00EB7B5F">
        <w:rPr>
          <w:rFonts w:ascii="Garamond" w:hAnsi="Garamond" w:cs="Arial"/>
          <w:color w:val="000000"/>
          <w:sz w:val="22"/>
          <w:szCs w:val="22"/>
        </w:rPr>
        <w:t xml:space="preserve"> </w:t>
      </w:r>
      <w:r w:rsidRPr="00EB7B5F">
        <w:rPr>
          <w:rFonts w:ascii="Garamond" w:hAnsi="Garamond" w:cs="Arial"/>
          <w:color w:val="000000"/>
          <w:sz w:val="22"/>
          <w:szCs w:val="22"/>
        </w:rPr>
        <w:t>The majority of</w:t>
      </w:r>
      <w:r w:rsidR="00D20366" w:rsidRPr="00EB7B5F">
        <w:rPr>
          <w:rFonts w:ascii="Garamond" w:hAnsi="Garamond" w:cs="Arial"/>
          <w:color w:val="000000"/>
          <w:sz w:val="22"/>
          <w:szCs w:val="22"/>
        </w:rPr>
        <w:t xml:space="preserve"> patients do not have direct access to specialists and will need a referral from a GP in order to access a specialist who could lawfully prescribe. The GP therefore has once again been gifted with an additional, probably unwelcome, ‘gatekeeper’ role</w:t>
      </w:r>
      <w:r w:rsidR="00D20366" w:rsidRPr="00EB7B5F">
        <w:rPr>
          <w:rFonts w:ascii="Garamond" w:hAnsi="Garamond" w:cs="Arial"/>
          <w:color w:val="000000"/>
          <w:sz w:val="22"/>
          <w:szCs w:val="22"/>
          <w:vertAlign w:val="superscript"/>
        </w:rPr>
        <w:footnoteReference w:id="52"/>
      </w:r>
      <w:r w:rsidR="00AA3ACF" w:rsidRPr="00EB7B5F">
        <w:rPr>
          <w:rFonts w:ascii="Garamond" w:hAnsi="Garamond" w:cs="Arial"/>
          <w:color w:val="000000"/>
          <w:sz w:val="22"/>
          <w:szCs w:val="22"/>
        </w:rPr>
        <w:t xml:space="preserve"> and the patient seeking access to medicinal cannabis is faced with needing</w:t>
      </w:r>
      <w:r w:rsidR="00937BFC" w:rsidRPr="00EB7B5F">
        <w:rPr>
          <w:rFonts w:ascii="Garamond" w:hAnsi="Garamond" w:cs="Arial"/>
          <w:color w:val="000000"/>
          <w:sz w:val="22"/>
          <w:szCs w:val="22"/>
        </w:rPr>
        <w:t xml:space="preserve"> in effect</w:t>
      </w:r>
      <w:r w:rsidR="00AA3ACF" w:rsidRPr="00EB7B5F">
        <w:rPr>
          <w:rFonts w:ascii="Garamond" w:hAnsi="Garamond" w:cs="Arial"/>
          <w:color w:val="000000"/>
          <w:sz w:val="22"/>
          <w:szCs w:val="22"/>
        </w:rPr>
        <w:t xml:space="preserve"> two approvals before being considered for a prescription. </w:t>
      </w:r>
      <w:r w:rsidR="00CF20CC" w:rsidRPr="00EB7B5F">
        <w:rPr>
          <w:rFonts w:ascii="Garamond" w:hAnsi="Garamond" w:cs="Arial"/>
          <w:color w:val="000000"/>
          <w:sz w:val="22"/>
          <w:szCs w:val="22"/>
        </w:rPr>
        <w:t xml:space="preserve">Even though </w:t>
      </w:r>
      <w:r w:rsidR="005565F5" w:rsidRPr="00EB7B5F">
        <w:rPr>
          <w:rFonts w:ascii="Garamond" w:hAnsi="Garamond" w:cs="Arial"/>
          <w:color w:val="000000"/>
          <w:sz w:val="22"/>
          <w:szCs w:val="22"/>
        </w:rPr>
        <w:t xml:space="preserve">the prescribing itself is done by another clinician who must form their own view as to the appropriateness of that prescription, and the cost may not be directly borne by the NHS if the patient is paying privately, it is quite </w:t>
      </w:r>
      <w:r w:rsidRPr="00EB7B5F">
        <w:rPr>
          <w:rFonts w:ascii="Garamond" w:hAnsi="Garamond" w:cs="Arial"/>
          <w:color w:val="000000"/>
          <w:sz w:val="22"/>
          <w:szCs w:val="22"/>
        </w:rPr>
        <w:t>possible</w:t>
      </w:r>
      <w:r w:rsidR="005565F5" w:rsidRPr="00EB7B5F">
        <w:rPr>
          <w:rFonts w:ascii="Garamond" w:hAnsi="Garamond" w:cs="Arial"/>
          <w:color w:val="000000"/>
          <w:sz w:val="22"/>
          <w:szCs w:val="22"/>
        </w:rPr>
        <w:t xml:space="preserve"> that many GPs will be reluctant to sanction a referral knowing it is for access to medicinal cannabis.</w:t>
      </w:r>
      <w:r w:rsidRPr="00EB7B5F">
        <w:rPr>
          <w:rStyle w:val="FootnoteReference"/>
          <w:rFonts w:ascii="Garamond" w:hAnsi="Garamond" w:cs="Arial"/>
          <w:color w:val="000000"/>
          <w:sz w:val="22"/>
          <w:szCs w:val="22"/>
        </w:rPr>
        <w:footnoteReference w:id="53"/>
      </w:r>
      <w:r w:rsidR="005565F5" w:rsidRPr="00EB7B5F">
        <w:rPr>
          <w:rFonts w:ascii="Garamond" w:hAnsi="Garamond" w:cs="Arial"/>
          <w:color w:val="000000"/>
          <w:sz w:val="22"/>
          <w:szCs w:val="22"/>
        </w:rPr>
        <w:t xml:space="preserve"> </w:t>
      </w:r>
    </w:p>
    <w:p w14:paraId="737D57C1" w14:textId="3CBE6053" w:rsidR="005565F5" w:rsidRPr="00EB7B5F" w:rsidRDefault="00DB0EE4" w:rsidP="00A55C75">
      <w:pPr>
        <w:pStyle w:val="legclearfix"/>
        <w:shd w:val="clear" w:color="auto" w:fill="FFFFFF"/>
        <w:spacing w:after="120" w:line="480" w:lineRule="auto"/>
        <w:jc w:val="both"/>
        <w:rPr>
          <w:rFonts w:ascii="Garamond" w:hAnsi="Garamond" w:cs="Arial"/>
          <w:color w:val="000000"/>
          <w:sz w:val="22"/>
          <w:szCs w:val="22"/>
        </w:rPr>
      </w:pPr>
      <w:r w:rsidRPr="00EB7B5F">
        <w:rPr>
          <w:rFonts w:ascii="Garamond" w:hAnsi="Garamond" w:cs="Arial"/>
          <w:color w:val="000000"/>
          <w:sz w:val="22"/>
          <w:szCs w:val="22"/>
        </w:rPr>
        <w:t>Interim guidance</w:t>
      </w:r>
      <w:r w:rsidR="00BB0236" w:rsidRPr="00EB7B5F">
        <w:rPr>
          <w:rFonts w:ascii="Garamond" w:hAnsi="Garamond" w:cs="Arial"/>
          <w:color w:val="000000"/>
          <w:sz w:val="22"/>
          <w:szCs w:val="22"/>
        </w:rPr>
        <w:t xml:space="preserve"> from a number of professional bodies</w:t>
      </w:r>
      <w:r w:rsidRPr="00EB7B5F">
        <w:rPr>
          <w:rFonts w:ascii="Garamond" w:hAnsi="Garamond" w:cs="Arial"/>
          <w:color w:val="000000"/>
          <w:sz w:val="22"/>
          <w:szCs w:val="22"/>
        </w:rPr>
        <w:t xml:space="preserve"> </w:t>
      </w:r>
      <w:r w:rsidR="00D64278" w:rsidRPr="00EB7B5F">
        <w:rPr>
          <w:rFonts w:ascii="Garamond" w:hAnsi="Garamond" w:cs="Arial"/>
          <w:color w:val="000000"/>
          <w:sz w:val="22"/>
          <w:szCs w:val="22"/>
        </w:rPr>
        <w:t xml:space="preserve">also </w:t>
      </w:r>
      <w:r w:rsidRPr="00EB7B5F">
        <w:rPr>
          <w:rFonts w:ascii="Garamond" w:hAnsi="Garamond" w:cs="Arial"/>
          <w:color w:val="000000"/>
          <w:sz w:val="22"/>
          <w:szCs w:val="22"/>
        </w:rPr>
        <w:t>applie</w:t>
      </w:r>
      <w:r w:rsidR="00E83928" w:rsidRPr="00EB7B5F">
        <w:rPr>
          <w:rFonts w:ascii="Garamond" w:hAnsi="Garamond" w:cs="Arial"/>
          <w:color w:val="000000"/>
          <w:sz w:val="22"/>
          <w:szCs w:val="22"/>
        </w:rPr>
        <w:t>s</w:t>
      </w:r>
      <w:r w:rsidRPr="00EB7B5F">
        <w:rPr>
          <w:rFonts w:ascii="Garamond" w:hAnsi="Garamond" w:cs="Arial"/>
          <w:color w:val="000000"/>
          <w:sz w:val="22"/>
          <w:szCs w:val="22"/>
        </w:rPr>
        <w:t xml:space="preserve"> a very narrow interpretation of the 2018 regulations</w:t>
      </w:r>
      <w:r w:rsidR="008E66AF" w:rsidRPr="00EB7B5F">
        <w:rPr>
          <w:rFonts w:ascii="Garamond" w:hAnsi="Garamond" w:cs="Arial"/>
          <w:color w:val="000000"/>
          <w:sz w:val="22"/>
          <w:szCs w:val="22"/>
        </w:rPr>
        <w:t>,</w:t>
      </w:r>
      <w:r w:rsidRPr="00EB7B5F">
        <w:rPr>
          <w:rFonts w:ascii="Garamond" w:hAnsi="Garamond" w:cs="Arial"/>
          <w:color w:val="000000"/>
          <w:sz w:val="22"/>
          <w:szCs w:val="22"/>
        </w:rPr>
        <w:t xml:space="preserve"> assum</w:t>
      </w:r>
      <w:r w:rsidR="008E66AF" w:rsidRPr="00EB7B5F">
        <w:rPr>
          <w:rFonts w:ascii="Garamond" w:hAnsi="Garamond" w:cs="Arial"/>
          <w:color w:val="000000"/>
          <w:sz w:val="22"/>
          <w:szCs w:val="22"/>
        </w:rPr>
        <w:t>ing</w:t>
      </w:r>
      <w:r w:rsidRPr="00EB7B5F">
        <w:rPr>
          <w:rFonts w:ascii="Garamond" w:hAnsi="Garamond" w:cs="Arial"/>
          <w:color w:val="000000"/>
          <w:sz w:val="22"/>
          <w:szCs w:val="22"/>
        </w:rPr>
        <w:t xml:space="preserve"> that the act of prescribing </w:t>
      </w:r>
      <w:r w:rsidR="008E66AF" w:rsidRPr="00EB7B5F">
        <w:rPr>
          <w:rFonts w:ascii="Garamond" w:hAnsi="Garamond" w:cs="Arial"/>
          <w:color w:val="000000"/>
          <w:sz w:val="22"/>
          <w:szCs w:val="22"/>
        </w:rPr>
        <w:t xml:space="preserve">unlicensed </w:t>
      </w:r>
      <w:r w:rsidR="00E83928" w:rsidRPr="00EB7B5F">
        <w:rPr>
          <w:rFonts w:ascii="Garamond" w:hAnsi="Garamond" w:cs="Arial"/>
          <w:color w:val="000000"/>
          <w:sz w:val="22"/>
          <w:szCs w:val="22"/>
        </w:rPr>
        <w:t xml:space="preserve">CBMPs </w:t>
      </w:r>
      <w:r w:rsidRPr="00EB7B5F">
        <w:rPr>
          <w:rFonts w:ascii="Garamond" w:hAnsi="Garamond" w:cs="Arial"/>
          <w:color w:val="000000"/>
          <w:sz w:val="22"/>
          <w:szCs w:val="22"/>
        </w:rPr>
        <w:t xml:space="preserve">was </w:t>
      </w:r>
      <w:r w:rsidR="00644A2B" w:rsidRPr="00EB7B5F">
        <w:rPr>
          <w:rFonts w:ascii="Garamond" w:hAnsi="Garamond" w:cs="Arial"/>
          <w:color w:val="000000"/>
          <w:sz w:val="22"/>
          <w:szCs w:val="22"/>
        </w:rPr>
        <w:t xml:space="preserve">always to be </w:t>
      </w:r>
      <w:r w:rsidRPr="00EB7B5F">
        <w:rPr>
          <w:rFonts w:ascii="Garamond" w:hAnsi="Garamond" w:cs="Arial"/>
          <w:color w:val="000000"/>
          <w:sz w:val="22"/>
          <w:szCs w:val="22"/>
        </w:rPr>
        <w:t>reserved for specialists</w:t>
      </w:r>
      <w:r w:rsidR="00251A3D" w:rsidRPr="00EB7B5F">
        <w:rPr>
          <w:rFonts w:ascii="Garamond" w:hAnsi="Garamond" w:cs="Arial"/>
          <w:color w:val="000000"/>
          <w:sz w:val="22"/>
          <w:szCs w:val="22"/>
        </w:rPr>
        <w:t>,</w:t>
      </w:r>
      <w:r w:rsidRPr="00EB7B5F">
        <w:rPr>
          <w:rStyle w:val="FootnoteReference"/>
          <w:rFonts w:ascii="Garamond" w:hAnsi="Garamond" w:cs="Arial"/>
          <w:color w:val="000000"/>
          <w:sz w:val="22"/>
          <w:szCs w:val="22"/>
        </w:rPr>
        <w:footnoteReference w:id="54"/>
      </w:r>
      <w:r w:rsidR="00251A3D" w:rsidRPr="00EB7B5F">
        <w:rPr>
          <w:rFonts w:ascii="Garamond" w:hAnsi="Garamond" w:cs="Arial"/>
          <w:color w:val="000000"/>
          <w:sz w:val="22"/>
          <w:szCs w:val="22"/>
        </w:rPr>
        <w:t xml:space="preserve"> despite the wording of the regulation </w:t>
      </w:r>
      <w:r w:rsidR="008E66AF" w:rsidRPr="00EB7B5F">
        <w:rPr>
          <w:rFonts w:ascii="Garamond" w:hAnsi="Garamond" w:cs="Arial"/>
          <w:color w:val="000000"/>
          <w:sz w:val="22"/>
          <w:szCs w:val="22"/>
        </w:rPr>
        <w:t>stating merely</w:t>
      </w:r>
      <w:r w:rsidR="00251A3D" w:rsidRPr="00EB7B5F">
        <w:rPr>
          <w:rFonts w:ascii="Garamond" w:hAnsi="Garamond" w:cs="Arial"/>
          <w:color w:val="000000"/>
          <w:sz w:val="22"/>
          <w:szCs w:val="22"/>
        </w:rPr>
        <w:t xml:space="preserve"> that t</w:t>
      </w:r>
      <w:r w:rsidR="00251A3D" w:rsidRPr="00EB7B5F">
        <w:rPr>
          <w:rFonts w:ascii="Garamond" w:hAnsi="Garamond" w:cs="Arial"/>
          <w:sz w:val="22"/>
          <w:szCs w:val="22"/>
        </w:rPr>
        <w:t xml:space="preserve">he </w:t>
      </w:r>
      <w:r w:rsidR="008E66AF" w:rsidRPr="00EB7B5F">
        <w:rPr>
          <w:rFonts w:ascii="Garamond" w:hAnsi="Garamond" w:cs="Arial"/>
          <w:sz w:val="22"/>
          <w:szCs w:val="22"/>
        </w:rPr>
        <w:t>product</w:t>
      </w:r>
      <w:r w:rsidR="00251A3D" w:rsidRPr="00EB7B5F">
        <w:rPr>
          <w:rFonts w:ascii="Garamond" w:hAnsi="Garamond" w:cs="Arial"/>
          <w:sz w:val="22"/>
          <w:szCs w:val="22"/>
        </w:rPr>
        <w:t xml:space="preserve"> must be ‘</w:t>
      </w:r>
      <w:r w:rsidR="00251A3D" w:rsidRPr="00EB7B5F">
        <w:rPr>
          <w:rFonts w:ascii="Garamond" w:hAnsi="Garamond" w:cs="Arial"/>
          <w:sz w:val="22"/>
          <w:szCs w:val="22"/>
          <w:shd w:val="clear" w:color="auto" w:fill="FFFFFF"/>
        </w:rPr>
        <w:t xml:space="preserve">for use in accordance with </w:t>
      </w:r>
      <w:r w:rsidR="00251A3D" w:rsidRPr="00EB7B5F">
        <w:rPr>
          <w:rFonts w:ascii="Garamond" w:hAnsi="Garamond" w:cs="Arial"/>
          <w:i/>
          <w:iCs/>
          <w:sz w:val="22"/>
          <w:szCs w:val="22"/>
          <w:shd w:val="clear" w:color="auto" w:fill="FFFFFF"/>
        </w:rPr>
        <w:t>a prescription or direction of</w:t>
      </w:r>
      <w:r w:rsidR="00251A3D" w:rsidRPr="00EB7B5F">
        <w:rPr>
          <w:rFonts w:ascii="Garamond" w:hAnsi="Garamond" w:cs="Arial"/>
          <w:sz w:val="22"/>
          <w:szCs w:val="22"/>
          <w:shd w:val="clear" w:color="auto" w:fill="FFFFFF"/>
        </w:rPr>
        <w:t xml:space="preserve"> a specialist medical practitioner</w:t>
      </w:r>
      <w:r w:rsidR="008E66AF" w:rsidRPr="00EB7B5F">
        <w:rPr>
          <w:rFonts w:ascii="Garamond" w:hAnsi="Garamond" w:cs="Arial"/>
          <w:sz w:val="22"/>
          <w:szCs w:val="22"/>
          <w:shd w:val="clear" w:color="auto" w:fill="FFFFFF"/>
        </w:rPr>
        <w:t>.</w:t>
      </w:r>
      <w:r w:rsidR="00251A3D" w:rsidRPr="00EB7B5F">
        <w:rPr>
          <w:rFonts w:ascii="Garamond" w:hAnsi="Garamond" w:cs="Arial"/>
          <w:sz w:val="22"/>
          <w:szCs w:val="22"/>
          <w:shd w:val="clear" w:color="auto" w:fill="FFFFFF"/>
        </w:rPr>
        <w:t>’</w:t>
      </w:r>
      <w:r w:rsidR="00251A3D" w:rsidRPr="00EB7B5F">
        <w:rPr>
          <w:rStyle w:val="FootnoteReference"/>
          <w:rFonts w:ascii="Garamond" w:hAnsi="Garamond" w:cs="Arial"/>
          <w:sz w:val="22"/>
          <w:szCs w:val="22"/>
          <w:shd w:val="clear" w:color="auto" w:fill="FFFFFF"/>
        </w:rPr>
        <w:footnoteReference w:id="55"/>
      </w:r>
      <w:r w:rsidRPr="00EB7B5F">
        <w:rPr>
          <w:rFonts w:ascii="Garamond" w:hAnsi="Garamond" w:cs="Arial"/>
          <w:sz w:val="22"/>
          <w:szCs w:val="22"/>
        </w:rPr>
        <w:t xml:space="preserve"> </w:t>
      </w:r>
      <w:r w:rsidR="00AA3ACF" w:rsidRPr="00EB7B5F">
        <w:rPr>
          <w:rFonts w:ascii="Garamond" w:hAnsi="Garamond" w:cs="Arial"/>
          <w:sz w:val="22"/>
          <w:szCs w:val="22"/>
        </w:rPr>
        <w:t xml:space="preserve">Whilst NICE envisages prescription of </w:t>
      </w:r>
      <w:r w:rsidR="00E83928" w:rsidRPr="00EB7B5F">
        <w:rPr>
          <w:rFonts w:ascii="Garamond" w:hAnsi="Garamond" w:cs="Arial"/>
          <w:sz w:val="22"/>
          <w:szCs w:val="22"/>
        </w:rPr>
        <w:t>CBMPs</w:t>
      </w:r>
      <w:r w:rsidR="00AA3ACF" w:rsidRPr="00EB7B5F">
        <w:rPr>
          <w:rFonts w:ascii="Garamond" w:hAnsi="Garamond" w:cs="Arial"/>
          <w:sz w:val="22"/>
          <w:szCs w:val="22"/>
        </w:rPr>
        <w:t xml:space="preserve"> in very narrow circumstances, i</w:t>
      </w:r>
      <w:r w:rsidR="00BB0236" w:rsidRPr="00EB7B5F">
        <w:rPr>
          <w:rFonts w:ascii="Garamond" w:hAnsi="Garamond" w:cs="Arial"/>
          <w:sz w:val="22"/>
          <w:szCs w:val="22"/>
        </w:rPr>
        <w:t>t</w:t>
      </w:r>
      <w:r w:rsidR="00AA3ACF" w:rsidRPr="00EB7B5F">
        <w:rPr>
          <w:rFonts w:ascii="Garamond" w:hAnsi="Garamond" w:cs="Arial"/>
          <w:sz w:val="22"/>
          <w:szCs w:val="22"/>
        </w:rPr>
        <w:t xml:space="preserve"> ad</w:t>
      </w:r>
      <w:r w:rsidR="00AA3ACF" w:rsidRPr="00EB7B5F">
        <w:rPr>
          <w:rFonts w:ascii="Garamond" w:hAnsi="Garamond" w:cs="Arial"/>
          <w:color w:val="000000"/>
          <w:sz w:val="22"/>
          <w:szCs w:val="22"/>
        </w:rPr>
        <w:t>opt</w:t>
      </w:r>
      <w:r w:rsidR="00BB0236" w:rsidRPr="00EB7B5F">
        <w:rPr>
          <w:rFonts w:ascii="Garamond" w:hAnsi="Garamond" w:cs="Arial"/>
          <w:color w:val="000000"/>
          <w:sz w:val="22"/>
          <w:szCs w:val="22"/>
        </w:rPr>
        <w:t>s</w:t>
      </w:r>
      <w:r w:rsidR="00AA3ACF" w:rsidRPr="00EB7B5F">
        <w:rPr>
          <w:rFonts w:ascii="Garamond" w:hAnsi="Garamond" w:cs="Arial"/>
          <w:color w:val="000000"/>
          <w:sz w:val="22"/>
          <w:szCs w:val="22"/>
        </w:rPr>
        <w:t xml:space="preserve"> a slightly more positive interpretation of the rules on who can prescribe</w:t>
      </w:r>
      <w:r w:rsidRPr="00EB7B5F">
        <w:rPr>
          <w:rFonts w:ascii="Garamond" w:hAnsi="Garamond" w:cs="Arial"/>
          <w:color w:val="000000"/>
          <w:sz w:val="22"/>
          <w:szCs w:val="22"/>
        </w:rPr>
        <w:t xml:space="preserve">, providing guidance on how a </w:t>
      </w:r>
      <w:r w:rsidR="005565F5" w:rsidRPr="00EB7B5F">
        <w:rPr>
          <w:rFonts w:ascii="Garamond" w:hAnsi="Garamond" w:cs="Arial"/>
          <w:color w:val="000000"/>
          <w:sz w:val="22"/>
          <w:szCs w:val="22"/>
        </w:rPr>
        <w:t>‘shared care arrangeme</w:t>
      </w:r>
      <w:r w:rsidR="00251A3D" w:rsidRPr="00EB7B5F">
        <w:rPr>
          <w:rFonts w:ascii="Garamond" w:hAnsi="Garamond" w:cs="Arial"/>
          <w:color w:val="000000"/>
          <w:sz w:val="22"/>
          <w:szCs w:val="22"/>
        </w:rPr>
        <w:t>n</w:t>
      </w:r>
      <w:r w:rsidR="005565F5" w:rsidRPr="00EB7B5F">
        <w:rPr>
          <w:rFonts w:ascii="Garamond" w:hAnsi="Garamond" w:cs="Arial"/>
          <w:color w:val="000000"/>
          <w:sz w:val="22"/>
          <w:szCs w:val="22"/>
        </w:rPr>
        <w:t>t</w:t>
      </w:r>
      <w:r w:rsidRPr="00EB7B5F">
        <w:rPr>
          <w:rFonts w:ascii="Garamond" w:hAnsi="Garamond" w:cs="Arial"/>
          <w:color w:val="000000"/>
          <w:sz w:val="22"/>
          <w:szCs w:val="22"/>
        </w:rPr>
        <w:t>’ might work in this setting</w:t>
      </w:r>
      <w:r w:rsidR="00AA3ACF" w:rsidRPr="00EB7B5F">
        <w:rPr>
          <w:rFonts w:ascii="Garamond" w:hAnsi="Garamond" w:cs="Arial"/>
          <w:color w:val="000000"/>
          <w:sz w:val="22"/>
          <w:szCs w:val="22"/>
        </w:rPr>
        <w:t>.</w:t>
      </w:r>
      <w:r w:rsidR="00E83928" w:rsidRPr="00EB7B5F">
        <w:rPr>
          <w:rStyle w:val="FootnoteReference"/>
          <w:rFonts w:ascii="Garamond" w:hAnsi="Garamond" w:cs="Arial"/>
          <w:color w:val="000000"/>
          <w:sz w:val="22"/>
          <w:szCs w:val="22"/>
        </w:rPr>
        <w:footnoteReference w:id="56"/>
      </w:r>
      <w:r w:rsidR="005565F5" w:rsidRPr="00EB7B5F">
        <w:rPr>
          <w:rFonts w:ascii="Garamond" w:hAnsi="Garamond" w:cs="Arial"/>
          <w:color w:val="000000"/>
          <w:sz w:val="22"/>
          <w:szCs w:val="22"/>
        </w:rPr>
        <w:t xml:space="preserve"> </w:t>
      </w:r>
      <w:r w:rsidR="00662C74" w:rsidRPr="00EB7B5F">
        <w:rPr>
          <w:rFonts w:ascii="Garamond" w:hAnsi="Garamond" w:cs="Arial"/>
          <w:color w:val="000000"/>
          <w:sz w:val="22"/>
          <w:szCs w:val="22"/>
        </w:rPr>
        <w:t>For advocates of better access to medicinal cannabis products, this is encouraging and could be a first step towards GP prescribing. Under shared care, a</w:t>
      </w:r>
      <w:r w:rsidR="005565F5" w:rsidRPr="00EB7B5F">
        <w:rPr>
          <w:rFonts w:ascii="Garamond" w:hAnsi="Garamond" w:cs="Arial"/>
          <w:color w:val="000000"/>
          <w:sz w:val="22"/>
          <w:szCs w:val="22"/>
        </w:rPr>
        <w:t xml:space="preserve"> patient who is doing well under a prescription of </w:t>
      </w:r>
      <w:r w:rsidR="00E83928" w:rsidRPr="00EB7B5F">
        <w:rPr>
          <w:rFonts w:ascii="Garamond" w:hAnsi="Garamond" w:cs="Arial"/>
          <w:color w:val="000000"/>
          <w:sz w:val="22"/>
          <w:szCs w:val="22"/>
        </w:rPr>
        <w:t xml:space="preserve">CBMPs </w:t>
      </w:r>
      <w:r w:rsidR="005565F5" w:rsidRPr="00EB7B5F">
        <w:rPr>
          <w:rFonts w:ascii="Garamond" w:hAnsi="Garamond" w:cs="Arial"/>
          <w:color w:val="000000"/>
          <w:sz w:val="22"/>
          <w:szCs w:val="22"/>
        </w:rPr>
        <w:t xml:space="preserve">may seek access to follow up services, including </w:t>
      </w:r>
      <w:r w:rsidR="00BB0236" w:rsidRPr="00EB7B5F">
        <w:rPr>
          <w:rFonts w:ascii="Garamond" w:hAnsi="Garamond" w:cs="Arial"/>
          <w:color w:val="000000"/>
          <w:sz w:val="22"/>
          <w:szCs w:val="22"/>
        </w:rPr>
        <w:t>monitoring appointments</w:t>
      </w:r>
      <w:r w:rsidR="00CE5002" w:rsidRPr="00EB7B5F">
        <w:rPr>
          <w:rFonts w:ascii="Garamond" w:hAnsi="Garamond" w:cs="Arial"/>
          <w:color w:val="000000"/>
          <w:sz w:val="22"/>
          <w:szCs w:val="22"/>
        </w:rPr>
        <w:t xml:space="preserve"> </w:t>
      </w:r>
      <w:r w:rsidR="00BB0236" w:rsidRPr="00EB7B5F">
        <w:rPr>
          <w:rFonts w:ascii="Garamond" w:hAnsi="Garamond" w:cs="Arial"/>
          <w:color w:val="000000"/>
          <w:sz w:val="22"/>
          <w:szCs w:val="22"/>
        </w:rPr>
        <w:t>or even f</w:t>
      </w:r>
      <w:r w:rsidR="005565F5" w:rsidRPr="00EB7B5F">
        <w:rPr>
          <w:rFonts w:ascii="Garamond" w:hAnsi="Garamond" w:cs="Arial"/>
          <w:color w:val="000000"/>
          <w:sz w:val="22"/>
          <w:szCs w:val="22"/>
        </w:rPr>
        <w:t xml:space="preserve">urther prescription, under the direction of the initial prescriber, </w:t>
      </w:r>
      <w:r w:rsidR="00E83928" w:rsidRPr="00EB7B5F">
        <w:rPr>
          <w:rFonts w:ascii="Garamond" w:hAnsi="Garamond" w:cs="Arial"/>
          <w:color w:val="000000"/>
          <w:sz w:val="22"/>
          <w:szCs w:val="22"/>
        </w:rPr>
        <w:t xml:space="preserve">but </w:t>
      </w:r>
      <w:r w:rsidR="005565F5" w:rsidRPr="00EB7B5F">
        <w:rPr>
          <w:rFonts w:ascii="Garamond" w:hAnsi="Garamond" w:cs="Arial"/>
          <w:color w:val="000000"/>
          <w:sz w:val="22"/>
          <w:szCs w:val="22"/>
        </w:rPr>
        <w:t>locally with their GP.</w:t>
      </w:r>
      <w:r w:rsidR="005565F5" w:rsidRPr="00EB7B5F">
        <w:rPr>
          <w:rFonts w:ascii="Garamond" w:hAnsi="Garamond" w:cs="Arial"/>
          <w:color w:val="000000"/>
          <w:sz w:val="22"/>
          <w:szCs w:val="22"/>
          <w:vertAlign w:val="superscript"/>
        </w:rPr>
        <w:footnoteReference w:id="57"/>
      </w:r>
      <w:r w:rsidR="005565F5" w:rsidRPr="00EB7B5F">
        <w:rPr>
          <w:rFonts w:ascii="Garamond" w:hAnsi="Garamond" w:cs="Arial"/>
          <w:color w:val="000000"/>
          <w:sz w:val="22"/>
          <w:szCs w:val="22"/>
        </w:rPr>
        <w:t xml:space="preserve"> </w:t>
      </w:r>
      <w:r w:rsidR="00DA58C7" w:rsidRPr="00EB7B5F">
        <w:rPr>
          <w:rFonts w:ascii="Garamond" w:hAnsi="Garamond" w:cs="Arial"/>
          <w:color w:val="000000"/>
          <w:sz w:val="22"/>
          <w:szCs w:val="22"/>
        </w:rPr>
        <w:t xml:space="preserve">We do not yet know </w:t>
      </w:r>
      <w:r w:rsidR="00DA58C7" w:rsidRPr="00EB7B5F">
        <w:rPr>
          <w:rFonts w:ascii="Garamond" w:hAnsi="Garamond" w:cs="Arial"/>
          <w:color w:val="000000"/>
          <w:sz w:val="22"/>
          <w:szCs w:val="22"/>
        </w:rPr>
        <w:lastRenderedPageBreak/>
        <w:t>how receptive GPs might be to shared care arrangements, particularly if that shared care straddle</w:t>
      </w:r>
      <w:r w:rsidR="00CE5002" w:rsidRPr="00EB7B5F">
        <w:rPr>
          <w:rFonts w:ascii="Garamond" w:hAnsi="Garamond" w:cs="Arial"/>
          <w:color w:val="000000"/>
          <w:sz w:val="22"/>
          <w:szCs w:val="22"/>
        </w:rPr>
        <w:t>s</w:t>
      </w:r>
      <w:r w:rsidR="00DA58C7" w:rsidRPr="00EB7B5F">
        <w:rPr>
          <w:rFonts w:ascii="Garamond" w:hAnsi="Garamond" w:cs="Arial"/>
          <w:color w:val="000000"/>
          <w:sz w:val="22"/>
          <w:szCs w:val="22"/>
        </w:rPr>
        <w:t xml:space="preserve"> private healthcare (the specialist) and NHS provision (the GP). Obviously</w:t>
      </w:r>
      <w:r w:rsidR="00E83928" w:rsidRPr="00EB7B5F">
        <w:rPr>
          <w:rFonts w:ascii="Garamond" w:hAnsi="Garamond" w:cs="Arial"/>
          <w:color w:val="000000"/>
          <w:sz w:val="22"/>
          <w:szCs w:val="22"/>
        </w:rPr>
        <w:t>,</w:t>
      </w:r>
      <w:r w:rsidR="00DA58C7" w:rsidRPr="00EB7B5F">
        <w:rPr>
          <w:rFonts w:ascii="Garamond" w:hAnsi="Garamond" w:cs="Arial"/>
          <w:color w:val="000000"/>
          <w:sz w:val="22"/>
          <w:szCs w:val="22"/>
        </w:rPr>
        <w:t xml:space="preserve"> such an arrangement</w:t>
      </w:r>
      <w:r w:rsidR="005565F5" w:rsidRPr="00EB7B5F">
        <w:rPr>
          <w:rFonts w:ascii="Garamond" w:hAnsi="Garamond" w:cs="Arial"/>
          <w:color w:val="000000"/>
          <w:sz w:val="22"/>
          <w:szCs w:val="22"/>
        </w:rPr>
        <w:t xml:space="preserve"> would be at a cost to the NHS and potentially expose the GP to liability in a field of medicine they are not familiar with. They may also anticipate disapproval from peers for involving their </w:t>
      </w:r>
      <w:r w:rsidR="00662C74" w:rsidRPr="00EB7B5F">
        <w:rPr>
          <w:rFonts w:ascii="Garamond" w:hAnsi="Garamond" w:cs="Arial"/>
          <w:color w:val="000000"/>
          <w:sz w:val="22"/>
          <w:szCs w:val="22"/>
        </w:rPr>
        <w:t xml:space="preserve">immediate </w:t>
      </w:r>
      <w:r w:rsidR="005565F5" w:rsidRPr="00EB7B5F">
        <w:rPr>
          <w:rFonts w:ascii="Garamond" w:hAnsi="Garamond" w:cs="Arial"/>
          <w:color w:val="000000"/>
          <w:sz w:val="22"/>
          <w:szCs w:val="22"/>
        </w:rPr>
        <w:t xml:space="preserve">colleagues in a process which still undoubtedly carries the stigma of a </w:t>
      </w:r>
      <w:r w:rsidR="009C0C12" w:rsidRPr="00EB7B5F">
        <w:rPr>
          <w:rFonts w:ascii="Garamond" w:hAnsi="Garamond" w:cs="Arial"/>
          <w:color w:val="000000"/>
          <w:sz w:val="22"/>
          <w:szCs w:val="22"/>
        </w:rPr>
        <w:t xml:space="preserve">previously </w:t>
      </w:r>
      <w:r w:rsidR="005565F5" w:rsidRPr="00EB7B5F">
        <w:rPr>
          <w:rFonts w:ascii="Garamond" w:hAnsi="Garamond" w:cs="Arial"/>
          <w:color w:val="000000"/>
          <w:sz w:val="22"/>
          <w:szCs w:val="22"/>
        </w:rPr>
        <w:t>criminalised recreational drug.</w:t>
      </w:r>
      <w:r w:rsidR="005565F5" w:rsidRPr="00EB7B5F">
        <w:rPr>
          <w:rFonts w:ascii="Garamond" w:hAnsi="Garamond" w:cs="Arial"/>
          <w:color w:val="000000"/>
          <w:sz w:val="22"/>
          <w:szCs w:val="22"/>
          <w:vertAlign w:val="superscript"/>
        </w:rPr>
        <w:footnoteReference w:id="58"/>
      </w:r>
      <w:r w:rsidR="005565F5" w:rsidRPr="00EB7B5F">
        <w:rPr>
          <w:rFonts w:ascii="Garamond" w:hAnsi="Garamond" w:cs="Arial"/>
          <w:color w:val="000000"/>
          <w:sz w:val="22"/>
          <w:szCs w:val="22"/>
        </w:rPr>
        <w:t xml:space="preserve"> </w:t>
      </w:r>
    </w:p>
    <w:p w14:paraId="26721627" w14:textId="5A9383A7" w:rsidR="0089286D" w:rsidRPr="00EB7B5F" w:rsidRDefault="00887F12" w:rsidP="00A55C75">
      <w:pPr>
        <w:spacing w:line="480" w:lineRule="auto"/>
        <w:jc w:val="both"/>
        <w:rPr>
          <w:rFonts w:ascii="Garamond" w:hAnsi="Garamond"/>
          <w:b/>
          <w:bCs/>
          <w:i/>
          <w:iCs/>
        </w:rPr>
      </w:pPr>
      <w:r w:rsidRPr="00EB7B5F">
        <w:rPr>
          <w:rFonts w:ascii="Garamond" w:hAnsi="Garamond"/>
          <w:b/>
          <w:bCs/>
          <w:i/>
          <w:iCs/>
        </w:rPr>
        <w:t xml:space="preserve">The Inexperienced Doctor and </w:t>
      </w:r>
      <w:r w:rsidR="009B120D" w:rsidRPr="00EB7B5F">
        <w:rPr>
          <w:rFonts w:ascii="Garamond" w:hAnsi="Garamond"/>
          <w:b/>
          <w:bCs/>
          <w:i/>
          <w:iCs/>
        </w:rPr>
        <w:t xml:space="preserve">the </w:t>
      </w:r>
      <w:r w:rsidR="00784491" w:rsidRPr="00EB7B5F">
        <w:rPr>
          <w:rFonts w:ascii="Garamond" w:hAnsi="Garamond"/>
          <w:b/>
          <w:bCs/>
          <w:i/>
          <w:iCs/>
        </w:rPr>
        <w:t>Exper</w:t>
      </w:r>
      <w:r w:rsidR="00934FF8" w:rsidRPr="00EB7B5F">
        <w:rPr>
          <w:rFonts w:ascii="Garamond" w:hAnsi="Garamond"/>
          <w:b/>
          <w:bCs/>
          <w:i/>
          <w:iCs/>
        </w:rPr>
        <w:t>t</w:t>
      </w:r>
      <w:r w:rsidR="00784491" w:rsidRPr="00EB7B5F">
        <w:rPr>
          <w:rFonts w:ascii="Garamond" w:hAnsi="Garamond"/>
          <w:b/>
          <w:bCs/>
          <w:i/>
          <w:iCs/>
        </w:rPr>
        <w:t xml:space="preserve"> Patient</w:t>
      </w:r>
      <w:r w:rsidR="0089286D" w:rsidRPr="00EB7B5F">
        <w:rPr>
          <w:rFonts w:ascii="Garamond" w:hAnsi="Garamond"/>
          <w:b/>
          <w:bCs/>
          <w:i/>
          <w:iCs/>
        </w:rPr>
        <w:t xml:space="preserve">: Montgomery v Lanarkshire in Action? </w:t>
      </w:r>
    </w:p>
    <w:p w14:paraId="01C89470" w14:textId="18F2F995" w:rsidR="0089286D" w:rsidRPr="00EB7B5F" w:rsidRDefault="00906EB5" w:rsidP="00A36C3A">
      <w:pPr>
        <w:pStyle w:val="NormalWeb"/>
        <w:shd w:val="clear" w:color="auto" w:fill="FFFFFF" w:themeFill="background1"/>
        <w:spacing w:before="0" w:beforeAutospacing="0" w:after="360" w:afterAutospacing="0" w:line="480" w:lineRule="auto"/>
        <w:jc w:val="both"/>
        <w:rPr>
          <w:rFonts w:ascii="Garamond" w:hAnsi="Garamond"/>
          <w:sz w:val="22"/>
          <w:szCs w:val="22"/>
        </w:rPr>
      </w:pPr>
      <w:r w:rsidRPr="00EB7B5F">
        <w:rPr>
          <w:rFonts w:ascii="Garamond" w:hAnsi="Garamond"/>
          <w:sz w:val="22"/>
          <w:szCs w:val="22"/>
        </w:rPr>
        <w:t xml:space="preserve">Unlicensed </w:t>
      </w:r>
      <w:r w:rsidR="003B6FC4" w:rsidRPr="00EB7B5F">
        <w:rPr>
          <w:rFonts w:ascii="Garamond" w:hAnsi="Garamond"/>
          <w:sz w:val="22"/>
          <w:szCs w:val="22"/>
        </w:rPr>
        <w:t xml:space="preserve">CBMPs </w:t>
      </w:r>
      <w:r w:rsidR="000B3C44" w:rsidRPr="00EB7B5F">
        <w:rPr>
          <w:rFonts w:ascii="Garamond" w:hAnsi="Garamond"/>
          <w:sz w:val="22"/>
          <w:szCs w:val="22"/>
        </w:rPr>
        <w:t xml:space="preserve">are distinct from most innovative therapies, not least because doctors are </w:t>
      </w:r>
      <w:r w:rsidRPr="00EB7B5F">
        <w:rPr>
          <w:rFonts w:ascii="Garamond" w:hAnsi="Garamond"/>
          <w:sz w:val="22"/>
          <w:szCs w:val="22"/>
        </w:rPr>
        <w:t xml:space="preserve">very </w:t>
      </w:r>
      <w:r w:rsidR="000B3C44" w:rsidRPr="00EB7B5F">
        <w:rPr>
          <w:rFonts w:ascii="Garamond" w:hAnsi="Garamond"/>
          <w:sz w:val="22"/>
          <w:szCs w:val="22"/>
        </w:rPr>
        <w:t>likely to encounter experienced patient</w:t>
      </w:r>
      <w:r w:rsidRPr="00EB7B5F">
        <w:rPr>
          <w:rFonts w:ascii="Garamond" w:hAnsi="Garamond"/>
          <w:sz w:val="22"/>
          <w:szCs w:val="22"/>
        </w:rPr>
        <w:t>s</w:t>
      </w:r>
      <w:r w:rsidR="000B3C44" w:rsidRPr="00EB7B5F">
        <w:rPr>
          <w:rFonts w:ascii="Garamond" w:hAnsi="Garamond"/>
          <w:sz w:val="22"/>
          <w:szCs w:val="22"/>
        </w:rPr>
        <w:t xml:space="preserve"> ha</w:t>
      </w:r>
      <w:r w:rsidRPr="00EB7B5F">
        <w:rPr>
          <w:rFonts w:ascii="Garamond" w:hAnsi="Garamond"/>
          <w:sz w:val="22"/>
          <w:szCs w:val="22"/>
        </w:rPr>
        <w:t>v</w:t>
      </w:r>
      <w:r w:rsidR="00D349D1" w:rsidRPr="00EB7B5F">
        <w:rPr>
          <w:rFonts w:ascii="Garamond" w:hAnsi="Garamond"/>
          <w:sz w:val="22"/>
          <w:szCs w:val="22"/>
        </w:rPr>
        <w:t>ing</w:t>
      </w:r>
      <w:r w:rsidR="000B3C44" w:rsidRPr="00EB7B5F">
        <w:rPr>
          <w:rFonts w:ascii="Garamond" w:hAnsi="Garamond"/>
          <w:sz w:val="22"/>
          <w:szCs w:val="22"/>
        </w:rPr>
        <w:t xml:space="preserve"> used cannabis medicinally, perhaps through lawful prescription in another country or</w:t>
      </w:r>
      <w:r w:rsidR="00662C74" w:rsidRPr="00EB7B5F">
        <w:rPr>
          <w:rFonts w:ascii="Garamond" w:hAnsi="Garamond"/>
          <w:sz w:val="22"/>
          <w:szCs w:val="22"/>
        </w:rPr>
        <w:t xml:space="preserve"> hav</w:t>
      </w:r>
      <w:r w:rsidR="00D349D1" w:rsidRPr="00EB7B5F">
        <w:rPr>
          <w:rFonts w:ascii="Garamond" w:hAnsi="Garamond"/>
          <w:sz w:val="22"/>
          <w:szCs w:val="22"/>
        </w:rPr>
        <w:t>ing</w:t>
      </w:r>
      <w:r w:rsidR="00662C74" w:rsidRPr="00EB7B5F">
        <w:rPr>
          <w:rFonts w:ascii="Garamond" w:hAnsi="Garamond"/>
          <w:sz w:val="22"/>
          <w:szCs w:val="22"/>
        </w:rPr>
        <w:t xml:space="preserve"> </w:t>
      </w:r>
      <w:r w:rsidRPr="00EB7B5F">
        <w:rPr>
          <w:rFonts w:ascii="Garamond" w:hAnsi="Garamond"/>
          <w:sz w:val="22"/>
          <w:szCs w:val="22"/>
        </w:rPr>
        <w:t>self-medicated</w:t>
      </w:r>
      <w:r w:rsidR="000B3C44" w:rsidRPr="00EB7B5F">
        <w:rPr>
          <w:rFonts w:ascii="Garamond" w:hAnsi="Garamond"/>
          <w:sz w:val="22"/>
          <w:szCs w:val="22"/>
        </w:rPr>
        <w:t xml:space="preserve"> </w:t>
      </w:r>
      <w:r w:rsidR="00662C74" w:rsidRPr="00EB7B5F">
        <w:rPr>
          <w:rFonts w:ascii="Garamond" w:hAnsi="Garamond"/>
          <w:sz w:val="22"/>
          <w:szCs w:val="22"/>
        </w:rPr>
        <w:t>using</w:t>
      </w:r>
      <w:r w:rsidR="002A73DF" w:rsidRPr="00EB7B5F">
        <w:rPr>
          <w:rFonts w:ascii="Garamond" w:hAnsi="Garamond"/>
          <w:sz w:val="22"/>
          <w:szCs w:val="22"/>
        </w:rPr>
        <w:t xml:space="preserve"> home cultivated strains or</w:t>
      </w:r>
      <w:r w:rsidR="00662C74" w:rsidRPr="00EB7B5F">
        <w:rPr>
          <w:rFonts w:ascii="Garamond" w:hAnsi="Garamond"/>
          <w:sz w:val="22"/>
          <w:szCs w:val="22"/>
        </w:rPr>
        <w:t xml:space="preserve"> supplies from</w:t>
      </w:r>
      <w:r w:rsidR="000B3C44" w:rsidRPr="00EB7B5F">
        <w:rPr>
          <w:rFonts w:ascii="Garamond" w:hAnsi="Garamond"/>
          <w:sz w:val="22"/>
          <w:szCs w:val="22"/>
        </w:rPr>
        <w:t xml:space="preserve"> the black market. </w:t>
      </w:r>
      <w:r w:rsidR="00626F29" w:rsidRPr="00EB7B5F">
        <w:rPr>
          <w:rFonts w:ascii="Garamond" w:hAnsi="Garamond"/>
          <w:sz w:val="22"/>
          <w:szCs w:val="22"/>
        </w:rPr>
        <w:t xml:space="preserve">NICE </w:t>
      </w:r>
      <w:r w:rsidRPr="00EB7B5F">
        <w:rPr>
          <w:rFonts w:ascii="Garamond" w:hAnsi="Garamond"/>
          <w:sz w:val="22"/>
          <w:szCs w:val="22"/>
        </w:rPr>
        <w:t xml:space="preserve">guidance so far says little about navigating this space in which an experienced </w:t>
      </w:r>
      <w:r w:rsidR="00934FF8" w:rsidRPr="00EB7B5F">
        <w:rPr>
          <w:rFonts w:ascii="Garamond" w:hAnsi="Garamond"/>
          <w:sz w:val="22"/>
          <w:szCs w:val="22"/>
        </w:rPr>
        <w:t xml:space="preserve">adult </w:t>
      </w:r>
      <w:r w:rsidRPr="00EB7B5F">
        <w:rPr>
          <w:rFonts w:ascii="Garamond" w:hAnsi="Garamond"/>
          <w:sz w:val="22"/>
          <w:szCs w:val="22"/>
        </w:rPr>
        <w:t xml:space="preserve">patient meets a clinician with relatively little experience of CBMPs. </w:t>
      </w:r>
      <w:r w:rsidR="00DA3FAA" w:rsidRPr="00EB7B5F">
        <w:rPr>
          <w:rFonts w:ascii="Garamond" w:hAnsi="Garamond"/>
          <w:sz w:val="22"/>
          <w:szCs w:val="22"/>
        </w:rPr>
        <w:t xml:space="preserve">There is an argument for saying that prior patient experience should be capable of trumping the lengthy ‘last resort’ approach recommended in </w:t>
      </w:r>
      <w:r w:rsidR="006C7D55" w:rsidRPr="00EB7B5F">
        <w:rPr>
          <w:rFonts w:ascii="Garamond" w:hAnsi="Garamond"/>
          <w:sz w:val="22"/>
          <w:szCs w:val="22"/>
        </w:rPr>
        <w:t>much</w:t>
      </w:r>
      <w:r w:rsidR="00DA3FAA" w:rsidRPr="00EB7B5F">
        <w:rPr>
          <w:rFonts w:ascii="Garamond" w:hAnsi="Garamond"/>
          <w:sz w:val="22"/>
          <w:szCs w:val="22"/>
        </w:rPr>
        <w:t xml:space="preserve"> professional guidance on the issue.</w:t>
      </w:r>
      <w:r w:rsidR="00E83928" w:rsidRPr="00EB7B5F">
        <w:rPr>
          <w:rStyle w:val="FootnoteReference"/>
          <w:rFonts w:ascii="Garamond" w:hAnsi="Garamond"/>
          <w:sz w:val="22"/>
          <w:szCs w:val="22"/>
        </w:rPr>
        <w:footnoteReference w:id="59"/>
      </w:r>
      <w:r w:rsidR="00DA3FAA" w:rsidRPr="00EB7B5F">
        <w:rPr>
          <w:rFonts w:ascii="Garamond" w:hAnsi="Garamond"/>
          <w:sz w:val="22"/>
          <w:szCs w:val="22"/>
        </w:rPr>
        <w:t xml:space="preserve"> </w:t>
      </w:r>
      <w:r w:rsidR="000B3C44" w:rsidRPr="00EB7B5F">
        <w:rPr>
          <w:rFonts w:ascii="Garamond" w:hAnsi="Garamond"/>
          <w:sz w:val="22"/>
          <w:szCs w:val="22"/>
        </w:rPr>
        <w:t>Reluctance to seriously consider the use of medicinal cannabis products can be regarded as an affront to the prudent adult patient, who is increasingly being urged to take responsibility for their own healthcare decision making,</w:t>
      </w:r>
      <w:r w:rsidR="000B3C44" w:rsidRPr="00EB7B5F">
        <w:rPr>
          <w:rFonts w:ascii="Garamond" w:hAnsi="Garamond"/>
          <w:sz w:val="22"/>
          <w:szCs w:val="22"/>
          <w:vertAlign w:val="superscript"/>
        </w:rPr>
        <w:footnoteReference w:id="60"/>
      </w:r>
      <w:r w:rsidR="000B3C44" w:rsidRPr="00EB7B5F">
        <w:rPr>
          <w:rFonts w:ascii="Garamond" w:hAnsi="Garamond"/>
          <w:sz w:val="22"/>
          <w:szCs w:val="22"/>
        </w:rPr>
        <w:t xml:space="preserve"> and has been argued to be in contravention of the human right to health.</w:t>
      </w:r>
      <w:r w:rsidR="000B3C44" w:rsidRPr="00EB7B5F">
        <w:rPr>
          <w:rFonts w:ascii="Garamond" w:hAnsi="Garamond"/>
          <w:sz w:val="22"/>
          <w:szCs w:val="22"/>
          <w:vertAlign w:val="superscript"/>
        </w:rPr>
        <w:footnoteReference w:id="61"/>
      </w:r>
      <w:r w:rsidR="000B3C44" w:rsidRPr="00EB7B5F">
        <w:rPr>
          <w:rFonts w:ascii="Garamond" w:hAnsi="Garamond"/>
          <w:sz w:val="22"/>
          <w:szCs w:val="22"/>
        </w:rPr>
        <w:t xml:space="preserve"> In light of this, the messaging from the NHS seems inappropriate: hospital doctors might consider prescribing in cases of serious epilepsy in children, spasticity in MS</w:t>
      </w:r>
      <w:r w:rsidR="00C50995" w:rsidRPr="00EB7B5F">
        <w:rPr>
          <w:rFonts w:ascii="Garamond" w:hAnsi="Garamond"/>
          <w:sz w:val="22"/>
          <w:szCs w:val="22"/>
        </w:rPr>
        <w:t xml:space="preserve">, vomiting or nausea from chemotherapy, but </w:t>
      </w:r>
      <w:r w:rsidR="000B3C44" w:rsidRPr="00EB7B5F">
        <w:rPr>
          <w:rFonts w:ascii="Garamond" w:hAnsi="Garamond"/>
          <w:sz w:val="22"/>
          <w:szCs w:val="22"/>
        </w:rPr>
        <w:t>‘</w:t>
      </w:r>
      <w:r w:rsidR="00C50995" w:rsidRPr="00EB7B5F">
        <w:rPr>
          <w:rFonts w:ascii="Garamond" w:hAnsi="Garamond"/>
          <w:sz w:val="22"/>
          <w:szCs w:val="22"/>
        </w:rPr>
        <w:t>[</w:t>
      </w:r>
      <w:proofErr w:type="spellStart"/>
      <w:r w:rsidR="00C50995" w:rsidRPr="00EB7B5F">
        <w:rPr>
          <w:rFonts w:ascii="Garamond" w:hAnsi="Garamond"/>
          <w:sz w:val="22"/>
          <w:szCs w:val="22"/>
        </w:rPr>
        <w:t>i</w:t>
      </w:r>
      <w:proofErr w:type="spellEnd"/>
      <w:r w:rsidR="00C50995" w:rsidRPr="00EB7B5F">
        <w:rPr>
          <w:rFonts w:ascii="Garamond" w:hAnsi="Garamond"/>
          <w:sz w:val="22"/>
          <w:szCs w:val="22"/>
        </w:rPr>
        <w:t>]</w:t>
      </w:r>
      <w:r w:rsidR="000B3C44" w:rsidRPr="00EB7B5F">
        <w:rPr>
          <w:rFonts w:ascii="Garamond" w:hAnsi="Garamond"/>
          <w:sz w:val="22"/>
          <w:szCs w:val="22"/>
        </w:rPr>
        <w:t xml:space="preserve">f the above does not apply to you, </w:t>
      </w:r>
      <w:r w:rsidR="000B3C44" w:rsidRPr="00EB7B5F">
        <w:rPr>
          <w:rFonts w:ascii="Garamond" w:hAnsi="Garamond"/>
          <w:i/>
          <w:iCs/>
          <w:sz w:val="22"/>
          <w:szCs w:val="22"/>
        </w:rPr>
        <w:t>do not ask your GP for a referral for medical cannabis.</w:t>
      </w:r>
      <w:r w:rsidR="000B3C44" w:rsidRPr="00EB7B5F">
        <w:rPr>
          <w:rFonts w:ascii="Garamond" w:hAnsi="Garamond"/>
          <w:sz w:val="22"/>
          <w:szCs w:val="22"/>
        </w:rPr>
        <w:t>’</w:t>
      </w:r>
      <w:r w:rsidR="000B3C44" w:rsidRPr="00EB7B5F">
        <w:rPr>
          <w:rFonts w:ascii="Garamond" w:hAnsi="Garamond"/>
          <w:sz w:val="22"/>
          <w:szCs w:val="22"/>
          <w:vertAlign w:val="superscript"/>
        </w:rPr>
        <w:footnoteReference w:id="62"/>
      </w:r>
      <w:r w:rsidR="006C7D55" w:rsidRPr="00EB7B5F">
        <w:rPr>
          <w:rFonts w:ascii="Garamond" w:hAnsi="Garamond"/>
          <w:sz w:val="22"/>
          <w:szCs w:val="22"/>
        </w:rPr>
        <w:t xml:space="preserve"> </w:t>
      </w:r>
      <w:r w:rsidR="000B3C44" w:rsidRPr="00EB7B5F">
        <w:rPr>
          <w:rFonts w:ascii="Garamond" w:hAnsi="Garamond"/>
          <w:sz w:val="22"/>
          <w:szCs w:val="22"/>
        </w:rPr>
        <w:t xml:space="preserve">This crude attempt to manage patient expectations feels </w:t>
      </w:r>
      <w:r w:rsidR="00837621" w:rsidRPr="00EB7B5F">
        <w:rPr>
          <w:rFonts w:ascii="Garamond" w:hAnsi="Garamond"/>
          <w:sz w:val="22"/>
          <w:szCs w:val="22"/>
        </w:rPr>
        <w:t xml:space="preserve"> heavy handed</w:t>
      </w:r>
      <w:r w:rsidRPr="00EB7B5F">
        <w:rPr>
          <w:rFonts w:ascii="Garamond" w:hAnsi="Garamond"/>
          <w:sz w:val="22"/>
          <w:szCs w:val="22"/>
        </w:rPr>
        <w:t xml:space="preserve"> -</w:t>
      </w:r>
      <w:r w:rsidR="000B3C44" w:rsidRPr="00EB7B5F">
        <w:rPr>
          <w:rFonts w:ascii="Garamond" w:hAnsi="Garamond"/>
          <w:sz w:val="22"/>
          <w:szCs w:val="22"/>
        </w:rPr>
        <w:t xml:space="preserve"> why should a </w:t>
      </w:r>
      <w:r w:rsidR="000B3C44" w:rsidRPr="00EB7B5F">
        <w:rPr>
          <w:rFonts w:ascii="Garamond" w:hAnsi="Garamond"/>
          <w:sz w:val="22"/>
          <w:szCs w:val="22"/>
        </w:rPr>
        <w:lastRenderedPageBreak/>
        <w:t>knowledgeable patient not ask for a referral? This unique profile of patient requires a different approach</w:t>
      </w:r>
      <w:r w:rsidR="00837621" w:rsidRPr="00EB7B5F">
        <w:rPr>
          <w:rFonts w:ascii="Garamond" w:hAnsi="Garamond"/>
          <w:sz w:val="22"/>
          <w:szCs w:val="22"/>
        </w:rPr>
        <w:t xml:space="preserve">, </w:t>
      </w:r>
      <w:r w:rsidR="000B3C44" w:rsidRPr="00EB7B5F">
        <w:rPr>
          <w:rFonts w:ascii="Garamond" w:hAnsi="Garamond"/>
          <w:sz w:val="22"/>
          <w:szCs w:val="22"/>
        </w:rPr>
        <w:t xml:space="preserve">not easily accommodated within the terms of the NICE guidance. </w:t>
      </w:r>
    </w:p>
    <w:p w14:paraId="7D771993" w14:textId="02532BFF" w:rsidR="000B3C44" w:rsidRPr="00EB7B5F" w:rsidRDefault="00034E30" w:rsidP="00A55C75">
      <w:pPr>
        <w:shd w:val="clear" w:color="auto" w:fill="FFFFFF" w:themeFill="background1"/>
        <w:spacing w:line="480" w:lineRule="auto"/>
        <w:jc w:val="both"/>
        <w:rPr>
          <w:rFonts w:ascii="Garamond" w:hAnsi="Garamond"/>
        </w:rPr>
      </w:pPr>
      <w:r w:rsidRPr="00EB7B5F">
        <w:rPr>
          <w:rFonts w:ascii="Garamond" w:hAnsi="Garamond"/>
        </w:rPr>
        <w:t xml:space="preserve">If the effect of the proliferation of guidelines and the recent NICE guideline is to effectively rule out patients trying these medicines when there are good clinical reasons for thinking they may </w:t>
      </w:r>
      <w:r w:rsidR="000149D1" w:rsidRPr="00EB7B5F">
        <w:rPr>
          <w:rFonts w:ascii="Garamond" w:hAnsi="Garamond"/>
        </w:rPr>
        <w:t xml:space="preserve">be of </w:t>
      </w:r>
      <w:r w:rsidRPr="00EB7B5F">
        <w:rPr>
          <w:rFonts w:ascii="Garamond" w:hAnsi="Garamond"/>
        </w:rPr>
        <w:t>benefit</w:t>
      </w:r>
      <w:r w:rsidR="00C50995" w:rsidRPr="00EB7B5F">
        <w:rPr>
          <w:rFonts w:ascii="Garamond" w:hAnsi="Garamond"/>
        </w:rPr>
        <w:t xml:space="preserve"> (published evidence beyond RCTs, clinician experience and patient experience)</w:t>
      </w:r>
      <w:r w:rsidRPr="00EB7B5F">
        <w:rPr>
          <w:rFonts w:ascii="Garamond" w:hAnsi="Garamond"/>
        </w:rPr>
        <w:t xml:space="preserve">, this raises serious questions about the constraint of clinical autonomy, </w:t>
      </w:r>
      <w:r w:rsidR="00032D8E" w:rsidRPr="00EB7B5F">
        <w:rPr>
          <w:rFonts w:ascii="Garamond" w:hAnsi="Garamond"/>
        </w:rPr>
        <w:t xml:space="preserve">and </w:t>
      </w:r>
      <w:r w:rsidRPr="00EB7B5F">
        <w:rPr>
          <w:rFonts w:ascii="Garamond" w:hAnsi="Garamond"/>
        </w:rPr>
        <w:t xml:space="preserve">the pursuit of what is in the patient’s best interests. There is </w:t>
      </w:r>
      <w:r w:rsidR="00DA4B8E" w:rsidRPr="00EB7B5F">
        <w:rPr>
          <w:rFonts w:ascii="Garamond" w:hAnsi="Garamond"/>
        </w:rPr>
        <w:t xml:space="preserve">certainly </w:t>
      </w:r>
      <w:r w:rsidRPr="00EB7B5F">
        <w:rPr>
          <w:rFonts w:ascii="Garamond" w:hAnsi="Garamond"/>
        </w:rPr>
        <w:t>a tension between such an approach and the conceptualisation of healthcare in</w:t>
      </w:r>
      <w:r w:rsidR="002A73DF" w:rsidRPr="00EB7B5F">
        <w:rPr>
          <w:rFonts w:ascii="Garamond" w:hAnsi="Garamond"/>
        </w:rPr>
        <w:t xml:space="preserve"> the Supreme Court judgment of</w:t>
      </w:r>
      <w:r w:rsidRPr="00EB7B5F">
        <w:rPr>
          <w:rFonts w:ascii="Garamond" w:hAnsi="Garamond"/>
        </w:rPr>
        <w:t xml:space="preserve"> </w:t>
      </w:r>
      <w:r w:rsidRPr="00EB7B5F">
        <w:rPr>
          <w:rFonts w:ascii="Garamond" w:hAnsi="Garamond"/>
          <w:i/>
        </w:rPr>
        <w:t xml:space="preserve">Montgomery v Lanarkshire Health Board </w:t>
      </w:r>
      <w:r w:rsidR="002A73DF" w:rsidRPr="00EB7B5F">
        <w:rPr>
          <w:rFonts w:ascii="Garamond" w:hAnsi="Garamond"/>
          <w:iCs/>
        </w:rPr>
        <w:t xml:space="preserve">which </w:t>
      </w:r>
      <w:r w:rsidRPr="00EB7B5F">
        <w:rPr>
          <w:rFonts w:ascii="Garamond" w:hAnsi="Garamond"/>
        </w:rPr>
        <w:t>advocate</w:t>
      </w:r>
      <w:r w:rsidR="002A73DF" w:rsidRPr="00EB7B5F">
        <w:rPr>
          <w:rFonts w:ascii="Garamond" w:hAnsi="Garamond"/>
        </w:rPr>
        <w:t>s</w:t>
      </w:r>
      <w:r w:rsidRPr="00EB7B5F">
        <w:rPr>
          <w:rFonts w:ascii="Garamond" w:hAnsi="Garamond"/>
        </w:rPr>
        <w:t xml:space="preserve"> a partnership between doctor and patient</w:t>
      </w:r>
      <w:r w:rsidR="000149D1" w:rsidRPr="00EB7B5F">
        <w:rPr>
          <w:rFonts w:ascii="Garamond" w:hAnsi="Garamond"/>
        </w:rPr>
        <w:t>, treating</w:t>
      </w:r>
      <w:r w:rsidRPr="00EB7B5F">
        <w:rPr>
          <w:rFonts w:ascii="Garamond" w:hAnsi="Garamond"/>
        </w:rPr>
        <w:t xml:space="preserve"> patients as</w:t>
      </w:r>
      <w:r w:rsidR="003B3481" w:rsidRPr="00EB7B5F">
        <w:rPr>
          <w:rFonts w:ascii="Garamond" w:hAnsi="Garamond"/>
        </w:rPr>
        <w:t>:</w:t>
      </w:r>
    </w:p>
    <w:p w14:paraId="1E659E5E" w14:textId="77777777" w:rsidR="00027E24" w:rsidRPr="00EB7B5F" w:rsidRDefault="00034E30" w:rsidP="00A55C75">
      <w:pPr>
        <w:shd w:val="clear" w:color="auto" w:fill="FFFFFF" w:themeFill="background1"/>
        <w:spacing w:line="480" w:lineRule="auto"/>
        <w:ind w:left="397" w:right="397"/>
        <w:jc w:val="both"/>
        <w:rPr>
          <w:rFonts w:ascii="Garamond" w:hAnsi="Garamond"/>
        </w:rPr>
      </w:pPr>
      <w:r w:rsidRPr="00EB7B5F">
        <w:rPr>
          <w:rFonts w:ascii="Garamond" w:hAnsi="Garamond"/>
        </w:rPr>
        <w:t xml:space="preserve"> ‘capable of understanding that medical treatment is uncertain of success, and may involve risks, accepting responsibility for the taking of risks affecting their own lives, and living with the consequences of their choices.’</w:t>
      </w:r>
      <w:r w:rsidRPr="00EB7B5F">
        <w:rPr>
          <w:rStyle w:val="FootnoteReference"/>
          <w:rFonts w:ascii="Garamond" w:hAnsi="Garamond"/>
        </w:rPr>
        <w:footnoteReference w:id="63"/>
      </w:r>
    </w:p>
    <w:p w14:paraId="2D4D9033" w14:textId="40EF9B2A" w:rsidR="00027E24" w:rsidRPr="00EB7B5F" w:rsidRDefault="00027E24" w:rsidP="00A55C75">
      <w:pPr>
        <w:shd w:val="clear" w:color="auto" w:fill="FFFFFF" w:themeFill="background1"/>
        <w:spacing w:line="480" w:lineRule="auto"/>
        <w:jc w:val="both"/>
        <w:rPr>
          <w:rFonts w:ascii="Garamond" w:hAnsi="Garamond"/>
        </w:rPr>
      </w:pPr>
      <w:r w:rsidRPr="00EB7B5F">
        <w:rPr>
          <w:rFonts w:ascii="Garamond" w:hAnsi="Garamond"/>
        </w:rPr>
        <w:t xml:space="preserve">There is understandable concern that patients trying an unlicensed medicine </w:t>
      </w:r>
      <w:r w:rsidR="00D64278" w:rsidRPr="00EB7B5F">
        <w:rPr>
          <w:rFonts w:ascii="Garamond" w:hAnsi="Garamond"/>
        </w:rPr>
        <w:t>raise</w:t>
      </w:r>
      <w:r w:rsidRPr="00EB7B5F">
        <w:rPr>
          <w:rFonts w:ascii="Garamond" w:hAnsi="Garamond"/>
        </w:rPr>
        <w:t xml:space="preserve"> </w:t>
      </w:r>
      <w:proofErr w:type="gramStart"/>
      <w:r w:rsidRPr="00EB7B5F">
        <w:rPr>
          <w:rFonts w:ascii="Garamond" w:hAnsi="Garamond"/>
        </w:rPr>
        <w:t>particular</w:t>
      </w:r>
      <w:r w:rsidR="00662C74" w:rsidRPr="00EB7B5F">
        <w:rPr>
          <w:rFonts w:ascii="Garamond" w:hAnsi="Garamond"/>
        </w:rPr>
        <w:t xml:space="preserve"> </w:t>
      </w:r>
      <w:r w:rsidR="00D64278" w:rsidRPr="00EB7B5F">
        <w:rPr>
          <w:rFonts w:ascii="Garamond" w:hAnsi="Garamond"/>
        </w:rPr>
        <w:t>issues</w:t>
      </w:r>
      <w:proofErr w:type="gramEnd"/>
      <w:r w:rsidRPr="00EB7B5F">
        <w:rPr>
          <w:rFonts w:ascii="Garamond" w:hAnsi="Garamond"/>
        </w:rPr>
        <w:t xml:space="preserve"> in terms of obtaining informed consent</w:t>
      </w:r>
      <w:r w:rsidR="00D64278" w:rsidRPr="00EB7B5F">
        <w:rPr>
          <w:rFonts w:ascii="Garamond" w:hAnsi="Garamond"/>
        </w:rPr>
        <w:t>, which remain</w:t>
      </w:r>
      <w:r w:rsidRPr="00EB7B5F">
        <w:rPr>
          <w:rFonts w:ascii="Garamond" w:hAnsi="Garamond"/>
        </w:rPr>
        <w:t xml:space="preserve"> problematic in the case of informed and experienced patient</w:t>
      </w:r>
      <w:r w:rsidR="00D64278" w:rsidRPr="00EB7B5F">
        <w:rPr>
          <w:rFonts w:ascii="Garamond" w:hAnsi="Garamond"/>
        </w:rPr>
        <w:t>s</w:t>
      </w:r>
      <w:r w:rsidR="00D349D1" w:rsidRPr="00EB7B5F">
        <w:rPr>
          <w:rFonts w:ascii="Garamond" w:hAnsi="Garamond"/>
        </w:rPr>
        <w:t>. F</w:t>
      </w:r>
      <w:r w:rsidR="002A73DF" w:rsidRPr="00EB7B5F">
        <w:rPr>
          <w:rFonts w:ascii="Garamond" w:hAnsi="Garamond"/>
        </w:rPr>
        <w:t>or example,</w:t>
      </w:r>
      <w:r w:rsidRPr="00EB7B5F">
        <w:rPr>
          <w:rFonts w:ascii="Garamond" w:hAnsi="Garamond"/>
        </w:rPr>
        <w:t xml:space="preserve"> </w:t>
      </w:r>
      <w:r w:rsidR="00D349D1" w:rsidRPr="00EB7B5F">
        <w:rPr>
          <w:rFonts w:ascii="Garamond" w:hAnsi="Garamond"/>
        </w:rPr>
        <w:t>such patients</w:t>
      </w:r>
      <w:r w:rsidRPr="00EB7B5F">
        <w:rPr>
          <w:rFonts w:ascii="Garamond" w:hAnsi="Garamond"/>
        </w:rPr>
        <w:t xml:space="preserve"> </w:t>
      </w:r>
      <w:r w:rsidR="003B6FC4" w:rsidRPr="00EB7B5F">
        <w:rPr>
          <w:rFonts w:ascii="Garamond" w:hAnsi="Garamond"/>
        </w:rPr>
        <w:t>could</w:t>
      </w:r>
      <w:r w:rsidRPr="00EB7B5F">
        <w:rPr>
          <w:rFonts w:ascii="Garamond" w:hAnsi="Garamond"/>
        </w:rPr>
        <w:t xml:space="preserve"> be </w:t>
      </w:r>
      <w:r w:rsidR="00D349D1" w:rsidRPr="00EB7B5F">
        <w:rPr>
          <w:rFonts w:ascii="Garamond" w:hAnsi="Garamond"/>
        </w:rPr>
        <w:t>affect</w:t>
      </w:r>
      <w:r w:rsidRPr="00EB7B5F">
        <w:rPr>
          <w:rFonts w:ascii="Garamond" w:hAnsi="Garamond"/>
        </w:rPr>
        <w:t xml:space="preserve">ed by ‘optimism </w:t>
      </w:r>
      <w:proofErr w:type="spellStart"/>
      <w:r w:rsidRPr="00EB7B5F">
        <w:rPr>
          <w:rFonts w:ascii="Garamond" w:hAnsi="Garamond"/>
        </w:rPr>
        <w:t>bias’</w:t>
      </w:r>
      <w:proofErr w:type="spellEnd"/>
      <w:r w:rsidRPr="00EB7B5F">
        <w:rPr>
          <w:rFonts w:ascii="Garamond" w:hAnsi="Garamond"/>
        </w:rPr>
        <w:t xml:space="preserve"> based on their previous experience, which may </w:t>
      </w:r>
      <w:r w:rsidR="00C50995" w:rsidRPr="00EB7B5F">
        <w:rPr>
          <w:rFonts w:ascii="Garamond" w:hAnsi="Garamond"/>
        </w:rPr>
        <w:t>not be replicated by the doctor’s prescription</w:t>
      </w:r>
      <w:r w:rsidRPr="00EB7B5F">
        <w:rPr>
          <w:rFonts w:ascii="Garamond" w:hAnsi="Garamond"/>
        </w:rPr>
        <w:t>. In such situations as with any innovative medicine, it is probably best to ensure ‘that the patient realises s/he is effectively rolling the dice’ as the risks cannot be clearly defined.</w:t>
      </w:r>
      <w:r w:rsidRPr="00EB7B5F">
        <w:rPr>
          <w:rStyle w:val="FootnoteReference"/>
          <w:rFonts w:ascii="Garamond" w:hAnsi="Garamond"/>
        </w:rPr>
        <w:footnoteReference w:id="64"/>
      </w:r>
      <w:r w:rsidRPr="00EB7B5F">
        <w:rPr>
          <w:rFonts w:ascii="Garamond" w:hAnsi="Garamond"/>
        </w:rPr>
        <w:t xml:space="preserve"> It will also be important to ensure that the patient knows that the drug may take some months to work, </w:t>
      </w:r>
      <w:r w:rsidR="00662C74" w:rsidRPr="00EB7B5F">
        <w:rPr>
          <w:rFonts w:ascii="Garamond" w:hAnsi="Garamond"/>
        </w:rPr>
        <w:t xml:space="preserve">that current arrangements mean </w:t>
      </w:r>
      <w:r w:rsidRPr="00EB7B5F">
        <w:rPr>
          <w:rFonts w:ascii="Garamond" w:hAnsi="Garamond"/>
        </w:rPr>
        <w:t>there may be a break in supply, and that the drug may not work at all, so that the patient is prepared for disappointment.</w:t>
      </w:r>
      <w:r w:rsidR="00D64278" w:rsidRPr="00EB7B5F">
        <w:rPr>
          <w:rFonts w:ascii="Garamond" w:hAnsi="Garamond"/>
        </w:rPr>
        <w:t xml:space="preserve"> But these are not reasons to avoid prescribing, they are reasons for</w:t>
      </w:r>
      <w:r w:rsidR="00DA4B8E" w:rsidRPr="00EB7B5F">
        <w:rPr>
          <w:rFonts w:ascii="Garamond" w:hAnsi="Garamond"/>
        </w:rPr>
        <w:t xml:space="preserve"> due diligence</w:t>
      </w:r>
      <w:r w:rsidR="00D64278" w:rsidRPr="00EB7B5F">
        <w:rPr>
          <w:rFonts w:ascii="Garamond" w:hAnsi="Garamond"/>
        </w:rPr>
        <w:t>.</w:t>
      </w:r>
    </w:p>
    <w:p w14:paraId="6EC52FAE" w14:textId="1843851A" w:rsidR="000B3C44" w:rsidRPr="00EB7B5F" w:rsidRDefault="00906C08" w:rsidP="00A55C75">
      <w:pPr>
        <w:shd w:val="clear" w:color="auto" w:fill="FFFFFF" w:themeFill="background1"/>
        <w:spacing w:line="480" w:lineRule="auto"/>
        <w:jc w:val="both"/>
        <w:rPr>
          <w:rFonts w:ascii="Garamond" w:hAnsi="Garamond"/>
        </w:rPr>
      </w:pPr>
      <w:r w:rsidRPr="00EB7B5F">
        <w:rPr>
          <w:rFonts w:ascii="Garamond" w:hAnsi="Garamond"/>
        </w:rPr>
        <w:t>The practice of prescribing is subject to detailed guidance from the General Medical Council</w:t>
      </w:r>
      <w:r w:rsidR="000B3C44" w:rsidRPr="00EB7B5F">
        <w:rPr>
          <w:rFonts w:ascii="Garamond" w:hAnsi="Garamond"/>
        </w:rPr>
        <w:t xml:space="preserve"> </w:t>
      </w:r>
      <w:r w:rsidR="00662C74" w:rsidRPr="00EB7B5F">
        <w:rPr>
          <w:rFonts w:ascii="Garamond" w:hAnsi="Garamond"/>
        </w:rPr>
        <w:t xml:space="preserve">(GMC) </w:t>
      </w:r>
      <w:r w:rsidR="00906EB5" w:rsidRPr="00EB7B5F">
        <w:rPr>
          <w:rFonts w:ascii="Garamond" w:hAnsi="Garamond"/>
        </w:rPr>
        <w:t xml:space="preserve">which </w:t>
      </w:r>
      <w:r w:rsidR="00D349D1" w:rsidRPr="00EB7B5F">
        <w:rPr>
          <w:rFonts w:ascii="Garamond" w:hAnsi="Garamond"/>
        </w:rPr>
        <w:t>arguably</w:t>
      </w:r>
      <w:r w:rsidR="00906EB5" w:rsidRPr="00EB7B5F">
        <w:rPr>
          <w:rFonts w:ascii="Garamond" w:hAnsi="Garamond"/>
        </w:rPr>
        <w:t xml:space="preserve"> </w:t>
      </w:r>
      <w:r w:rsidR="00DA4B8E" w:rsidRPr="00EB7B5F">
        <w:rPr>
          <w:rFonts w:ascii="Garamond" w:hAnsi="Garamond"/>
        </w:rPr>
        <w:t xml:space="preserve">does </w:t>
      </w:r>
      <w:r w:rsidR="000B3C44" w:rsidRPr="00EB7B5F">
        <w:rPr>
          <w:rFonts w:ascii="Garamond" w:hAnsi="Garamond"/>
        </w:rPr>
        <w:t>leave room for considering the prior experiences of the patient</w:t>
      </w:r>
      <w:r w:rsidRPr="00EB7B5F">
        <w:rPr>
          <w:rFonts w:ascii="Garamond" w:hAnsi="Garamond"/>
        </w:rPr>
        <w:t>.</w:t>
      </w:r>
      <w:r w:rsidRPr="00EB7B5F">
        <w:rPr>
          <w:rFonts w:ascii="Garamond" w:hAnsi="Garamond"/>
          <w:vertAlign w:val="superscript"/>
        </w:rPr>
        <w:footnoteReference w:id="65"/>
      </w:r>
      <w:r w:rsidRPr="00EB7B5F">
        <w:rPr>
          <w:rFonts w:ascii="Garamond" w:hAnsi="Garamond"/>
        </w:rPr>
        <w:t xml:space="preserve"> </w:t>
      </w:r>
      <w:r w:rsidR="000B3C44" w:rsidRPr="00EB7B5F">
        <w:rPr>
          <w:rFonts w:ascii="Garamond" w:hAnsi="Garamond"/>
        </w:rPr>
        <w:t xml:space="preserve">There is a general duty to prescribe only where the doctor has ‘adequate knowledge of the patient’s health’ and where ‘satisfied that </w:t>
      </w:r>
      <w:r w:rsidR="000B3C44" w:rsidRPr="00EB7B5F">
        <w:rPr>
          <w:rFonts w:ascii="Garamond" w:hAnsi="Garamond"/>
        </w:rPr>
        <w:lastRenderedPageBreak/>
        <w:t>they (the drugs) serve the patient’s needs.’</w:t>
      </w:r>
      <w:r w:rsidR="000B3C44" w:rsidRPr="00EB7B5F">
        <w:rPr>
          <w:rFonts w:ascii="Garamond" w:hAnsi="Garamond"/>
          <w:vertAlign w:val="superscript"/>
        </w:rPr>
        <w:footnoteReference w:id="66"/>
      </w:r>
      <w:r w:rsidR="000B3C44" w:rsidRPr="00EB7B5F">
        <w:rPr>
          <w:rFonts w:ascii="Garamond" w:hAnsi="Garamond"/>
        </w:rPr>
        <w:t xml:space="preserve"> Specific provisions relat</w:t>
      </w:r>
      <w:r w:rsidR="00906EB5" w:rsidRPr="00EB7B5F">
        <w:rPr>
          <w:rFonts w:ascii="Garamond" w:hAnsi="Garamond"/>
        </w:rPr>
        <w:t>ing</w:t>
      </w:r>
      <w:r w:rsidR="000B3C44" w:rsidRPr="00EB7B5F">
        <w:rPr>
          <w:rFonts w:ascii="Garamond" w:hAnsi="Garamond"/>
        </w:rPr>
        <w:t xml:space="preserve"> to the prescription of </w:t>
      </w:r>
      <w:r w:rsidR="000B3C44" w:rsidRPr="00EB7B5F">
        <w:rPr>
          <w:rFonts w:ascii="Garamond" w:hAnsi="Garamond"/>
          <w:i/>
          <w:iCs/>
        </w:rPr>
        <w:t xml:space="preserve">unlicensed </w:t>
      </w:r>
      <w:r w:rsidR="000B3C44" w:rsidRPr="00EB7B5F">
        <w:rPr>
          <w:rFonts w:ascii="Garamond" w:hAnsi="Garamond"/>
        </w:rPr>
        <w:t>medicines</w:t>
      </w:r>
      <w:r w:rsidR="009A72A3" w:rsidRPr="00EB7B5F">
        <w:rPr>
          <w:rFonts w:ascii="Garamond" w:hAnsi="Garamond"/>
        </w:rPr>
        <w:t>, includ</w:t>
      </w:r>
      <w:r w:rsidR="00906EB5" w:rsidRPr="00EB7B5F">
        <w:rPr>
          <w:rFonts w:ascii="Garamond" w:hAnsi="Garamond"/>
        </w:rPr>
        <w:t>e</w:t>
      </w:r>
      <w:r w:rsidR="009A72A3" w:rsidRPr="00EB7B5F">
        <w:rPr>
          <w:rFonts w:ascii="Garamond" w:hAnsi="Garamond"/>
        </w:rPr>
        <w:t xml:space="preserve"> that</w:t>
      </w:r>
      <w:r w:rsidR="000B3C44" w:rsidRPr="00EB7B5F">
        <w:rPr>
          <w:rFonts w:ascii="Garamond" w:hAnsi="Garamond"/>
        </w:rPr>
        <w:t xml:space="preserve"> doctors should only prescribe where ‘on the basis of an assessment of the individual patient, you conclude, for medical reasons, that it is necessary to do so to meet the specific needs of the patient.’</w:t>
      </w:r>
      <w:r w:rsidR="000B3C44" w:rsidRPr="00EB7B5F">
        <w:rPr>
          <w:rFonts w:ascii="Garamond" w:hAnsi="Garamond"/>
          <w:vertAlign w:val="superscript"/>
        </w:rPr>
        <w:footnoteReference w:id="67"/>
      </w:r>
      <w:r w:rsidR="000B3C44" w:rsidRPr="00EB7B5F">
        <w:rPr>
          <w:rFonts w:ascii="Garamond" w:hAnsi="Garamond"/>
        </w:rPr>
        <w:t xml:space="preserve"> The</w:t>
      </w:r>
      <w:r w:rsidR="00906EB5" w:rsidRPr="00EB7B5F">
        <w:rPr>
          <w:rFonts w:ascii="Garamond" w:hAnsi="Garamond"/>
        </w:rPr>
        <w:t xml:space="preserve"> GMC explicitly states that</w:t>
      </w:r>
      <w:r w:rsidR="000B3C44" w:rsidRPr="00EB7B5F">
        <w:rPr>
          <w:rFonts w:ascii="Garamond" w:hAnsi="Garamond"/>
        </w:rPr>
        <w:t xml:space="preserve"> ‘necessity’ </w:t>
      </w:r>
      <w:bookmarkStart w:id="2" w:name="_GoBack"/>
      <w:bookmarkEnd w:id="2"/>
      <w:r w:rsidR="000B3C44" w:rsidRPr="00EB7B5F">
        <w:rPr>
          <w:rFonts w:ascii="Garamond" w:hAnsi="Garamond"/>
        </w:rPr>
        <w:t>here does not necessarily require an application of evidence</w:t>
      </w:r>
      <w:r w:rsidR="00662C74" w:rsidRPr="00EB7B5F">
        <w:rPr>
          <w:rFonts w:ascii="Garamond" w:hAnsi="Garamond"/>
        </w:rPr>
        <w:t>-</w:t>
      </w:r>
      <w:r w:rsidR="000B3C44" w:rsidRPr="00EB7B5F">
        <w:rPr>
          <w:rFonts w:ascii="Garamond" w:hAnsi="Garamond"/>
        </w:rPr>
        <w:t>based medicine based solely on published studies and meta-analyses of the efficacy and safety of these drugs. The guidance endorses the use of ‘evidence’ alongside ‘experience of using the medicine’ to demonstrate its safety and efficacy.</w:t>
      </w:r>
      <w:r w:rsidR="000B3C44" w:rsidRPr="00EB7B5F">
        <w:rPr>
          <w:rFonts w:ascii="Garamond" w:hAnsi="Garamond"/>
          <w:vertAlign w:val="superscript"/>
        </w:rPr>
        <w:footnoteReference w:id="68"/>
      </w:r>
      <w:r w:rsidR="000B3C44" w:rsidRPr="00EB7B5F">
        <w:rPr>
          <w:rFonts w:ascii="Garamond" w:hAnsi="Garamond"/>
        </w:rPr>
        <w:t xml:space="preserve"> The meaning of ‘experience’ here is not explained, </w:t>
      </w:r>
      <w:r w:rsidR="00930091" w:rsidRPr="00EB7B5F">
        <w:rPr>
          <w:rFonts w:ascii="Garamond" w:hAnsi="Garamond"/>
        </w:rPr>
        <w:t>but</w:t>
      </w:r>
      <w:r w:rsidR="000B3C44" w:rsidRPr="00EB7B5F">
        <w:rPr>
          <w:rFonts w:ascii="Garamond" w:hAnsi="Garamond"/>
        </w:rPr>
        <w:t xml:space="preserve"> could be interpreted to mean the patient’s own experience of using cannabis</w:t>
      </w:r>
      <w:r w:rsidR="009A72A3" w:rsidRPr="00EB7B5F">
        <w:rPr>
          <w:rFonts w:ascii="Garamond" w:hAnsi="Garamond"/>
        </w:rPr>
        <w:t xml:space="preserve">, </w:t>
      </w:r>
      <w:r w:rsidR="000B3C44" w:rsidRPr="00EB7B5F">
        <w:rPr>
          <w:rFonts w:ascii="Garamond" w:hAnsi="Garamond"/>
        </w:rPr>
        <w:t>experient</w:t>
      </w:r>
      <w:r w:rsidR="00D04AA8" w:rsidRPr="00EB7B5F">
        <w:rPr>
          <w:rFonts w:ascii="Garamond" w:hAnsi="Garamond"/>
        </w:rPr>
        <w:t>i</w:t>
      </w:r>
      <w:r w:rsidR="000B3C44" w:rsidRPr="00EB7B5F">
        <w:rPr>
          <w:rFonts w:ascii="Garamond" w:hAnsi="Garamond"/>
        </w:rPr>
        <w:t xml:space="preserve">al case studies which are published in the medical literature, ‘N of 1’ studies </w:t>
      </w:r>
      <w:r w:rsidR="00DA4B8E" w:rsidRPr="00EB7B5F">
        <w:rPr>
          <w:rFonts w:ascii="Garamond" w:hAnsi="Garamond"/>
        </w:rPr>
        <w:t>(</w:t>
      </w:r>
      <w:r w:rsidR="000B3C44" w:rsidRPr="00EB7B5F">
        <w:rPr>
          <w:rFonts w:ascii="Garamond" w:hAnsi="Garamond"/>
        </w:rPr>
        <w:t>which are clinical trials involving one participant</w:t>
      </w:r>
      <w:r w:rsidR="00DA4B8E" w:rsidRPr="00EB7B5F">
        <w:rPr>
          <w:rFonts w:ascii="Garamond" w:hAnsi="Garamond"/>
        </w:rPr>
        <w:t>)</w:t>
      </w:r>
      <w:r w:rsidR="000B3C44" w:rsidRPr="00EB7B5F">
        <w:rPr>
          <w:rFonts w:ascii="Garamond" w:hAnsi="Garamond"/>
          <w:vertAlign w:val="superscript"/>
        </w:rPr>
        <w:footnoteReference w:id="69"/>
      </w:r>
      <w:r w:rsidR="000B3C44" w:rsidRPr="00EB7B5F">
        <w:rPr>
          <w:rFonts w:ascii="Garamond" w:hAnsi="Garamond"/>
        </w:rPr>
        <w:t xml:space="preserve">, or the doctor’s own experience of prescribing this particular drug for this particular condition. </w:t>
      </w:r>
      <w:r w:rsidR="00DA4B8E" w:rsidRPr="00EB7B5F">
        <w:rPr>
          <w:rFonts w:ascii="Garamond" w:hAnsi="Garamond"/>
        </w:rPr>
        <w:t>We know that t</w:t>
      </w:r>
      <w:r w:rsidR="009A72A3" w:rsidRPr="00EB7B5F">
        <w:rPr>
          <w:rFonts w:ascii="Garamond" w:hAnsi="Garamond"/>
        </w:rPr>
        <w:t>h</w:t>
      </w:r>
      <w:r w:rsidR="00930091" w:rsidRPr="00EB7B5F">
        <w:rPr>
          <w:rFonts w:ascii="Garamond" w:hAnsi="Garamond"/>
        </w:rPr>
        <w:t>is</w:t>
      </w:r>
      <w:r w:rsidR="009A72A3" w:rsidRPr="00EB7B5F">
        <w:rPr>
          <w:rFonts w:ascii="Garamond" w:hAnsi="Garamond"/>
        </w:rPr>
        <w:t xml:space="preserve"> reference </w:t>
      </w:r>
      <w:r w:rsidR="00930091" w:rsidRPr="00EB7B5F">
        <w:rPr>
          <w:rFonts w:ascii="Garamond" w:hAnsi="Garamond"/>
        </w:rPr>
        <w:t xml:space="preserve">to ‘experience’ </w:t>
      </w:r>
      <w:r w:rsidR="009A72A3" w:rsidRPr="00EB7B5F">
        <w:rPr>
          <w:rFonts w:ascii="Garamond" w:hAnsi="Garamond"/>
        </w:rPr>
        <w:t xml:space="preserve">cannot be simply to the doctor’s own clinical experience, as this </w:t>
      </w:r>
      <w:r w:rsidR="000B3C44" w:rsidRPr="00EB7B5F">
        <w:rPr>
          <w:rFonts w:ascii="Garamond" w:hAnsi="Garamond"/>
        </w:rPr>
        <w:t xml:space="preserve">would beg the question of how a doctor could acquire such experience if other forms of experience cannot be used to justify use of </w:t>
      </w:r>
      <w:r w:rsidR="009A72A3" w:rsidRPr="00EB7B5F">
        <w:rPr>
          <w:rFonts w:ascii="Garamond" w:hAnsi="Garamond"/>
        </w:rPr>
        <w:t>the medicine</w:t>
      </w:r>
      <w:r w:rsidR="000B3C44" w:rsidRPr="00EB7B5F">
        <w:rPr>
          <w:rFonts w:ascii="Garamond" w:hAnsi="Garamond"/>
        </w:rPr>
        <w:t xml:space="preserve">. </w:t>
      </w:r>
    </w:p>
    <w:p w14:paraId="7E983B3D" w14:textId="78B2B431" w:rsidR="00E40283" w:rsidRPr="00EB7B5F" w:rsidRDefault="009A72A3" w:rsidP="00A55C75">
      <w:pPr>
        <w:shd w:val="clear" w:color="auto" w:fill="FFFFFF" w:themeFill="background1"/>
        <w:spacing w:line="480" w:lineRule="auto"/>
        <w:jc w:val="both"/>
        <w:rPr>
          <w:rFonts w:ascii="Garamond" w:hAnsi="Garamond"/>
        </w:rPr>
      </w:pPr>
      <w:r w:rsidRPr="00EB7B5F">
        <w:rPr>
          <w:rFonts w:ascii="Garamond" w:hAnsi="Garamond"/>
        </w:rPr>
        <w:t xml:space="preserve">The </w:t>
      </w:r>
      <w:r w:rsidR="00E40283" w:rsidRPr="00EB7B5F">
        <w:rPr>
          <w:rFonts w:ascii="Garamond" w:hAnsi="Garamond"/>
        </w:rPr>
        <w:t>NICE</w:t>
      </w:r>
      <w:r w:rsidRPr="00EB7B5F">
        <w:rPr>
          <w:rFonts w:ascii="Garamond" w:hAnsi="Garamond"/>
        </w:rPr>
        <w:t xml:space="preserve"> guideline</w:t>
      </w:r>
      <w:r w:rsidR="00DA4B8E" w:rsidRPr="00EB7B5F">
        <w:rPr>
          <w:rFonts w:ascii="Garamond" w:hAnsi="Garamond"/>
        </w:rPr>
        <w:t xml:space="preserve"> also</w:t>
      </w:r>
      <w:r w:rsidRPr="00EB7B5F">
        <w:rPr>
          <w:rFonts w:ascii="Garamond" w:hAnsi="Garamond"/>
        </w:rPr>
        <w:t xml:space="preserve"> </w:t>
      </w:r>
      <w:r w:rsidR="00930091" w:rsidRPr="00EB7B5F">
        <w:rPr>
          <w:rFonts w:ascii="Garamond" w:hAnsi="Garamond"/>
        </w:rPr>
        <w:t>includes a</w:t>
      </w:r>
      <w:r w:rsidRPr="00EB7B5F">
        <w:rPr>
          <w:rFonts w:ascii="Garamond" w:hAnsi="Garamond"/>
        </w:rPr>
        <w:t xml:space="preserve"> possible nod to patient experience in </w:t>
      </w:r>
      <w:r w:rsidR="00BB6911" w:rsidRPr="00EB7B5F">
        <w:rPr>
          <w:rFonts w:ascii="Garamond" w:hAnsi="Garamond"/>
        </w:rPr>
        <w:t>a</w:t>
      </w:r>
      <w:r w:rsidRPr="00EB7B5F">
        <w:rPr>
          <w:rFonts w:ascii="Garamond" w:hAnsi="Garamond"/>
        </w:rPr>
        <w:t xml:space="preserve"> section headed</w:t>
      </w:r>
      <w:r w:rsidR="00E40283" w:rsidRPr="00EB7B5F">
        <w:rPr>
          <w:rFonts w:ascii="Garamond" w:hAnsi="Garamond"/>
        </w:rPr>
        <w:t xml:space="preserve"> ‘factors to consider when prescribing</w:t>
      </w:r>
      <w:r w:rsidR="003B6FC4" w:rsidRPr="00EB7B5F">
        <w:rPr>
          <w:rFonts w:ascii="Garamond" w:hAnsi="Garamond"/>
        </w:rPr>
        <w:t>.</w:t>
      </w:r>
      <w:r w:rsidR="00E40283" w:rsidRPr="00EB7B5F">
        <w:rPr>
          <w:rFonts w:ascii="Garamond" w:hAnsi="Garamond"/>
        </w:rPr>
        <w:t xml:space="preserve">’ </w:t>
      </w:r>
      <w:r w:rsidR="003B6FC4" w:rsidRPr="00EB7B5F">
        <w:rPr>
          <w:rFonts w:ascii="Garamond" w:hAnsi="Garamond"/>
        </w:rPr>
        <w:t>The text</w:t>
      </w:r>
      <w:r w:rsidRPr="00EB7B5F">
        <w:rPr>
          <w:rFonts w:ascii="Garamond" w:hAnsi="Garamond"/>
        </w:rPr>
        <w:t xml:space="preserve"> indicates merely </w:t>
      </w:r>
      <w:r w:rsidR="00E40283" w:rsidRPr="00EB7B5F">
        <w:rPr>
          <w:rFonts w:ascii="Garamond" w:hAnsi="Garamond"/>
        </w:rPr>
        <w:t>that ’current and past use of cannabis’ should be taken into account</w:t>
      </w:r>
      <w:r w:rsidRPr="00EB7B5F">
        <w:rPr>
          <w:rStyle w:val="FootnoteReference"/>
          <w:rFonts w:ascii="Garamond" w:hAnsi="Garamond"/>
        </w:rPr>
        <w:footnoteReference w:id="70"/>
      </w:r>
      <w:r w:rsidRPr="00EB7B5F">
        <w:rPr>
          <w:rFonts w:ascii="Garamond" w:hAnsi="Garamond"/>
        </w:rPr>
        <w:t>, but</w:t>
      </w:r>
      <w:r w:rsidR="00E40283" w:rsidRPr="00EB7B5F">
        <w:rPr>
          <w:rFonts w:ascii="Garamond" w:hAnsi="Garamond"/>
        </w:rPr>
        <w:t xml:space="preserve"> this is alongside a list of what might be regarded as contraindications</w:t>
      </w:r>
      <w:r w:rsidR="00DA4B8E" w:rsidRPr="00EB7B5F">
        <w:rPr>
          <w:rFonts w:ascii="Garamond" w:hAnsi="Garamond"/>
        </w:rPr>
        <w:t>,</w:t>
      </w:r>
      <w:r w:rsidR="00E40283" w:rsidRPr="00EB7B5F">
        <w:rPr>
          <w:rFonts w:ascii="Garamond" w:hAnsi="Garamond"/>
        </w:rPr>
        <w:t xml:space="preserve"> and nothing is said about treating a patient who brings extensive experience with them of </w:t>
      </w:r>
      <w:r w:rsidR="00DA4B8E" w:rsidRPr="00EB7B5F">
        <w:rPr>
          <w:rFonts w:ascii="Garamond" w:hAnsi="Garamond"/>
        </w:rPr>
        <w:t>using cannabis as medicine</w:t>
      </w:r>
      <w:r w:rsidR="00E40283" w:rsidRPr="00EB7B5F">
        <w:rPr>
          <w:rFonts w:ascii="Garamond" w:hAnsi="Garamond"/>
        </w:rPr>
        <w:t>.</w:t>
      </w:r>
      <w:r w:rsidR="008229FD" w:rsidRPr="00EB7B5F">
        <w:rPr>
          <w:rFonts w:ascii="Garamond" w:hAnsi="Garamond"/>
        </w:rPr>
        <w:t xml:space="preserve"> Doctors</w:t>
      </w:r>
      <w:r w:rsidR="00662C74" w:rsidRPr="00EB7B5F">
        <w:rPr>
          <w:rFonts w:ascii="Garamond" w:hAnsi="Garamond"/>
        </w:rPr>
        <w:t xml:space="preserve"> will</w:t>
      </w:r>
      <w:r w:rsidR="008229FD" w:rsidRPr="00EB7B5F">
        <w:rPr>
          <w:rFonts w:ascii="Garamond" w:hAnsi="Garamond"/>
        </w:rPr>
        <w:t xml:space="preserve"> need more support and advice in negotiating this difficult terrain and </w:t>
      </w:r>
      <w:proofErr w:type="gramStart"/>
      <w:r w:rsidR="008229FD" w:rsidRPr="00EB7B5F">
        <w:rPr>
          <w:rFonts w:ascii="Garamond" w:hAnsi="Garamond"/>
        </w:rPr>
        <w:t>taking into account</w:t>
      </w:r>
      <w:proofErr w:type="gramEnd"/>
      <w:r w:rsidR="008229FD" w:rsidRPr="00EB7B5F">
        <w:rPr>
          <w:rFonts w:ascii="Garamond" w:hAnsi="Garamond"/>
        </w:rPr>
        <w:t xml:space="preserve"> patient experience</w:t>
      </w:r>
      <w:r w:rsidR="00662C74" w:rsidRPr="00EB7B5F">
        <w:rPr>
          <w:rFonts w:ascii="Garamond" w:hAnsi="Garamond"/>
        </w:rPr>
        <w:t xml:space="preserve"> where relevant</w:t>
      </w:r>
      <w:r w:rsidR="008229FD" w:rsidRPr="00EB7B5F">
        <w:rPr>
          <w:rFonts w:ascii="Garamond" w:hAnsi="Garamond"/>
        </w:rPr>
        <w:t xml:space="preserve">, </w:t>
      </w:r>
      <w:r w:rsidR="003B6FC4" w:rsidRPr="00EB7B5F">
        <w:rPr>
          <w:rFonts w:ascii="Garamond" w:hAnsi="Garamond"/>
        </w:rPr>
        <w:t>given the challenges this poses to</w:t>
      </w:r>
      <w:r w:rsidR="008229FD" w:rsidRPr="00EB7B5F">
        <w:rPr>
          <w:rFonts w:ascii="Garamond" w:hAnsi="Garamond"/>
        </w:rPr>
        <w:t xml:space="preserve"> medicalised models of ‘evidence.’ </w:t>
      </w:r>
      <w:r w:rsidR="00E40283" w:rsidRPr="00EB7B5F">
        <w:rPr>
          <w:rFonts w:ascii="Garamond" w:hAnsi="Garamond"/>
        </w:rPr>
        <w:t xml:space="preserve">   </w:t>
      </w:r>
    </w:p>
    <w:p w14:paraId="0BFC7F97" w14:textId="40874611" w:rsidR="006E643A" w:rsidRPr="00EB7B5F" w:rsidRDefault="00DC780F" w:rsidP="00DC780F">
      <w:pPr>
        <w:spacing w:line="480" w:lineRule="auto"/>
        <w:jc w:val="center"/>
        <w:rPr>
          <w:rFonts w:ascii="Garamond" w:hAnsi="Garamond"/>
          <w:b/>
          <w:bCs/>
        </w:rPr>
      </w:pPr>
      <w:r w:rsidRPr="00EB7B5F">
        <w:rPr>
          <w:rFonts w:ascii="Garamond" w:hAnsi="Garamond"/>
          <w:b/>
          <w:bCs/>
        </w:rPr>
        <w:t>CONCLUSION</w:t>
      </w:r>
    </w:p>
    <w:p w14:paraId="1771DE70" w14:textId="331006C0" w:rsidR="006E643A" w:rsidRPr="00967077" w:rsidRDefault="003C6B75" w:rsidP="00A55C75">
      <w:pPr>
        <w:spacing w:line="480" w:lineRule="auto"/>
        <w:jc w:val="both"/>
        <w:rPr>
          <w:rFonts w:ascii="Garamond" w:hAnsi="Garamond"/>
        </w:rPr>
      </w:pPr>
      <w:r w:rsidRPr="00EB7B5F">
        <w:rPr>
          <w:rFonts w:ascii="Garamond" w:hAnsi="Garamond"/>
        </w:rPr>
        <w:t xml:space="preserve">Legal reform is frequently an essential but insufficient </w:t>
      </w:r>
      <w:r w:rsidR="007C6A7C" w:rsidRPr="00EB7B5F">
        <w:rPr>
          <w:rFonts w:ascii="Garamond" w:hAnsi="Garamond"/>
        </w:rPr>
        <w:t>mechanism</w:t>
      </w:r>
      <w:r w:rsidRPr="00EB7B5F">
        <w:rPr>
          <w:rFonts w:ascii="Garamond" w:hAnsi="Garamond"/>
        </w:rPr>
        <w:t xml:space="preserve"> for engineering change. </w:t>
      </w:r>
      <w:r w:rsidR="005F466B" w:rsidRPr="00EB7B5F">
        <w:rPr>
          <w:rFonts w:ascii="Garamond" w:hAnsi="Garamond"/>
        </w:rPr>
        <w:t xml:space="preserve">The experience of ‘legalisation’ </w:t>
      </w:r>
      <w:r w:rsidR="00C50995" w:rsidRPr="00EB7B5F">
        <w:rPr>
          <w:rFonts w:ascii="Garamond" w:hAnsi="Garamond"/>
        </w:rPr>
        <w:t xml:space="preserve">of medicinal cannabis </w:t>
      </w:r>
      <w:r w:rsidR="005F466B" w:rsidRPr="00EB7B5F">
        <w:rPr>
          <w:rFonts w:ascii="Garamond" w:hAnsi="Garamond"/>
        </w:rPr>
        <w:t>followed by</w:t>
      </w:r>
      <w:r w:rsidRPr="00EB7B5F">
        <w:rPr>
          <w:rFonts w:ascii="Garamond" w:hAnsi="Garamond"/>
        </w:rPr>
        <w:t xml:space="preserve"> relative</w:t>
      </w:r>
      <w:r w:rsidR="005F466B" w:rsidRPr="00EB7B5F">
        <w:rPr>
          <w:rFonts w:ascii="Garamond" w:hAnsi="Garamond"/>
        </w:rPr>
        <w:t xml:space="preserve"> inaccessibility is shared with a number of other </w:t>
      </w:r>
      <w:r w:rsidR="005F466B" w:rsidRPr="00EB7B5F">
        <w:rPr>
          <w:rFonts w:ascii="Garamond" w:hAnsi="Garamond"/>
        </w:rPr>
        <w:lastRenderedPageBreak/>
        <w:t>countries</w:t>
      </w:r>
      <w:r w:rsidR="00AF5466" w:rsidRPr="00EB7B5F">
        <w:rPr>
          <w:rFonts w:ascii="Garamond" w:hAnsi="Garamond"/>
        </w:rPr>
        <w:t>,</w:t>
      </w:r>
      <w:r w:rsidR="005F466B" w:rsidRPr="00EB7B5F">
        <w:rPr>
          <w:rFonts w:ascii="Garamond" w:hAnsi="Garamond"/>
          <w:vertAlign w:val="superscript"/>
        </w:rPr>
        <w:footnoteReference w:id="71"/>
      </w:r>
      <w:r w:rsidRPr="00EB7B5F">
        <w:rPr>
          <w:rFonts w:ascii="Garamond" w:hAnsi="Garamond"/>
        </w:rPr>
        <w:t xml:space="preserve"> and a great deal can be learned by looking to the positive trajectory of increased access in, for example, Canada and Australia, and how this has been achieved.</w:t>
      </w:r>
      <w:r w:rsidR="00E033B3" w:rsidRPr="00EB7B5F">
        <w:rPr>
          <w:rStyle w:val="FootnoteReference"/>
          <w:rFonts w:ascii="Garamond" w:hAnsi="Garamond"/>
        </w:rPr>
        <w:footnoteReference w:id="72"/>
      </w:r>
      <w:r w:rsidRPr="00EB7B5F">
        <w:rPr>
          <w:rFonts w:ascii="Garamond" w:hAnsi="Garamond"/>
        </w:rPr>
        <w:t xml:space="preserve"> </w:t>
      </w:r>
      <w:r w:rsidRPr="00EB7B5F">
        <w:rPr>
          <w:rFonts w:ascii="Garamond" w:hAnsi="Garamond"/>
          <w:bCs/>
        </w:rPr>
        <w:t xml:space="preserve">Doctors are likely to be concerned that if they prescribe an unlicensed medicinal cannabis product (or even merely refer a patient to a specialist who might provide that prescription), they may be regarded as in breach of their professional duties. Despite a proliferation of recent guidance in the UK, further advice and education is needed to support doctors in this difficult but promising area of medicine. </w:t>
      </w:r>
      <w:r w:rsidR="00C50995" w:rsidRPr="00EB7B5F">
        <w:rPr>
          <w:rFonts w:ascii="Garamond" w:hAnsi="Garamond"/>
        </w:rPr>
        <w:t xml:space="preserve"> Clinical and patient activism</w:t>
      </w:r>
      <w:r w:rsidRPr="00EB7B5F">
        <w:rPr>
          <w:rFonts w:ascii="Garamond" w:hAnsi="Garamond"/>
        </w:rPr>
        <w:t xml:space="preserve">, </w:t>
      </w:r>
      <w:r w:rsidR="00BD4C10" w:rsidRPr="00EB7B5F">
        <w:rPr>
          <w:rFonts w:ascii="Garamond" w:hAnsi="Garamond"/>
        </w:rPr>
        <w:t>in the prelude to</w:t>
      </w:r>
      <w:r w:rsidRPr="00EB7B5F">
        <w:rPr>
          <w:rFonts w:ascii="Garamond" w:hAnsi="Garamond"/>
        </w:rPr>
        <w:t xml:space="preserve"> high quality RCTs,</w:t>
      </w:r>
      <w:r w:rsidR="00C50995" w:rsidRPr="00EB7B5F">
        <w:rPr>
          <w:rFonts w:ascii="Garamond" w:hAnsi="Garamond"/>
        </w:rPr>
        <w:t xml:space="preserve"> will </w:t>
      </w:r>
      <w:r w:rsidR="00DA4B8E" w:rsidRPr="00EB7B5F">
        <w:rPr>
          <w:rFonts w:ascii="Garamond" w:hAnsi="Garamond"/>
        </w:rPr>
        <w:t>likely</w:t>
      </w:r>
      <w:r w:rsidR="00BD4C10" w:rsidRPr="00EB7B5F">
        <w:rPr>
          <w:rFonts w:ascii="Garamond" w:hAnsi="Garamond"/>
        </w:rPr>
        <w:t xml:space="preserve"> </w:t>
      </w:r>
      <w:r w:rsidR="00C50995" w:rsidRPr="00EB7B5F">
        <w:rPr>
          <w:rFonts w:ascii="Garamond" w:hAnsi="Garamond"/>
        </w:rPr>
        <w:t xml:space="preserve">play a significant part in </w:t>
      </w:r>
      <w:r w:rsidRPr="00EB7B5F">
        <w:rPr>
          <w:rFonts w:ascii="Garamond" w:hAnsi="Garamond"/>
        </w:rPr>
        <w:t>the uptake of prescription in the future.</w:t>
      </w:r>
      <w:r>
        <w:rPr>
          <w:rFonts w:ascii="Garamond" w:hAnsi="Garamond"/>
        </w:rPr>
        <w:t xml:space="preserve"> </w:t>
      </w:r>
    </w:p>
    <w:p w14:paraId="1C877734" w14:textId="6D922830" w:rsidR="00251A3D" w:rsidRPr="00967077" w:rsidRDefault="00251A3D" w:rsidP="00B82F69">
      <w:pPr>
        <w:spacing w:line="240" w:lineRule="auto"/>
        <w:jc w:val="both"/>
        <w:rPr>
          <w:rFonts w:ascii="Garamond" w:hAnsi="Garamond"/>
          <w:bCs/>
        </w:rPr>
      </w:pPr>
    </w:p>
    <w:bookmarkEnd w:id="0"/>
    <w:p w14:paraId="137D9AB6" w14:textId="77777777" w:rsidR="00EB7B5F" w:rsidRPr="00EB7B5F" w:rsidRDefault="00EB7B5F" w:rsidP="00EB7B5F">
      <w:pPr>
        <w:jc w:val="both"/>
        <w:rPr>
          <w:rFonts w:ascii="Garamond" w:hAnsi="Garamond"/>
        </w:rPr>
      </w:pPr>
      <w:r w:rsidRPr="00EB7B5F">
        <w:rPr>
          <w:rFonts w:ascii="Garamond" w:hAnsi="Garamond"/>
        </w:rPr>
        <w:t xml:space="preserve">Acknowledgements: </w:t>
      </w:r>
    </w:p>
    <w:p w14:paraId="54A50584" w14:textId="77777777" w:rsidR="00EB7B5F" w:rsidRPr="00EB7B5F" w:rsidRDefault="00EB7B5F" w:rsidP="00EB7B5F">
      <w:pPr>
        <w:jc w:val="both"/>
        <w:rPr>
          <w:rFonts w:ascii="Garamond" w:hAnsi="Garamond"/>
        </w:rPr>
      </w:pPr>
      <w:r w:rsidRPr="00EB7B5F">
        <w:rPr>
          <w:rFonts w:ascii="Garamond" w:hAnsi="Garamond"/>
        </w:rPr>
        <w:t>The author would like to thank the speakers and delegates at the Medicinal Cannabis Clinicians Society conference, Prescribing, Practicalities and the Patient Experience in London in November 2019.</w:t>
      </w:r>
    </w:p>
    <w:p w14:paraId="18B8E83D" w14:textId="0C18F1ED" w:rsidR="003D09AD" w:rsidRPr="00967077" w:rsidRDefault="003D09AD" w:rsidP="00F0772C">
      <w:pPr>
        <w:jc w:val="both"/>
        <w:rPr>
          <w:rFonts w:ascii="Garamond" w:hAnsi="Garamond"/>
        </w:rPr>
      </w:pPr>
    </w:p>
    <w:p w14:paraId="3578F254" w14:textId="77777777" w:rsidR="00C952BB" w:rsidRPr="00967077" w:rsidRDefault="00C952BB">
      <w:pPr>
        <w:rPr>
          <w:rFonts w:ascii="Garamond" w:hAnsi="Garamond"/>
        </w:rPr>
      </w:pPr>
    </w:p>
    <w:sectPr w:rsidR="00C952BB" w:rsidRPr="0096707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77092" w14:textId="77777777" w:rsidR="005A0DF1" w:rsidRDefault="005A0DF1" w:rsidP="00FD4F52">
      <w:pPr>
        <w:spacing w:after="0" w:line="240" w:lineRule="auto"/>
      </w:pPr>
      <w:r>
        <w:separator/>
      </w:r>
    </w:p>
  </w:endnote>
  <w:endnote w:type="continuationSeparator" w:id="0">
    <w:p w14:paraId="66912E96" w14:textId="77777777" w:rsidR="005A0DF1" w:rsidRDefault="005A0DF1" w:rsidP="00FD4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OpenSans-Semibold">
    <w:altName w:val="Calibri"/>
    <w:panose1 w:val="00000000000000000000"/>
    <w:charset w:val="00"/>
    <w:family w:val="auto"/>
    <w:notTrueType/>
    <w:pitch w:val="default"/>
    <w:sig w:usb0="00000003" w:usb1="00000000" w:usb2="00000000" w:usb3="00000000" w:csb0="00000001" w:csb1="00000000"/>
  </w:font>
  <w:font w:name="AdvTTec369687">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6695496"/>
      <w:docPartObj>
        <w:docPartGallery w:val="Page Numbers (Bottom of Page)"/>
        <w:docPartUnique/>
      </w:docPartObj>
    </w:sdtPr>
    <w:sdtEndPr>
      <w:rPr>
        <w:noProof/>
      </w:rPr>
    </w:sdtEndPr>
    <w:sdtContent>
      <w:p w14:paraId="6DAE2C3C" w14:textId="50351E6E" w:rsidR="00FC3DEC" w:rsidRDefault="00FC3DEC">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21680F15" w14:textId="77777777" w:rsidR="00FC3DEC" w:rsidRDefault="00FC3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1FA64" w14:textId="77777777" w:rsidR="005A0DF1" w:rsidRDefault="005A0DF1" w:rsidP="00FD4F52">
      <w:pPr>
        <w:spacing w:after="0" w:line="240" w:lineRule="auto"/>
      </w:pPr>
      <w:r>
        <w:separator/>
      </w:r>
    </w:p>
  </w:footnote>
  <w:footnote w:type="continuationSeparator" w:id="0">
    <w:p w14:paraId="0D3A1019" w14:textId="77777777" w:rsidR="005A0DF1" w:rsidRDefault="005A0DF1" w:rsidP="00FD4F52">
      <w:pPr>
        <w:spacing w:after="0" w:line="240" w:lineRule="auto"/>
      </w:pPr>
      <w:r>
        <w:continuationSeparator/>
      </w:r>
    </w:p>
  </w:footnote>
  <w:footnote w:id="1">
    <w:p w14:paraId="17A3A75C" w14:textId="48B747AC" w:rsidR="00FC3DEC" w:rsidRPr="00EB7B5F" w:rsidRDefault="00FC3DEC" w:rsidP="007E07F4">
      <w:pPr>
        <w:pStyle w:val="FootnoteText"/>
        <w:rPr>
          <w:rFonts w:ascii="Garamond" w:hAnsi="Garamond"/>
        </w:rPr>
      </w:pPr>
      <w:r w:rsidRPr="00EB7B5F">
        <w:rPr>
          <w:rStyle w:val="FootnoteReference"/>
          <w:rFonts w:ascii="Garamond" w:hAnsi="Garamond"/>
        </w:rPr>
        <w:footnoteRef/>
      </w:r>
      <w:r w:rsidR="00896290" w:rsidRPr="00EB7B5F">
        <w:rPr>
          <w:rFonts w:ascii="Garamond" w:hAnsi="Garamond"/>
        </w:rPr>
        <w:t xml:space="preserve"> Cannabidiol (CBD) </w:t>
      </w:r>
      <w:r w:rsidRPr="00EB7B5F">
        <w:rPr>
          <w:rFonts w:ascii="Garamond" w:hAnsi="Garamond"/>
        </w:rPr>
        <w:t xml:space="preserve">products not containing </w:t>
      </w:r>
      <w:proofErr w:type="spellStart"/>
      <w:r w:rsidR="00896290" w:rsidRPr="00EB7B5F">
        <w:rPr>
          <w:rFonts w:ascii="Garamond" w:hAnsi="Garamond"/>
        </w:rPr>
        <w:t>Tetrahidrocanabinol</w:t>
      </w:r>
      <w:proofErr w:type="spellEnd"/>
      <w:r w:rsidR="00896290" w:rsidRPr="00EB7B5F">
        <w:rPr>
          <w:rFonts w:ascii="Garamond" w:hAnsi="Garamond"/>
        </w:rPr>
        <w:t xml:space="preserve"> (THC)</w:t>
      </w:r>
      <w:r w:rsidRPr="00EB7B5F">
        <w:rPr>
          <w:rFonts w:ascii="Garamond" w:hAnsi="Garamond"/>
        </w:rPr>
        <w:t xml:space="preserve"> at quantities of &gt;0.2% are not controlled drugs under the Misuse of Drugs Act 1971 and are not caught by the regulation, but are treated as food supplements, not sold for medicinal use:</w:t>
      </w:r>
      <w:r w:rsidR="00B26BDC" w:rsidRPr="00EB7B5F">
        <w:rPr>
          <w:rFonts w:ascii="Garamond" w:hAnsi="Garamond"/>
        </w:rPr>
        <w:t xml:space="preserve"> </w:t>
      </w:r>
      <w:r w:rsidR="00B26BDC" w:rsidRPr="00EB7B5F">
        <w:rPr>
          <w:rFonts w:ascii="Garamond" w:hAnsi="Garamond"/>
          <w:i/>
          <w:iCs/>
        </w:rPr>
        <w:t>Barriers to accessing cannabis-based products for medicinal use on NHS prescription</w:t>
      </w:r>
      <w:r w:rsidR="00B26BDC" w:rsidRPr="00EB7B5F">
        <w:rPr>
          <w:rFonts w:ascii="Garamond" w:hAnsi="Garamond"/>
        </w:rPr>
        <w:t xml:space="preserve"> (NHS England, 2019)</w:t>
      </w:r>
      <w:r w:rsidRPr="00EB7B5F">
        <w:rPr>
          <w:rFonts w:ascii="Garamond" w:hAnsi="Garamond"/>
          <w:i/>
          <w:iCs/>
        </w:rPr>
        <w:t xml:space="preserve"> </w:t>
      </w:r>
      <w:r w:rsidR="00B26BDC" w:rsidRPr="00EB7B5F">
        <w:rPr>
          <w:rFonts w:ascii="Garamond" w:hAnsi="Garamond"/>
        </w:rPr>
        <w:t xml:space="preserve">at </w:t>
      </w:r>
      <w:r w:rsidRPr="00EB7B5F">
        <w:rPr>
          <w:rFonts w:ascii="Garamond" w:hAnsi="Garamond"/>
        </w:rPr>
        <w:t xml:space="preserve">para 11. </w:t>
      </w:r>
    </w:p>
  </w:footnote>
  <w:footnote w:id="2">
    <w:p w14:paraId="7C58281E" w14:textId="77777777" w:rsidR="00FC3DEC" w:rsidRPr="00EB7B5F" w:rsidRDefault="00FC3DEC" w:rsidP="007E07F4">
      <w:pPr>
        <w:spacing w:after="0"/>
        <w:rPr>
          <w:rFonts w:ascii="Garamond" w:hAnsi="Garamond"/>
          <w:sz w:val="20"/>
          <w:szCs w:val="20"/>
        </w:rPr>
      </w:pPr>
      <w:r w:rsidRPr="00EB7B5F">
        <w:rPr>
          <w:rStyle w:val="FootnoteReference"/>
          <w:rFonts w:ascii="Garamond" w:hAnsi="Garamond"/>
          <w:sz w:val="20"/>
          <w:szCs w:val="20"/>
        </w:rPr>
        <w:footnoteRef/>
      </w:r>
      <w:r w:rsidRPr="00EB7B5F">
        <w:rPr>
          <w:rFonts w:ascii="Garamond" w:hAnsi="Garamond"/>
          <w:sz w:val="20"/>
          <w:szCs w:val="20"/>
        </w:rPr>
        <w:t xml:space="preserve"> </w:t>
      </w:r>
      <w:r w:rsidRPr="00EB7B5F">
        <w:rPr>
          <w:rStyle w:val="Emphasis"/>
          <w:rFonts w:ascii="Garamond" w:hAnsi="Garamond"/>
          <w:sz w:val="20"/>
          <w:szCs w:val="20"/>
        </w:rPr>
        <w:t xml:space="preserve">Misuse of Drugs (Amendments) (Cannabis and Licence Fees) (E.W.&amp;S) Regulations 2018 </w:t>
      </w:r>
      <w:r w:rsidRPr="00EB7B5F">
        <w:rPr>
          <w:rStyle w:val="Emphasis"/>
          <w:rFonts w:ascii="Garamond" w:hAnsi="Garamond"/>
          <w:i w:val="0"/>
          <w:iCs w:val="0"/>
          <w:sz w:val="20"/>
          <w:szCs w:val="20"/>
        </w:rPr>
        <w:t>(SI 2018 No.1055) inserting a new Regulation 16A into the</w:t>
      </w:r>
      <w:r w:rsidRPr="00EB7B5F">
        <w:rPr>
          <w:rStyle w:val="Emphasis"/>
          <w:rFonts w:ascii="Garamond" w:hAnsi="Garamond"/>
          <w:sz w:val="20"/>
          <w:szCs w:val="20"/>
        </w:rPr>
        <w:t xml:space="preserve"> Misuse of Drugs Regulations 2001</w:t>
      </w:r>
      <w:r w:rsidRPr="00EB7B5F">
        <w:rPr>
          <w:rStyle w:val="Emphasis"/>
          <w:rFonts w:ascii="Garamond" w:hAnsi="Garamond"/>
          <w:i w:val="0"/>
          <w:iCs w:val="0"/>
          <w:sz w:val="20"/>
          <w:szCs w:val="20"/>
        </w:rPr>
        <w:t xml:space="preserve"> (SI 2001/3998).</w:t>
      </w:r>
      <w:r w:rsidRPr="00EB7B5F">
        <w:rPr>
          <w:rStyle w:val="Emphasis"/>
          <w:rFonts w:ascii="Garamond" w:hAnsi="Garamond"/>
          <w:sz w:val="20"/>
          <w:szCs w:val="20"/>
        </w:rPr>
        <w:t xml:space="preserve"> </w:t>
      </w:r>
    </w:p>
  </w:footnote>
  <w:footnote w:id="3">
    <w:p w14:paraId="5D0813D6" w14:textId="77777777" w:rsidR="00FC3DEC" w:rsidRPr="00EB7B5F" w:rsidRDefault="00FC3DEC" w:rsidP="007E07F4">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E.g. ‘Project Twenty21’ set up by </w:t>
      </w:r>
      <w:proofErr w:type="spellStart"/>
      <w:r w:rsidRPr="00EB7B5F">
        <w:rPr>
          <w:rFonts w:ascii="Garamond" w:hAnsi="Garamond"/>
        </w:rPr>
        <w:t>DrugScience</w:t>
      </w:r>
      <w:proofErr w:type="spellEnd"/>
      <w:r w:rsidRPr="00EB7B5F">
        <w:rPr>
          <w:rFonts w:ascii="Garamond" w:hAnsi="Garamond"/>
        </w:rPr>
        <w:t xml:space="preserve"> - </w:t>
      </w:r>
      <w:hyperlink r:id="rId1" w:history="1">
        <w:r w:rsidRPr="00EB7B5F">
          <w:rPr>
            <w:rStyle w:val="Hyperlink"/>
            <w:rFonts w:ascii="Garamond" w:hAnsi="Garamond"/>
          </w:rPr>
          <w:t>https://drugscience.org.uk/project-twenty21/</w:t>
        </w:r>
      </w:hyperlink>
      <w:r w:rsidRPr="00EB7B5F">
        <w:rPr>
          <w:rFonts w:ascii="Garamond" w:hAnsi="Garamond"/>
        </w:rPr>
        <w:t xml:space="preserve">. </w:t>
      </w:r>
    </w:p>
  </w:footnote>
  <w:footnote w:id="4">
    <w:p w14:paraId="010CF566" w14:textId="565867EC" w:rsidR="00FC3DEC" w:rsidRPr="00EB7B5F" w:rsidRDefault="00FC3DEC" w:rsidP="008D57EF">
      <w:pPr>
        <w:pStyle w:val="Heading1"/>
        <w:shd w:val="clear" w:color="auto" w:fill="FFFFFF"/>
        <w:spacing w:before="0" w:beforeAutospacing="0" w:after="0" w:afterAutospacing="0"/>
        <w:rPr>
          <w:rFonts w:ascii="Garamond" w:hAnsi="Garamond"/>
          <w:sz w:val="20"/>
          <w:szCs w:val="20"/>
        </w:rPr>
      </w:pPr>
      <w:r w:rsidRPr="00EB7B5F">
        <w:rPr>
          <w:rStyle w:val="FootnoteReference"/>
          <w:rFonts w:ascii="Garamond" w:hAnsi="Garamond"/>
          <w:sz w:val="20"/>
          <w:szCs w:val="20"/>
        </w:rPr>
        <w:footnoteRef/>
      </w:r>
      <w:r w:rsidRPr="00EB7B5F">
        <w:rPr>
          <w:rFonts w:ascii="Garamond" w:hAnsi="Garamond"/>
          <w:sz w:val="20"/>
          <w:szCs w:val="20"/>
        </w:rPr>
        <w:t xml:space="preserve"> </w:t>
      </w:r>
      <w:r w:rsidR="008D57EF" w:rsidRPr="00EB7B5F">
        <w:rPr>
          <w:rFonts w:ascii="Garamond" w:hAnsi="Garamond"/>
          <w:sz w:val="20"/>
          <w:szCs w:val="20"/>
        </w:rPr>
        <w:t>‘</w:t>
      </w:r>
      <w:r w:rsidR="008D57EF" w:rsidRPr="00EB7B5F">
        <w:rPr>
          <w:rFonts w:ascii="Garamond" w:hAnsi="Garamond"/>
          <w:b w:val="0"/>
          <w:bCs w:val="0"/>
          <w:color w:val="121212"/>
          <w:sz w:val="20"/>
          <w:szCs w:val="20"/>
        </w:rPr>
        <w:t>Medicinal cannabis: how two heart</w:t>
      </w:r>
      <w:r w:rsidR="007E4B45" w:rsidRPr="00EB7B5F">
        <w:rPr>
          <w:rFonts w:ascii="Garamond" w:hAnsi="Garamond"/>
          <w:b w:val="0"/>
          <w:bCs w:val="0"/>
          <w:color w:val="121212"/>
          <w:sz w:val="20"/>
          <w:szCs w:val="20"/>
        </w:rPr>
        <w:t xml:space="preserve"> </w:t>
      </w:r>
      <w:r w:rsidR="008D57EF" w:rsidRPr="00EB7B5F">
        <w:rPr>
          <w:rFonts w:ascii="Garamond" w:hAnsi="Garamond"/>
          <w:b w:val="0"/>
          <w:bCs w:val="0"/>
          <w:color w:val="121212"/>
          <w:sz w:val="20"/>
          <w:szCs w:val="20"/>
        </w:rPr>
        <w:t>breaking cases helped change</w:t>
      </w:r>
      <w:r w:rsidR="00B26BDC" w:rsidRPr="00EB7B5F">
        <w:rPr>
          <w:rFonts w:ascii="Garamond" w:hAnsi="Garamond"/>
          <w:b w:val="0"/>
          <w:bCs w:val="0"/>
          <w:color w:val="121212"/>
          <w:sz w:val="20"/>
          <w:szCs w:val="20"/>
        </w:rPr>
        <w:t xml:space="preserve"> the</w:t>
      </w:r>
      <w:r w:rsidR="008D57EF" w:rsidRPr="00EB7B5F">
        <w:rPr>
          <w:rFonts w:ascii="Garamond" w:hAnsi="Garamond"/>
          <w:b w:val="0"/>
          <w:bCs w:val="0"/>
          <w:color w:val="121212"/>
          <w:sz w:val="20"/>
          <w:szCs w:val="20"/>
        </w:rPr>
        <w:t xml:space="preserve"> law</w:t>
      </w:r>
      <w:r w:rsidR="00B26BDC" w:rsidRPr="00EB7B5F">
        <w:rPr>
          <w:rFonts w:ascii="Garamond" w:hAnsi="Garamond"/>
          <w:b w:val="0"/>
          <w:bCs w:val="0"/>
          <w:color w:val="121212"/>
          <w:sz w:val="20"/>
          <w:szCs w:val="20"/>
        </w:rPr>
        <w:t>,</w:t>
      </w:r>
      <w:r w:rsidR="008D57EF" w:rsidRPr="00EB7B5F">
        <w:rPr>
          <w:rFonts w:ascii="Garamond" w:hAnsi="Garamond"/>
          <w:b w:val="0"/>
          <w:bCs w:val="0"/>
          <w:color w:val="121212"/>
          <w:sz w:val="20"/>
          <w:szCs w:val="20"/>
        </w:rPr>
        <w:t xml:space="preserve">’ </w:t>
      </w:r>
      <w:r w:rsidR="008D57EF" w:rsidRPr="00EB7B5F">
        <w:rPr>
          <w:rFonts w:ascii="Garamond" w:hAnsi="Garamond"/>
          <w:b w:val="0"/>
          <w:bCs w:val="0"/>
          <w:i/>
          <w:iCs/>
          <w:color w:val="121212"/>
          <w:sz w:val="20"/>
          <w:szCs w:val="20"/>
        </w:rPr>
        <w:t xml:space="preserve">The Guardian </w:t>
      </w:r>
      <w:r w:rsidR="008D57EF" w:rsidRPr="00EB7B5F">
        <w:rPr>
          <w:rFonts w:ascii="Garamond" w:hAnsi="Garamond"/>
          <w:b w:val="0"/>
          <w:bCs w:val="0"/>
          <w:color w:val="121212"/>
          <w:sz w:val="20"/>
          <w:szCs w:val="20"/>
        </w:rPr>
        <w:t>26</w:t>
      </w:r>
      <w:r w:rsidR="008D57EF" w:rsidRPr="00EB7B5F">
        <w:rPr>
          <w:rFonts w:ascii="Garamond" w:hAnsi="Garamond"/>
          <w:b w:val="0"/>
          <w:bCs w:val="0"/>
          <w:color w:val="121212"/>
          <w:sz w:val="20"/>
          <w:szCs w:val="20"/>
          <w:vertAlign w:val="superscript"/>
        </w:rPr>
        <w:t>th</w:t>
      </w:r>
      <w:r w:rsidR="008D57EF" w:rsidRPr="00EB7B5F">
        <w:rPr>
          <w:rFonts w:ascii="Garamond" w:hAnsi="Garamond"/>
          <w:b w:val="0"/>
          <w:bCs w:val="0"/>
          <w:color w:val="121212"/>
          <w:sz w:val="20"/>
          <w:szCs w:val="20"/>
        </w:rPr>
        <w:t xml:space="preserve"> July 2018. </w:t>
      </w:r>
    </w:p>
  </w:footnote>
  <w:footnote w:id="5">
    <w:p w14:paraId="1F63567A" w14:textId="1910D613" w:rsidR="00FC3DEC" w:rsidRPr="00EB7B5F" w:rsidRDefault="00FC3DEC" w:rsidP="000276DB">
      <w:pPr>
        <w:pStyle w:val="Default"/>
        <w:rPr>
          <w:rFonts w:ascii="Garamond" w:hAnsi="Garamond"/>
          <w:sz w:val="20"/>
          <w:szCs w:val="20"/>
        </w:rPr>
      </w:pPr>
      <w:r w:rsidRPr="00EB7B5F">
        <w:rPr>
          <w:rStyle w:val="FootnoteReference"/>
          <w:rFonts w:ascii="Garamond" w:hAnsi="Garamond"/>
          <w:sz w:val="20"/>
          <w:szCs w:val="20"/>
        </w:rPr>
        <w:footnoteRef/>
      </w:r>
      <w:r w:rsidRPr="00EB7B5F">
        <w:rPr>
          <w:rFonts w:ascii="Garamond" w:hAnsi="Garamond"/>
          <w:sz w:val="20"/>
          <w:szCs w:val="20"/>
        </w:rPr>
        <w:t xml:space="preserve"> </w:t>
      </w:r>
      <w:r w:rsidRPr="00EB7B5F">
        <w:rPr>
          <w:rFonts w:ascii="Garamond" w:hAnsi="Garamond"/>
          <w:i/>
          <w:sz w:val="20"/>
          <w:szCs w:val="20"/>
        </w:rPr>
        <w:t xml:space="preserve">The therapeutic and medicinal benefits of </w:t>
      </w:r>
      <w:proofErr w:type="gramStart"/>
      <w:r w:rsidR="00837621" w:rsidRPr="00EB7B5F">
        <w:rPr>
          <w:rFonts w:ascii="Garamond" w:hAnsi="Garamond"/>
          <w:i/>
          <w:sz w:val="20"/>
          <w:szCs w:val="20"/>
        </w:rPr>
        <w:t>c</w:t>
      </w:r>
      <w:r w:rsidRPr="00EB7B5F">
        <w:rPr>
          <w:rFonts w:ascii="Garamond" w:hAnsi="Garamond"/>
          <w:i/>
          <w:sz w:val="20"/>
          <w:szCs w:val="20"/>
        </w:rPr>
        <w:t>annabis based</w:t>
      </w:r>
      <w:proofErr w:type="gramEnd"/>
      <w:r w:rsidRPr="00EB7B5F">
        <w:rPr>
          <w:rFonts w:ascii="Garamond" w:hAnsi="Garamond"/>
          <w:i/>
          <w:sz w:val="20"/>
          <w:szCs w:val="20"/>
        </w:rPr>
        <w:t xml:space="preserve"> products – a review of recent evidence </w:t>
      </w:r>
      <w:r w:rsidRPr="00EB7B5F">
        <w:rPr>
          <w:rFonts w:ascii="Garamond" w:hAnsi="Garamond"/>
          <w:sz w:val="20"/>
          <w:szCs w:val="20"/>
        </w:rPr>
        <w:t>(June, 2018) at 1.4.</w:t>
      </w:r>
    </w:p>
  </w:footnote>
  <w:footnote w:id="6">
    <w:p w14:paraId="2E4FCA86" w14:textId="77777777" w:rsidR="0009639E" w:rsidRPr="00EB7B5F" w:rsidRDefault="0009639E" w:rsidP="0009639E">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Giving evidence to the House of Commons Health and Social Care Committee, </w:t>
      </w:r>
      <w:r w:rsidRPr="00EB7B5F">
        <w:rPr>
          <w:rFonts w:ascii="Garamond" w:hAnsi="Garamond"/>
          <w:i/>
          <w:iCs/>
        </w:rPr>
        <w:t>Drugs Policy.</w:t>
      </w:r>
      <w:r w:rsidRPr="00EB7B5F">
        <w:rPr>
          <w:rFonts w:ascii="Garamond" w:hAnsi="Garamond"/>
        </w:rPr>
        <w:t xml:space="preserve"> March 2019.</w:t>
      </w:r>
    </w:p>
  </w:footnote>
  <w:footnote w:id="7">
    <w:p w14:paraId="7C145786" w14:textId="77777777" w:rsidR="00D018D3" w:rsidRPr="00EB7B5F" w:rsidRDefault="00D018D3" w:rsidP="00D018D3">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See R. Pertwee, ‘Cannabinoid pharmacology: the first 66 years’ (2006) 147(1) </w:t>
      </w:r>
      <w:r w:rsidRPr="00EB7B5F">
        <w:rPr>
          <w:rFonts w:ascii="Garamond" w:hAnsi="Garamond"/>
          <w:i/>
          <w:iCs/>
        </w:rPr>
        <w:t xml:space="preserve">Brit Journal of Pharmacology </w:t>
      </w:r>
      <w:r w:rsidRPr="00EB7B5F">
        <w:rPr>
          <w:rFonts w:ascii="Garamond" w:hAnsi="Garamond"/>
        </w:rPr>
        <w:t>163.</w:t>
      </w:r>
    </w:p>
  </w:footnote>
  <w:footnote w:id="8">
    <w:p w14:paraId="336EA671" w14:textId="77777777" w:rsidR="00D018D3" w:rsidRPr="00EB7B5F" w:rsidRDefault="00D018D3" w:rsidP="00D018D3">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E.g. </w:t>
      </w:r>
      <w:proofErr w:type="spellStart"/>
      <w:r w:rsidRPr="00EB7B5F">
        <w:rPr>
          <w:rFonts w:ascii="Garamond" w:hAnsi="Garamond"/>
        </w:rPr>
        <w:t>Dravet’s</w:t>
      </w:r>
      <w:proofErr w:type="spellEnd"/>
      <w:r w:rsidRPr="00EB7B5F">
        <w:rPr>
          <w:rFonts w:ascii="Garamond" w:hAnsi="Garamond"/>
        </w:rPr>
        <w:t xml:space="preserve"> syndrome where there is a substantial risk of a fatal seizure under 10 years of age: </w:t>
      </w:r>
      <w:r w:rsidRPr="00EB7B5F">
        <w:rPr>
          <w:rFonts w:ascii="Garamond" w:hAnsi="Garamond"/>
          <w:i/>
          <w:iCs/>
        </w:rPr>
        <w:t>Barriers to accessing cannabis-based products for medicinal use on NHS prescription</w:t>
      </w:r>
      <w:r w:rsidRPr="00EB7B5F">
        <w:rPr>
          <w:rFonts w:ascii="Garamond" w:hAnsi="Garamond"/>
        </w:rPr>
        <w:t xml:space="preserve"> (NHS England, 2019) p.10.</w:t>
      </w:r>
    </w:p>
  </w:footnote>
  <w:footnote w:id="9">
    <w:p w14:paraId="36F41325" w14:textId="77777777" w:rsidR="00D018D3" w:rsidRPr="00EB7B5F" w:rsidRDefault="00D018D3" w:rsidP="00D018D3">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E.g. opioids, non-steroidal anti-inflammatory drugs (NSAIDs), Disease Modifying Antirheumatic Drugs (DMARDs). Side effects can include, for example: nausea, vomiting, physical dependence, respiratory depression (opioids); stomach ulcers, increased risk of renal failure, increased risk of stroke, allergic reaction, ringing in the ears (NSAIDs); liver problems, immune system deficiency (DMARDs).</w:t>
      </w:r>
    </w:p>
  </w:footnote>
  <w:footnote w:id="10">
    <w:p w14:paraId="6D127A08" w14:textId="77777777" w:rsidR="00895793" w:rsidRPr="00EB7B5F" w:rsidRDefault="00895793" w:rsidP="00895793">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Y. Shi, ‘</w:t>
      </w:r>
      <w:r w:rsidRPr="00EB7B5F">
        <w:rPr>
          <w:rStyle w:val="title-text"/>
          <w:rFonts w:ascii="Garamond" w:hAnsi="Garamond"/>
        </w:rPr>
        <w:t xml:space="preserve">Medical marijuana policies and hospitalizations related to marijuana and opioid pain reliever’ (2017) 173 </w:t>
      </w:r>
      <w:r w:rsidRPr="00EB7B5F">
        <w:rPr>
          <w:rStyle w:val="title-text"/>
          <w:rFonts w:ascii="Garamond" w:hAnsi="Garamond"/>
          <w:i/>
          <w:iCs/>
        </w:rPr>
        <w:t xml:space="preserve">Drug and Alcohol Dependence </w:t>
      </w:r>
      <w:r w:rsidRPr="00EB7B5F">
        <w:rPr>
          <w:rStyle w:val="title-text"/>
          <w:rFonts w:ascii="Garamond" w:hAnsi="Garamond"/>
        </w:rPr>
        <w:t xml:space="preserve">144. The opioid epidemic in the UK is of great concern, albeit </w:t>
      </w:r>
      <w:r w:rsidRPr="00EB7B5F">
        <w:rPr>
          <w:rFonts w:ascii="Garamond" w:hAnsi="Garamond"/>
        </w:rPr>
        <w:t>not yet considered to be of the scale of an opioid crisis as in the US and prescriptions of opioids has reduced slightly since 2016: see</w:t>
      </w:r>
      <w:r w:rsidRPr="00EB7B5F">
        <w:rPr>
          <w:rFonts w:ascii="Garamond" w:hAnsi="Garamond"/>
          <w:i/>
          <w:iCs/>
        </w:rPr>
        <w:t xml:space="preserve"> Prescribed Medicines Review</w:t>
      </w:r>
      <w:r w:rsidRPr="00EB7B5F">
        <w:rPr>
          <w:rFonts w:ascii="Garamond" w:hAnsi="Garamond"/>
        </w:rPr>
        <w:t xml:space="preserve"> (Public Health England, September 2019).</w:t>
      </w:r>
    </w:p>
  </w:footnote>
  <w:footnote w:id="11">
    <w:p w14:paraId="4C8F40F7" w14:textId="77777777" w:rsidR="00D018D3" w:rsidRPr="00EB7B5F" w:rsidRDefault="00D018D3" w:rsidP="00D018D3">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See the report on Lucy Stafford’s experience in ‘Medical Cannabis: Why are Doctors Still Not Prescribing It?’ </w:t>
      </w:r>
      <w:r w:rsidRPr="00EB7B5F">
        <w:rPr>
          <w:rFonts w:ascii="Garamond" w:hAnsi="Garamond"/>
          <w:i/>
        </w:rPr>
        <w:t xml:space="preserve">The Guardian </w:t>
      </w:r>
      <w:r w:rsidRPr="00EB7B5F">
        <w:rPr>
          <w:rFonts w:ascii="Garamond" w:hAnsi="Garamond"/>
        </w:rPr>
        <w:t>3</w:t>
      </w:r>
      <w:r w:rsidRPr="00EB7B5F">
        <w:rPr>
          <w:rFonts w:ascii="Garamond" w:hAnsi="Garamond"/>
          <w:vertAlign w:val="superscript"/>
        </w:rPr>
        <w:t>rd</w:t>
      </w:r>
      <w:r w:rsidRPr="00EB7B5F">
        <w:rPr>
          <w:rFonts w:ascii="Garamond" w:hAnsi="Garamond"/>
        </w:rPr>
        <w:t xml:space="preserve"> November 2019 – estimated as saving the NHS approximately £5,000 per month (albeit at a personal cost of £800 per month). </w:t>
      </w:r>
    </w:p>
  </w:footnote>
  <w:footnote w:id="12">
    <w:p w14:paraId="2EBC2B5C" w14:textId="4918F134" w:rsidR="00D018D3" w:rsidRPr="00EB7B5F" w:rsidRDefault="00D018D3" w:rsidP="00D018D3">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w:t>
      </w:r>
      <w:r w:rsidRPr="00EB7B5F">
        <w:rPr>
          <w:rFonts w:ascii="Garamond" w:hAnsi="Garamond" w:cs="Tahoma"/>
        </w:rPr>
        <w:t xml:space="preserve">V. </w:t>
      </w:r>
      <w:proofErr w:type="spellStart"/>
      <w:r w:rsidRPr="00EB7B5F">
        <w:rPr>
          <w:rFonts w:ascii="Garamond" w:hAnsi="Garamond" w:cs="Tahoma"/>
        </w:rPr>
        <w:t>Carrieri</w:t>
      </w:r>
      <w:proofErr w:type="spellEnd"/>
      <w:r w:rsidRPr="00EB7B5F">
        <w:rPr>
          <w:rFonts w:ascii="Garamond" w:hAnsi="Garamond" w:cs="Tahoma"/>
        </w:rPr>
        <w:t xml:space="preserve"> et al,</w:t>
      </w:r>
      <w:r w:rsidRPr="00EB7B5F">
        <w:rPr>
          <w:rFonts w:ascii="Garamond" w:hAnsi="Garamond" w:cs="Tahoma"/>
          <w:i/>
          <w:iCs/>
        </w:rPr>
        <w:t xml:space="preserve"> Do-It-Yourself medicine? The impact of light cannabis liberalization on prescription drugs</w:t>
      </w:r>
      <w:r w:rsidR="00E07435" w:rsidRPr="00EB7B5F">
        <w:rPr>
          <w:rFonts w:ascii="Garamond" w:hAnsi="Garamond" w:cs="Tahoma"/>
        </w:rPr>
        <w:t xml:space="preserve"> </w:t>
      </w:r>
      <w:r w:rsidRPr="00EB7B5F">
        <w:rPr>
          <w:rFonts w:ascii="Garamond" w:hAnsi="Garamond" w:cs="Tahoma"/>
        </w:rPr>
        <w:t>(</w:t>
      </w:r>
      <w:r w:rsidR="00E07435" w:rsidRPr="00EB7B5F">
        <w:rPr>
          <w:rFonts w:ascii="Garamond" w:hAnsi="Garamond" w:cs="Tahoma"/>
        </w:rPr>
        <w:t>University of York WP 19/07</w:t>
      </w:r>
      <w:r w:rsidRPr="00EB7B5F">
        <w:rPr>
          <w:rFonts w:ascii="Garamond" w:hAnsi="Garamond" w:cs="Tahoma"/>
        </w:rPr>
        <w:t xml:space="preserve">) – based on the experience in Italy. </w:t>
      </w:r>
    </w:p>
  </w:footnote>
  <w:footnote w:id="13">
    <w:p w14:paraId="19C9C7D8" w14:textId="1EAC4E40" w:rsidR="00BD1892" w:rsidRPr="00EB7B5F" w:rsidRDefault="00BD1892" w:rsidP="00BD1892">
      <w:pPr>
        <w:pStyle w:val="FootnoteText"/>
        <w:rPr>
          <w:rFonts w:ascii="Garamond" w:hAnsi="Garamond"/>
          <w:i/>
          <w:iCs/>
        </w:rPr>
      </w:pPr>
      <w:r w:rsidRPr="00EB7B5F">
        <w:rPr>
          <w:rStyle w:val="FootnoteReference"/>
          <w:rFonts w:ascii="Garamond" w:hAnsi="Garamond"/>
        </w:rPr>
        <w:footnoteRef/>
      </w:r>
      <w:r w:rsidRPr="00EB7B5F">
        <w:rPr>
          <w:rFonts w:ascii="Garamond" w:hAnsi="Garamond"/>
        </w:rPr>
        <w:t xml:space="preserve"> </w:t>
      </w:r>
      <w:proofErr w:type="spellStart"/>
      <w:r w:rsidR="00274826" w:rsidRPr="00EB7B5F">
        <w:rPr>
          <w:rFonts w:ascii="Garamond" w:hAnsi="Garamond"/>
          <w:i/>
          <w:iCs/>
        </w:rPr>
        <w:t>inews</w:t>
      </w:r>
      <w:proofErr w:type="spellEnd"/>
      <w:r w:rsidR="00274826" w:rsidRPr="00EB7B5F">
        <w:rPr>
          <w:rFonts w:ascii="Garamond" w:hAnsi="Garamond"/>
          <w:i/>
          <w:iCs/>
        </w:rPr>
        <w:t xml:space="preserve"> </w:t>
      </w:r>
      <w:r w:rsidR="00274826" w:rsidRPr="00EB7B5F">
        <w:rPr>
          <w:rFonts w:ascii="Garamond" w:hAnsi="Garamond"/>
        </w:rPr>
        <w:t>14</w:t>
      </w:r>
      <w:r w:rsidR="00274826" w:rsidRPr="00EB7B5F">
        <w:rPr>
          <w:rFonts w:ascii="Garamond" w:hAnsi="Garamond"/>
          <w:vertAlign w:val="superscript"/>
        </w:rPr>
        <w:t>th</w:t>
      </w:r>
      <w:r w:rsidR="00274826" w:rsidRPr="00EB7B5F">
        <w:rPr>
          <w:rFonts w:ascii="Garamond" w:hAnsi="Garamond"/>
        </w:rPr>
        <w:t xml:space="preserve"> November 2019. Available at https://inews.co.uk/news/health/medicinal-cannabis-nhs-prescriptions-change-law-996344.</w:t>
      </w:r>
      <w:r w:rsidRPr="00EB7B5F">
        <w:rPr>
          <w:rFonts w:ascii="Garamond" w:hAnsi="Garamond"/>
        </w:rPr>
        <w:t xml:space="preserve"> This does not include patients who may have accessed drugs through Compassionate Use /early access schemes: </w:t>
      </w:r>
      <w:r w:rsidRPr="00EB7B5F">
        <w:rPr>
          <w:rFonts w:ascii="Garamond" w:hAnsi="Garamond"/>
          <w:i/>
          <w:iCs/>
        </w:rPr>
        <w:t xml:space="preserve">Barriers </w:t>
      </w:r>
      <w:r w:rsidR="00837621" w:rsidRPr="00EB7B5F">
        <w:rPr>
          <w:rFonts w:ascii="Garamond" w:hAnsi="Garamond"/>
        </w:rPr>
        <w:t>ibid (n.</w:t>
      </w:r>
      <w:r w:rsidR="00F37992" w:rsidRPr="00EB7B5F">
        <w:rPr>
          <w:rFonts w:ascii="Garamond" w:hAnsi="Garamond"/>
        </w:rPr>
        <w:t>8</w:t>
      </w:r>
      <w:r w:rsidR="00837621" w:rsidRPr="00EB7B5F">
        <w:rPr>
          <w:rFonts w:ascii="Garamond" w:hAnsi="Garamond"/>
        </w:rPr>
        <w:t>)</w:t>
      </w:r>
      <w:r w:rsidRPr="00EB7B5F">
        <w:rPr>
          <w:rFonts w:ascii="Garamond" w:hAnsi="Garamond"/>
          <w:i/>
          <w:iCs/>
        </w:rPr>
        <w:t xml:space="preserve">. </w:t>
      </w:r>
      <w:r w:rsidRPr="00EB7B5F">
        <w:rPr>
          <w:rFonts w:ascii="Garamond" w:hAnsi="Garamond"/>
        </w:rPr>
        <w:t>Although there are different views on the position here – e.g. the Care Quality Commission reported in October 2019 that there has been ‘some prescribing on the NHS’ (</w:t>
      </w:r>
      <w:r w:rsidRPr="00EB7B5F">
        <w:rPr>
          <w:rFonts w:ascii="Garamond" w:hAnsi="Garamond"/>
          <w:i/>
          <w:iCs/>
        </w:rPr>
        <w:t xml:space="preserve">Interim policy position on cannabis-based medicinal products </w:t>
      </w:r>
      <w:r w:rsidRPr="00EB7B5F">
        <w:rPr>
          <w:rFonts w:ascii="Garamond" w:hAnsi="Garamond"/>
        </w:rPr>
        <w:t xml:space="preserve">(CQC, 2019). </w:t>
      </w:r>
    </w:p>
  </w:footnote>
  <w:footnote w:id="14">
    <w:p w14:paraId="059EA4D7" w14:textId="05CFFDF2" w:rsidR="00FC3DEC" w:rsidRPr="00EB7B5F" w:rsidRDefault="00FC3DEC">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w:t>
      </w:r>
      <w:r w:rsidR="00B26BDC" w:rsidRPr="00EB7B5F">
        <w:rPr>
          <w:rFonts w:ascii="Garamond" w:hAnsi="Garamond"/>
          <w:i/>
          <w:iCs/>
        </w:rPr>
        <w:t xml:space="preserve">Barriers </w:t>
      </w:r>
      <w:r w:rsidR="00837621" w:rsidRPr="00EB7B5F">
        <w:rPr>
          <w:rFonts w:ascii="Garamond" w:hAnsi="Garamond"/>
        </w:rPr>
        <w:t>(n.</w:t>
      </w:r>
      <w:r w:rsidR="00F37992" w:rsidRPr="00EB7B5F">
        <w:rPr>
          <w:rFonts w:ascii="Garamond" w:hAnsi="Garamond"/>
        </w:rPr>
        <w:t>8</w:t>
      </w:r>
      <w:r w:rsidR="00837621" w:rsidRPr="00EB7B5F">
        <w:rPr>
          <w:rFonts w:ascii="Garamond" w:hAnsi="Garamond"/>
        </w:rPr>
        <w:t xml:space="preserve">) </w:t>
      </w:r>
      <w:r w:rsidR="00B26BDC" w:rsidRPr="00EB7B5F">
        <w:rPr>
          <w:rFonts w:ascii="Garamond" w:hAnsi="Garamond"/>
        </w:rPr>
        <w:t xml:space="preserve">at para 23. </w:t>
      </w:r>
    </w:p>
  </w:footnote>
  <w:footnote w:id="15">
    <w:p w14:paraId="59E13CE9" w14:textId="0CE02993" w:rsidR="00FC3DEC" w:rsidRPr="00EB7B5F" w:rsidRDefault="00FC3DEC">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w:t>
      </w:r>
      <w:r w:rsidRPr="00EB7B5F">
        <w:rPr>
          <w:rFonts w:ascii="Garamond" w:hAnsi="Garamond"/>
          <w:i/>
          <w:iCs/>
        </w:rPr>
        <w:t>The UN International Narcotics Control Board</w:t>
      </w:r>
      <w:r w:rsidR="00837621" w:rsidRPr="00EB7B5F">
        <w:rPr>
          <w:rFonts w:ascii="Garamond" w:hAnsi="Garamond"/>
          <w:i/>
          <w:iCs/>
        </w:rPr>
        <w:t xml:space="preserve">: Annual Report for 2017 </w:t>
      </w:r>
      <w:r w:rsidRPr="00EB7B5F">
        <w:rPr>
          <w:rFonts w:ascii="Garamond" w:hAnsi="Garamond"/>
        </w:rPr>
        <w:t xml:space="preserve">(2017) records that in 2016, the UK was the largest producer of cannabis for medicinal use (95 tonnes), at 44. </w:t>
      </w:r>
    </w:p>
  </w:footnote>
  <w:footnote w:id="16">
    <w:p w14:paraId="2B7DA02E" w14:textId="527D388F" w:rsidR="00FC3DEC" w:rsidRPr="00EB7B5F" w:rsidRDefault="00FC3DEC" w:rsidP="000276DB">
      <w:pPr>
        <w:pStyle w:val="Default"/>
        <w:rPr>
          <w:rFonts w:ascii="Garamond" w:hAnsi="Garamond"/>
          <w:sz w:val="20"/>
          <w:szCs w:val="20"/>
        </w:rPr>
      </w:pPr>
      <w:r w:rsidRPr="00EB7B5F">
        <w:rPr>
          <w:rStyle w:val="FootnoteReference"/>
          <w:rFonts w:ascii="Garamond" w:hAnsi="Garamond"/>
          <w:sz w:val="20"/>
          <w:szCs w:val="20"/>
        </w:rPr>
        <w:footnoteRef/>
      </w:r>
      <w:r w:rsidRPr="00EB7B5F">
        <w:rPr>
          <w:rFonts w:ascii="Garamond" w:hAnsi="Garamond"/>
          <w:sz w:val="20"/>
          <w:szCs w:val="20"/>
        </w:rPr>
        <w:t xml:space="preserve"> Regulation 167 of the Human Medicines Regulations 2012 (SI 2012/1916) - allowing the import of unlicensed medicines on a named patient basis as ‘</w:t>
      </w:r>
      <w:proofErr w:type="gramStart"/>
      <w:r w:rsidRPr="00EB7B5F">
        <w:rPr>
          <w:rFonts w:ascii="Garamond" w:hAnsi="Garamond"/>
          <w:sz w:val="20"/>
          <w:szCs w:val="20"/>
        </w:rPr>
        <w:t>specials’</w:t>
      </w:r>
      <w:proofErr w:type="gramEnd"/>
      <w:r w:rsidRPr="00EB7B5F">
        <w:rPr>
          <w:rFonts w:ascii="Garamond" w:hAnsi="Garamond"/>
          <w:sz w:val="20"/>
          <w:szCs w:val="20"/>
        </w:rPr>
        <w:t>. This does not affect products with a marketing authorisation, e.g</w:t>
      </w:r>
      <w:r w:rsidR="00837621" w:rsidRPr="00EB7B5F">
        <w:rPr>
          <w:rFonts w:ascii="Garamond" w:hAnsi="Garamond"/>
          <w:sz w:val="20"/>
          <w:szCs w:val="20"/>
        </w:rPr>
        <w:t xml:space="preserve">. </w:t>
      </w:r>
      <w:r w:rsidRPr="00EB7B5F">
        <w:rPr>
          <w:rFonts w:ascii="Garamond" w:hAnsi="Garamond"/>
          <w:sz w:val="20"/>
          <w:szCs w:val="20"/>
        </w:rPr>
        <w:t xml:space="preserve">nabilone, </w:t>
      </w:r>
      <w:proofErr w:type="spellStart"/>
      <w:r w:rsidRPr="00EB7B5F">
        <w:rPr>
          <w:rFonts w:ascii="Garamond" w:hAnsi="Garamond"/>
          <w:sz w:val="20"/>
          <w:szCs w:val="20"/>
        </w:rPr>
        <w:t>Epidyolex</w:t>
      </w:r>
      <w:proofErr w:type="spellEnd"/>
      <w:r w:rsidRPr="00EB7B5F">
        <w:rPr>
          <w:rFonts w:ascii="Garamond" w:hAnsi="Garamond"/>
          <w:sz w:val="20"/>
          <w:szCs w:val="20"/>
        </w:rPr>
        <w:t xml:space="preserve"> and Sativex. </w:t>
      </w:r>
    </w:p>
  </w:footnote>
  <w:footnote w:id="17">
    <w:p w14:paraId="1A0696B1" w14:textId="424603E3" w:rsidR="00FC3DEC" w:rsidRPr="00EB7B5F" w:rsidRDefault="00FC3DEC" w:rsidP="000276DB">
      <w:pPr>
        <w:autoSpaceDE w:val="0"/>
        <w:autoSpaceDN w:val="0"/>
        <w:adjustRightInd w:val="0"/>
        <w:spacing w:after="0" w:line="240" w:lineRule="auto"/>
        <w:rPr>
          <w:rFonts w:ascii="Garamond" w:hAnsi="Garamond"/>
          <w:sz w:val="20"/>
          <w:szCs w:val="20"/>
        </w:rPr>
      </w:pPr>
      <w:r w:rsidRPr="00EB7B5F">
        <w:rPr>
          <w:rStyle w:val="FootnoteReference"/>
          <w:rFonts w:ascii="Garamond" w:hAnsi="Garamond"/>
          <w:sz w:val="20"/>
          <w:szCs w:val="20"/>
        </w:rPr>
        <w:footnoteRef/>
      </w:r>
      <w:r w:rsidRPr="00EB7B5F">
        <w:rPr>
          <w:rFonts w:ascii="Garamond" w:hAnsi="Garamond"/>
          <w:sz w:val="20"/>
          <w:szCs w:val="20"/>
        </w:rPr>
        <w:t xml:space="preserve"> </w:t>
      </w:r>
      <w:r w:rsidRPr="00EB7B5F">
        <w:rPr>
          <w:rFonts w:ascii="Garamond" w:hAnsi="Garamond" w:cs="Arial"/>
          <w:bCs/>
          <w:i/>
          <w:color w:val="000000"/>
          <w:sz w:val="20"/>
          <w:szCs w:val="20"/>
        </w:rPr>
        <w:t>The supply, manufacture, importation and distribution of unlicensed cannabis-based products for medicinal use in humans ‘specials’</w:t>
      </w:r>
      <w:r w:rsidRPr="00EB7B5F">
        <w:rPr>
          <w:rFonts w:ascii="Garamond" w:hAnsi="Garamond" w:cs="Arial"/>
          <w:bCs/>
          <w:color w:val="000000"/>
          <w:sz w:val="20"/>
          <w:szCs w:val="20"/>
        </w:rPr>
        <w:t xml:space="preserve"> (MHRA, 2018).</w:t>
      </w:r>
    </w:p>
  </w:footnote>
  <w:footnote w:id="18">
    <w:p w14:paraId="787A35A5" w14:textId="0D6DF250" w:rsidR="00FC3DEC" w:rsidRPr="00EB7B5F" w:rsidRDefault="00FC3DEC" w:rsidP="000276DB">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Importing an unlicensed medicinal cannabis product without a Home Office licence is a criminal offence: </w:t>
      </w:r>
      <w:r w:rsidR="00BD1892" w:rsidRPr="00EB7B5F">
        <w:rPr>
          <w:rFonts w:ascii="Garamond" w:hAnsi="Garamond"/>
        </w:rPr>
        <w:t>Misuse of Drugs (Designation) (England, Wales and Scotland) Order 2015 (2015 Order).</w:t>
      </w:r>
    </w:p>
  </w:footnote>
  <w:footnote w:id="19">
    <w:p w14:paraId="1BF48FD7" w14:textId="68BC3889" w:rsidR="00FC3DEC" w:rsidRPr="00EB7B5F" w:rsidRDefault="00FC3DEC">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w:t>
      </w:r>
      <w:r w:rsidR="00837621" w:rsidRPr="00EB7B5F">
        <w:rPr>
          <w:rFonts w:ascii="Garamond" w:hAnsi="Garamond"/>
        </w:rPr>
        <w:t xml:space="preserve">K. O’Brien, ‘Medicinal Cannabis: Issues of Evidence.’ (2019) 28 </w:t>
      </w:r>
      <w:r w:rsidR="00837621" w:rsidRPr="00EB7B5F">
        <w:rPr>
          <w:rFonts w:ascii="Garamond" w:hAnsi="Garamond"/>
          <w:i/>
          <w:iCs/>
        </w:rPr>
        <w:t xml:space="preserve">European Journal of Integrative Medicine </w:t>
      </w:r>
      <w:r w:rsidR="00837621" w:rsidRPr="00EB7B5F">
        <w:rPr>
          <w:rFonts w:ascii="Garamond" w:hAnsi="Garamond"/>
        </w:rPr>
        <w:t>114.</w:t>
      </w:r>
    </w:p>
  </w:footnote>
  <w:footnote w:id="20">
    <w:p w14:paraId="508A48D7" w14:textId="3FE471EA" w:rsidR="00FC3DEC" w:rsidRPr="00EB7B5F" w:rsidRDefault="00FC3DEC" w:rsidP="000276DB">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S.232 Health and Social Care Act 2012. </w:t>
      </w:r>
    </w:p>
  </w:footnote>
  <w:footnote w:id="21">
    <w:p w14:paraId="0B196837" w14:textId="3C4F4394" w:rsidR="00FC3DEC" w:rsidRPr="00EB7B5F" w:rsidRDefault="00FC3DEC">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‘CBMPs’ for the purposes of the NICE Guideline are more broadly defined than CMPs in the 2018 regulations, as they include pure cannabidiol, licensed products (i.e. currently, Sativex, </w:t>
      </w:r>
      <w:proofErr w:type="spellStart"/>
      <w:r w:rsidRPr="00EB7B5F">
        <w:rPr>
          <w:rFonts w:ascii="Garamond" w:hAnsi="Garamond"/>
        </w:rPr>
        <w:t>Epidiolex</w:t>
      </w:r>
      <w:proofErr w:type="spellEnd"/>
      <w:r w:rsidRPr="00EB7B5F">
        <w:rPr>
          <w:rFonts w:ascii="Garamond" w:hAnsi="Garamond"/>
        </w:rPr>
        <w:t xml:space="preserve"> and nabilone) and synthetic cannabinoids.</w:t>
      </w:r>
    </w:p>
  </w:footnote>
  <w:footnote w:id="22">
    <w:p w14:paraId="210BD35A" w14:textId="77777777" w:rsidR="00FC3DEC" w:rsidRPr="00EB7B5F" w:rsidRDefault="00FC3DEC" w:rsidP="009B7212">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w:t>
      </w:r>
      <w:r w:rsidRPr="00EB7B5F">
        <w:rPr>
          <w:rFonts w:ascii="Garamond" w:hAnsi="Garamond"/>
          <w:i/>
          <w:iCs/>
        </w:rPr>
        <w:t>Cannabis Based Medicinal Products</w:t>
      </w:r>
      <w:r w:rsidRPr="00EB7B5F">
        <w:rPr>
          <w:rFonts w:ascii="Garamond" w:hAnsi="Garamond"/>
        </w:rPr>
        <w:t xml:space="preserve">, NG144 (published November 2019). </w:t>
      </w:r>
    </w:p>
  </w:footnote>
  <w:footnote w:id="23">
    <w:p w14:paraId="22F2950C" w14:textId="5CB45DA6" w:rsidR="00FC3DEC" w:rsidRPr="00EB7B5F" w:rsidRDefault="00FC3DEC" w:rsidP="00DF68B0">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w:t>
      </w:r>
      <w:r w:rsidR="003E4289" w:rsidRPr="00EB7B5F">
        <w:rPr>
          <w:rFonts w:ascii="Garamond" w:hAnsi="Garamond"/>
        </w:rPr>
        <w:t>NG144, 1.3.</w:t>
      </w:r>
    </w:p>
  </w:footnote>
  <w:footnote w:id="24">
    <w:p w14:paraId="73F08A05" w14:textId="38F88259" w:rsidR="00FC3DEC" w:rsidRPr="00EB7B5F" w:rsidRDefault="00FC3DEC" w:rsidP="007426B6">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This appraisal inform</w:t>
      </w:r>
      <w:r w:rsidR="00937BFC" w:rsidRPr="00EB7B5F">
        <w:rPr>
          <w:rFonts w:ascii="Garamond" w:hAnsi="Garamond"/>
        </w:rPr>
        <w:t>ed</w:t>
      </w:r>
      <w:r w:rsidRPr="00EB7B5F">
        <w:rPr>
          <w:rFonts w:ascii="Garamond" w:hAnsi="Garamond"/>
        </w:rPr>
        <w:t xml:space="preserve"> the anticipated Technology Appraisal Guideline</w:t>
      </w:r>
      <w:r w:rsidR="00937BFC" w:rsidRPr="00EB7B5F">
        <w:rPr>
          <w:rFonts w:ascii="Garamond" w:hAnsi="Garamond"/>
        </w:rPr>
        <w:t xml:space="preserve"> </w:t>
      </w:r>
      <w:r w:rsidRPr="00EB7B5F">
        <w:rPr>
          <w:rFonts w:ascii="Garamond" w:hAnsi="Garamond"/>
        </w:rPr>
        <w:t xml:space="preserve">published </w:t>
      </w:r>
      <w:r w:rsidR="00937BFC" w:rsidRPr="00EB7B5F">
        <w:rPr>
          <w:rFonts w:ascii="Garamond" w:hAnsi="Garamond"/>
        </w:rPr>
        <w:t>in</w:t>
      </w:r>
      <w:r w:rsidRPr="00EB7B5F">
        <w:rPr>
          <w:rFonts w:ascii="Garamond" w:hAnsi="Garamond"/>
        </w:rPr>
        <w:t xml:space="preserve"> December 2019: </w:t>
      </w:r>
      <w:hyperlink r:id="rId2" w:history="1">
        <w:r w:rsidRPr="00EB7B5F">
          <w:rPr>
            <w:rStyle w:val="Hyperlink"/>
            <w:rFonts w:ascii="Garamond" w:hAnsi="Garamond"/>
          </w:rPr>
          <w:t>https://www.nice.org.uk/guidance/indevelopment/gid-ta10410/documents</w:t>
        </w:r>
      </w:hyperlink>
      <w:r w:rsidRPr="00EB7B5F">
        <w:rPr>
          <w:rFonts w:ascii="Garamond" w:hAnsi="Garamond"/>
        </w:rPr>
        <w:t xml:space="preserve">. </w:t>
      </w:r>
    </w:p>
  </w:footnote>
  <w:footnote w:id="25">
    <w:p w14:paraId="38C89E48" w14:textId="42A28BD4" w:rsidR="00FC3DEC" w:rsidRPr="00EB7B5F" w:rsidRDefault="00FC3DEC">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w:t>
      </w:r>
      <w:r w:rsidRPr="00EB7B5F">
        <w:rPr>
          <w:rFonts w:ascii="Garamond" w:hAnsi="Garamond"/>
          <w:i/>
          <w:iCs/>
        </w:rPr>
        <w:t xml:space="preserve">Making Decisions Using NICE Guidelines </w:t>
      </w:r>
      <w:r w:rsidRPr="00EB7B5F">
        <w:rPr>
          <w:rFonts w:ascii="Garamond" w:hAnsi="Garamond"/>
        </w:rPr>
        <w:t xml:space="preserve">(accessible at </w:t>
      </w:r>
      <w:hyperlink r:id="rId3" w:history="1">
        <w:r w:rsidRPr="00EB7B5F">
          <w:rPr>
            <w:rStyle w:val="Hyperlink"/>
            <w:rFonts w:ascii="Garamond" w:hAnsi="Garamond"/>
          </w:rPr>
          <w:t>https://www.nice.org.uk/about/what-we-do/our-programmes/nice-guidance/nice-guidelines/making-decisions-using-nice-guidelines</w:t>
        </w:r>
      </w:hyperlink>
      <w:r w:rsidRPr="00EB7B5F">
        <w:rPr>
          <w:rFonts w:ascii="Garamond" w:hAnsi="Garamond"/>
        </w:rPr>
        <w:t xml:space="preserve">). </w:t>
      </w:r>
    </w:p>
  </w:footnote>
  <w:footnote w:id="26">
    <w:p w14:paraId="5E6B4F1F" w14:textId="1B4D11F9" w:rsidR="00FC3DEC" w:rsidRPr="00EB7B5F" w:rsidRDefault="00FC3DEC" w:rsidP="001C4014">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NG-144, 1.2.1</w:t>
      </w:r>
    </w:p>
  </w:footnote>
  <w:footnote w:id="27">
    <w:p w14:paraId="55C74967" w14:textId="0E799EDF" w:rsidR="00FC3DEC" w:rsidRPr="00EB7B5F" w:rsidRDefault="00FC3DEC" w:rsidP="001C4014">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NG144, 1.2.2.</w:t>
      </w:r>
    </w:p>
  </w:footnote>
  <w:footnote w:id="28">
    <w:p w14:paraId="1EE1B280" w14:textId="6B5C7D50" w:rsidR="00FC3DEC" w:rsidRPr="00EB7B5F" w:rsidRDefault="00FC3DEC" w:rsidP="003B21BF">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w:t>
      </w:r>
      <w:r w:rsidR="00843383" w:rsidRPr="00EB7B5F">
        <w:rPr>
          <w:rFonts w:ascii="Garamond" w:hAnsi="Garamond"/>
        </w:rPr>
        <w:t>E.g. See</w:t>
      </w:r>
      <w:r w:rsidR="00843383" w:rsidRPr="00EB7B5F">
        <w:rPr>
          <w:rFonts w:ascii="Garamond" w:hAnsi="Garamond"/>
          <w:i/>
          <w:iCs/>
        </w:rPr>
        <w:t xml:space="preserve"> Guidance for the use of medicinal cannabis in the treatment of chronic non-cancer pain in Australia </w:t>
      </w:r>
      <w:r w:rsidR="00843383" w:rsidRPr="00EB7B5F">
        <w:rPr>
          <w:rFonts w:ascii="Garamond" w:hAnsi="Garamond"/>
        </w:rPr>
        <w:t>(Australian Government, Department of Health, Therapeutic Goods Administration,</w:t>
      </w:r>
      <w:r w:rsidR="00843383" w:rsidRPr="00EB7B5F">
        <w:rPr>
          <w:rFonts w:ascii="Garamond" w:hAnsi="Garamond"/>
          <w:i/>
          <w:iCs/>
        </w:rPr>
        <w:t xml:space="preserve"> </w:t>
      </w:r>
      <w:r w:rsidR="00843383" w:rsidRPr="00EB7B5F">
        <w:rPr>
          <w:rFonts w:ascii="Garamond" w:hAnsi="Garamond"/>
        </w:rPr>
        <w:t>2017).</w:t>
      </w:r>
    </w:p>
  </w:footnote>
  <w:footnote w:id="29">
    <w:p w14:paraId="53899544" w14:textId="77777777" w:rsidR="00FC3DEC" w:rsidRPr="00EB7B5F" w:rsidRDefault="00FC3DEC" w:rsidP="003B21BF">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‘Rationale and Impact’ in NG-144.</w:t>
      </w:r>
    </w:p>
  </w:footnote>
  <w:footnote w:id="30">
    <w:p w14:paraId="60E87E77" w14:textId="13D21ADD" w:rsidR="00FC3DEC" w:rsidRPr="00EB7B5F" w:rsidRDefault="00FC3DEC" w:rsidP="000276DB">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Cannabis-based medicinal products: Draft for Consultation (NICE, August 2019): with a narrow </w:t>
      </w:r>
      <w:proofErr w:type="gramStart"/>
      <w:r w:rsidRPr="00EB7B5F">
        <w:rPr>
          <w:rFonts w:ascii="Garamond" w:hAnsi="Garamond"/>
        </w:rPr>
        <w:t>two month</w:t>
      </w:r>
      <w:proofErr w:type="gramEnd"/>
      <w:r w:rsidRPr="00EB7B5F">
        <w:rPr>
          <w:rFonts w:ascii="Garamond" w:hAnsi="Garamond"/>
        </w:rPr>
        <w:t xml:space="preserve"> window for consultation responses.</w:t>
      </w:r>
    </w:p>
  </w:footnote>
  <w:footnote w:id="31">
    <w:p w14:paraId="498E6C66" w14:textId="6BE468E6" w:rsidR="00FC3DEC" w:rsidRPr="00EB7B5F" w:rsidRDefault="00FC3DEC">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It is unusual but not unknown for NICE to recommend an unlicensed product: </w:t>
      </w:r>
      <w:r w:rsidRPr="00EB7B5F">
        <w:rPr>
          <w:rFonts w:ascii="Garamond" w:hAnsi="Garamond"/>
          <w:i/>
          <w:iCs/>
        </w:rPr>
        <w:t>Luc Jones v Taunton &amp; Somerset NHS Foundation Trust</w:t>
      </w:r>
      <w:r w:rsidRPr="00EB7B5F">
        <w:rPr>
          <w:rFonts w:ascii="Garamond" w:hAnsi="Garamond"/>
        </w:rPr>
        <w:t xml:space="preserve"> [2019] EWHC 1408.</w:t>
      </w:r>
    </w:p>
  </w:footnote>
  <w:footnote w:id="32">
    <w:p w14:paraId="56BF8FF6" w14:textId="77777777" w:rsidR="00FC3DEC" w:rsidRPr="00EB7B5F" w:rsidRDefault="00FC3DEC" w:rsidP="006F2ED5">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J. </w:t>
      </w:r>
      <w:proofErr w:type="spellStart"/>
      <w:r w:rsidRPr="00EB7B5F">
        <w:rPr>
          <w:rFonts w:ascii="Garamond" w:hAnsi="Garamond"/>
        </w:rPr>
        <w:t>Miola</w:t>
      </w:r>
      <w:proofErr w:type="spellEnd"/>
      <w:r w:rsidRPr="00EB7B5F">
        <w:rPr>
          <w:rFonts w:ascii="Garamond" w:hAnsi="Garamond"/>
        </w:rPr>
        <w:t xml:space="preserve">, ‘Innovation in Medicine through degeneration in </w:t>
      </w:r>
      <w:proofErr w:type="gramStart"/>
      <w:r w:rsidRPr="00EB7B5F">
        <w:rPr>
          <w:rFonts w:ascii="Garamond" w:hAnsi="Garamond"/>
        </w:rPr>
        <w:t>law?:</w:t>
      </w:r>
      <w:proofErr w:type="gramEnd"/>
      <w:r w:rsidRPr="00EB7B5F">
        <w:rPr>
          <w:rFonts w:ascii="Garamond" w:hAnsi="Garamond"/>
        </w:rPr>
        <w:t xml:space="preserve"> A critical perspective on the Medical Innovation Bill,’ (2014) 14(4) MLI 266 at 268.</w:t>
      </w:r>
    </w:p>
  </w:footnote>
  <w:footnote w:id="33">
    <w:p w14:paraId="17BB8001" w14:textId="77777777" w:rsidR="00FC3DEC" w:rsidRPr="00EB7B5F" w:rsidRDefault="00FC3DEC" w:rsidP="00FC3DEC">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For a definition of off label prescribing see </w:t>
      </w:r>
      <w:r w:rsidRPr="00EB7B5F">
        <w:rPr>
          <w:rFonts w:ascii="Garamond" w:hAnsi="Garamond"/>
          <w:i/>
          <w:iCs/>
        </w:rPr>
        <w:t xml:space="preserve">Glaxo </w:t>
      </w:r>
      <w:proofErr w:type="spellStart"/>
      <w:r w:rsidRPr="00EB7B5F">
        <w:rPr>
          <w:rFonts w:ascii="Garamond" w:hAnsi="Garamond"/>
          <w:i/>
          <w:iCs/>
        </w:rPr>
        <w:t>Wellcome</w:t>
      </w:r>
      <w:proofErr w:type="spellEnd"/>
      <w:r w:rsidRPr="00EB7B5F">
        <w:rPr>
          <w:rFonts w:ascii="Garamond" w:hAnsi="Garamond"/>
          <w:i/>
          <w:iCs/>
        </w:rPr>
        <w:t xml:space="preserve"> UK v Sandoz Ltd</w:t>
      </w:r>
      <w:r w:rsidRPr="00EB7B5F">
        <w:rPr>
          <w:rFonts w:ascii="Garamond" w:hAnsi="Garamond"/>
        </w:rPr>
        <w:t xml:space="preserve"> [2019] EWHC 2545 at 40: prescribers can, in the exercise of their own clinical judgment and at their own risk, prescribe an authorised drug for an unauthorised indication and/or for an unauthorised patient group.</w:t>
      </w:r>
    </w:p>
  </w:footnote>
  <w:footnote w:id="34">
    <w:p w14:paraId="0E02C316" w14:textId="43A23B26" w:rsidR="00FC3DEC" w:rsidRPr="00EB7B5F" w:rsidRDefault="00FC3DEC" w:rsidP="006F2ED5">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See</w:t>
      </w:r>
      <w:r w:rsidRPr="00EB7B5F">
        <w:rPr>
          <w:rFonts w:ascii="Garamond" w:hAnsi="Garamond"/>
          <w:i/>
          <w:iCs/>
        </w:rPr>
        <w:t xml:space="preserve"> Guidance for the use of medicinal cannabis in the treatment of chronic non-cancer pain in Australia </w:t>
      </w:r>
      <w:r w:rsidRPr="00EB7B5F">
        <w:rPr>
          <w:rFonts w:ascii="Garamond" w:hAnsi="Garamond"/>
        </w:rPr>
        <w:t>(Australian Government, Department of Health, Therapeutic Goods Administration,</w:t>
      </w:r>
      <w:r w:rsidRPr="00EB7B5F">
        <w:rPr>
          <w:rFonts w:ascii="Garamond" w:hAnsi="Garamond"/>
          <w:i/>
          <w:iCs/>
        </w:rPr>
        <w:t xml:space="preserve"> </w:t>
      </w:r>
      <w:r w:rsidRPr="00EB7B5F">
        <w:rPr>
          <w:rFonts w:ascii="Garamond" w:hAnsi="Garamond"/>
        </w:rPr>
        <w:t xml:space="preserve">2017) reviewing randomised studies of medicinal cannabis and reporting ‘moderate confidence’ that </w:t>
      </w:r>
      <w:proofErr w:type="spellStart"/>
      <w:r w:rsidRPr="00EB7B5F">
        <w:rPr>
          <w:rFonts w:ascii="Garamond" w:hAnsi="Garamond"/>
        </w:rPr>
        <w:t>nabiximols</w:t>
      </w:r>
      <w:proofErr w:type="spellEnd"/>
      <w:r w:rsidRPr="00EB7B5F">
        <w:rPr>
          <w:rFonts w:ascii="Garamond" w:hAnsi="Garamond"/>
        </w:rPr>
        <w:t xml:space="preserve"> </w:t>
      </w:r>
      <w:r w:rsidR="005D5E41" w:rsidRPr="00EB7B5F">
        <w:rPr>
          <w:rFonts w:ascii="Garamond" w:hAnsi="Garamond"/>
        </w:rPr>
        <w:t xml:space="preserve">(e.g. Sativex) </w:t>
      </w:r>
      <w:r w:rsidRPr="00EB7B5F">
        <w:rPr>
          <w:rFonts w:ascii="Garamond" w:hAnsi="Garamond"/>
        </w:rPr>
        <w:t>can produce 50% and 30% reported reductions in chronic non cancer pain</w:t>
      </w:r>
      <w:r w:rsidR="00D27A3F" w:rsidRPr="00EB7B5F">
        <w:rPr>
          <w:rFonts w:ascii="Garamond" w:hAnsi="Garamond"/>
        </w:rPr>
        <w:t xml:space="preserve"> (</w:t>
      </w:r>
      <w:r w:rsidRPr="00EB7B5F">
        <w:rPr>
          <w:rFonts w:ascii="Garamond" w:hAnsi="Garamond"/>
        </w:rPr>
        <w:t>at 1.1</w:t>
      </w:r>
      <w:r w:rsidR="00D27A3F" w:rsidRPr="00EB7B5F">
        <w:rPr>
          <w:rFonts w:ascii="Garamond" w:hAnsi="Garamond"/>
        </w:rPr>
        <w:t>).</w:t>
      </w:r>
    </w:p>
  </w:footnote>
  <w:footnote w:id="35">
    <w:p w14:paraId="4936D479" w14:textId="77777777" w:rsidR="00FC3DEC" w:rsidRPr="00EB7B5F" w:rsidRDefault="00FC3DEC" w:rsidP="006F2ED5">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Research suggests a variable response between physicians to priority setting mechanisms: M. Kimmel, ‘Challenges in regulating priority setting in healthcare: a Finnish perspective on a law maker’s dilemma.’ (2019) 19(2) MLI 136.</w:t>
      </w:r>
    </w:p>
  </w:footnote>
  <w:footnote w:id="36">
    <w:p w14:paraId="5336C997" w14:textId="68B9087B" w:rsidR="00FC3DEC" w:rsidRPr="00EB7B5F" w:rsidRDefault="00FC3DEC" w:rsidP="000276DB">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S. Devaney and S. Holm, ‘The Transmutation of Deference in Medicine: An </w:t>
      </w:r>
      <w:proofErr w:type="spellStart"/>
      <w:r w:rsidRPr="00EB7B5F">
        <w:rPr>
          <w:rFonts w:ascii="Garamond" w:hAnsi="Garamond"/>
        </w:rPr>
        <w:t>Ethico</w:t>
      </w:r>
      <w:proofErr w:type="spellEnd"/>
      <w:r w:rsidRPr="00EB7B5F">
        <w:rPr>
          <w:rFonts w:ascii="Garamond" w:hAnsi="Garamond"/>
        </w:rPr>
        <w:t>-Legal Perspective.’ (2018) 26(2) Med L Rev 202.</w:t>
      </w:r>
    </w:p>
  </w:footnote>
  <w:footnote w:id="37">
    <w:p w14:paraId="5F8F572F" w14:textId="77777777" w:rsidR="00FC3DEC" w:rsidRPr="00EB7B5F" w:rsidRDefault="00FC3DEC" w:rsidP="00BB0236">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‘Rationale and Impact’ in NG-144.</w:t>
      </w:r>
    </w:p>
  </w:footnote>
  <w:footnote w:id="38">
    <w:p w14:paraId="630C84AA" w14:textId="77777777" w:rsidR="00FC3DEC" w:rsidRPr="00EB7B5F" w:rsidRDefault="00FC3DEC" w:rsidP="00F05FA3">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E.g. </w:t>
      </w:r>
      <w:r w:rsidRPr="00EB7B5F">
        <w:rPr>
          <w:rFonts w:ascii="Garamond" w:hAnsi="Garamond"/>
          <w:i/>
          <w:iCs/>
        </w:rPr>
        <w:t>Guidance on the use of   cannabis</w:t>
      </w:r>
      <w:r w:rsidRPr="00EB7B5F">
        <w:rPr>
          <w:rFonts w:ascii="Cambria Math" w:hAnsi="Cambria Math" w:cs="Cambria Math"/>
          <w:i/>
          <w:iCs/>
        </w:rPr>
        <w:t>‐</w:t>
      </w:r>
      <w:r w:rsidRPr="00EB7B5F">
        <w:rPr>
          <w:rFonts w:ascii="Garamond" w:hAnsi="Garamond"/>
          <w:i/>
          <w:iCs/>
        </w:rPr>
        <w:t>based products   for medicinal use in children and young people with epilepsy</w:t>
      </w:r>
      <w:r w:rsidRPr="00EB7B5F">
        <w:rPr>
          <w:rFonts w:ascii="Garamond" w:hAnsi="Garamond"/>
        </w:rPr>
        <w:t xml:space="preserve"> (BPNA, 2018) at 4.1. </w:t>
      </w:r>
    </w:p>
  </w:footnote>
  <w:footnote w:id="39">
    <w:p w14:paraId="4785F843" w14:textId="24391F3F" w:rsidR="00FC3DEC" w:rsidRPr="00EB7B5F" w:rsidRDefault="00FC3DEC" w:rsidP="000276DB">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A </w:t>
      </w:r>
      <w:proofErr w:type="spellStart"/>
      <w:r w:rsidRPr="00EB7B5F">
        <w:rPr>
          <w:rFonts w:ascii="Garamond" w:hAnsi="Garamond"/>
        </w:rPr>
        <w:t>Samanta</w:t>
      </w:r>
      <w:proofErr w:type="spellEnd"/>
      <w:r w:rsidRPr="00EB7B5F">
        <w:rPr>
          <w:rFonts w:ascii="Garamond" w:hAnsi="Garamond"/>
        </w:rPr>
        <w:t xml:space="preserve"> et al, ‘The Role of Clinical Guidelines in Medical Negligence Litigation: A Shift from the </w:t>
      </w:r>
      <w:proofErr w:type="spellStart"/>
      <w:r w:rsidRPr="00EB7B5F">
        <w:rPr>
          <w:rFonts w:ascii="Garamond" w:hAnsi="Garamond"/>
          <w:i/>
          <w:iCs/>
        </w:rPr>
        <w:t>Bolam</w:t>
      </w:r>
      <w:proofErr w:type="spellEnd"/>
      <w:r w:rsidRPr="00EB7B5F">
        <w:rPr>
          <w:rFonts w:ascii="Garamond" w:hAnsi="Garamond"/>
        </w:rPr>
        <w:t xml:space="preserve"> Standard?’ (2006) 14 Med L Rev 321 finding that lawyers used NICE guidelines as a trial strategy. </w:t>
      </w:r>
    </w:p>
  </w:footnote>
  <w:footnote w:id="40">
    <w:p w14:paraId="12877ECA" w14:textId="77777777" w:rsidR="003C6B75" w:rsidRPr="00EB7B5F" w:rsidRDefault="003C6B75" w:rsidP="003C6B75">
      <w:pPr>
        <w:pStyle w:val="Heading1"/>
        <w:shd w:val="clear" w:color="auto" w:fill="FFFFFF"/>
        <w:spacing w:before="0" w:beforeAutospacing="0" w:after="0" w:afterAutospacing="0"/>
        <w:textAlignment w:val="baseline"/>
        <w:rPr>
          <w:rFonts w:ascii="Garamond" w:hAnsi="Garamond"/>
          <w:sz w:val="20"/>
          <w:szCs w:val="20"/>
        </w:rPr>
      </w:pPr>
      <w:r w:rsidRPr="00EB7B5F">
        <w:rPr>
          <w:rStyle w:val="FootnoteReference"/>
          <w:rFonts w:ascii="Garamond" w:hAnsi="Garamond"/>
          <w:b w:val="0"/>
          <w:bCs w:val="0"/>
          <w:sz w:val="20"/>
          <w:szCs w:val="20"/>
        </w:rPr>
        <w:footnoteRef/>
      </w:r>
      <w:r w:rsidRPr="00EB7B5F">
        <w:rPr>
          <w:rFonts w:ascii="Garamond" w:hAnsi="Garamond"/>
          <w:b w:val="0"/>
          <w:bCs w:val="0"/>
          <w:sz w:val="20"/>
          <w:szCs w:val="20"/>
        </w:rPr>
        <w:t xml:space="preserve"> Breaching the guidance can result in fitness to practise proceedings, e.g. </w:t>
      </w:r>
      <w:proofErr w:type="spellStart"/>
      <w:r w:rsidRPr="00EB7B5F">
        <w:rPr>
          <w:rFonts w:ascii="Garamond" w:hAnsi="Garamond"/>
          <w:b w:val="0"/>
          <w:bCs w:val="0"/>
          <w:i/>
          <w:iCs/>
          <w:sz w:val="20"/>
          <w:szCs w:val="20"/>
        </w:rPr>
        <w:t>Finegan</w:t>
      </w:r>
      <w:proofErr w:type="spellEnd"/>
      <w:r w:rsidRPr="00EB7B5F">
        <w:rPr>
          <w:rFonts w:ascii="Garamond" w:hAnsi="Garamond"/>
          <w:b w:val="0"/>
          <w:bCs w:val="0"/>
          <w:i/>
          <w:iCs/>
          <w:sz w:val="20"/>
          <w:szCs w:val="20"/>
        </w:rPr>
        <w:t xml:space="preserve"> v GMC </w:t>
      </w:r>
      <w:r w:rsidRPr="00EB7B5F">
        <w:rPr>
          <w:rFonts w:ascii="Garamond" w:hAnsi="Garamond" w:cs="Arial"/>
          <w:b w:val="0"/>
          <w:bCs w:val="0"/>
          <w:sz w:val="20"/>
          <w:szCs w:val="20"/>
          <w:shd w:val="clear" w:color="auto" w:fill="FFFFFF"/>
        </w:rPr>
        <w:t xml:space="preserve">[1987] 1 WLR 121 -  fitness to practise found wanting for breach of prescribing rules by prescribing anti-depressants for wife following bereavement when she had lost faith in her own doctor (this would be a potential breach of para 17 of the current guidance). </w:t>
      </w:r>
    </w:p>
  </w:footnote>
  <w:footnote w:id="41">
    <w:p w14:paraId="27A5B4DD" w14:textId="3D43E485" w:rsidR="00FC3DEC" w:rsidRPr="00EB7B5F" w:rsidRDefault="00FC3DEC" w:rsidP="00E15424">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This much seems well established in case law, e.g. </w:t>
      </w:r>
      <w:r w:rsidRPr="00EB7B5F">
        <w:rPr>
          <w:rFonts w:ascii="Garamond" w:hAnsi="Garamond"/>
          <w:i/>
          <w:iCs/>
        </w:rPr>
        <w:t xml:space="preserve">R v Secretary of State for Health, ex p Pfizer Ltd. </w:t>
      </w:r>
      <w:r w:rsidRPr="00EB7B5F">
        <w:rPr>
          <w:rFonts w:ascii="Garamond" w:hAnsi="Garamond"/>
        </w:rPr>
        <w:t>(1999) 51 BMLR 189, 198 – although referring to a Secretary of State letter appearing to encroach on clinical judgement, rather than NICE guidelines. See also House of Commons Select Committee</w:t>
      </w:r>
      <w:r w:rsidR="00ED0617" w:rsidRPr="00EB7B5F">
        <w:rPr>
          <w:rFonts w:ascii="Garamond" w:hAnsi="Garamond"/>
        </w:rPr>
        <w:t xml:space="preserve">, </w:t>
      </w:r>
      <w:r w:rsidR="00ED0617" w:rsidRPr="00EB7B5F">
        <w:rPr>
          <w:rFonts w:ascii="Garamond" w:hAnsi="Garamond"/>
          <w:i/>
          <w:iCs/>
        </w:rPr>
        <w:t>Drugs Policy: Medicin</w:t>
      </w:r>
      <w:r w:rsidR="00937BFC" w:rsidRPr="00EB7B5F">
        <w:rPr>
          <w:rFonts w:ascii="Garamond" w:hAnsi="Garamond"/>
          <w:i/>
          <w:iCs/>
        </w:rPr>
        <w:t>al</w:t>
      </w:r>
      <w:r w:rsidR="00ED0617" w:rsidRPr="00EB7B5F">
        <w:rPr>
          <w:rFonts w:ascii="Garamond" w:hAnsi="Garamond"/>
          <w:i/>
          <w:iCs/>
        </w:rPr>
        <w:t xml:space="preserve"> Cannabis</w:t>
      </w:r>
      <w:r w:rsidR="00C433D5" w:rsidRPr="00EB7B5F">
        <w:rPr>
          <w:rFonts w:ascii="Garamond" w:hAnsi="Garamond"/>
          <w:i/>
          <w:iCs/>
        </w:rPr>
        <w:t xml:space="preserve"> </w:t>
      </w:r>
      <w:r w:rsidR="00937BFC" w:rsidRPr="00EB7B5F">
        <w:rPr>
          <w:rFonts w:ascii="Garamond" w:hAnsi="Garamond"/>
        </w:rPr>
        <w:t xml:space="preserve">published July </w:t>
      </w:r>
      <w:r w:rsidR="00C433D5" w:rsidRPr="00EB7B5F">
        <w:rPr>
          <w:rFonts w:ascii="Garamond" w:hAnsi="Garamond"/>
        </w:rPr>
        <w:t>2019</w:t>
      </w:r>
      <w:r w:rsidRPr="00EB7B5F">
        <w:rPr>
          <w:rFonts w:ascii="Garamond" w:hAnsi="Garamond"/>
        </w:rPr>
        <w:t xml:space="preserve"> – ‘the interim guidance, as well as forthcoming guidance created by NICE, is advice and not an instruction to prevent prescribing,’ at 75. </w:t>
      </w:r>
      <w:hyperlink r:id="rId4" w:history="1">
        <w:r w:rsidRPr="00EB7B5F">
          <w:rPr>
            <w:rStyle w:val="Hyperlink"/>
            <w:rFonts w:ascii="Garamond" w:hAnsi="Garamond"/>
          </w:rPr>
          <w:t>https://publications.parliament.uk/pa/cm201719/cmselect/cmhealth/1821/182107.htm</w:t>
        </w:r>
      </w:hyperlink>
      <w:r w:rsidRPr="00EB7B5F">
        <w:rPr>
          <w:rFonts w:ascii="Garamond" w:hAnsi="Garamond"/>
        </w:rPr>
        <w:t xml:space="preserve">. </w:t>
      </w:r>
      <w:r w:rsidRPr="00EB7B5F">
        <w:rPr>
          <w:rFonts w:ascii="Garamond" w:hAnsi="Garamond"/>
          <w:b/>
          <w:bCs/>
        </w:rPr>
        <w:t xml:space="preserve"> </w:t>
      </w:r>
    </w:p>
  </w:footnote>
  <w:footnote w:id="42">
    <w:p w14:paraId="1B185D07" w14:textId="77777777" w:rsidR="00FC3DEC" w:rsidRPr="00EB7B5F" w:rsidRDefault="00FC3DEC" w:rsidP="00E15424">
      <w:pPr>
        <w:pStyle w:val="FootnoteText"/>
        <w:rPr>
          <w:rFonts w:ascii="Garamond" w:hAnsi="Garamond"/>
        </w:rPr>
      </w:pPr>
      <w:r w:rsidRPr="00EB7B5F">
        <w:rPr>
          <w:rStyle w:val="FootnoteReference"/>
          <w:rFonts w:ascii="Garamond" w:hAnsi="Garamond"/>
        </w:rPr>
        <w:footnoteRef/>
      </w:r>
      <w:r w:rsidRPr="00EB7B5F">
        <w:rPr>
          <w:rFonts w:ascii="Garamond" w:hAnsi="Garamond" w:cs="Arial"/>
          <w:color w:val="000000"/>
        </w:rPr>
        <w:t xml:space="preserve"> NG-144, p2.</w:t>
      </w:r>
    </w:p>
  </w:footnote>
  <w:footnote w:id="43">
    <w:p w14:paraId="64C51C58" w14:textId="2E7CA947" w:rsidR="00FC3DEC" w:rsidRPr="00EB7B5F" w:rsidRDefault="00FC3DEC" w:rsidP="000276DB">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[2015] EWHC 2301 at [52] which met with agreement from the Court of Appeal ([2017] EWCA </w:t>
      </w:r>
      <w:proofErr w:type="spellStart"/>
      <w:r w:rsidRPr="00EB7B5F">
        <w:rPr>
          <w:rFonts w:ascii="Garamond" w:hAnsi="Garamond"/>
        </w:rPr>
        <w:t>Civ</w:t>
      </w:r>
      <w:proofErr w:type="spellEnd"/>
      <w:r w:rsidRPr="00EB7B5F">
        <w:rPr>
          <w:rFonts w:ascii="Garamond" w:hAnsi="Garamond"/>
        </w:rPr>
        <w:t xml:space="preserve"> 151 ([34-38]). The reframing of the issue in the Supreme Court meant that the NICE guidance was not discussed.</w:t>
      </w:r>
    </w:p>
  </w:footnote>
  <w:footnote w:id="44">
    <w:p w14:paraId="580EEBFF" w14:textId="6A79D887" w:rsidR="00FC3DEC" w:rsidRPr="00EB7B5F" w:rsidRDefault="00FC3DEC" w:rsidP="000276DB">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[2019] EWHC 938. A similar outcome can be observed in </w:t>
      </w:r>
      <w:proofErr w:type="spellStart"/>
      <w:r w:rsidRPr="00EB7B5F">
        <w:rPr>
          <w:rFonts w:ascii="Garamond" w:hAnsi="Garamond"/>
          <w:i/>
          <w:iCs/>
        </w:rPr>
        <w:t>Corke</w:t>
      </w:r>
      <w:proofErr w:type="spellEnd"/>
      <w:r w:rsidRPr="00EB7B5F">
        <w:rPr>
          <w:rFonts w:ascii="Garamond" w:hAnsi="Garamond"/>
          <w:i/>
          <w:iCs/>
        </w:rPr>
        <w:t xml:space="preserve"> v Princess Alexandra NHS Trust</w:t>
      </w:r>
      <w:r w:rsidRPr="00EB7B5F">
        <w:rPr>
          <w:rFonts w:ascii="Garamond" w:hAnsi="Garamond"/>
        </w:rPr>
        <w:t xml:space="preserve"> [2019] EWHC 487.</w:t>
      </w:r>
    </w:p>
  </w:footnote>
  <w:footnote w:id="45">
    <w:p w14:paraId="4F808C19" w14:textId="2666EDD0" w:rsidR="00FC3DEC" w:rsidRPr="00EB7B5F" w:rsidRDefault="00FC3DEC" w:rsidP="000276DB">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w:t>
      </w:r>
      <w:r w:rsidR="00274826" w:rsidRPr="00EB7B5F">
        <w:rPr>
          <w:rFonts w:ascii="Garamond" w:hAnsi="Garamond"/>
        </w:rPr>
        <w:t>Ibid a</w:t>
      </w:r>
      <w:r w:rsidRPr="00EB7B5F">
        <w:rPr>
          <w:rFonts w:ascii="Garamond" w:hAnsi="Garamond"/>
        </w:rPr>
        <w:t>t [22].</w:t>
      </w:r>
    </w:p>
  </w:footnote>
  <w:footnote w:id="46">
    <w:p w14:paraId="696976EF" w14:textId="524C4828" w:rsidR="00C433D5" w:rsidRPr="00EB7B5F" w:rsidRDefault="00C433D5" w:rsidP="00C433D5">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w:t>
      </w:r>
      <w:r w:rsidRPr="00EB7B5F">
        <w:rPr>
          <w:rFonts w:ascii="Garamond" w:hAnsi="Garamond"/>
          <w:i/>
          <w:iCs/>
        </w:rPr>
        <w:t xml:space="preserve">Montgomery v Lanarkshire Health Board </w:t>
      </w:r>
      <w:r w:rsidRPr="00EB7B5F">
        <w:rPr>
          <w:rFonts w:ascii="Garamond" w:hAnsi="Garamond"/>
        </w:rPr>
        <w:t xml:space="preserve">[2015] UKSC 11. </w:t>
      </w:r>
    </w:p>
  </w:footnote>
  <w:footnote w:id="47">
    <w:p w14:paraId="79CBCE88" w14:textId="77777777" w:rsidR="00FC3DEC" w:rsidRPr="00EB7B5F" w:rsidRDefault="00FC3DEC" w:rsidP="00BB0236">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w:t>
      </w:r>
      <w:r w:rsidRPr="00EB7B5F">
        <w:rPr>
          <w:rFonts w:ascii="Garamond" w:hAnsi="Garamond"/>
          <w:i/>
          <w:iCs/>
        </w:rPr>
        <w:t>R (Rose) v Thanet Clinical Commissioning Group</w:t>
      </w:r>
      <w:r w:rsidRPr="00EB7B5F">
        <w:rPr>
          <w:rFonts w:ascii="Garamond" w:hAnsi="Garamond"/>
        </w:rPr>
        <w:t xml:space="preserve"> [2014] EWHC 1182 – where a Clinical Commissioning Group had departed from guidelines.</w:t>
      </w:r>
    </w:p>
  </w:footnote>
  <w:footnote w:id="48">
    <w:p w14:paraId="1ABF2ED8" w14:textId="44F85DEA" w:rsidR="00FC3DEC" w:rsidRPr="00EB7B5F" w:rsidRDefault="00FC3DEC" w:rsidP="00BB0236">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w:t>
      </w:r>
      <w:r w:rsidR="00843383" w:rsidRPr="00EB7B5F">
        <w:rPr>
          <w:rFonts w:ascii="Garamond" w:hAnsi="Garamond"/>
        </w:rPr>
        <w:t>[2019] EWHC 938</w:t>
      </w:r>
      <w:r w:rsidRPr="00EB7B5F">
        <w:rPr>
          <w:rFonts w:ascii="Garamond" w:hAnsi="Garamond"/>
        </w:rPr>
        <w:t xml:space="preserve"> at [30].</w:t>
      </w:r>
    </w:p>
  </w:footnote>
  <w:footnote w:id="49">
    <w:p w14:paraId="6D21D775" w14:textId="797C146E" w:rsidR="00FC3DEC" w:rsidRPr="00EB7B5F" w:rsidRDefault="00FC3DEC">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See </w:t>
      </w:r>
      <w:r w:rsidRPr="00EB7B5F">
        <w:rPr>
          <w:rFonts w:ascii="Garamond" w:hAnsi="Garamond"/>
          <w:i/>
          <w:iCs/>
        </w:rPr>
        <w:t xml:space="preserve">Interim policy on cannabis-based medicinal products </w:t>
      </w:r>
      <w:r w:rsidRPr="00EB7B5F">
        <w:rPr>
          <w:rFonts w:ascii="Garamond" w:hAnsi="Garamond"/>
        </w:rPr>
        <w:t>(Care Quality Commission, 2019), KLOE E1.</w:t>
      </w:r>
    </w:p>
  </w:footnote>
  <w:footnote w:id="50">
    <w:p w14:paraId="3C6A4723" w14:textId="5D03DA68" w:rsidR="00D2297C" w:rsidRPr="00EB7B5F" w:rsidRDefault="00D2297C">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E.g. NHS England, </w:t>
      </w:r>
      <w:r w:rsidRPr="00EB7B5F">
        <w:rPr>
          <w:rFonts w:ascii="Garamond" w:hAnsi="Garamond"/>
          <w:i/>
          <w:iCs/>
        </w:rPr>
        <w:t xml:space="preserve">Letter: Guidance to Clinicians on Cannabis Based Products for Medicinal Use </w:t>
      </w:r>
      <w:r w:rsidRPr="00EB7B5F">
        <w:rPr>
          <w:rFonts w:ascii="Garamond" w:hAnsi="Garamond"/>
        </w:rPr>
        <w:t>(2018) referring to discussing with a peer clinician in the same specialism as good practice.</w:t>
      </w:r>
    </w:p>
  </w:footnote>
  <w:footnote w:id="51">
    <w:p w14:paraId="4CE49D2A" w14:textId="77777777" w:rsidR="00FC3DEC" w:rsidRPr="00EB7B5F" w:rsidRDefault="00FC3DEC" w:rsidP="00D20366">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Regulation 4 of the </w:t>
      </w:r>
      <w:r w:rsidRPr="00EB7B5F">
        <w:rPr>
          <w:rFonts w:ascii="Garamond" w:hAnsi="Garamond"/>
          <w:i/>
          <w:iCs/>
        </w:rPr>
        <w:t xml:space="preserve">Misuse of Drugs (Amendments) (Cannabis and Licence Fees) (E.W.&amp;S) Regulations 2018 </w:t>
      </w:r>
      <w:r w:rsidRPr="00EB7B5F">
        <w:rPr>
          <w:rFonts w:ascii="Garamond" w:hAnsi="Garamond"/>
        </w:rPr>
        <w:t>(SI 2018 No.1055)  – the medicinal product must be ‘for use in accordance with a prescription or direction of a specialist medical practitioner’ and NG-144 at 1.5.</w:t>
      </w:r>
    </w:p>
  </w:footnote>
  <w:footnote w:id="52">
    <w:p w14:paraId="796E2FE4" w14:textId="590E41D1" w:rsidR="00FC3DEC" w:rsidRPr="00EB7B5F" w:rsidRDefault="00FC3DEC" w:rsidP="00D20366">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See G. Greenfield, ‘Rethinking primary care’s gatekeeper role’ (2016) </w:t>
      </w:r>
      <w:r w:rsidR="00CE5002" w:rsidRPr="00EB7B5F">
        <w:rPr>
          <w:rFonts w:ascii="Garamond" w:hAnsi="Garamond"/>
        </w:rPr>
        <w:t xml:space="preserve">354 </w:t>
      </w:r>
      <w:r w:rsidRPr="00EB7B5F">
        <w:rPr>
          <w:rFonts w:ascii="Garamond" w:hAnsi="Garamond"/>
        </w:rPr>
        <w:t xml:space="preserve">BMJ </w:t>
      </w:r>
      <w:r w:rsidR="00CE5002" w:rsidRPr="00EB7B5F">
        <w:rPr>
          <w:rFonts w:ascii="Garamond" w:hAnsi="Garamond"/>
        </w:rPr>
        <w:t>4803</w:t>
      </w:r>
      <w:r w:rsidRPr="00EB7B5F">
        <w:rPr>
          <w:rFonts w:ascii="Garamond" w:hAnsi="Garamond"/>
        </w:rPr>
        <w:t xml:space="preserve">. Even the new medicinal cannabis clinics prefer to start from a GP referral: </w:t>
      </w:r>
      <w:hyperlink r:id="rId5" w:history="1">
        <w:r w:rsidRPr="00EB7B5F">
          <w:rPr>
            <w:rStyle w:val="Hyperlink"/>
            <w:rFonts w:ascii="Garamond" w:hAnsi="Garamond"/>
          </w:rPr>
          <w:t>https://themedicalcannabisclinics.com/faqs/</w:t>
        </w:r>
      </w:hyperlink>
      <w:r w:rsidRPr="00EB7B5F">
        <w:rPr>
          <w:rFonts w:ascii="Garamond" w:hAnsi="Garamond"/>
        </w:rPr>
        <w:t xml:space="preserve"> - ‘Do I need a letter of referral?’</w:t>
      </w:r>
    </w:p>
  </w:footnote>
  <w:footnote w:id="53">
    <w:p w14:paraId="38652264" w14:textId="17B18271" w:rsidR="00FC3DEC" w:rsidRPr="00EB7B5F" w:rsidRDefault="00FC3DEC">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K. Gardiner et al, ‘Health professional beliefs, knowledge and concerns surrounding medicinal cannabis – a systematic review.’ (2019) 14(5) PLOS ONE e0216556. </w:t>
      </w:r>
    </w:p>
  </w:footnote>
  <w:footnote w:id="54">
    <w:p w14:paraId="38134ED5" w14:textId="4DE3424F" w:rsidR="00FC3DEC" w:rsidRPr="00EB7B5F" w:rsidRDefault="00FC3DEC">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See BPNA</w:t>
      </w:r>
      <w:r w:rsidR="00FD2013" w:rsidRPr="00EB7B5F">
        <w:rPr>
          <w:rFonts w:ascii="Garamond" w:hAnsi="Garamond"/>
        </w:rPr>
        <w:t>, n.38 at</w:t>
      </w:r>
      <w:r w:rsidRPr="00EB7B5F">
        <w:rPr>
          <w:rFonts w:ascii="Garamond" w:hAnsi="Garamond"/>
        </w:rPr>
        <w:t xml:space="preserve"> 5.1 and</w:t>
      </w:r>
      <w:r w:rsidR="00FD2013" w:rsidRPr="00EB7B5F">
        <w:rPr>
          <w:rFonts w:ascii="Garamond" w:hAnsi="Garamond"/>
        </w:rPr>
        <w:t xml:space="preserve"> </w:t>
      </w:r>
      <w:r w:rsidR="00FD2013" w:rsidRPr="00EB7B5F">
        <w:rPr>
          <w:rFonts w:ascii="Garamond" w:hAnsi="Garamond"/>
          <w:i/>
          <w:iCs/>
        </w:rPr>
        <w:t xml:space="preserve">Cannabis Based Medicines: </w:t>
      </w:r>
      <w:proofErr w:type="gramStart"/>
      <w:r w:rsidR="00FD2013" w:rsidRPr="00EB7B5F">
        <w:rPr>
          <w:rFonts w:ascii="Garamond" w:hAnsi="Garamond"/>
          <w:i/>
          <w:iCs/>
        </w:rPr>
        <w:t>an</w:t>
      </w:r>
      <w:proofErr w:type="gramEnd"/>
      <w:r w:rsidR="00FD2013" w:rsidRPr="00EB7B5F">
        <w:rPr>
          <w:rFonts w:ascii="Garamond" w:hAnsi="Garamond"/>
          <w:i/>
          <w:iCs/>
        </w:rPr>
        <w:t xml:space="preserve"> Interim Desktop Guide </w:t>
      </w:r>
      <w:r w:rsidR="00FD2013" w:rsidRPr="00EB7B5F">
        <w:rPr>
          <w:rFonts w:ascii="Garamond" w:hAnsi="Garamond"/>
        </w:rPr>
        <w:t>(Royal College of General Practitioners, 2018) at 1.0:</w:t>
      </w:r>
      <w:r w:rsidRPr="00EB7B5F">
        <w:rPr>
          <w:rFonts w:ascii="Garamond" w:hAnsi="Garamond"/>
        </w:rPr>
        <w:t xml:space="preserve"> ‘The product must be supplied by a specialist doctor and there are no shared care arrangements. GPs should not prescribe these products…’</w:t>
      </w:r>
    </w:p>
  </w:footnote>
  <w:footnote w:id="55">
    <w:p w14:paraId="53668E68" w14:textId="25E1158D" w:rsidR="00FC3DEC" w:rsidRPr="00EB7B5F" w:rsidRDefault="00FC3DEC">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Regulation 4 of the </w:t>
      </w:r>
      <w:r w:rsidRPr="00EB7B5F">
        <w:rPr>
          <w:rFonts w:ascii="Garamond" w:hAnsi="Garamond"/>
          <w:i/>
          <w:iCs/>
        </w:rPr>
        <w:t xml:space="preserve">Misuse of Drugs (Amendments) (Cannabis and Licence Fees) (E.W.&amp;S) Regulations 2018 </w:t>
      </w:r>
      <w:r w:rsidRPr="00EB7B5F">
        <w:rPr>
          <w:rFonts w:ascii="Garamond" w:hAnsi="Garamond"/>
        </w:rPr>
        <w:t>(SI 2018 No.1055) (emphasis added).</w:t>
      </w:r>
    </w:p>
  </w:footnote>
  <w:footnote w:id="56">
    <w:p w14:paraId="63338485" w14:textId="3FF423B0" w:rsidR="00FC3DEC" w:rsidRPr="00EB7B5F" w:rsidRDefault="00FC3DEC">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NG 144, at 1.5.2.</w:t>
      </w:r>
    </w:p>
  </w:footnote>
  <w:footnote w:id="57">
    <w:p w14:paraId="4F2BA0C3" w14:textId="2141A2AD" w:rsidR="00FC3DEC" w:rsidRPr="00EB7B5F" w:rsidRDefault="00FC3DEC" w:rsidP="005565F5">
      <w:pPr>
        <w:pStyle w:val="FootnoteText"/>
        <w:rPr>
          <w:rFonts w:ascii="Garamond" w:hAnsi="Garamond"/>
        </w:rPr>
      </w:pPr>
      <w:r w:rsidRPr="00EB7B5F">
        <w:rPr>
          <w:rStyle w:val="FootnoteReference"/>
          <w:rFonts w:ascii="Garamond" w:hAnsi="Garamond"/>
        </w:rPr>
        <w:footnoteRef/>
      </w:r>
      <w:r w:rsidR="003B6FC4" w:rsidRPr="00EB7B5F">
        <w:rPr>
          <w:rFonts w:ascii="Garamond" w:hAnsi="Garamond"/>
        </w:rPr>
        <w:t xml:space="preserve"> ibid</w:t>
      </w:r>
      <w:r w:rsidRPr="00EB7B5F">
        <w:rPr>
          <w:rFonts w:ascii="Garamond" w:hAnsi="Garamond"/>
        </w:rPr>
        <w:t xml:space="preserve">. </w:t>
      </w:r>
    </w:p>
  </w:footnote>
  <w:footnote w:id="58">
    <w:p w14:paraId="57C33BE5" w14:textId="4EE37B65" w:rsidR="00FC3DEC" w:rsidRPr="00EB7B5F" w:rsidRDefault="00FC3DEC" w:rsidP="005565F5">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Hannah Deacon recounts how her son’s first neurologist threatened to report her to social services if she gave cannabis oil to her son: ‘The medical cannabis campaign is not yet over.’ </w:t>
      </w:r>
      <w:r w:rsidRPr="00EB7B5F">
        <w:rPr>
          <w:rFonts w:ascii="Garamond" w:hAnsi="Garamond"/>
          <w:i/>
        </w:rPr>
        <w:t>Hospital Times.</w:t>
      </w:r>
      <w:r w:rsidRPr="00EB7B5F">
        <w:rPr>
          <w:rFonts w:ascii="Garamond" w:hAnsi="Garamond"/>
        </w:rPr>
        <w:t xml:space="preserve"> April 2019. See also K. Gardiner et al, ‘Health professional beliefs, knowledge and concerns surrounding medicinal cannabis – a systematic review.’ (2019) 14(5) PLOS ONE e0216556 finding that studies commonly reported common fears that patients were seeking a prescription as a façade for recreational use. </w:t>
      </w:r>
    </w:p>
  </w:footnote>
  <w:footnote w:id="59">
    <w:p w14:paraId="6A8A4D71" w14:textId="046B204B" w:rsidR="00FC3DEC" w:rsidRPr="00EB7B5F" w:rsidRDefault="00FC3DEC">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E.g. </w:t>
      </w:r>
      <w:r w:rsidR="006C7D55" w:rsidRPr="00EB7B5F">
        <w:rPr>
          <w:rFonts w:ascii="Garamond" w:hAnsi="Garamond"/>
        </w:rPr>
        <w:t xml:space="preserve">use of a product licenced for that condition should be considered first, then ‘off label’ prescribing, before considering an unlicensed CMP as a ‘third line’ option: </w:t>
      </w:r>
      <w:hyperlink r:id="rId6" w:anchor="will-these-products-be-prescribed-as-first-line-treatments" w:history="1">
        <w:r w:rsidR="006C7D55" w:rsidRPr="00EB7B5F">
          <w:rPr>
            <w:rStyle w:val="Hyperlink"/>
            <w:rFonts w:ascii="Garamond" w:hAnsi="Garamond"/>
          </w:rPr>
          <w:t>https://www.england.nhs.uk/medicines/support-for-prescribers/cannabis-based-products-for-medicinal-use/cannabis-based-products-for-medicinal-use-frequently-asked-questions/#will-these-products-be-prescribed-as-first-line-treatments</w:t>
        </w:r>
      </w:hyperlink>
      <w:r w:rsidR="006C7D55" w:rsidRPr="00EB7B5F">
        <w:rPr>
          <w:rFonts w:ascii="Garamond" w:hAnsi="Garamond"/>
        </w:rPr>
        <w:t xml:space="preserve">. </w:t>
      </w:r>
      <w:r w:rsidRPr="00EB7B5F">
        <w:rPr>
          <w:rFonts w:ascii="Garamond" w:hAnsi="Garamond"/>
        </w:rPr>
        <w:t xml:space="preserve"> </w:t>
      </w:r>
    </w:p>
  </w:footnote>
  <w:footnote w:id="60">
    <w:p w14:paraId="243A702F" w14:textId="77777777" w:rsidR="00FC3DEC" w:rsidRPr="00EB7B5F" w:rsidRDefault="00FC3DEC" w:rsidP="000B3C44">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w:t>
      </w:r>
      <w:r w:rsidRPr="00EB7B5F">
        <w:rPr>
          <w:rFonts w:ascii="Garamond" w:hAnsi="Garamond"/>
          <w:i/>
          <w:iCs/>
        </w:rPr>
        <w:t>Montgomery v Lanarkshire Health Board</w:t>
      </w:r>
      <w:r w:rsidRPr="00EB7B5F">
        <w:rPr>
          <w:rFonts w:ascii="Garamond" w:hAnsi="Garamond"/>
        </w:rPr>
        <w:t xml:space="preserve"> [2015] UKSC 11.</w:t>
      </w:r>
    </w:p>
  </w:footnote>
  <w:footnote w:id="61">
    <w:p w14:paraId="70EE9283" w14:textId="01005DB0" w:rsidR="00FC3DEC" w:rsidRPr="00EB7B5F" w:rsidRDefault="00FC3DEC" w:rsidP="000B3C44">
      <w:pPr>
        <w:autoSpaceDE w:val="0"/>
        <w:autoSpaceDN w:val="0"/>
        <w:adjustRightInd w:val="0"/>
        <w:spacing w:after="0" w:line="240" w:lineRule="auto"/>
        <w:rPr>
          <w:rFonts w:ascii="Garamond" w:hAnsi="Garamond"/>
          <w:sz w:val="20"/>
          <w:szCs w:val="20"/>
        </w:rPr>
      </w:pPr>
      <w:r w:rsidRPr="00EB7B5F">
        <w:rPr>
          <w:rStyle w:val="FootnoteReference"/>
          <w:rFonts w:ascii="Garamond" w:hAnsi="Garamond"/>
          <w:sz w:val="20"/>
          <w:szCs w:val="20"/>
        </w:rPr>
        <w:footnoteRef/>
      </w:r>
      <w:r w:rsidRPr="00EB7B5F">
        <w:rPr>
          <w:rFonts w:ascii="Garamond" w:hAnsi="Garamond"/>
          <w:sz w:val="20"/>
          <w:szCs w:val="20"/>
        </w:rPr>
        <w:t xml:space="preserve"> </w:t>
      </w:r>
      <w:r w:rsidRPr="00EB7B5F">
        <w:rPr>
          <w:rFonts w:ascii="Garamond" w:hAnsi="Garamond" w:cs="Tahoma"/>
          <w:sz w:val="20"/>
          <w:szCs w:val="20"/>
        </w:rPr>
        <w:t>M. Bone and T. Seddon, ‘</w:t>
      </w:r>
      <w:r w:rsidRPr="00EB7B5F">
        <w:rPr>
          <w:rFonts w:ascii="Garamond" w:hAnsi="Garamond" w:cs="OpenSans-Semibold"/>
          <w:sz w:val="20"/>
          <w:szCs w:val="20"/>
        </w:rPr>
        <w:t xml:space="preserve">Human rights, public health and medicinal cannabis use’ (2016) 26(1) </w:t>
      </w:r>
      <w:r w:rsidRPr="00EB7B5F">
        <w:rPr>
          <w:rFonts w:ascii="Garamond" w:hAnsi="Garamond" w:cs="OpenSans-Semibold"/>
          <w:i/>
          <w:iCs/>
          <w:sz w:val="20"/>
          <w:szCs w:val="20"/>
        </w:rPr>
        <w:t xml:space="preserve">Critical Public Health </w:t>
      </w:r>
      <w:r w:rsidRPr="00EB7B5F">
        <w:rPr>
          <w:rFonts w:ascii="Garamond" w:hAnsi="Garamond" w:cs="OpenSans-Semibold"/>
          <w:sz w:val="20"/>
          <w:szCs w:val="20"/>
        </w:rPr>
        <w:t xml:space="preserve">51, see also O’Brien </w:t>
      </w:r>
      <w:r w:rsidR="00837621" w:rsidRPr="00EB7B5F">
        <w:rPr>
          <w:rFonts w:ascii="Garamond" w:hAnsi="Garamond" w:cs="OpenSans-Semibold"/>
          <w:sz w:val="20"/>
          <w:szCs w:val="20"/>
        </w:rPr>
        <w:t>(n.</w:t>
      </w:r>
      <w:r w:rsidR="00671E5E" w:rsidRPr="00EB7B5F">
        <w:rPr>
          <w:rFonts w:ascii="Garamond" w:hAnsi="Garamond" w:cs="OpenSans-Semibold"/>
          <w:sz w:val="20"/>
          <w:szCs w:val="20"/>
        </w:rPr>
        <w:t>19</w:t>
      </w:r>
      <w:r w:rsidR="00837621" w:rsidRPr="00EB7B5F">
        <w:rPr>
          <w:rFonts w:ascii="Garamond" w:hAnsi="Garamond" w:cs="OpenSans-Semibold"/>
          <w:sz w:val="20"/>
          <w:szCs w:val="20"/>
        </w:rPr>
        <w:t>)</w:t>
      </w:r>
      <w:r w:rsidRPr="00EB7B5F">
        <w:rPr>
          <w:rFonts w:ascii="Garamond" w:hAnsi="Garamond" w:cs="OpenSans-Semibold"/>
          <w:sz w:val="20"/>
          <w:szCs w:val="20"/>
        </w:rPr>
        <w:t>.</w:t>
      </w:r>
    </w:p>
  </w:footnote>
  <w:footnote w:id="62">
    <w:p w14:paraId="0B77AAD2" w14:textId="77777777" w:rsidR="00FC3DEC" w:rsidRPr="00EB7B5F" w:rsidRDefault="00FC3DEC" w:rsidP="000B3C44">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w:t>
      </w:r>
      <w:hyperlink r:id="rId7" w:history="1">
        <w:r w:rsidRPr="00EB7B5F">
          <w:rPr>
            <w:rStyle w:val="Hyperlink"/>
            <w:rFonts w:ascii="Garamond" w:hAnsi="Garamond"/>
            <w:color w:val="auto"/>
          </w:rPr>
          <w:t>https://www.nhs.uk/conditions/medical-cannabis/</w:t>
        </w:r>
      </w:hyperlink>
      <w:r w:rsidRPr="00EB7B5F">
        <w:rPr>
          <w:rFonts w:ascii="Garamond" w:hAnsi="Garamond"/>
        </w:rPr>
        <w:t xml:space="preserve"> - (emphasis added) last updated Nov 2018.</w:t>
      </w:r>
    </w:p>
  </w:footnote>
  <w:footnote w:id="63">
    <w:p w14:paraId="3118F12E" w14:textId="7B12ABC5" w:rsidR="00FC3DEC" w:rsidRPr="00EB7B5F" w:rsidRDefault="00FC3DEC" w:rsidP="000276DB">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w:t>
      </w:r>
      <w:r w:rsidR="00C433D5" w:rsidRPr="00EB7B5F">
        <w:rPr>
          <w:rFonts w:ascii="Garamond" w:hAnsi="Garamond"/>
        </w:rPr>
        <w:t>[2015] UKSC 11 a</w:t>
      </w:r>
      <w:r w:rsidRPr="00EB7B5F">
        <w:rPr>
          <w:rFonts w:ascii="Garamond" w:hAnsi="Garamond"/>
        </w:rPr>
        <w:t xml:space="preserve">t [81]. </w:t>
      </w:r>
    </w:p>
  </w:footnote>
  <w:footnote w:id="64">
    <w:p w14:paraId="1AD86742" w14:textId="1A89DFFD" w:rsidR="00FC3DEC" w:rsidRPr="00EB7B5F" w:rsidRDefault="00FC3DEC">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T. Cockburn &amp; M. Fay, ‘Consent to Innovative Treatment’ (2019) 11 (1) </w:t>
      </w:r>
      <w:r w:rsidRPr="00EB7B5F">
        <w:rPr>
          <w:rFonts w:ascii="Garamond" w:hAnsi="Garamond"/>
          <w:i/>
          <w:iCs/>
        </w:rPr>
        <w:t>Law Innovation and Technology</w:t>
      </w:r>
      <w:r w:rsidRPr="00EB7B5F">
        <w:rPr>
          <w:rFonts w:ascii="Garamond" w:hAnsi="Garamond"/>
        </w:rPr>
        <w:t xml:space="preserve"> 34 at 46. </w:t>
      </w:r>
    </w:p>
  </w:footnote>
  <w:footnote w:id="65">
    <w:p w14:paraId="63A8DE46" w14:textId="77777777" w:rsidR="00FC3DEC" w:rsidRPr="00EB7B5F" w:rsidRDefault="00FC3DEC" w:rsidP="00906C08">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w:t>
      </w:r>
      <w:r w:rsidRPr="00EB7B5F">
        <w:rPr>
          <w:rFonts w:ascii="Garamond" w:hAnsi="Garamond" w:cs="Arial"/>
          <w:i/>
          <w:iCs/>
        </w:rPr>
        <w:t>Good practice in prescribing and managing medicines and devices</w:t>
      </w:r>
      <w:r w:rsidRPr="00EB7B5F">
        <w:rPr>
          <w:rFonts w:ascii="Garamond" w:hAnsi="Garamond" w:cs="Arial"/>
        </w:rPr>
        <w:t xml:space="preserve"> (GMC, 2013).</w:t>
      </w:r>
    </w:p>
  </w:footnote>
  <w:footnote w:id="66">
    <w:p w14:paraId="1DC3122F" w14:textId="201E6AE6" w:rsidR="00FC3DEC" w:rsidRPr="00EB7B5F" w:rsidRDefault="00FC3DEC" w:rsidP="000B3C44">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w:t>
      </w:r>
      <w:r w:rsidR="00837621" w:rsidRPr="00EB7B5F">
        <w:rPr>
          <w:rFonts w:ascii="Garamond" w:hAnsi="Garamond"/>
        </w:rPr>
        <w:t>ibid, p</w:t>
      </w:r>
      <w:r w:rsidRPr="00EB7B5F">
        <w:rPr>
          <w:rFonts w:ascii="Garamond" w:hAnsi="Garamond"/>
        </w:rPr>
        <w:t xml:space="preserve">ara 14. </w:t>
      </w:r>
    </w:p>
  </w:footnote>
  <w:footnote w:id="67">
    <w:p w14:paraId="5F9D652C" w14:textId="3FD24544" w:rsidR="00FC3DEC" w:rsidRPr="00EB7B5F" w:rsidRDefault="00FC3DEC" w:rsidP="000B3C44">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w:t>
      </w:r>
      <w:r w:rsidR="00837621" w:rsidRPr="00EB7B5F">
        <w:rPr>
          <w:rFonts w:ascii="Garamond" w:hAnsi="Garamond"/>
        </w:rPr>
        <w:t>ibid, p</w:t>
      </w:r>
      <w:r w:rsidRPr="00EB7B5F">
        <w:rPr>
          <w:rFonts w:ascii="Garamond" w:hAnsi="Garamond"/>
        </w:rPr>
        <w:t xml:space="preserve">ara 68. </w:t>
      </w:r>
    </w:p>
  </w:footnote>
  <w:footnote w:id="68">
    <w:p w14:paraId="343F297E" w14:textId="30D4C2E1" w:rsidR="00FC3DEC" w:rsidRPr="00EB7B5F" w:rsidRDefault="00FC3DEC" w:rsidP="000B3C44">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w:t>
      </w:r>
      <w:r w:rsidR="00837621" w:rsidRPr="00EB7B5F">
        <w:rPr>
          <w:rFonts w:ascii="Garamond" w:hAnsi="Garamond"/>
        </w:rPr>
        <w:t>ibid, p</w:t>
      </w:r>
      <w:r w:rsidRPr="00EB7B5F">
        <w:rPr>
          <w:rFonts w:ascii="Garamond" w:hAnsi="Garamond"/>
        </w:rPr>
        <w:t xml:space="preserve">ara 70. </w:t>
      </w:r>
    </w:p>
  </w:footnote>
  <w:footnote w:id="69">
    <w:p w14:paraId="76279ED0" w14:textId="77777777" w:rsidR="00FC3DEC" w:rsidRPr="00EB7B5F" w:rsidRDefault="00FC3DEC" w:rsidP="000B3C44">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W. </w:t>
      </w:r>
      <w:proofErr w:type="spellStart"/>
      <w:r w:rsidRPr="00EB7B5F">
        <w:rPr>
          <w:rFonts w:ascii="Garamond" w:hAnsi="Garamond"/>
        </w:rPr>
        <w:t>Notcutt</w:t>
      </w:r>
      <w:proofErr w:type="spellEnd"/>
      <w:r w:rsidRPr="00EB7B5F">
        <w:rPr>
          <w:rFonts w:ascii="Garamond" w:hAnsi="Garamond"/>
        </w:rPr>
        <w:t xml:space="preserve"> et al, ‘Initial experiences with medicinal extracts of cannabis for chronic pain: Results from 34 ‘N of 1’ studies’ (2004) 59 </w:t>
      </w:r>
      <w:r w:rsidRPr="00EB7B5F">
        <w:rPr>
          <w:rFonts w:ascii="Garamond" w:hAnsi="Garamond"/>
          <w:i/>
          <w:iCs/>
        </w:rPr>
        <w:t>Anaesthesia</w:t>
      </w:r>
      <w:r w:rsidRPr="00EB7B5F">
        <w:rPr>
          <w:rFonts w:ascii="Garamond" w:hAnsi="Garamond"/>
        </w:rPr>
        <w:t xml:space="preserve"> 440. </w:t>
      </w:r>
    </w:p>
  </w:footnote>
  <w:footnote w:id="70">
    <w:p w14:paraId="71BE2A85" w14:textId="76A9F881" w:rsidR="00FC3DEC" w:rsidRPr="00EB7B5F" w:rsidRDefault="00FC3DEC">
      <w:pPr>
        <w:pStyle w:val="FootnoteText"/>
        <w:rPr>
          <w:rFonts w:ascii="Garamond" w:hAnsi="Garamond"/>
        </w:rPr>
      </w:pPr>
      <w:r w:rsidRPr="00EB7B5F">
        <w:rPr>
          <w:rStyle w:val="FootnoteReference"/>
          <w:rFonts w:ascii="Garamond" w:hAnsi="Garamond"/>
        </w:rPr>
        <w:footnoteRef/>
      </w:r>
      <w:r w:rsidRPr="00EB7B5F">
        <w:rPr>
          <w:rFonts w:ascii="Garamond" w:hAnsi="Garamond"/>
        </w:rPr>
        <w:t xml:space="preserve"> NG-144 at 1.5.5.</w:t>
      </w:r>
    </w:p>
  </w:footnote>
  <w:footnote w:id="71">
    <w:p w14:paraId="38F916FA" w14:textId="627D075A" w:rsidR="00FC3DEC" w:rsidRPr="00EB7B5F" w:rsidRDefault="00FC3DEC" w:rsidP="005F466B">
      <w:pPr>
        <w:autoSpaceDE w:val="0"/>
        <w:autoSpaceDN w:val="0"/>
        <w:adjustRightInd w:val="0"/>
        <w:spacing w:after="0" w:line="240" w:lineRule="auto"/>
        <w:rPr>
          <w:rFonts w:ascii="Garamond" w:hAnsi="Garamond" w:cs="Times New Roman"/>
          <w:b/>
          <w:bCs/>
          <w:sz w:val="20"/>
          <w:szCs w:val="20"/>
        </w:rPr>
      </w:pPr>
      <w:r w:rsidRPr="00EB7B5F">
        <w:rPr>
          <w:rStyle w:val="FootnoteReference"/>
          <w:rFonts w:ascii="Garamond" w:hAnsi="Garamond"/>
          <w:sz w:val="20"/>
          <w:szCs w:val="20"/>
        </w:rPr>
        <w:footnoteRef/>
      </w:r>
      <w:r w:rsidRPr="00EB7B5F">
        <w:rPr>
          <w:rFonts w:ascii="Garamond" w:hAnsi="Garamond"/>
          <w:sz w:val="20"/>
          <w:szCs w:val="20"/>
        </w:rPr>
        <w:t xml:space="preserve"> E.g., Australia (O’Brien, </w:t>
      </w:r>
      <w:r w:rsidR="00837621" w:rsidRPr="00EB7B5F">
        <w:rPr>
          <w:rFonts w:ascii="Garamond" w:hAnsi="Garamond"/>
          <w:sz w:val="20"/>
          <w:szCs w:val="20"/>
        </w:rPr>
        <w:t>ibid, (n.</w:t>
      </w:r>
      <w:r w:rsidR="00F37992" w:rsidRPr="00EB7B5F">
        <w:rPr>
          <w:rFonts w:ascii="Garamond" w:hAnsi="Garamond"/>
          <w:sz w:val="20"/>
          <w:szCs w:val="20"/>
        </w:rPr>
        <w:t>19</w:t>
      </w:r>
      <w:r w:rsidR="00837621" w:rsidRPr="00EB7B5F">
        <w:rPr>
          <w:rFonts w:ascii="Garamond" w:hAnsi="Garamond"/>
          <w:sz w:val="20"/>
          <w:szCs w:val="20"/>
        </w:rPr>
        <w:t>)</w:t>
      </w:r>
      <w:r w:rsidRPr="00EB7B5F">
        <w:rPr>
          <w:rFonts w:ascii="Garamond" w:hAnsi="Garamond"/>
          <w:sz w:val="20"/>
          <w:szCs w:val="20"/>
        </w:rPr>
        <w:t>, Ireland (</w:t>
      </w:r>
      <w:r w:rsidRPr="00EB7B5F">
        <w:rPr>
          <w:rFonts w:ascii="Garamond" w:hAnsi="Garamond" w:cs="AdvTTec369687"/>
          <w:sz w:val="20"/>
          <w:szCs w:val="20"/>
        </w:rPr>
        <w:t>N. Nelligan, ‘</w:t>
      </w:r>
      <w:r w:rsidRPr="00EB7B5F">
        <w:rPr>
          <w:rFonts w:ascii="Garamond" w:hAnsi="Garamond" w:cs="Times New Roman"/>
          <w:sz w:val="20"/>
          <w:szCs w:val="20"/>
        </w:rPr>
        <w:t>Medicinal cannabis and the law in Ireland - a critical evaluation of doctor-patient access to medicinal cannabis under the existing licensing rules and the Government's proposed enhanced access scheme’(2018) 24(2) MLJI 106)</w:t>
      </w:r>
      <w:r w:rsidRPr="00EB7B5F">
        <w:rPr>
          <w:rFonts w:ascii="Garamond" w:hAnsi="Garamond"/>
          <w:sz w:val="20"/>
          <w:szCs w:val="20"/>
        </w:rPr>
        <w:t>.</w:t>
      </w:r>
    </w:p>
  </w:footnote>
  <w:footnote w:id="72">
    <w:p w14:paraId="557B3F3F" w14:textId="76F39EB2" w:rsidR="00E033B3" w:rsidRDefault="00E033B3">
      <w:pPr>
        <w:pStyle w:val="FootnoteText"/>
      </w:pPr>
      <w:r w:rsidRPr="00EB7B5F">
        <w:rPr>
          <w:rStyle w:val="FootnoteReference"/>
          <w:rFonts w:ascii="Garamond" w:hAnsi="Garamond"/>
        </w:rPr>
        <w:footnoteRef/>
      </w:r>
      <w:r w:rsidRPr="00EB7B5F">
        <w:rPr>
          <w:rFonts w:ascii="Garamond" w:hAnsi="Garamond"/>
        </w:rPr>
        <w:t xml:space="preserve"> Se e</w:t>
      </w:r>
      <w:r w:rsidR="007C6A7C" w:rsidRPr="00EB7B5F">
        <w:rPr>
          <w:rFonts w:ascii="Garamond" w:hAnsi="Garamond"/>
        </w:rPr>
        <w:t>.</w:t>
      </w:r>
      <w:r w:rsidRPr="00EB7B5F">
        <w:rPr>
          <w:rFonts w:ascii="Garamond" w:hAnsi="Garamond"/>
        </w:rPr>
        <w:t xml:space="preserve">g. Evidence </w:t>
      </w:r>
      <w:r w:rsidR="003B1BBE" w:rsidRPr="00EB7B5F">
        <w:rPr>
          <w:rFonts w:ascii="Garamond" w:hAnsi="Garamond"/>
        </w:rPr>
        <w:t xml:space="preserve">recently gathered by New Zealand’s Ministry of Health usefully summarised </w:t>
      </w:r>
      <w:r w:rsidRPr="00EB7B5F">
        <w:rPr>
          <w:rFonts w:ascii="Garamond" w:hAnsi="Garamond"/>
        </w:rPr>
        <w:t xml:space="preserve">in </w:t>
      </w:r>
      <w:r w:rsidR="003B1BBE" w:rsidRPr="00EB7B5F">
        <w:rPr>
          <w:rFonts w:ascii="Garamond" w:hAnsi="Garamond"/>
        </w:rPr>
        <w:t xml:space="preserve">M. </w:t>
      </w:r>
      <w:proofErr w:type="spellStart"/>
      <w:r w:rsidR="003B1BBE" w:rsidRPr="00EB7B5F">
        <w:rPr>
          <w:rFonts w:ascii="Garamond" w:hAnsi="Garamond"/>
        </w:rPr>
        <w:t>Rychert</w:t>
      </w:r>
      <w:proofErr w:type="spellEnd"/>
      <w:r w:rsidR="003B1BBE" w:rsidRPr="00EB7B5F">
        <w:rPr>
          <w:rFonts w:ascii="Garamond" w:hAnsi="Garamond"/>
        </w:rPr>
        <w:t xml:space="preserve"> et al, </w:t>
      </w:r>
      <w:r w:rsidRPr="00EB7B5F">
        <w:rPr>
          <w:rFonts w:ascii="Garamond" w:hAnsi="Garamond"/>
        </w:rPr>
        <w:t>‘Medicinal Cannabis Scheme in New Zealand’ (2019) 1503 N</w:t>
      </w:r>
      <w:r w:rsidRPr="003B1BBE">
        <w:rPr>
          <w:rFonts w:ascii="Garamond" w:hAnsi="Garamond"/>
        </w:rPr>
        <w:t xml:space="preserve">ZMA </w:t>
      </w:r>
      <w:r w:rsidR="003B1BBE" w:rsidRPr="003B1BBE">
        <w:rPr>
          <w:rFonts w:ascii="Garamond" w:hAnsi="Garamond"/>
        </w:rPr>
        <w:t>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22F21"/>
    <w:multiLevelType w:val="multilevel"/>
    <w:tmpl w:val="948C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7679E5"/>
    <w:multiLevelType w:val="hybridMultilevel"/>
    <w:tmpl w:val="4D52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AA"/>
    <w:rsid w:val="000114AF"/>
    <w:rsid w:val="00012B2D"/>
    <w:rsid w:val="000142D1"/>
    <w:rsid w:val="000149D1"/>
    <w:rsid w:val="00020A38"/>
    <w:rsid w:val="000247EF"/>
    <w:rsid w:val="000273AF"/>
    <w:rsid w:val="000276DB"/>
    <w:rsid w:val="00027E24"/>
    <w:rsid w:val="0003258B"/>
    <w:rsid w:val="00032D8E"/>
    <w:rsid w:val="00033D5F"/>
    <w:rsid w:val="00034E30"/>
    <w:rsid w:val="00035A39"/>
    <w:rsid w:val="0003677D"/>
    <w:rsid w:val="00046587"/>
    <w:rsid w:val="00047B5B"/>
    <w:rsid w:val="00052D24"/>
    <w:rsid w:val="00060213"/>
    <w:rsid w:val="00071F34"/>
    <w:rsid w:val="000721E7"/>
    <w:rsid w:val="00072EAF"/>
    <w:rsid w:val="0009639E"/>
    <w:rsid w:val="000A58D3"/>
    <w:rsid w:val="000B0AAE"/>
    <w:rsid w:val="000B3C44"/>
    <w:rsid w:val="000B48CC"/>
    <w:rsid w:val="000B4F9B"/>
    <w:rsid w:val="000C4D98"/>
    <w:rsid w:val="000C6301"/>
    <w:rsid w:val="000C6A88"/>
    <w:rsid w:val="000D3279"/>
    <w:rsid w:val="001022CA"/>
    <w:rsid w:val="0011113F"/>
    <w:rsid w:val="00121FD5"/>
    <w:rsid w:val="001223FF"/>
    <w:rsid w:val="00122936"/>
    <w:rsid w:val="0012395E"/>
    <w:rsid w:val="0013070A"/>
    <w:rsid w:val="00132700"/>
    <w:rsid w:val="0013485D"/>
    <w:rsid w:val="00137B49"/>
    <w:rsid w:val="00147DBA"/>
    <w:rsid w:val="00150519"/>
    <w:rsid w:val="00151BB3"/>
    <w:rsid w:val="00172580"/>
    <w:rsid w:val="0017482E"/>
    <w:rsid w:val="00181CF5"/>
    <w:rsid w:val="00193900"/>
    <w:rsid w:val="0019418C"/>
    <w:rsid w:val="001A1636"/>
    <w:rsid w:val="001A1D16"/>
    <w:rsid w:val="001A253B"/>
    <w:rsid w:val="001A673D"/>
    <w:rsid w:val="001B0C91"/>
    <w:rsid w:val="001B249F"/>
    <w:rsid w:val="001B24AD"/>
    <w:rsid w:val="001B3634"/>
    <w:rsid w:val="001C292B"/>
    <w:rsid w:val="001C35C6"/>
    <w:rsid w:val="001C4014"/>
    <w:rsid w:val="001D0362"/>
    <w:rsid w:val="001E14D6"/>
    <w:rsid w:val="001E2879"/>
    <w:rsid w:val="001F418A"/>
    <w:rsid w:val="00205809"/>
    <w:rsid w:val="00216434"/>
    <w:rsid w:val="00226EAA"/>
    <w:rsid w:val="00230D86"/>
    <w:rsid w:val="002318EA"/>
    <w:rsid w:val="0023406F"/>
    <w:rsid w:val="00250356"/>
    <w:rsid w:val="00251A3D"/>
    <w:rsid w:val="00261D45"/>
    <w:rsid w:val="00274826"/>
    <w:rsid w:val="00281646"/>
    <w:rsid w:val="00287F94"/>
    <w:rsid w:val="002921B8"/>
    <w:rsid w:val="002A0E58"/>
    <w:rsid w:val="002A2C99"/>
    <w:rsid w:val="002A73DF"/>
    <w:rsid w:val="002C42BF"/>
    <w:rsid w:val="002F141C"/>
    <w:rsid w:val="002F2B68"/>
    <w:rsid w:val="003137BE"/>
    <w:rsid w:val="00335358"/>
    <w:rsid w:val="00351504"/>
    <w:rsid w:val="00370EDC"/>
    <w:rsid w:val="00374DE3"/>
    <w:rsid w:val="003B1BBE"/>
    <w:rsid w:val="003B21BF"/>
    <w:rsid w:val="003B2685"/>
    <w:rsid w:val="003B3188"/>
    <w:rsid w:val="003B3481"/>
    <w:rsid w:val="003B6FC4"/>
    <w:rsid w:val="003B7035"/>
    <w:rsid w:val="003C1AA6"/>
    <w:rsid w:val="003C20F3"/>
    <w:rsid w:val="003C2831"/>
    <w:rsid w:val="003C6B75"/>
    <w:rsid w:val="003C76B2"/>
    <w:rsid w:val="003C7A06"/>
    <w:rsid w:val="003D09AD"/>
    <w:rsid w:val="003D41FD"/>
    <w:rsid w:val="003E1FC2"/>
    <w:rsid w:val="003E3A24"/>
    <w:rsid w:val="003E4289"/>
    <w:rsid w:val="003F0449"/>
    <w:rsid w:val="003F0AD7"/>
    <w:rsid w:val="003F2E05"/>
    <w:rsid w:val="003F4668"/>
    <w:rsid w:val="003F5071"/>
    <w:rsid w:val="00403E93"/>
    <w:rsid w:val="00407246"/>
    <w:rsid w:val="00413C1C"/>
    <w:rsid w:val="00415091"/>
    <w:rsid w:val="00440E7E"/>
    <w:rsid w:val="00441F23"/>
    <w:rsid w:val="004446C1"/>
    <w:rsid w:val="00463157"/>
    <w:rsid w:val="004660A4"/>
    <w:rsid w:val="004735CD"/>
    <w:rsid w:val="004807AA"/>
    <w:rsid w:val="00485D62"/>
    <w:rsid w:val="00491BF7"/>
    <w:rsid w:val="004A4253"/>
    <w:rsid w:val="004A54A6"/>
    <w:rsid w:val="004B0BFF"/>
    <w:rsid w:val="004B4D7C"/>
    <w:rsid w:val="004C0D76"/>
    <w:rsid w:val="004D172E"/>
    <w:rsid w:val="004D7BAA"/>
    <w:rsid w:val="004E2016"/>
    <w:rsid w:val="004E45D4"/>
    <w:rsid w:val="004F035D"/>
    <w:rsid w:val="00505329"/>
    <w:rsid w:val="0051018A"/>
    <w:rsid w:val="0051064F"/>
    <w:rsid w:val="00530CBF"/>
    <w:rsid w:val="0053320A"/>
    <w:rsid w:val="0053488B"/>
    <w:rsid w:val="005456F3"/>
    <w:rsid w:val="005565F5"/>
    <w:rsid w:val="00566E1B"/>
    <w:rsid w:val="00571009"/>
    <w:rsid w:val="00572EA5"/>
    <w:rsid w:val="00573AEA"/>
    <w:rsid w:val="0058365F"/>
    <w:rsid w:val="005875D9"/>
    <w:rsid w:val="0059495E"/>
    <w:rsid w:val="005A0DF1"/>
    <w:rsid w:val="005A3B86"/>
    <w:rsid w:val="005A6BB2"/>
    <w:rsid w:val="005C0BD9"/>
    <w:rsid w:val="005C6F92"/>
    <w:rsid w:val="005D5E41"/>
    <w:rsid w:val="005E45AB"/>
    <w:rsid w:val="005F466B"/>
    <w:rsid w:val="00607716"/>
    <w:rsid w:val="00607B46"/>
    <w:rsid w:val="00613C2E"/>
    <w:rsid w:val="00617EF5"/>
    <w:rsid w:val="00620017"/>
    <w:rsid w:val="00621902"/>
    <w:rsid w:val="00626F29"/>
    <w:rsid w:val="00630A15"/>
    <w:rsid w:val="00644A2B"/>
    <w:rsid w:val="00661C7E"/>
    <w:rsid w:val="00662C74"/>
    <w:rsid w:val="006639C3"/>
    <w:rsid w:val="006672E4"/>
    <w:rsid w:val="00671E5E"/>
    <w:rsid w:val="006923D8"/>
    <w:rsid w:val="0069306F"/>
    <w:rsid w:val="006B24B5"/>
    <w:rsid w:val="006B296C"/>
    <w:rsid w:val="006B43A8"/>
    <w:rsid w:val="006C7D55"/>
    <w:rsid w:val="006D23C7"/>
    <w:rsid w:val="006D3972"/>
    <w:rsid w:val="006D3FC5"/>
    <w:rsid w:val="006D4650"/>
    <w:rsid w:val="006D6C66"/>
    <w:rsid w:val="006E0B40"/>
    <w:rsid w:val="006E3373"/>
    <w:rsid w:val="006E6091"/>
    <w:rsid w:val="006E643A"/>
    <w:rsid w:val="006F2ED5"/>
    <w:rsid w:val="006F748D"/>
    <w:rsid w:val="007063E4"/>
    <w:rsid w:val="00706DC9"/>
    <w:rsid w:val="0071761E"/>
    <w:rsid w:val="007210AD"/>
    <w:rsid w:val="00721103"/>
    <w:rsid w:val="007314B5"/>
    <w:rsid w:val="00734F5E"/>
    <w:rsid w:val="00737D02"/>
    <w:rsid w:val="00740AFC"/>
    <w:rsid w:val="007426B6"/>
    <w:rsid w:val="00743466"/>
    <w:rsid w:val="00744A30"/>
    <w:rsid w:val="00744C35"/>
    <w:rsid w:val="00747C3B"/>
    <w:rsid w:val="0075723F"/>
    <w:rsid w:val="00763C7F"/>
    <w:rsid w:val="0077172C"/>
    <w:rsid w:val="00773E47"/>
    <w:rsid w:val="00781E18"/>
    <w:rsid w:val="00784491"/>
    <w:rsid w:val="007B19A6"/>
    <w:rsid w:val="007B7136"/>
    <w:rsid w:val="007C3CCB"/>
    <w:rsid w:val="007C3F87"/>
    <w:rsid w:val="007C6A7C"/>
    <w:rsid w:val="007C6B91"/>
    <w:rsid w:val="007C7691"/>
    <w:rsid w:val="007D13D0"/>
    <w:rsid w:val="007D2698"/>
    <w:rsid w:val="007D4253"/>
    <w:rsid w:val="007D6DF1"/>
    <w:rsid w:val="007E07F4"/>
    <w:rsid w:val="007E4B45"/>
    <w:rsid w:val="007F1472"/>
    <w:rsid w:val="008056B9"/>
    <w:rsid w:val="00813047"/>
    <w:rsid w:val="0081437D"/>
    <w:rsid w:val="00820B89"/>
    <w:rsid w:val="008224DA"/>
    <w:rsid w:val="008229FD"/>
    <w:rsid w:val="00837621"/>
    <w:rsid w:val="00843383"/>
    <w:rsid w:val="008472BB"/>
    <w:rsid w:val="0084740B"/>
    <w:rsid w:val="0086161F"/>
    <w:rsid w:val="00863FDA"/>
    <w:rsid w:val="00870453"/>
    <w:rsid w:val="0087646B"/>
    <w:rsid w:val="00881FD1"/>
    <w:rsid w:val="008826C1"/>
    <w:rsid w:val="00884C48"/>
    <w:rsid w:val="00887F12"/>
    <w:rsid w:val="0089286D"/>
    <w:rsid w:val="008945AC"/>
    <w:rsid w:val="00895793"/>
    <w:rsid w:val="008959B0"/>
    <w:rsid w:val="00896290"/>
    <w:rsid w:val="00896DD1"/>
    <w:rsid w:val="008A28A3"/>
    <w:rsid w:val="008B0BDD"/>
    <w:rsid w:val="008D57EF"/>
    <w:rsid w:val="008D77DF"/>
    <w:rsid w:val="008E40C5"/>
    <w:rsid w:val="008E66AF"/>
    <w:rsid w:val="008F6E4E"/>
    <w:rsid w:val="0090146F"/>
    <w:rsid w:val="0090524D"/>
    <w:rsid w:val="00906C08"/>
    <w:rsid w:val="00906EB5"/>
    <w:rsid w:val="00916F1E"/>
    <w:rsid w:val="00930091"/>
    <w:rsid w:val="00934FF8"/>
    <w:rsid w:val="00937BFC"/>
    <w:rsid w:val="00953F7A"/>
    <w:rsid w:val="00954CBD"/>
    <w:rsid w:val="009622AD"/>
    <w:rsid w:val="00967077"/>
    <w:rsid w:val="00973342"/>
    <w:rsid w:val="0098223F"/>
    <w:rsid w:val="009822AE"/>
    <w:rsid w:val="00991BEF"/>
    <w:rsid w:val="009949E3"/>
    <w:rsid w:val="00996A8E"/>
    <w:rsid w:val="009A348A"/>
    <w:rsid w:val="009A641D"/>
    <w:rsid w:val="009A72A3"/>
    <w:rsid w:val="009B120D"/>
    <w:rsid w:val="009B2049"/>
    <w:rsid w:val="009B4D97"/>
    <w:rsid w:val="009B7212"/>
    <w:rsid w:val="009B7CD9"/>
    <w:rsid w:val="009C0C12"/>
    <w:rsid w:val="009C1312"/>
    <w:rsid w:val="009C13CE"/>
    <w:rsid w:val="009D7B34"/>
    <w:rsid w:val="009E2046"/>
    <w:rsid w:val="009E6A38"/>
    <w:rsid w:val="00A0555D"/>
    <w:rsid w:val="00A07E2C"/>
    <w:rsid w:val="00A14649"/>
    <w:rsid w:val="00A25944"/>
    <w:rsid w:val="00A36C3A"/>
    <w:rsid w:val="00A47EEF"/>
    <w:rsid w:val="00A51D8F"/>
    <w:rsid w:val="00A51D9B"/>
    <w:rsid w:val="00A520A3"/>
    <w:rsid w:val="00A53A0A"/>
    <w:rsid w:val="00A55C75"/>
    <w:rsid w:val="00A61E06"/>
    <w:rsid w:val="00A64FF4"/>
    <w:rsid w:val="00A71260"/>
    <w:rsid w:val="00A71BFA"/>
    <w:rsid w:val="00A8640B"/>
    <w:rsid w:val="00A92D46"/>
    <w:rsid w:val="00A97027"/>
    <w:rsid w:val="00AA3ACF"/>
    <w:rsid w:val="00AB0350"/>
    <w:rsid w:val="00AB31A6"/>
    <w:rsid w:val="00AB46FD"/>
    <w:rsid w:val="00AB5C7B"/>
    <w:rsid w:val="00AC62E2"/>
    <w:rsid w:val="00AC7525"/>
    <w:rsid w:val="00AD36E6"/>
    <w:rsid w:val="00AD5514"/>
    <w:rsid w:val="00AE247C"/>
    <w:rsid w:val="00AE26E1"/>
    <w:rsid w:val="00AF5466"/>
    <w:rsid w:val="00B00061"/>
    <w:rsid w:val="00B03A38"/>
    <w:rsid w:val="00B079C3"/>
    <w:rsid w:val="00B07BC3"/>
    <w:rsid w:val="00B141FF"/>
    <w:rsid w:val="00B14C53"/>
    <w:rsid w:val="00B26BDC"/>
    <w:rsid w:val="00B30603"/>
    <w:rsid w:val="00B361D9"/>
    <w:rsid w:val="00B71474"/>
    <w:rsid w:val="00B7258E"/>
    <w:rsid w:val="00B80955"/>
    <w:rsid w:val="00B82F69"/>
    <w:rsid w:val="00B8423F"/>
    <w:rsid w:val="00B95741"/>
    <w:rsid w:val="00B9595D"/>
    <w:rsid w:val="00B962AF"/>
    <w:rsid w:val="00BB0236"/>
    <w:rsid w:val="00BB6871"/>
    <w:rsid w:val="00BB6911"/>
    <w:rsid w:val="00BD1892"/>
    <w:rsid w:val="00BD45CC"/>
    <w:rsid w:val="00BD4C10"/>
    <w:rsid w:val="00BE3D9F"/>
    <w:rsid w:val="00BE4297"/>
    <w:rsid w:val="00BE63F8"/>
    <w:rsid w:val="00BF3D08"/>
    <w:rsid w:val="00BF4EC9"/>
    <w:rsid w:val="00BF641F"/>
    <w:rsid w:val="00C070A6"/>
    <w:rsid w:val="00C20E1F"/>
    <w:rsid w:val="00C22339"/>
    <w:rsid w:val="00C433D5"/>
    <w:rsid w:val="00C45288"/>
    <w:rsid w:val="00C468B7"/>
    <w:rsid w:val="00C50995"/>
    <w:rsid w:val="00C53363"/>
    <w:rsid w:val="00C54F4C"/>
    <w:rsid w:val="00C61FCA"/>
    <w:rsid w:val="00C66A04"/>
    <w:rsid w:val="00C66A18"/>
    <w:rsid w:val="00C811A7"/>
    <w:rsid w:val="00C952BB"/>
    <w:rsid w:val="00CB3267"/>
    <w:rsid w:val="00CB70EE"/>
    <w:rsid w:val="00CC76A5"/>
    <w:rsid w:val="00CD2C36"/>
    <w:rsid w:val="00CD33BF"/>
    <w:rsid w:val="00CE5002"/>
    <w:rsid w:val="00CF20CC"/>
    <w:rsid w:val="00CF6BAE"/>
    <w:rsid w:val="00D014E9"/>
    <w:rsid w:val="00D018D3"/>
    <w:rsid w:val="00D04AA8"/>
    <w:rsid w:val="00D065E0"/>
    <w:rsid w:val="00D1132B"/>
    <w:rsid w:val="00D11C46"/>
    <w:rsid w:val="00D12957"/>
    <w:rsid w:val="00D13C40"/>
    <w:rsid w:val="00D20366"/>
    <w:rsid w:val="00D22873"/>
    <w:rsid w:val="00D228DD"/>
    <w:rsid w:val="00D2297C"/>
    <w:rsid w:val="00D27A3F"/>
    <w:rsid w:val="00D27DA7"/>
    <w:rsid w:val="00D3281A"/>
    <w:rsid w:val="00D349D1"/>
    <w:rsid w:val="00D411C1"/>
    <w:rsid w:val="00D47C75"/>
    <w:rsid w:val="00D507FF"/>
    <w:rsid w:val="00D50ECF"/>
    <w:rsid w:val="00D5128A"/>
    <w:rsid w:val="00D51C96"/>
    <w:rsid w:val="00D64278"/>
    <w:rsid w:val="00DA3FAA"/>
    <w:rsid w:val="00DA46BF"/>
    <w:rsid w:val="00DA4B8E"/>
    <w:rsid w:val="00DA58C7"/>
    <w:rsid w:val="00DA6F00"/>
    <w:rsid w:val="00DB0EE4"/>
    <w:rsid w:val="00DB7775"/>
    <w:rsid w:val="00DC780F"/>
    <w:rsid w:val="00DC7827"/>
    <w:rsid w:val="00DE367C"/>
    <w:rsid w:val="00DE5DEF"/>
    <w:rsid w:val="00DF1198"/>
    <w:rsid w:val="00DF2C80"/>
    <w:rsid w:val="00DF4471"/>
    <w:rsid w:val="00DF68B0"/>
    <w:rsid w:val="00E013A6"/>
    <w:rsid w:val="00E033B3"/>
    <w:rsid w:val="00E047FF"/>
    <w:rsid w:val="00E07435"/>
    <w:rsid w:val="00E11DD9"/>
    <w:rsid w:val="00E142CC"/>
    <w:rsid w:val="00E14549"/>
    <w:rsid w:val="00E1492A"/>
    <w:rsid w:val="00E15424"/>
    <w:rsid w:val="00E27477"/>
    <w:rsid w:val="00E35ACA"/>
    <w:rsid w:val="00E40283"/>
    <w:rsid w:val="00E413B4"/>
    <w:rsid w:val="00E42130"/>
    <w:rsid w:val="00E53750"/>
    <w:rsid w:val="00E55ACC"/>
    <w:rsid w:val="00E565AD"/>
    <w:rsid w:val="00E57CB2"/>
    <w:rsid w:val="00E75F74"/>
    <w:rsid w:val="00E776C5"/>
    <w:rsid w:val="00E81C44"/>
    <w:rsid w:val="00E83928"/>
    <w:rsid w:val="00E950FE"/>
    <w:rsid w:val="00E970A5"/>
    <w:rsid w:val="00EA620F"/>
    <w:rsid w:val="00EA754C"/>
    <w:rsid w:val="00EB0402"/>
    <w:rsid w:val="00EB2F07"/>
    <w:rsid w:val="00EB49FA"/>
    <w:rsid w:val="00EB7B5F"/>
    <w:rsid w:val="00EC288A"/>
    <w:rsid w:val="00EC3E39"/>
    <w:rsid w:val="00ED0617"/>
    <w:rsid w:val="00EE3D6B"/>
    <w:rsid w:val="00EF316C"/>
    <w:rsid w:val="00EF50DC"/>
    <w:rsid w:val="00F03BBD"/>
    <w:rsid w:val="00F05FA3"/>
    <w:rsid w:val="00F0672E"/>
    <w:rsid w:val="00F0772C"/>
    <w:rsid w:val="00F11619"/>
    <w:rsid w:val="00F1310B"/>
    <w:rsid w:val="00F17F71"/>
    <w:rsid w:val="00F3190C"/>
    <w:rsid w:val="00F31AED"/>
    <w:rsid w:val="00F35FD1"/>
    <w:rsid w:val="00F370E9"/>
    <w:rsid w:val="00F3723D"/>
    <w:rsid w:val="00F37992"/>
    <w:rsid w:val="00F4337B"/>
    <w:rsid w:val="00F540C0"/>
    <w:rsid w:val="00F54F92"/>
    <w:rsid w:val="00F60DB5"/>
    <w:rsid w:val="00F64649"/>
    <w:rsid w:val="00F646B0"/>
    <w:rsid w:val="00F665E0"/>
    <w:rsid w:val="00F726D4"/>
    <w:rsid w:val="00F92C0F"/>
    <w:rsid w:val="00FA01D1"/>
    <w:rsid w:val="00FB5906"/>
    <w:rsid w:val="00FC3CCA"/>
    <w:rsid w:val="00FC3DEC"/>
    <w:rsid w:val="00FD2013"/>
    <w:rsid w:val="00FD494D"/>
    <w:rsid w:val="00FD4F52"/>
    <w:rsid w:val="00FD7A63"/>
    <w:rsid w:val="00FE5C27"/>
    <w:rsid w:val="00FF0BD7"/>
    <w:rsid w:val="00FF0D5F"/>
    <w:rsid w:val="00FF2717"/>
    <w:rsid w:val="00FF5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60C45"/>
  <w15:chartTrackingRefBased/>
  <w15:docId w15:val="{14326C8F-CC23-406B-960A-D968E525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color w:val="000000" w:themeColor="text1"/>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54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D4F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4F52"/>
    <w:rPr>
      <w:sz w:val="20"/>
      <w:szCs w:val="20"/>
    </w:rPr>
  </w:style>
  <w:style w:type="character" w:styleId="FootnoteReference">
    <w:name w:val="footnote reference"/>
    <w:basedOn w:val="DefaultParagraphFont"/>
    <w:uiPriority w:val="99"/>
    <w:semiHidden/>
    <w:unhideWhenUsed/>
    <w:rsid w:val="00FD4F52"/>
    <w:rPr>
      <w:vertAlign w:val="superscript"/>
    </w:rPr>
  </w:style>
  <w:style w:type="character" w:customStyle="1" w:styleId="Heading1Char">
    <w:name w:val="Heading 1 Char"/>
    <w:basedOn w:val="DefaultParagraphFont"/>
    <w:link w:val="Heading1"/>
    <w:uiPriority w:val="9"/>
    <w:rsid w:val="004A54A6"/>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881FD1"/>
    <w:rPr>
      <w:color w:val="0000FF"/>
      <w:u w:val="single"/>
    </w:rPr>
  </w:style>
  <w:style w:type="character" w:customStyle="1" w:styleId="title-text">
    <w:name w:val="title-text"/>
    <w:basedOn w:val="DefaultParagraphFont"/>
    <w:rsid w:val="009C1312"/>
  </w:style>
  <w:style w:type="character" w:styleId="Strong">
    <w:name w:val="Strong"/>
    <w:basedOn w:val="DefaultParagraphFont"/>
    <w:uiPriority w:val="22"/>
    <w:qFormat/>
    <w:rsid w:val="001B249F"/>
    <w:rPr>
      <w:b/>
      <w:bCs/>
    </w:rPr>
  </w:style>
  <w:style w:type="character" w:customStyle="1" w:styleId="UnresolvedMention1">
    <w:name w:val="Unresolved Mention1"/>
    <w:basedOn w:val="DefaultParagraphFont"/>
    <w:uiPriority w:val="99"/>
    <w:semiHidden/>
    <w:unhideWhenUsed/>
    <w:rsid w:val="00607B46"/>
    <w:rPr>
      <w:color w:val="605E5C"/>
      <w:shd w:val="clear" w:color="auto" w:fill="E1DFDD"/>
    </w:rPr>
  </w:style>
  <w:style w:type="character" w:styleId="Emphasis">
    <w:name w:val="Emphasis"/>
    <w:basedOn w:val="DefaultParagraphFont"/>
    <w:uiPriority w:val="20"/>
    <w:qFormat/>
    <w:rsid w:val="004D7BAA"/>
    <w:rPr>
      <w:i/>
      <w:iCs/>
    </w:rPr>
  </w:style>
  <w:style w:type="paragraph" w:customStyle="1" w:styleId="legclearfix">
    <w:name w:val="legclearfix"/>
    <w:basedOn w:val="Normal"/>
    <w:rsid w:val="00B07BC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legds">
    <w:name w:val="legds"/>
    <w:basedOn w:val="DefaultParagraphFont"/>
    <w:rsid w:val="00B07BC3"/>
  </w:style>
  <w:style w:type="paragraph" w:styleId="Header">
    <w:name w:val="header"/>
    <w:basedOn w:val="Normal"/>
    <w:link w:val="HeaderChar"/>
    <w:uiPriority w:val="99"/>
    <w:unhideWhenUsed/>
    <w:rsid w:val="00230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D86"/>
  </w:style>
  <w:style w:type="paragraph" w:styleId="Footer">
    <w:name w:val="footer"/>
    <w:basedOn w:val="Normal"/>
    <w:link w:val="FooterChar"/>
    <w:uiPriority w:val="99"/>
    <w:unhideWhenUsed/>
    <w:rsid w:val="00230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D86"/>
  </w:style>
  <w:style w:type="paragraph" w:styleId="BalloonText">
    <w:name w:val="Balloon Text"/>
    <w:basedOn w:val="Normal"/>
    <w:link w:val="BalloonTextChar"/>
    <w:uiPriority w:val="99"/>
    <w:semiHidden/>
    <w:unhideWhenUsed/>
    <w:rsid w:val="00996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A8E"/>
    <w:rPr>
      <w:rFonts w:ascii="Segoe UI" w:hAnsi="Segoe UI" w:cs="Segoe UI"/>
      <w:sz w:val="18"/>
      <w:szCs w:val="18"/>
    </w:rPr>
  </w:style>
  <w:style w:type="paragraph" w:customStyle="1" w:styleId="Default">
    <w:name w:val="Default"/>
    <w:rsid w:val="001A253B"/>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styleId="UnresolvedMention">
    <w:name w:val="Unresolved Mention"/>
    <w:basedOn w:val="DefaultParagraphFont"/>
    <w:uiPriority w:val="99"/>
    <w:semiHidden/>
    <w:unhideWhenUsed/>
    <w:rsid w:val="00781E18"/>
    <w:rPr>
      <w:color w:val="605E5C"/>
      <w:shd w:val="clear" w:color="auto" w:fill="E1DFDD"/>
    </w:rPr>
  </w:style>
  <w:style w:type="paragraph" w:styleId="ListParagraph">
    <w:name w:val="List Paragraph"/>
    <w:basedOn w:val="Normal"/>
    <w:uiPriority w:val="34"/>
    <w:qFormat/>
    <w:rsid w:val="00DF68B0"/>
    <w:pPr>
      <w:ind w:left="720"/>
      <w:contextualSpacing/>
    </w:pPr>
  </w:style>
  <w:style w:type="character" w:styleId="FollowedHyperlink">
    <w:name w:val="FollowedHyperlink"/>
    <w:basedOn w:val="DefaultParagraphFont"/>
    <w:uiPriority w:val="99"/>
    <w:semiHidden/>
    <w:unhideWhenUsed/>
    <w:rsid w:val="004E45D4"/>
    <w:rPr>
      <w:color w:val="800080" w:themeColor="followedHyperlink"/>
      <w:u w:val="single"/>
    </w:rPr>
  </w:style>
  <w:style w:type="paragraph" w:styleId="NormalWeb">
    <w:name w:val="Normal (Web)"/>
    <w:basedOn w:val="Normal"/>
    <w:uiPriority w:val="99"/>
    <w:unhideWhenUsed/>
    <w:rsid w:val="00C50995"/>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D04AA8"/>
    <w:rPr>
      <w:sz w:val="16"/>
      <w:szCs w:val="16"/>
    </w:rPr>
  </w:style>
  <w:style w:type="paragraph" w:styleId="CommentText">
    <w:name w:val="annotation text"/>
    <w:basedOn w:val="Normal"/>
    <w:link w:val="CommentTextChar"/>
    <w:uiPriority w:val="99"/>
    <w:semiHidden/>
    <w:unhideWhenUsed/>
    <w:rsid w:val="00D04AA8"/>
    <w:pPr>
      <w:spacing w:line="240" w:lineRule="auto"/>
    </w:pPr>
    <w:rPr>
      <w:sz w:val="20"/>
      <w:szCs w:val="20"/>
    </w:rPr>
  </w:style>
  <w:style w:type="character" w:customStyle="1" w:styleId="CommentTextChar">
    <w:name w:val="Comment Text Char"/>
    <w:basedOn w:val="DefaultParagraphFont"/>
    <w:link w:val="CommentText"/>
    <w:uiPriority w:val="99"/>
    <w:semiHidden/>
    <w:rsid w:val="00D04AA8"/>
    <w:rPr>
      <w:sz w:val="20"/>
      <w:szCs w:val="20"/>
    </w:rPr>
  </w:style>
  <w:style w:type="paragraph" w:styleId="CommentSubject">
    <w:name w:val="annotation subject"/>
    <w:basedOn w:val="CommentText"/>
    <w:next w:val="CommentText"/>
    <w:link w:val="CommentSubjectChar"/>
    <w:uiPriority w:val="99"/>
    <w:semiHidden/>
    <w:unhideWhenUsed/>
    <w:rsid w:val="00D04AA8"/>
    <w:rPr>
      <w:b/>
      <w:bCs/>
    </w:rPr>
  </w:style>
  <w:style w:type="character" w:customStyle="1" w:styleId="CommentSubjectChar">
    <w:name w:val="Comment Subject Char"/>
    <w:basedOn w:val="CommentTextChar"/>
    <w:link w:val="CommentSubject"/>
    <w:uiPriority w:val="99"/>
    <w:semiHidden/>
    <w:rsid w:val="00D04A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226496">
      <w:bodyDiv w:val="1"/>
      <w:marLeft w:val="0"/>
      <w:marRight w:val="0"/>
      <w:marTop w:val="0"/>
      <w:marBottom w:val="0"/>
      <w:divBdr>
        <w:top w:val="none" w:sz="0" w:space="0" w:color="auto"/>
        <w:left w:val="none" w:sz="0" w:space="0" w:color="auto"/>
        <w:bottom w:val="none" w:sz="0" w:space="0" w:color="auto"/>
        <w:right w:val="none" w:sz="0" w:space="0" w:color="auto"/>
      </w:divBdr>
    </w:div>
    <w:div w:id="507448713">
      <w:bodyDiv w:val="1"/>
      <w:marLeft w:val="0"/>
      <w:marRight w:val="0"/>
      <w:marTop w:val="0"/>
      <w:marBottom w:val="0"/>
      <w:divBdr>
        <w:top w:val="none" w:sz="0" w:space="0" w:color="auto"/>
        <w:left w:val="none" w:sz="0" w:space="0" w:color="auto"/>
        <w:bottom w:val="none" w:sz="0" w:space="0" w:color="auto"/>
        <w:right w:val="none" w:sz="0" w:space="0" w:color="auto"/>
      </w:divBdr>
    </w:div>
    <w:div w:id="105331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ice.org.uk/about/what-we-do/our-programmes/nice-guidance/nice-guidelines/making-decisions-using-nice-guidelines" TargetMode="External"/><Relationship Id="rId7" Type="http://schemas.openxmlformats.org/officeDocument/2006/relationships/hyperlink" Target="https://www.nhs.uk/conditions/medical-cannabis/" TargetMode="External"/><Relationship Id="rId2" Type="http://schemas.openxmlformats.org/officeDocument/2006/relationships/hyperlink" Target="https://www.nice.org.uk/guidance/indevelopment/gid-ta10410/documents" TargetMode="External"/><Relationship Id="rId1" Type="http://schemas.openxmlformats.org/officeDocument/2006/relationships/hyperlink" Target="https://drugscience.org.uk/project-twenty21/" TargetMode="External"/><Relationship Id="rId6" Type="http://schemas.openxmlformats.org/officeDocument/2006/relationships/hyperlink" Target="https://www.england.nhs.uk/medicines/support-for-prescribers/cannabis-based-products-for-medicinal-use/cannabis-based-products-for-medicinal-use-frequently-asked-questions/" TargetMode="External"/><Relationship Id="rId5" Type="http://schemas.openxmlformats.org/officeDocument/2006/relationships/hyperlink" Target="https://themedicalcannabisclinics.com/faqs/" TargetMode="External"/><Relationship Id="rId4" Type="http://schemas.openxmlformats.org/officeDocument/2006/relationships/hyperlink" Target="https://publications.parliament.uk/pa/cm201719/cmselect/cmhealth/1821/1821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4CE74-A625-4073-A43C-0CDC8D57A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3576</Words>
  <Characters>20386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Case</dc:creator>
  <cp:keywords/>
  <dc:description/>
  <cp:lastModifiedBy>Paula Case</cp:lastModifiedBy>
  <cp:revision>3</cp:revision>
  <cp:lastPrinted>2019-11-18T14:27:00Z</cp:lastPrinted>
  <dcterms:created xsi:type="dcterms:W3CDTF">2020-01-02T19:59:00Z</dcterms:created>
  <dcterms:modified xsi:type="dcterms:W3CDTF">2020-01-02T20:03:00Z</dcterms:modified>
</cp:coreProperties>
</file>