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49325" w14:textId="77777777" w:rsidR="000A2775" w:rsidRDefault="000A2775" w:rsidP="000A2775">
      <w:pPr>
        <w:pStyle w:val="Default"/>
        <w:spacing w:line="480" w:lineRule="auto"/>
        <w:jc w:val="center"/>
        <w:rPr>
          <w:rFonts w:eastAsia="DFKai-SB"/>
          <w:b/>
          <w:color w:val="auto"/>
        </w:rPr>
      </w:pPr>
      <w:bookmarkStart w:id="0" w:name="_GoBack"/>
      <w:bookmarkEnd w:id="0"/>
      <w:r w:rsidRPr="00DD78DF">
        <w:rPr>
          <w:rFonts w:eastAsia="DFKai-SB"/>
          <w:b/>
          <w:color w:val="auto"/>
        </w:rPr>
        <w:t>A Study of Adaptive Gambling Behavior of Casino Employees in Maca</w:t>
      </w:r>
      <w:r>
        <w:rPr>
          <w:rFonts w:eastAsia="DFKai-SB"/>
          <w:b/>
          <w:color w:val="auto"/>
        </w:rPr>
        <w:t>u</w:t>
      </w:r>
    </w:p>
    <w:p w14:paraId="53BDD20D" w14:textId="77777777" w:rsidR="000A2775" w:rsidRPr="00DD78DF" w:rsidRDefault="000A2775" w:rsidP="000A2775">
      <w:pPr>
        <w:pStyle w:val="Default"/>
        <w:spacing w:line="480" w:lineRule="auto"/>
        <w:jc w:val="center"/>
        <w:rPr>
          <w:rFonts w:eastAsia="DFKai-SB"/>
          <w:b/>
          <w:color w:val="auto"/>
        </w:rPr>
      </w:pPr>
    </w:p>
    <w:p w14:paraId="34300DDF" w14:textId="77777777" w:rsidR="000A2775" w:rsidRPr="00DD78DF" w:rsidRDefault="000A2775" w:rsidP="000A2775">
      <w:pPr>
        <w:jc w:val="center"/>
        <w:rPr>
          <w:rFonts w:ascii="Times New Roman" w:eastAsia="DengXian" w:hAnsi="Times New Roman" w:cs="Times New Roman"/>
          <w:szCs w:val="24"/>
          <w:lang w:eastAsia="zh-CN"/>
        </w:rPr>
      </w:pPr>
      <w:r w:rsidRPr="00DD78DF">
        <w:rPr>
          <w:rFonts w:ascii="Times New Roman" w:eastAsia="DengXian" w:hAnsi="Times New Roman" w:cs="Times New Roman"/>
          <w:szCs w:val="24"/>
          <w:lang w:eastAsia="zh-CN"/>
        </w:rPr>
        <w:t>Zhonglu Z</w:t>
      </w:r>
      <w:r>
        <w:rPr>
          <w:rFonts w:ascii="Times New Roman" w:eastAsia="DengXian" w:hAnsi="Times New Roman" w:cs="Times New Roman"/>
          <w:szCs w:val="24"/>
          <w:lang w:eastAsia="zh-CN"/>
        </w:rPr>
        <w:t>eng</w:t>
      </w:r>
    </w:p>
    <w:p w14:paraId="3290F2FD" w14:textId="77777777" w:rsidR="000A2775" w:rsidRPr="00DD78DF" w:rsidRDefault="000A2775" w:rsidP="000A2775">
      <w:pPr>
        <w:jc w:val="center"/>
        <w:rPr>
          <w:rFonts w:ascii="Times New Roman" w:eastAsia="DengXian" w:hAnsi="Times New Roman" w:cs="Times New Roman"/>
          <w:szCs w:val="24"/>
          <w:lang w:eastAsia="zh-CN"/>
        </w:rPr>
      </w:pPr>
      <w:r w:rsidRPr="00DD78DF">
        <w:rPr>
          <w:rFonts w:ascii="Times New Roman" w:eastAsia="DengXian" w:hAnsi="Times New Roman" w:cs="Times New Roman"/>
          <w:szCs w:val="24"/>
          <w:lang w:eastAsia="zh-CN"/>
        </w:rPr>
        <w:t>Macao Polytechnic Institute</w:t>
      </w:r>
    </w:p>
    <w:p w14:paraId="7DC6989E" w14:textId="77777777" w:rsidR="000A2775" w:rsidRPr="00DD78DF" w:rsidRDefault="000A2775" w:rsidP="000A2775">
      <w:pPr>
        <w:jc w:val="center"/>
        <w:rPr>
          <w:rFonts w:ascii="Times New Roman" w:eastAsia="DengXian" w:hAnsi="Times New Roman" w:cs="Times New Roman"/>
          <w:szCs w:val="24"/>
          <w:lang w:eastAsia="zh-CN"/>
        </w:rPr>
      </w:pPr>
      <w:r w:rsidRPr="00DD78DF">
        <w:rPr>
          <w:rFonts w:ascii="Times New Roman" w:eastAsia="DengXian" w:hAnsi="Times New Roman" w:cs="Times New Roman"/>
          <w:szCs w:val="24"/>
          <w:lang w:eastAsia="zh-CN"/>
        </w:rPr>
        <w:t>Maca</w:t>
      </w:r>
      <w:r>
        <w:rPr>
          <w:rFonts w:ascii="Times New Roman" w:eastAsia="DengXian" w:hAnsi="Times New Roman" w:cs="Times New Roman"/>
          <w:szCs w:val="24"/>
          <w:lang w:eastAsia="zh-CN"/>
        </w:rPr>
        <w:t>u, SAR China</w:t>
      </w:r>
    </w:p>
    <w:p w14:paraId="46D9D4E4" w14:textId="77777777" w:rsidR="000A2775" w:rsidRPr="00DD78DF" w:rsidRDefault="000A2775" w:rsidP="000A2775">
      <w:pPr>
        <w:jc w:val="center"/>
        <w:rPr>
          <w:rFonts w:ascii="Times New Roman" w:eastAsia="DengXian" w:hAnsi="Times New Roman" w:cs="Times New Roman"/>
          <w:szCs w:val="24"/>
          <w:lang w:eastAsia="zh-CN"/>
        </w:rPr>
      </w:pPr>
      <w:r w:rsidRPr="00DD78DF">
        <w:rPr>
          <w:rFonts w:ascii="Times New Roman" w:eastAsia="DengXian" w:hAnsi="Times New Roman" w:cs="Times New Roman"/>
          <w:szCs w:val="24"/>
          <w:lang w:eastAsia="zh-CN"/>
        </w:rPr>
        <w:t>Email: zlzeng@ipm.edu.mo</w:t>
      </w:r>
    </w:p>
    <w:p w14:paraId="2DC91375" w14:textId="77777777" w:rsidR="000A2775" w:rsidRPr="00DD78DF" w:rsidRDefault="000A2775" w:rsidP="000A2775">
      <w:pPr>
        <w:jc w:val="center"/>
        <w:rPr>
          <w:rFonts w:ascii="Times New Roman" w:eastAsia="DengXian" w:hAnsi="Times New Roman" w:cs="Times New Roman"/>
          <w:szCs w:val="24"/>
          <w:lang w:eastAsia="zh-CN"/>
        </w:rPr>
      </w:pPr>
    </w:p>
    <w:p w14:paraId="15FC472C" w14:textId="77777777" w:rsidR="000A2775" w:rsidRPr="00DD78DF" w:rsidRDefault="000A2775" w:rsidP="000A2775">
      <w:pPr>
        <w:jc w:val="center"/>
        <w:rPr>
          <w:rFonts w:ascii="Times New Roman" w:eastAsia="DengXian" w:hAnsi="Times New Roman" w:cs="Times New Roman"/>
          <w:szCs w:val="24"/>
          <w:lang w:eastAsia="zh-CN"/>
        </w:rPr>
      </w:pPr>
      <w:r w:rsidRPr="00DD78DF">
        <w:rPr>
          <w:rFonts w:ascii="Times New Roman" w:eastAsia="DengXian" w:hAnsi="Times New Roman" w:cs="Times New Roman"/>
          <w:szCs w:val="24"/>
          <w:lang w:eastAsia="zh-CN"/>
        </w:rPr>
        <w:t>David Forrest</w:t>
      </w:r>
    </w:p>
    <w:p w14:paraId="0A432A65" w14:textId="77777777" w:rsidR="000A2775" w:rsidRPr="00DD78DF" w:rsidRDefault="000A2775" w:rsidP="000A2775">
      <w:pPr>
        <w:jc w:val="center"/>
        <w:rPr>
          <w:rFonts w:ascii="Times New Roman" w:eastAsia="DengXian" w:hAnsi="Times New Roman" w:cs="Times New Roman"/>
          <w:szCs w:val="24"/>
          <w:lang w:eastAsia="zh-CN"/>
        </w:rPr>
      </w:pPr>
      <w:r w:rsidRPr="00DD78DF">
        <w:rPr>
          <w:rFonts w:ascii="Times New Roman" w:eastAsia="DengXian" w:hAnsi="Times New Roman" w:cs="Times New Roman"/>
          <w:szCs w:val="24"/>
          <w:lang w:eastAsia="zh-CN"/>
        </w:rPr>
        <w:t>University of Liverpool</w:t>
      </w:r>
    </w:p>
    <w:p w14:paraId="4DBE1C23" w14:textId="77777777" w:rsidR="000A2775" w:rsidRPr="00DD78DF" w:rsidRDefault="000A2775" w:rsidP="000A2775">
      <w:pPr>
        <w:jc w:val="center"/>
        <w:rPr>
          <w:rFonts w:ascii="Times New Roman" w:eastAsia="DengXian" w:hAnsi="Times New Roman" w:cs="Times New Roman"/>
          <w:szCs w:val="24"/>
          <w:lang w:eastAsia="zh-CN"/>
        </w:rPr>
      </w:pPr>
      <w:r>
        <w:rPr>
          <w:rFonts w:ascii="Times New Roman" w:eastAsia="DengXian" w:hAnsi="Times New Roman" w:cs="Times New Roman"/>
          <w:szCs w:val="24"/>
          <w:lang w:eastAsia="zh-CN"/>
        </w:rPr>
        <w:t xml:space="preserve">Liverpool, </w:t>
      </w:r>
      <w:r w:rsidRPr="00DD78DF">
        <w:rPr>
          <w:rFonts w:ascii="Times New Roman" w:eastAsia="DengXian" w:hAnsi="Times New Roman" w:cs="Times New Roman"/>
          <w:szCs w:val="24"/>
          <w:lang w:eastAsia="zh-CN"/>
        </w:rPr>
        <w:t>UK</w:t>
      </w:r>
    </w:p>
    <w:p w14:paraId="114A5471" w14:textId="080BA977" w:rsidR="000A2775" w:rsidRPr="00DD78DF" w:rsidRDefault="000A2775" w:rsidP="000A2775">
      <w:pPr>
        <w:jc w:val="center"/>
        <w:rPr>
          <w:rFonts w:ascii="Times New Roman" w:eastAsia="DengXian" w:hAnsi="Times New Roman" w:cs="Times New Roman"/>
          <w:color w:val="000000" w:themeColor="text1"/>
          <w:szCs w:val="24"/>
          <w:lang w:eastAsia="zh-CN"/>
        </w:rPr>
      </w:pPr>
      <w:r w:rsidRPr="00DD78DF">
        <w:rPr>
          <w:rFonts w:ascii="Times New Roman" w:eastAsia="DengXian" w:hAnsi="Times New Roman" w:cs="Times New Roman"/>
          <w:szCs w:val="24"/>
          <w:lang w:eastAsia="zh-CN"/>
        </w:rPr>
        <w:t>Email:</w:t>
      </w:r>
      <w:r>
        <w:rPr>
          <w:rFonts w:ascii="Times New Roman" w:eastAsia="DengXian" w:hAnsi="Times New Roman" w:cs="Times New Roman"/>
          <w:szCs w:val="24"/>
          <w:lang w:eastAsia="zh-CN"/>
        </w:rPr>
        <w:t xml:space="preserve"> </w:t>
      </w:r>
      <w:r w:rsidRPr="000A2775">
        <w:rPr>
          <w:rFonts w:ascii="Times New Roman" w:hAnsi="Times New Roman" w:cs="Times New Roman"/>
          <w:spacing w:val="3"/>
          <w:szCs w:val="24"/>
        </w:rPr>
        <w:t>David.Forrest@liverpool.ac.uk</w:t>
      </w:r>
    </w:p>
    <w:p w14:paraId="6B9631D7" w14:textId="77777777" w:rsidR="000A2775" w:rsidRPr="00DD78DF" w:rsidRDefault="000A2775" w:rsidP="000A2775">
      <w:pPr>
        <w:jc w:val="center"/>
        <w:rPr>
          <w:rFonts w:ascii="Times New Roman" w:eastAsia="DengXian" w:hAnsi="Times New Roman" w:cs="Times New Roman"/>
          <w:szCs w:val="24"/>
          <w:lang w:eastAsia="zh-CN"/>
        </w:rPr>
      </w:pPr>
    </w:p>
    <w:p w14:paraId="7C02E72F" w14:textId="77777777" w:rsidR="000A2775" w:rsidRPr="00DD78DF" w:rsidRDefault="000A2775" w:rsidP="000A2775">
      <w:pPr>
        <w:jc w:val="center"/>
        <w:rPr>
          <w:rFonts w:ascii="Times New Roman" w:hAnsi="Times New Roman" w:cs="Times New Roman"/>
          <w:szCs w:val="24"/>
        </w:rPr>
      </w:pPr>
      <w:r w:rsidRPr="00DD78DF">
        <w:rPr>
          <w:rFonts w:ascii="Times New Roman" w:eastAsia="DengXian" w:hAnsi="Times New Roman" w:cs="Times New Roman"/>
          <w:szCs w:val="24"/>
          <w:lang w:eastAsia="zh-CN"/>
        </w:rPr>
        <w:t>Sudhir H. Kale</w:t>
      </w:r>
      <w:r>
        <w:rPr>
          <w:rFonts w:ascii="Times New Roman" w:eastAsia="DengXian" w:hAnsi="Times New Roman" w:cs="Times New Roman"/>
          <w:szCs w:val="24"/>
          <w:lang w:eastAsia="zh-CN"/>
        </w:rPr>
        <w:t>*</w:t>
      </w:r>
    </w:p>
    <w:p w14:paraId="166BED70" w14:textId="77777777" w:rsidR="000A2775" w:rsidRDefault="000A2775" w:rsidP="000A2775">
      <w:pPr>
        <w:autoSpaceDE w:val="0"/>
        <w:autoSpaceDN w:val="0"/>
        <w:adjustRightInd w:val="0"/>
        <w:jc w:val="center"/>
        <w:rPr>
          <w:rFonts w:ascii="Times New Roman" w:hAnsi="Times New Roman" w:cs="Times New Roman"/>
          <w:szCs w:val="24"/>
        </w:rPr>
      </w:pPr>
      <w:r>
        <w:rPr>
          <w:rFonts w:ascii="Times New Roman" w:hAnsi="Times New Roman" w:cs="Times New Roman"/>
          <w:szCs w:val="24"/>
        </w:rPr>
        <w:t>GamePlan Consultants</w:t>
      </w:r>
    </w:p>
    <w:p w14:paraId="4580A2CD" w14:textId="77777777" w:rsidR="000A2775" w:rsidRDefault="000A2775" w:rsidP="000A2775">
      <w:pPr>
        <w:autoSpaceDE w:val="0"/>
        <w:autoSpaceDN w:val="0"/>
        <w:adjustRightInd w:val="0"/>
        <w:jc w:val="center"/>
        <w:rPr>
          <w:rFonts w:ascii="Times New Roman" w:hAnsi="Times New Roman" w:cs="Times New Roman"/>
          <w:szCs w:val="24"/>
        </w:rPr>
      </w:pPr>
      <w:r>
        <w:rPr>
          <w:rFonts w:ascii="Times New Roman" w:hAnsi="Times New Roman" w:cs="Times New Roman"/>
          <w:szCs w:val="24"/>
        </w:rPr>
        <w:t>Gold Coast, Australia</w:t>
      </w:r>
    </w:p>
    <w:p w14:paraId="72F26664" w14:textId="77777777" w:rsidR="000A2775" w:rsidRPr="00DD78DF" w:rsidRDefault="000A2775" w:rsidP="000A2775">
      <w:pPr>
        <w:autoSpaceDE w:val="0"/>
        <w:autoSpaceDN w:val="0"/>
        <w:adjustRightInd w:val="0"/>
        <w:jc w:val="center"/>
        <w:rPr>
          <w:rFonts w:ascii="Times New Roman" w:hAnsi="Times New Roman" w:cs="Times New Roman"/>
          <w:szCs w:val="24"/>
          <w:lang w:eastAsia="zh-CN"/>
        </w:rPr>
      </w:pPr>
      <w:r>
        <w:rPr>
          <w:rFonts w:ascii="Times New Roman" w:hAnsi="Times New Roman" w:cs="Times New Roman"/>
          <w:szCs w:val="24"/>
        </w:rPr>
        <w:t>Email: skale@gameplanconsultants.com</w:t>
      </w:r>
    </w:p>
    <w:p w14:paraId="584EF4F3" w14:textId="77777777" w:rsidR="000A2775" w:rsidRDefault="000A2775" w:rsidP="000A2775">
      <w:pPr>
        <w:autoSpaceDE w:val="0"/>
        <w:autoSpaceDN w:val="0"/>
        <w:adjustRightInd w:val="0"/>
        <w:jc w:val="center"/>
        <w:rPr>
          <w:rFonts w:ascii="Times New Roman" w:hAnsi="Times New Roman" w:cs="Times New Roman"/>
          <w:szCs w:val="24"/>
        </w:rPr>
      </w:pPr>
    </w:p>
    <w:p w14:paraId="6817FA66" w14:textId="77777777" w:rsidR="000A2775" w:rsidRDefault="000A2775" w:rsidP="000A2775">
      <w:pPr>
        <w:autoSpaceDE w:val="0"/>
        <w:autoSpaceDN w:val="0"/>
        <w:adjustRightInd w:val="0"/>
        <w:rPr>
          <w:rFonts w:ascii="Times New Roman" w:hAnsi="Times New Roman" w:cs="Times New Roman"/>
          <w:szCs w:val="24"/>
        </w:rPr>
      </w:pPr>
      <w:r>
        <w:rPr>
          <w:rFonts w:ascii="Times New Roman" w:hAnsi="Times New Roman" w:cs="Times New Roman"/>
          <w:szCs w:val="24"/>
        </w:rPr>
        <w:t>*Corresponding author</w:t>
      </w:r>
    </w:p>
    <w:p w14:paraId="7AEDF903" w14:textId="77777777" w:rsidR="000A2775" w:rsidRDefault="000A2775" w:rsidP="000A2775">
      <w:pPr>
        <w:autoSpaceDE w:val="0"/>
        <w:autoSpaceDN w:val="0"/>
        <w:adjustRightInd w:val="0"/>
        <w:rPr>
          <w:rFonts w:ascii="Times New Roman" w:hAnsi="Times New Roman" w:cs="Times New Roman"/>
          <w:szCs w:val="24"/>
        </w:rPr>
      </w:pPr>
    </w:p>
    <w:p w14:paraId="1676DFC1" w14:textId="77777777" w:rsidR="000A2775" w:rsidRDefault="000A2775" w:rsidP="000A2775">
      <w:pPr>
        <w:autoSpaceDE w:val="0"/>
        <w:autoSpaceDN w:val="0"/>
        <w:adjustRightInd w:val="0"/>
        <w:rPr>
          <w:rFonts w:ascii="Times New Roman" w:hAnsi="Times New Roman" w:cs="Times New Roman"/>
          <w:szCs w:val="24"/>
        </w:rPr>
      </w:pPr>
    </w:p>
    <w:p w14:paraId="6972A5BC" w14:textId="77777777" w:rsidR="000A2775" w:rsidRPr="006F3B10" w:rsidRDefault="000A2775" w:rsidP="000A2775">
      <w:pPr>
        <w:autoSpaceDE w:val="0"/>
        <w:autoSpaceDN w:val="0"/>
        <w:adjustRightInd w:val="0"/>
        <w:rPr>
          <w:rFonts w:ascii="Times New Roman" w:hAnsi="Times New Roman" w:cs="Times New Roman"/>
          <w:szCs w:val="24"/>
        </w:rPr>
      </w:pPr>
      <w:r w:rsidRPr="006F3B10">
        <w:rPr>
          <w:rFonts w:ascii="Times New Roman" w:hAnsi="Times New Roman" w:cs="Times New Roman"/>
          <w:szCs w:val="24"/>
        </w:rPr>
        <w:t>Compliance with Ethical Standards:</w:t>
      </w:r>
    </w:p>
    <w:p w14:paraId="6E4D0718" w14:textId="77777777" w:rsidR="000A2775" w:rsidRPr="006F3B10" w:rsidRDefault="000A2775" w:rsidP="000A2775">
      <w:pPr>
        <w:autoSpaceDE w:val="0"/>
        <w:autoSpaceDN w:val="0"/>
        <w:adjustRightInd w:val="0"/>
        <w:rPr>
          <w:rFonts w:ascii="Times New Roman" w:hAnsi="Times New Roman" w:cs="Times New Roman"/>
          <w:szCs w:val="24"/>
        </w:rPr>
      </w:pPr>
      <w:r w:rsidRPr="006F3B10">
        <w:rPr>
          <w:rFonts w:ascii="Times New Roman" w:hAnsi="Times New Roman" w:cs="Times New Roman"/>
          <w:szCs w:val="24"/>
        </w:rPr>
        <w:t>None of the authors have any conflicts of interest in connection with this research.</w:t>
      </w:r>
    </w:p>
    <w:p w14:paraId="1C160FD8" w14:textId="77777777" w:rsidR="000A2775" w:rsidRPr="006F3B10" w:rsidRDefault="000A2775" w:rsidP="000A2775">
      <w:pPr>
        <w:autoSpaceDE w:val="0"/>
        <w:autoSpaceDN w:val="0"/>
        <w:adjustRightInd w:val="0"/>
        <w:rPr>
          <w:rFonts w:ascii="Times New Roman" w:hAnsi="Times New Roman" w:cs="Times New Roman"/>
          <w:szCs w:val="24"/>
        </w:rPr>
      </w:pPr>
      <w:r w:rsidRPr="006F3B10">
        <w:rPr>
          <w:rFonts w:ascii="Times New Roman" w:eastAsia="Times New Roman" w:hAnsi="Times New Roman" w:cs="Times New Roman"/>
          <w:szCs w:val="24"/>
          <w:shd w:val="clear" w:color="auto" w:fill="FFFFFF"/>
        </w:rPr>
        <w:t xml:space="preserve">This research involved the </w:t>
      </w:r>
      <w:r>
        <w:rPr>
          <w:rFonts w:ascii="Times New Roman" w:eastAsia="Times New Roman" w:hAnsi="Times New Roman" w:cs="Times New Roman"/>
          <w:szCs w:val="24"/>
          <w:shd w:val="clear" w:color="auto" w:fill="FFFFFF"/>
        </w:rPr>
        <w:t>methodology of survey research and informed consent was obtained from all survey participants prior to responding to the survey.</w:t>
      </w:r>
    </w:p>
    <w:p w14:paraId="156A8925" w14:textId="77777777" w:rsidR="000A2775" w:rsidRPr="006F3B10" w:rsidRDefault="000A2775" w:rsidP="000A2775">
      <w:pPr>
        <w:autoSpaceDE w:val="0"/>
        <w:autoSpaceDN w:val="0"/>
        <w:adjustRightInd w:val="0"/>
        <w:rPr>
          <w:rFonts w:ascii="Times New Roman" w:hAnsi="Times New Roman" w:cs="Times New Roman"/>
          <w:szCs w:val="24"/>
        </w:rPr>
      </w:pPr>
    </w:p>
    <w:p w14:paraId="5492C2C2" w14:textId="77777777" w:rsidR="000A2775" w:rsidRPr="00DD78DF" w:rsidRDefault="000A2775" w:rsidP="000A2775">
      <w:pPr>
        <w:autoSpaceDE w:val="0"/>
        <w:autoSpaceDN w:val="0"/>
        <w:adjustRightInd w:val="0"/>
        <w:rPr>
          <w:rFonts w:ascii="Times New Roman" w:hAnsi="Times New Roman" w:cs="Times New Roman"/>
          <w:szCs w:val="24"/>
        </w:rPr>
      </w:pPr>
      <w:r w:rsidRPr="00DD78DF">
        <w:rPr>
          <w:rFonts w:ascii="Times New Roman" w:hAnsi="Times New Roman" w:cs="Times New Roman"/>
          <w:szCs w:val="24"/>
        </w:rPr>
        <w:t>Funding</w:t>
      </w:r>
    </w:p>
    <w:p w14:paraId="1D466FAF" w14:textId="04FA567C" w:rsidR="000A2775" w:rsidRPr="00DD78DF" w:rsidRDefault="000A2775" w:rsidP="000A2775">
      <w:pPr>
        <w:autoSpaceDE w:val="0"/>
        <w:autoSpaceDN w:val="0"/>
        <w:adjustRightInd w:val="0"/>
        <w:rPr>
          <w:szCs w:val="24"/>
        </w:rPr>
      </w:pPr>
      <w:r w:rsidRPr="00DD78DF">
        <w:rPr>
          <w:rFonts w:ascii="Times New Roman" w:hAnsi="Times New Roman" w:cs="Times New Roman"/>
          <w:szCs w:val="24"/>
        </w:rPr>
        <w:t>This work was supported jointly by National Natural Science Foundation</w:t>
      </w:r>
      <w:r>
        <w:rPr>
          <w:rFonts w:ascii="Times New Roman" w:hAnsi="Times New Roman" w:cs="Times New Roman"/>
          <w:szCs w:val="24"/>
        </w:rPr>
        <w:t xml:space="preserve"> </w:t>
      </w:r>
      <w:r w:rsidRPr="00DD78DF">
        <w:rPr>
          <w:rFonts w:ascii="Times New Roman" w:hAnsi="Times New Roman" w:cs="Times New Roman"/>
          <w:szCs w:val="24"/>
        </w:rPr>
        <w:t xml:space="preserve">of China (grant number 7171101069) </w:t>
      </w:r>
      <w:r w:rsidR="00E5498C">
        <w:rPr>
          <w:rFonts w:ascii="Times New Roman" w:hAnsi="Times New Roman" w:cs="Times New Roman"/>
          <w:szCs w:val="24"/>
        </w:rPr>
        <w:t xml:space="preserve">and </w:t>
      </w:r>
      <w:r w:rsidRPr="00DD78DF">
        <w:rPr>
          <w:rFonts w:ascii="Times New Roman" w:hAnsi="Times New Roman" w:cs="Times New Roman"/>
          <w:szCs w:val="24"/>
        </w:rPr>
        <w:t>The Science and Technology Development Fund of Macao(020/2017/AFJ)</w:t>
      </w:r>
      <w:r>
        <w:rPr>
          <w:rFonts w:ascii="Times New Roman" w:hAnsi="Times New Roman" w:cs="Times New Roman"/>
          <w:szCs w:val="24"/>
        </w:rPr>
        <w:t>.</w:t>
      </w:r>
    </w:p>
    <w:p w14:paraId="212196F4" w14:textId="77777777" w:rsidR="000A2775" w:rsidRDefault="000A2775">
      <w:pPr>
        <w:rPr>
          <w:rFonts w:ascii="Times New Roman" w:eastAsia="DFKai-SB" w:hAnsi="Times New Roman" w:cs="Times New Roman"/>
          <w:b/>
          <w:sz w:val="24"/>
          <w:szCs w:val="24"/>
          <w:lang w:eastAsia="zh-CN"/>
        </w:rPr>
      </w:pPr>
      <w:r>
        <w:rPr>
          <w:rFonts w:eastAsia="DFKai-SB"/>
          <w:b/>
        </w:rPr>
        <w:br w:type="page"/>
      </w:r>
    </w:p>
    <w:p w14:paraId="0E62A641" w14:textId="2582AC88" w:rsidR="004B6665" w:rsidRPr="00100068" w:rsidRDefault="004B6665" w:rsidP="004B6665">
      <w:pPr>
        <w:pStyle w:val="Default"/>
        <w:spacing w:line="480" w:lineRule="auto"/>
        <w:jc w:val="center"/>
        <w:rPr>
          <w:rFonts w:eastAsia="DFKai-SB"/>
          <w:b/>
          <w:color w:val="auto"/>
        </w:rPr>
      </w:pPr>
      <w:r w:rsidRPr="00100068">
        <w:rPr>
          <w:rFonts w:eastAsia="DFKai-SB"/>
          <w:b/>
          <w:color w:val="auto"/>
        </w:rPr>
        <w:lastRenderedPageBreak/>
        <w:t>A Study of Adaptive Gambling Behavior of Casino Employees in Macau</w:t>
      </w:r>
    </w:p>
    <w:p w14:paraId="41A65F87" w14:textId="77777777" w:rsidR="004B6665" w:rsidRPr="00100068" w:rsidRDefault="004B6665" w:rsidP="004B6665">
      <w:pPr>
        <w:rPr>
          <w:rFonts w:ascii="Times New Roman" w:hAnsi="Times New Roman" w:cs="Times New Roman"/>
          <w:b/>
          <w:bCs/>
          <w:sz w:val="24"/>
          <w:szCs w:val="24"/>
        </w:rPr>
      </w:pPr>
      <w:r w:rsidRPr="00100068">
        <w:rPr>
          <w:rFonts w:ascii="Times New Roman" w:hAnsi="Times New Roman" w:cs="Times New Roman"/>
          <w:b/>
          <w:bCs/>
          <w:sz w:val="24"/>
          <w:szCs w:val="24"/>
        </w:rPr>
        <w:t>Abstract</w:t>
      </w:r>
    </w:p>
    <w:p w14:paraId="26AB8E98" w14:textId="674614D7" w:rsidR="004B6665" w:rsidRPr="00100068" w:rsidRDefault="004B6665" w:rsidP="004B6665">
      <w:pPr>
        <w:spacing w:line="480" w:lineRule="auto"/>
        <w:rPr>
          <w:rFonts w:ascii="Times New Roman" w:hAnsi="Times New Roman" w:cs="Times New Roman"/>
          <w:sz w:val="24"/>
          <w:szCs w:val="24"/>
        </w:rPr>
      </w:pPr>
      <w:r w:rsidRPr="00100068">
        <w:rPr>
          <w:rFonts w:ascii="Times New Roman" w:hAnsi="Times New Roman" w:cs="Times New Roman"/>
          <w:sz w:val="24"/>
          <w:szCs w:val="24"/>
        </w:rPr>
        <w:t xml:space="preserve">Two hypotheses have been advanced to explain gambling prevalence and addiction among various populations—the exposure hypothesis and the adaptation hypothesis. This study tests these hypotheses in the context of casino employees in Macau. In the etiology of gambling, casino employees have been considered a unique segment of the population. Employees working in casinos are probably more exposed to gambling stimuli than any other group. The findings suggest that indicators of heavy involvement in casino gambling among casino employees were no higher than among other residents of Macau. In terms of gambling frequency, casino employees actually gambled less often than the general adult population in Macau. </w:t>
      </w:r>
      <w:r w:rsidRPr="00100068">
        <w:rPr>
          <w:rFonts w:ascii="Times New Roman" w:eastAsia="Times New Roman" w:hAnsi="Times New Roman" w:cs="Times New Roman"/>
          <w:color w:val="000000"/>
          <w:sz w:val="24"/>
          <w:szCs w:val="24"/>
          <w:lang w:eastAsia="en-GB"/>
        </w:rPr>
        <w:t>These results are in contrast to results from studies of gaming venue employees in Australia and Canada. The differing findings are probably attributable to particularities of Macau discussed in the article.</w:t>
      </w:r>
    </w:p>
    <w:p w14:paraId="1E8A1AD0" w14:textId="23DEEA74" w:rsidR="004B6665" w:rsidRDefault="004B6665" w:rsidP="004B6665">
      <w:pPr>
        <w:spacing w:line="480" w:lineRule="auto"/>
        <w:rPr>
          <w:rFonts w:ascii="Times New Roman" w:hAnsi="Times New Roman" w:cs="Times New Roman"/>
          <w:sz w:val="24"/>
          <w:szCs w:val="24"/>
        </w:rPr>
      </w:pPr>
      <w:r>
        <w:rPr>
          <w:rFonts w:ascii="Times New Roman" w:hAnsi="Times New Roman" w:cs="Times New Roman"/>
          <w:sz w:val="24"/>
          <w:szCs w:val="24"/>
        </w:rPr>
        <w:t>Keywords: Casino employees, Macau, gambling duration, gambling frequency, adaptation hypothesis, exposure hypothesis.</w:t>
      </w:r>
    </w:p>
    <w:p w14:paraId="39D520D5" w14:textId="77777777" w:rsidR="004B6665" w:rsidRDefault="004B6665">
      <w:pPr>
        <w:rPr>
          <w:rFonts w:ascii="Times New Roman" w:hAnsi="Times New Roman" w:cs="Times New Roman"/>
          <w:sz w:val="24"/>
          <w:szCs w:val="24"/>
        </w:rPr>
      </w:pPr>
      <w:r>
        <w:rPr>
          <w:rFonts w:ascii="Times New Roman" w:hAnsi="Times New Roman" w:cs="Times New Roman"/>
          <w:sz w:val="24"/>
          <w:szCs w:val="24"/>
        </w:rPr>
        <w:br w:type="page"/>
      </w:r>
    </w:p>
    <w:p w14:paraId="55D4A313" w14:textId="77777777" w:rsidR="004B6665" w:rsidRPr="00100068" w:rsidRDefault="004B6665" w:rsidP="004B6665">
      <w:pPr>
        <w:pStyle w:val="Default"/>
        <w:spacing w:line="480" w:lineRule="auto"/>
        <w:jc w:val="center"/>
        <w:rPr>
          <w:rFonts w:eastAsia="DFKai-SB"/>
          <w:b/>
          <w:color w:val="auto"/>
        </w:rPr>
      </w:pPr>
      <w:r w:rsidRPr="00100068">
        <w:rPr>
          <w:rFonts w:eastAsia="DFKai-SB"/>
          <w:b/>
          <w:color w:val="auto"/>
        </w:rPr>
        <w:lastRenderedPageBreak/>
        <w:t>A Study of Adaptive Gambling Behavior of Casino Employees in Macau</w:t>
      </w:r>
    </w:p>
    <w:p w14:paraId="76CDD23C" w14:textId="77777777" w:rsidR="003A6490" w:rsidRPr="000255B7" w:rsidRDefault="0043666F" w:rsidP="00E37440">
      <w:pPr>
        <w:spacing w:before="120" w:after="240"/>
        <w:rPr>
          <w:rFonts w:ascii="Times New Roman" w:hAnsi="Times New Roman" w:cs="Times New Roman"/>
          <w:b/>
        </w:rPr>
      </w:pPr>
      <w:r w:rsidRPr="000255B7">
        <w:rPr>
          <w:rFonts w:ascii="Times New Roman" w:hAnsi="Times New Roman" w:cs="Times New Roman"/>
          <w:b/>
        </w:rPr>
        <w:t>Introduction</w:t>
      </w:r>
    </w:p>
    <w:p w14:paraId="510740F5" w14:textId="069A799D" w:rsidR="00C519F3" w:rsidRDefault="0043666F" w:rsidP="003550CF">
      <w:pPr>
        <w:spacing w:after="120" w:line="480" w:lineRule="auto"/>
        <w:ind w:firstLine="288"/>
        <w:rPr>
          <w:rFonts w:ascii="Times New Roman" w:hAnsi="Times New Roman" w:cs="Times New Roman"/>
        </w:rPr>
      </w:pPr>
      <w:r>
        <w:rPr>
          <w:rFonts w:ascii="Times New Roman" w:hAnsi="Times New Roman" w:cs="Times New Roman"/>
        </w:rPr>
        <w:t xml:space="preserve">Over the last three decades, many jurisdictions across the world have introduced casinos, </w:t>
      </w:r>
      <w:r w:rsidR="00E15B51">
        <w:rPr>
          <w:rFonts w:ascii="Times New Roman" w:hAnsi="Times New Roman" w:cs="Times New Roman"/>
        </w:rPr>
        <w:t xml:space="preserve">sometimes in response to fiscal pressure, </w:t>
      </w:r>
      <w:r>
        <w:rPr>
          <w:rFonts w:ascii="Times New Roman" w:hAnsi="Times New Roman" w:cs="Times New Roman"/>
        </w:rPr>
        <w:t xml:space="preserve">often with the stated aim of </w:t>
      </w:r>
      <w:r w:rsidR="00E817DF">
        <w:rPr>
          <w:rFonts w:ascii="Times New Roman" w:hAnsi="Times New Roman" w:cs="Times New Roman"/>
        </w:rPr>
        <w:t xml:space="preserve">either </w:t>
      </w:r>
      <w:r>
        <w:rPr>
          <w:rFonts w:ascii="Times New Roman" w:hAnsi="Times New Roman" w:cs="Times New Roman"/>
        </w:rPr>
        <w:t>providing a boost to their economies and to visitor numbers</w:t>
      </w:r>
      <w:r w:rsidR="00E817DF">
        <w:rPr>
          <w:rFonts w:ascii="Times New Roman" w:hAnsi="Times New Roman" w:cs="Times New Roman"/>
        </w:rPr>
        <w:t xml:space="preserve"> or repatriating residents’ spending from casinos in neighboring states</w:t>
      </w:r>
      <w:r>
        <w:rPr>
          <w:rFonts w:ascii="Times New Roman" w:hAnsi="Times New Roman" w:cs="Times New Roman"/>
        </w:rPr>
        <w:t xml:space="preserve">; Japan is just one of the latest countries to plan for permitting the development of integrated resorts based around gaming. Wherever such a policy is debated, natural and legitimate concerns are raised about the possibility that increased accessibility to gaming will generate higher levels of </w:t>
      </w:r>
      <w:r w:rsidR="00C519F3">
        <w:rPr>
          <w:rFonts w:ascii="Times New Roman" w:hAnsi="Times New Roman" w:cs="Times New Roman"/>
        </w:rPr>
        <w:t>problem gambling and gambling harm in local populations.</w:t>
      </w:r>
    </w:p>
    <w:p w14:paraId="1E53C5E8" w14:textId="504E9849" w:rsidR="0043666F" w:rsidRDefault="00C519F3" w:rsidP="003550CF">
      <w:pPr>
        <w:spacing w:after="120" w:line="480" w:lineRule="auto"/>
        <w:ind w:firstLine="288"/>
        <w:rPr>
          <w:rFonts w:ascii="Times New Roman" w:hAnsi="Times New Roman" w:cs="Times New Roman"/>
        </w:rPr>
      </w:pPr>
      <w:r>
        <w:rPr>
          <w:rFonts w:ascii="Times New Roman" w:hAnsi="Times New Roman" w:cs="Times New Roman"/>
        </w:rPr>
        <w:t xml:space="preserve">This possibility has received considerable attention in the gambling studies literature, with research focused around two hypotheses. The ‘exposure hypothesis’ proposes that populations with greater availability of opportunities to gamble will indeed experience an increase in the prevalence of problem gambling. The ‘adaptation hypothesis’ accepts this possibility but suggests that greater prevalence may be only transient as individuals and societies will adapt to the risks present in the new environment and eventually there will be a levelling-off or reversal of </w:t>
      </w:r>
      <w:r w:rsidR="000255B7">
        <w:rPr>
          <w:rFonts w:ascii="Times New Roman" w:hAnsi="Times New Roman" w:cs="Times New Roman"/>
        </w:rPr>
        <w:t xml:space="preserve">any initial </w:t>
      </w:r>
      <w:r>
        <w:rPr>
          <w:rFonts w:ascii="Times New Roman" w:hAnsi="Times New Roman" w:cs="Times New Roman"/>
        </w:rPr>
        <w:t>impact</w:t>
      </w:r>
      <w:r w:rsidR="000F7A80">
        <w:rPr>
          <w:rFonts w:ascii="Times New Roman" w:hAnsi="Times New Roman" w:cs="Times New Roman"/>
        </w:rPr>
        <w:t>.</w:t>
      </w:r>
      <w:r>
        <w:rPr>
          <w:rFonts w:ascii="Times New Roman" w:hAnsi="Times New Roman" w:cs="Times New Roman"/>
        </w:rPr>
        <w:t xml:space="preserve"> </w:t>
      </w:r>
      <w:r w:rsidR="000255B7">
        <w:rPr>
          <w:rFonts w:ascii="Times New Roman" w:hAnsi="Times New Roman" w:cs="Times New Roman"/>
        </w:rPr>
        <w:t xml:space="preserve">This adaptation might take </w:t>
      </w:r>
      <w:r w:rsidR="00F91CDF">
        <w:rPr>
          <w:rFonts w:ascii="Times New Roman" w:hAnsi="Times New Roman" w:cs="Times New Roman"/>
        </w:rPr>
        <w:t xml:space="preserve">only years, rather than decades (Abbott, </w:t>
      </w:r>
      <w:r w:rsidR="00877ABF">
        <w:rPr>
          <w:rFonts w:ascii="Times New Roman" w:hAnsi="Times New Roman" w:cs="Times New Roman"/>
        </w:rPr>
        <w:t>2006)</w:t>
      </w:r>
      <w:r w:rsidR="008147D3">
        <w:rPr>
          <w:rFonts w:ascii="Times New Roman" w:hAnsi="Times New Roman" w:cs="Times New Roman"/>
        </w:rPr>
        <w:t xml:space="preserve">, though this of course is not to say that considerable harm might not have been generated in the interim. </w:t>
      </w:r>
      <w:r w:rsidR="00877ABF">
        <w:rPr>
          <w:rFonts w:ascii="Times New Roman" w:hAnsi="Times New Roman" w:cs="Times New Roman"/>
        </w:rPr>
        <w:t>The two hypotheses could be regarded as rival</w:t>
      </w:r>
      <w:r w:rsidR="00254F4B">
        <w:rPr>
          <w:rFonts w:ascii="Times New Roman" w:hAnsi="Times New Roman" w:cs="Times New Roman"/>
        </w:rPr>
        <w:t>;</w:t>
      </w:r>
      <w:r w:rsidR="00877ABF">
        <w:rPr>
          <w:rFonts w:ascii="Times New Roman" w:hAnsi="Times New Roman" w:cs="Times New Roman"/>
        </w:rPr>
        <w:t xml:space="preserve"> but one could also regard the adaptation hypothesis as a later modification of the exposure hypothesis, extending the analogy with biological threats where exposure to a new toxicity increases disease prevalence but, later</w:t>
      </w:r>
      <w:r w:rsidR="00254F4B">
        <w:rPr>
          <w:rFonts w:ascii="Times New Roman" w:hAnsi="Times New Roman" w:cs="Times New Roman"/>
        </w:rPr>
        <w:t>,</w:t>
      </w:r>
      <w:r w:rsidR="00877ABF">
        <w:rPr>
          <w:rFonts w:ascii="Times New Roman" w:hAnsi="Times New Roman" w:cs="Times New Roman"/>
        </w:rPr>
        <w:t xml:space="preserve"> affected populations eventually develop some form of resistance, allowing disease </w:t>
      </w:r>
      <w:r w:rsidR="008147D3">
        <w:rPr>
          <w:rFonts w:ascii="Times New Roman" w:hAnsi="Times New Roman" w:cs="Times New Roman"/>
        </w:rPr>
        <w:t xml:space="preserve">levels to </w:t>
      </w:r>
      <w:r w:rsidR="00877ABF">
        <w:rPr>
          <w:rFonts w:ascii="Times New Roman" w:hAnsi="Times New Roman" w:cs="Times New Roman"/>
        </w:rPr>
        <w:t>fall back, even to initial levels.</w:t>
      </w:r>
    </w:p>
    <w:p w14:paraId="0EDC1307" w14:textId="4856D161" w:rsidR="000F7A80" w:rsidRDefault="00900E33" w:rsidP="003550CF">
      <w:pPr>
        <w:spacing w:after="120" w:line="480" w:lineRule="auto"/>
        <w:ind w:firstLine="288"/>
        <w:rPr>
          <w:rFonts w:ascii="Times New Roman" w:hAnsi="Times New Roman" w:cs="Times New Roman"/>
        </w:rPr>
      </w:pPr>
      <w:r>
        <w:rPr>
          <w:rFonts w:ascii="Times New Roman" w:hAnsi="Times New Roman" w:cs="Times New Roman"/>
        </w:rPr>
        <w:t xml:space="preserve">The two hypotheses will be examined in this paper in the setting of Macau, with particular focus on casino employees. Our choice of setting reflects that Macau </w:t>
      </w:r>
      <w:r w:rsidR="000F7A80">
        <w:rPr>
          <w:rFonts w:ascii="Times New Roman" w:hAnsi="Times New Roman" w:cs="Times New Roman"/>
        </w:rPr>
        <w:t xml:space="preserve">offers </w:t>
      </w:r>
      <w:r>
        <w:rPr>
          <w:rFonts w:ascii="Times New Roman" w:hAnsi="Times New Roman" w:cs="Times New Roman"/>
        </w:rPr>
        <w:t xml:space="preserve">a somewhat extreme example of a population </w:t>
      </w:r>
      <w:r w:rsidR="00A7547E">
        <w:rPr>
          <w:rFonts w:ascii="Times New Roman" w:hAnsi="Times New Roman" w:cs="Times New Roman"/>
        </w:rPr>
        <w:t>having been</w:t>
      </w:r>
      <w:r>
        <w:rPr>
          <w:rFonts w:ascii="Times New Roman" w:hAnsi="Times New Roman" w:cs="Times New Roman"/>
        </w:rPr>
        <w:t xml:space="preserve"> exposed to a substantial expansion of gaming in the local environment and, of all its residents, those working in casinos will have </w:t>
      </w:r>
      <w:r w:rsidR="00A7547E">
        <w:rPr>
          <w:rFonts w:ascii="Times New Roman" w:hAnsi="Times New Roman" w:cs="Times New Roman"/>
        </w:rPr>
        <w:t xml:space="preserve">had </w:t>
      </w:r>
      <w:r>
        <w:rPr>
          <w:rFonts w:ascii="Times New Roman" w:hAnsi="Times New Roman" w:cs="Times New Roman"/>
        </w:rPr>
        <w:t>the greatest exposure and the greatest opportunity to gamble. If exposure and adaptation are relevant concepts, one might expect to see them evidenced in this jurisdiction</w:t>
      </w:r>
      <w:r w:rsidR="00A43A0D">
        <w:rPr>
          <w:rFonts w:ascii="Times New Roman" w:hAnsi="Times New Roman" w:cs="Times New Roman"/>
        </w:rPr>
        <w:t>,</w:t>
      </w:r>
      <w:r>
        <w:rPr>
          <w:rFonts w:ascii="Times New Roman" w:hAnsi="Times New Roman" w:cs="Times New Roman"/>
        </w:rPr>
        <w:t xml:space="preserve"> and </w:t>
      </w:r>
      <w:r w:rsidR="004C49CA">
        <w:rPr>
          <w:rFonts w:ascii="Times New Roman" w:hAnsi="Times New Roman" w:cs="Times New Roman"/>
        </w:rPr>
        <w:t>in particular</w:t>
      </w:r>
      <w:r w:rsidR="00A43A0D">
        <w:rPr>
          <w:rFonts w:ascii="Times New Roman" w:hAnsi="Times New Roman" w:cs="Times New Roman"/>
        </w:rPr>
        <w:t>,</w:t>
      </w:r>
      <w:r w:rsidR="004C49CA">
        <w:rPr>
          <w:rFonts w:ascii="Times New Roman" w:hAnsi="Times New Roman" w:cs="Times New Roman"/>
        </w:rPr>
        <w:t xml:space="preserve"> </w:t>
      </w:r>
      <w:r>
        <w:rPr>
          <w:rFonts w:ascii="Times New Roman" w:hAnsi="Times New Roman" w:cs="Times New Roman"/>
        </w:rPr>
        <w:t xml:space="preserve">among </w:t>
      </w:r>
      <w:r w:rsidR="004C49CA">
        <w:rPr>
          <w:rFonts w:ascii="Times New Roman" w:hAnsi="Times New Roman" w:cs="Times New Roman"/>
        </w:rPr>
        <w:t xml:space="preserve">its </w:t>
      </w:r>
      <w:r>
        <w:rPr>
          <w:rFonts w:ascii="Times New Roman" w:hAnsi="Times New Roman" w:cs="Times New Roman"/>
        </w:rPr>
        <w:t>casino labor force</w:t>
      </w:r>
      <w:r w:rsidR="004C49CA">
        <w:rPr>
          <w:rFonts w:ascii="Times New Roman" w:hAnsi="Times New Roman" w:cs="Times New Roman"/>
        </w:rPr>
        <w:t>.</w:t>
      </w:r>
    </w:p>
    <w:p w14:paraId="2BD29A6F" w14:textId="783AC2FC" w:rsidR="00427A3C" w:rsidRDefault="000F7A80" w:rsidP="003550CF">
      <w:pPr>
        <w:spacing w:after="120" w:line="480" w:lineRule="auto"/>
        <w:ind w:firstLine="288"/>
        <w:rPr>
          <w:rFonts w:ascii="Times New Roman" w:hAnsi="Times New Roman" w:cs="Times New Roman"/>
        </w:rPr>
      </w:pPr>
      <w:r>
        <w:rPr>
          <w:rFonts w:ascii="Times New Roman" w:hAnsi="Times New Roman" w:cs="Times New Roman"/>
        </w:rPr>
        <w:t>Macau has</w:t>
      </w:r>
      <w:r w:rsidR="004C49CA">
        <w:rPr>
          <w:rFonts w:ascii="Times New Roman" w:hAnsi="Times New Roman" w:cs="Times New Roman"/>
        </w:rPr>
        <w:t xml:space="preserve"> </w:t>
      </w:r>
      <w:r>
        <w:rPr>
          <w:rFonts w:ascii="Times New Roman" w:hAnsi="Times New Roman" w:cs="Times New Roman"/>
        </w:rPr>
        <w:t>a long history, going back to Portuguese administration in the mid-nineteenth century, as an enclave for legal gaming in a region where generally there was prohibition. However, a step</w:t>
      </w:r>
      <w:r w:rsidR="00E15B51">
        <w:rPr>
          <w:rFonts w:ascii="Times New Roman" w:hAnsi="Times New Roman" w:cs="Times New Roman"/>
        </w:rPr>
        <w:t>-</w:t>
      </w:r>
      <w:r>
        <w:rPr>
          <w:rFonts w:ascii="Times New Roman" w:hAnsi="Times New Roman" w:cs="Times New Roman"/>
        </w:rPr>
        <w:t xml:space="preserve">change in the scale of the industry occurred </w:t>
      </w:r>
      <w:r w:rsidR="0064024E">
        <w:rPr>
          <w:rFonts w:ascii="Times New Roman" w:hAnsi="Times New Roman" w:cs="Times New Roman"/>
        </w:rPr>
        <w:t xml:space="preserve">from 2004 after </w:t>
      </w:r>
      <w:r>
        <w:rPr>
          <w:rFonts w:ascii="Times New Roman" w:hAnsi="Times New Roman" w:cs="Times New Roman"/>
        </w:rPr>
        <w:t xml:space="preserve">the Government of the new Special Administrative Region </w:t>
      </w:r>
      <w:r w:rsidR="0064024E">
        <w:rPr>
          <w:rFonts w:ascii="Times New Roman" w:hAnsi="Times New Roman" w:cs="Times New Roman"/>
        </w:rPr>
        <w:t xml:space="preserve">had </w:t>
      </w:r>
      <w:r>
        <w:rPr>
          <w:rFonts w:ascii="Times New Roman" w:hAnsi="Times New Roman" w:cs="Times New Roman"/>
        </w:rPr>
        <w:t xml:space="preserve">opened up its market to foreign competition. The number of casinos and the volume of gaming activity increased </w:t>
      </w:r>
      <w:r w:rsidR="001E015C">
        <w:rPr>
          <w:rFonts w:ascii="Times New Roman" w:hAnsi="Times New Roman" w:cs="Times New Roman"/>
        </w:rPr>
        <w:t xml:space="preserve">very </w:t>
      </w:r>
      <w:r>
        <w:rPr>
          <w:rFonts w:ascii="Times New Roman" w:hAnsi="Times New Roman" w:cs="Times New Roman"/>
        </w:rPr>
        <w:t xml:space="preserve">rapidly </w:t>
      </w:r>
      <w:r w:rsidR="008F27F6">
        <w:rPr>
          <w:rFonts w:ascii="Times New Roman" w:hAnsi="Times New Roman" w:cs="Times New Roman"/>
        </w:rPr>
        <w:t xml:space="preserve">indeed </w:t>
      </w:r>
      <w:r>
        <w:rPr>
          <w:rFonts w:ascii="Times New Roman" w:hAnsi="Times New Roman" w:cs="Times New Roman"/>
        </w:rPr>
        <w:t>over the following years</w:t>
      </w:r>
      <w:r w:rsidR="001E015C">
        <w:rPr>
          <w:rFonts w:ascii="Times New Roman" w:hAnsi="Times New Roman" w:cs="Times New Roman"/>
        </w:rPr>
        <w:t xml:space="preserve"> (Sheng and Gu, 2018)</w:t>
      </w:r>
      <w:r>
        <w:rPr>
          <w:rFonts w:ascii="Times New Roman" w:hAnsi="Times New Roman" w:cs="Times New Roman"/>
        </w:rPr>
        <w:t xml:space="preserve">, eventually allowing gross gaming revenue to reach six times that achieved by the Las Vegas </w:t>
      </w:r>
      <w:r w:rsidR="00E817DF">
        <w:rPr>
          <w:rFonts w:ascii="Times New Roman" w:hAnsi="Times New Roman" w:cs="Times New Roman"/>
        </w:rPr>
        <w:t>S</w:t>
      </w:r>
      <w:r>
        <w:rPr>
          <w:rFonts w:ascii="Times New Roman" w:hAnsi="Times New Roman" w:cs="Times New Roman"/>
        </w:rPr>
        <w:t>trip, and this in a jurisdiction</w:t>
      </w:r>
      <w:r w:rsidR="001E015C">
        <w:rPr>
          <w:rFonts w:ascii="Times New Roman" w:hAnsi="Times New Roman" w:cs="Times New Roman"/>
        </w:rPr>
        <w:t xml:space="preserve"> with a population of only some 6</w:t>
      </w:r>
      <w:r w:rsidR="00053A6E">
        <w:rPr>
          <w:rFonts w:ascii="Times New Roman" w:hAnsi="Times New Roman" w:cs="Times New Roman"/>
        </w:rPr>
        <w:t>76</w:t>
      </w:r>
      <w:r w:rsidR="001E015C">
        <w:rPr>
          <w:rFonts w:ascii="Times New Roman" w:hAnsi="Times New Roman" w:cs="Times New Roman"/>
        </w:rPr>
        <w:t xml:space="preserve">,000 and an area of </w:t>
      </w:r>
      <w:r w:rsidR="00254F4B">
        <w:rPr>
          <w:rFonts w:ascii="Times New Roman" w:hAnsi="Times New Roman" w:cs="Times New Roman"/>
        </w:rPr>
        <w:t xml:space="preserve">just </w:t>
      </w:r>
      <w:r w:rsidR="00053A6E">
        <w:rPr>
          <w:rFonts w:ascii="Times New Roman" w:hAnsi="Times New Roman" w:cs="Times New Roman"/>
        </w:rPr>
        <w:t>32.9</w:t>
      </w:r>
      <w:r w:rsidR="001E015C">
        <w:rPr>
          <w:rFonts w:ascii="Times New Roman" w:hAnsi="Times New Roman" w:cs="Times New Roman"/>
        </w:rPr>
        <w:t xml:space="preserve"> sq.km. </w:t>
      </w:r>
      <w:r w:rsidR="001C580F">
        <w:rPr>
          <w:rFonts w:ascii="Times New Roman" w:hAnsi="Times New Roman" w:cs="Times New Roman"/>
        </w:rPr>
        <w:t>Mega</w:t>
      </w:r>
      <w:r w:rsidR="00EB5FB0">
        <w:rPr>
          <w:rFonts w:ascii="Times New Roman" w:hAnsi="Times New Roman" w:cs="Times New Roman"/>
        </w:rPr>
        <w:t>-</w:t>
      </w:r>
      <w:r w:rsidR="001C580F">
        <w:rPr>
          <w:rFonts w:ascii="Times New Roman" w:hAnsi="Times New Roman" w:cs="Times New Roman"/>
        </w:rPr>
        <w:t xml:space="preserve">casino resorts </w:t>
      </w:r>
      <w:r>
        <w:rPr>
          <w:rFonts w:ascii="Times New Roman" w:hAnsi="Times New Roman" w:cs="Times New Roman"/>
        </w:rPr>
        <w:t>came physically</w:t>
      </w:r>
      <w:r w:rsidR="001E015C">
        <w:rPr>
          <w:rFonts w:ascii="Times New Roman" w:hAnsi="Times New Roman" w:cs="Times New Roman"/>
        </w:rPr>
        <w:t xml:space="preserve"> to dominate the cityscape and, by 201</w:t>
      </w:r>
      <w:r w:rsidR="003D4FE5">
        <w:rPr>
          <w:rFonts w:ascii="Times New Roman" w:hAnsi="Times New Roman" w:cs="Times New Roman"/>
        </w:rPr>
        <w:t>8</w:t>
      </w:r>
      <w:r w:rsidR="001E015C">
        <w:rPr>
          <w:rFonts w:ascii="Times New Roman" w:hAnsi="Times New Roman" w:cs="Times New Roman"/>
        </w:rPr>
        <w:t xml:space="preserve">Q2 (when we collected our </w:t>
      </w:r>
      <w:r w:rsidR="00254F4B">
        <w:rPr>
          <w:rFonts w:ascii="Times New Roman" w:hAnsi="Times New Roman" w:cs="Times New Roman"/>
        </w:rPr>
        <w:t xml:space="preserve">survey </w:t>
      </w:r>
      <w:r w:rsidR="001E015C">
        <w:rPr>
          <w:rFonts w:ascii="Times New Roman" w:hAnsi="Times New Roman" w:cs="Times New Roman"/>
        </w:rPr>
        <w:t>data</w:t>
      </w:r>
      <w:r w:rsidR="00254F4B">
        <w:rPr>
          <w:rFonts w:ascii="Times New Roman" w:hAnsi="Times New Roman" w:cs="Times New Roman"/>
        </w:rPr>
        <w:t>)</w:t>
      </w:r>
      <w:r w:rsidR="001E015C">
        <w:rPr>
          <w:rFonts w:ascii="Times New Roman" w:hAnsi="Times New Roman" w:cs="Times New Roman"/>
        </w:rPr>
        <w:t xml:space="preserve">, fully 21% of </w:t>
      </w:r>
      <w:r w:rsidR="00254F4B">
        <w:rPr>
          <w:rFonts w:ascii="Times New Roman" w:hAnsi="Times New Roman" w:cs="Times New Roman"/>
        </w:rPr>
        <w:t xml:space="preserve">all employees </w:t>
      </w:r>
      <w:r w:rsidR="001C580F">
        <w:rPr>
          <w:rFonts w:ascii="Times New Roman" w:hAnsi="Times New Roman" w:cs="Times New Roman"/>
        </w:rPr>
        <w:t xml:space="preserve">were </w:t>
      </w:r>
      <w:r w:rsidR="001E015C">
        <w:rPr>
          <w:rFonts w:ascii="Times New Roman" w:hAnsi="Times New Roman" w:cs="Times New Roman"/>
        </w:rPr>
        <w:t>work</w:t>
      </w:r>
      <w:r w:rsidR="001C580F">
        <w:rPr>
          <w:rFonts w:ascii="Times New Roman" w:hAnsi="Times New Roman" w:cs="Times New Roman"/>
        </w:rPr>
        <w:t xml:space="preserve">ing </w:t>
      </w:r>
      <w:r w:rsidR="001E015C">
        <w:rPr>
          <w:rFonts w:ascii="Times New Roman" w:hAnsi="Times New Roman" w:cs="Times New Roman"/>
        </w:rPr>
        <w:t>in the gaming sector</w:t>
      </w:r>
      <w:r w:rsidR="00CD6E71">
        <w:rPr>
          <w:rFonts w:ascii="Times New Roman" w:hAnsi="Times New Roman" w:cs="Times New Roman"/>
        </w:rPr>
        <w:t>. For comparison, the corresponding figure for Las Vegas in 2019 was 15%</w:t>
      </w:r>
      <w:r w:rsidR="003D4FE5">
        <w:rPr>
          <w:rFonts w:ascii="Times New Roman" w:hAnsi="Times New Roman" w:cs="Times New Roman"/>
        </w:rPr>
        <w:t xml:space="preserve"> (N</w:t>
      </w:r>
      <w:r w:rsidR="00CD6E71">
        <w:rPr>
          <w:rFonts w:ascii="Times New Roman" w:hAnsi="Times New Roman" w:cs="Times New Roman"/>
        </w:rPr>
        <w:t xml:space="preserve">evada Department of Employment, Training and Rehabilitation, 2019, p.16). </w:t>
      </w:r>
      <w:r w:rsidR="001C580F">
        <w:rPr>
          <w:rFonts w:ascii="Times New Roman" w:hAnsi="Times New Roman" w:cs="Times New Roman"/>
        </w:rPr>
        <w:t>Thus</w:t>
      </w:r>
      <w:r w:rsidR="00C97AC7">
        <w:rPr>
          <w:rFonts w:ascii="Times New Roman" w:hAnsi="Times New Roman" w:cs="Times New Roman"/>
        </w:rPr>
        <w:t>,</w:t>
      </w:r>
      <w:r w:rsidR="001C580F">
        <w:rPr>
          <w:rFonts w:ascii="Times New Roman" w:hAnsi="Times New Roman" w:cs="Times New Roman"/>
        </w:rPr>
        <w:t xml:space="preserve"> the whole population had been exposed to a new environment saturated </w:t>
      </w:r>
      <w:r w:rsidR="009067DA">
        <w:rPr>
          <w:rFonts w:ascii="Times New Roman" w:hAnsi="Times New Roman" w:cs="Times New Roman"/>
        </w:rPr>
        <w:t>with</w:t>
      </w:r>
      <w:r w:rsidR="001C580F">
        <w:rPr>
          <w:rFonts w:ascii="Times New Roman" w:hAnsi="Times New Roman" w:cs="Times New Roman"/>
        </w:rPr>
        <w:t xml:space="preserve"> gambling opportunities and a very significant proportion of </w:t>
      </w:r>
      <w:r w:rsidR="00C97AC7">
        <w:rPr>
          <w:rFonts w:ascii="Times New Roman" w:hAnsi="Times New Roman" w:cs="Times New Roman"/>
        </w:rPr>
        <w:t xml:space="preserve">all adults </w:t>
      </w:r>
      <w:r w:rsidR="001C580F">
        <w:rPr>
          <w:rFonts w:ascii="Times New Roman" w:hAnsi="Times New Roman" w:cs="Times New Roman"/>
        </w:rPr>
        <w:t xml:space="preserve">spent their daily working hours </w:t>
      </w:r>
      <w:r w:rsidR="00EB5FB0">
        <w:rPr>
          <w:rFonts w:ascii="Times New Roman" w:hAnsi="Times New Roman" w:cs="Times New Roman"/>
        </w:rPr>
        <w:t xml:space="preserve">actually </w:t>
      </w:r>
      <w:r w:rsidR="001C580F">
        <w:rPr>
          <w:rFonts w:ascii="Times New Roman" w:hAnsi="Times New Roman" w:cs="Times New Roman"/>
        </w:rPr>
        <w:t xml:space="preserve">inside casinos. </w:t>
      </w:r>
      <w:r w:rsidR="00E15B51">
        <w:rPr>
          <w:rFonts w:ascii="Times New Roman" w:hAnsi="Times New Roman" w:cs="Times New Roman"/>
        </w:rPr>
        <w:t>The exposure hypothesis would predict that the community generally would experience elevated prevalence of problem gambling and those working in casinos would be especially vulnerable to increased risk of problem gambling over time. Proponents of the adaptation hypothesis would look for signs of stabili</w:t>
      </w:r>
      <w:r w:rsidR="00C97AC7">
        <w:rPr>
          <w:rFonts w:ascii="Times New Roman" w:hAnsi="Times New Roman" w:cs="Times New Roman"/>
        </w:rPr>
        <w:t>z</w:t>
      </w:r>
      <w:r w:rsidR="00E15B51">
        <w:rPr>
          <w:rFonts w:ascii="Times New Roman" w:hAnsi="Times New Roman" w:cs="Times New Roman"/>
        </w:rPr>
        <w:t>ation of or a fall in prevalence at some point and might expect casino employees to be less prone to ‘irresponsible’ gambling as they became more familiar with their working environment.</w:t>
      </w:r>
    </w:p>
    <w:p w14:paraId="497B5237" w14:textId="01573BF4" w:rsidR="001E015C" w:rsidRDefault="00427A3C" w:rsidP="003550CF">
      <w:pPr>
        <w:spacing w:after="120" w:line="480" w:lineRule="auto"/>
        <w:ind w:firstLine="288"/>
        <w:rPr>
          <w:rFonts w:ascii="Times New Roman" w:hAnsi="Times New Roman" w:cs="Times New Roman"/>
        </w:rPr>
      </w:pPr>
      <w:r>
        <w:rPr>
          <w:rFonts w:ascii="Times New Roman" w:hAnsi="Times New Roman" w:cs="Times New Roman"/>
        </w:rPr>
        <w:t xml:space="preserve">We will first review the general literature around the two hypotheses and then the specialist literature on problem gambling </w:t>
      </w:r>
      <w:r w:rsidR="003D4FE5">
        <w:rPr>
          <w:rFonts w:ascii="Times New Roman" w:hAnsi="Times New Roman" w:cs="Times New Roman"/>
        </w:rPr>
        <w:t xml:space="preserve">and problem gambling </w:t>
      </w:r>
      <w:r>
        <w:rPr>
          <w:rFonts w:ascii="Times New Roman" w:hAnsi="Times New Roman" w:cs="Times New Roman"/>
        </w:rPr>
        <w:t xml:space="preserve">among </w:t>
      </w:r>
      <w:r w:rsidR="00E24F95">
        <w:rPr>
          <w:rFonts w:ascii="Times New Roman" w:hAnsi="Times New Roman" w:cs="Times New Roman"/>
        </w:rPr>
        <w:t xml:space="preserve">casino </w:t>
      </w:r>
      <w:r>
        <w:rPr>
          <w:rFonts w:ascii="Times New Roman" w:hAnsi="Times New Roman" w:cs="Times New Roman"/>
        </w:rPr>
        <w:t xml:space="preserve">industry workers. </w:t>
      </w:r>
      <w:r w:rsidR="00E24F95">
        <w:rPr>
          <w:rFonts w:ascii="Times New Roman" w:hAnsi="Times New Roman" w:cs="Times New Roman"/>
        </w:rPr>
        <w:t xml:space="preserve">Then, </w:t>
      </w:r>
      <w:r w:rsidR="00AC72CE">
        <w:rPr>
          <w:rFonts w:ascii="Times New Roman" w:hAnsi="Times New Roman" w:cs="Times New Roman"/>
        </w:rPr>
        <w:t xml:space="preserve">after </w:t>
      </w:r>
      <w:r w:rsidR="00E24F95">
        <w:rPr>
          <w:rFonts w:ascii="Times New Roman" w:hAnsi="Times New Roman" w:cs="Times New Roman"/>
        </w:rPr>
        <w:t>report</w:t>
      </w:r>
      <w:r w:rsidR="00AC72CE">
        <w:rPr>
          <w:rFonts w:ascii="Times New Roman" w:hAnsi="Times New Roman" w:cs="Times New Roman"/>
        </w:rPr>
        <w:t xml:space="preserve">ing </w:t>
      </w:r>
      <w:r w:rsidR="00E24F95">
        <w:rPr>
          <w:rFonts w:ascii="Times New Roman" w:hAnsi="Times New Roman" w:cs="Times New Roman"/>
        </w:rPr>
        <w:t>trends in participation in gambling and prevalence of problem gambling according to official statistics for the Macau population</w:t>
      </w:r>
      <w:r w:rsidR="00AC72CE">
        <w:rPr>
          <w:rFonts w:ascii="Times New Roman" w:hAnsi="Times New Roman" w:cs="Times New Roman"/>
        </w:rPr>
        <w:t xml:space="preserve"> as a whole, we will present </w:t>
      </w:r>
      <w:r w:rsidR="00E24F95">
        <w:rPr>
          <w:rFonts w:ascii="Times New Roman" w:hAnsi="Times New Roman" w:cs="Times New Roman"/>
        </w:rPr>
        <w:t>findings from our own survey of 230 casino employees and 1</w:t>
      </w:r>
      <w:r w:rsidR="00053A6E">
        <w:rPr>
          <w:rFonts w:ascii="Times New Roman" w:hAnsi="Times New Roman" w:cs="Times New Roman"/>
        </w:rPr>
        <w:t>69</w:t>
      </w:r>
      <w:r w:rsidR="00E24F95">
        <w:rPr>
          <w:rFonts w:ascii="Times New Roman" w:hAnsi="Times New Roman" w:cs="Times New Roman"/>
        </w:rPr>
        <w:t xml:space="preserve"> non-casino employees in Macau, where they were asked to reveal differences in gambling behavior and motivation now compared with when they first started gambling in casinos. Our final section will review the extent to which the data </w:t>
      </w:r>
      <w:r w:rsidR="00A7547E">
        <w:rPr>
          <w:rFonts w:ascii="Times New Roman" w:hAnsi="Times New Roman" w:cs="Times New Roman"/>
        </w:rPr>
        <w:t>are consistent with the two hypotheses.</w:t>
      </w:r>
    </w:p>
    <w:p w14:paraId="7ED0C4A1" w14:textId="77777777" w:rsidR="00900E33" w:rsidRPr="00751BD7" w:rsidRDefault="00D803BF" w:rsidP="003A6490">
      <w:pPr>
        <w:rPr>
          <w:rFonts w:ascii="Times New Roman" w:hAnsi="Times New Roman" w:cs="Times New Roman"/>
          <w:b/>
        </w:rPr>
      </w:pPr>
      <w:r>
        <w:rPr>
          <w:rFonts w:ascii="Times New Roman" w:hAnsi="Times New Roman" w:cs="Times New Roman"/>
          <w:b/>
        </w:rPr>
        <w:t xml:space="preserve">Literature overview: </w:t>
      </w:r>
      <w:r w:rsidR="00F42C59" w:rsidRPr="00751BD7">
        <w:rPr>
          <w:rFonts w:ascii="Times New Roman" w:hAnsi="Times New Roman" w:cs="Times New Roman"/>
          <w:b/>
        </w:rPr>
        <w:t>The exposure and adaptation hypotheses</w:t>
      </w:r>
    </w:p>
    <w:p w14:paraId="2A1456CA" w14:textId="0AA3C39B" w:rsidR="00C711AB" w:rsidRDefault="001974A7" w:rsidP="003550CF">
      <w:pPr>
        <w:spacing w:after="120" w:line="480" w:lineRule="auto"/>
        <w:ind w:firstLine="288"/>
        <w:rPr>
          <w:rFonts w:ascii="Times New Roman" w:hAnsi="Times New Roman" w:cs="Times New Roman"/>
        </w:rPr>
      </w:pPr>
      <w:r>
        <w:rPr>
          <w:rFonts w:ascii="Times New Roman" w:hAnsi="Times New Roman" w:cs="Times New Roman"/>
        </w:rPr>
        <w:t>The exposure hypothesis</w:t>
      </w:r>
      <w:r w:rsidR="00751BD7">
        <w:rPr>
          <w:rFonts w:ascii="Times New Roman" w:hAnsi="Times New Roman" w:cs="Times New Roman"/>
        </w:rPr>
        <w:t>,</w:t>
      </w:r>
      <w:r w:rsidR="00755D6B">
        <w:rPr>
          <w:rFonts w:ascii="Times New Roman" w:hAnsi="Times New Roman" w:cs="Times New Roman"/>
        </w:rPr>
        <w:t xml:space="preserve"> applied to gambling</w:t>
      </w:r>
      <w:r w:rsidR="00751BD7">
        <w:rPr>
          <w:rFonts w:ascii="Times New Roman" w:hAnsi="Times New Roman" w:cs="Times New Roman"/>
        </w:rPr>
        <w:t>,</w:t>
      </w:r>
      <w:r w:rsidR="00755D6B">
        <w:rPr>
          <w:rFonts w:ascii="Times New Roman" w:hAnsi="Times New Roman" w:cs="Times New Roman"/>
        </w:rPr>
        <w:t xml:space="preserve"> follows a public health paradigm. Opportunities to gamble are likened to threats such as a new source of air pollution or a new strain of influenza. In the exposed population, some individuals are more susceptible to harm than others and will contract the associated disease, which will then be observed to have increased in incidence and prevalence. </w:t>
      </w:r>
      <w:r w:rsidR="00751BD7">
        <w:rPr>
          <w:rFonts w:ascii="Times New Roman" w:hAnsi="Times New Roman" w:cs="Times New Roman"/>
        </w:rPr>
        <w:t xml:space="preserve">Thus, for example, if electronic gaming machines </w:t>
      </w:r>
      <w:r w:rsidR="00C554D1">
        <w:rPr>
          <w:rFonts w:ascii="Times New Roman" w:hAnsi="Times New Roman" w:cs="Times New Roman"/>
        </w:rPr>
        <w:t xml:space="preserve">(EGMs) </w:t>
      </w:r>
      <w:r w:rsidR="00751BD7">
        <w:rPr>
          <w:rFonts w:ascii="Times New Roman" w:hAnsi="Times New Roman" w:cs="Times New Roman"/>
        </w:rPr>
        <w:t xml:space="preserve">are introduced </w:t>
      </w:r>
      <w:r w:rsidR="00B63F7E">
        <w:rPr>
          <w:rFonts w:ascii="Times New Roman" w:hAnsi="Times New Roman" w:cs="Times New Roman"/>
        </w:rPr>
        <w:t xml:space="preserve">into a region </w:t>
      </w:r>
      <w:r w:rsidR="00751BD7">
        <w:rPr>
          <w:rFonts w:ascii="Times New Roman" w:hAnsi="Times New Roman" w:cs="Times New Roman"/>
        </w:rPr>
        <w:t>and then made highly accessible in all</w:t>
      </w:r>
      <w:r w:rsidR="00B63F7E">
        <w:rPr>
          <w:rFonts w:ascii="Times New Roman" w:hAnsi="Times New Roman" w:cs="Times New Roman"/>
        </w:rPr>
        <w:t xml:space="preserve"> its population cente</w:t>
      </w:r>
      <w:r w:rsidR="00EC3EBB">
        <w:rPr>
          <w:rFonts w:ascii="Times New Roman" w:hAnsi="Times New Roman" w:cs="Times New Roman"/>
        </w:rPr>
        <w:t>r</w:t>
      </w:r>
      <w:r w:rsidR="00B63F7E">
        <w:rPr>
          <w:rFonts w:ascii="Times New Roman" w:hAnsi="Times New Roman" w:cs="Times New Roman"/>
        </w:rPr>
        <w:t xml:space="preserve">s, </w:t>
      </w:r>
      <w:r w:rsidR="00751BD7">
        <w:rPr>
          <w:rFonts w:ascii="Times New Roman" w:hAnsi="Times New Roman" w:cs="Times New Roman"/>
        </w:rPr>
        <w:t xml:space="preserve">as happened late in the last century in all Australian states except one, then it would be predicted that </w:t>
      </w:r>
      <w:r w:rsidR="00B63F7E">
        <w:rPr>
          <w:rFonts w:ascii="Times New Roman" w:hAnsi="Times New Roman" w:cs="Times New Roman"/>
        </w:rPr>
        <w:t xml:space="preserve">gambling problems would become more evident. A meta-analysis of 34 prevalence surveys in Australia and New Zealand between 1991 and 2008 confirmed a positive relationship between state-level problem gambling prevalence and the </w:t>
      </w:r>
      <w:r w:rsidR="00291F52">
        <w:rPr>
          <w:rFonts w:ascii="Times New Roman" w:hAnsi="Times New Roman" w:cs="Times New Roman"/>
        </w:rPr>
        <w:t xml:space="preserve">presence </w:t>
      </w:r>
      <w:r w:rsidR="00B63F7E">
        <w:rPr>
          <w:rFonts w:ascii="Times New Roman" w:hAnsi="Times New Roman" w:cs="Times New Roman"/>
        </w:rPr>
        <w:t xml:space="preserve">of EGMs and their density per unit of population (Storer, Abbott and Stubbs, </w:t>
      </w:r>
      <w:r w:rsidR="00291F52">
        <w:rPr>
          <w:rFonts w:ascii="Times New Roman" w:hAnsi="Times New Roman" w:cs="Times New Roman"/>
        </w:rPr>
        <w:t>2009)</w:t>
      </w:r>
      <w:r w:rsidR="00B63F7E">
        <w:rPr>
          <w:rFonts w:ascii="Times New Roman" w:hAnsi="Times New Roman" w:cs="Times New Roman"/>
        </w:rPr>
        <w:t>.</w:t>
      </w:r>
      <w:r w:rsidR="00291F52">
        <w:rPr>
          <w:rFonts w:ascii="Times New Roman" w:hAnsi="Times New Roman" w:cs="Times New Roman"/>
        </w:rPr>
        <w:t xml:space="preserve"> In similar vein, </w:t>
      </w:r>
      <w:r w:rsidR="00C554D1">
        <w:rPr>
          <w:rFonts w:ascii="Times New Roman" w:hAnsi="Times New Roman" w:cs="Times New Roman"/>
        </w:rPr>
        <w:t>but in a longitudinal study</w:t>
      </w:r>
      <w:r w:rsidR="00E817DF">
        <w:rPr>
          <w:rFonts w:ascii="Times New Roman" w:hAnsi="Times New Roman" w:cs="Times New Roman"/>
        </w:rPr>
        <w:t xml:space="preserve"> of individuals</w:t>
      </w:r>
      <w:r w:rsidR="00C554D1">
        <w:rPr>
          <w:rFonts w:ascii="Times New Roman" w:hAnsi="Times New Roman" w:cs="Times New Roman"/>
        </w:rPr>
        <w:t xml:space="preserve">, </w:t>
      </w:r>
      <w:r w:rsidR="00291F52">
        <w:rPr>
          <w:rFonts w:ascii="Times New Roman" w:hAnsi="Times New Roman" w:cs="Times New Roman"/>
        </w:rPr>
        <w:t>Jacques and Ladouceur (2006) examined trends in gambling behavior in the city of Hull, Qu</w:t>
      </w:r>
      <w:r w:rsidR="00EB5FB0">
        <w:rPr>
          <w:rFonts w:ascii="Times New Roman" w:hAnsi="Times New Roman" w:cs="Times New Roman"/>
        </w:rPr>
        <w:t>é</w:t>
      </w:r>
      <w:r w:rsidR="00291F52">
        <w:rPr>
          <w:rFonts w:ascii="Times New Roman" w:hAnsi="Times New Roman" w:cs="Times New Roman"/>
        </w:rPr>
        <w:t>bec following the opening of its first casino, using a control sample from a non-casino city in Qu</w:t>
      </w:r>
      <w:r w:rsidR="00EB5FB0">
        <w:rPr>
          <w:rFonts w:ascii="Times New Roman" w:hAnsi="Times New Roman" w:cs="Times New Roman"/>
        </w:rPr>
        <w:t>é</w:t>
      </w:r>
      <w:r w:rsidR="00291F52">
        <w:rPr>
          <w:rFonts w:ascii="Times New Roman" w:hAnsi="Times New Roman" w:cs="Times New Roman"/>
        </w:rPr>
        <w:t>bec to purge any effects from wider changes in the gambling environment. One year after opening, a high</w:t>
      </w:r>
      <w:r w:rsidR="00081B54">
        <w:rPr>
          <w:rFonts w:ascii="Times New Roman" w:hAnsi="Times New Roman" w:cs="Times New Roman"/>
        </w:rPr>
        <w:t>er</w:t>
      </w:r>
      <w:r w:rsidR="00291F52">
        <w:rPr>
          <w:rFonts w:ascii="Times New Roman" w:hAnsi="Times New Roman" w:cs="Times New Roman"/>
        </w:rPr>
        <w:t xml:space="preserve"> proportion of Hull residents were gamblers, there had been an increase in the ‘maximum daily loss experienced in gambling’ and </w:t>
      </w:r>
      <w:r w:rsidR="00081B54">
        <w:rPr>
          <w:rFonts w:ascii="Times New Roman" w:hAnsi="Times New Roman" w:cs="Times New Roman"/>
        </w:rPr>
        <w:t>there was now more frequent endorsement of items drawn from the South Oaks Gambling Screen (items intended to capture behavior</w:t>
      </w:r>
      <w:r w:rsidR="00E817DF">
        <w:rPr>
          <w:rFonts w:ascii="Times New Roman" w:hAnsi="Times New Roman" w:cs="Times New Roman"/>
        </w:rPr>
        <w:t xml:space="preserve">s and attitudes </w:t>
      </w:r>
      <w:r w:rsidR="00081B54">
        <w:rPr>
          <w:rFonts w:ascii="Times New Roman" w:hAnsi="Times New Roman" w:cs="Times New Roman"/>
        </w:rPr>
        <w:t>correlated with problem gambling). As in Austral</w:t>
      </w:r>
      <w:r w:rsidR="004E737D">
        <w:rPr>
          <w:rFonts w:ascii="Times New Roman" w:hAnsi="Times New Roman" w:cs="Times New Roman"/>
        </w:rPr>
        <w:t>asia</w:t>
      </w:r>
      <w:r w:rsidR="00081B54">
        <w:rPr>
          <w:rFonts w:ascii="Times New Roman" w:hAnsi="Times New Roman" w:cs="Times New Roman"/>
        </w:rPr>
        <w:t>, making a continuous form of gambling much more available was followed by a</w:t>
      </w:r>
      <w:r w:rsidR="00EB5FB0">
        <w:rPr>
          <w:rFonts w:ascii="Times New Roman" w:hAnsi="Times New Roman" w:cs="Times New Roman"/>
        </w:rPr>
        <w:t xml:space="preserve">n apparent </w:t>
      </w:r>
      <w:r w:rsidR="00081B54">
        <w:rPr>
          <w:rFonts w:ascii="Times New Roman" w:hAnsi="Times New Roman" w:cs="Times New Roman"/>
        </w:rPr>
        <w:t xml:space="preserve">increase in gambling problems in the </w:t>
      </w:r>
      <w:r w:rsidR="00206A4C">
        <w:rPr>
          <w:rFonts w:ascii="Times New Roman" w:hAnsi="Times New Roman" w:cs="Times New Roman"/>
        </w:rPr>
        <w:t xml:space="preserve">host </w:t>
      </w:r>
      <w:r w:rsidR="00081B54">
        <w:rPr>
          <w:rFonts w:ascii="Times New Roman" w:hAnsi="Times New Roman" w:cs="Times New Roman"/>
        </w:rPr>
        <w:t>community. These two studies are just examples where the adaptation hypothesis in its simple form appears to be validated.</w:t>
      </w:r>
      <w:r w:rsidR="00A547AA">
        <w:rPr>
          <w:rFonts w:ascii="Times New Roman" w:hAnsi="Times New Roman" w:cs="Times New Roman"/>
        </w:rPr>
        <w:t xml:space="preserve"> They constitute relatively strong evidence to the extent that they are </w:t>
      </w:r>
      <w:r w:rsidR="000B5DE1">
        <w:rPr>
          <w:rFonts w:ascii="Times New Roman" w:hAnsi="Times New Roman" w:cs="Times New Roman"/>
        </w:rPr>
        <w:t xml:space="preserve">essentially </w:t>
      </w:r>
      <w:r w:rsidR="00A547AA">
        <w:rPr>
          <w:rFonts w:ascii="Times New Roman" w:hAnsi="Times New Roman" w:cs="Times New Roman"/>
        </w:rPr>
        <w:t>based on natural experiments, comparing the same populations before and after a public policy intervention (</w:t>
      </w:r>
      <w:r w:rsidR="00E817DF">
        <w:rPr>
          <w:rFonts w:ascii="Times New Roman" w:hAnsi="Times New Roman" w:cs="Times New Roman"/>
        </w:rPr>
        <w:t xml:space="preserve">namely </w:t>
      </w:r>
      <w:r w:rsidR="00A547AA">
        <w:rPr>
          <w:rFonts w:ascii="Times New Roman" w:hAnsi="Times New Roman" w:cs="Times New Roman"/>
        </w:rPr>
        <w:t>permitting a new form of gaming</w:t>
      </w:r>
      <w:r w:rsidR="000B5DE1">
        <w:rPr>
          <w:rFonts w:ascii="Times New Roman" w:hAnsi="Times New Roman" w:cs="Times New Roman"/>
        </w:rPr>
        <w:t xml:space="preserve"> or expanding the number of machine venues</w:t>
      </w:r>
      <w:r w:rsidR="00A547AA">
        <w:rPr>
          <w:rFonts w:ascii="Times New Roman" w:hAnsi="Times New Roman" w:cs="Times New Roman"/>
        </w:rPr>
        <w:t xml:space="preserve">). </w:t>
      </w:r>
    </w:p>
    <w:p w14:paraId="6952586D" w14:textId="4793BB1F" w:rsidR="004D5D4F" w:rsidRDefault="002F1C90" w:rsidP="003550CF">
      <w:pPr>
        <w:spacing w:after="120" w:line="480" w:lineRule="auto"/>
        <w:ind w:firstLine="288"/>
        <w:rPr>
          <w:rFonts w:ascii="Times New Roman" w:hAnsi="Times New Roman" w:cs="Times New Roman"/>
        </w:rPr>
      </w:pPr>
      <w:r>
        <w:rPr>
          <w:rFonts w:ascii="Times New Roman" w:hAnsi="Times New Roman" w:cs="Times New Roman"/>
        </w:rPr>
        <w:t xml:space="preserve">Evidence from another </w:t>
      </w:r>
      <w:r w:rsidR="00A547AA">
        <w:rPr>
          <w:rFonts w:ascii="Times New Roman" w:hAnsi="Times New Roman" w:cs="Times New Roman"/>
        </w:rPr>
        <w:t>type of study, where participation and prevalence are related to geographical proximity to gaming opportunities,</w:t>
      </w:r>
      <w:r>
        <w:rPr>
          <w:rFonts w:ascii="Times New Roman" w:hAnsi="Times New Roman" w:cs="Times New Roman"/>
        </w:rPr>
        <w:t xml:space="preserve"> tends to point in the same direction, i.e. </w:t>
      </w:r>
      <w:r w:rsidR="00C711AB">
        <w:rPr>
          <w:rFonts w:ascii="Times New Roman" w:hAnsi="Times New Roman" w:cs="Times New Roman"/>
        </w:rPr>
        <w:t xml:space="preserve">to </w:t>
      </w:r>
      <w:r>
        <w:rPr>
          <w:rFonts w:ascii="Times New Roman" w:hAnsi="Times New Roman" w:cs="Times New Roman"/>
        </w:rPr>
        <w:t>s</w:t>
      </w:r>
      <w:r w:rsidR="007406C1">
        <w:rPr>
          <w:rFonts w:ascii="Times New Roman" w:hAnsi="Times New Roman" w:cs="Times New Roman"/>
        </w:rPr>
        <w:t xml:space="preserve">upport the exposure hypothesis. </w:t>
      </w:r>
      <w:r w:rsidR="00C711AB">
        <w:rPr>
          <w:rFonts w:ascii="Times New Roman" w:hAnsi="Times New Roman" w:cs="Times New Roman"/>
        </w:rPr>
        <w:t xml:space="preserve">For example, Adams et al. </w:t>
      </w:r>
      <w:r w:rsidR="004E737D">
        <w:rPr>
          <w:rFonts w:ascii="Times New Roman" w:hAnsi="Times New Roman" w:cs="Times New Roman"/>
        </w:rPr>
        <w:t xml:space="preserve">(2007) </w:t>
      </w:r>
      <w:r w:rsidR="00C711AB">
        <w:rPr>
          <w:rFonts w:ascii="Times New Roman" w:hAnsi="Times New Roman" w:cs="Times New Roman"/>
        </w:rPr>
        <w:t xml:space="preserve">found higher rates of (moderate) problem gambling among students at </w:t>
      </w:r>
      <w:r w:rsidR="00206A4C">
        <w:rPr>
          <w:rFonts w:ascii="Times New Roman" w:hAnsi="Times New Roman" w:cs="Times New Roman"/>
        </w:rPr>
        <w:t xml:space="preserve">two </w:t>
      </w:r>
      <w:r w:rsidR="00C711AB">
        <w:rPr>
          <w:rFonts w:ascii="Times New Roman" w:hAnsi="Times New Roman" w:cs="Times New Roman"/>
        </w:rPr>
        <w:t xml:space="preserve">Ontario campuses which had a casino </w:t>
      </w:r>
      <w:r w:rsidR="00EB5FB0">
        <w:rPr>
          <w:rFonts w:ascii="Times New Roman" w:hAnsi="Times New Roman" w:cs="Times New Roman"/>
        </w:rPr>
        <w:t xml:space="preserve">nearby </w:t>
      </w:r>
      <w:r w:rsidR="00C711AB">
        <w:rPr>
          <w:rFonts w:ascii="Times New Roman" w:hAnsi="Times New Roman" w:cs="Times New Roman"/>
        </w:rPr>
        <w:t xml:space="preserve">compared with among those attending two universities where the city had no casino. </w:t>
      </w:r>
      <w:r w:rsidR="00B31C2C">
        <w:rPr>
          <w:rFonts w:ascii="Times New Roman" w:hAnsi="Times New Roman" w:cs="Times New Roman"/>
        </w:rPr>
        <w:t xml:space="preserve">However, such studies offer relatively weak evidence because they lack a time dimension, making causation less clear. It might be, for example, that the pattern observed in Ontario was at least partially explained by students drawn strongly to gambling </w:t>
      </w:r>
      <w:r w:rsidR="00564B31">
        <w:rPr>
          <w:rFonts w:ascii="Times New Roman" w:hAnsi="Times New Roman" w:cs="Times New Roman"/>
        </w:rPr>
        <w:t xml:space="preserve">being </w:t>
      </w:r>
      <w:r w:rsidR="00B31C2C">
        <w:rPr>
          <w:rFonts w:ascii="Times New Roman" w:hAnsi="Times New Roman" w:cs="Times New Roman"/>
        </w:rPr>
        <w:t>disproportionately likely to choose a college town where there was a casino</w:t>
      </w:r>
      <w:r w:rsidR="00564B31">
        <w:rPr>
          <w:rFonts w:ascii="Times New Roman" w:hAnsi="Times New Roman" w:cs="Times New Roman"/>
        </w:rPr>
        <w:t xml:space="preserve"> (reverse causation)</w:t>
      </w:r>
      <w:r w:rsidR="00B31C2C">
        <w:rPr>
          <w:rFonts w:ascii="Times New Roman" w:hAnsi="Times New Roman" w:cs="Times New Roman"/>
        </w:rPr>
        <w:t xml:space="preserve">. On the other hand, more careful analysis can mitigate the problem. </w:t>
      </w:r>
      <w:r>
        <w:rPr>
          <w:rFonts w:ascii="Times New Roman" w:hAnsi="Times New Roman" w:cs="Times New Roman"/>
        </w:rPr>
        <w:t xml:space="preserve">For example, Welte et al. </w:t>
      </w:r>
      <w:r w:rsidR="00B31C2C">
        <w:rPr>
          <w:rFonts w:ascii="Times New Roman" w:hAnsi="Times New Roman" w:cs="Times New Roman"/>
        </w:rPr>
        <w:t xml:space="preserve">(2004) </w:t>
      </w:r>
      <w:r>
        <w:rPr>
          <w:rFonts w:ascii="Times New Roman" w:hAnsi="Times New Roman" w:cs="Times New Roman"/>
        </w:rPr>
        <w:t>analy</w:t>
      </w:r>
      <w:r w:rsidR="00EC3EBB">
        <w:rPr>
          <w:rFonts w:ascii="Times New Roman" w:hAnsi="Times New Roman" w:cs="Times New Roman"/>
        </w:rPr>
        <w:t>z</w:t>
      </w:r>
      <w:r>
        <w:rPr>
          <w:rFonts w:ascii="Times New Roman" w:hAnsi="Times New Roman" w:cs="Times New Roman"/>
        </w:rPr>
        <w:t>ed data from a national telephone survey to show that, controlling for socio-economic status, ethnicity and neighborhood deprivation, Americans were about twice as likely to exhibit signs of pathological or problem gambling if they lived within ten miles of a casino</w:t>
      </w:r>
      <w:r w:rsidR="00B31C2C">
        <w:rPr>
          <w:rFonts w:ascii="Times New Roman" w:hAnsi="Times New Roman" w:cs="Times New Roman"/>
        </w:rPr>
        <w:t>.</w:t>
      </w:r>
      <w:r w:rsidR="000D2256">
        <w:rPr>
          <w:rFonts w:ascii="Times New Roman" w:hAnsi="Times New Roman" w:cs="Times New Roman"/>
        </w:rPr>
        <w:t xml:space="preserve"> Their replication study (</w:t>
      </w:r>
      <w:r w:rsidR="000D2256" w:rsidRPr="000D2256">
        <w:rPr>
          <w:rFonts w:ascii="Times New Roman" w:hAnsi="Times New Roman" w:cs="Times New Roman"/>
        </w:rPr>
        <w:t>Welte et al, 2015)</w:t>
      </w:r>
      <w:r w:rsidR="00B656EB">
        <w:rPr>
          <w:rFonts w:ascii="Times New Roman" w:hAnsi="Times New Roman" w:cs="Times New Roman"/>
        </w:rPr>
        <w:t>,</w:t>
      </w:r>
      <w:r w:rsidR="000D2256" w:rsidRPr="000D2256">
        <w:rPr>
          <w:rFonts w:ascii="Times New Roman" w:hAnsi="Times New Roman" w:cs="Times New Roman"/>
        </w:rPr>
        <w:t xml:space="preserve"> </w:t>
      </w:r>
      <w:r w:rsidR="000D2256">
        <w:rPr>
          <w:rFonts w:ascii="Times New Roman" w:hAnsi="Times New Roman" w:cs="Times New Roman"/>
        </w:rPr>
        <w:t>carried out more than a decade later</w:t>
      </w:r>
      <w:r w:rsidR="00B656EB">
        <w:rPr>
          <w:rFonts w:ascii="Times New Roman" w:hAnsi="Times New Roman" w:cs="Times New Roman"/>
        </w:rPr>
        <w:t>,</w:t>
      </w:r>
      <w:r w:rsidR="000D2256">
        <w:rPr>
          <w:rFonts w:ascii="Times New Roman" w:hAnsi="Times New Roman" w:cs="Times New Roman"/>
        </w:rPr>
        <w:t xml:space="preserve"> confirmed this result.</w:t>
      </w:r>
      <w:r w:rsidR="007406C1">
        <w:rPr>
          <w:rFonts w:ascii="Times New Roman" w:hAnsi="Times New Roman" w:cs="Times New Roman"/>
        </w:rPr>
        <w:t xml:space="preserve"> </w:t>
      </w:r>
      <w:r w:rsidR="000D2256">
        <w:rPr>
          <w:rFonts w:ascii="Times New Roman" w:hAnsi="Times New Roman" w:cs="Times New Roman"/>
        </w:rPr>
        <w:t xml:space="preserve"> </w:t>
      </w:r>
      <w:r w:rsidR="007406C1">
        <w:rPr>
          <w:rFonts w:ascii="Times New Roman" w:hAnsi="Times New Roman" w:cs="Times New Roman"/>
        </w:rPr>
        <w:t xml:space="preserve">Similarly, Philander </w:t>
      </w:r>
      <w:r w:rsidR="000E5C6D">
        <w:rPr>
          <w:rFonts w:ascii="Times New Roman" w:hAnsi="Times New Roman" w:cs="Times New Roman"/>
        </w:rPr>
        <w:t xml:space="preserve">(2019) </w:t>
      </w:r>
      <w:r w:rsidR="007406C1">
        <w:rPr>
          <w:rFonts w:ascii="Times New Roman" w:hAnsi="Times New Roman" w:cs="Times New Roman"/>
        </w:rPr>
        <w:t>analy</w:t>
      </w:r>
      <w:r w:rsidR="00EC3EBB">
        <w:rPr>
          <w:rFonts w:ascii="Times New Roman" w:hAnsi="Times New Roman" w:cs="Times New Roman"/>
        </w:rPr>
        <w:t>ze</w:t>
      </w:r>
      <w:r w:rsidR="007406C1">
        <w:rPr>
          <w:rFonts w:ascii="Times New Roman" w:hAnsi="Times New Roman" w:cs="Times New Roman"/>
        </w:rPr>
        <w:t xml:space="preserve">d data from more than 50,000 Canadians in four provinces and found that their probability of being classified as a problem gambler was positively related to the density of casinos in their health region of residence, even after controlling for </w:t>
      </w:r>
      <w:r w:rsidR="000E5C6D">
        <w:rPr>
          <w:rFonts w:ascii="Times New Roman" w:hAnsi="Times New Roman" w:cs="Times New Roman"/>
        </w:rPr>
        <w:t xml:space="preserve">information on each individual’s status with regard to other mental health disorders. </w:t>
      </w:r>
      <w:r w:rsidR="00B31C2C">
        <w:rPr>
          <w:rFonts w:ascii="Times New Roman" w:hAnsi="Times New Roman" w:cs="Times New Roman"/>
        </w:rPr>
        <w:t xml:space="preserve">The inclusion of control variables </w:t>
      </w:r>
      <w:r w:rsidR="000E5C6D">
        <w:rPr>
          <w:rFonts w:ascii="Times New Roman" w:hAnsi="Times New Roman" w:cs="Times New Roman"/>
        </w:rPr>
        <w:t xml:space="preserve">in each of these papers </w:t>
      </w:r>
      <w:r w:rsidR="00B31C2C">
        <w:rPr>
          <w:rFonts w:ascii="Times New Roman" w:hAnsi="Times New Roman" w:cs="Times New Roman"/>
        </w:rPr>
        <w:t xml:space="preserve">mitigates the risk that a positive association can be explained by, for example, casinos choosing to locate in areas where local populations </w:t>
      </w:r>
      <w:r w:rsidR="00564B31">
        <w:rPr>
          <w:rFonts w:ascii="Times New Roman" w:hAnsi="Times New Roman" w:cs="Times New Roman"/>
        </w:rPr>
        <w:t xml:space="preserve">already </w:t>
      </w:r>
      <w:r w:rsidR="00B31C2C">
        <w:rPr>
          <w:rFonts w:ascii="Times New Roman" w:hAnsi="Times New Roman" w:cs="Times New Roman"/>
        </w:rPr>
        <w:t>exhibit characteristics associated with elevated levels of problem gambling.</w:t>
      </w:r>
    </w:p>
    <w:p w14:paraId="17172DA9" w14:textId="097E60E1" w:rsidR="00F42C59" w:rsidRDefault="004D5D4F" w:rsidP="003550CF">
      <w:pPr>
        <w:spacing w:after="120" w:line="480" w:lineRule="auto"/>
        <w:ind w:firstLine="288"/>
        <w:rPr>
          <w:rFonts w:ascii="Times New Roman" w:hAnsi="Times New Roman" w:cs="Times New Roman"/>
        </w:rPr>
      </w:pPr>
      <w:r>
        <w:rPr>
          <w:rFonts w:ascii="Times New Roman" w:hAnsi="Times New Roman" w:cs="Times New Roman"/>
        </w:rPr>
        <w:t xml:space="preserve">But evidence, even in the example </w:t>
      </w:r>
      <w:r w:rsidR="00B656EB">
        <w:rPr>
          <w:rFonts w:ascii="Times New Roman" w:hAnsi="Times New Roman" w:cs="Times New Roman"/>
        </w:rPr>
        <w:t xml:space="preserve">before-and-after </w:t>
      </w:r>
      <w:r>
        <w:rPr>
          <w:rFonts w:ascii="Times New Roman" w:hAnsi="Times New Roman" w:cs="Times New Roman"/>
        </w:rPr>
        <w:t>papers based on evidence from Australia and New Zealand and from Qu</w:t>
      </w:r>
      <w:r w:rsidR="00EB5FB0">
        <w:rPr>
          <w:rFonts w:ascii="Times New Roman" w:hAnsi="Times New Roman" w:cs="Times New Roman"/>
        </w:rPr>
        <w:t>é</w:t>
      </w:r>
      <w:r>
        <w:rPr>
          <w:rFonts w:ascii="Times New Roman" w:hAnsi="Times New Roman" w:cs="Times New Roman"/>
        </w:rPr>
        <w:t>bec</w:t>
      </w:r>
      <w:r w:rsidR="00E817DF">
        <w:rPr>
          <w:rFonts w:ascii="Times New Roman" w:hAnsi="Times New Roman" w:cs="Times New Roman"/>
        </w:rPr>
        <w:t>,</w:t>
      </w:r>
      <w:r>
        <w:rPr>
          <w:rFonts w:ascii="Times New Roman" w:hAnsi="Times New Roman" w:cs="Times New Roman"/>
        </w:rPr>
        <w:t xml:space="preserve"> is not unambiguous in its support for the </w:t>
      </w:r>
      <w:r w:rsidR="00C554D1">
        <w:rPr>
          <w:rFonts w:ascii="Times New Roman" w:hAnsi="Times New Roman" w:cs="Times New Roman"/>
        </w:rPr>
        <w:t xml:space="preserve">(unmodified) </w:t>
      </w:r>
      <w:r>
        <w:rPr>
          <w:rFonts w:ascii="Times New Roman" w:hAnsi="Times New Roman" w:cs="Times New Roman"/>
        </w:rPr>
        <w:t xml:space="preserve">exposure hypothesis. </w:t>
      </w:r>
      <w:r w:rsidR="003D4FE5">
        <w:rPr>
          <w:rFonts w:ascii="Times New Roman" w:hAnsi="Times New Roman" w:cs="Times New Roman"/>
        </w:rPr>
        <w:t>Rec</w:t>
      </w:r>
      <w:r>
        <w:rPr>
          <w:rFonts w:ascii="Times New Roman" w:hAnsi="Times New Roman" w:cs="Times New Roman"/>
        </w:rPr>
        <w:t xml:space="preserve">onsider first the meta-analysis presented by Storer, Abbott and Stubbs (2009). It </w:t>
      </w:r>
      <w:r w:rsidR="00932A04">
        <w:rPr>
          <w:rFonts w:ascii="Times New Roman" w:hAnsi="Times New Roman" w:cs="Times New Roman"/>
        </w:rPr>
        <w:t xml:space="preserve">indeed </w:t>
      </w:r>
      <w:r>
        <w:rPr>
          <w:rFonts w:ascii="Times New Roman" w:hAnsi="Times New Roman" w:cs="Times New Roman"/>
        </w:rPr>
        <w:t>showed a positive association between problem gambling prevalence and machine density. But control variables include</w:t>
      </w:r>
      <w:r w:rsidR="00563B09">
        <w:rPr>
          <w:rFonts w:ascii="Times New Roman" w:hAnsi="Times New Roman" w:cs="Times New Roman"/>
        </w:rPr>
        <w:t>d</w:t>
      </w:r>
      <w:r>
        <w:rPr>
          <w:rFonts w:ascii="Times New Roman" w:hAnsi="Times New Roman" w:cs="Times New Roman"/>
        </w:rPr>
        <w:t xml:space="preserve"> a trend term on which the coefficient estimate </w:t>
      </w:r>
      <w:r w:rsidR="00563B09">
        <w:rPr>
          <w:rFonts w:ascii="Times New Roman" w:hAnsi="Times New Roman" w:cs="Times New Roman"/>
        </w:rPr>
        <w:t>wa</w:t>
      </w:r>
      <w:r>
        <w:rPr>
          <w:rFonts w:ascii="Times New Roman" w:hAnsi="Times New Roman" w:cs="Times New Roman"/>
        </w:rPr>
        <w:t>s negative and significant. This leads to the prediction that, once machine numbers are stabili</w:t>
      </w:r>
      <w:r w:rsidR="00EC3EBB">
        <w:rPr>
          <w:rFonts w:ascii="Times New Roman" w:hAnsi="Times New Roman" w:cs="Times New Roman"/>
        </w:rPr>
        <w:t>z</w:t>
      </w:r>
      <w:r>
        <w:rPr>
          <w:rFonts w:ascii="Times New Roman" w:hAnsi="Times New Roman" w:cs="Times New Roman"/>
        </w:rPr>
        <w:t xml:space="preserve">ed, prevalence-rates will fall over time. </w:t>
      </w:r>
      <w:r w:rsidR="001F61EF">
        <w:rPr>
          <w:rFonts w:ascii="Times New Roman" w:hAnsi="Times New Roman" w:cs="Times New Roman"/>
        </w:rPr>
        <w:t>Rec</w:t>
      </w:r>
      <w:r w:rsidR="008F4A7B">
        <w:rPr>
          <w:rFonts w:ascii="Times New Roman" w:hAnsi="Times New Roman" w:cs="Times New Roman"/>
        </w:rPr>
        <w:t>onsider next the study by Jacques and Ladouceur (2006). It is true that, one year after the opening of the casino in Hull, three indicators correlated with gambling problems had increased among</w:t>
      </w:r>
      <w:r w:rsidR="00C554D1">
        <w:rPr>
          <w:rFonts w:ascii="Times New Roman" w:hAnsi="Times New Roman" w:cs="Times New Roman"/>
        </w:rPr>
        <w:t xml:space="preserve"> members</w:t>
      </w:r>
      <w:r w:rsidR="00002C4F">
        <w:rPr>
          <w:rFonts w:ascii="Times New Roman" w:hAnsi="Times New Roman" w:cs="Times New Roman"/>
        </w:rPr>
        <w:t xml:space="preserve"> of the </w:t>
      </w:r>
      <w:r w:rsidR="001F61EF">
        <w:rPr>
          <w:rFonts w:ascii="Times New Roman" w:hAnsi="Times New Roman" w:cs="Times New Roman"/>
        </w:rPr>
        <w:t xml:space="preserve">survey </w:t>
      </w:r>
      <w:r w:rsidR="00002C4F">
        <w:rPr>
          <w:rFonts w:ascii="Times New Roman" w:hAnsi="Times New Roman" w:cs="Times New Roman"/>
        </w:rPr>
        <w:t>panel</w:t>
      </w:r>
      <w:r w:rsidR="00C554D1">
        <w:rPr>
          <w:rFonts w:ascii="Times New Roman" w:hAnsi="Times New Roman" w:cs="Times New Roman"/>
        </w:rPr>
        <w:t xml:space="preserve">. But these increases were not maintained in follow-up surveys of the same panel two and four years after the casino opening. While there was considerable movement </w:t>
      </w:r>
      <w:r w:rsidR="00547471">
        <w:rPr>
          <w:rFonts w:ascii="Times New Roman" w:hAnsi="Times New Roman" w:cs="Times New Roman"/>
        </w:rPr>
        <w:t xml:space="preserve">of individuals </w:t>
      </w:r>
      <w:r w:rsidR="00C554D1">
        <w:rPr>
          <w:rFonts w:ascii="Times New Roman" w:hAnsi="Times New Roman" w:cs="Times New Roman"/>
        </w:rPr>
        <w:t>between levels of problem gambling</w:t>
      </w:r>
      <w:r w:rsidR="005A1606">
        <w:rPr>
          <w:rFonts w:ascii="Times New Roman" w:hAnsi="Times New Roman" w:cs="Times New Roman"/>
        </w:rPr>
        <w:t xml:space="preserve"> across the time points</w:t>
      </w:r>
      <w:r w:rsidR="00C554D1">
        <w:rPr>
          <w:rFonts w:ascii="Times New Roman" w:hAnsi="Times New Roman" w:cs="Times New Roman"/>
        </w:rPr>
        <w:t xml:space="preserve">, </w:t>
      </w:r>
      <w:r w:rsidR="00002C4F">
        <w:rPr>
          <w:rFonts w:ascii="Times New Roman" w:hAnsi="Times New Roman" w:cs="Times New Roman"/>
        </w:rPr>
        <w:t xml:space="preserve">including incidence of relapse, </w:t>
      </w:r>
      <w:r w:rsidR="00C554D1">
        <w:rPr>
          <w:rFonts w:ascii="Times New Roman" w:hAnsi="Times New Roman" w:cs="Times New Roman"/>
        </w:rPr>
        <w:t xml:space="preserve">the net effect of these movements left problem gambling prevalence no higher than before the casino opened. </w:t>
      </w:r>
      <w:r w:rsidR="00547471">
        <w:rPr>
          <w:rFonts w:ascii="Times New Roman" w:hAnsi="Times New Roman" w:cs="Times New Roman"/>
        </w:rPr>
        <w:t>Thus</w:t>
      </w:r>
      <w:r w:rsidR="00CC2D44">
        <w:rPr>
          <w:rFonts w:ascii="Times New Roman" w:hAnsi="Times New Roman" w:cs="Times New Roman"/>
        </w:rPr>
        <w:t>,</w:t>
      </w:r>
      <w:r w:rsidR="00547471">
        <w:rPr>
          <w:rFonts w:ascii="Times New Roman" w:hAnsi="Times New Roman" w:cs="Times New Roman"/>
        </w:rPr>
        <w:t xml:space="preserve"> t</w:t>
      </w:r>
      <w:r w:rsidR="00C554D1">
        <w:rPr>
          <w:rFonts w:ascii="Times New Roman" w:hAnsi="Times New Roman" w:cs="Times New Roman"/>
        </w:rPr>
        <w:t xml:space="preserve">he increases observed at one year </w:t>
      </w:r>
      <w:r w:rsidR="00547471">
        <w:rPr>
          <w:rFonts w:ascii="Times New Roman" w:hAnsi="Times New Roman" w:cs="Times New Roman"/>
        </w:rPr>
        <w:t xml:space="preserve">had </w:t>
      </w:r>
      <w:r w:rsidR="00C554D1">
        <w:rPr>
          <w:rFonts w:ascii="Times New Roman" w:hAnsi="Times New Roman" w:cs="Times New Roman"/>
        </w:rPr>
        <w:t>proved transient.</w:t>
      </w:r>
    </w:p>
    <w:p w14:paraId="6F3F5A9F" w14:textId="5AF095D6" w:rsidR="00803C50" w:rsidRDefault="00455B26" w:rsidP="003550CF">
      <w:pPr>
        <w:spacing w:after="120" w:line="480" w:lineRule="auto"/>
        <w:ind w:firstLine="288"/>
        <w:rPr>
          <w:rFonts w:ascii="Times New Roman" w:hAnsi="Times New Roman" w:cs="Times New Roman"/>
        </w:rPr>
      </w:pPr>
      <w:r>
        <w:rPr>
          <w:rFonts w:ascii="Times New Roman" w:hAnsi="Times New Roman" w:cs="Times New Roman"/>
        </w:rPr>
        <w:t>The ‘additional’ findings in each of these papers are consistent with a need to supplement the exposure hypothesis with an addendum to the effect that</w:t>
      </w:r>
      <w:r w:rsidR="00C73889">
        <w:rPr>
          <w:rFonts w:ascii="Times New Roman" w:hAnsi="Times New Roman" w:cs="Times New Roman"/>
        </w:rPr>
        <w:t>, while</w:t>
      </w:r>
      <w:r>
        <w:rPr>
          <w:rFonts w:ascii="Times New Roman" w:hAnsi="Times New Roman" w:cs="Times New Roman"/>
        </w:rPr>
        <w:t xml:space="preserve"> increasing availability of gambling to a population may lead to increases in gambling problems</w:t>
      </w:r>
      <w:r w:rsidR="00C73889">
        <w:rPr>
          <w:rFonts w:ascii="Times New Roman" w:hAnsi="Times New Roman" w:cs="Times New Roman"/>
        </w:rPr>
        <w:t xml:space="preserve">, </w:t>
      </w:r>
      <w:r>
        <w:rPr>
          <w:rFonts w:ascii="Times New Roman" w:hAnsi="Times New Roman" w:cs="Times New Roman"/>
        </w:rPr>
        <w:t xml:space="preserve">there may be sufficient adaptation to the new environment that these problems increase for </w:t>
      </w:r>
      <w:r w:rsidR="00C73889">
        <w:rPr>
          <w:rFonts w:ascii="Times New Roman" w:hAnsi="Times New Roman" w:cs="Times New Roman"/>
        </w:rPr>
        <w:t xml:space="preserve">only </w:t>
      </w:r>
      <w:r>
        <w:rPr>
          <w:rFonts w:ascii="Times New Roman" w:hAnsi="Times New Roman" w:cs="Times New Roman"/>
        </w:rPr>
        <w:t>a limited time and prevalence may indeed turn down again. This is the adaptation hypothesis, introduced to the gambling literature by</w:t>
      </w:r>
      <w:r w:rsidR="00C73889">
        <w:rPr>
          <w:rFonts w:ascii="Times New Roman" w:hAnsi="Times New Roman" w:cs="Times New Roman"/>
        </w:rPr>
        <w:t xml:space="preserve"> Shaffer, LaBrie and La</w:t>
      </w:r>
      <w:r w:rsidR="0053031A">
        <w:rPr>
          <w:rFonts w:ascii="Times New Roman" w:hAnsi="Times New Roman" w:cs="Times New Roman"/>
        </w:rPr>
        <w:t>P</w:t>
      </w:r>
      <w:r w:rsidR="00C73889">
        <w:rPr>
          <w:rFonts w:ascii="Times New Roman" w:hAnsi="Times New Roman" w:cs="Times New Roman"/>
        </w:rPr>
        <w:t>lante (2004) (see also LaPlante and Shaffer, 2007). Their notion that individuals and communities may adapt to the presence of a potentially harmful gambling sector is supported by much formal and informal evidence generated since. For example, Black</w:t>
      </w:r>
      <w:r w:rsidR="004550BE">
        <w:rPr>
          <w:rFonts w:ascii="Times New Roman" w:hAnsi="Times New Roman" w:cs="Times New Roman"/>
        </w:rPr>
        <w:t>, McCormick and Losch (</w:t>
      </w:r>
      <w:r w:rsidR="00C73889">
        <w:rPr>
          <w:rFonts w:ascii="Times New Roman" w:hAnsi="Times New Roman" w:cs="Times New Roman"/>
        </w:rPr>
        <w:t>2012), albeit with a relatively small sample (n=356), found rates of pathological</w:t>
      </w:r>
      <w:r w:rsidR="00A25B8F">
        <w:rPr>
          <w:rFonts w:ascii="Times New Roman" w:hAnsi="Times New Roman" w:cs="Times New Roman"/>
        </w:rPr>
        <w:t xml:space="preserve"> and problem gambling in Eastern Iowa in 2008-9 to be no higher than </w:t>
      </w:r>
      <w:r w:rsidR="00B14A66">
        <w:rPr>
          <w:rFonts w:ascii="Times New Roman" w:hAnsi="Times New Roman" w:cs="Times New Roman"/>
        </w:rPr>
        <w:t xml:space="preserve">documented </w:t>
      </w:r>
      <w:r w:rsidR="00A25B8F">
        <w:rPr>
          <w:rFonts w:ascii="Times New Roman" w:hAnsi="Times New Roman" w:cs="Times New Roman"/>
        </w:rPr>
        <w:t>in an official prevalence survey in 1997-8 notwithstanding a considerable expansion in the state’s gambling offer including additional casinos and indeed the first land</w:t>
      </w:r>
      <w:r w:rsidR="00CC2D44">
        <w:rPr>
          <w:rFonts w:ascii="Times New Roman" w:hAnsi="Times New Roman" w:cs="Times New Roman"/>
        </w:rPr>
        <w:t xml:space="preserve"> based</w:t>
      </w:r>
      <w:r w:rsidR="00A25B8F">
        <w:rPr>
          <w:rFonts w:ascii="Times New Roman" w:hAnsi="Times New Roman" w:cs="Times New Roman"/>
        </w:rPr>
        <w:t xml:space="preserve"> (as opposed to riverboat) casinos. </w:t>
      </w:r>
      <w:r w:rsidR="000D2256">
        <w:rPr>
          <w:rFonts w:ascii="Times New Roman" w:hAnsi="Times New Roman" w:cs="Times New Roman"/>
        </w:rPr>
        <w:t>Comparing the results from two similar large-scale telephone surveys covering the whole of the United States, carried out in 1999 and 2013, Welte et al. (2015) reported no change in problem gambling prevalence (and a fall in participation) despite continuing expansion of gambling facilities in the form of such as new casinos and new off-track betting outlets</w:t>
      </w:r>
      <w:r w:rsidR="00440FCE">
        <w:rPr>
          <w:rFonts w:ascii="Times New Roman" w:hAnsi="Times New Roman" w:cs="Times New Roman"/>
        </w:rPr>
        <w:t xml:space="preserve"> (also see Black et al, 2012)</w:t>
      </w:r>
      <w:r w:rsidR="000D2256">
        <w:rPr>
          <w:rFonts w:ascii="Times New Roman" w:hAnsi="Times New Roman" w:cs="Times New Roman"/>
        </w:rPr>
        <w:t xml:space="preserve">.  </w:t>
      </w:r>
      <w:r w:rsidR="00A25B8F">
        <w:rPr>
          <w:rFonts w:ascii="Times New Roman" w:hAnsi="Times New Roman" w:cs="Times New Roman"/>
        </w:rPr>
        <w:t>Likewise</w:t>
      </w:r>
      <w:r w:rsidR="00B14A66">
        <w:rPr>
          <w:rFonts w:ascii="Times New Roman" w:hAnsi="Times New Roman" w:cs="Times New Roman"/>
        </w:rPr>
        <w:t xml:space="preserve">, </w:t>
      </w:r>
      <w:r w:rsidR="00A25B8F">
        <w:rPr>
          <w:rFonts w:ascii="Times New Roman" w:hAnsi="Times New Roman" w:cs="Times New Roman"/>
        </w:rPr>
        <w:t>Abbott, Romi</w:t>
      </w:r>
      <w:r w:rsidR="000F03F5">
        <w:rPr>
          <w:rFonts w:ascii="Times New Roman" w:hAnsi="Times New Roman" w:cs="Times New Roman"/>
        </w:rPr>
        <w:t>l</w:t>
      </w:r>
      <w:r w:rsidR="00A25B8F">
        <w:rPr>
          <w:rFonts w:ascii="Times New Roman" w:hAnsi="Times New Roman" w:cs="Times New Roman"/>
        </w:rPr>
        <w:t>d and Volberg (2014) found steeply lower participation in gambling in Sweden in 2008-9 than in 1997-8, and rates of problem gambling prevalence which were no higher</w:t>
      </w:r>
      <w:r w:rsidR="00B14A66">
        <w:rPr>
          <w:rFonts w:ascii="Times New Roman" w:hAnsi="Times New Roman" w:cs="Times New Roman"/>
        </w:rPr>
        <w:t xml:space="preserve">, even though there had been substantial expansion of EGM availability, opening of the country’s first four casinos and the arrival of internet gaming including a state-owned poker website. </w:t>
      </w:r>
      <w:r w:rsidR="00A25B8F">
        <w:rPr>
          <w:rFonts w:ascii="Times New Roman" w:hAnsi="Times New Roman" w:cs="Times New Roman"/>
        </w:rPr>
        <w:t xml:space="preserve">Bondolfi et al. (2008) </w:t>
      </w:r>
      <w:r w:rsidR="00FC47A4">
        <w:rPr>
          <w:rFonts w:ascii="Times New Roman" w:hAnsi="Times New Roman" w:cs="Times New Roman"/>
        </w:rPr>
        <w:t xml:space="preserve">reported </w:t>
      </w:r>
      <w:r w:rsidR="00A25B8F">
        <w:rPr>
          <w:rFonts w:ascii="Times New Roman" w:hAnsi="Times New Roman" w:cs="Times New Roman"/>
        </w:rPr>
        <w:t>rates of pathological and problem gambling in Switzerland in 2005 which were unchanged since 1998 despite widespread openings of the country’s first casinos from 2002 (though it should be noted that convenience slot machines in non</w:t>
      </w:r>
      <w:r w:rsidR="00FC47A4">
        <w:rPr>
          <w:rFonts w:ascii="Times New Roman" w:hAnsi="Times New Roman" w:cs="Times New Roman"/>
        </w:rPr>
        <w:t>-</w:t>
      </w:r>
      <w:r w:rsidR="00A25B8F">
        <w:rPr>
          <w:rFonts w:ascii="Times New Roman" w:hAnsi="Times New Roman" w:cs="Times New Roman"/>
        </w:rPr>
        <w:t xml:space="preserve">casino locations had been removed as part of the gambling reforms). More generally, it is striking that, in countries with regular prevalence surveys, problem gambling </w:t>
      </w:r>
      <w:r w:rsidR="00803C50">
        <w:rPr>
          <w:rFonts w:ascii="Times New Roman" w:hAnsi="Times New Roman" w:cs="Times New Roman"/>
        </w:rPr>
        <w:t>prevalence</w:t>
      </w:r>
      <w:r w:rsidR="005A1606">
        <w:rPr>
          <w:rFonts w:ascii="Times New Roman" w:hAnsi="Times New Roman" w:cs="Times New Roman"/>
        </w:rPr>
        <w:t>-</w:t>
      </w:r>
      <w:r w:rsidR="00803C50">
        <w:rPr>
          <w:rFonts w:ascii="Times New Roman" w:hAnsi="Times New Roman" w:cs="Times New Roman"/>
        </w:rPr>
        <w:t>rates appear generally to have been stable or decreasing in the present century despite greater gambling availability almost everywhere, not least as a result of the emergence of an online gaming industry.</w:t>
      </w:r>
    </w:p>
    <w:p w14:paraId="6C8488BC" w14:textId="2EDA5366" w:rsidR="00D74D1E" w:rsidRDefault="00FC47A4" w:rsidP="003550CF">
      <w:pPr>
        <w:spacing w:after="120" w:line="480" w:lineRule="auto"/>
        <w:ind w:firstLine="288"/>
        <w:rPr>
          <w:rFonts w:ascii="Times New Roman" w:hAnsi="Times New Roman" w:cs="Times New Roman"/>
        </w:rPr>
      </w:pPr>
      <w:r>
        <w:rPr>
          <w:rFonts w:ascii="Times New Roman" w:hAnsi="Times New Roman" w:cs="Times New Roman"/>
        </w:rPr>
        <w:t xml:space="preserve">Although there is </w:t>
      </w:r>
      <w:r w:rsidR="00B14A66">
        <w:rPr>
          <w:rFonts w:ascii="Times New Roman" w:hAnsi="Times New Roman" w:cs="Times New Roman"/>
        </w:rPr>
        <w:t xml:space="preserve">therefore </w:t>
      </w:r>
      <w:r>
        <w:rPr>
          <w:rFonts w:ascii="Times New Roman" w:hAnsi="Times New Roman" w:cs="Times New Roman"/>
        </w:rPr>
        <w:t>much evidence favoring the adaptation version of the original exposure hypothesis, generali</w:t>
      </w:r>
      <w:r w:rsidR="00CC2D44">
        <w:rPr>
          <w:rFonts w:ascii="Times New Roman" w:hAnsi="Times New Roman" w:cs="Times New Roman"/>
        </w:rPr>
        <w:t>z</w:t>
      </w:r>
      <w:r>
        <w:rPr>
          <w:rFonts w:ascii="Times New Roman" w:hAnsi="Times New Roman" w:cs="Times New Roman"/>
        </w:rPr>
        <w:t xml:space="preserve">ation is inherently difficult. Results across studies would be expected to differ because expansion of gambling activities will take a different form and scale in different places (for example, the introduction of lotteries would not necessarily produce the same effects as the introduction of EGMs), jurisdictions will vary in whether they accompany expansion of gambling with appropriate policies to mitigate gambling harm, and impact may be less if there is already a range of gambling activities available as opposed to a very restricted gambling sector. Further, if the adaptation hypothesis is generally valid, </w:t>
      </w:r>
      <w:r w:rsidR="007C59A1">
        <w:rPr>
          <w:rFonts w:ascii="Times New Roman" w:hAnsi="Times New Roman" w:cs="Times New Roman"/>
        </w:rPr>
        <w:t xml:space="preserve">the time-series of indicators of harm should </w:t>
      </w:r>
      <w:r w:rsidR="00206A4C">
        <w:rPr>
          <w:rFonts w:ascii="Times New Roman" w:hAnsi="Times New Roman" w:cs="Times New Roman"/>
        </w:rPr>
        <w:t xml:space="preserve">first turn up and then turn down </w:t>
      </w:r>
      <w:r w:rsidR="007C59A1">
        <w:rPr>
          <w:rFonts w:ascii="Times New Roman" w:hAnsi="Times New Roman" w:cs="Times New Roman"/>
        </w:rPr>
        <w:t xml:space="preserve">after any expansion. Conclusions </w:t>
      </w:r>
      <w:r w:rsidR="00D46135">
        <w:rPr>
          <w:rFonts w:ascii="Times New Roman" w:hAnsi="Times New Roman" w:cs="Times New Roman"/>
        </w:rPr>
        <w:t xml:space="preserve">from research studies </w:t>
      </w:r>
      <w:r w:rsidR="007C59A1">
        <w:rPr>
          <w:rFonts w:ascii="Times New Roman" w:hAnsi="Times New Roman" w:cs="Times New Roman"/>
        </w:rPr>
        <w:t>may then differ according to at which points in time the indicators of harm are measured. If indicators show</w:t>
      </w:r>
      <w:r w:rsidR="00B14A66">
        <w:rPr>
          <w:rFonts w:ascii="Times New Roman" w:hAnsi="Times New Roman" w:cs="Times New Roman"/>
        </w:rPr>
        <w:t xml:space="preserve"> an</w:t>
      </w:r>
      <w:r w:rsidR="007C59A1">
        <w:rPr>
          <w:rFonts w:ascii="Times New Roman" w:hAnsi="Times New Roman" w:cs="Times New Roman"/>
        </w:rPr>
        <w:t xml:space="preserve"> increase at the time of measurement, this supports at least some version of the exposure hypothesis but does not rule out subsequent adaptation. If indicators are the same or lower at the time of measurement, this is consistent with the adaptation hypothesis but does not rule out that there had already been some initial harm after gambling expansion was implemented.</w:t>
      </w:r>
      <w:r w:rsidR="00D74D1E">
        <w:rPr>
          <w:rFonts w:ascii="Times New Roman" w:hAnsi="Times New Roman" w:cs="Times New Roman"/>
        </w:rPr>
        <w:t xml:space="preserve"> All these considerations are likely to account for heterogeneity in findings in the literature. LaPlante et al. (2018) examined 34 peer-reviewed papers which looked at gambling outcomes</w:t>
      </w:r>
      <w:r w:rsidR="00F270E2">
        <w:rPr>
          <w:rFonts w:ascii="Times New Roman" w:hAnsi="Times New Roman" w:cs="Times New Roman"/>
        </w:rPr>
        <w:t xml:space="preserve"> (variously defined, including measures of participation and problem gambling prevalence)</w:t>
      </w:r>
      <w:r w:rsidR="00D74D1E">
        <w:rPr>
          <w:rFonts w:ascii="Times New Roman" w:hAnsi="Times New Roman" w:cs="Times New Roman"/>
        </w:rPr>
        <w:t xml:space="preserve"> before and after an expansion of gambling opportunities. In 22</w:t>
      </w:r>
      <w:r w:rsidR="00CC2D44">
        <w:rPr>
          <w:rFonts w:ascii="Times New Roman" w:hAnsi="Times New Roman" w:cs="Times New Roman"/>
        </w:rPr>
        <w:t xml:space="preserve"> studies</w:t>
      </w:r>
      <w:r w:rsidR="00D74D1E">
        <w:rPr>
          <w:rFonts w:ascii="Times New Roman" w:hAnsi="Times New Roman" w:cs="Times New Roman"/>
        </w:rPr>
        <w:t>, observed outcomes were unchanged or lower. In 12</w:t>
      </w:r>
      <w:r w:rsidR="00B14A66">
        <w:rPr>
          <w:rFonts w:ascii="Times New Roman" w:hAnsi="Times New Roman" w:cs="Times New Roman"/>
        </w:rPr>
        <w:t>,</w:t>
      </w:r>
      <w:r w:rsidR="00D74D1E">
        <w:rPr>
          <w:rFonts w:ascii="Times New Roman" w:hAnsi="Times New Roman" w:cs="Times New Roman"/>
        </w:rPr>
        <w:t xml:space="preserve"> observed outcomes were higher. </w:t>
      </w:r>
      <w:r w:rsidR="00F270E2">
        <w:rPr>
          <w:rFonts w:ascii="Times New Roman" w:hAnsi="Times New Roman" w:cs="Times New Roman"/>
        </w:rPr>
        <w:t>Of the eight studies which tested statistically whether the problem gambling rate had changed, six reported that it had not.</w:t>
      </w:r>
    </w:p>
    <w:p w14:paraId="337E819E" w14:textId="08BE45DA" w:rsidR="007C59A1" w:rsidRDefault="00D74D1E" w:rsidP="003550CF">
      <w:pPr>
        <w:spacing w:after="120" w:line="480" w:lineRule="auto"/>
        <w:ind w:firstLine="288"/>
        <w:rPr>
          <w:rFonts w:ascii="Times New Roman" w:hAnsi="Times New Roman" w:cs="Times New Roman"/>
        </w:rPr>
      </w:pPr>
      <w:r>
        <w:rPr>
          <w:rFonts w:ascii="Times New Roman" w:hAnsi="Times New Roman" w:cs="Times New Roman"/>
        </w:rPr>
        <w:t xml:space="preserve">We note that the academic debate considered here has been conducted entirely in the context of Western countries. Macau presents an opportunity in an Asian context to observe how gambling outcomes in the local population </w:t>
      </w:r>
      <w:r w:rsidR="00B14A66">
        <w:rPr>
          <w:rFonts w:ascii="Times New Roman" w:hAnsi="Times New Roman" w:cs="Times New Roman"/>
        </w:rPr>
        <w:t xml:space="preserve">have </w:t>
      </w:r>
      <w:r>
        <w:rPr>
          <w:rFonts w:ascii="Times New Roman" w:hAnsi="Times New Roman" w:cs="Times New Roman"/>
        </w:rPr>
        <w:t>respond</w:t>
      </w:r>
      <w:r w:rsidR="00B14A66">
        <w:rPr>
          <w:rFonts w:ascii="Times New Roman" w:hAnsi="Times New Roman" w:cs="Times New Roman"/>
        </w:rPr>
        <w:t>ed</w:t>
      </w:r>
      <w:r>
        <w:rPr>
          <w:rFonts w:ascii="Times New Roman" w:hAnsi="Times New Roman" w:cs="Times New Roman"/>
        </w:rPr>
        <w:t xml:space="preserve"> in the face of a sustained and significant expansion of a casino industry.</w:t>
      </w:r>
    </w:p>
    <w:p w14:paraId="760C48CB" w14:textId="77777777" w:rsidR="00D803BF" w:rsidRPr="00D22D20" w:rsidRDefault="00D803BF" w:rsidP="003A6490">
      <w:pPr>
        <w:rPr>
          <w:rFonts w:ascii="Times New Roman" w:hAnsi="Times New Roman" w:cs="Times New Roman"/>
          <w:b/>
        </w:rPr>
      </w:pPr>
      <w:r w:rsidRPr="00D22D20">
        <w:rPr>
          <w:rFonts w:ascii="Times New Roman" w:hAnsi="Times New Roman" w:cs="Times New Roman"/>
          <w:b/>
        </w:rPr>
        <w:t>Literature overview: Problem gambling among casino workers</w:t>
      </w:r>
    </w:p>
    <w:p w14:paraId="505198E5" w14:textId="068A6EDA" w:rsidR="00D22D20" w:rsidRDefault="005A1606" w:rsidP="003550CF">
      <w:pPr>
        <w:spacing w:after="120" w:line="480" w:lineRule="auto"/>
        <w:ind w:firstLine="288"/>
        <w:rPr>
          <w:rFonts w:ascii="Times New Roman" w:hAnsi="Times New Roman" w:cs="Times New Roman"/>
        </w:rPr>
      </w:pPr>
      <w:r>
        <w:rPr>
          <w:rFonts w:ascii="Times New Roman" w:hAnsi="Times New Roman" w:cs="Times New Roman"/>
        </w:rPr>
        <w:t xml:space="preserve">In many sectors of the economy there is concern that workers in settings </w:t>
      </w:r>
      <w:r w:rsidR="005E2494">
        <w:rPr>
          <w:rFonts w:ascii="Times New Roman" w:hAnsi="Times New Roman" w:cs="Times New Roman"/>
        </w:rPr>
        <w:t xml:space="preserve">from </w:t>
      </w:r>
      <w:r>
        <w:rPr>
          <w:rFonts w:ascii="Times New Roman" w:hAnsi="Times New Roman" w:cs="Times New Roman"/>
        </w:rPr>
        <w:t xml:space="preserve">where a potentially risky product is </w:t>
      </w:r>
      <w:r w:rsidR="005E2494">
        <w:rPr>
          <w:rFonts w:ascii="Times New Roman" w:hAnsi="Times New Roman" w:cs="Times New Roman"/>
        </w:rPr>
        <w:t xml:space="preserve">supplied </w:t>
      </w:r>
      <w:r>
        <w:rPr>
          <w:rFonts w:ascii="Times New Roman" w:hAnsi="Times New Roman" w:cs="Times New Roman"/>
        </w:rPr>
        <w:t>may themselves be at elevated risk of harm. For example, pharmacists as a group appear to</w:t>
      </w:r>
      <w:r w:rsidR="00D22D20">
        <w:rPr>
          <w:rFonts w:ascii="Times New Roman" w:hAnsi="Times New Roman" w:cs="Times New Roman"/>
        </w:rPr>
        <w:t xml:space="preserve"> be at higher risk of recreational abuse of prescription drugs than the general population (Merlo, Cummings and Cottler, 2012); and the hospitality industry had the third-highest prevalence of (unhealthily) heavy drinking among the nineteen employment sectors covered by the US National Survey on Drug Use and Health (Bush and Lipari, 2015).</w:t>
      </w:r>
    </w:p>
    <w:p w14:paraId="65635A7D" w14:textId="4CDE6D0F" w:rsidR="00BC7413" w:rsidRDefault="00D22D20" w:rsidP="003550CF">
      <w:pPr>
        <w:spacing w:after="120" w:line="480" w:lineRule="auto"/>
        <w:ind w:firstLine="288"/>
        <w:rPr>
          <w:rFonts w:ascii="Times New Roman" w:hAnsi="Times New Roman" w:cs="Times New Roman"/>
        </w:rPr>
      </w:pPr>
      <w:r>
        <w:rPr>
          <w:rFonts w:ascii="Times New Roman" w:hAnsi="Times New Roman" w:cs="Times New Roman"/>
        </w:rPr>
        <w:t>In the case of the casino sector, concern over the possibility that workers will be at high risk of gambling harm</w:t>
      </w:r>
      <w:r w:rsidR="007641FC">
        <w:rPr>
          <w:rFonts w:ascii="Times New Roman" w:hAnsi="Times New Roman" w:cs="Times New Roman"/>
        </w:rPr>
        <w:t xml:space="preserve"> was reflected by Shaffer and Korn (2002) in their early review of problem gambling as a public health issue. They identified venue employees as one of the vulnerable groups which should be the focus of research. In general, the exposure hypothesis predicts that gambling industry employees will be at high risk because they are directly in contact with a gambling environment and culture</w:t>
      </w:r>
      <w:r w:rsidR="009D687C">
        <w:rPr>
          <w:rFonts w:ascii="Times New Roman" w:hAnsi="Times New Roman" w:cs="Times New Roman"/>
        </w:rPr>
        <w:t xml:space="preserve">, i.e. disproportionately exposed relative to the rest of the population (LaPlante and Shaffer, 2007). </w:t>
      </w:r>
      <w:r w:rsidR="007641FC">
        <w:rPr>
          <w:rFonts w:ascii="Times New Roman" w:hAnsi="Times New Roman" w:cs="Times New Roman"/>
        </w:rPr>
        <w:t>Hing and Gainsbury (2013) discuss</w:t>
      </w:r>
      <w:r w:rsidR="00121EE8">
        <w:rPr>
          <w:rFonts w:ascii="Times New Roman" w:hAnsi="Times New Roman" w:cs="Times New Roman"/>
        </w:rPr>
        <w:t>e</w:t>
      </w:r>
      <w:r w:rsidR="00046A08">
        <w:rPr>
          <w:rFonts w:ascii="Times New Roman" w:hAnsi="Times New Roman" w:cs="Times New Roman"/>
        </w:rPr>
        <w:t>d</w:t>
      </w:r>
      <w:r w:rsidR="007641FC">
        <w:rPr>
          <w:rFonts w:ascii="Times New Roman" w:hAnsi="Times New Roman" w:cs="Times New Roman"/>
        </w:rPr>
        <w:t xml:space="preserve"> the mechanisms through which this may work to increase risk, informed by </w:t>
      </w:r>
      <w:r w:rsidR="00FE5E92">
        <w:rPr>
          <w:rFonts w:ascii="Times New Roman" w:hAnsi="Times New Roman" w:cs="Times New Roman"/>
        </w:rPr>
        <w:t xml:space="preserve">an Australian </w:t>
      </w:r>
      <w:r w:rsidR="007641FC">
        <w:rPr>
          <w:rFonts w:ascii="Times New Roman" w:hAnsi="Times New Roman" w:cs="Times New Roman"/>
        </w:rPr>
        <w:t xml:space="preserve">survey </w:t>
      </w:r>
      <w:r w:rsidR="00FE5E92">
        <w:rPr>
          <w:rFonts w:ascii="Times New Roman" w:hAnsi="Times New Roman" w:cs="Times New Roman"/>
        </w:rPr>
        <w:t xml:space="preserve">of </w:t>
      </w:r>
      <w:r w:rsidR="007641FC">
        <w:rPr>
          <w:rFonts w:ascii="Times New Roman" w:hAnsi="Times New Roman" w:cs="Times New Roman"/>
        </w:rPr>
        <w:t xml:space="preserve">employees in casinos and </w:t>
      </w:r>
      <w:r w:rsidR="00FE5E92">
        <w:rPr>
          <w:rFonts w:ascii="Times New Roman" w:hAnsi="Times New Roman" w:cs="Times New Roman"/>
        </w:rPr>
        <w:t xml:space="preserve">in </w:t>
      </w:r>
      <w:r w:rsidR="007641FC">
        <w:rPr>
          <w:rFonts w:ascii="Times New Roman" w:hAnsi="Times New Roman" w:cs="Times New Roman"/>
        </w:rPr>
        <w:t>hotels and clubs offering EGM gaming</w:t>
      </w:r>
      <w:r w:rsidR="00FE5E92">
        <w:rPr>
          <w:rFonts w:ascii="Times New Roman" w:hAnsi="Times New Roman" w:cs="Times New Roman"/>
        </w:rPr>
        <w:t xml:space="preserve"> </w:t>
      </w:r>
      <w:r w:rsidR="0088244B">
        <w:rPr>
          <w:rFonts w:ascii="Times New Roman" w:hAnsi="Times New Roman" w:cs="Times New Roman"/>
        </w:rPr>
        <w:t>venue</w:t>
      </w:r>
      <w:r w:rsidR="00FE5E92">
        <w:rPr>
          <w:rFonts w:ascii="Times New Roman" w:hAnsi="Times New Roman" w:cs="Times New Roman"/>
        </w:rPr>
        <w:t>s</w:t>
      </w:r>
      <w:r w:rsidR="007641FC">
        <w:rPr>
          <w:rFonts w:ascii="Times New Roman" w:hAnsi="Times New Roman" w:cs="Times New Roman"/>
        </w:rPr>
        <w:t>. Important factors include</w:t>
      </w:r>
      <w:r w:rsidR="00FA6F2D">
        <w:rPr>
          <w:rFonts w:ascii="Times New Roman" w:hAnsi="Times New Roman" w:cs="Times New Roman"/>
        </w:rPr>
        <w:t>d</w:t>
      </w:r>
      <w:r w:rsidR="007641FC">
        <w:rPr>
          <w:rFonts w:ascii="Times New Roman" w:hAnsi="Times New Roman" w:cs="Times New Roman"/>
        </w:rPr>
        <w:t xml:space="preserve"> </w:t>
      </w:r>
      <w:r w:rsidR="00FE5E92">
        <w:rPr>
          <w:rFonts w:ascii="Times New Roman" w:hAnsi="Times New Roman" w:cs="Times New Roman"/>
        </w:rPr>
        <w:t>a</w:t>
      </w:r>
      <w:r w:rsidR="006A13E5">
        <w:rPr>
          <w:rFonts w:ascii="Times New Roman" w:hAnsi="Times New Roman" w:cs="Times New Roman"/>
        </w:rPr>
        <w:t xml:space="preserve">n approving </w:t>
      </w:r>
      <w:r w:rsidR="00FE5E92">
        <w:rPr>
          <w:rFonts w:ascii="Times New Roman" w:hAnsi="Times New Roman" w:cs="Times New Roman"/>
        </w:rPr>
        <w:t xml:space="preserve">attitude towards gambling by managers and colleagues, the presence </w:t>
      </w:r>
      <w:r w:rsidR="005E2494">
        <w:rPr>
          <w:rFonts w:ascii="Times New Roman" w:hAnsi="Times New Roman" w:cs="Times New Roman"/>
        </w:rPr>
        <w:t xml:space="preserve">in the workplace </w:t>
      </w:r>
      <w:r w:rsidR="00FE5E92">
        <w:rPr>
          <w:rFonts w:ascii="Times New Roman" w:hAnsi="Times New Roman" w:cs="Times New Roman"/>
        </w:rPr>
        <w:t>of triggers to gamble, a</w:t>
      </w:r>
      <w:r w:rsidR="00B656EB">
        <w:rPr>
          <w:rFonts w:ascii="Times New Roman" w:hAnsi="Times New Roman" w:cs="Times New Roman"/>
        </w:rPr>
        <w:t>n enhanced</w:t>
      </w:r>
      <w:r w:rsidR="00FE5E92">
        <w:rPr>
          <w:rFonts w:ascii="Times New Roman" w:hAnsi="Times New Roman" w:cs="Times New Roman"/>
        </w:rPr>
        <w:t xml:space="preserve"> knowledge about and familiarity with gambling</w:t>
      </w:r>
      <w:r w:rsidR="00BC7413">
        <w:rPr>
          <w:rFonts w:ascii="Times New Roman" w:hAnsi="Times New Roman" w:cs="Times New Roman"/>
        </w:rPr>
        <w:t xml:space="preserve">, </w:t>
      </w:r>
      <w:r w:rsidR="00FE5E92">
        <w:rPr>
          <w:rFonts w:ascii="Times New Roman" w:hAnsi="Times New Roman" w:cs="Times New Roman"/>
        </w:rPr>
        <w:t>and constraints on other means of sociali</w:t>
      </w:r>
      <w:r w:rsidR="0088244B">
        <w:rPr>
          <w:rFonts w:ascii="Times New Roman" w:hAnsi="Times New Roman" w:cs="Times New Roman"/>
        </w:rPr>
        <w:t>z</w:t>
      </w:r>
      <w:r w:rsidR="00FE5E92">
        <w:rPr>
          <w:rFonts w:ascii="Times New Roman" w:hAnsi="Times New Roman" w:cs="Times New Roman"/>
        </w:rPr>
        <w:t xml:space="preserve">ing </w:t>
      </w:r>
      <w:r w:rsidR="00BC7413">
        <w:rPr>
          <w:rFonts w:ascii="Times New Roman" w:hAnsi="Times New Roman" w:cs="Times New Roman"/>
        </w:rPr>
        <w:t xml:space="preserve">associated with </w:t>
      </w:r>
      <w:r w:rsidR="00FE5E92">
        <w:rPr>
          <w:rFonts w:ascii="Times New Roman" w:hAnsi="Times New Roman" w:cs="Times New Roman"/>
        </w:rPr>
        <w:t>the pattern of shift work in the industry.</w:t>
      </w:r>
      <w:r w:rsidR="00BC7413">
        <w:rPr>
          <w:rFonts w:ascii="Times New Roman" w:hAnsi="Times New Roman" w:cs="Times New Roman"/>
        </w:rPr>
        <w:t xml:space="preserve"> On the other hand, some employees appear</w:t>
      </w:r>
      <w:r w:rsidR="005E2494">
        <w:rPr>
          <w:rFonts w:ascii="Times New Roman" w:hAnsi="Times New Roman" w:cs="Times New Roman"/>
        </w:rPr>
        <w:t>ed</w:t>
      </w:r>
      <w:r w:rsidR="00BC7413">
        <w:rPr>
          <w:rFonts w:ascii="Times New Roman" w:hAnsi="Times New Roman" w:cs="Times New Roman"/>
        </w:rPr>
        <w:t xml:space="preserve"> to benefit from protective factors such as observing customer</w:t>
      </w:r>
      <w:r w:rsidR="006A13E5">
        <w:rPr>
          <w:rFonts w:ascii="Times New Roman" w:hAnsi="Times New Roman" w:cs="Times New Roman"/>
        </w:rPr>
        <w:t>s’</w:t>
      </w:r>
      <w:r w:rsidR="00BC7413">
        <w:rPr>
          <w:rFonts w:ascii="Times New Roman" w:hAnsi="Times New Roman" w:cs="Times New Roman"/>
        </w:rPr>
        <w:t xml:space="preserve"> losses and hearing about the problems gaming has caused them and </w:t>
      </w:r>
      <w:r w:rsidR="006A13E5">
        <w:rPr>
          <w:rFonts w:ascii="Times New Roman" w:hAnsi="Times New Roman" w:cs="Times New Roman"/>
        </w:rPr>
        <w:t xml:space="preserve">also </w:t>
      </w:r>
      <w:r w:rsidR="00BC7413">
        <w:rPr>
          <w:rFonts w:ascii="Times New Roman" w:hAnsi="Times New Roman" w:cs="Times New Roman"/>
        </w:rPr>
        <w:t xml:space="preserve">from discouragement of gambling activity by some colleagues. </w:t>
      </w:r>
      <w:r w:rsidR="00FA6F2D">
        <w:rPr>
          <w:rFonts w:ascii="Times New Roman" w:hAnsi="Times New Roman" w:cs="Times New Roman"/>
        </w:rPr>
        <w:t>Guttentag</w:t>
      </w:r>
      <w:r w:rsidR="00D46135">
        <w:rPr>
          <w:rFonts w:ascii="Times New Roman" w:hAnsi="Times New Roman" w:cs="Times New Roman"/>
        </w:rPr>
        <w:t>, Harrigan and Smith</w:t>
      </w:r>
      <w:r w:rsidR="00FA6F2D">
        <w:rPr>
          <w:rFonts w:ascii="Times New Roman" w:hAnsi="Times New Roman" w:cs="Times New Roman"/>
        </w:rPr>
        <w:t xml:space="preserve"> (2012) report</w:t>
      </w:r>
      <w:r w:rsidR="00BA47C0">
        <w:rPr>
          <w:rFonts w:ascii="Times New Roman" w:hAnsi="Times New Roman" w:cs="Times New Roman"/>
        </w:rPr>
        <w:t>ed</w:t>
      </w:r>
      <w:r w:rsidR="00FA6F2D">
        <w:rPr>
          <w:rFonts w:ascii="Times New Roman" w:hAnsi="Times New Roman" w:cs="Times New Roman"/>
        </w:rPr>
        <w:t xml:space="preserve"> that </w:t>
      </w:r>
      <w:r w:rsidR="007F1C03">
        <w:rPr>
          <w:rFonts w:ascii="Times New Roman" w:hAnsi="Times New Roman" w:cs="Times New Roman"/>
        </w:rPr>
        <w:t>72</w:t>
      </w:r>
      <w:r w:rsidR="00FA6F2D">
        <w:rPr>
          <w:rFonts w:ascii="Times New Roman" w:hAnsi="Times New Roman" w:cs="Times New Roman"/>
        </w:rPr>
        <w:t>% of more than 900 employees in five Ontario casinos agreed or strongly agreed that ‘as I have become more knowledgeable about the games</w:t>
      </w:r>
      <w:r w:rsidR="00D77C2C">
        <w:rPr>
          <w:rFonts w:ascii="Times New Roman" w:hAnsi="Times New Roman" w:cs="Times New Roman"/>
        </w:rPr>
        <w:t>,</w:t>
      </w:r>
      <w:r w:rsidR="00FA6F2D">
        <w:rPr>
          <w:rFonts w:ascii="Times New Roman" w:hAnsi="Times New Roman" w:cs="Times New Roman"/>
        </w:rPr>
        <w:t xml:space="preserve"> I have realized that I cannot overcome the house odds in most games’. </w:t>
      </w:r>
      <w:r w:rsidR="007F1C03">
        <w:rPr>
          <w:rFonts w:ascii="Times New Roman" w:hAnsi="Times New Roman" w:cs="Times New Roman"/>
        </w:rPr>
        <w:t>Increasing knowledge as a result of occupational exposure was also demonstrated in Dangerfield’s (2004) survey of 123 staff at two Alberta casinos, where a significantly smaller proportion of respondents proved susceptible to ‘the gambler’s fallacy</w:t>
      </w:r>
      <w:r w:rsidR="00A2394B">
        <w:rPr>
          <w:rFonts w:ascii="Times New Roman" w:hAnsi="Times New Roman" w:cs="Times New Roman"/>
        </w:rPr>
        <w:t>’</w:t>
      </w:r>
      <w:r w:rsidR="007F1C03">
        <w:rPr>
          <w:rFonts w:ascii="Times New Roman" w:hAnsi="Times New Roman" w:cs="Times New Roman"/>
        </w:rPr>
        <w:t xml:space="preserve"> than had been estimated </w:t>
      </w:r>
      <w:r w:rsidR="00046A08">
        <w:rPr>
          <w:rFonts w:ascii="Times New Roman" w:hAnsi="Times New Roman" w:cs="Times New Roman"/>
        </w:rPr>
        <w:t xml:space="preserve">for </w:t>
      </w:r>
      <w:r w:rsidR="007F1C03">
        <w:rPr>
          <w:rFonts w:ascii="Times New Roman" w:hAnsi="Times New Roman" w:cs="Times New Roman"/>
        </w:rPr>
        <w:t xml:space="preserve">the general provincial population. </w:t>
      </w:r>
      <w:r w:rsidR="00FA6F2D">
        <w:rPr>
          <w:rFonts w:ascii="Times New Roman" w:hAnsi="Times New Roman" w:cs="Times New Roman"/>
        </w:rPr>
        <w:t xml:space="preserve">Boredom with the gambling environment </w:t>
      </w:r>
      <w:r w:rsidR="007F1C03">
        <w:rPr>
          <w:rFonts w:ascii="Times New Roman" w:hAnsi="Times New Roman" w:cs="Times New Roman"/>
        </w:rPr>
        <w:t xml:space="preserve">is </w:t>
      </w:r>
      <w:r w:rsidR="00FA6F2D">
        <w:rPr>
          <w:rFonts w:ascii="Times New Roman" w:hAnsi="Times New Roman" w:cs="Times New Roman"/>
        </w:rPr>
        <w:t>a</w:t>
      </w:r>
      <w:r w:rsidR="007F1C03">
        <w:rPr>
          <w:rFonts w:ascii="Times New Roman" w:hAnsi="Times New Roman" w:cs="Times New Roman"/>
        </w:rPr>
        <w:t xml:space="preserve"> further </w:t>
      </w:r>
      <w:r w:rsidR="00FA6F2D">
        <w:rPr>
          <w:rFonts w:ascii="Times New Roman" w:hAnsi="Times New Roman" w:cs="Times New Roman"/>
        </w:rPr>
        <w:t xml:space="preserve">possible protective influence </w:t>
      </w:r>
      <w:r w:rsidR="007F1C03">
        <w:rPr>
          <w:rFonts w:ascii="Times New Roman" w:hAnsi="Times New Roman" w:cs="Times New Roman"/>
        </w:rPr>
        <w:t xml:space="preserve">for casino staff </w:t>
      </w:r>
      <w:r w:rsidR="00FA6F2D">
        <w:rPr>
          <w:rFonts w:ascii="Times New Roman" w:hAnsi="Times New Roman" w:cs="Times New Roman"/>
        </w:rPr>
        <w:t xml:space="preserve">as </w:t>
      </w:r>
      <w:r w:rsidR="007640F6">
        <w:rPr>
          <w:rFonts w:ascii="Times New Roman" w:hAnsi="Times New Roman" w:cs="Times New Roman"/>
        </w:rPr>
        <w:t>7</w:t>
      </w:r>
      <w:r w:rsidR="007F1C03">
        <w:rPr>
          <w:rFonts w:ascii="Times New Roman" w:hAnsi="Times New Roman" w:cs="Times New Roman"/>
        </w:rPr>
        <w:t xml:space="preserve">0% of the Ontario sample in Guttentag, Harrigan and Smith (2012) </w:t>
      </w:r>
      <w:r w:rsidR="00FA6F2D">
        <w:rPr>
          <w:rFonts w:ascii="Times New Roman" w:hAnsi="Times New Roman" w:cs="Times New Roman"/>
        </w:rPr>
        <w:t>endorsed that ‘after work I want to avoid spending even more time in a casino or involved with gambling’.</w:t>
      </w:r>
    </w:p>
    <w:p w14:paraId="2F934A53" w14:textId="0C0AC746" w:rsidR="00981CC0" w:rsidRDefault="00BC7413" w:rsidP="003550CF">
      <w:pPr>
        <w:spacing w:after="120" w:line="480" w:lineRule="auto"/>
        <w:ind w:firstLine="288"/>
        <w:rPr>
          <w:rFonts w:ascii="Times New Roman" w:hAnsi="Times New Roman" w:cs="Times New Roman"/>
        </w:rPr>
      </w:pPr>
      <w:r>
        <w:rPr>
          <w:rFonts w:ascii="Times New Roman" w:hAnsi="Times New Roman" w:cs="Times New Roman"/>
        </w:rPr>
        <w:t>Potentially then, exposure through employment could in principle increase or decrease risk of problem gambling</w:t>
      </w:r>
      <w:r w:rsidR="00FA6F2D">
        <w:rPr>
          <w:rFonts w:ascii="Times New Roman" w:hAnsi="Times New Roman" w:cs="Times New Roman"/>
        </w:rPr>
        <w:t xml:space="preserve"> across the whole group of employees</w:t>
      </w:r>
      <w:r>
        <w:rPr>
          <w:rFonts w:ascii="Times New Roman" w:hAnsi="Times New Roman" w:cs="Times New Roman"/>
        </w:rPr>
        <w:t xml:space="preserve">. However, </w:t>
      </w:r>
      <w:r w:rsidR="003B650A">
        <w:rPr>
          <w:rFonts w:ascii="Times New Roman" w:hAnsi="Times New Roman" w:cs="Times New Roman"/>
        </w:rPr>
        <w:t>most published studies es</w:t>
      </w:r>
      <w:r>
        <w:rPr>
          <w:rFonts w:ascii="Times New Roman" w:hAnsi="Times New Roman" w:cs="Times New Roman"/>
        </w:rPr>
        <w:t>timate prevalence-rates far in excess of population norms.</w:t>
      </w:r>
      <w:r w:rsidR="00642457">
        <w:rPr>
          <w:rFonts w:ascii="Times New Roman" w:hAnsi="Times New Roman" w:cs="Times New Roman"/>
        </w:rPr>
        <w:t xml:space="preserve"> For example, </w:t>
      </w:r>
      <w:r w:rsidR="003B650A">
        <w:rPr>
          <w:rFonts w:ascii="Times New Roman" w:hAnsi="Times New Roman" w:cs="Times New Roman"/>
        </w:rPr>
        <w:t>the combined prevalence-rate of moderate</w:t>
      </w:r>
      <w:r w:rsidR="00046A08">
        <w:rPr>
          <w:rFonts w:ascii="Times New Roman" w:hAnsi="Times New Roman" w:cs="Times New Roman"/>
        </w:rPr>
        <w:t>-</w:t>
      </w:r>
      <w:r w:rsidR="003B650A">
        <w:rPr>
          <w:rFonts w:ascii="Times New Roman" w:hAnsi="Times New Roman" w:cs="Times New Roman"/>
        </w:rPr>
        <w:t xml:space="preserve">risk and problem gambling </w:t>
      </w:r>
      <w:r w:rsidR="007E5744">
        <w:rPr>
          <w:rFonts w:ascii="Times New Roman" w:hAnsi="Times New Roman" w:cs="Times New Roman"/>
        </w:rPr>
        <w:t xml:space="preserve">among the casino staff in Ontario surveyed by Guttentag, Harrigan and Smith (2012) was 12.1% compared with 3.4% in the general population of the province; and </w:t>
      </w:r>
      <w:r w:rsidR="00642457">
        <w:rPr>
          <w:rFonts w:ascii="Times New Roman" w:hAnsi="Times New Roman" w:cs="Times New Roman"/>
        </w:rPr>
        <w:t>Hing and Nisbet</w:t>
      </w:r>
      <w:r w:rsidR="003B650A">
        <w:rPr>
          <w:rFonts w:ascii="Times New Roman" w:hAnsi="Times New Roman" w:cs="Times New Roman"/>
        </w:rPr>
        <w:t xml:space="preserve"> (2009)</w:t>
      </w:r>
      <w:r w:rsidR="007E5744">
        <w:rPr>
          <w:rFonts w:ascii="Times New Roman" w:hAnsi="Times New Roman" w:cs="Times New Roman"/>
        </w:rPr>
        <w:t>, from a survey of 532 gaming venue employees in Victoria, found a similarly</w:t>
      </w:r>
      <w:r w:rsidR="00D77C2C">
        <w:rPr>
          <w:rFonts w:ascii="Times New Roman" w:hAnsi="Times New Roman" w:cs="Times New Roman"/>
        </w:rPr>
        <w:t>-</w:t>
      </w:r>
      <w:r w:rsidR="007E5744">
        <w:rPr>
          <w:rFonts w:ascii="Times New Roman" w:hAnsi="Times New Roman" w:cs="Times New Roman"/>
        </w:rPr>
        <w:t>defined prevalence-rate of 19.3% compared to an estimate of 1.9% for the</w:t>
      </w:r>
      <w:r w:rsidR="00134F00">
        <w:rPr>
          <w:rFonts w:ascii="Times New Roman" w:hAnsi="Times New Roman" w:cs="Times New Roman"/>
        </w:rPr>
        <w:t xml:space="preserve"> state made four years before (b</w:t>
      </w:r>
      <w:r w:rsidR="007E5744">
        <w:rPr>
          <w:rFonts w:ascii="Times New Roman" w:hAnsi="Times New Roman" w:cs="Times New Roman"/>
        </w:rPr>
        <w:t>oth these studies also revealed far above-average gambling participation among their gaming employees</w:t>
      </w:r>
      <w:r w:rsidR="00134F00">
        <w:rPr>
          <w:rFonts w:ascii="Times New Roman" w:hAnsi="Times New Roman" w:cs="Times New Roman"/>
        </w:rPr>
        <w:t>)</w:t>
      </w:r>
      <w:r w:rsidR="007E5744">
        <w:rPr>
          <w:rFonts w:ascii="Times New Roman" w:hAnsi="Times New Roman" w:cs="Times New Roman"/>
        </w:rPr>
        <w:t>.</w:t>
      </w:r>
      <w:r w:rsidR="00134F00">
        <w:rPr>
          <w:rFonts w:ascii="Times New Roman" w:hAnsi="Times New Roman" w:cs="Times New Roman"/>
        </w:rPr>
        <w:t xml:space="preserve"> An exception</w:t>
      </w:r>
      <w:r w:rsidR="00D77C2C">
        <w:rPr>
          <w:rFonts w:ascii="Times New Roman" w:hAnsi="Times New Roman" w:cs="Times New Roman"/>
        </w:rPr>
        <w:t xml:space="preserve"> to these and findings in similar studies conducted in Western countries was in the only Asian study we identified. </w:t>
      </w:r>
      <w:r w:rsidR="00981CC0">
        <w:rPr>
          <w:rFonts w:ascii="Times New Roman" w:hAnsi="Times New Roman" w:cs="Times New Roman"/>
        </w:rPr>
        <w:t>Lee et al. (2008) reported that only 3% of respondents to a survey of South Korean casino employees met the criteria for lifetime Level 3 gambling set by the South Oaks Gambling screen, which was no higher a prevalence-rate of problem gambling than in the national population.</w:t>
      </w:r>
    </w:p>
    <w:p w14:paraId="40970E9F" w14:textId="148B6E59" w:rsidR="00455B26" w:rsidRDefault="00AB7B79" w:rsidP="003550CF">
      <w:pPr>
        <w:spacing w:after="120" w:line="480" w:lineRule="auto"/>
        <w:ind w:firstLine="288"/>
        <w:rPr>
          <w:rFonts w:ascii="Times New Roman" w:hAnsi="Times New Roman" w:cs="Times New Roman"/>
        </w:rPr>
      </w:pPr>
      <w:r>
        <w:rPr>
          <w:rFonts w:ascii="Times New Roman" w:hAnsi="Times New Roman" w:cs="Times New Roman"/>
        </w:rPr>
        <w:t xml:space="preserve">Studies documenting elevated rates among casino workers carry a powerful message of the need for employers in the sector to provide responsible gambling programs for their staff. However, they cannot themselves yield decisive evidence relevant to the evaluation of the exposure and adaptation hypotheses. For example, high prevalence-rates may be associated with a tendency for those already most heavily engaged with gambling to seek jobs in casinos. Guttentag, Harrigan and Smith (2012) investigated reasons for joining the industry and reported that a significant proportion of their respondents agreed with the statement </w:t>
      </w:r>
      <w:r w:rsidR="004763A9">
        <w:rPr>
          <w:rFonts w:ascii="Times New Roman" w:hAnsi="Times New Roman" w:cs="Times New Roman"/>
        </w:rPr>
        <w:t>‘</w:t>
      </w:r>
      <w:r>
        <w:rPr>
          <w:rFonts w:ascii="Times New Roman" w:hAnsi="Times New Roman" w:cs="Times New Roman"/>
        </w:rPr>
        <w:t>I was a frequent gambler who thought I would enjoy the work</w:t>
      </w:r>
      <w:r w:rsidR="004763A9">
        <w:rPr>
          <w:rFonts w:ascii="Times New Roman" w:hAnsi="Times New Roman" w:cs="Times New Roman"/>
        </w:rPr>
        <w:t>’</w:t>
      </w:r>
      <w:r w:rsidR="00615856">
        <w:rPr>
          <w:rFonts w:ascii="Times New Roman" w:hAnsi="Times New Roman" w:cs="Times New Roman"/>
        </w:rPr>
        <w:t>.</w:t>
      </w:r>
    </w:p>
    <w:p w14:paraId="7E18B3A3" w14:textId="74223FD1" w:rsidR="00421742" w:rsidRDefault="00615856" w:rsidP="003550CF">
      <w:pPr>
        <w:spacing w:after="120" w:line="480" w:lineRule="auto"/>
        <w:ind w:firstLine="288"/>
        <w:rPr>
          <w:rFonts w:ascii="Times New Roman" w:hAnsi="Times New Roman" w:cs="Times New Roman"/>
        </w:rPr>
      </w:pPr>
      <w:r>
        <w:rPr>
          <w:rFonts w:ascii="Times New Roman" w:hAnsi="Times New Roman" w:cs="Times New Roman"/>
        </w:rPr>
        <w:t xml:space="preserve">Since the exposure and adaptation hypotheses are based on dynamic processes, the first-best approach </w:t>
      </w:r>
      <w:r w:rsidR="00DD08D0">
        <w:rPr>
          <w:rFonts w:ascii="Times New Roman" w:hAnsi="Times New Roman" w:cs="Times New Roman"/>
        </w:rPr>
        <w:t xml:space="preserve">to overcome the problem of reverse causation </w:t>
      </w:r>
      <w:r>
        <w:rPr>
          <w:rFonts w:ascii="Times New Roman" w:hAnsi="Times New Roman" w:cs="Times New Roman"/>
        </w:rPr>
        <w:t xml:space="preserve">is to observe </w:t>
      </w:r>
      <w:r w:rsidRPr="00DD08D0">
        <w:rPr>
          <w:rFonts w:ascii="Times New Roman" w:hAnsi="Times New Roman" w:cs="Times New Roman"/>
          <w:i/>
        </w:rPr>
        <w:t>changes</w:t>
      </w:r>
      <w:r>
        <w:rPr>
          <w:rFonts w:ascii="Times New Roman" w:hAnsi="Times New Roman" w:cs="Times New Roman"/>
        </w:rPr>
        <w:t xml:space="preserve"> in casino employee behavior over time. Shaffer and Hall (2002) </w:t>
      </w:r>
      <w:r w:rsidR="00FB3922">
        <w:rPr>
          <w:rFonts w:ascii="Times New Roman" w:hAnsi="Times New Roman" w:cs="Times New Roman"/>
        </w:rPr>
        <w:t>surveyed 6,067 American casino workers, with follow-ups one and two years later. However, there was a high attrition-rate and only 1,167 were surveyed at each of the three time points.</w:t>
      </w:r>
      <w:r w:rsidR="00E161B8">
        <w:rPr>
          <w:rFonts w:ascii="Times New Roman" w:hAnsi="Times New Roman" w:cs="Times New Roman"/>
        </w:rPr>
        <w:t xml:space="preserve"> Among this latter group, there was considerable heterogeneity in how their gambling status (according to the South Oaks Gambling Screen) varied between the three points in time but many more </w:t>
      </w:r>
      <w:r w:rsidR="004763A9">
        <w:rPr>
          <w:rFonts w:ascii="Times New Roman" w:hAnsi="Times New Roman" w:cs="Times New Roman"/>
        </w:rPr>
        <w:t>‘</w:t>
      </w:r>
      <w:r w:rsidR="00E161B8">
        <w:rPr>
          <w:rFonts w:ascii="Times New Roman" w:hAnsi="Times New Roman" w:cs="Times New Roman"/>
        </w:rPr>
        <w:t>improved</w:t>
      </w:r>
      <w:r w:rsidR="004763A9">
        <w:rPr>
          <w:rFonts w:ascii="Times New Roman" w:hAnsi="Times New Roman" w:cs="Times New Roman"/>
        </w:rPr>
        <w:t>’</w:t>
      </w:r>
      <w:r w:rsidR="00E161B8">
        <w:rPr>
          <w:rFonts w:ascii="Times New Roman" w:hAnsi="Times New Roman" w:cs="Times New Roman"/>
        </w:rPr>
        <w:t xml:space="preserve"> than shifted to a </w:t>
      </w:r>
      <w:r w:rsidR="004763A9">
        <w:rPr>
          <w:rFonts w:ascii="Times New Roman" w:hAnsi="Times New Roman" w:cs="Times New Roman"/>
        </w:rPr>
        <w:t>‘</w:t>
      </w:r>
      <w:r w:rsidR="00E161B8">
        <w:rPr>
          <w:rFonts w:ascii="Times New Roman" w:hAnsi="Times New Roman" w:cs="Times New Roman"/>
        </w:rPr>
        <w:t>worse</w:t>
      </w:r>
      <w:r w:rsidR="004763A9">
        <w:rPr>
          <w:rFonts w:ascii="Times New Roman" w:hAnsi="Times New Roman" w:cs="Times New Roman"/>
        </w:rPr>
        <w:t>’</w:t>
      </w:r>
      <w:r w:rsidR="00E161B8">
        <w:rPr>
          <w:rFonts w:ascii="Times New Roman" w:hAnsi="Times New Roman" w:cs="Times New Roman"/>
        </w:rPr>
        <w:t xml:space="preserve"> status and, as a result, prevalence of Level 3 gambling declined from 4.4% at baseline to 2.0% at one year and 1.8% at two years; the number experiencing the less severe Level 2 gambling also declined. These declines are consistent with the adaptation hypothesis. Of course</w:t>
      </w:r>
      <w:r w:rsidR="0088244B">
        <w:rPr>
          <w:rFonts w:ascii="Times New Roman" w:hAnsi="Times New Roman" w:cs="Times New Roman"/>
        </w:rPr>
        <w:t>,</w:t>
      </w:r>
      <w:r w:rsidR="00E161B8">
        <w:rPr>
          <w:rFonts w:ascii="Times New Roman" w:hAnsi="Times New Roman" w:cs="Times New Roman"/>
        </w:rPr>
        <w:t xml:space="preserve"> there are caveats. First, no comparison is made with a non-casino group to allow for a natural tendency towards recovery </w:t>
      </w:r>
      <w:r w:rsidR="00046A08">
        <w:rPr>
          <w:rFonts w:ascii="Times New Roman" w:hAnsi="Times New Roman" w:cs="Times New Roman"/>
        </w:rPr>
        <w:t xml:space="preserve">even </w:t>
      </w:r>
      <w:r w:rsidR="00E161B8">
        <w:rPr>
          <w:rFonts w:ascii="Times New Roman" w:hAnsi="Times New Roman" w:cs="Times New Roman"/>
        </w:rPr>
        <w:t xml:space="preserve">in </w:t>
      </w:r>
      <w:r w:rsidR="00046A08">
        <w:rPr>
          <w:rFonts w:ascii="Times New Roman" w:hAnsi="Times New Roman" w:cs="Times New Roman"/>
        </w:rPr>
        <w:t xml:space="preserve">less </w:t>
      </w:r>
      <w:r w:rsidR="00E161B8">
        <w:rPr>
          <w:rFonts w:ascii="Times New Roman" w:hAnsi="Times New Roman" w:cs="Times New Roman"/>
        </w:rPr>
        <w:t>exposed populations. Second, there was a very high attrition-rate, to be expected given the high turnover in this labor force</w:t>
      </w:r>
      <w:r w:rsidR="00046A08">
        <w:rPr>
          <w:rFonts w:ascii="Times New Roman" w:hAnsi="Times New Roman" w:cs="Times New Roman"/>
        </w:rPr>
        <w:t>,</w:t>
      </w:r>
      <w:r w:rsidR="00E161B8">
        <w:rPr>
          <w:rFonts w:ascii="Times New Roman" w:hAnsi="Times New Roman" w:cs="Times New Roman"/>
        </w:rPr>
        <w:t xml:space="preserve"> and this may have biased results, for example those who developed gambling problems may often have been encouraged to leave their job. Nevertheless, this is a study with </w:t>
      </w:r>
      <w:r w:rsidR="00561674">
        <w:rPr>
          <w:rFonts w:ascii="Times New Roman" w:hAnsi="Times New Roman" w:cs="Times New Roman"/>
        </w:rPr>
        <w:t xml:space="preserve">a prospective longitudinal design which shows that deterioration in gambling status does not inevitably follow from workplace exposure to gambling and enough cases of improvement are observed to conclude that the adaptation hypothesis captures a real phenomenon. </w:t>
      </w:r>
      <w:r w:rsidR="000F3578">
        <w:rPr>
          <w:rFonts w:ascii="Times New Roman" w:hAnsi="Times New Roman" w:cs="Times New Roman"/>
        </w:rPr>
        <w:t xml:space="preserve">However, </w:t>
      </w:r>
      <w:r w:rsidR="00561674">
        <w:rPr>
          <w:rFonts w:ascii="Times New Roman" w:hAnsi="Times New Roman" w:cs="Times New Roman"/>
        </w:rPr>
        <w:t>it should be remembered that the hypothesis is about aggregate outcomes. Individuals are heterogeneous and a significant number of respondents still progressed to a greater level of problems and</w:t>
      </w:r>
      <w:r w:rsidR="00046A08">
        <w:rPr>
          <w:rFonts w:ascii="Times New Roman" w:hAnsi="Times New Roman" w:cs="Times New Roman"/>
        </w:rPr>
        <w:t>,</w:t>
      </w:r>
      <w:r w:rsidR="00561674">
        <w:rPr>
          <w:rFonts w:ascii="Times New Roman" w:hAnsi="Times New Roman" w:cs="Times New Roman"/>
        </w:rPr>
        <w:t xml:space="preserve"> for some</w:t>
      </w:r>
      <w:r w:rsidR="00046A08">
        <w:rPr>
          <w:rFonts w:ascii="Times New Roman" w:hAnsi="Times New Roman" w:cs="Times New Roman"/>
        </w:rPr>
        <w:t>,</w:t>
      </w:r>
      <w:r w:rsidR="00561674">
        <w:rPr>
          <w:rFonts w:ascii="Times New Roman" w:hAnsi="Times New Roman" w:cs="Times New Roman"/>
        </w:rPr>
        <w:t xml:space="preserve"> these may have been aggravated by the environment in which they worked.</w:t>
      </w:r>
    </w:p>
    <w:p w14:paraId="14B0782B" w14:textId="60F7326E" w:rsidR="00EE0C24" w:rsidRDefault="00421742" w:rsidP="003550CF">
      <w:pPr>
        <w:spacing w:after="120" w:line="480" w:lineRule="auto"/>
        <w:ind w:firstLine="288"/>
        <w:rPr>
          <w:rFonts w:ascii="Times New Roman" w:hAnsi="Times New Roman" w:cs="Times New Roman"/>
        </w:rPr>
      </w:pPr>
      <w:r>
        <w:rPr>
          <w:rFonts w:ascii="Times New Roman" w:hAnsi="Times New Roman" w:cs="Times New Roman"/>
        </w:rPr>
        <w:t xml:space="preserve">Longitudinal studies are rare in all fields because they are difficult and expensive to carry out. Other authors cited above have </w:t>
      </w:r>
      <w:r w:rsidR="001F61EF">
        <w:rPr>
          <w:rFonts w:ascii="Times New Roman" w:hAnsi="Times New Roman" w:cs="Times New Roman"/>
        </w:rPr>
        <w:t xml:space="preserve">only been able to </w:t>
      </w:r>
      <w:r>
        <w:rPr>
          <w:rFonts w:ascii="Times New Roman" w:hAnsi="Times New Roman" w:cs="Times New Roman"/>
        </w:rPr>
        <w:t xml:space="preserve">report results from cross-sectional studies of casino employees. However, some have attempted to capture dynamics by asking respondents about their gambling behavior in the past, typically at the point when they entered the industry. They will not have had a screen for problem gambling applied to them but information, albeit unavoidably subject to recall bias, can be obtained to allow evaluation of whether individuals have gambled more heavily or more frequently over time. </w:t>
      </w:r>
      <w:r w:rsidR="00D51B30">
        <w:rPr>
          <w:rFonts w:ascii="Times New Roman" w:hAnsi="Times New Roman" w:cs="Times New Roman"/>
        </w:rPr>
        <w:t>For example, Guttentag, Harrigan and Smith (2012) found that the majority (59.4%) had not changed and, of the remainder, many more (28.4%) had decreased rather than increased (</w:t>
      </w:r>
      <w:r w:rsidR="00EE0C24">
        <w:rPr>
          <w:rFonts w:ascii="Times New Roman" w:hAnsi="Times New Roman" w:cs="Times New Roman"/>
        </w:rPr>
        <w:t>12.2</w:t>
      </w:r>
      <w:r w:rsidR="00D51B30">
        <w:rPr>
          <w:rFonts w:ascii="Times New Roman" w:hAnsi="Times New Roman" w:cs="Times New Roman"/>
        </w:rPr>
        <w:t>%) their gambling.</w:t>
      </w:r>
      <w:r w:rsidR="00EE0C24">
        <w:rPr>
          <w:rFonts w:ascii="Times New Roman" w:hAnsi="Times New Roman" w:cs="Times New Roman"/>
        </w:rPr>
        <w:t xml:space="preserve"> Little variation in these proportions was observed when respondents were divided into groups defined by their length of employment at gaming venues. Broadly similar findings were reported in Hing</w:t>
      </w:r>
      <w:r w:rsidR="005B1FB0">
        <w:rPr>
          <w:rFonts w:ascii="Times New Roman" w:hAnsi="Times New Roman" w:cs="Times New Roman"/>
        </w:rPr>
        <w:t xml:space="preserve"> and Nisbet</w:t>
      </w:r>
      <w:r w:rsidR="00EE0C24">
        <w:rPr>
          <w:rFonts w:ascii="Times New Roman" w:hAnsi="Times New Roman" w:cs="Times New Roman"/>
        </w:rPr>
        <w:t xml:space="preserve"> (2009). These results are again at least consistent with the adaptation hypothesis and </w:t>
      </w:r>
      <w:r w:rsidR="009865C6">
        <w:rPr>
          <w:rFonts w:ascii="Times New Roman" w:hAnsi="Times New Roman" w:cs="Times New Roman"/>
        </w:rPr>
        <w:t xml:space="preserve">suggest </w:t>
      </w:r>
      <w:r w:rsidR="00EE0C24">
        <w:rPr>
          <w:rFonts w:ascii="Times New Roman" w:hAnsi="Times New Roman" w:cs="Times New Roman"/>
        </w:rPr>
        <w:t xml:space="preserve">that escalation of gambling </w:t>
      </w:r>
      <w:r w:rsidR="009865C6">
        <w:rPr>
          <w:rFonts w:ascii="Times New Roman" w:hAnsi="Times New Roman" w:cs="Times New Roman"/>
        </w:rPr>
        <w:t xml:space="preserve">may </w:t>
      </w:r>
      <w:r w:rsidR="00EE0C24">
        <w:rPr>
          <w:rFonts w:ascii="Times New Roman" w:hAnsi="Times New Roman" w:cs="Times New Roman"/>
        </w:rPr>
        <w:t xml:space="preserve">not </w:t>
      </w:r>
      <w:r w:rsidR="009865C6">
        <w:rPr>
          <w:rFonts w:ascii="Times New Roman" w:hAnsi="Times New Roman" w:cs="Times New Roman"/>
        </w:rPr>
        <w:t xml:space="preserve">be </w:t>
      </w:r>
      <w:r w:rsidR="00EE0C24">
        <w:rPr>
          <w:rFonts w:ascii="Times New Roman" w:hAnsi="Times New Roman" w:cs="Times New Roman"/>
        </w:rPr>
        <w:t>the typical experience during casino employment.</w:t>
      </w:r>
    </w:p>
    <w:p w14:paraId="50FEB827" w14:textId="14F61D4C" w:rsidR="008D2C32" w:rsidRDefault="00EE0C24" w:rsidP="00E37440">
      <w:pPr>
        <w:spacing w:line="480" w:lineRule="auto"/>
        <w:ind w:firstLine="288"/>
        <w:rPr>
          <w:rFonts w:ascii="Times New Roman" w:hAnsi="Times New Roman" w:cs="Times New Roman"/>
        </w:rPr>
      </w:pPr>
      <w:r>
        <w:rPr>
          <w:rFonts w:ascii="Times New Roman" w:hAnsi="Times New Roman" w:cs="Times New Roman"/>
        </w:rPr>
        <w:t xml:space="preserve">In our Macau survey, we also inquired about </w:t>
      </w:r>
      <w:r w:rsidR="009865C6">
        <w:rPr>
          <w:rFonts w:ascii="Times New Roman" w:hAnsi="Times New Roman" w:cs="Times New Roman"/>
        </w:rPr>
        <w:t xml:space="preserve">individuals’ </w:t>
      </w:r>
      <w:r>
        <w:rPr>
          <w:rFonts w:ascii="Times New Roman" w:hAnsi="Times New Roman" w:cs="Times New Roman"/>
        </w:rPr>
        <w:t xml:space="preserve">gambling behavior in the past in order to compare with present self-reported behavior. We incorporate an additional feature by </w:t>
      </w:r>
      <w:r w:rsidR="00CC4CE3">
        <w:rPr>
          <w:rFonts w:ascii="Times New Roman" w:hAnsi="Times New Roman" w:cs="Times New Roman"/>
        </w:rPr>
        <w:t xml:space="preserve">extending </w:t>
      </w:r>
      <w:r>
        <w:rPr>
          <w:rFonts w:ascii="Times New Roman" w:hAnsi="Times New Roman" w:cs="Times New Roman"/>
        </w:rPr>
        <w:t xml:space="preserve">the survey to </w:t>
      </w:r>
      <w:r w:rsidR="00CC4CE3">
        <w:rPr>
          <w:rFonts w:ascii="Times New Roman" w:hAnsi="Times New Roman" w:cs="Times New Roman"/>
        </w:rPr>
        <w:t xml:space="preserve">cover also </w:t>
      </w:r>
      <w:r w:rsidR="00A7638F">
        <w:rPr>
          <w:rFonts w:ascii="Times New Roman" w:hAnsi="Times New Roman" w:cs="Times New Roman"/>
        </w:rPr>
        <w:t>a sample of non-casino employees in the same city</w:t>
      </w:r>
      <w:r w:rsidR="00CC4CE3">
        <w:rPr>
          <w:rFonts w:ascii="Times New Roman" w:hAnsi="Times New Roman" w:cs="Times New Roman"/>
        </w:rPr>
        <w:t>,</w:t>
      </w:r>
      <w:r w:rsidR="00A7638F">
        <w:rPr>
          <w:rFonts w:ascii="Times New Roman" w:hAnsi="Times New Roman" w:cs="Times New Roman"/>
        </w:rPr>
        <w:t xml:space="preserve"> to allow inference about whether changes in the gambling behavior of casino staff mirror</w:t>
      </w:r>
      <w:r w:rsidR="009865C6">
        <w:rPr>
          <w:rFonts w:ascii="Times New Roman" w:hAnsi="Times New Roman" w:cs="Times New Roman"/>
        </w:rPr>
        <w:t>ed</w:t>
      </w:r>
      <w:r w:rsidR="00A7638F">
        <w:rPr>
          <w:rFonts w:ascii="Times New Roman" w:hAnsi="Times New Roman" w:cs="Times New Roman"/>
        </w:rPr>
        <w:t xml:space="preserve"> </w:t>
      </w:r>
      <w:r w:rsidR="00CC4CE3">
        <w:rPr>
          <w:rFonts w:ascii="Times New Roman" w:hAnsi="Times New Roman" w:cs="Times New Roman"/>
        </w:rPr>
        <w:t xml:space="preserve">or not </w:t>
      </w:r>
      <w:r w:rsidR="00A7638F">
        <w:rPr>
          <w:rFonts w:ascii="Times New Roman" w:hAnsi="Times New Roman" w:cs="Times New Roman"/>
        </w:rPr>
        <w:t>those in the wider population</w:t>
      </w:r>
      <w:r w:rsidR="003550CF">
        <w:rPr>
          <w:rFonts w:ascii="Times New Roman" w:hAnsi="Times New Roman" w:cs="Times New Roman"/>
        </w:rPr>
        <w:t>.</w:t>
      </w:r>
    </w:p>
    <w:p w14:paraId="23F22DB9" w14:textId="77777777" w:rsidR="008D2C32" w:rsidRPr="00CA29AF" w:rsidRDefault="008D2C32" w:rsidP="007E5744">
      <w:pPr>
        <w:rPr>
          <w:rFonts w:ascii="Times New Roman" w:hAnsi="Times New Roman" w:cs="Times New Roman"/>
          <w:b/>
        </w:rPr>
      </w:pPr>
      <w:r w:rsidRPr="00CA29AF">
        <w:rPr>
          <w:rFonts w:ascii="Times New Roman" w:hAnsi="Times New Roman" w:cs="Times New Roman"/>
          <w:b/>
        </w:rPr>
        <w:t>Trends in participation and prevalence in Macau</w:t>
      </w:r>
    </w:p>
    <w:p w14:paraId="1CD0C7B5" w14:textId="21D4FC8F" w:rsidR="00CA29AF" w:rsidRDefault="008D2C32" w:rsidP="003550CF">
      <w:pPr>
        <w:spacing w:after="120" w:line="480" w:lineRule="auto"/>
        <w:ind w:firstLine="288"/>
        <w:rPr>
          <w:rFonts w:ascii="Times New Roman" w:hAnsi="Times New Roman" w:cs="Times New Roman"/>
        </w:rPr>
      </w:pPr>
      <w:r>
        <w:rPr>
          <w:rFonts w:ascii="Times New Roman" w:hAnsi="Times New Roman" w:cs="Times New Roman"/>
        </w:rPr>
        <w:t xml:space="preserve">As background to our own research results, we consider now trends evident from prevalence surveys conducted in Macau by the University of Macau on behalf of </w:t>
      </w:r>
      <w:r w:rsidR="00B27BE9" w:rsidRPr="00B27BE9">
        <w:rPr>
          <w:rFonts w:ascii="Times New Roman" w:hAnsi="Times New Roman" w:cs="Times New Roman"/>
        </w:rPr>
        <w:t xml:space="preserve">the Social Welfare Bureau </w:t>
      </w:r>
      <w:r w:rsidR="00B27BE9">
        <w:rPr>
          <w:rFonts w:ascii="Times New Roman" w:hAnsi="Times New Roman" w:cs="Times New Roman"/>
        </w:rPr>
        <w:t>of Macao government</w:t>
      </w:r>
      <w:r>
        <w:rPr>
          <w:rFonts w:ascii="Times New Roman" w:hAnsi="Times New Roman" w:cs="Times New Roman"/>
        </w:rPr>
        <w:t>. There have been six such surveys between 2003 and 2019, with sample sizes of around 2,000 and problem gambling status determined by either the DSM-IV or DSM-V diagnostic screen. In general, headline results are made available online but with no detailed reports published. Nevertheless</w:t>
      </w:r>
      <w:r w:rsidR="009576FD">
        <w:rPr>
          <w:rFonts w:ascii="Times New Roman" w:hAnsi="Times New Roman" w:cs="Times New Roman"/>
        </w:rPr>
        <w:t>,</w:t>
      </w:r>
      <w:r>
        <w:rPr>
          <w:rFonts w:ascii="Times New Roman" w:hAnsi="Times New Roman" w:cs="Times New Roman"/>
        </w:rPr>
        <w:t xml:space="preserve"> headline results collected from over the period are interesting because they are consistent with the </w:t>
      </w:r>
      <w:r w:rsidR="00CA29AF">
        <w:rPr>
          <w:rFonts w:ascii="Times New Roman" w:hAnsi="Times New Roman" w:cs="Times New Roman"/>
        </w:rPr>
        <w:t xml:space="preserve">adaptation hypothesis narrative that </w:t>
      </w:r>
      <w:r w:rsidR="009576FD">
        <w:rPr>
          <w:rFonts w:ascii="Times New Roman" w:hAnsi="Times New Roman" w:cs="Times New Roman"/>
        </w:rPr>
        <w:t xml:space="preserve">initially </w:t>
      </w:r>
      <w:r w:rsidR="00CA29AF">
        <w:rPr>
          <w:rFonts w:ascii="Times New Roman" w:hAnsi="Times New Roman" w:cs="Times New Roman"/>
        </w:rPr>
        <w:t xml:space="preserve">a population presented with an expanded accessible gambling offer will respond with greater participation in gambling and more individuals </w:t>
      </w:r>
      <w:r w:rsidR="00DD08D0">
        <w:rPr>
          <w:rFonts w:ascii="Times New Roman" w:hAnsi="Times New Roman" w:cs="Times New Roman"/>
        </w:rPr>
        <w:t xml:space="preserve">will </w:t>
      </w:r>
      <w:r w:rsidR="00CA29AF">
        <w:rPr>
          <w:rFonts w:ascii="Times New Roman" w:hAnsi="Times New Roman" w:cs="Times New Roman"/>
        </w:rPr>
        <w:t>experienc</w:t>
      </w:r>
      <w:r w:rsidR="00DD08D0">
        <w:rPr>
          <w:rFonts w:ascii="Times New Roman" w:hAnsi="Times New Roman" w:cs="Times New Roman"/>
        </w:rPr>
        <w:t>e</w:t>
      </w:r>
      <w:r w:rsidR="00CA29AF">
        <w:rPr>
          <w:rFonts w:ascii="Times New Roman" w:hAnsi="Times New Roman" w:cs="Times New Roman"/>
        </w:rPr>
        <w:t xml:space="preserve"> problems. But</w:t>
      </w:r>
      <w:r w:rsidR="00DD08D0">
        <w:rPr>
          <w:rFonts w:ascii="Times New Roman" w:hAnsi="Times New Roman" w:cs="Times New Roman"/>
        </w:rPr>
        <w:t>,</w:t>
      </w:r>
      <w:r w:rsidR="00CA29AF">
        <w:rPr>
          <w:rFonts w:ascii="Times New Roman" w:hAnsi="Times New Roman" w:cs="Times New Roman"/>
        </w:rPr>
        <w:t xml:space="preserve"> subsequently</w:t>
      </w:r>
      <w:r w:rsidR="00DD08D0">
        <w:rPr>
          <w:rFonts w:ascii="Times New Roman" w:hAnsi="Times New Roman" w:cs="Times New Roman"/>
        </w:rPr>
        <w:t>,</w:t>
      </w:r>
      <w:r w:rsidR="00CA29AF">
        <w:rPr>
          <w:rFonts w:ascii="Times New Roman" w:hAnsi="Times New Roman" w:cs="Times New Roman"/>
        </w:rPr>
        <w:t xml:space="preserve"> interest will fade and participation and prevalence will then fall back again. </w:t>
      </w:r>
    </w:p>
    <w:p w14:paraId="108A38C2" w14:textId="53CF7962" w:rsidR="00615856" w:rsidRDefault="00CA29AF" w:rsidP="003550CF">
      <w:pPr>
        <w:spacing w:after="120" w:line="480" w:lineRule="auto"/>
        <w:ind w:firstLine="288"/>
        <w:rPr>
          <w:rFonts w:ascii="Times New Roman" w:hAnsi="Times New Roman" w:cs="Times New Roman"/>
        </w:rPr>
      </w:pPr>
      <w:r>
        <w:rPr>
          <w:rFonts w:ascii="Times New Roman" w:hAnsi="Times New Roman" w:cs="Times New Roman"/>
        </w:rPr>
        <w:t xml:space="preserve">The first openings of new casinos after </w:t>
      </w:r>
      <w:r w:rsidR="00962D90">
        <w:rPr>
          <w:rFonts w:ascii="Times New Roman" w:hAnsi="Times New Roman" w:cs="Times New Roman"/>
        </w:rPr>
        <w:t xml:space="preserve">the </w:t>
      </w:r>
      <w:r>
        <w:rPr>
          <w:rFonts w:ascii="Times New Roman" w:hAnsi="Times New Roman" w:cs="Times New Roman"/>
        </w:rPr>
        <w:t>liberali</w:t>
      </w:r>
      <w:r w:rsidR="00D27497">
        <w:rPr>
          <w:rFonts w:ascii="Times New Roman" w:hAnsi="Times New Roman" w:cs="Times New Roman"/>
        </w:rPr>
        <w:t>z</w:t>
      </w:r>
      <w:r>
        <w:rPr>
          <w:rFonts w:ascii="Times New Roman" w:hAnsi="Times New Roman" w:cs="Times New Roman"/>
        </w:rPr>
        <w:t>ation of licen</w:t>
      </w:r>
      <w:r w:rsidR="00D27497">
        <w:rPr>
          <w:rFonts w:ascii="Times New Roman" w:hAnsi="Times New Roman" w:cs="Times New Roman"/>
        </w:rPr>
        <w:t>s</w:t>
      </w:r>
      <w:r>
        <w:rPr>
          <w:rFonts w:ascii="Times New Roman" w:hAnsi="Times New Roman" w:cs="Times New Roman"/>
        </w:rPr>
        <w:t xml:space="preserve">ing regulations took place in 2004. </w:t>
      </w:r>
      <w:r w:rsidR="00495D9A">
        <w:rPr>
          <w:rFonts w:ascii="Times New Roman" w:hAnsi="Times New Roman" w:cs="Times New Roman"/>
        </w:rPr>
        <w:t>During that year the number of casinos increased from 11 to 24</w:t>
      </w:r>
      <w:r w:rsidR="00362CCB">
        <w:rPr>
          <w:rFonts w:ascii="Times New Roman" w:hAnsi="Times New Roman" w:cs="Times New Roman"/>
        </w:rPr>
        <w:t xml:space="preserve"> and by the end of 2007 there were 34. Over this period, the number of gaming tables increased from 424 to 1,092 and the number of slot machines from 814 to 13,267</w:t>
      </w:r>
      <w:r w:rsidR="00962D90">
        <w:rPr>
          <w:rFonts w:ascii="Times New Roman" w:hAnsi="Times New Roman" w:cs="Times New Roman"/>
        </w:rPr>
        <w:t xml:space="preserve"> (</w:t>
      </w:r>
      <w:r w:rsidR="00E23637" w:rsidRPr="00847FED">
        <w:rPr>
          <w:rFonts w:ascii="Times New Roman" w:hAnsi="Times New Roman" w:cs="Times New Roman"/>
        </w:rPr>
        <w:t xml:space="preserve">Statistics and Census Service of </w:t>
      </w:r>
      <w:r w:rsidR="00847FED" w:rsidRPr="00847FED">
        <w:rPr>
          <w:rFonts w:ascii="Times New Roman" w:hAnsi="Times New Roman" w:cs="Times New Roman"/>
        </w:rPr>
        <w:t>G</w:t>
      </w:r>
      <w:r w:rsidR="00E23637" w:rsidRPr="00847FED">
        <w:rPr>
          <w:rFonts w:ascii="Times New Roman" w:hAnsi="Times New Roman" w:cs="Times New Roman"/>
        </w:rPr>
        <w:t>overnment of Macao Special Administrative Region</w:t>
      </w:r>
      <w:r w:rsidR="00962D90">
        <w:rPr>
          <w:rFonts w:ascii="Times New Roman" w:hAnsi="Times New Roman" w:cs="Times New Roman"/>
        </w:rPr>
        <w:t>, 2019)</w:t>
      </w:r>
      <w:r w:rsidR="00362CCB">
        <w:rPr>
          <w:rFonts w:ascii="Times New Roman" w:hAnsi="Times New Roman" w:cs="Times New Roman"/>
        </w:rPr>
        <w:t>. Concentration of casinos in Macau, is perhaps a little away from the most densely populated housing areas; but Macau is a relatively small city and so the whole population may be said to have been exposed to a very much higher level of gambling availability than hitherto (the change being exogenous to the extent that the new investment in casinos was intended to draw in an international audience</w:t>
      </w:r>
      <w:r w:rsidR="00D27497">
        <w:rPr>
          <w:rFonts w:ascii="Times New Roman" w:hAnsi="Times New Roman" w:cs="Times New Roman"/>
        </w:rPr>
        <w:t>;</w:t>
      </w:r>
      <w:r w:rsidR="00362CCB">
        <w:rPr>
          <w:rFonts w:ascii="Times New Roman" w:hAnsi="Times New Roman" w:cs="Times New Roman"/>
        </w:rPr>
        <w:t xml:space="preserve"> increased accessibility for local residents was incidental). </w:t>
      </w:r>
      <w:r w:rsidR="00B25B8D">
        <w:rPr>
          <w:rFonts w:ascii="Times New Roman" w:hAnsi="Times New Roman" w:cs="Times New Roman"/>
        </w:rPr>
        <w:t>Those newly engaged to work in casinos were of course subject to exposure which could be regarded as particularly potent.</w:t>
      </w:r>
    </w:p>
    <w:p w14:paraId="21B02154" w14:textId="59707AC5" w:rsidR="00004D71" w:rsidRDefault="00B25B8D" w:rsidP="003550CF">
      <w:pPr>
        <w:spacing w:after="120" w:line="480" w:lineRule="auto"/>
        <w:ind w:firstLine="288"/>
        <w:rPr>
          <w:rFonts w:ascii="Times New Roman" w:hAnsi="Times New Roman" w:cs="Times New Roman"/>
        </w:rPr>
      </w:pPr>
      <w:r>
        <w:rPr>
          <w:rFonts w:ascii="Times New Roman" w:hAnsi="Times New Roman" w:cs="Times New Roman"/>
        </w:rPr>
        <w:t>The first two prevalence survey</w:t>
      </w:r>
      <w:r w:rsidR="00D27497">
        <w:rPr>
          <w:rFonts w:ascii="Times New Roman" w:hAnsi="Times New Roman" w:cs="Times New Roman"/>
        </w:rPr>
        <w:t>s</w:t>
      </w:r>
      <w:r>
        <w:rPr>
          <w:rFonts w:ascii="Times New Roman" w:hAnsi="Times New Roman" w:cs="Times New Roman"/>
        </w:rPr>
        <w:t xml:space="preserve"> </w:t>
      </w:r>
      <w:r w:rsidR="00DD08D0">
        <w:rPr>
          <w:rFonts w:ascii="Times New Roman" w:hAnsi="Times New Roman" w:cs="Times New Roman"/>
        </w:rPr>
        <w:t xml:space="preserve">(2003 and 2007) </w:t>
      </w:r>
      <w:r>
        <w:rPr>
          <w:rFonts w:ascii="Times New Roman" w:hAnsi="Times New Roman" w:cs="Times New Roman"/>
        </w:rPr>
        <w:t>present</w:t>
      </w:r>
      <w:r w:rsidR="007179E9">
        <w:rPr>
          <w:rFonts w:ascii="Times New Roman" w:hAnsi="Times New Roman" w:cs="Times New Roman"/>
        </w:rPr>
        <w:t>ed</w:t>
      </w:r>
      <w:r>
        <w:rPr>
          <w:rFonts w:ascii="Times New Roman" w:hAnsi="Times New Roman" w:cs="Times New Roman"/>
        </w:rPr>
        <w:t xml:space="preserve"> data from before and after this period of rapid growth. The participation-rate in </w:t>
      </w:r>
      <w:r w:rsidR="00BD5ABF">
        <w:rPr>
          <w:rFonts w:ascii="Times New Roman" w:hAnsi="Times New Roman" w:cs="Times New Roman"/>
        </w:rPr>
        <w:t xml:space="preserve">casino </w:t>
      </w:r>
      <w:r>
        <w:rPr>
          <w:rFonts w:ascii="Times New Roman" w:hAnsi="Times New Roman" w:cs="Times New Roman"/>
        </w:rPr>
        <w:t>gambling</w:t>
      </w:r>
      <w:r w:rsidR="00BD5ABF">
        <w:rPr>
          <w:rFonts w:ascii="Times New Roman" w:hAnsi="Times New Roman" w:cs="Times New Roman"/>
        </w:rPr>
        <w:t xml:space="preserve"> duly rose, from 20.3% to 23.6%</w:t>
      </w:r>
      <w:r w:rsidR="007179E9">
        <w:rPr>
          <w:rFonts w:ascii="Times New Roman" w:hAnsi="Times New Roman" w:cs="Times New Roman"/>
        </w:rPr>
        <w:t>;</w:t>
      </w:r>
      <w:r w:rsidR="00BD5ABF">
        <w:rPr>
          <w:rFonts w:ascii="Times New Roman" w:hAnsi="Times New Roman" w:cs="Times New Roman"/>
        </w:rPr>
        <w:t xml:space="preserve"> mean expenditure increased five-fold</w:t>
      </w:r>
      <w:r w:rsidR="007179E9">
        <w:rPr>
          <w:rFonts w:ascii="Times New Roman" w:hAnsi="Times New Roman" w:cs="Times New Roman"/>
        </w:rPr>
        <w:t>;</w:t>
      </w:r>
      <w:r w:rsidR="00BD5ABF">
        <w:rPr>
          <w:rFonts w:ascii="Times New Roman" w:hAnsi="Times New Roman" w:cs="Times New Roman"/>
        </w:rPr>
        <w:t xml:space="preserve"> and there was a sharp increase in the estimate of prevalence of combined ‘probable pathological’ and ‘probable problem gambling’, from 4.3% to 6.4%. These changes were consistent with a strong exposure effect. However, participation and prevalence estimates fell more or less steadily across subsequent surveys to </w:t>
      </w:r>
      <w:r w:rsidR="007179E9">
        <w:rPr>
          <w:rFonts w:ascii="Times New Roman" w:hAnsi="Times New Roman" w:cs="Times New Roman"/>
        </w:rPr>
        <w:t xml:space="preserve">reach </w:t>
      </w:r>
      <w:r w:rsidR="00BD5ABF">
        <w:rPr>
          <w:rFonts w:ascii="Times New Roman" w:hAnsi="Times New Roman" w:cs="Times New Roman"/>
        </w:rPr>
        <w:t xml:space="preserve">significantly lower levels even than in 2003 (pre-expansion). In the 2019 survey, </w:t>
      </w:r>
      <w:r w:rsidR="007179E9">
        <w:rPr>
          <w:rFonts w:ascii="Times New Roman" w:hAnsi="Times New Roman" w:cs="Times New Roman"/>
        </w:rPr>
        <w:t>participation in casino gambling was down to 9.4% and g</w:t>
      </w:r>
      <w:r w:rsidR="007179E9" w:rsidRPr="007179E9">
        <w:rPr>
          <w:rFonts w:ascii="Times New Roman" w:hAnsi="Times New Roman" w:cs="Times New Roman"/>
        </w:rPr>
        <w:t xml:space="preserve">ambling participation overall (lottery and social gambling were the principal activities) </w:t>
      </w:r>
      <w:r w:rsidR="007179E9">
        <w:rPr>
          <w:rFonts w:ascii="Times New Roman" w:hAnsi="Times New Roman" w:cs="Times New Roman"/>
        </w:rPr>
        <w:t>had also fallen substantially. T</w:t>
      </w:r>
      <w:r w:rsidR="00BD5ABF">
        <w:rPr>
          <w:rFonts w:ascii="Times New Roman" w:hAnsi="Times New Roman" w:cs="Times New Roman"/>
        </w:rPr>
        <w:t>he prevalence estimate</w:t>
      </w:r>
      <w:r w:rsidR="007179E9">
        <w:rPr>
          <w:rFonts w:ascii="Times New Roman" w:hAnsi="Times New Roman" w:cs="Times New Roman"/>
        </w:rPr>
        <w:t>, defined now under DSM-V as ‘moderate’ or ‘severe’ gambling disorder,</w:t>
      </w:r>
      <w:r w:rsidR="00BD5ABF">
        <w:rPr>
          <w:rFonts w:ascii="Times New Roman" w:hAnsi="Times New Roman" w:cs="Times New Roman"/>
        </w:rPr>
        <w:t xml:space="preserve"> </w:t>
      </w:r>
      <w:r w:rsidR="007179E9">
        <w:rPr>
          <w:rFonts w:ascii="Times New Roman" w:hAnsi="Times New Roman" w:cs="Times New Roman"/>
        </w:rPr>
        <w:t>had fallen to 1.3%, which could be said to be low by international standards.</w:t>
      </w:r>
    </w:p>
    <w:p w14:paraId="7CFB457D" w14:textId="4B22AD0F" w:rsidR="00B3512A" w:rsidRDefault="00004D71" w:rsidP="003550CF">
      <w:pPr>
        <w:spacing w:after="120" w:line="480" w:lineRule="auto"/>
        <w:ind w:firstLine="288"/>
        <w:rPr>
          <w:rFonts w:ascii="Times New Roman" w:hAnsi="Times New Roman" w:cs="Times New Roman"/>
        </w:rPr>
      </w:pPr>
      <w:r>
        <w:rPr>
          <w:rFonts w:ascii="Times New Roman" w:hAnsi="Times New Roman" w:cs="Times New Roman"/>
        </w:rPr>
        <w:t xml:space="preserve">These very strong downward trends occurred even though there was further expansion in casino provision and despite significant inward migration of individuals from regions where they had not previously been exposed to an intense gambling environment. Some sort of ‘adaptation’ </w:t>
      </w:r>
      <w:r w:rsidR="00B3512A">
        <w:rPr>
          <w:rFonts w:ascii="Times New Roman" w:hAnsi="Times New Roman" w:cs="Times New Roman"/>
        </w:rPr>
        <w:t xml:space="preserve">therefore </w:t>
      </w:r>
      <w:r>
        <w:rPr>
          <w:rFonts w:ascii="Times New Roman" w:hAnsi="Times New Roman" w:cs="Times New Roman"/>
        </w:rPr>
        <w:t xml:space="preserve">seems to have taken place and on a sizeable scale. It might be the case that this adaptation was able to occur even in the face of continued expansion of gaming facilities because, particularly given that the new casinos were spatially concentrated, additional tables and slots did not increase accessibility for locals: their environment was already saturated. Shaffer, LaBrie and LaPlante (2004) </w:t>
      </w:r>
      <w:r w:rsidR="00D82E31">
        <w:rPr>
          <w:rFonts w:ascii="Times New Roman" w:hAnsi="Times New Roman" w:cs="Times New Roman"/>
        </w:rPr>
        <w:t>proposed that any link between gambling problems and availability was likely non-linear, implying diminishing marginal effects from each unit increase in level of provision.</w:t>
      </w:r>
    </w:p>
    <w:p w14:paraId="4EA5D288" w14:textId="0C55FBF5" w:rsidR="00B739A8" w:rsidRDefault="00B3512A" w:rsidP="003550CF">
      <w:pPr>
        <w:spacing w:after="120" w:line="480" w:lineRule="auto"/>
        <w:ind w:firstLine="288"/>
        <w:rPr>
          <w:rFonts w:ascii="Times New Roman" w:hAnsi="Times New Roman" w:cs="Times New Roman"/>
        </w:rPr>
      </w:pPr>
      <w:r>
        <w:rPr>
          <w:rFonts w:ascii="Times New Roman" w:hAnsi="Times New Roman" w:cs="Times New Roman"/>
        </w:rPr>
        <w:t xml:space="preserve">Against this background, we undertook a survey of Macau residents, including both casino employees and non-casino employees in the sample. Our aim was to evaluate how casino gambling behavior had changed over time and whether the pattern of changes was or was not similar between casino employees and non-casino employees. </w:t>
      </w:r>
      <w:r w:rsidR="003F6303">
        <w:rPr>
          <w:rFonts w:ascii="Times New Roman" w:hAnsi="Times New Roman" w:cs="Times New Roman"/>
        </w:rPr>
        <w:t xml:space="preserve">The past point in time against which we evaluated change was the first twelve months after the respondent had first started gambling in casinos. Other papers cited above used the year when the employee started work in casinos but we wished to compare changes between casino staff and other Macau residents, hence a different reference point was needed. </w:t>
      </w:r>
      <w:r>
        <w:rPr>
          <w:rFonts w:ascii="Times New Roman" w:hAnsi="Times New Roman" w:cs="Times New Roman"/>
        </w:rPr>
        <w:t xml:space="preserve">We also </w:t>
      </w:r>
      <w:r w:rsidR="009820EA">
        <w:rPr>
          <w:rFonts w:ascii="Times New Roman" w:hAnsi="Times New Roman" w:cs="Times New Roman"/>
        </w:rPr>
        <w:t xml:space="preserve">investigated </w:t>
      </w:r>
      <w:r>
        <w:rPr>
          <w:rFonts w:ascii="Times New Roman" w:hAnsi="Times New Roman" w:cs="Times New Roman"/>
        </w:rPr>
        <w:t>respondents’ susceptibility to the gambler’s fallacy (similar to Dangerfield, 2004).</w:t>
      </w:r>
      <w:r w:rsidR="003F6303">
        <w:rPr>
          <w:rFonts w:ascii="Times New Roman" w:hAnsi="Times New Roman" w:cs="Times New Roman"/>
        </w:rPr>
        <w:t xml:space="preserve"> </w:t>
      </w:r>
    </w:p>
    <w:p w14:paraId="3FF58A3F" w14:textId="77777777" w:rsidR="00594E2A" w:rsidRPr="00507523" w:rsidRDefault="00B739A8" w:rsidP="007E5744">
      <w:pPr>
        <w:rPr>
          <w:rFonts w:ascii="Times New Roman" w:hAnsi="Times New Roman" w:cs="Times New Roman"/>
          <w:b/>
        </w:rPr>
      </w:pPr>
      <w:r w:rsidRPr="00507523">
        <w:rPr>
          <w:rFonts w:ascii="Times New Roman" w:hAnsi="Times New Roman" w:cs="Times New Roman"/>
          <w:b/>
        </w:rPr>
        <w:t>The survey</w:t>
      </w:r>
    </w:p>
    <w:p w14:paraId="49C57677" w14:textId="59AFA1DF" w:rsidR="00594E2A" w:rsidRDefault="00594E2A" w:rsidP="003550CF">
      <w:pPr>
        <w:spacing w:after="120" w:line="480" w:lineRule="auto"/>
        <w:ind w:firstLine="288"/>
        <w:rPr>
          <w:rFonts w:ascii="Times New Roman" w:hAnsi="Times New Roman" w:cs="Times New Roman"/>
        </w:rPr>
      </w:pPr>
      <w:r>
        <w:rPr>
          <w:rFonts w:ascii="Times New Roman" w:hAnsi="Times New Roman" w:cs="Times New Roman"/>
        </w:rPr>
        <w:t>Our survey was completed</w:t>
      </w:r>
      <w:r w:rsidR="009820EA">
        <w:rPr>
          <w:rFonts w:ascii="Times New Roman" w:hAnsi="Times New Roman" w:cs="Times New Roman"/>
        </w:rPr>
        <w:t>,</w:t>
      </w:r>
      <w:r>
        <w:rPr>
          <w:rFonts w:ascii="Times New Roman" w:hAnsi="Times New Roman" w:cs="Times New Roman"/>
        </w:rPr>
        <w:t xml:space="preserve"> </w:t>
      </w:r>
      <w:r w:rsidR="00687432">
        <w:rPr>
          <w:rFonts w:ascii="Times New Roman" w:hAnsi="Times New Roman" w:cs="Times New Roman"/>
        </w:rPr>
        <w:t>in Chinese</w:t>
      </w:r>
      <w:r w:rsidR="009820EA">
        <w:rPr>
          <w:rFonts w:ascii="Times New Roman" w:hAnsi="Times New Roman" w:cs="Times New Roman"/>
        </w:rPr>
        <w:t>,</w:t>
      </w:r>
      <w:r w:rsidR="00687432">
        <w:rPr>
          <w:rFonts w:ascii="Times New Roman" w:hAnsi="Times New Roman" w:cs="Times New Roman"/>
        </w:rPr>
        <w:t xml:space="preserve"> </w:t>
      </w:r>
      <w:r>
        <w:rPr>
          <w:rFonts w:ascii="Times New Roman" w:hAnsi="Times New Roman" w:cs="Times New Roman"/>
        </w:rPr>
        <w:t xml:space="preserve">by samples of casino employees and non-casino employees between May 21 and July 20, 2018, either online or </w:t>
      </w:r>
      <w:r w:rsidR="005F3363">
        <w:rPr>
          <w:rFonts w:ascii="Times New Roman" w:hAnsi="Times New Roman" w:cs="Times New Roman"/>
        </w:rPr>
        <w:t>in</w:t>
      </w:r>
      <w:r w:rsidR="001567CB">
        <w:rPr>
          <w:rFonts w:ascii="Times New Roman" w:hAnsi="Times New Roman" w:cs="Times New Roman"/>
        </w:rPr>
        <w:t xml:space="preserve"> </w:t>
      </w:r>
      <w:r>
        <w:rPr>
          <w:rFonts w:ascii="Times New Roman" w:hAnsi="Times New Roman" w:cs="Times New Roman"/>
        </w:rPr>
        <w:t>face-to-face</w:t>
      </w:r>
      <w:r w:rsidR="001567CB">
        <w:rPr>
          <w:rFonts w:ascii="Times New Roman" w:hAnsi="Times New Roman" w:cs="Times New Roman"/>
        </w:rPr>
        <w:t xml:space="preserve"> interview</w:t>
      </w:r>
      <w:r w:rsidR="00CD0082">
        <w:rPr>
          <w:rFonts w:ascii="Times New Roman" w:hAnsi="Times New Roman" w:cs="Times New Roman"/>
        </w:rPr>
        <w:t>s</w:t>
      </w:r>
      <w:r w:rsidR="001567CB">
        <w:rPr>
          <w:rFonts w:ascii="Times New Roman" w:hAnsi="Times New Roman" w:cs="Times New Roman"/>
        </w:rPr>
        <w:t xml:space="preserve"> in public places in Macau</w:t>
      </w:r>
      <w:r>
        <w:rPr>
          <w:rFonts w:ascii="Times New Roman" w:hAnsi="Times New Roman" w:cs="Times New Roman"/>
        </w:rPr>
        <w:t xml:space="preserve">. The online survey was conducted through SurveyMonkey, links having been sent to mobile phones of the trainees of the Macau Gaming Teaching and Research Center, WeChat groups of casino junket operators, members of a casino trade union, and bachelor degree students studying at the Casino Career Center while working in casinos. </w:t>
      </w:r>
    </w:p>
    <w:p w14:paraId="375E9C6E" w14:textId="41E1C6DF" w:rsidR="009F185A" w:rsidRDefault="00594E2A" w:rsidP="003550CF">
      <w:pPr>
        <w:spacing w:after="120" w:line="480" w:lineRule="auto"/>
        <w:ind w:firstLine="288"/>
        <w:rPr>
          <w:rFonts w:ascii="Times New Roman" w:hAnsi="Times New Roman" w:cs="Times New Roman"/>
        </w:rPr>
      </w:pPr>
      <w:r>
        <w:rPr>
          <w:rFonts w:ascii="Times New Roman" w:hAnsi="Times New Roman" w:cs="Times New Roman"/>
        </w:rPr>
        <w:t xml:space="preserve">The </w:t>
      </w:r>
      <w:r w:rsidR="003F6303">
        <w:rPr>
          <w:rFonts w:ascii="Times New Roman" w:hAnsi="Times New Roman" w:cs="Times New Roman"/>
        </w:rPr>
        <w:t xml:space="preserve">total </w:t>
      </w:r>
      <w:r>
        <w:rPr>
          <w:rFonts w:ascii="Times New Roman" w:hAnsi="Times New Roman" w:cs="Times New Roman"/>
        </w:rPr>
        <w:t xml:space="preserve">number of responses </w:t>
      </w:r>
      <w:r w:rsidR="003F6303">
        <w:rPr>
          <w:rFonts w:ascii="Times New Roman" w:hAnsi="Times New Roman" w:cs="Times New Roman"/>
        </w:rPr>
        <w:t>from Macau resident</w:t>
      </w:r>
      <w:r>
        <w:rPr>
          <w:rFonts w:ascii="Times New Roman" w:hAnsi="Times New Roman" w:cs="Times New Roman"/>
        </w:rPr>
        <w:t xml:space="preserve">s </w:t>
      </w:r>
      <w:r w:rsidR="003F6303">
        <w:rPr>
          <w:rFonts w:ascii="Times New Roman" w:hAnsi="Times New Roman" w:cs="Times New Roman"/>
        </w:rPr>
        <w:t>(i.e. we excluded interviewees who were external tourists, typically from Mainland China) was</w:t>
      </w:r>
      <w:r w:rsidR="009820EA">
        <w:rPr>
          <w:rFonts w:ascii="Times New Roman" w:hAnsi="Times New Roman" w:cs="Times New Roman"/>
        </w:rPr>
        <w:t xml:space="preserve"> 619</w:t>
      </w:r>
      <w:r>
        <w:rPr>
          <w:rFonts w:ascii="Times New Roman" w:hAnsi="Times New Roman" w:cs="Times New Roman"/>
        </w:rPr>
        <w:t xml:space="preserve">. </w:t>
      </w:r>
      <w:r w:rsidR="003F6303">
        <w:rPr>
          <w:rFonts w:ascii="Times New Roman" w:hAnsi="Times New Roman" w:cs="Times New Roman"/>
        </w:rPr>
        <w:t>Whe</w:t>
      </w:r>
      <w:r>
        <w:rPr>
          <w:rFonts w:ascii="Times New Roman" w:hAnsi="Times New Roman" w:cs="Times New Roman"/>
        </w:rPr>
        <w:t>n carrying out the analysis, we did not include questionnaires</w:t>
      </w:r>
      <w:r w:rsidR="005F3363">
        <w:rPr>
          <w:rFonts w:ascii="Times New Roman" w:hAnsi="Times New Roman" w:cs="Times New Roman"/>
        </w:rPr>
        <w:t xml:space="preserve"> which had not been finished</w:t>
      </w:r>
      <w:r>
        <w:rPr>
          <w:rFonts w:ascii="Times New Roman" w:hAnsi="Times New Roman" w:cs="Times New Roman"/>
        </w:rPr>
        <w:t>, respondents who had never gambled in a casino (established by the first question in the survey</w:t>
      </w:r>
      <w:r w:rsidR="003D0E97">
        <w:rPr>
          <w:rFonts w:ascii="Times New Roman" w:hAnsi="Times New Roman" w:cs="Times New Roman"/>
        </w:rPr>
        <w:t>- no casino employees fell into this group)</w:t>
      </w:r>
      <w:r>
        <w:rPr>
          <w:rFonts w:ascii="Times New Roman" w:hAnsi="Times New Roman" w:cs="Times New Roman"/>
        </w:rPr>
        <w:t xml:space="preserve"> or </w:t>
      </w:r>
      <w:r w:rsidR="003D0E97">
        <w:rPr>
          <w:rFonts w:ascii="Times New Roman" w:hAnsi="Times New Roman" w:cs="Times New Roman"/>
        </w:rPr>
        <w:t xml:space="preserve">those who did not reveal whether or not they </w:t>
      </w:r>
      <w:r w:rsidR="001567CB">
        <w:rPr>
          <w:rFonts w:ascii="Times New Roman" w:hAnsi="Times New Roman" w:cs="Times New Roman"/>
        </w:rPr>
        <w:t xml:space="preserve">had a job </w:t>
      </w:r>
      <w:r w:rsidR="003D0E97">
        <w:rPr>
          <w:rFonts w:ascii="Times New Roman" w:hAnsi="Times New Roman" w:cs="Times New Roman"/>
        </w:rPr>
        <w:t>in a casino. Finally</w:t>
      </w:r>
      <w:r w:rsidR="00382083">
        <w:rPr>
          <w:rFonts w:ascii="Times New Roman" w:hAnsi="Times New Roman" w:cs="Times New Roman"/>
        </w:rPr>
        <w:t>,</w:t>
      </w:r>
      <w:r w:rsidR="003D0E97">
        <w:rPr>
          <w:rFonts w:ascii="Times New Roman" w:hAnsi="Times New Roman" w:cs="Times New Roman"/>
        </w:rPr>
        <w:t xml:space="preserve"> we worked with completed questionnaires from 230 casino employees and 1</w:t>
      </w:r>
      <w:r w:rsidR="00CD0082">
        <w:rPr>
          <w:rFonts w:ascii="Times New Roman" w:hAnsi="Times New Roman" w:cs="Times New Roman"/>
        </w:rPr>
        <w:t>69</w:t>
      </w:r>
      <w:r w:rsidR="003D0E97">
        <w:rPr>
          <w:rFonts w:ascii="Times New Roman" w:hAnsi="Times New Roman" w:cs="Times New Roman"/>
        </w:rPr>
        <w:t xml:space="preserve"> non-casino employees. Their profiles by demography and self-reported date of first casino gambling are displayed in Table 1.</w:t>
      </w:r>
    </w:p>
    <w:p w14:paraId="43A402B3" w14:textId="77777777" w:rsidR="006F3CB9" w:rsidRPr="00E37440" w:rsidRDefault="006F3CB9" w:rsidP="006F3CB9">
      <w:pPr>
        <w:spacing w:after="0" w:line="276" w:lineRule="auto"/>
        <w:jc w:val="center"/>
        <w:rPr>
          <w:rFonts w:ascii="Times New Roman" w:eastAsia="DFKai-SB" w:hAnsi="Times New Roman" w:cs="Times New Roman"/>
          <w:color w:val="000000" w:themeColor="text1"/>
          <w:sz w:val="24"/>
          <w:szCs w:val="24"/>
        </w:rPr>
      </w:pPr>
      <w:r w:rsidRPr="00E37440">
        <w:rPr>
          <w:rFonts w:ascii="Times New Roman" w:eastAsia="DFKai-SB" w:hAnsi="Times New Roman" w:cs="Times New Roman"/>
          <w:color w:val="000000" w:themeColor="text1"/>
          <w:sz w:val="24"/>
          <w:szCs w:val="24"/>
        </w:rPr>
        <w:t>--------------------------------</w:t>
      </w:r>
    </w:p>
    <w:p w14:paraId="06086599" w14:textId="77777777" w:rsidR="006F3CB9" w:rsidRPr="00E37440" w:rsidRDefault="006F3CB9" w:rsidP="006F3CB9">
      <w:pPr>
        <w:spacing w:after="0" w:line="276" w:lineRule="auto"/>
        <w:jc w:val="center"/>
        <w:rPr>
          <w:rFonts w:ascii="Times New Roman" w:eastAsia="DFKai-SB" w:hAnsi="Times New Roman" w:cs="Times New Roman"/>
          <w:color w:val="000000" w:themeColor="text1"/>
          <w:sz w:val="24"/>
          <w:szCs w:val="24"/>
          <w:lang w:eastAsia="zh-MO"/>
        </w:rPr>
      </w:pPr>
      <w:r w:rsidRPr="00E37440">
        <w:rPr>
          <w:rFonts w:ascii="Times New Roman" w:eastAsia="DFKai-SB" w:hAnsi="Times New Roman" w:cs="Times New Roman"/>
          <w:color w:val="000000" w:themeColor="text1"/>
          <w:sz w:val="24"/>
          <w:szCs w:val="24"/>
          <w:lang w:eastAsia="zh-MO"/>
        </w:rPr>
        <w:t>Insert Table 1 About Here</w:t>
      </w:r>
    </w:p>
    <w:p w14:paraId="0B2E4686" w14:textId="77777777" w:rsidR="006F3CB9" w:rsidRPr="00E37440" w:rsidRDefault="006F3CB9" w:rsidP="006F3CB9">
      <w:pPr>
        <w:spacing w:after="0" w:line="480" w:lineRule="auto"/>
        <w:jc w:val="center"/>
        <w:rPr>
          <w:rFonts w:ascii="Times New Roman" w:eastAsia="DFKai-SB" w:hAnsi="Times New Roman" w:cs="Times New Roman"/>
          <w:color w:val="000000" w:themeColor="text1"/>
          <w:sz w:val="24"/>
          <w:szCs w:val="24"/>
          <w:lang w:eastAsia="zh-MO"/>
        </w:rPr>
      </w:pPr>
      <w:r w:rsidRPr="00E37440">
        <w:rPr>
          <w:rFonts w:ascii="Times New Roman" w:eastAsia="DFKai-SB" w:hAnsi="Times New Roman" w:cs="Times New Roman"/>
          <w:color w:val="000000" w:themeColor="text1"/>
          <w:sz w:val="24"/>
          <w:szCs w:val="24"/>
          <w:lang w:eastAsia="zh-MO"/>
        </w:rPr>
        <w:t>--------------------------------</w:t>
      </w:r>
    </w:p>
    <w:p w14:paraId="7D9D5A7C" w14:textId="12FAA57A" w:rsidR="00687432" w:rsidRDefault="009F185A" w:rsidP="003550CF">
      <w:pPr>
        <w:spacing w:after="120" w:line="480" w:lineRule="auto"/>
        <w:ind w:firstLine="288"/>
        <w:rPr>
          <w:rFonts w:ascii="Times New Roman" w:hAnsi="Times New Roman" w:cs="Times New Roman"/>
        </w:rPr>
      </w:pPr>
      <w:r>
        <w:rPr>
          <w:rFonts w:ascii="Times New Roman" w:hAnsi="Times New Roman" w:cs="Times New Roman"/>
        </w:rPr>
        <w:t>From each respondent</w:t>
      </w:r>
      <w:r w:rsidR="009B0CEB">
        <w:rPr>
          <w:rFonts w:ascii="Times New Roman" w:hAnsi="Times New Roman" w:cs="Times New Roman"/>
        </w:rPr>
        <w:t>,</w:t>
      </w:r>
      <w:r>
        <w:rPr>
          <w:rFonts w:ascii="Times New Roman" w:hAnsi="Times New Roman" w:cs="Times New Roman"/>
        </w:rPr>
        <w:t xml:space="preserve"> we collected standard background data</w:t>
      </w:r>
      <w:r w:rsidR="00CD0082">
        <w:rPr>
          <w:rFonts w:ascii="Times New Roman" w:hAnsi="Times New Roman" w:cs="Times New Roman"/>
        </w:rPr>
        <w:t xml:space="preserve"> including </w:t>
      </w:r>
      <w:r>
        <w:rPr>
          <w:rFonts w:ascii="Times New Roman" w:hAnsi="Times New Roman" w:cs="Times New Roman"/>
        </w:rPr>
        <w:t xml:space="preserve">age </w:t>
      </w:r>
      <w:r w:rsidR="00CD0082">
        <w:rPr>
          <w:rFonts w:ascii="Times New Roman" w:hAnsi="Times New Roman" w:cs="Times New Roman"/>
        </w:rPr>
        <w:t xml:space="preserve">and </w:t>
      </w:r>
      <w:r>
        <w:rPr>
          <w:rFonts w:ascii="Times New Roman" w:hAnsi="Times New Roman" w:cs="Times New Roman"/>
        </w:rPr>
        <w:t>gender</w:t>
      </w:r>
      <w:r w:rsidR="00CD0082">
        <w:rPr>
          <w:rFonts w:ascii="Times New Roman" w:hAnsi="Times New Roman" w:cs="Times New Roman"/>
        </w:rPr>
        <w:t>. W</w:t>
      </w:r>
      <w:r>
        <w:rPr>
          <w:rFonts w:ascii="Times New Roman" w:hAnsi="Times New Roman" w:cs="Times New Roman"/>
        </w:rPr>
        <w:t xml:space="preserve">e also asked about their current casino gambling behavior (defined over the preceding twelve months). Measures </w:t>
      </w:r>
      <w:r w:rsidR="006206B2">
        <w:rPr>
          <w:rFonts w:ascii="Times New Roman" w:hAnsi="Times New Roman" w:cs="Times New Roman"/>
        </w:rPr>
        <w:t xml:space="preserve">of behavior </w:t>
      </w:r>
      <w:r w:rsidR="00743272">
        <w:rPr>
          <w:rFonts w:ascii="Times New Roman" w:hAnsi="Times New Roman" w:cs="Times New Roman"/>
        </w:rPr>
        <w:t xml:space="preserve">included </w:t>
      </w:r>
      <w:r>
        <w:rPr>
          <w:rFonts w:ascii="Times New Roman" w:hAnsi="Times New Roman" w:cs="Times New Roman"/>
        </w:rPr>
        <w:t>the frequency of playing and the duration of a typical session.</w:t>
      </w:r>
      <w:r w:rsidR="006206B2">
        <w:rPr>
          <w:rFonts w:ascii="Times New Roman" w:hAnsi="Times New Roman" w:cs="Times New Roman"/>
        </w:rPr>
        <w:t xml:space="preserve"> </w:t>
      </w:r>
      <w:r w:rsidR="00743272">
        <w:rPr>
          <w:rFonts w:ascii="Times New Roman" w:hAnsi="Times New Roman" w:cs="Times New Roman"/>
        </w:rPr>
        <w:t xml:space="preserve">Each of </w:t>
      </w:r>
      <w:r w:rsidR="006206B2">
        <w:rPr>
          <w:rFonts w:ascii="Times New Roman" w:hAnsi="Times New Roman" w:cs="Times New Roman"/>
        </w:rPr>
        <w:t>these capture</w:t>
      </w:r>
      <w:r w:rsidR="00743272">
        <w:rPr>
          <w:rFonts w:ascii="Times New Roman" w:hAnsi="Times New Roman" w:cs="Times New Roman"/>
        </w:rPr>
        <w:t>s</w:t>
      </w:r>
      <w:r w:rsidR="006206B2">
        <w:rPr>
          <w:rFonts w:ascii="Times New Roman" w:hAnsi="Times New Roman" w:cs="Times New Roman"/>
        </w:rPr>
        <w:t xml:space="preserve"> </w:t>
      </w:r>
      <w:r w:rsidR="00CD0082">
        <w:rPr>
          <w:rFonts w:ascii="Times New Roman" w:hAnsi="Times New Roman" w:cs="Times New Roman"/>
        </w:rPr>
        <w:t xml:space="preserve">a dimension of </w:t>
      </w:r>
      <w:r w:rsidR="006206B2">
        <w:rPr>
          <w:rFonts w:ascii="Times New Roman" w:hAnsi="Times New Roman" w:cs="Times New Roman"/>
        </w:rPr>
        <w:t xml:space="preserve">the </w:t>
      </w:r>
      <w:r w:rsidR="00743272">
        <w:rPr>
          <w:rFonts w:ascii="Times New Roman" w:hAnsi="Times New Roman" w:cs="Times New Roman"/>
        </w:rPr>
        <w:t xml:space="preserve">individual’s </w:t>
      </w:r>
      <w:r w:rsidR="006206B2">
        <w:rPr>
          <w:rFonts w:ascii="Times New Roman" w:hAnsi="Times New Roman" w:cs="Times New Roman"/>
        </w:rPr>
        <w:t>level of engagement with casino gaming</w:t>
      </w:r>
      <w:r w:rsidR="005F3363">
        <w:rPr>
          <w:rFonts w:ascii="Times New Roman" w:hAnsi="Times New Roman" w:cs="Times New Roman"/>
        </w:rPr>
        <w:t>;</w:t>
      </w:r>
      <w:r w:rsidR="006206B2">
        <w:rPr>
          <w:rFonts w:ascii="Times New Roman" w:hAnsi="Times New Roman" w:cs="Times New Roman"/>
        </w:rPr>
        <w:t xml:space="preserve"> but </w:t>
      </w:r>
      <w:r w:rsidR="003C6D72">
        <w:rPr>
          <w:rFonts w:ascii="Times New Roman" w:hAnsi="Times New Roman" w:cs="Times New Roman"/>
        </w:rPr>
        <w:t xml:space="preserve">they </w:t>
      </w:r>
      <w:r w:rsidR="006206B2">
        <w:rPr>
          <w:rFonts w:ascii="Times New Roman" w:hAnsi="Times New Roman" w:cs="Times New Roman"/>
        </w:rPr>
        <w:t xml:space="preserve">are also well-established correlates of problem gambling. For example, </w:t>
      </w:r>
      <w:r w:rsidR="00A302FB">
        <w:rPr>
          <w:rFonts w:ascii="Times New Roman" w:hAnsi="Times New Roman" w:cs="Times New Roman"/>
        </w:rPr>
        <w:t>Currie et al. (2006), from analysis of more than 19,000 respondents to the Canadian Community Health Survey</w:t>
      </w:r>
      <w:r w:rsidR="00EF180F">
        <w:rPr>
          <w:rFonts w:ascii="Times New Roman" w:hAnsi="Times New Roman" w:cs="Times New Roman"/>
        </w:rPr>
        <w:t xml:space="preserve">, determined that the risk of gambling harm increased very substantially once gambling frequency reached monthly or more often, regardless of whether controls for demographics were included in the model. And </w:t>
      </w:r>
      <w:r w:rsidR="006206B2">
        <w:rPr>
          <w:rFonts w:ascii="Times New Roman" w:hAnsi="Times New Roman" w:cs="Times New Roman"/>
        </w:rPr>
        <w:t>Leonard and Williams (2016)</w:t>
      </w:r>
      <w:r w:rsidR="00EF180F">
        <w:rPr>
          <w:rFonts w:ascii="Times New Roman" w:hAnsi="Times New Roman" w:cs="Times New Roman"/>
        </w:rPr>
        <w:t xml:space="preserve">, </w:t>
      </w:r>
      <w:r w:rsidR="00EF180F" w:rsidRPr="00EF180F">
        <w:rPr>
          <w:rFonts w:ascii="Times New Roman" w:hAnsi="Times New Roman" w:cs="Times New Roman"/>
        </w:rPr>
        <w:t>in a large-scale longitudinal study</w:t>
      </w:r>
      <w:r w:rsidR="00EF180F">
        <w:rPr>
          <w:rFonts w:ascii="Times New Roman" w:hAnsi="Times New Roman" w:cs="Times New Roman"/>
        </w:rPr>
        <w:t>, also</w:t>
      </w:r>
      <w:r w:rsidR="00EF180F" w:rsidRPr="00EF180F">
        <w:rPr>
          <w:rFonts w:ascii="Times New Roman" w:hAnsi="Times New Roman" w:cs="Times New Roman"/>
        </w:rPr>
        <w:t xml:space="preserve"> in Canada,</w:t>
      </w:r>
      <w:r w:rsidR="006206B2">
        <w:rPr>
          <w:rFonts w:ascii="Times New Roman" w:hAnsi="Times New Roman" w:cs="Times New Roman"/>
        </w:rPr>
        <w:t xml:space="preserve"> found that frequency was highly correlated with problem gambling status in repeated cross-sections and a strong prospective predictor of whether an individual would move into the problem gambler category at the next wave of the survey. </w:t>
      </w:r>
      <w:r w:rsidR="0041318F">
        <w:rPr>
          <w:rFonts w:ascii="Times New Roman" w:hAnsi="Times New Roman" w:cs="Times New Roman"/>
        </w:rPr>
        <w:t xml:space="preserve">The relevance of duration as well as </w:t>
      </w:r>
      <w:r w:rsidR="0022180B">
        <w:rPr>
          <w:rFonts w:ascii="Times New Roman" w:hAnsi="Times New Roman" w:cs="Times New Roman"/>
        </w:rPr>
        <w:t xml:space="preserve">of </w:t>
      </w:r>
      <w:r w:rsidR="0041318F">
        <w:rPr>
          <w:rFonts w:ascii="Times New Roman" w:hAnsi="Times New Roman" w:cs="Times New Roman"/>
        </w:rPr>
        <w:t xml:space="preserve">frequency was illustrated </w:t>
      </w:r>
      <w:r w:rsidR="0041318F" w:rsidRPr="0041318F">
        <w:rPr>
          <w:rFonts w:ascii="Times New Roman" w:hAnsi="Times New Roman" w:cs="Times New Roman"/>
        </w:rPr>
        <w:t>by Schellinck and Schrans (2004)</w:t>
      </w:r>
      <w:r w:rsidR="0041318F">
        <w:rPr>
          <w:rFonts w:ascii="Times New Roman" w:hAnsi="Times New Roman" w:cs="Times New Roman"/>
        </w:rPr>
        <w:t>.</w:t>
      </w:r>
      <w:r w:rsidR="0041318F" w:rsidRPr="0041318F">
        <w:rPr>
          <w:rFonts w:ascii="Times New Roman" w:hAnsi="Times New Roman" w:cs="Times New Roman"/>
        </w:rPr>
        <w:t xml:space="preserve"> </w:t>
      </w:r>
      <w:r w:rsidR="003C6D72">
        <w:rPr>
          <w:rFonts w:ascii="Times New Roman" w:hAnsi="Times New Roman" w:cs="Times New Roman"/>
        </w:rPr>
        <w:t xml:space="preserve">Using data from Nova Scotia, </w:t>
      </w:r>
      <w:r w:rsidR="0041318F">
        <w:rPr>
          <w:rFonts w:ascii="Times New Roman" w:hAnsi="Times New Roman" w:cs="Times New Roman"/>
        </w:rPr>
        <w:t xml:space="preserve">they reported that </w:t>
      </w:r>
      <w:r w:rsidR="003C6D72">
        <w:rPr>
          <w:rFonts w:ascii="Times New Roman" w:hAnsi="Times New Roman" w:cs="Times New Roman"/>
        </w:rPr>
        <w:t>d</w:t>
      </w:r>
      <w:r w:rsidR="00743272">
        <w:rPr>
          <w:rFonts w:ascii="Times New Roman" w:hAnsi="Times New Roman" w:cs="Times New Roman"/>
        </w:rPr>
        <w:t xml:space="preserve">uration </w:t>
      </w:r>
      <w:r w:rsidR="003C6D72">
        <w:rPr>
          <w:rFonts w:ascii="Times New Roman" w:hAnsi="Times New Roman" w:cs="Times New Roman"/>
        </w:rPr>
        <w:t xml:space="preserve">of a session </w:t>
      </w:r>
      <w:r w:rsidR="00743272">
        <w:rPr>
          <w:rFonts w:ascii="Times New Roman" w:hAnsi="Times New Roman" w:cs="Times New Roman"/>
        </w:rPr>
        <w:t xml:space="preserve">was </w:t>
      </w:r>
      <w:r w:rsidR="0041318F">
        <w:rPr>
          <w:rFonts w:ascii="Times New Roman" w:hAnsi="Times New Roman" w:cs="Times New Roman"/>
        </w:rPr>
        <w:t xml:space="preserve">the </w:t>
      </w:r>
      <w:r w:rsidR="003C6D72">
        <w:rPr>
          <w:rFonts w:ascii="Times New Roman" w:hAnsi="Times New Roman" w:cs="Times New Roman"/>
        </w:rPr>
        <w:t xml:space="preserve">strongest predictor of the problem gambling status of a player </w:t>
      </w:r>
      <w:r w:rsidR="0041318F">
        <w:rPr>
          <w:rFonts w:ascii="Times New Roman" w:hAnsi="Times New Roman" w:cs="Times New Roman"/>
        </w:rPr>
        <w:t xml:space="preserve">from </w:t>
      </w:r>
      <w:r w:rsidR="003C6D72">
        <w:rPr>
          <w:rFonts w:ascii="Times New Roman" w:hAnsi="Times New Roman" w:cs="Times New Roman"/>
        </w:rPr>
        <w:t xml:space="preserve">a </w:t>
      </w:r>
      <w:r w:rsidR="003C6D72" w:rsidRPr="003C6D72">
        <w:rPr>
          <w:rFonts w:ascii="Times New Roman" w:hAnsi="Times New Roman" w:cs="Times New Roman"/>
        </w:rPr>
        <w:t>comprehensive list of behavioral, physiological and emotional indicators</w:t>
      </w:r>
      <w:r w:rsidR="003C6D72">
        <w:rPr>
          <w:rFonts w:ascii="Times New Roman" w:hAnsi="Times New Roman" w:cs="Times New Roman"/>
        </w:rPr>
        <w:t xml:space="preserve"> observable in the gaming venue.</w:t>
      </w:r>
      <w:r w:rsidR="003C6D72" w:rsidRPr="003C6D72">
        <w:rPr>
          <w:rFonts w:ascii="Times New Roman" w:hAnsi="Times New Roman" w:cs="Times New Roman"/>
        </w:rPr>
        <w:t xml:space="preserve"> </w:t>
      </w:r>
      <w:r w:rsidR="00D06744">
        <w:rPr>
          <w:rFonts w:ascii="Times New Roman" w:hAnsi="Times New Roman" w:cs="Times New Roman"/>
        </w:rPr>
        <w:t>Working with Australian data, Delfabbro, Thomas and Armstrong (2016</w:t>
      </w:r>
      <w:r w:rsidR="00C86AAC">
        <w:rPr>
          <w:rFonts w:ascii="Times New Roman" w:hAnsi="Times New Roman" w:cs="Times New Roman"/>
        </w:rPr>
        <w:t xml:space="preserve">) </w:t>
      </w:r>
      <w:r w:rsidR="00D06744">
        <w:rPr>
          <w:rFonts w:ascii="Times New Roman" w:hAnsi="Times New Roman" w:cs="Times New Roman"/>
        </w:rPr>
        <w:t>found that 90</w:t>
      </w:r>
      <w:r w:rsidR="00C86AAC">
        <w:rPr>
          <w:rFonts w:ascii="Times New Roman" w:hAnsi="Times New Roman" w:cs="Times New Roman"/>
        </w:rPr>
        <w:t>%</w:t>
      </w:r>
      <w:r w:rsidR="00D06744">
        <w:rPr>
          <w:rFonts w:ascii="Times New Roman" w:hAnsi="Times New Roman" w:cs="Times New Roman"/>
        </w:rPr>
        <w:t xml:space="preserve"> of problem gamblers reported individual sessions of three hours or more (though many non-problem gamblers also engaged in lengthy play).</w:t>
      </w:r>
      <w:r w:rsidR="0034516F">
        <w:rPr>
          <w:rFonts w:ascii="Times New Roman" w:hAnsi="Times New Roman" w:cs="Times New Roman"/>
        </w:rPr>
        <w:t xml:space="preserve"> Duration may therefore be regarded to some extent as a proxy for problem gambling and indeed may be the direct source of harm if quality of decision taking suffers when play is prolonged. </w:t>
      </w:r>
    </w:p>
    <w:p w14:paraId="18A54EAB" w14:textId="34AAE66E" w:rsidR="003C6D72" w:rsidRDefault="009F185A" w:rsidP="003550CF">
      <w:pPr>
        <w:spacing w:after="120" w:line="480" w:lineRule="auto"/>
        <w:ind w:firstLine="288"/>
        <w:rPr>
          <w:rFonts w:ascii="Times New Roman" w:hAnsi="Times New Roman" w:cs="Times New Roman"/>
        </w:rPr>
      </w:pPr>
      <w:r>
        <w:rPr>
          <w:rFonts w:ascii="Times New Roman" w:hAnsi="Times New Roman" w:cs="Times New Roman"/>
        </w:rPr>
        <w:t xml:space="preserve">To indicate frequency, those who had </w:t>
      </w:r>
      <w:r w:rsidR="009820EA">
        <w:rPr>
          <w:rFonts w:ascii="Times New Roman" w:hAnsi="Times New Roman" w:cs="Times New Roman"/>
        </w:rPr>
        <w:t xml:space="preserve">casino </w:t>
      </w:r>
      <w:r>
        <w:rPr>
          <w:rFonts w:ascii="Times New Roman" w:hAnsi="Times New Roman" w:cs="Times New Roman"/>
        </w:rPr>
        <w:t xml:space="preserve">gambled at all </w:t>
      </w:r>
      <w:r w:rsidR="009820EA">
        <w:rPr>
          <w:rFonts w:ascii="Times New Roman" w:hAnsi="Times New Roman" w:cs="Times New Roman"/>
        </w:rPr>
        <w:t xml:space="preserve">in the past year </w:t>
      </w:r>
      <w:r>
        <w:rPr>
          <w:rFonts w:ascii="Times New Roman" w:hAnsi="Times New Roman" w:cs="Times New Roman"/>
        </w:rPr>
        <w:t xml:space="preserve">were asked </w:t>
      </w:r>
      <w:r w:rsidR="003C6D72">
        <w:rPr>
          <w:rFonts w:ascii="Times New Roman" w:hAnsi="Times New Roman" w:cs="Times New Roman"/>
        </w:rPr>
        <w:t xml:space="preserve">in our survey </w:t>
      </w:r>
      <w:r>
        <w:rPr>
          <w:rFonts w:ascii="Times New Roman" w:hAnsi="Times New Roman" w:cs="Times New Roman"/>
        </w:rPr>
        <w:t>to choose between four options, namely daily, weekly or more often, monthly or more often</w:t>
      </w:r>
      <w:r w:rsidR="00687432">
        <w:rPr>
          <w:rFonts w:ascii="Times New Roman" w:hAnsi="Times New Roman" w:cs="Times New Roman"/>
        </w:rPr>
        <w:t xml:space="preserve">, and less than monthly. For duration, </w:t>
      </w:r>
      <w:r w:rsidR="00822BAD">
        <w:rPr>
          <w:rFonts w:ascii="Times New Roman" w:hAnsi="Times New Roman" w:cs="Times New Roman"/>
        </w:rPr>
        <w:t>they were just asked to state the amount of time. As this yielded large numbers of probably rounded answers, we grouped responses into categories: l</w:t>
      </w:r>
      <w:r w:rsidR="00687432">
        <w:rPr>
          <w:rFonts w:ascii="Times New Roman" w:hAnsi="Times New Roman" w:cs="Times New Roman"/>
        </w:rPr>
        <w:t xml:space="preserve">ess than one hour, between one and two hours, between two and three hours, </w:t>
      </w:r>
      <w:r w:rsidR="00822BAD">
        <w:rPr>
          <w:rFonts w:ascii="Times New Roman" w:hAnsi="Times New Roman" w:cs="Times New Roman"/>
        </w:rPr>
        <w:t xml:space="preserve">between three and four hours </w:t>
      </w:r>
      <w:r w:rsidR="00687432">
        <w:rPr>
          <w:rFonts w:ascii="Times New Roman" w:hAnsi="Times New Roman" w:cs="Times New Roman"/>
        </w:rPr>
        <w:t xml:space="preserve">and more than four hours. </w:t>
      </w:r>
      <w:r w:rsidR="00CD0082">
        <w:rPr>
          <w:rFonts w:ascii="Times New Roman" w:hAnsi="Times New Roman" w:cs="Times New Roman"/>
        </w:rPr>
        <w:t>Each grouping was defined to include its lower boundary (for example, an answer of ‘3 hours’ was allocated to the 3-4 hours band rather than the 2-3 hours band</w:t>
      </w:r>
      <w:r w:rsidR="00966AD6">
        <w:rPr>
          <w:rFonts w:ascii="Times New Roman" w:hAnsi="Times New Roman" w:cs="Times New Roman"/>
        </w:rPr>
        <w:t>)</w:t>
      </w:r>
      <w:r w:rsidR="00CD0082">
        <w:rPr>
          <w:rFonts w:ascii="Times New Roman" w:hAnsi="Times New Roman" w:cs="Times New Roman"/>
        </w:rPr>
        <w:t xml:space="preserve">. </w:t>
      </w:r>
      <w:r w:rsidR="00966AD6">
        <w:rPr>
          <w:rFonts w:ascii="Times New Roman" w:hAnsi="Times New Roman" w:cs="Times New Roman"/>
        </w:rPr>
        <w:t>We also collected an a</w:t>
      </w:r>
      <w:r w:rsidR="00687432">
        <w:rPr>
          <w:rFonts w:ascii="Times New Roman" w:hAnsi="Times New Roman" w:cs="Times New Roman"/>
        </w:rPr>
        <w:t>dditional indicator of current gambling behavior</w:t>
      </w:r>
      <w:r w:rsidR="00966AD6">
        <w:rPr>
          <w:rFonts w:ascii="Times New Roman" w:hAnsi="Times New Roman" w:cs="Times New Roman"/>
        </w:rPr>
        <w:t>,</w:t>
      </w:r>
      <w:r w:rsidR="00687432">
        <w:rPr>
          <w:rFonts w:ascii="Times New Roman" w:hAnsi="Times New Roman" w:cs="Times New Roman"/>
        </w:rPr>
        <w:t xml:space="preserve"> the</w:t>
      </w:r>
      <w:r w:rsidR="00966AD6">
        <w:rPr>
          <w:rFonts w:ascii="Times New Roman" w:hAnsi="Times New Roman" w:cs="Times New Roman"/>
        </w:rPr>
        <w:t xml:space="preserve"> respondent’s </w:t>
      </w:r>
      <w:r w:rsidR="00687432">
        <w:rPr>
          <w:rFonts w:ascii="Times New Roman" w:hAnsi="Times New Roman" w:cs="Times New Roman"/>
        </w:rPr>
        <w:t>maximum size of bet (in Macau patacas) in the preceding twelve months</w:t>
      </w:r>
      <w:r w:rsidR="00966AD6">
        <w:rPr>
          <w:rFonts w:ascii="Times New Roman" w:hAnsi="Times New Roman" w:cs="Times New Roman"/>
        </w:rPr>
        <w:t>.</w:t>
      </w:r>
    </w:p>
    <w:p w14:paraId="18C7C745" w14:textId="1B56CAC7" w:rsidR="0032482E" w:rsidRDefault="003C6D72" w:rsidP="003550CF">
      <w:pPr>
        <w:spacing w:after="120" w:line="480" w:lineRule="auto"/>
        <w:ind w:firstLine="288"/>
        <w:rPr>
          <w:rFonts w:ascii="Times New Roman" w:hAnsi="Times New Roman" w:cs="Times New Roman"/>
        </w:rPr>
      </w:pPr>
      <w:r>
        <w:rPr>
          <w:rFonts w:ascii="Times New Roman" w:hAnsi="Times New Roman" w:cs="Times New Roman"/>
        </w:rPr>
        <w:t xml:space="preserve">Finally, we assessed respondents’ adherence to ‘the gambler’s fallacy’ by asking them to </w:t>
      </w:r>
      <w:r w:rsidR="00801CCE">
        <w:rPr>
          <w:rFonts w:ascii="Times New Roman" w:hAnsi="Times New Roman" w:cs="Times New Roman"/>
        </w:rPr>
        <w:t xml:space="preserve">evaluate </w:t>
      </w:r>
      <w:r w:rsidR="00F475B4">
        <w:rPr>
          <w:rFonts w:ascii="Times New Roman" w:hAnsi="Times New Roman" w:cs="Times New Roman"/>
        </w:rPr>
        <w:t xml:space="preserve">the statement ‘After losing many times in a row while gambling, I am more likely to win’. There were five possible responses, from strongly disagree to strongly agree. The gambler’s fallacy is an example of an erroneous belief which might lead to gambling harm, for example because a player who has had a losing session is encouraged to spend yet more money because he or she thinks that a change in luck is overdue. </w:t>
      </w:r>
      <w:r w:rsidR="00EE3AFD">
        <w:rPr>
          <w:rFonts w:ascii="Times New Roman" w:hAnsi="Times New Roman" w:cs="Times New Roman"/>
        </w:rPr>
        <w:t>Although the need for a short survey restricted us to addressing only ‘the gambler’s fallacy’, it may be fairly argued that this erroneous belief is highly correlated with</w:t>
      </w:r>
      <w:r w:rsidR="00CD0082">
        <w:rPr>
          <w:rFonts w:ascii="Times New Roman" w:hAnsi="Times New Roman" w:cs="Times New Roman"/>
        </w:rPr>
        <w:t>,</w:t>
      </w:r>
      <w:r w:rsidR="00EE3AFD">
        <w:rPr>
          <w:rFonts w:ascii="Times New Roman" w:hAnsi="Times New Roman" w:cs="Times New Roman"/>
        </w:rPr>
        <w:t xml:space="preserve"> and indeed drives</w:t>
      </w:r>
      <w:r w:rsidR="00CD0082">
        <w:rPr>
          <w:rFonts w:ascii="Times New Roman" w:hAnsi="Times New Roman" w:cs="Times New Roman"/>
        </w:rPr>
        <w:t>,</w:t>
      </w:r>
      <w:r w:rsidR="00EE3AFD">
        <w:rPr>
          <w:rFonts w:ascii="Times New Roman" w:hAnsi="Times New Roman" w:cs="Times New Roman"/>
        </w:rPr>
        <w:t xml:space="preserve"> many others included in more detailed inquiries into cognitive distortions in gambling     (</w:t>
      </w:r>
      <w:r w:rsidR="00EE3AFD" w:rsidRPr="00EE3AFD">
        <w:rPr>
          <w:rFonts w:ascii="Times New Roman" w:hAnsi="Times New Roman" w:cs="Times New Roman"/>
        </w:rPr>
        <w:t>Ejova</w:t>
      </w:r>
      <w:r w:rsidR="00EE3AFD">
        <w:rPr>
          <w:rFonts w:ascii="Times New Roman" w:hAnsi="Times New Roman" w:cs="Times New Roman"/>
        </w:rPr>
        <w:t xml:space="preserve">, </w:t>
      </w:r>
      <w:r w:rsidR="00EE3AFD" w:rsidRPr="00EE3AFD">
        <w:rPr>
          <w:rFonts w:ascii="Times New Roman" w:hAnsi="Times New Roman" w:cs="Times New Roman"/>
        </w:rPr>
        <w:t>Delfabbro</w:t>
      </w:r>
      <w:r w:rsidR="00EE3AFD">
        <w:rPr>
          <w:rFonts w:ascii="Times New Roman" w:hAnsi="Times New Roman" w:cs="Times New Roman"/>
        </w:rPr>
        <w:t xml:space="preserve"> and </w:t>
      </w:r>
      <w:r w:rsidR="00EE3AFD" w:rsidRPr="00EE3AFD">
        <w:rPr>
          <w:rFonts w:ascii="Times New Roman" w:hAnsi="Times New Roman" w:cs="Times New Roman"/>
        </w:rPr>
        <w:t>Navarro</w:t>
      </w:r>
      <w:r w:rsidR="00EE3AFD">
        <w:rPr>
          <w:rFonts w:ascii="Times New Roman" w:hAnsi="Times New Roman" w:cs="Times New Roman"/>
        </w:rPr>
        <w:t xml:space="preserve">, 2015). </w:t>
      </w:r>
      <w:r w:rsidR="00F475B4">
        <w:rPr>
          <w:rFonts w:ascii="Times New Roman" w:hAnsi="Times New Roman" w:cs="Times New Roman"/>
        </w:rPr>
        <w:t>Leonard and Williams (2016) found that false beliefs about gambling products constitute</w:t>
      </w:r>
      <w:r w:rsidR="005C6014">
        <w:rPr>
          <w:rFonts w:ascii="Times New Roman" w:hAnsi="Times New Roman" w:cs="Times New Roman"/>
        </w:rPr>
        <w:t>d</w:t>
      </w:r>
      <w:r w:rsidR="00F475B4">
        <w:rPr>
          <w:rFonts w:ascii="Times New Roman" w:hAnsi="Times New Roman" w:cs="Times New Roman"/>
        </w:rPr>
        <w:t xml:space="preserve"> a statistically strong predictor of problem gambler status (though the effect size was relatively small).</w:t>
      </w:r>
    </w:p>
    <w:p w14:paraId="4334710A" w14:textId="513E32F4" w:rsidR="000D46B2" w:rsidRDefault="0032482E" w:rsidP="003550CF">
      <w:pPr>
        <w:spacing w:after="120" w:line="480" w:lineRule="auto"/>
        <w:ind w:firstLine="288"/>
        <w:rPr>
          <w:rFonts w:ascii="Times New Roman" w:hAnsi="Times New Roman" w:cs="Times New Roman"/>
        </w:rPr>
      </w:pPr>
      <w:r>
        <w:rPr>
          <w:rFonts w:ascii="Times New Roman" w:hAnsi="Times New Roman" w:cs="Times New Roman"/>
        </w:rPr>
        <w:t xml:space="preserve">The second strand in the project was to compare respondents’ gambling behavior over the immediately preceding twelve months </w:t>
      </w:r>
      <w:r w:rsidR="00CD0082">
        <w:rPr>
          <w:rFonts w:ascii="Times New Roman" w:hAnsi="Times New Roman" w:cs="Times New Roman"/>
        </w:rPr>
        <w:t xml:space="preserve">with </w:t>
      </w:r>
      <w:r>
        <w:rPr>
          <w:rFonts w:ascii="Times New Roman" w:hAnsi="Times New Roman" w:cs="Times New Roman"/>
        </w:rPr>
        <w:t xml:space="preserve">their behavior in the year when they first gambled in a casino. Questions on that initial year relating to frequency and duration were similarly framed as those covering the last year before they completed our questionnaire. </w:t>
      </w:r>
      <w:r w:rsidR="00CD0082">
        <w:rPr>
          <w:rFonts w:ascii="Times New Roman" w:hAnsi="Times New Roman" w:cs="Times New Roman"/>
        </w:rPr>
        <w:t xml:space="preserve">We examined movements in frequency and duration of play between the two points in time and display these in transition matrices </w:t>
      </w:r>
      <w:r w:rsidR="000D46B2">
        <w:rPr>
          <w:rFonts w:ascii="Times New Roman" w:hAnsi="Times New Roman" w:cs="Times New Roman"/>
        </w:rPr>
        <w:t xml:space="preserve">for both casino and non-casino employees </w:t>
      </w:r>
      <w:r w:rsidR="00CD0082">
        <w:rPr>
          <w:rFonts w:ascii="Times New Roman" w:hAnsi="Times New Roman" w:cs="Times New Roman"/>
        </w:rPr>
        <w:t>(Tables 2 and 3).</w:t>
      </w:r>
      <w:r w:rsidR="000D46B2">
        <w:rPr>
          <w:rFonts w:ascii="Times New Roman" w:hAnsi="Times New Roman" w:cs="Times New Roman"/>
        </w:rPr>
        <w:t xml:space="preserve"> The number of subjects captured in each table is typically slightly below the total size of the sample because a very small number of respondents had failed to answer one of the questions on the basis of which the particular table was compiled.</w:t>
      </w:r>
    </w:p>
    <w:p w14:paraId="4DE177B4" w14:textId="77777777" w:rsidR="004D4647" w:rsidRPr="00E37440" w:rsidRDefault="004D4647" w:rsidP="004D4647">
      <w:pPr>
        <w:spacing w:after="0" w:line="276" w:lineRule="auto"/>
        <w:jc w:val="center"/>
        <w:rPr>
          <w:rFonts w:ascii="Times New Roman" w:eastAsia="DFKai-SB" w:hAnsi="Times New Roman" w:cs="Times New Roman"/>
          <w:color w:val="000000" w:themeColor="text1"/>
          <w:sz w:val="24"/>
          <w:szCs w:val="24"/>
        </w:rPr>
      </w:pPr>
      <w:r w:rsidRPr="00E37440">
        <w:rPr>
          <w:rFonts w:ascii="Times New Roman" w:eastAsia="DFKai-SB" w:hAnsi="Times New Roman" w:cs="Times New Roman"/>
          <w:color w:val="000000" w:themeColor="text1"/>
          <w:sz w:val="24"/>
          <w:szCs w:val="24"/>
        </w:rPr>
        <w:t>--------------------------------</w:t>
      </w:r>
    </w:p>
    <w:p w14:paraId="5DBA23E2" w14:textId="77777777" w:rsidR="004D4647" w:rsidRPr="00E37440" w:rsidRDefault="004D4647" w:rsidP="004D4647">
      <w:pPr>
        <w:spacing w:after="0" w:line="276" w:lineRule="auto"/>
        <w:jc w:val="center"/>
        <w:rPr>
          <w:rFonts w:ascii="Times New Roman" w:eastAsia="DFKai-SB" w:hAnsi="Times New Roman" w:cs="Times New Roman"/>
          <w:color w:val="000000" w:themeColor="text1"/>
          <w:sz w:val="24"/>
          <w:szCs w:val="24"/>
          <w:lang w:eastAsia="zh-MO"/>
        </w:rPr>
      </w:pPr>
      <w:r w:rsidRPr="00E37440">
        <w:rPr>
          <w:rFonts w:ascii="Times New Roman" w:eastAsia="DFKai-SB" w:hAnsi="Times New Roman" w:cs="Times New Roman"/>
          <w:color w:val="000000" w:themeColor="text1"/>
          <w:sz w:val="24"/>
          <w:szCs w:val="24"/>
          <w:lang w:eastAsia="zh-MO"/>
        </w:rPr>
        <w:t>Insert Table 2 About Here</w:t>
      </w:r>
    </w:p>
    <w:p w14:paraId="48FF79BB" w14:textId="77777777" w:rsidR="004D4647" w:rsidRPr="00E37440" w:rsidRDefault="004D4647" w:rsidP="004D4647">
      <w:pPr>
        <w:spacing w:after="0" w:line="480" w:lineRule="auto"/>
        <w:jc w:val="center"/>
        <w:rPr>
          <w:rFonts w:ascii="Times New Roman" w:eastAsia="DFKai-SB" w:hAnsi="Times New Roman" w:cs="Times New Roman"/>
          <w:color w:val="000000" w:themeColor="text1"/>
          <w:sz w:val="24"/>
          <w:szCs w:val="24"/>
          <w:lang w:eastAsia="zh-MO"/>
        </w:rPr>
      </w:pPr>
      <w:r w:rsidRPr="00E37440">
        <w:rPr>
          <w:rFonts w:ascii="Times New Roman" w:eastAsia="DFKai-SB" w:hAnsi="Times New Roman" w:cs="Times New Roman"/>
          <w:color w:val="000000" w:themeColor="text1"/>
          <w:sz w:val="24"/>
          <w:szCs w:val="24"/>
          <w:lang w:eastAsia="zh-MO"/>
        </w:rPr>
        <w:t>--------------------------------</w:t>
      </w:r>
    </w:p>
    <w:p w14:paraId="0BEDD29A" w14:textId="77777777" w:rsidR="00304D33" w:rsidRPr="00E37440" w:rsidRDefault="00304D33" w:rsidP="00304D33">
      <w:pPr>
        <w:spacing w:after="0" w:line="276" w:lineRule="auto"/>
        <w:jc w:val="center"/>
        <w:rPr>
          <w:rFonts w:ascii="Times New Roman" w:eastAsia="DFKai-SB" w:hAnsi="Times New Roman" w:cs="Times New Roman"/>
          <w:color w:val="000000" w:themeColor="text1"/>
          <w:sz w:val="24"/>
          <w:szCs w:val="24"/>
        </w:rPr>
      </w:pPr>
      <w:r w:rsidRPr="00E37440">
        <w:rPr>
          <w:rFonts w:ascii="Times New Roman" w:eastAsia="DFKai-SB" w:hAnsi="Times New Roman" w:cs="Times New Roman"/>
          <w:color w:val="000000" w:themeColor="text1"/>
          <w:sz w:val="24"/>
          <w:szCs w:val="24"/>
        </w:rPr>
        <w:t>--------------------------------</w:t>
      </w:r>
    </w:p>
    <w:p w14:paraId="3DB5255A" w14:textId="77777777" w:rsidR="00304D33" w:rsidRPr="00E37440" w:rsidRDefault="00304D33" w:rsidP="00304D33">
      <w:pPr>
        <w:spacing w:after="0" w:line="276" w:lineRule="auto"/>
        <w:jc w:val="center"/>
        <w:rPr>
          <w:rFonts w:ascii="Times New Roman" w:eastAsia="DFKai-SB" w:hAnsi="Times New Roman" w:cs="Times New Roman"/>
          <w:color w:val="000000" w:themeColor="text1"/>
          <w:sz w:val="24"/>
          <w:szCs w:val="24"/>
          <w:lang w:eastAsia="zh-MO"/>
        </w:rPr>
      </w:pPr>
      <w:r w:rsidRPr="00E37440">
        <w:rPr>
          <w:rFonts w:ascii="Times New Roman" w:eastAsia="DFKai-SB" w:hAnsi="Times New Roman" w:cs="Times New Roman"/>
          <w:color w:val="000000" w:themeColor="text1"/>
          <w:sz w:val="24"/>
          <w:szCs w:val="24"/>
          <w:lang w:eastAsia="zh-MO"/>
        </w:rPr>
        <w:t>Insert Table 3 About Here</w:t>
      </w:r>
    </w:p>
    <w:p w14:paraId="6966CB81" w14:textId="77777777" w:rsidR="00304D33" w:rsidRPr="00E37440" w:rsidRDefault="00304D33" w:rsidP="00304D33">
      <w:pPr>
        <w:spacing w:after="0" w:line="480" w:lineRule="auto"/>
        <w:jc w:val="center"/>
        <w:rPr>
          <w:rFonts w:ascii="Times New Roman" w:eastAsia="DFKai-SB" w:hAnsi="Times New Roman" w:cs="Times New Roman"/>
          <w:color w:val="000000" w:themeColor="text1"/>
          <w:sz w:val="24"/>
          <w:szCs w:val="24"/>
          <w:lang w:eastAsia="zh-MO"/>
        </w:rPr>
      </w:pPr>
      <w:r w:rsidRPr="00E37440">
        <w:rPr>
          <w:rFonts w:ascii="Times New Roman" w:eastAsia="DFKai-SB" w:hAnsi="Times New Roman" w:cs="Times New Roman"/>
          <w:color w:val="000000" w:themeColor="text1"/>
          <w:sz w:val="24"/>
          <w:szCs w:val="24"/>
          <w:lang w:eastAsia="zh-MO"/>
        </w:rPr>
        <w:t>--------------------------------</w:t>
      </w:r>
    </w:p>
    <w:p w14:paraId="41C9C406" w14:textId="77777777" w:rsidR="000D46B2" w:rsidRPr="000D46B2" w:rsidRDefault="000D46B2" w:rsidP="007E5744">
      <w:pPr>
        <w:rPr>
          <w:rFonts w:ascii="Times New Roman" w:hAnsi="Times New Roman" w:cs="Times New Roman"/>
          <w:b/>
        </w:rPr>
      </w:pPr>
      <w:r w:rsidRPr="000D46B2">
        <w:rPr>
          <w:rFonts w:ascii="Times New Roman" w:hAnsi="Times New Roman" w:cs="Times New Roman"/>
          <w:b/>
        </w:rPr>
        <w:t>Past-year casino gambling</w:t>
      </w:r>
    </w:p>
    <w:p w14:paraId="7471EB19" w14:textId="77777777" w:rsidR="000D46B2" w:rsidRPr="00424BD7" w:rsidRDefault="000D46B2" w:rsidP="007E5744">
      <w:pPr>
        <w:rPr>
          <w:rFonts w:ascii="Times New Roman" w:hAnsi="Times New Roman" w:cs="Times New Roman"/>
          <w:i/>
        </w:rPr>
      </w:pPr>
      <w:commentRangeStart w:id="1"/>
      <w:r w:rsidRPr="00424BD7">
        <w:rPr>
          <w:rFonts w:ascii="Times New Roman" w:hAnsi="Times New Roman" w:cs="Times New Roman"/>
          <w:i/>
        </w:rPr>
        <w:t>Frequency</w:t>
      </w:r>
      <w:commentRangeEnd w:id="1"/>
      <w:r w:rsidR="009D1F56">
        <w:rPr>
          <w:rStyle w:val="CommentReference"/>
        </w:rPr>
        <w:commentReference w:id="1"/>
      </w:r>
    </w:p>
    <w:p w14:paraId="515524E1" w14:textId="574884EE" w:rsidR="000D46B2" w:rsidRDefault="000D46B2" w:rsidP="003550CF">
      <w:pPr>
        <w:spacing w:after="120" w:line="480" w:lineRule="auto"/>
        <w:ind w:firstLine="288"/>
        <w:rPr>
          <w:rFonts w:ascii="Times New Roman" w:hAnsi="Times New Roman" w:cs="Times New Roman"/>
        </w:rPr>
      </w:pPr>
      <w:r>
        <w:rPr>
          <w:rFonts w:ascii="Times New Roman" w:hAnsi="Times New Roman" w:cs="Times New Roman"/>
        </w:rPr>
        <w:t xml:space="preserve">In field work, the survey </w:t>
      </w:r>
      <w:r w:rsidR="00424BD7">
        <w:rPr>
          <w:rFonts w:ascii="Times New Roman" w:hAnsi="Times New Roman" w:cs="Times New Roman"/>
        </w:rPr>
        <w:t xml:space="preserve">had been </w:t>
      </w:r>
      <w:r>
        <w:rPr>
          <w:rFonts w:ascii="Times New Roman" w:hAnsi="Times New Roman" w:cs="Times New Roman"/>
        </w:rPr>
        <w:t>terminated if a subject had never gambled in a casino. Thus</w:t>
      </w:r>
      <w:r w:rsidR="00C51194">
        <w:rPr>
          <w:rFonts w:ascii="Times New Roman" w:hAnsi="Times New Roman" w:cs="Times New Roman"/>
        </w:rPr>
        <w:t>,</w:t>
      </w:r>
      <w:r>
        <w:rPr>
          <w:rFonts w:ascii="Times New Roman" w:hAnsi="Times New Roman" w:cs="Times New Roman"/>
        </w:rPr>
        <w:t xml:space="preserve"> all those we studied had experience of </w:t>
      </w:r>
      <w:r w:rsidR="00981DCE">
        <w:rPr>
          <w:rFonts w:ascii="Times New Roman" w:hAnsi="Times New Roman" w:cs="Times New Roman"/>
        </w:rPr>
        <w:t>casino gaming. However, a significant proportion were no longer participating. 35.2% of casino employees and 38.</w:t>
      </w:r>
      <w:r w:rsidR="00BD370F">
        <w:rPr>
          <w:rFonts w:ascii="Times New Roman" w:hAnsi="Times New Roman" w:cs="Times New Roman"/>
        </w:rPr>
        <w:t xml:space="preserve">8 </w:t>
      </w:r>
      <w:r w:rsidR="00981DCE">
        <w:rPr>
          <w:rFonts w:ascii="Times New Roman" w:hAnsi="Times New Roman" w:cs="Times New Roman"/>
        </w:rPr>
        <w:t>% of non-casino employees had not done so in the preceding twelve months</w:t>
      </w:r>
      <w:r w:rsidR="008B52BB">
        <w:rPr>
          <w:rFonts w:ascii="Times New Roman" w:hAnsi="Times New Roman" w:cs="Times New Roman"/>
        </w:rPr>
        <w:t xml:space="preserve"> (this indicates higher participation than estimated in official prevalence studies but our sample </w:t>
      </w:r>
      <w:r w:rsidR="009D1F56">
        <w:rPr>
          <w:rFonts w:ascii="Times New Roman" w:hAnsi="Times New Roman" w:cs="Times New Roman"/>
        </w:rPr>
        <w:t xml:space="preserve">is restricted to </w:t>
      </w:r>
      <w:r w:rsidR="008B52BB">
        <w:rPr>
          <w:rFonts w:ascii="Times New Roman" w:hAnsi="Times New Roman" w:cs="Times New Roman"/>
        </w:rPr>
        <w:t>those with at least some lifetime participation)</w:t>
      </w:r>
      <w:r w:rsidR="00981DCE">
        <w:rPr>
          <w:rFonts w:ascii="Times New Roman" w:hAnsi="Times New Roman" w:cs="Times New Roman"/>
        </w:rPr>
        <w:t>. Of the remainder, by far the most common response to the question on frequency was ‘less than monthly’. So</w:t>
      </w:r>
      <w:r w:rsidR="00C51194">
        <w:rPr>
          <w:rFonts w:ascii="Times New Roman" w:hAnsi="Times New Roman" w:cs="Times New Roman"/>
        </w:rPr>
        <w:t>,</w:t>
      </w:r>
      <w:r w:rsidR="00981DCE">
        <w:rPr>
          <w:rFonts w:ascii="Times New Roman" w:hAnsi="Times New Roman" w:cs="Times New Roman"/>
        </w:rPr>
        <w:t xml:space="preserve"> a large majority of respondents played only occasionally or not at all. However, there were ‘regular gamblers’ (defined by the top three bands, i.e. by playing </w:t>
      </w:r>
      <w:r w:rsidR="006171C4">
        <w:rPr>
          <w:rFonts w:ascii="Times New Roman" w:hAnsi="Times New Roman" w:cs="Times New Roman"/>
        </w:rPr>
        <w:t xml:space="preserve">at least </w:t>
      </w:r>
      <w:r w:rsidR="00981DCE">
        <w:rPr>
          <w:rFonts w:ascii="Times New Roman" w:hAnsi="Times New Roman" w:cs="Times New Roman"/>
        </w:rPr>
        <w:t>monthly) in each group, 7.</w:t>
      </w:r>
      <w:r w:rsidR="001B6DBE">
        <w:rPr>
          <w:rFonts w:ascii="Times New Roman" w:hAnsi="Times New Roman" w:cs="Times New Roman"/>
        </w:rPr>
        <w:t>5</w:t>
      </w:r>
      <w:r w:rsidR="00981DCE">
        <w:rPr>
          <w:rFonts w:ascii="Times New Roman" w:hAnsi="Times New Roman" w:cs="Times New Roman"/>
        </w:rPr>
        <w:t>% of all casino employees and 1</w:t>
      </w:r>
      <w:r w:rsidR="001B6DBE">
        <w:rPr>
          <w:rFonts w:ascii="Times New Roman" w:hAnsi="Times New Roman" w:cs="Times New Roman"/>
        </w:rPr>
        <w:t>2</w:t>
      </w:r>
      <w:r w:rsidR="00981DCE">
        <w:rPr>
          <w:rFonts w:ascii="Times New Roman" w:hAnsi="Times New Roman" w:cs="Times New Roman"/>
        </w:rPr>
        <w:t>.</w:t>
      </w:r>
      <w:r w:rsidR="001B6DBE">
        <w:rPr>
          <w:rFonts w:ascii="Times New Roman" w:hAnsi="Times New Roman" w:cs="Times New Roman"/>
        </w:rPr>
        <w:t>0</w:t>
      </w:r>
      <w:r w:rsidR="00981DCE">
        <w:rPr>
          <w:rFonts w:ascii="Times New Roman" w:hAnsi="Times New Roman" w:cs="Times New Roman"/>
        </w:rPr>
        <w:t xml:space="preserve"> % of non-casino employees</w:t>
      </w:r>
      <w:r w:rsidR="00424BD7">
        <w:rPr>
          <w:rFonts w:ascii="Times New Roman" w:hAnsi="Times New Roman" w:cs="Times New Roman"/>
        </w:rPr>
        <w:t>. According to research cited above, this level of engagement with gambling is associated with sharply elevated risk of problem gambling.</w:t>
      </w:r>
    </w:p>
    <w:p w14:paraId="4A749CE3" w14:textId="142073E2" w:rsidR="00424BD7" w:rsidRDefault="00424BD7" w:rsidP="003550CF">
      <w:pPr>
        <w:spacing w:after="120" w:line="480" w:lineRule="auto"/>
        <w:ind w:firstLine="288"/>
        <w:rPr>
          <w:rFonts w:ascii="Times New Roman" w:hAnsi="Times New Roman" w:cs="Times New Roman"/>
        </w:rPr>
      </w:pPr>
      <w:r>
        <w:rPr>
          <w:rFonts w:ascii="Times New Roman" w:hAnsi="Times New Roman" w:cs="Times New Roman"/>
        </w:rPr>
        <w:t>Using difference in proportions tests applied with Stata software, we found no significant difference between the proportions of the two sub-groups who were non-gamblers in the past year (p=.</w:t>
      </w:r>
      <w:r w:rsidR="001B6DBE">
        <w:rPr>
          <w:rFonts w:ascii="Times New Roman" w:hAnsi="Times New Roman" w:cs="Times New Roman"/>
        </w:rPr>
        <w:t>464</w:t>
      </w:r>
      <w:r>
        <w:rPr>
          <w:rFonts w:ascii="Times New Roman" w:hAnsi="Times New Roman" w:cs="Times New Roman"/>
        </w:rPr>
        <w:t xml:space="preserve">). </w:t>
      </w:r>
      <w:r w:rsidR="001B6DBE">
        <w:rPr>
          <w:rFonts w:ascii="Times New Roman" w:hAnsi="Times New Roman" w:cs="Times New Roman"/>
        </w:rPr>
        <w:t xml:space="preserve">The </w:t>
      </w:r>
      <w:r>
        <w:rPr>
          <w:rFonts w:ascii="Times New Roman" w:hAnsi="Times New Roman" w:cs="Times New Roman"/>
        </w:rPr>
        <w:t>proportion of ‘regular gamblers’ was higher in th</w:t>
      </w:r>
      <w:r w:rsidR="001B6DBE">
        <w:rPr>
          <w:rFonts w:ascii="Times New Roman" w:hAnsi="Times New Roman" w:cs="Times New Roman"/>
        </w:rPr>
        <w:t xml:space="preserve">e non-casino employee group but sample sizes were too limited for the difference to be significant at conventional levels </w:t>
      </w:r>
      <w:r>
        <w:rPr>
          <w:rFonts w:ascii="Times New Roman" w:hAnsi="Times New Roman" w:cs="Times New Roman"/>
        </w:rPr>
        <w:t>(p</w:t>
      </w:r>
      <w:r w:rsidR="001B6DBE">
        <w:rPr>
          <w:rFonts w:ascii="Times New Roman" w:hAnsi="Times New Roman" w:cs="Times New Roman"/>
        </w:rPr>
        <w:t>=.131</w:t>
      </w:r>
      <w:r>
        <w:rPr>
          <w:rFonts w:ascii="Times New Roman" w:hAnsi="Times New Roman" w:cs="Times New Roman"/>
        </w:rPr>
        <w:t xml:space="preserve">). </w:t>
      </w:r>
      <w:r w:rsidR="00812087">
        <w:rPr>
          <w:rFonts w:ascii="Times New Roman" w:hAnsi="Times New Roman" w:cs="Times New Roman"/>
        </w:rPr>
        <w:t xml:space="preserve">This latter </w:t>
      </w:r>
      <w:r>
        <w:rPr>
          <w:rFonts w:ascii="Times New Roman" w:hAnsi="Times New Roman" w:cs="Times New Roman"/>
        </w:rPr>
        <w:t>finding appear</w:t>
      </w:r>
      <w:r w:rsidR="00812087">
        <w:rPr>
          <w:rFonts w:ascii="Times New Roman" w:hAnsi="Times New Roman" w:cs="Times New Roman"/>
        </w:rPr>
        <w:t>s</w:t>
      </w:r>
      <w:r>
        <w:rPr>
          <w:rFonts w:ascii="Times New Roman" w:hAnsi="Times New Roman" w:cs="Times New Roman"/>
        </w:rPr>
        <w:t xml:space="preserve"> to be inconsistent with a simple version of the exposure hypothesis</w:t>
      </w:r>
      <w:r w:rsidR="00C92596">
        <w:rPr>
          <w:rFonts w:ascii="Times New Roman" w:hAnsi="Times New Roman" w:cs="Times New Roman"/>
        </w:rPr>
        <w:t xml:space="preserve"> </w:t>
      </w:r>
      <w:r w:rsidR="00FE1CE1">
        <w:rPr>
          <w:rFonts w:ascii="Times New Roman" w:hAnsi="Times New Roman" w:cs="Times New Roman"/>
        </w:rPr>
        <w:t xml:space="preserve">because the group of casino employees </w:t>
      </w:r>
      <w:r w:rsidR="008B52BB">
        <w:rPr>
          <w:rFonts w:ascii="Times New Roman" w:hAnsi="Times New Roman" w:cs="Times New Roman"/>
        </w:rPr>
        <w:t>has been</w:t>
      </w:r>
      <w:r w:rsidR="00FE1CE1">
        <w:rPr>
          <w:rFonts w:ascii="Times New Roman" w:hAnsi="Times New Roman" w:cs="Times New Roman"/>
        </w:rPr>
        <w:t xml:space="preserve"> exposed to a gambling environment more directly and for more time each week than other Macau residents</w:t>
      </w:r>
      <w:r w:rsidR="009D1F56">
        <w:rPr>
          <w:rFonts w:ascii="Times New Roman" w:hAnsi="Times New Roman" w:cs="Times New Roman"/>
        </w:rPr>
        <w:t xml:space="preserve"> and yet their propensity to be regular gamblers is no higher and may indeed be lower. </w:t>
      </w:r>
    </w:p>
    <w:p w14:paraId="76B37F70" w14:textId="77777777" w:rsidR="00C41140" w:rsidRPr="00C41140" w:rsidRDefault="00C41140" w:rsidP="007E5744">
      <w:pPr>
        <w:rPr>
          <w:rFonts w:ascii="Times New Roman" w:hAnsi="Times New Roman" w:cs="Times New Roman"/>
          <w:i/>
        </w:rPr>
      </w:pPr>
      <w:r w:rsidRPr="00C41140">
        <w:rPr>
          <w:rFonts w:ascii="Times New Roman" w:hAnsi="Times New Roman" w:cs="Times New Roman"/>
          <w:i/>
        </w:rPr>
        <w:t>Duration</w:t>
      </w:r>
    </w:p>
    <w:p w14:paraId="5F2CD6C2" w14:textId="745C72C7" w:rsidR="00D23323" w:rsidRDefault="00C41140" w:rsidP="003550CF">
      <w:pPr>
        <w:spacing w:after="120" w:line="480" w:lineRule="auto"/>
        <w:ind w:firstLine="288"/>
        <w:rPr>
          <w:rFonts w:ascii="Times New Roman" w:hAnsi="Times New Roman" w:cs="Times New Roman"/>
        </w:rPr>
      </w:pPr>
      <w:r>
        <w:rPr>
          <w:rFonts w:ascii="Times New Roman" w:hAnsi="Times New Roman" w:cs="Times New Roman"/>
        </w:rPr>
        <w:t>Here we analy</w:t>
      </w:r>
      <w:r w:rsidR="00C51194">
        <w:rPr>
          <w:rFonts w:ascii="Times New Roman" w:hAnsi="Times New Roman" w:cs="Times New Roman"/>
        </w:rPr>
        <w:t>z</w:t>
      </w:r>
      <w:r>
        <w:rPr>
          <w:rFonts w:ascii="Times New Roman" w:hAnsi="Times New Roman" w:cs="Times New Roman"/>
        </w:rPr>
        <w:t xml:space="preserve">ed typical session length among those who had played at all in the preceding year. In each sub-sample, median duration </w:t>
      </w:r>
      <w:r w:rsidR="00B537C6">
        <w:rPr>
          <w:rFonts w:ascii="Times New Roman" w:hAnsi="Times New Roman" w:cs="Times New Roman"/>
        </w:rPr>
        <w:t xml:space="preserve">of past-year casino gamblers </w:t>
      </w:r>
      <w:r>
        <w:rPr>
          <w:rFonts w:ascii="Times New Roman" w:hAnsi="Times New Roman" w:cs="Times New Roman"/>
        </w:rPr>
        <w:t>was between one and two hours</w:t>
      </w:r>
      <w:r w:rsidR="00B537C6">
        <w:rPr>
          <w:rFonts w:ascii="Times New Roman" w:hAnsi="Times New Roman" w:cs="Times New Roman"/>
        </w:rPr>
        <w:t>.</w:t>
      </w:r>
      <w:r>
        <w:rPr>
          <w:rFonts w:ascii="Times New Roman" w:hAnsi="Times New Roman" w:cs="Times New Roman"/>
        </w:rPr>
        <w:t xml:space="preserve"> But there were significant numbers of respondents who played for three to four hours (and </w:t>
      </w:r>
      <w:commentRangeStart w:id="2"/>
      <w:r w:rsidR="00866D08">
        <w:rPr>
          <w:rFonts w:ascii="Times New Roman" w:hAnsi="Times New Roman" w:cs="Times New Roman"/>
        </w:rPr>
        <w:t>28</w:t>
      </w:r>
      <w:commentRangeEnd w:id="2"/>
      <w:r w:rsidR="00866D08">
        <w:rPr>
          <w:rStyle w:val="CommentReference"/>
        </w:rPr>
        <w:commentReference w:id="2"/>
      </w:r>
      <w:r w:rsidR="00866D08">
        <w:rPr>
          <w:rFonts w:ascii="Times New Roman" w:hAnsi="Times New Roman" w:cs="Times New Roman"/>
        </w:rPr>
        <w:t xml:space="preserve"> </w:t>
      </w:r>
      <w:r>
        <w:rPr>
          <w:rFonts w:ascii="Times New Roman" w:hAnsi="Times New Roman" w:cs="Times New Roman"/>
        </w:rPr>
        <w:t xml:space="preserve">altogether whose typical length of play exceeded four hours). </w:t>
      </w:r>
      <w:r w:rsidR="00B537C6">
        <w:rPr>
          <w:rFonts w:ascii="Times New Roman" w:hAnsi="Times New Roman" w:cs="Times New Roman"/>
        </w:rPr>
        <w:t>It is believed that session duration of greater than three hours is associated with sharply elevated risk of problem gambling (</w:t>
      </w:r>
      <w:r w:rsidR="00B537C6" w:rsidRPr="00B537C6">
        <w:rPr>
          <w:rFonts w:ascii="Times New Roman" w:hAnsi="Times New Roman" w:cs="Times New Roman"/>
        </w:rPr>
        <w:t>Delfabbro, Thomas and Armstrong</w:t>
      </w:r>
      <w:r w:rsidR="00B537C6">
        <w:rPr>
          <w:rFonts w:ascii="Times New Roman" w:hAnsi="Times New Roman" w:cs="Times New Roman"/>
        </w:rPr>
        <w:t xml:space="preserve">, </w:t>
      </w:r>
      <w:r w:rsidR="00B537C6" w:rsidRPr="00B537C6">
        <w:rPr>
          <w:rFonts w:ascii="Times New Roman" w:hAnsi="Times New Roman" w:cs="Times New Roman"/>
        </w:rPr>
        <w:t>2016)</w:t>
      </w:r>
      <w:r w:rsidR="00B537C6">
        <w:rPr>
          <w:rFonts w:ascii="Times New Roman" w:hAnsi="Times New Roman" w:cs="Times New Roman"/>
        </w:rPr>
        <w:t>.</w:t>
      </w:r>
    </w:p>
    <w:p w14:paraId="5637C00B" w14:textId="004BDDDF" w:rsidR="000D0DBD" w:rsidRDefault="00D23323" w:rsidP="003550CF">
      <w:pPr>
        <w:spacing w:after="120" w:line="480" w:lineRule="auto"/>
        <w:ind w:firstLine="288"/>
        <w:rPr>
          <w:rFonts w:ascii="Times New Roman" w:hAnsi="Times New Roman" w:cs="Times New Roman"/>
        </w:rPr>
      </w:pPr>
      <w:r>
        <w:rPr>
          <w:rFonts w:ascii="Times New Roman" w:hAnsi="Times New Roman" w:cs="Times New Roman"/>
        </w:rPr>
        <w:t xml:space="preserve">Of the </w:t>
      </w:r>
      <w:commentRangeStart w:id="3"/>
      <w:commentRangeStart w:id="4"/>
      <w:commentRangeStart w:id="5"/>
      <w:r>
        <w:rPr>
          <w:rFonts w:ascii="Times New Roman" w:hAnsi="Times New Roman" w:cs="Times New Roman"/>
        </w:rPr>
        <w:t>1</w:t>
      </w:r>
      <w:r w:rsidR="00635728">
        <w:rPr>
          <w:rFonts w:ascii="Times New Roman" w:hAnsi="Times New Roman" w:cs="Times New Roman"/>
        </w:rPr>
        <w:t>0</w:t>
      </w:r>
      <w:r w:rsidR="008C1591">
        <w:rPr>
          <w:rFonts w:ascii="Times New Roman" w:hAnsi="Times New Roman" w:cs="Times New Roman"/>
        </w:rPr>
        <w:t>5</w:t>
      </w:r>
      <w:commentRangeEnd w:id="3"/>
      <w:r w:rsidR="008C1591">
        <w:rPr>
          <w:rStyle w:val="CommentReference"/>
        </w:rPr>
        <w:commentReference w:id="3"/>
      </w:r>
      <w:commentRangeEnd w:id="4"/>
      <w:r w:rsidR="004F65F0">
        <w:rPr>
          <w:rStyle w:val="CommentReference"/>
        </w:rPr>
        <w:commentReference w:id="4"/>
      </w:r>
      <w:commentRangeEnd w:id="5"/>
      <w:r w:rsidR="004F65F0">
        <w:rPr>
          <w:rStyle w:val="CommentReference"/>
        </w:rPr>
        <w:commentReference w:id="5"/>
      </w:r>
      <w:r>
        <w:rPr>
          <w:rFonts w:ascii="Times New Roman" w:hAnsi="Times New Roman" w:cs="Times New Roman"/>
        </w:rPr>
        <w:t xml:space="preserve"> casino employee who had played in the past year, 2</w:t>
      </w:r>
      <w:r w:rsidR="008C1591">
        <w:rPr>
          <w:rFonts w:ascii="Times New Roman" w:hAnsi="Times New Roman" w:cs="Times New Roman"/>
        </w:rPr>
        <w:t>3</w:t>
      </w:r>
      <w:r>
        <w:rPr>
          <w:rFonts w:ascii="Times New Roman" w:hAnsi="Times New Roman" w:cs="Times New Roman"/>
        </w:rPr>
        <w:t xml:space="preserve"> (1</w:t>
      </w:r>
      <w:r w:rsidR="008C1591">
        <w:rPr>
          <w:rFonts w:ascii="Times New Roman" w:hAnsi="Times New Roman" w:cs="Times New Roman"/>
        </w:rPr>
        <w:t>5</w:t>
      </w:r>
      <w:r>
        <w:rPr>
          <w:rFonts w:ascii="Times New Roman" w:hAnsi="Times New Roman" w:cs="Times New Roman"/>
        </w:rPr>
        <w:t>.</w:t>
      </w:r>
      <w:r w:rsidR="008C1591">
        <w:rPr>
          <w:rFonts w:ascii="Times New Roman" w:hAnsi="Times New Roman" w:cs="Times New Roman"/>
        </w:rPr>
        <w:t>9</w:t>
      </w:r>
      <w:r>
        <w:rPr>
          <w:rFonts w:ascii="Times New Roman" w:hAnsi="Times New Roman" w:cs="Times New Roman"/>
        </w:rPr>
        <w:t xml:space="preserve">%) reported duration of three hours or more. Of the 101 non-casino employees who had participated in gaming in the past year, 24 (23.8%) were high duration players. Though the difference in proportions is </w:t>
      </w:r>
      <w:r w:rsidR="00F048B2">
        <w:rPr>
          <w:rFonts w:ascii="Times New Roman" w:hAnsi="Times New Roman" w:cs="Times New Roman"/>
        </w:rPr>
        <w:t xml:space="preserve">again </w:t>
      </w:r>
      <w:r>
        <w:rPr>
          <w:rFonts w:ascii="Times New Roman" w:hAnsi="Times New Roman" w:cs="Times New Roman"/>
        </w:rPr>
        <w:t>not significant (p=.1</w:t>
      </w:r>
      <w:r w:rsidR="008C1591">
        <w:rPr>
          <w:rFonts w:ascii="Times New Roman" w:hAnsi="Times New Roman" w:cs="Times New Roman"/>
        </w:rPr>
        <w:t>21</w:t>
      </w:r>
      <w:r>
        <w:rPr>
          <w:rFonts w:ascii="Times New Roman" w:hAnsi="Times New Roman" w:cs="Times New Roman"/>
        </w:rPr>
        <w:t xml:space="preserve">), it is </w:t>
      </w:r>
      <w:r w:rsidR="0001085F">
        <w:rPr>
          <w:rFonts w:ascii="Times New Roman" w:hAnsi="Times New Roman" w:cs="Times New Roman"/>
        </w:rPr>
        <w:t xml:space="preserve">of note </w:t>
      </w:r>
      <w:r>
        <w:rPr>
          <w:rFonts w:ascii="Times New Roman" w:hAnsi="Times New Roman" w:cs="Times New Roman"/>
        </w:rPr>
        <w:t xml:space="preserve">that not only is </w:t>
      </w:r>
      <w:r w:rsidR="0001085F">
        <w:rPr>
          <w:rFonts w:ascii="Times New Roman" w:hAnsi="Times New Roman" w:cs="Times New Roman"/>
        </w:rPr>
        <w:t xml:space="preserve">there </w:t>
      </w:r>
      <w:r>
        <w:rPr>
          <w:rFonts w:ascii="Times New Roman" w:hAnsi="Times New Roman" w:cs="Times New Roman"/>
        </w:rPr>
        <w:t xml:space="preserve">a higher proportion of </w:t>
      </w:r>
      <w:r w:rsidR="0001085F">
        <w:rPr>
          <w:rFonts w:ascii="Times New Roman" w:hAnsi="Times New Roman" w:cs="Times New Roman"/>
        </w:rPr>
        <w:t xml:space="preserve">regular players in </w:t>
      </w:r>
      <w:r>
        <w:rPr>
          <w:rFonts w:ascii="Times New Roman" w:hAnsi="Times New Roman" w:cs="Times New Roman"/>
        </w:rPr>
        <w:t xml:space="preserve">the non-casino sample </w:t>
      </w:r>
      <w:r w:rsidR="0001085F">
        <w:rPr>
          <w:rFonts w:ascii="Times New Roman" w:hAnsi="Times New Roman" w:cs="Times New Roman"/>
        </w:rPr>
        <w:t xml:space="preserve">but also </w:t>
      </w:r>
      <w:r>
        <w:rPr>
          <w:rFonts w:ascii="Times New Roman" w:hAnsi="Times New Roman" w:cs="Times New Roman"/>
        </w:rPr>
        <w:t xml:space="preserve">a higher proportion who play for long periods of time. </w:t>
      </w:r>
      <w:r w:rsidR="0001085F">
        <w:rPr>
          <w:rFonts w:ascii="Times New Roman" w:hAnsi="Times New Roman" w:cs="Times New Roman"/>
        </w:rPr>
        <w:t xml:space="preserve">These </w:t>
      </w:r>
      <w:r>
        <w:rPr>
          <w:rFonts w:ascii="Times New Roman" w:hAnsi="Times New Roman" w:cs="Times New Roman"/>
        </w:rPr>
        <w:t xml:space="preserve">findings are inconsistent with a simple version of the exposure hypothesis and its prediction that gaming venue employees will tend to be more </w:t>
      </w:r>
      <w:r w:rsidR="005D164D">
        <w:rPr>
          <w:rFonts w:ascii="Times New Roman" w:hAnsi="Times New Roman" w:cs="Times New Roman"/>
        </w:rPr>
        <w:t xml:space="preserve">(not less) </w:t>
      </w:r>
      <w:r>
        <w:rPr>
          <w:rFonts w:ascii="Times New Roman" w:hAnsi="Times New Roman" w:cs="Times New Roman"/>
        </w:rPr>
        <w:t xml:space="preserve">engaged in gambling and more </w:t>
      </w:r>
      <w:r w:rsidR="005D164D">
        <w:rPr>
          <w:rFonts w:ascii="Times New Roman" w:hAnsi="Times New Roman" w:cs="Times New Roman"/>
        </w:rPr>
        <w:t xml:space="preserve">(not less) </w:t>
      </w:r>
      <w:r>
        <w:rPr>
          <w:rFonts w:ascii="Times New Roman" w:hAnsi="Times New Roman" w:cs="Times New Roman"/>
        </w:rPr>
        <w:t>prone to behavior correlated with problem gambling.</w:t>
      </w:r>
    </w:p>
    <w:p w14:paraId="33CF5198" w14:textId="77777777" w:rsidR="0034516F" w:rsidRPr="00752F0A" w:rsidRDefault="000D0DBD" w:rsidP="007E5744">
      <w:pPr>
        <w:rPr>
          <w:rFonts w:ascii="Times New Roman" w:hAnsi="Times New Roman" w:cs="Times New Roman"/>
          <w:i/>
        </w:rPr>
      </w:pPr>
      <w:r w:rsidRPr="00752F0A">
        <w:rPr>
          <w:rFonts w:ascii="Times New Roman" w:hAnsi="Times New Roman" w:cs="Times New Roman"/>
          <w:i/>
        </w:rPr>
        <w:t>Maximum size of bet</w:t>
      </w:r>
    </w:p>
    <w:p w14:paraId="337A07C4" w14:textId="798B54AD" w:rsidR="00276C5C" w:rsidRDefault="00752F0A" w:rsidP="003550CF">
      <w:pPr>
        <w:spacing w:after="120" w:line="480" w:lineRule="auto"/>
        <w:ind w:firstLine="288"/>
        <w:rPr>
          <w:rFonts w:ascii="Times New Roman" w:hAnsi="Times New Roman" w:cs="Times New Roman"/>
        </w:rPr>
      </w:pPr>
      <w:r>
        <w:rPr>
          <w:rFonts w:ascii="Times New Roman" w:hAnsi="Times New Roman" w:cs="Times New Roman"/>
        </w:rPr>
        <w:t>From experiments, increased s</w:t>
      </w:r>
      <w:r w:rsidR="0034516F">
        <w:rPr>
          <w:rFonts w:ascii="Times New Roman" w:hAnsi="Times New Roman" w:cs="Times New Roman"/>
        </w:rPr>
        <w:t>take size</w:t>
      </w:r>
      <w:r>
        <w:rPr>
          <w:rFonts w:ascii="Times New Roman" w:hAnsi="Times New Roman" w:cs="Times New Roman"/>
        </w:rPr>
        <w:t xml:space="preserve"> has been argued to be correlated with a deterioration in quality of decision-taking, potentially leading to greater risk of harm</w:t>
      </w:r>
      <w:r w:rsidR="008B52BB">
        <w:rPr>
          <w:rFonts w:ascii="Times New Roman" w:hAnsi="Times New Roman" w:cs="Times New Roman"/>
        </w:rPr>
        <w:t xml:space="preserve"> (Parke et al., 2016)</w:t>
      </w:r>
      <w:r>
        <w:rPr>
          <w:rFonts w:ascii="Times New Roman" w:hAnsi="Times New Roman" w:cs="Times New Roman"/>
        </w:rPr>
        <w:t xml:space="preserve">, and indeed placing a regulatory limit on size of bet has been part of responsible gambling </w:t>
      </w:r>
      <w:r w:rsidR="006171C4">
        <w:rPr>
          <w:rFonts w:ascii="Times New Roman" w:hAnsi="Times New Roman" w:cs="Times New Roman"/>
        </w:rPr>
        <w:t xml:space="preserve">strategy </w:t>
      </w:r>
      <w:r>
        <w:rPr>
          <w:rFonts w:ascii="Times New Roman" w:hAnsi="Times New Roman" w:cs="Times New Roman"/>
        </w:rPr>
        <w:t>in jurisdictions such as Great Britain.</w:t>
      </w:r>
      <w:r w:rsidR="002560C1">
        <w:rPr>
          <w:rFonts w:ascii="Times New Roman" w:hAnsi="Times New Roman" w:cs="Times New Roman"/>
        </w:rPr>
        <w:t xml:space="preserve"> We asked those who had gambled in a casino in the past year what their maximum bet size had been in Macau patacas. We grouped the answers into five categories, from below MOP500 (USD63) to MOP5,000 (USD626) or higher. We compared the distributions of answers for casino employees and non-casino employees.</w:t>
      </w:r>
    </w:p>
    <w:p w14:paraId="6B88B1FB" w14:textId="713C788B" w:rsidR="00E42CF3" w:rsidRDefault="00276C5C" w:rsidP="003550CF">
      <w:pPr>
        <w:spacing w:after="120" w:line="480" w:lineRule="auto"/>
        <w:ind w:firstLine="288"/>
        <w:rPr>
          <w:rFonts w:ascii="Times New Roman" w:hAnsi="Times New Roman" w:cs="Times New Roman"/>
        </w:rPr>
      </w:pPr>
      <w:r>
        <w:rPr>
          <w:rFonts w:ascii="Times New Roman" w:hAnsi="Times New Roman" w:cs="Times New Roman"/>
        </w:rPr>
        <w:t>The proportion of respondents reporting a maximum stake size in excess of MOP5,000 was smaller in the casino (1</w:t>
      </w:r>
      <w:r w:rsidR="008B52BB">
        <w:rPr>
          <w:rFonts w:ascii="Times New Roman" w:hAnsi="Times New Roman" w:cs="Times New Roman"/>
        </w:rPr>
        <w:t>0</w:t>
      </w:r>
      <w:r>
        <w:rPr>
          <w:rFonts w:ascii="Times New Roman" w:hAnsi="Times New Roman" w:cs="Times New Roman"/>
        </w:rPr>
        <w:t>.</w:t>
      </w:r>
      <w:r w:rsidR="008B52BB">
        <w:rPr>
          <w:rFonts w:ascii="Times New Roman" w:hAnsi="Times New Roman" w:cs="Times New Roman"/>
        </w:rPr>
        <w:t>9</w:t>
      </w:r>
      <w:r>
        <w:rPr>
          <w:rFonts w:ascii="Times New Roman" w:hAnsi="Times New Roman" w:cs="Times New Roman"/>
        </w:rPr>
        <w:t>%) than in the non-casino (1</w:t>
      </w:r>
      <w:r w:rsidR="008B52BB">
        <w:rPr>
          <w:rFonts w:ascii="Times New Roman" w:hAnsi="Times New Roman" w:cs="Times New Roman"/>
        </w:rPr>
        <w:t>7</w:t>
      </w:r>
      <w:r>
        <w:rPr>
          <w:rFonts w:ascii="Times New Roman" w:hAnsi="Times New Roman" w:cs="Times New Roman"/>
        </w:rPr>
        <w:t>.</w:t>
      </w:r>
      <w:r w:rsidR="008B52BB">
        <w:rPr>
          <w:rFonts w:ascii="Times New Roman" w:hAnsi="Times New Roman" w:cs="Times New Roman"/>
        </w:rPr>
        <w:t>1</w:t>
      </w:r>
      <w:r>
        <w:rPr>
          <w:rFonts w:ascii="Times New Roman" w:hAnsi="Times New Roman" w:cs="Times New Roman"/>
        </w:rPr>
        <w:t xml:space="preserve">%) employment group but the result was reversed when the lower threshold of MOP2,000 (USD250) was considered (32.0% versus 25.6%). But in neither case was the difference statistically significant (p-values of .282 and </w:t>
      </w:r>
      <w:r w:rsidR="00812087">
        <w:rPr>
          <w:rFonts w:ascii="Times New Roman" w:hAnsi="Times New Roman" w:cs="Times New Roman"/>
        </w:rPr>
        <w:t>.151) and so there was no evidence of different patterns of behavior in respect of stake size.</w:t>
      </w:r>
    </w:p>
    <w:p w14:paraId="7620EAD5" w14:textId="77777777" w:rsidR="00E42CF3" w:rsidRPr="00691D3D" w:rsidRDefault="00E42CF3" w:rsidP="007E5744">
      <w:pPr>
        <w:rPr>
          <w:rFonts w:ascii="Times New Roman" w:hAnsi="Times New Roman" w:cs="Times New Roman"/>
          <w:i/>
        </w:rPr>
      </w:pPr>
      <w:r w:rsidRPr="00691D3D">
        <w:rPr>
          <w:rFonts w:ascii="Times New Roman" w:hAnsi="Times New Roman" w:cs="Times New Roman"/>
          <w:i/>
        </w:rPr>
        <w:t>The gambler’s fallacy</w:t>
      </w:r>
    </w:p>
    <w:p w14:paraId="67DDE8EF" w14:textId="0D1F0D44" w:rsidR="00F96E87" w:rsidRDefault="00E42CF3" w:rsidP="003550CF">
      <w:pPr>
        <w:spacing w:after="120" w:line="480" w:lineRule="auto"/>
        <w:ind w:firstLine="288"/>
        <w:rPr>
          <w:rFonts w:ascii="Times New Roman" w:eastAsia="Times New Roman" w:hAnsi="Times New Roman" w:cs="Times New Roman"/>
          <w:color w:val="000000"/>
          <w:lang w:eastAsia="en-GB"/>
        </w:rPr>
      </w:pPr>
      <w:r>
        <w:rPr>
          <w:rFonts w:ascii="Times New Roman" w:hAnsi="Times New Roman" w:cs="Times New Roman"/>
        </w:rPr>
        <w:t xml:space="preserve">The </w:t>
      </w:r>
      <w:r w:rsidR="006171C4">
        <w:rPr>
          <w:rFonts w:ascii="Times New Roman" w:hAnsi="Times New Roman" w:cs="Times New Roman"/>
        </w:rPr>
        <w:t xml:space="preserve">relevant </w:t>
      </w:r>
      <w:r>
        <w:rPr>
          <w:rFonts w:ascii="Times New Roman" w:hAnsi="Times New Roman" w:cs="Times New Roman"/>
        </w:rPr>
        <w:t xml:space="preserve">survey question was answered by all 230 casino employees in the sample and by 166 of the 169 non-casino employees. They were asked to give a Likert scale response describing their agreement or disagreement with the proposition that </w:t>
      </w:r>
      <w:r w:rsidR="004A71A9" w:rsidRPr="004A71A9">
        <w:rPr>
          <w:rFonts w:ascii="Times New Roman" w:hAnsi="Times New Roman" w:cs="Times New Roman"/>
        </w:rPr>
        <w:t>“</w:t>
      </w:r>
      <w:r w:rsidR="004A71A9" w:rsidRPr="004A71A9">
        <w:rPr>
          <w:rFonts w:ascii="Times New Roman" w:eastAsia="Times New Roman" w:hAnsi="Times New Roman" w:cs="Times New Roman"/>
          <w:color w:val="000000"/>
          <w:lang w:eastAsia="en-GB"/>
        </w:rPr>
        <w:t xml:space="preserve">After losing money many times in a row while gambling, I am more likely to win”. </w:t>
      </w:r>
      <w:r w:rsidR="004A71A9">
        <w:rPr>
          <w:rFonts w:ascii="Times New Roman" w:eastAsia="Times New Roman" w:hAnsi="Times New Roman" w:cs="Times New Roman"/>
          <w:color w:val="000000"/>
          <w:lang w:eastAsia="en-GB"/>
        </w:rPr>
        <w:t xml:space="preserve">The proportion who ‘agreed’ or ‘strongly agreed’ was small but non-trivial and it could be argued that those exhibiting this cognitive misunderstanding were at elevated risk of gambling harm through, for example, feeling justified in chasing losses. </w:t>
      </w:r>
      <w:r w:rsidR="00691D3D">
        <w:rPr>
          <w:rFonts w:ascii="Times New Roman" w:eastAsia="Times New Roman" w:hAnsi="Times New Roman" w:cs="Times New Roman"/>
          <w:color w:val="000000"/>
          <w:lang w:eastAsia="en-GB"/>
        </w:rPr>
        <w:t>Particularly given Dangerfield’s (2004 findings for casino staff in Alberta, w</w:t>
      </w:r>
      <w:r w:rsidR="004A71A9">
        <w:rPr>
          <w:rFonts w:ascii="Times New Roman" w:eastAsia="Times New Roman" w:hAnsi="Times New Roman" w:cs="Times New Roman"/>
          <w:color w:val="000000"/>
          <w:lang w:eastAsia="en-GB"/>
        </w:rPr>
        <w:t xml:space="preserve">e expected casino employees </w:t>
      </w:r>
      <w:r w:rsidR="00691D3D">
        <w:rPr>
          <w:rFonts w:ascii="Times New Roman" w:eastAsia="Times New Roman" w:hAnsi="Times New Roman" w:cs="Times New Roman"/>
          <w:color w:val="000000"/>
          <w:lang w:eastAsia="en-GB"/>
        </w:rPr>
        <w:t xml:space="preserve">in Macau </w:t>
      </w:r>
      <w:r w:rsidR="004A71A9">
        <w:rPr>
          <w:rFonts w:ascii="Times New Roman" w:eastAsia="Times New Roman" w:hAnsi="Times New Roman" w:cs="Times New Roman"/>
          <w:color w:val="000000"/>
          <w:lang w:eastAsia="en-GB"/>
        </w:rPr>
        <w:t xml:space="preserve">to be less prone </w:t>
      </w:r>
      <w:r w:rsidR="00E073FE">
        <w:rPr>
          <w:rFonts w:ascii="Times New Roman" w:eastAsia="Times New Roman" w:hAnsi="Times New Roman" w:cs="Times New Roman"/>
          <w:color w:val="000000"/>
          <w:lang w:eastAsia="en-GB"/>
        </w:rPr>
        <w:t xml:space="preserve">than other residents </w:t>
      </w:r>
      <w:r w:rsidR="004A71A9">
        <w:rPr>
          <w:rFonts w:ascii="Times New Roman" w:eastAsia="Times New Roman" w:hAnsi="Times New Roman" w:cs="Times New Roman"/>
          <w:color w:val="000000"/>
          <w:lang w:eastAsia="en-GB"/>
        </w:rPr>
        <w:t xml:space="preserve">to the gambler’s fallacy because of </w:t>
      </w:r>
      <w:r w:rsidR="00691D3D">
        <w:rPr>
          <w:rFonts w:ascii="Times New Roman" w:eastAsia="Times New Roman" w:hAnsi="Times New Roman" w:cs="Times New Roman"/>
          <w:color w:val="000000"/>
          <w:lang w:eastAsia="en-GB"/>
        </w:rPr>
        <w:t xml:space="preserve">greater </w:t>
      </w:r>
      <w:r w:rsidR="004A71A9">
        <w:rPr>
          <w:rFonts w:ascii="Times New Roman" w:eastAsia="Times New Roman" w:hAnsi="Times New Roman" w:cs="Times New Roman"/>
          <w:color w:val="000000"/>
          <w:lang w:eastAsia="en-GB"/>
        </w:rPr>
        <w:t>knowledge of games played in their venues, where almost all games are games of pure chance. However, the distributions</w:t>
      </w:r>
      <w:r w:rsidR="00691D3D">
        <w:rPr>
          <w:rFonts w:ascii="Times New Roman" w:eastAsia="Times New Roman" w:hAnsi="Times New Roman" w:cs="Times New Roman"/>
          <w:color w:val="000000"/>
          <w:lang w:eastAsia="en-GB"/>
        </w:rPr>
        <w:t xml:space="preserve"> of answers for the casino and non-casino employment groups were very similar. For example, 11.3% of employees and </w:t>
      </w:r>
      <w:r w:rsidR="00FC1990">
        <w:rPr>
          <w:rFonts w:ascii="Times New Roman" w:eastAsia="Times New Roman" w:hAnsi="Times New Roman" w:cs="Times New Roman"/>
          <w:color w:val="000000"/>
          <w:lang w:eastAsia="en-GB"/>
        </w:rPr>
        <w:t xml:space="preserve">10.0% of non-employees endorsed the gambler’s fallacy by indicating agreement or strong agreement (the difference decisively non-significant, p=.673). </w:t>
      </w:r>
      <w:r w:rsidR="008B52BB">
        <w:rPr>
          <w:rFonts w:ascii="Times New Roman" w:eastAsia="Times New Roman" w:hAnsi="Times New Roman" w:cs="Times New Roman"/>
          <w:color w:val="000000"/>
          <w:lang w:eastAsia="en-GB"/>
        </w:rPr>
        <w:t>If greater understanding of games acquired on the job is speculated to be a protective factor mitigating exposure effects, there is no support for the proposition in our data.</w:t>
      </w:r>
    </w:p>
    <w:p w14:paraId="319B5283" w14:textId="77777777" w:rsidR="00F96E87" w:rsidRPr="00DB7389" w:rsidRDefault="00F96E87" w:rsidP="004A71A9">
      <w:pPr>
        <w:rPr>
          <w:rFonts w:ascii="Times New Roman" w:eastAsia="Times New Roman" w:hAnsi="Times New Roman" w:cs="Times New Roman"/>
          <w:b/>
          <w:color w:val="000000"/>
          <w:lang w:eastAsia="en-GB"/>
        </w:rPr>
      </w:pPr>
      <w:r w:rsidRPr="00DB7389">
        <w:rPr>
          <w:rFonts w:ascii="Times New Roman" w:eastAsia="Times New Roman" w:hAnsi="Times New Roman" w:cs="Times New Roman"/>
          <w:b/>
          <w:color w:val="000000"/>
          <w:lang w:eastAsia="en-GB"/>
        </w:rPr>
        <w:t>Change in casino gambling over time</w:t>
      </w:r>
    </w:p>
    <w:p w14:paraId="2EB944D5" w14:textId="03ACFB2F" w:rsidR="00245CEE" w:rsidRDefault="00F96E87"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The previous analysis has offered results which are inconsistent with the un</w:t>
      </w:r>
      <w:r w:rsidR="006171C4">
        <w:rPr>
          <w:rFonts w:ascii="Times New Roman" w:eastAsia="Times New Roman" w:hAnsi="Times New Roman" w:cs="Times New Roman"/>
          <w:color w:val="000000"/>
          <w:lang w:eastAsia="en-GB"/>
        </w:rPr>
        <w:t>modified</w:t>
      </w:r>
      <w:r>
        <w:rPr>
          <w:rFonts w:ascii="Times New Roman" w:eastAsia="Times New Roman" w:hAnsi="Times New Roman" w:cs="Times New Roman"/>
          <w:color w:val="000000"/>
          <w:lang w:eastAsia="en-GB"/>
        </w:rPr>
        <w:t xml:space="preserve"> version of the exposure hypothesis given that </w:t>
      </w:r>
      <w:r w:rsidR="006171C4">
        <w:rPr>
          <w:rFonts w:ascii="Times New Roman" w:eastAsia="Times New Roman" w:hAnsi="Times New Roman" w:cs="Times New Roman"/>
          <w:color w:val="000000"/>
          <w:lang w:eastAsia="en-GB"/>
        </w:rPr>
        <w:t xml:space="preserve">it shows </w:t>
      </w:r>
      <w:r>
        <w:rPr>
          <w:rFonts w:ascii="Times New Roman" w:eastAsia="Times New Roman" w:hAnsi="Times New Roman" w:cs="Times New Roman"/>
          <w:color w:val="000000"/>
          <w:lang w:eastAsia="en-GB"/>
        </w:rPr>
        <w:t>broadly similar recent behavior patterns between casino and non-casino employees. Indeed</w:t>
      </w:r>
      <w:r w:rsidR="00C674D2">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any differences evident were in the direction of illustrating lesser rather than greater engagement with gambling among those exposed to gambling culture through their workplace. However, consideration of the ‘adaptation amendment’ requires some measure of change in gambling engagement over time. We therefore asked respondents to recall their typical frequency and duration of play in the twelve months following their first participation in casino gambling. By design all those who completed the survey had gambled in casinos at some point. We provide summaries of how frequency and duration changed for individuals in the transition matrices displayed as </w:t>
      </w:r>
      <w:r w:rsidR="00C674D2">
        <w:rPr>
          <w:rFonts w:ascii="Times New Roman" w:eastAsia="Times New Roman" w:hAnsi="Times New Roman" w:cs="Times New Roman"/>
          <w:color w:val="000000"/>
          <w:lang w:eastAsia="en-GB"/>
        </w:rPr>
        <w:t>Tables</w:t>
      </w:r>
      <w:r>
        <w:rPr>
          <w:rFonts w:ascii="Times New Roman" w:eastAsia="Times New Roman" w:hAnsi="Times New Roman" w:cs="Times New Roman"/>
          <w:color w:val="000000"/>
          <w:lang w:eastAsia="en-GB"/>
        </w:rPr>
        <w:t xml:space="preserve"> 2 and 3.</w:t>
      </w:r>
      <w:r w:rsidR="00245CEE">
        <w:rPr>
          <w:rFonts w:ascii="Times New Roman" w:eastAsia="Times New Roman" w:hAnsi="Times New Roman" w:cs="Times New Roman"/>
          <w:color w:val="000000"/>
          <w:lang w:eastAsia="en-GB"/>
        </w:rPr>
        <w:t xml:space="preserve"> </w:t>
      </w:r>
    </w:p>
    <w:p w14:paraId="14925FAC" w14:textId="17A5E2D7" w:rsidR="004A71A9" w:rsidRDefault="00245CEE"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In both the casino and non-casino employees groups, roughly half of respondents reported the same level of frequency as at the beginning of their gambling career. Of the remainder, many more </w:t>
      </w:r>
      <w:r w:rsidR="006171C4">
        <w:rPr>
          <w:rFonts w:ascii="Times New Roman" w:eastAsia="Times New Roman" w:hAnsi="Times New Roman" w:cs="Times New Roman"/>
          <w:color w:val="000000"/>
          <w:lang w:eastAsia="en-GB"/>
        </w:rPr>
        <w:t xml:space="preserve">had </w:t>
      </w:r>
      <w:r>
        <w:rPr>
          <w:rFonts w:ascii="Times New Roman" w:eastAsia="Times New Roman" w:hAnsi="Times New Roman" w:cs="Times New Roman"/>
          <w:color w:val="000000"/>
          <w:lang w:eastAsia="en-GB"/>
        </w:rPr>
        <w:t>shifted towards lower frequency (which sometimes meant abstention) rather than higher frequency.</w:t>
      </w:r>
      <w:r w:rsidR="00325DD7">
        <w:rPr>
          <w:rFonts w:ascii="Times New Roman" w:eastAsia="Times New Roman" w:hAnsi="Times New Roman" w:cs="Times New Roman"/>
          <w:color w:val="000000"/>
          <w:lang w:eastAsia="en-GB"/>
        </w:rPr>
        <w:t xml:space="preserve"> </w:t>
      </w:r>
      <w:r w:rsidR="00325DD7" w:rsidRPr="00325DD7">
        <w:rPr>
          <w:rFonts w:ascii="Times New Roman" w:eastAsia="Times New Roman" w:hAnsi="Times New Roman" w:cs="Times New Roman"/>
          <w:color w:val="000000"/>
          <w:lang w:eastAsia="en-GB"/>
        </w:rPr>
        <w:t>These styli</w:t>
      </w:r>
      <w:r w:rsidR="00C674D2">
        <w:rPr>
          <w:rFonts w:ascii="Times New Roman" w:eastAsia="Times New Roman" w:hAnsi="Times New Roman" w:cs="Times New Roman"/>
          <w:color w:val="000000"/>
          <w:lang w:eastAsia="en-GB"/>
        </w:rPr>
        <w:t>z</w:t>
      </w:r>
      <w:r w:rsidR="00325DD7" w:rsidRPr="00325DD7">
        <w:rPr>
          <w:rFonts w:ascii="Times New Roman" w:eastAsia="Times New Roman" w:hAnsi="Times New Roman" w:cs="Times New Roman"/>
          <w:color w:val="000000"/>
          <w:lang w:eastAsia="en-GB"/>
        </w:rPr>
        <w:t>ed facts about the data are similar to those reported by Guttentag, Harrigan and Smith (2012) and</w:t>
      </w:r>
      <w:r w:rsidR="00325DD7">
        <w:rPr>
          <w:rFonts w:ascii="Times New Roman" w:eastAsia="Times New Roman" w:hAnsi="Times New Roman" w:cs="Times New Roman"/>
          <w:color w:val="000000"/>
          <w:lang w:eastAsia="en-GB"/>
        </w:rPr>
        <w:t xml:space="preserve"> Hing and Nisbet (2009) though the</w:t>
      </w:r>
      <w:r w:rsidR="006600E5">
        <w:rPr>
          <w:rFonts w:ascii="Times New Roman" w:eastAsia="Times New Roman" w:hAnsi="Times New Roman" w:cs="Times New Roman"/>
          <w:color w:val="000000"/>
          <w:lang w:eastAsia="en-GB"/>
        </w:rPr>
        <w:t>ir</w:t>
      </w:r>
      <w:r w:rsidR="00325DD7">
        <w:rPr>
          <w:rFonts w:ascii="Times New Roman" w:eastAsia="Times New Roman" w:hAnsi="Times New Roman" w:cs="Times New Roman"/>
          <w:color w:val="000000"/>
          <w:lang w:eastAsia="en-GB"/>
        </w:rPr>
        <w:t xml:space="preserve"> studies had start of casino employment rather than casino gambling initiation as their first time point (and offered no comparison with non-casino employees).</w:t>
      </w:r>
    </w:p>
    <w:p w14:paraId="4E6CF71D" w14:textId="51FC153E" w:rsidR="003549E8" w:rsidRDefault="00325DD7" w:rsidP="00E37440">
      <w:pPr>
        <w:spacing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We focus again on regular (monthly-or-more-often) gamblers because they are the most engaged and also the most likely to experience problems from gambling. In the casino employee group, 51 were regular gamblers in their first year of gambling. Thirteen (25.5%) of these reported still being regular gamblers in the most recent twelve months. In the non-casino group, </w:t>
      </w:r>
      <w:r w:rsidR="003549E8">
        <w:rPr>
          <w:rFonts w:ascii="Times New Roman" w:eastAsia="Times New Roman" w:hAnsi="Times New Roman" w:cs="Times New Roman"/>
          <w:color w:val="000000"/>
          <w:lang w:eastAsia="en-GB"/>
        </w:rPr>
        <w:t xml:space="preserve">25 were regular gamblers in their first year of gambling and ten (40.0%) were also in the regular gambler category at the time of the survey. This difference was, however, non-significant (p=.196). </w:t>
      </w:r>
    </w:p>
    <w:p w14:paraId="45510520" w14:textId="4EC7BBC5" w:rsidR="00E5456B" w:rsidRDefault="003549E8"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It is also relevant to consider progression from occasional (less-than-monthly) to regular (monthly-or-more-often)</w:t>
      </w:r>
      <w:r w:rsidR="00325DD7">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 xml:space="preserve">gambling status. In the casino group, of 176 occasional gamblers at the first time point, four (2.3%) were regular gamblers at the time of the survey. In the non-casino group, there were 142 occasional gamblers at the first time point and eleven (7.7%) of these moved to being regular gamblers at the time of the survey. </w:t>
      </w:r>
      <w:r w:rsidR="003D0D3A">
        <w:rPr>
          <w:rFonts w:ascii="Times New Roman" w:eastAsia="Times New Roman" w:hAnsi="Times New Roman" w:cs="Times New Roman"/>
          <w:color w:val="000000"/>
          <w:lang w:eastAsia="en-GB"/>
        </w:rPr>
        <w:t xml:space="preserve">The difference between the two groups in terms of change to regular gambling participation was statistically significant (p=.022). This is suggestive that the risk of becoming more closely engaged with gambling is lower for casino staff, inconsistent with the simple exposure hypothesis and not inconsistent with the adaptation hypothesis. It cannot be put more strongly than that because we do not observe the </w:t>
      </w:r>
      <w:r w:rsidR="00DB7389">
        <w:rPr>
          <w:rFonts w:ascii="Times New Roman" w:eastAsia="Times New Roman" w:hAnsi="Times New Roman" w:cs="Times New Roman"/>
          <w:color w:val="000000"/>
          <w:lang w:eastAsia="en-GB"/>
        </w:rPr>
        <w:t xml:space="preserve">time </w:t>
      </w:r>
      <w:r w:rsidR="003D0D3A">
        <w:rPr>
          <w:rFonts w:ascii="Times New Roman" w:eastAsia="Times New Roman" w:hAnsi="Times New Roman" w:cs="Times New Roman"/>
          <w:color w:val="000000"/>
          <w:lang w:eastAsia="en-GB"/>
        </w:rPr>
        <w:t xml:space="preserve">path of </w:t>
      </w:r>
      <w:r w:rsidR="00DB7389">
        <w:rPr>
          <w:rFonts w:ascii="Times New Roman" w:eastAsia="Times New Roman" w:hAnsi="Times New Roman" w:cs="Times New Roman"/>
          <w:color w:val="000000"/>
          <w:lang w:eastAsia="en-GB"/>
        </w:rPr>
        <w:t xml:space="preserve">level of </w:t>
      </w:r>
      <w:r w:rsidR="003D0D3A">
        <w:rPr>
          <w:rFonts w:ascii="Times New Roman" w:eastAsia="Times New Roman" w:hAnsi="Times New Roman" w:cs="Times New Roman"/>
          <w:color w:val="000000"/>
          <w:lang w:eastAsia="en-GB"/>
        </w:rPr>
        <w:t>engagement between the two time points.</w:t>
      </w:r>
    </w:p>
    <w:p w14:paraId="503E848D" w14:textId="5F7B6302" w:rsidR="00E5456B" w:rsidRDefault="00E5456B"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Our other key indicator of engagement is typical duration of play. In each sub-group, almost exactly half moved to either a lower duration or abstention between the two points, similar to findings for frequency. However, of the remainder, there were more cases of increased than of lower engagement in the non-casino group (and about the same number shifting to higher as to lower engagement among casino employees).</w:t>
      </w:r>
    </w:p>
    <w:p w14:paraId="096FEC98" w14:textId="1B9239E4" w:rsidR="00BB6945" w:rsidRDefault="00E5456B"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Retaining our threshold of three hours to distinguish long duration gamblers, we identified 41 current casino employees who reported long duration play at the beginning of their gambling careers. Of these, 17 (</w:t>
      </w:r>
      <w:r w:rsidR="005476DE">
        <w:rPr>
          <w:rFonts w:ascii="Times New Roman" w:eastAsia="Times New Roman" w:hAnsi="Times New Roman" w:cs="Times New Roman"/>
          <w:color w:val="000000"/>
          <w:lang w:eastAsia="en-GB"/>
        </w:rPr>
        <w:t xml:space="preserve">41.5%) </w:t>
      </w:r>
      <w:r>
        <w:rPr>
          <w:rFonts w:ascii="Times New Roman" w:eastAsia="Times New Roman" w:hAnsi="Times New Roman" w:cs="Times New Roman"/>
          <w:color w:val="000000"/>
          <w:lang w:eastAsia="en-GB"/>
        </w:rPr>
        <w:t xml:space="preserve">were also long duration in the twelve months </w:t>
      </w:r>
      <w:r w:rsidR="005476DE">
        <w:rPr>
          <w:rFonts w:ascii="Times New Roman" w:eastAsia="Times New Roman" w:hAnsi="Times New Roman" w:cs="Times New Roman"/>
          <w:color w:val="000000"/>
          <w:lang w:eastAsia="en-GB"/>
        </w:rPr>
        <w:t xml:space="preserve">preceding </w:t>
      </w:r>
      <w:r>
        <w:rPr>
          <w:rFonts w:ascii="Times New Roman" w:eastAsia="Times New Roman" w:hAnsi="Times New Roman" w:cs="Times New Roman"/>
          <w:color w:val="000000"/>
          <w:lang w:eastAsia="en-GB"/>
        </w:rPr>
        <w:t>the survey.</w:t>
      </w:r>
      <w:r w:rsidR="005476DE">
        <w:rPr>
          <w:rFonts w:ascii="Times New Roman" w:eastAsia="Times New Roman" w:hAnsi="Times New Roman" w:cs="Times New Roman"/>
          <w:color w:val="000000"/>
          <w:lang w:eastAsia="en-GB"/>
        </w:rPr>
        <w:t xml:space="preserve"> In the non-casino employee group, there were 27 long duration players at their first time point and 13 (48.1%)</w:t>
      </w:r>
      <w:r w:rsidR="00BB6945">
        <w:rPr>
          <w:rFonts w:ascii="Times New Roman" w:eastAsia="Times New Roman" w:hAnsi="Times New Roman" w:cs="Times New Roman"/>
          <w:color w:val="000000"/>
          <w:lang w:eastAsia="en-GB"/>
        </w:rPr>
        <w:t xml:space="preserve"> of these again appear as long duration at the second time point</w:t>
      </w:r>
      <w:r w:rsidR="005476DE">
        <w:rPr>
          <w:rFonts w:ascii="Times New Roman" w:eastAsia="Times New Roman" w:hAnsi="Times New Roman" w:cs="Times New Roman"/>
          <w:color w:val="000000"/>
          <w:lang w:eastAsia="en-GB"/>
        </w:rPr>
        <w:t>. There was no significant difference (p=.587) in persistence of long play between the two groups.</w:t>
      </w:r>
    </w:p>
    <w:p w14:paraId="25D42EC1" w14:textId="53C3A476" w:rsidR="00B16AB2" w:rsidRDefault="00BB6945"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In their first year of gambling, 176 current casino employees had been short duration players according to their recall. Of these, 6 (3</w:t>
      </w:r>
      <w:r w:rsidR="00F70885">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4</w:t>
      </w:r>
      <w:r w:rsidR="00F70885">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were long duration players at the second time point. Among non-casino employees, 134 had been short duration </w:t>
      </w:r>
      <w:r w:rsidR="00F70885">
        <w:rPr>
          <w:rFonts w:ascii="Times New Roman" w:eastAsia="Times New Roman" w:hAnsi="Times New Roman" w:cs="Times New Roman"/>
          <w:color w:val="000000"/>
          <w:lang w:eastAsia="en-GB"/>
        </w:rPr>
        <w:t>players in the first year after initiation and eleven (8.2%) of these fell into the long duration category for the twelve months preceding the survey. ‘Progression’ from short to long duration play seems therefore to have been more common among the non-employees though the difference was only borderline significant (p=.066). Again</w:t>
      </w:r>
      <w:r w:rsidR="00C674D2">
        <w:rPr>
          <w:rFonts w:ascii="Times New Roman" w:eastAsia="Times New Roman" w:hAnsi="Times New Roman" w:cs="Times New Roman"/>
          <w:color w:val="000000"/>
          <w:lang w:eastAsia="en-GB"/>
        </w:rPr>
        <w:t>,</w:t>
      </w:r>
      <w:r w:rsidR="00F70885">
        <w:rPr>
          <w:rFonts w:ascii="Times New Roman" w:eastAsia="Times New Roman" w:hAnsi="Times New Roman" w:cs="Times New Roman"/>
          <w:color w:val="000000"/>
          <w:lang w:eastAsia="en-GB"/>
        </w:rPr>
        <w:t xml:space="preserve"> this finding would not have been predicted by the original exposure hypothesis and suggests that casino employment does not typically result in higher risk of personal heavy engagement with casino gambling.</w:t>
      </w:r>
    </w:p>
    <w:p w14:paraId="557B1038" w14:textId="77777777" w:rsidR="006600E5" w:rsidRPr="00B65ED3" w:rsidRDefault="00B16AB2" w:rsidP="003550CF">
      <w:pPr>
        <w:keepNext/>
        <w:rPr>
          <w:rFonts w:ascii="Times New Roman" w:eastAsia="Times New Roman" w:hAnsi="Times New Roman" w:cs="Times New Roman"/>
          <w:b/>
          <w:color w:val="000000"/>
          <w:lang w:eastAsia="en-GB"/>
        </w:rPr>
      </w:pPr>
      <w:r w:rsidRPr="00B65ED3">
        <w:rPr>
          <w:rFonts w:ascii="Times New Roman" w:eastAsia="Times New Roman" w:hAnsi="Times New Roman" w:cs="Times New Roman"/>
          <w:b/>
          <w:color w:val="000000"/>
          <w:lang w:eastAsia="en-GB"/>
        </w:rPr>
        <w:t>Discussion</w:t>
      </w:r>
    </w:p>
    <w:p w14:paraId="6D2A2795" w14:textId="10528415" w:rsidR="006A3019" w:rsidRDefault="006600E5"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Our study of course has limitations. The sampling was not random and had a strong element of self-selection. No instrument for assessing problem gambling status was included in the survey (though we were able to examine established correlates of problem gambling). No information was collected on the job role of casino employees in their casino</w:t>
      </w:r>
      <w:r w:rsidR="006A3019">
        <w:rPr>
          <w:rFonts w:ascii="Times New Roman" w:eastAsia="Times New Roman" w:hAnsi="Times New Roman" w:cs="Times New Roman"/>
          <w:color w:val="000000"/>
          <w:lang w:eastAsia="en-GB"/>
        </w:rPr>
        <w:t xml:space="preserve"> or about participation in alternative gambling activities</w:t>
      </w:r>
      <w:r>
        <w:rPr>
          <w:rFonts w:ascii="Times New Roman" w:eastAsia="Times New Roman" w:hAnsi="Times New Roman" w:cs="Times New Roman"/>
          <w:color w:val="000000"/>
          <w:lang w:eastAsia="en-GB"/>
        </w:rPr>
        <w:t xml:space="preserve">. Measurement of change in behavior over time depended on respondents’ recall of the sometimes distant past. Cognitive biases were assessed only by respondents’ susceptibility to ‘the gambler’s fallacy’. </w:t>
      </w:r>
      <w:r w:rsidR="00B82495">
        <w:rPr>
          <w:rFonts w:ascii="Times New Roman" w:eastAsia="Times New Roman" w:hAnsi="Times New Roman" w:cs="Times New Roman"/>
          <w:color w:val="000000"/>
          <w:lang w:eastAsia="en-GB"/>
        </w:rPr>
        <w:t>But</w:t>
      </w:r>
      <w:r w:rsidR="00B65ED3">
        <w:rPr>
          <w:rFonts w:ascii="Times New Roman" w:eastAsia="Times New Roman" w:hAnsi="Times New Roman" w:cs="Times New Roman"/>
          <w:color w:val="000000"/>
          <w:lang w:eastAsia="en-GB"/>
        </w:rPr>
        <w:t>,</w:t>
      </w:r>
      <w:r w:rsidR="00B82495">
        <w:rPr>
          <w:rFonts w:ascii="Times New Roman" w:eastAsia="Times New Roman" w:hAnsi="Times New Roman" w:cs="Times New Roman"/>
          <w:color w:val="000000"/>
          <w:lang w:eastAsia="en-GB"/>
        </w:rPr>
        <w:t xml:space="preserve"> n</w:t>
      </w:r>
      <w:r>
        <w:rPr>
          <w:rFonts w:ascii="Times New Roman" w:eastAsia="Times New Roman" w:hAnsi="Times New Roman" w:cs="Times New Roman"/>
          <w:color w:val="000000"/>
          <w:lang w:eastAsia="en-GB"/>
        </w:rPr>
        <w:t>otwithstanding these</w:t>
      </w:r>
      <w:r w:rsidR="00B82495">
        <w:rPr>
          <w:rFonts w:ascii="Times New Roman" w:eastAsia="Times New Roman" w:hAnsi="Times New Roman" w:cs="Times New Roman"/>
          <w:color w:val="000000"/>
          <w:lang w:eastAsia="en-GB"/>
        </w:rPr>
        <w:t xml:space="preserve"> limitations, it is </w:t>
      </w:r>
      <w:r w:rsidR="00B65ED3">
        <w:rPr>
          <w:rFonts w:ascii="Times New Roman" w:eastAsia="Times New Roman" w:hAnsi="Times New Roman" w:cs="Times New Roman"/>
          <w:color w:val="000000"/>
          <w:lang w:eastAsia="en-GB"/>
        </w:rPr>
        <w:t xml:space="preserve">still </w:t>
      </w:r>
      <w:r w:rsidR="00B82495">
        <w:rPr>
          <w:rFonts w:ascii="Times New Roman" w:eastAsia="Times New Roman" w:hAnsi="Times New Roman" w:cs="Times New Roman"/>
          <w:color w:val="000000"/>
          <w:lang w:eastAsia="en-GB"/>
        </w:rPr>
        <w:t xml:space="preserve">possible to draw some tentative conclusions </w:t>
      </w:r>
      <w:r w:rsidR="00B65ED3">
        <w:rPr>
          <w:rFonts w:ascii="Times New Roman" w:eastAsia="Times New Roman" w:hAnsi="Times New Roman" w:cs="Times New Roman"/>
          <w:color w:val="000000"/>
          <w:lang w:eastAsia="en-GB"/>
        </w:rPr>
        <w:t xml:space="preserve">given that </w:t>
      </w:r>
      <w:r w:rsidR="00B82495">
        <w:rPr>
          <w:rFonts w:ascii="Times New Roman" w:eastAsia="Times New Roman" w:hAnsi="Times New Roman" w:cs="Times New Roman"/>
          <w:color w:val="000000"/>
          <w:lang w:eastAsia="en-GB"/>
        </w:rPr>
        <w:t>the evidence presented by the data tend</w:t>
      </w:r>
      <w:r w:rsidR="006A3019">
        <w:rPr>
          <w:rFonts w:ascii="Times New Roman" w:eastAsia="Times New Roman" w:hAnsi="Times New Roman" w:cs="Times New Roman"/>
          <w:color w:val="000000"/>
          <w:lang w:eastAsia="en-GB"/>
        </w:rPr>
        <w:t>ed</w:t>
      </w:r>
      <w:r w:rsidR="00B82495">
        <w:rPr>
          <w:rFonts w:ascii="Times New Roman" w:eastAsia="Times New Roman" w:hAnsi="Times New Roman" w:cs="Times New Roman"/>
          <w:color w:val="000000"/>
          <w:lang w:eastAsia="en-GB"/>
        </w:rPr>
        <w:t xml:space="preserve"> always to point in the same direction.</w:t>
      </w:r>
    </w:p>
    <w:p w14:paraId="053D66E9" w14:textId="48A1CA8F" w:rsidR="000B745C" w:rsidRDefault="006A3019"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First, we found that indicators of heavy involvement in casino gambling among casino employees were no higher (and in respect of frequency actually lower) than among other residents of Macau</w:t>
      </w:r>
      <w:r w:rsidR="000B745C">
        <w:rPr>
          <w:rFonts w:ascii="Times New Roman" w:eastAsia="Times New Roman" w:hAnsi="Times New Roman" w:cs="Times New Roman"/>
          <w:color w:val="000000"/>
          <w:lang w:eastAsia="en-GB"/>
        </w:rPr>
        <w:t>, at least those who have ever gambled in a casino</w:t>
      </w:r>
      <w:r>
        <w:rPr>
          <w:rFonts w:ascii="Times New Roman" w:eastAsia="Times New Roman" w:hAnsi="Times New Roman" w:cs="Times New Roman"/>
          <w:color w:val="000000"/>
          <w:lang w:eastAsia="en-GB"/>
        </w:rPr>
        <w:t>. This illustrates that it is by no means inevitable that intense exposure to a gambling culture lead</w:t>
      </w:r>
      <w:r w:rsidR="008F3E68">
        <w:rPr>
          <w:rFonts w:ascii="Times New Roman" w:eastAsia="Times New Roman" w:hAnsi="Times New Roman" w:cs="Times New Roman"/>
          <w:color w:val="000000"/>
          <w:lang w:eastAsia="en-GB"/>
        </w:rPr>
        <w:t>s</w:t>
      </w:r>
      <w:r>
        <w:rPr>
          <w:rFonts w:ascii="Times New Roman" w:eastAsia="Times New Roman" w:hAnsi="Times New Roman" w:cs="Times New Roman"/>
          <w:color w:val="000000"/>
          <w:lang w:eastAsia="en-GB"/>
        </w:rPr>
        <w:t xml:space="preserve"> to greater consumption of gambling services</w:t>
      </w:r>
      <w:r w:rsidR="008F3E6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with </w:t>
      </w:r>
      <w:r w:rsidR="008F3E68">
        <w:rPr>
          <w:rFonts w:ascii="Times New Roman" w:eastAsia="Times New Roman" w:hAnsi="Times New Roman" w:cs="Times New Roman"/>
          <w:color w:val="000000"/>
          <w:lang w:eastAsia="en-GB"/>
        </w:rPr>
        <w:t xml:space="preserve">its </w:t>
      </w:r>
      <w:r>
        <w:rPr>
          <w:rFonts w:ascii="Times New Roman" w:eastAsia="Times New Roman" w:hAnsi="Times New Roman" w:cs="Times New Roman"/>
          <w:color w:val="000000"/>
          <w:lang w:eastAsia="en-GB"/>
        </w:rPr>
        <w:t>attendant risk of harm. This result is in contrast to results from stud</w:t>
      </w:r>
      <w:r w:rsidR="000B745C">
        <w:rPr>
          <w:rFonts w:ascii="Times New Roman" w:eastAsia="Times New Roman" w:hAnsi="Times New Roman" w:cs="Times New Roman"/>
          <w:color w:val="000000"/>
          <w:lang w:eastAsia="en-GB"/>
        </w:rPr>
        <w:t>ies</w:t>
      </w:r>
      <w:r>
        <w:rPr>
          <w:rFonts w:ascii="Times New Roman" w:eastAsia="Times New Roman" w:hAnsi="Times New Roman" w:cs="Times New Roman"/>
          <w:color w:val="000000"/>
          <w:lang w:eastAsia="en-GB"/>
        </w:rPr>
        <w:t xml:space="preserve"> of gaming venue employees in Australia and Canada but </w:t>
      </w:r>
      <w:r w:rsidR="008F3E68">
        <w:rPr>
          <w:rFonts w:ascii="Times New Roman" w:eastAsia="Times New Roman" w:hAnsi="Times New Roman" w:cs="Times New Roman"/>
          <w:color w:val="000000"/>
          <w:lang w:eastAsia="en-GB"/>
        </w:rPr>
        <w:t xml:space="preserve">is </w:t>
      </w:r>
      <w:r>
        <w:rPr>
          <w:rFonts w:ascii="Times New Roman" w:eastAsia="Times New Roman" w:hAnsi="Times New Roman" w:cs="Times New Roman"/>
          <w:color w:val="000000"/>
          <w:lang w:eastAsia="en-GB"/>
        </w:rPr>
        <w:t>somewhat similar to a finding from South Korea. It is tempting to conjecture that there is something different about Asian settings</w:t>
      </w:r>
      <w:r w:rsidR="008F3E6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but we find it more plausible to focus on particularities of Macau. In Macau, </w:t>
      </w:r>
      <w:r w:rsidR="00244EAA">
        <w:rPr>
          <w:rFonts w:ascii="Times New Roman" w:eastAsia="Times New Roman" w:hAnsi="Times New Roman" w:cs="Times New Roman"/>
          <w:color w:val="000000"/>
          <w:lang w:eastAsia="en-GB"/>
        </w:rPr>
        <w:t xml:space="preserve">the economy is dominated by the casino sector, which accounts for more than one-fifth of all employment and offers median earnings about one-quarter higher than in the aggregated labor market (Statistical Information Service of Macao, 2019). </w:t>
      </w:r>
      <w:r w:rsidR="008F3E68">
        <w:rPr>
          <w:rFonts w:ascii="Times New Roman" w:eastAsia="Times New Roman" w:hAnsi="Times New Roman" w:cs="Times New Roman"/>
          <w:color w:val="000000"/>
          <w:lang w:eastAsia="en-GB"/>
        </w:rPr>
        <w:t>This makes casino employment a very mainstream career choice in Macau (in contrast to Australia and Canada) and the sheer number of entrants to the sector will dilute any effect from a</w:t>
      </w:r>
      <w:r w:rsidR="00612AEC">
        <w:rPr>
          <w:rFonts w:ascii="Times New Roman" w:eastAsia="Times New Roman" w:hAnsi="Times New Roman" w:cs="Times New Roman"/>
          <w:color w:val="000000"/>
          <w:lang w:eastAsia="en-GB"/>
        </w:rPr>
        <w:t xml:space="preserve"> </w:t>
      </w:r>
      <w:r w:rsidR="008F3E68">
        <w:rPr>
          <w:rFonts w:ascii="Times New Roman" w:eastAsia="Times New Roman" w:hAnsi="Times New Roman" w:cs="Times New Roman"/>
          <w:color w:val="000000"/>
          <w:lang w:eastAsia="en-GB"/>
        </w:rPr>
        <w:t xml:space="preserve">tendency of heavy gamblers to </w:t>
      </w:r>
      <w:r w:rsidR="00612AEC">
        <w:rPr>
          <w:rFonts w:ascii="Times New Roman" w:eastAsia="Times New Roman" w:hAnsi="Times New Roman" w:cs="Times New Roman"/>
          <w:color w:val="000000"/>
          <w:lang w:eastAsia="en-GB"/>
        </w:rPr>
        <w:t xml:space="preserve">seek </w:t>
      </w:r>
      <w:r w:rsidR="008F3E68">
        <w:rPr>
          <w:rFonts w:ascii="Times New Roman" w:eastAsia="Times New Roman" w:hAnsi="Times New Roman" w:cs="Times New Roman"/>
          <w:color w:val="000000"/>
          <w:lang w:eastAsia="en-GB"/>
        </w:rPr>
        <w:t xml:space="preserve">jobs in gambling (thereby boosting the measured prevalence of risky gambling among casino staff). </w:t>
      </w:r>
      <w:r w:rsidR="00612AEC">
        <w:rPr>
          <w:rFonts w:ascii="Times New Roman" w:eastAsia="Times New Roman" w:hAnsi="Times New Roman" w:cs="Times New Roman"/>
          <w:color w:val="000000"/>
          <w:lang w:eastAsia="en-GB"/>
        </w:rPr>
        <w:t xml:space="preserve">Again, </w:t>
      </w:r>
      <w:r w:rsidR="004C17E2">
        <w:rPr>
          <w:rFonts w:ascii="Times New Roman" w:eastAsia="Times New Roman" w:hAnsi="Times New Roman" w:cs="Times New Roman"/>
          <w:color w:val="000000"/>
          <w:lang w:eastAsia="en-GB"/>
        </w:rPr>
        <w:t xml:space="preserve">any </w:t>
      </w:r>
      <w:r w:rsidR="00612AEC">
        <w:rPr>
          <w:rFonts w:ascii="Times New Roman" w:eastAsia="Times New Roman" w:hAnsi="Times New Roman" w:cs="Times New Roman"/>
          <w:color w:val="000000"/>
          <w:lang w:eastAsia="en-GB"/>
        </w:rPr>
        <w:t xml:space="preserve">adverse exposure effects may </w:t>
      </w:r>
      <w:r w:rsidR="004C17E2">
        <w:rPr>
          <w:rFonts w:ascii="Times New Roman" w:eastAsia="Times New Roman" w:hAnsi="Times New Roman" w:cs="Times New Roman"/>
          <w:color w:val="000000"/>
          <w:lang w:eastAsia="en-GB"/>
        </w:rPr>
        <w:t xml:space="preserve">have </w:t>
      </w:r>
      <w:r w:rsidR="00612AEC">
        <w:rPr>
          <w:rFonts w:ascii="Times New Roman" w:eastAsia="Times New Roman" w:hAnsi="Times New Roman" w:cs="Times New Roman"/>
          <w:color w:val="000000"/>
          <w:lang w:eastAsia="en-GB"/>
        </w:rPr>
        <w:t>be</w:t>
      </w:r>
      <w:r w:rsidR="004C17E2">
        <w:rPr>
          <w:rFonts w:ascii="Times New Roman" w:eastAsia="Times New Roman" w:hAnsi="Times New Roman" w:cs="Times New Roman"/>
          <w:color w:val="000000"/>
          <w:lang w:eastAsia="en-GB"/>
        </w:rPr>
        <w:t>en</w:t>
      </w:r>
      <w:r w:rsidR="00612AEC">
        <w:rPr>
          <w:rFonts w:ascii="Times New Roman" w:eastAsia="Times New Roman" w:hAnsi="Times New Roman" w:cs="Times New Roman"/>
          <w:color w:val="000000"/>
          <w:lang w:eastAsia="en-GB"/>
        </w:rPr>
        <w:t xml:space="preserve"> modified by protective measures. </w:t>
      </w:r>
      <w:r w:rsidR="00326EB3">
        <w:rPr>
          <w:rFonts w:ascii="Times New Roman" w:eastAsia="Times New Roman" w:hAnsi="Times New Roman" w:cs="Times New Roman"/>
          <w:color w:val="000000"/>
          <w:lang w:eastAsia="en-GB"/>
        </w:rPr>
        <w:t>A wide range of population-wide responsible gambling measures were introduced by the Macau government in 2009 and have been particularly intensively targeted at casino employees. Perhaps as a result, awareness of responsible gambling provision is reported to be much higher in the casino sector than in the general population (</w:t>
      </w:r>
      <w:r w:rsidR="00326EB3" w:rsidRPr="00326EB3">
        <w:rPr>
          <w:rFonts w:ascii="Times New Roman" w:eastAsia="Times New Roman" w:hAnsi="Times New Roman" w:cs="Times New Roman"/>
          <w:color w:val="000000"/>
          <w:lang w:eastAsia="en-GB"/>
        </w:rPr>
        <w:t>Institute for the Study of Commercial Gaming</w:t>
      </w:r>
      <w:r w:rsidR="00326EB3">
        <w:rPr>
          <w:rFonts w:ascii="Times New Roman" w:eastAsia="Times New Roman" w:hAnsi="Times New Roman" w:cs="Times New Roman"/>
          <w:color w:val="000000"/>
          <w:lang w:eastAsia="en-GB"/>
        </w:rPr>
        <w:t>,</w:t>
      </w:r>
      <w:r w:rsidR="00326EB3" w:rsidRPr="00326EB3">
        <w:rPr>
          <w:rFonts w:ascii="Times New Roman" w:eastAsia="Times New Roman" w:hAnsi="Times New Roman" w:cs="Times New Roman"/>
          <w:color w:val="000000"/>
          <w:lang w:eastAsia="en-GB"/>
        </w:rPr>
        <w:t xml:space="preserve"> University of Macau, 2017</w:t>
      </w:r>
      <w:r w:rsidR="00326EB3">
        <w:rPr>
          <w:rFonts w:ascii="Times New Roman" w:eastAsia="Times New Roman" w:hAnsi="Times New Roman" w:cs="Times New Roman"/>
          <w:color w:val="000000"/>
          <w:lang w:eastAsia="en-GB"/>
        </w:rPr>
        <w:t>)</w:t>
      </w:r>
      <w:r w:rsidR="00297DED">
        <w:rPr>
          <w:rFonts w:ascii="Times New Roman" w:eastAsia="Times New Roman" w:hAnsi="Times New Roman" w:cs="Times New Roman"/>
          <w:color w:val="000000"/>
          <w:lang w:eastAsia="en-GB"/>
        </w:rPr>
        <w:t xml:space="preserve">, which may account for higher rates of help seeking among casino employees. </w:t>
      </w:r>
      <w:r w:rsidR="00326EB3">
        <w:rPr>
          <w:rFonts w:ascii="Times New Roman" w:eastAsia="Times New Roman" w:hAnsi="Times New Roman" w:cs="Times New Roman"/>
          <w:color w:val="000000"/>
          <w:lang w:eastAsia="en-GB"/>
        </w:rPr>
        <w:t xml:space="preserve">At the employer level, </w:t>
      </w:r>
      <w:r w:rsidR="00786183">
        <w:rPr>
          <w:rFonts w:ascii="Times New Roman" w:eastAsia="Times New Roman" w:hAnsi="Times New Roman" w:cs="Times New Roman"/>
          <w:color w:val="000000"/>
          <w:lang w:eastAsia="en-GB"/>
        </w:rPr>
        <w:t xml:space="preserve">the Macau </w:t>
      </w:r>
      <w:r w:rsidR="004242E3">
        <w:rPr>
          <w:rFonts w:ascii="Times New Roman" w:eastAsia="Times New Roman" w:hAnsi="Times New Roman" w:cs="Times New Roman"/>
          <w:color w:val="000000"/>
          <w:lang w:eastAsia="en-GB"/>
        </w:rPr>
        <w:t xml:space="preserve">Government </w:t>
      </w:r>
      <w:r w:rsidR="00297DED">
        <w:rPr>
          <w:rFonts w:ascii="Times New Roman" w:eastAsia="Times New Roman" w:hAnsi="Times New Roman" w:cs="Times New Roman"/>
          <w:color w:val="000000"/>
          <w:lang w:eastAsia="en-GB"/>
        </w:rPr>
        <w:t xml:space="preserve">has </w:t>
      </w:r>
      <w:r w:rsidR="004242E3">
        <w:rPr>
          <w:rFonts w:ascii="Times New Roman" w:eastAsia="Times New Roman" w:hAnsi="Times New Roman" w:cs="Times New Roman"/>
          <w:color w:val="000000"/>
          <w:lang w:eastAsia="en-GB"/>
        </w:rPr>
        <w:t xml:space="preserve">encouraged operators to adopt provisions in the ‘Responsible Gambling Business Code of Conduct’ designed to protect workers and in fact </w:t>
      </w:r>
      <w:r w:rsidR="00297DED">
        <w:rPr>
          <w:rFonts w:ascii="Times New Roman" w:eastAsia="Times New Roman" w:hAnsi="Times New Roman" w:cs="Times New Roman"/>
          <w:color w:val="000000"/>
          <w:lang w:eastAsia="en-GB"/>
        </w:rPr>
        <w:t>all</w:t>
      </w:r>
      <w:r w:rsidR="00612AEC">
        <w:rPr>
          <w:rFonts w:ascii="Times New Roman" w:eastAsia="Times New Roman" w:hAnsi="Times New Roman" w:cs="Times New Roman"/>
          <w:color w:val="000000"/>
          <w:lang w:eastAsia="en-GB"/>
        </w:rPr>
        <w:t xml:space="preserve"> six casino ownership groups in Macau have responsible gambling programs in place for their employees</w:t>
      </w:r>
      <w:r w:rsidR="004242E3">
        <w:rPr>
          <w:rFonts w:ascii="Times New Roman" w:eastAsia="Times New Roman" w:hAnsi="Times New Roman" w:cs="Times New Roman"/>
          <w:color w:val="000000"/>
          <w:lang w:eastAsia="en-GB"/>
        </w:rPr>
        <w:t xml:space="preserve">; </w:t>
      </w:r>
      <w:r w:rsidR="00612AEC">
        <w:rPr>
          <w:rFonts w:ascii="Times New Roman" w:eastAsia="Times New Roman" w:hAnsi="Times New Roman" w:cs="Times New Roman"/>
          <w:color w:val="000000"/>
          <w:lang w:eastAsia="en-GB"/>
        </w:rPr>
        <w:t xml:space="preserve">frontline staff also receive training in identifying customers who may have problems. This latter provision may encourage self-reflection by those serving customers face-to-face. It </w:t>
      </w:r>
      <w:r w:rsidR="000B745C">
        <w:rPr>
          <w:rFonts w:ascii="Times New Roman" w:eastAsia="Times New Roman" w:hAnsi="Times New Roman" w:cs="Times New Roman"/>
          <w:color w:val="000000"/>
          <w:lang w:eastAsia="en-GB"/>
        </w:rPr>
        <w:t xml:space="preserve">has been argued, by, for example, Abbott (2006), that </w:t>
      </w:r>
      <w:r w:rsidR="00612AEC">
        <w:rPr>
          <w:rFonts w:ascii="Times New Roman" w:eastAsia="Times New Roman" w:hAnsi="Times New Roman" w:cs="Times New Roman"/>
          <w:color w:val="000000"/>
          <w:lang w:eastAsia="en-GB"/>
        </w:rPr>
        <w:t xml:space="preserve">the impact of exposure and the </w:t>
      </w:r>
      <w:r w:rsidR="000B745C">
        <w:rPr>
          <w:rFonts w:ascii="Times New Roman" w:eastAsia="Times New Roman" w:hAnsi="Times New Roman" w:cs="Times New Roman"/>
          <w:color w:val="000000"/>
          <w:lang w:eastAsia="en-GB"/>
        </w:rPr>
        <w:t xml:space="preserve">speed </w:t>
      </w:r>
      <w:r w:rsidR="00612AEC">
        <w:rPr>
          <w:rFonts w:ascii="Times New Roman" w:eastAsia="Times New Roman" w:hAnsi="Times New Roman" w:cs="Times New Roman"/>
          <w:color w:val="000000"/>
          <w:lang w:eastAsia="en-GB"/>
        </w:rPr>
        <w:t xml:space="preserve">of adaptation </w:t>
      </w:r>
      <w:r w:rsidR="000B745C">
        <w:rPr>
          <w:rFonts w:ascii="Times New Roman" w:eastAsia="Times New Roman" w:hAnsi="Times New Roman" w:cs="Times New Roman"/>
          <w:color w:val="000000"/>
          <w:lang w:eastAsia="en-GB"/>
        </w:rPr>
        <w:t xml:space="preserve">in the general population </w:t>
      </w:r>
      <w:r w:rsidR="00612AEC">
        <w:rPr>
          <w:rFonts w:ascii="Times New Roman" w:eastAsia="Times New Roman" w:hAnsi="Times New Roman" w:cs="Times New Roman"/>
          <w:color w:val="000000"/>
          <w:lang w:eastAsia="en-GB"/>
        </w:rPr>
        <w:t>will depend partially on the presence and scale of safer gambling programs</w:t>
      </w:r>
      <w:r w:rsidR="000B745C">
        <w:rPr>
          <w:rFonts w:ascii="Times New Roman" w:eastAsia="Times New Roman" w:hAnsi="Times New Roman" w:cs="Times New Roman"/>
          <w:color w:val="000000"/>
          <w:lang w:eastAsia="en-GB"/>
        </w:rPr>
        <w:t>, such that differences in provision will cause heterogeneity in the effects of gambling expansion</w:t>
      </w:r>
      <w:r w:rsidR="00297DED">
        <w:rPr>
          <w:rFonts w:ascii="Times New Roman" w:eastAsia="Times New Roman" w:hAnsi="Times New Roman" w:cs="Times New Roman"/>
          <w:color w:val="000000"/>
          <w:lang w:eastAsia="en-GB"/>
        </w:rPr>
        <w:t xml:space="preserve"> in different settings</w:t>
      </w:r>
      <w:r w:rsidR="000B745C">
        <w:rPr>
          <w:rFonts w:ascii="Times New Roman" w:eastAsia="Times New Roman" w:hAnsi="Times New Roman" w:cs="Times New Roman"/>
          <w:color w:val="000000"/>
          <w:lang w:eastAsia="en-GB"/>
        </w:rPr>
        <w:t>, and this point seems equally relevant to specialist populations of casino workers</w:t>
      </w:r>
      <w:r w:rsidR="00297DED">
        <w:rPr>
          <w:rFonts w:ascii="Times New Roman" w:eastAsia="Times New Roman" w:hAnsi="Times New Roman" w:cs="Times New Roman"/>
          <w:color w:val="000000"/>
          <w:lang w:eastAsia="en-GB"/>
        </w:rPr>
        <w:t>.</w:t>
      </w:r>
    </w:p>
    <w:p w14:paraId="1FA19BCA" w14:textId="5AB119EB" w:rsidR="00CD5928" w:rsidRDefault="000B745C"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Second, </w:t>
      </w:r>
      <w:r w:rsidR="0028001C">
        <w:rPr>
          <w:rFonts w:ascii="Times New Roman" w:eastAsia="Times New Roman" w:hAnsi="Times New Roman" w:cs="Times New Roman"/>
          <w:color w:val="000000"/>
          <w:lang w:eastAsia="en-GB"/>
        </w:rPr>
        <w:t>we found that, relative to their behavior early in their gambling careers, those who were employed in casinos tend</w:t>
      </w:r>
      <w:r w:rsidR="00786183">
        <w:rPr>
          <w:rFonts w:ascii="Times New Roman" w:eastAsia="Times New Roman" w:hAnsi="Times New Roman" w:cs="Times New Roman"/>
          <w:color w:val="000000"/>
          <w:lang w:eastAsia="en-GB"/>
        </w:rPr>
        <w:t>—if anything—to</w:t>
      </w:r>
      <w:r w:rsidR="0028001C">
        <w:rPr>
          <w:rFonts w:ascii="Times New Roman" w:eastAsia="Times New Roman" w:hAnsi="Times New Roman" w:cs="Times New Roman"/>
          <w:color w:val="000000"/>
          <w:lang w:eastAsia="en-GB"/>
        </w:rPr>
        <w:t xml:space="preserve"> be less likely either to persist in heavy play or to move from light to heavy engagement compared with non-casino employees. In Macau, casino employment</w:t>
      </w:r>
      <w:r w:rsidR="004C17E2">
        <w:rPr>
          <w:rFonts w:ascii="Times New Roman" w:eastAsia="Times New Roman" w:hAnsi="Times New Roman" w:cs="Times New Roman"/>
          <w:color w:val="000000"/>
          <w:lang w:eastAsia="en-GB"/>
        </w:rPr>
        <w:t xml:space="preserve"> per se does not </w:t>
      </w:r>
      <w:r w:rsidR="004242E3">
        <w:rPr>
          <w:rFonts w:ascii="Times New Roman" w:eastAsia="Times New Roman" w:hAnsi="Times New Roman" w:cs="Times New Roman"/>
          <w:color w:val="000000"/>
          <w:lang w:eastAsia="en-GB"/>
        </w:rPr>
        <w:t xml:space="preserve">therefore </w:t>
      </w:r>
      <w:r w:rsidR="0028001C">
        <w:rPr>
          <w:rFonts w:ascii="Times New Roman" w:eastAsia="Times New Roman" w:hAnsi="Times New Roman" w:cs="Times New Roman"/>
          <w:color w:val="000000"/>
          <w:lang w:eastAsia="en-GB"/>
        </w:rPr>
        <w:t>ap</w:t>
      </w:r>
      <w:r w:rsidR="004C17E2">
        <w:rPr>
          <w:rFonts w:ascii="Times New Roman" w:eastAsia="Times New Roman" w:hAnsi="Times New Roman" w:cs="Times New Roman"/>
          <w:color w:val="000000"/>
          <w:lang w:eastAsia="en-GB"/>
        </w:rPr>
        <w:t>pear to change the risk of movement towards</w:t>
      </w:r>
      <w:r w:rsidR="00904D98">
        <w:rPr>
          <w:rFonts w:ascii="Times New Roman" w:eastAsia="Times New Roman" w:hAnsi="Times New Roman" w:cs="Times New Roman"/>
          <w:color w:val="000000"/>
          <w:lang w:eastAsia="en-GB"/>
        </w:rPr>
        <w:t xml:space="preserve"> heavy play</w:t>
      </w:r>
      <w:r w:rsidR="004C17E2">
        <w:rPr>
          <w:rFonts w:ascii="Times New Roman" w:eastAsia="Times New Roman" w:hAnsi="Times New Roman" w:cs="Times New Roman"/>
          <w:color w:val="000000"/>
          <w:lang w:eastAsia="en-GB"/>
        </w:rPr>
        <w:t>.</w:t>
      </w:r>
      <w:r w:rsidR="004242E3">
        <w:rPr>
          <w:rFonts w:ascii="Times New Roman" w:eastAsia="Times New Roman" w:hAnsi="Times New Roman" w:cs="Times New Roman"/>
          <w:color w:val="000000"/>
          <w:lang w:eastAsia="en-GB"/>
        </w:rPr>
        <w:t xml:space="preserve"> A footnote to this finding is that the risk may be further modified in future because </w:t>
      </w:r>
      <w:r w:rsidR="00904D98">
        <w:rPr>
          <w:rFonts w:ascii="Times New Roman" w:eastAsia="Times New Roman" w:hAnsi="Times New Roman" w:cs="Times New Roman"/>
          <w:color w:val="000000"/>
          <w:lang w:eastAsia="en-GB"/>
        </w:rPr>
        <w:t xml:space="preserve">an amendment to the Gaming Participation Law, </w:t>
      </w:r>
      <w:r w:rsidR="004242E3">
        <w:rPr>
          <w:rFonts w:ascii="Times New Roman" w:eastAsia="Times New Roman" w:hAnsi="Times New Roman" w:cs="Times New Roman"/>
          <w:color w:val="000000"/>
          <w:lang w:eastAsia="en-GB"/>
        </w:rPr>
        <w:t>effective from December 27, 2019</w:t>
      </w:r>
      <w:r w:rsidR="00904D98">
        <w:rPr>
          <w:rFonts w:ascii="Times New Roman" w:eastAsia="Times New Roman" w:hAnsi="Times New Roman" w:cs="Times New Roman"/>
          <w:color w:val="000000"/>
          <w:lang w:eastAsia="en-GB"/>
        </w:rPr>
        <w:t>,</w:t>
      </w:r>
      <w:r w:rsidR="004242E3">
        <w:rPr>
          <w:rFonts w:ascii="Times New Roman" w:eastAsia="Times New Roman" w:hAnsi="Times New Roman" w:cs="Times New Roman"/>
          <w:color w:val="000000"/>
          <w:lang w:eastAsia="en-GB"/>
        </w:rPr>
        <w:t xml:space="preserve"> prohibits casino</w:t>
      </w:r>
      <w:r w:rsidR="00904D98">
        <w:rPr>
          <w:rFonts w:ascii="Times New Roman" w:eastAsia="Times New Roman" w:hAnsi="Times New Roman" w:cs="Times New Roman"/>
          <w:color w:val="000000"/>
          <w:lang w:eastAsia="en-GB"/>
        </w:rPr>
        <w:t xml:space="preserve"> employees from entering gaming areas </w:t>
      </w:r>
      <w:r w:rsidR="0099357E">
        <w:rPr>
          <w:rFonts w:ascii="Times New Roman" w:eastAsia="Times New Roman" w:hAnsi="Times New Roman" w:cs="Times New Roman"/>
          <w:color w:val="000000"/>
          <w:lang w:eastAsia="en-GB"/>
        </w:rPr>
        <w:t xml:space="preserve">of casinos when not </w:t>
      </w:r>
      <w:r w:rsidR="00904D98">
        <w:rPr>
          <w:rFonts w:ascii="Times New Roman" w:eastAsia="Times New Roman" w:hAnsi="Times New Roman" w:cs="Times New Roman"/>
          <w:color w:val="000000"/>
          <w:lang w:eastAsia="en-GB"/>
        </w:rPr>
        <w:t>working (except at Chinese New Year).</w:t>
      </w:r>
    </w:p>
    <w:p w14:paraId="15E24F21" w14:textId="16FE407B" w:rsidR="00297DED" w:rsidRDefault="00CD5928" w:rsidP="003550CF">
      <w:pPr>
        <w:spacing w:after="120" w:line="480" w:lineRule="auto"/>
        <w:ind w:firstLine="288"/>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Results of population prevalence surveys in Macau indicate that the major expansion of gaming facilities from 2003 was followed by increased participation and increased prevalence of problem gambling, just as the exposure hypothesis would have predicted. Subsequent steady decline in both metrics indicates that adaptation, including </w:t>
      </w:r>
      <w:r w:rsidR="00297DED">
        <w:rPr>
          <w:rFonts w:ascii="Times New Roman" w:eastAsia="Times New Roman" w:hAnsi="Times New Roman" w:cs="Times New Roman"/>
          <w:color w:val="000000"/>
          <w:lang w:eastAsia="en-GB"/>
        </w:rPr>
        <w:t xml:space="preserve">through </w:t>
      </w:r>
      <w:r>
        <w:rPr>
          <w:rFonts w:ascii="Times New Roman" w:eastAsia="Times New Roman" w:hAnsi="Times New Roman" w:cs="Times New Roman"/>
          <w:color w:val="000000"/>
          <w:lang w:eastAsia="en-GB"/>
        </w:rPr>
        <w:t>enhanced responsible gambling provision, was sufficient to reverse initial exposure effect</w:t>
      </w:r>
      <w:r w:rsidR="004003DC">
        <w:rPr>
          <w:rFonts w:ascii="Times New Roman" w:eastAsia="Times New Roman" w:hAnsi="Times New Roman" w:cs="Times New Roman"/>
          <w:color w:val="000000"/>
          <w:lang w:eastAsia="en-GB"/>
        </w:rPr>
        <w:t>s</w:t>
      </w:r>
      <w:r>
        <w:rPr>
          <w:rFonts w:ascii="Times New Roman" w:eastAsia="Times New Roman" w:hAnsi="Times New Roman" w:cs="Times New Roman"/>
          <w:color w:val="000000"/>
          <w:lang w:eastAsia="en-GB"/>
        </w:rPr>
        <w:t>. The overall experience of Macau is therefore consistent with the adaptation hypothesis. Our study adds to the evidence by focusing on casino employees, for whom exposure is particularly intense. That it was hard to discern any tendency for casino employees to display greater involvement in gambling at a point in time or in terms of changes over time than others in Macau who had ever gambled in a casino is further suggestive that the exposure hypothesis alone is too simple</w:t>
      </w:r>
      <w:r w:rsidR="000A6F70">
        <w:rPr>
          <w:rFonts w:ascii="Times New Roman" w:eastAsia="Times New Roman" w:hAnsi="Times New Roman" w:cs="Times New Roman"/>
          <w:color w:val="000000"/>
          <w:lang w:eastAsia="en-GB"/>
        </w:rPr>
        <w:t xml:space="preserve"> and that adaptation is a real phenomenon.</w:t>
      </w:r>
    </w:p>
    <w:p w14:paraId="2602680D" w14:textId="1501D8D2" w:rsidR="00786183" w:rsidRDefault="00786183">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br w:type="page"/>
      </w:r>
    </w:p>
    <w:p w14:paraId="455E8401" w14:textId="77777777" w:rsidR="00297DED" w:rsidRPr="00297DED" w:rsidRDefault="000A6F70" w:rsidP="00297DED">
      <w:pPr>
        <w:rPr>
          <w:rFonts w:ascii="Times New Roman" w:eastAsia="Times New Roman" w:hAnsi="Times New Roman" w:cs="Times New Roman"/>
          <w:b/>
          <w:color w:val="000000"/>
          <w:lang w:eastAsia="en-GB"/>
        </w:rPr>
      </w:pPr>
      <w:r>
        <w:rPr>
          <w:rFonts w:ascii="Times New Roman" w:eastAsia="Times New Roman" w:hAnsi="Times New Roman" w:cs="Times New Roman"/>
          <w:color w:val="000000"/>
          <w:lang w:eastAsia="en-GB"/>
        </w:rPr>
        <w:t xml:space="preserve"> </w:t>
      </w:r>
      <w:r w:rsidR="00297DED" w:rsidRPr="00297DED">
        <w:rPr>
          <w:rFonts w:ascii="Times New Roman" w:eastAsia="Times New Roman" w:hAnsi="Times New Roman" w:cs="Times New Roman"/>
          <w:b/>
          <w:color w:val="000000"/>
          <w:lang w:eastAsia="en-GB"/>
        </w:rPr>
        <w:t>References</w:t>
      </w:r>
    </w:p>
    <w:p w14:paraId="55FAE690"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Abbott, M. (2006). Do EGMs and problem gambling go together like a horse and carriage? </w:t>
      </w:r>
      <w:r w:rsidRPr="00297DED">
        <w:rPr>
          <w:rFonts w:ascii="Times New Roman" w:eastAsia="Times New Roman" w:hAnsi="Times New Roman" w:cs="Times New Roman"/>
          <w:i/>
          <w:color w:val="000000"/>
          <w:lang w:eastAsia="en-GB"/>
        </w:rPr>
        <w:t>Gambling Research</w:t>
      </w:r>
      <w:r w:rsidRPr="00297DED">
        <w:rPr>
          <w:rFonts w:ascii="Times New Roman" w:eastAsia="Times New Roman" w:hAnsi="Times New Roman" w:cs="Times New Roman"/>
          <w:color w:val="000000"/>
          <w:lang w:eastAsia="en-GB"/>
        </w:rPr>
        <w:t>, 18(1), 7-38.</w:t>
      </w:r>
    </w:p>
    <w:p w14:paraId="6EE56599" w14:textId="77777777" w:rsidR="00297DED" w:rsidRPr="00297DED" w:rsidRDefault="00297DED" w:rsidP="00E37440">
      <w:pPr>
        <w:spacing w:after="240"/>
        <w:rPr>
          <w:rFonts w:ascii="Times New Roman" w:eastAsia="Times New Roman" w:hAnsi="Times New Roman" w:cs="Times New Roman"/>
          <w:bCs/>
          <w:color w:val="000000"/>
          <w:lang w:eastAsia="en-GB"/>
        </w:rPr>
      </w:pPr>
      <w:r w:rsidRPr="00297DED">
        <w:rPr>
          <w:rFonts w:ascii="Times New Roman" w:eastAsia="Times New Roman" w:hAnsi="Times New Roman" w:cs="Times New Roman"/>
          <w:color w:val="000000"/>
          <w:lang w:eastAsia="en-GB"/>
        </w:rPr>
        <w:t xml:space="preserve">Abbott, M.W, Romild, U. and Volberg, R.A. (2014). </w:t>
      </w:r>
      <w:r w:rsidRPr="00297DED">
        <w:rPr>
          <w:rFonts w:ascii="Times New Roman" w:eastAsia="Times New Roman" w:hAnsi="Times New Roman" w:cs="Times New Roman"/>
          <w:bCs/>
          <w:color w:val="000000"/>
          <w:lang w:eastAsia="en-GB"/>
        </w:rPr>
        <w:t xml:space="preserve">Gambling and problem gambling in Sweden: changes between 1998 and 2009. </w:t>
      </w:r>
      <w:r w:rsidRPr="00297DED">
        <w:rPr>
          <w:rFonts w:ascii="Times New Roman" w:eastAsia="Times New Roman" w:hAnsi="Times New Roman" w:cs="Times New Roman"/>
          <w:bCs/>
          <w:i/>
          <w:color w:val="000000"/>
          <w:lang w:eastAsia="en-GB"/>
        </w:rPr>
        <w:t>Journal of Gambling Studies</w:t>
      </w:r>
      <w:r w:rsidRPr="00297DED">
        <w:rPr>
          <w:rFonts w:ascii="Times New Roman" w:eastAsia="Times New Roman" w:hAnsi="Times New Roman" w:cs="Times New Roman"/>
          <w:bCs/>
          <w:color w:val="000000"/>
          <w:lang w:eastAsia="en-GB"/>
        </w:rPr>
        <w:t>, 30(4), 985-999.</w:t>
      </w:r>
    </w:p>
    <w:p w14:paraId="149D7C26"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Adams, G.R., Sullivan, A.M., Horton, K.D., Meena, R. and Guilmette, A.M. (2007). A study of differences in Canadian university students’ gambling and proximity to a casino. </w:t>
      </w:r>
      <w:r w:rsidRPr="00297DED">
        <w:rPr>
          <w:rFonts w:ascii="Times New Roman" w:eastAsia="Times New Roman" w:hAnsi="Times New Roman" w:cs="Times New Roman"/>
          <w:i/>
          <w:color w:val="000000"/>
          <w:lang w:eastAsia="en-GB"/>
        </w:rPr>
        <w:t>Journal of Gambling</w:t>
      </w:r>
      <w:r w:rsidRPr="00297DED">
        <w:rPr>
          <w:rFonts w:ascii="Times New Roman" w:eastAsia="Times New Roman" w:hAnsi="Times New Roman" w:cs="Times New Roman"/>
          <w:color w:val="000000"/>
          <w:lang w:eastAsia="en-GB"/>
        </w:rPr>
        <w:t xml:space="preserve"> </w:t>
      </w:r>
      <w:r w:rsidRPr="00297DED">
        <w:rPr>
          <w:rFonts w:ascii="Times New Roman" w:eastAsia="Times New Roman" w:hAnsi="Times New Roman" w:cs="Times New Roman"/>
          <w:i/>
          <w:color w:val="000000"/>
          <w:lang w:eastAsia="en-GB"/>
        </w:rPr>
        <w:t>Issues</w:t>
      </w:r>
      <w:r w:rsidRPr="00297DED">
        <w:rPr>
          <w:rFonts w:ascii="Times New Roman" w:eastAsia="Times New Roman" w:hAnsi="Times New Roman" w:cs="Times New Roman"/>
          <w:color w:val="000000"/>
          <w:lang w:eastAsia="en-GB"/>
        </w:rPr>
        <w:t>, 19, 9-17.</w:t>
      </w:r>
    </w:p>
    <w:p w14:paraId="229238DE" w14:textId="32FC7711"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Black, D. W., McCormick, B., Losch, M. E., Shaw, M., Lutz, G. and Allen, J. (2012). Prevalence of problem gambling in Iowa: Revisiting Shaffer's adaptation hypothesis.</w:t>
      </w:r>
      <w:r w:rsidR="00165E4F">
        <w:rPr>
          <w:rFonts w:ascii="Times New Roman" w:eastAsia="Times New Roman" w:hAnsi="Times New Roman" w:cs="Times New Roman"/>
          <w:i/>
          <w:iCs/>
          <w:color w:val="000000"/>
          <w:lang w:eastAsia="en-GB"/>
        </w:rPr>
        <w:t xml:space="preserve"> </w:t>
      </w:r>
      <w:r w:rsidRPr="00297DED">
        <w:rPr>
          <w:rFonts w:ascii="Times New Roman" w:eastAsia="Times New Roman" w:hAnsi="Times New Roman" w:cs="Times New Roman"/>
          <w:i/>
          <w:iCs/>
          <w:color w:val="000000"/>
          <w:lang w:eastAsia="en-GB"/>
        </w:rPr>
        <w:t xml:space="preserve"> Annals of Clinical Psychiatry</w:t>
      </w:r>
      <w:r w:rsidRPr="00297DED">
        <w:rPr>
          <w:rFonts w:ascii="Times New Roman" w:eastAsia="Times New Roman" w:hAnsi="Times New Roman" w:cs="Times New Roman"/>
          <w:iCs/>
          <w:color w:val="000000"/>
          <w:lang w:eastAsia="en-GB"/>
        </w:rPr>
        <w:t>,</w:t>
      </w:r>
      <w:r w:rsidRPr="00297DED">
        <w:rPr>
          <w:rFonts w:ascii="Times New Roman" w:eastAsia="Times New Roman" w:hAnsi="Times New Roman" w:cs="Times New Roman"/>
          <w:i/>
          <w:iCs/>
          <w:color w:val="000000"/>
          <w:lang w:eastAsia="en-GB"/>
        </w:rPr>
        <w:t xml:space="preserve"> </w:t>
      </w:r>
      <w:r w:rsidRPr="00297DED">
        <w:rPr>
          <w:rFonts w:ascii="Times New Roman" w:eastAsia="Times New Roman" w:hAnsi="Times New Roman" w:cs="Times New Roman"/>
          <w:iCs/>
          <w:color w:val="000000"/>
          <w:lang w:eastAsia="en-GB"/>
        </w:rPr>
        <w:t>24(4), 279-84.</w:t>
      </w:r>
      <w:r w:rsidRPr="00297DED">
        <w:rPr>
          <w:rFonts w:ascii="Times New Roman" w:eastAsia="Times New Roman" w:hAnsi="Times New Roman" w:cs="Times New Roman"/>
          <w:color w:val="000000"/>
          <w:lang w:eastAsia="en-GB"/>
        </w:rPr>
        <w:t> </w:t>
      </w:r>
    </w:p>
    <w:p w14:paraId="2F86989B" w14:textId="77777777" w:rsidR="00297DED" w:rsidRPr="00297DED" w:rsidRDefault="00297DED" w:rsidP="00E37440">
      <w:pPr>
        <w:spacing w:after="240"/>
        <w:rPr>
          <w:rFonts w:ascii="Times New Roman" w:eastAsia="Times New Roman" w:hAnsi="Times New Roman" w:cs="Times New Roman"/>
          <w:bCs/>
          <w:color w:val="000000"/>
          <w:lang w:eastAsia="en-GB"/>
        </w:rPr>
      </w:pPr>
      <w:r w:rsidRPr="00297DED">
        <w:rPr>
          <w:rFonts w:ascii="Times New Roman" w:eastAsia="Times New Roman" w:hAnsi="Times New Roman" w:cs="Times New Roman"/>
          <w:color w:val="000000"/>
          <w:lang w:eastAsia="en-GB"/>
        </w:rPr>
        <w:t xml:space="preserve">Bondolfi, G., Jermann, F., Ferrero, F., Zullino, D. and Osiek, C. (2008). </w:t>
      </w:r>
      <w:r w:rsidRPr="00297DED">
        <w:rPr>
          <w:rFonts w:ascii="Times New Roman" w:eastAsia="Times New Roman" w:hAnsi="Times New Roman" w:cs="Times New Roman"/>
          <w:bCs/>
          <w:color w:val="000000"/>
          <w:lang w:eastAsia="en-GB"/>
        </w:rPr>
        <w:t xml:space="preserve">Prevalence of pathological gambling in Switzerland after the opening of casinos and the introduction of new preventive legislation. </w:t>
      </w:r>
      <w:r w:rsidRPr="00297DED">
        <w:rPr>
          <w:rFonts w:ascii="Times New Roman" w:eastAsia="Times New Roman" w:hAnsi="Times New Roman" w:cs="Times New Roman"/>
          <w:bCs/>
          <w:i/>
          <w:color w:val="000000"/>
          <w:lang w:eastAsia="en-GB"/>
        </w:rPr>
        <w:t>Acta Psychiatrica Scandinavica</w:t>
      </w:r>
      <w:r w:rsidRPr="00297DED">
        <w:rPr>
          <w:rFonts w:ascii="Times New Roman" w:eastAsia="Times New Roman" w:hAnsi="Times New Roman" w:cs="Times New Roman"/>
          <w:bCs/>
          <w:color w:val="000000"/>
          <w:lang w:eastAsia="en-GB"/>
        </w:rPr>
        <w:t>, 117(3), 236-239.</w:t>
      </w:r>
    </w:p>
    <w:p w14:paraId="67E5ECAA"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Bush, D.M. and Lipari, R.N. (2015). Substance use and substance use disorder by industry. In </w:t>
      </w:r>
      <w:r w:rsidRPr="00297DED">
        <w:rPr>
          <w:rFonts w:ascii="Times New Roman" w:eastAsia="Times New Roman" w:hAnsi="Times New Roman" w:cs="Times New Roman"/>
          <w:i/>
          <w:color w:val="000000"/>
          <w:lang w:eastAsia="en-GB"/>
        </w:rPr>
        <w:t>The CBSHQ Report</w:t>
      </w:r>
      <w:r w:rsidRPr="00297DED">
        <w:rPr>
          <w:rFonts w:ascii="Times New Roman" w:eastAsia="Times New Roman" w:hAnsi="Times New Roman" w:cs="Times New Roman"/>
          <w:color w:val="000000"/>
          <w:lang w:eastAsia="en-GB"/>
        </w:rPr>
        <w:t>, Rockyville, MD: Substance Abuse and Mental Health Services Administration.</w:t>
      </w:r>
    </w:p>
    <w:p w14:paraId="149373AA" w14:textId="369DAE6E" w:rsidR="00297DED" w:rsidRPr="00297DED" w:rsidRDefault="00297DED" w:rsidP="00E37440">
      <w:pPr>
        <w:spacing w:after="240"/>
        <w:rPr>
          <w:rFonts w:ascii="Times New Roman" w:eastAsia="Times New Roman" w:hAnsi="Times New Roman" w:cs="Times New Roman"/>
          <w:bCs/>
          <w:color w:val="000000"/>
          <w:lang w:eastAsia="en-GB"/>
        </w:rPr>
      </w:pPr>
      <w:r w:rsidRPr="00297DED">
        <w:rPr>
          <w:rFonts w:ascii="Times New Roman" w:eastAsia="Times New Roman" w:hAnsi="Times New Roman" w:cs="Times New Roman"/>
          <w:color w:val="000000"/>
          <w:lang w:eastAsia="en-GB"/>
        </w:rPr>
        <w:t xml:space="preserve">Currie, S.R., Hodgkins, D.C., Wang, J., el-Guebaly, </w:t>
      </w:r>
      <w:r w:rsidR="00666BD5">
        <w:rPr>
          <w:rFonts w:ascii="Times New Roman" w:eastAsia="Times New Roman" w:hAnsi="Times New Roman" w:cs="Times New Roman"/>
          <w:color w:val="000000"/>
          <w:lang w:eastAsia="en-GB"/>
        </w:rPr>
        <w:t xml:space="preserve">N., </w:t>
      </w:r>
      <w:r w:rsidRPr="00297DED">
        <w:rPr>
          <w:rFonts w:ascii="Times New Roman" w:eastAsia="Times New Roman" w:hAnsi="Times New Roman" w:cs="Times New Roman"/>
          <w:color w:val="000000"/>
          <w:lang w:eastAsia="en-GB"/>
        </w:rPr>
        <w:t xml:space="preserve">Wynne, H. and Chen, S. (2006). </w:t>
      </w:r>
      <w:r w:rsidRPr="00297DED">
        <w:rPr>
          <w:rFonts w:ascii="Times New Roman" w:eastAsia="Times New Roman" w:hAnsi="Times New Roman" w:cs="Times New Roman"/>
          <w:bCs/>
          <w:color w:val="000000"/>
          <w:lang w:eastAsia="en-GB"/>
        </w:rPr>
        <w:t xml:space="preserve">Risk of harm among gamblers in the general population as a function of level of participation in gambling activities. </w:t>
      </w:r>
      <w:r w:rsidRPr="00297DED">
        <w:rPr>
          <w:rFonts w:ascii="Times New Roman" w:eastAsia="Times New Roman" w:hAnsi="Times New Roman" w:cs="Times New Roman"/>
          <w:bCs/>
          <w:i/>
          <w:color w:val="000000"/>
          <w:lang w:eastAsia="en-GB"/>
        </w:rPr>
        <w:t>Addiction</w:t>
      </w:r>
      <w:r w:rsidRPr="00297DED">
        <w:rPr>
          <w:rFonts w:ascii="Times New Roman" w:eastAsia="Times New Roman" w:hAnsi="Times New Roman" w:cs="Times New Roman"/>
          <w:bCs/>
          <w:color w:val="000000"/>
          <w:lang w:eastAsia="en-GB"/>
        </w:rPr>
        <w:t>, 101(4), 570-580.</w:t>
      </w:r>
    </w:p>
    <w:p w14:paraId="734E7377"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Dangerfield, L. (2004). </w:t>
      </w:r>
      <w:r w:rsidRPr="00297DED">
        <w:rPr>
          <w:rFonts w:ascii="Times New Roman" w:eastAsia="Times New Roman" w:hAnsi="Times New Roman" w:cs="Times New Roman"/>
          <w:i/>
          <w:color w:val="000000"/>
          <w:lang w:eastAsia="en-GB"/>
        </w:rPr>
        <w:t>Job Satisfaction, Substance Use, and Gambling Behaviour of Northern Albertan Casino Employees</w:t>
      </w:r>
      <w:r w:rsidRPr="00297DED">
        <w:rPr>
          <w:rFonts w:ascii="Times New Roman" w:eastAsia="Times New Roman" w:hAnsi="Times New Roman" w:cs="Times New Roman"/>
          <w:color w:val="000000"/>
          <w:lang w:eastAsia="en-GB"/>
        </w:rPr>
        <w:t xml:space="preserve">, thesis, School of Health Sciences, University of Lethbridge, URI: </w:t>
      </w:r>
      <w:hyperlink r:id="rId9" w:history="1">
        <w:r w:rsidRPr="00297DED">
          <w:rPr>
            <w:rStyle w:val="Hyperlink"/>
            <w:rFonts w:ascii="Times New Roman" w:eastAsia="Times New Roman" w:hAnsi="Times New Roman" w:cs="Times New Roman"/>
            <w:lang w:eastAsia="en-GB"/>
          </w:rPr>
          <w:t>https://hdl.handle.net/10133/553</w:t>
        </w:r>
      </w:hyperlink>
    </w:p>
    <w:p w14:paraId="4962A097"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Delfabbro, P., Thomas, A. and Armstrong, A. (2016). Observable indicators and behaviors for the identification of problem gamblers in venue environments. </w:t>
      </w:r>
      <w:r w:rsidRPr="00297DED">
        <w:rPr>
          <w:rFonts w:ascii="Times New Roman" w:eastAsia="Times New Roman" w:hAnsi="Times New Roman" w:cs="Times New Roman"/>
          <w:i/>
          <w:color w:val="000000"/>
          <w:lang w:eastAsia="en-GB"/>
        </w:rPr>
        <w:t>Journal of Behavioral Addictions</w:t>
      </w:r>
      <w:r w:rsidRPr="00297DED">
        <w:rPr>
          <w:rFonts w:ascii="Times New Roman" w:eastAsia="Times New Roman" w:hAnsi="Times New Roman" w:cs="Times New Roman"/>
          <w:color w:val="000000"/>
          <w:lang w:eastAsia="en-GB"/>
        </w:rPr>
        <w:t xml:space="preserve">, 5(3), 419-428. </w:t>
      </w:r>
    </w:p>
    <w:p w14:paraId="07692ADA"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Ejova, A., Delfabbro, P.H. and Navarro, D.J. (2015). Erroneous Gambling-Related Beliefs as Illusions of Primary and Secondary Control: A Confirmatory Factor Analysis. </w:t>
      </w:r>
      <w:r w:rsidRPr="00297DED">
        <w:rPr>
          <w:rFonts w:ascii="Times New Roman" w:eastAsia="Times New Roman" w:hAnsi="Times New Roman" w:cs="Times New Roman"/>
          <w:i/>
          <w:color w:val="000000"/>
          <w:lang w:eastAsia="en-GB"/>
        </w:rPr>
        <w:t>Journal of Gambling Studies</w:t>
      </w:r>
      <w:r w:rsidRPr="00297DED">
        <w:rPr>
          <w:rFonts w:ascii="Times New Roman" w:eastAsia="Times New Roman" w:hAnsi="Times New Roman" w:cs="Times New Roman"/>
          <w:color w:val="000000"/>
          <w:lang w:eastAsia="en-GB"/>
        </w:rPr>
        <w:t xml:space="preserve">, 31(1), 133-160. </w:t>
      </w:r>
    </w:p>
    <w:p w14:paraId="02381784"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Guttentag, D., Harrigan, K.A., and Smith, S. (2012). Gambling by Ontario casino employees: Gambling behaviors, problem gambling and impacts of the employment. </w:t>
      </w:r>
      <w:r w:rsidRPr="00E37440">
        <w:rPr>
          <w:rFonts w:ascii="Times New Roman" w:eastAsia="Times New Roman" w:hAnsi="Times New Roman" w:cs="Times New Roman"/>
          <w:i/>
          <w:iCs/>
          <w:color w:val="000000"/>
          <w:lang w:eastAsia="en-GB"/>
        </w:rPr>
        <w:t>International Gambling Studies</w:t>
      </w:r>
      <w:r w:rsidRPr="00297DED">
        <w:rPr>
          <w:rFonts w:ascii="Times New Roman" w:eastAsia="Times New Roman" w:hAnsi="Times New Roman" w:cs="Times New Roman"/>
          <w:color w:val="000000"/>
          <w:lang w:eastAsia="en-GB"/>
        </w:rPr>
        <w:t>, 12(1), 5-22.</w:t>
      </w:r>
    </w:p>
    <w:p w14:paraId="15094FFB"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Hing, N. and Gainsbury, S. (2013). Workplace risk and protective factors for gambling problems among gambling industry employees. </w:t>
      </w:r>
      <w:r w:rsidRPr="00297DED">
        <w:rPr>
          <w:rFonts w:ascii="Times New Roman" w:eastAsia="Times New Roman" w:hAnsi="Times New Roman" w:cs="Times New Roman"/>
          <w:i/>
          <w:color w:val="000000"/>
          <w:lang w:eastAsia="en-GB"/>
        </w:rPr>
        <w:t>Journal of Business Research</w:t>
      </w:r>
      <w:r w:rsidRPr="00297DED">
        <w:rPr>
          <w:rFonts w:ascii="Times New Roman" w:eastAsia="Times New Roman" w:hAnsi="Times New Roman" w:cs="Times New Roman"/>
          <w:color w:val="000000"/>
          <w:lang w:eastAsia="en-GB"/>
        </w:rPr>
        <w:t>, 66(9), 1667-1673.</w:t>
      </w:r>
    </w:p>
    <w:p w14:paraId="47A1CB11" w14:textId="20097132"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Hing, N. and Nisbet, S. (2009). </w:t>
      </w:r>
      <w:r w:rsidRPr="00297DED">
        <w:rPr>
          <w:rFonts w:ascii="Times New Roman" w:eastAsia="Times New Roman" w:hAnsi="Times New Roman" w:cs="Times New Roman"/>
          <w:i/>
          <w:color w:val="000000"/>
          <w:lang w:eastAsia="en-GB"/>
        </w:rPr>
        <w:t xml:space="preserve">Testing the </w:t>
      </w:r>
      <w:r w:rsidR="00666BD5">
        <w:rPr>
          <w:rFonts w:ascii="Times New Roman" w:eastAsia="Times New Roman" w:hAnsi="Times New Roman" w:cs="Times New Roman"/>
          <w:i/>
          <w:color w:val="000000"/>
          <w:lang w:eastAsia="en-GB"/>
        </w:rPr>
        <w:t>l</w:t>
      </w:r>
      <w:r w:rsidRPr="00297DED">
        <w:rPr>
          <w:rFonts w:ascii="Times New Roman" w:eastAsia="Times New Roman" w:hAnsi="Times New Roman" w:cs="Times New Roman"/>
          <w:i/>
          <w:color w:val="000000"/>
          <w:lang w:eastAsia="en-GB"/>
        </w:rPr>
        <w:t xml:space="preserve">ink between </w:t>
      </w:r>
      <w:r w:rsidR="00666BD5">
        <w:rPr>
          <w:rFonts w:ascii="Times New Roman" w:eastAsia="Times New Roman" w:hAnsi="Times New Roman" w:cs="Times New Roman"/>
          <w:i/>
          <w:color w:val="000000"/>
          <w:lang w:eastAsia="en-GB"/>
        </w:rPr>
        <w:t>a</w:t>
      </w:r>
      <w:r w:rsidRPr="00297DED">
        <w:rPr>
          <w:rFonts w:ascii="Times New Roman" w:eastAsia="Times New Roman" w:hAnsi="Times New Roman" w:cs="Times New Roman"/>
          <w:i/>
          <w:color w:val="000000"/>
          <w:lang w:eastAsia="en-GB"/>
        </w:rPr>
        <w:t xml:space="preserve">ccessibility and gambling problems: Gambling and </w:t>
      </w:r>
      <w:r w:rsidR="00666BD5">
        <w:rPr>
          <w:rFonts w:ascii="Times New Roman" w:eastAsia="Times New Roman" w:hAnsi="Times New Roman" w:cs="Times New Roman"/>
          <w:i/>
          <w:color w:val="000000"/>
          <w:lang w:eastAsia="en-GB"/>
        </w:rPr>
        <w:t>p</w:t>
      </w:r>
      <w:r w:rsidRPr="00297DED">
        <w:rPr>
          <w:rFonts w:ascii="Times New Roman" w:eastAsia="Times New Roman" w:hAnsi="Times New Roman" w:cs="Times New Roman"/>
          <w:i/>
          <w:color w:val="000000"/>
          <w:lang w:eastAsia="en-GB"/>
        </w:rPr>
        <w:t xml:space="preserve">roblem </w:t>
      </w:r>
      <w:r w:rsidR="00666BD5">
        <w:rPr>
          <w:rFonts w:ascii="Times New Roman" w:eastAsia="Times New Roman" w:hAnsi="Times New Roman" w:cs="Times New Roman"/>
          <w:i/>
          <w:color w:val="000000"/>
          <w:lang w:eastAsia="en-GB"/>
        </w:rPr>
        <w:t>g</w:t>
      </w:r>
      <w:r w:rsidRPr="00297DED">
        <w:rPr>
          <w:rFonts w:ascii="Times New Roman" w:eastAsia="Times New Roman" w:hAnsi="Times New Roman" w:cs="Times New Roman"/>
          <w:i/>
          <w:color w:val="000000"/>
          <w:lang w:eastAsia="en-GB"/>
        </w:rPr>
        <w:t xml:space="preserve">ambling amongst </w:t>
      </w:r>
      <w:r w:rsidR="00666BD5">
        <w:rPr>
          <w:rFonts w:ascii="Times New Roman" w:eastAsia="Times New Roman" w:hAnsi="Times New Roman" w:cs="Times New Roman"/>
          <w:i/>
          <w:color w:val="000000"/>
          <w:lang w:eastAsia="en-GB"/>
        </w:rPr>
        <w:t>g</w:t>
      </w:r>
      <w:r w:rsidRPr="00297DED">
        <w:rPr>
          <w:rFonts w:ascii="Times New Roman" w:eastAsia="Times New Roman" w:hAnsi="Times New Roman" w:cs="Times New Roman"/>
          <w:i/>
          <w:color w:val="000000"/>
          <w:lang w:eastAsia="en-GB"/>
        </w:rPr>
        <w:t xml:space="preserve">aming </w:t>
      </w:r>
      <w:r w:rsidR="00666BD5">
        <w:rPr>
          <w:rFonts w:ascii="Times New Roman" w:eastAsia="Times New Roman" w:hAnsi="Times New Roman" w:cs="Times New Roman"/>
          <w:i/>
          <w:color w:val="000000"/>
          <w:lang w:eastAsia="en-GB"/>
        </w:rPr>
        <w:t>v</w:t>
      </w:r>
      <w:r w:rsidRPr="00297DED">
        <w:rPr>
          <w:rFonts w:ascii="Times New Roman" w:eastAsia="Times New Roman" w:hAnsi="Times New Roman" w:cs="Times New Roman"/>
          <w:i/>
          <w:color w:val="000000"/>
          <w:lang w:eastAsia="en-GB"/>
        </w:rPr>
        <w:t xml:space="preserve">enue </w:t>
      </w:r>
      <w:r w:rsidR="00666BD5">
        <w:rPr>
          <w:rFonts w:ascii="Times New Roman" w:eastAsia="Times New Roman" w:hAnsi="Times New Roman" w:cs="Times New Roman"/>
          <w:i/>
          <w:color w:val="000000"/>
          <w:lang w:eastAsia="en-GB"/>
        </w:rPr>
        <w:t>s</w:t>
      </w:r>
      <w:r w:rsidRPr="00297DED">
        <w:rPr>
          <w:rFonts w:ascii="Times New Roman" w:eastAsia="Times New Roman" w:hAnsi="Times New Roman" w:cs="Times New Roman"/>
          <w:i/>
          <w:color w:val="000000"/>
          <w:lang w:eastAsia="en-GB"/>
        </w:rPr>
        <w:t>taff</w:t>
      </w:r>
      <w:r w:rsidRPr="00297DED">
        <w:rPr>
          <w:rFonts w:ascii="Times New Roman" w:eastAsia="Times New Roman" w:hAnsi="Times New Roman" w:cs="Times New Roman"/>
          <w:color w:val="000000"/>
          <w:lang w:eastAsia="en-GB"/>
        </w:rPr>
        <w:t>, peer-reviewed research report, Office of Gaming and Racing, Victoria, Australia.</w:t>
      </w:r>
    </w:p>
    <w:p w14:paraId="6145FE61"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Institute for the Study of Commercial Gaming University of Macau (2017). </w:t>
      </w:r>
      <w:r w:rsidRPr="00297DED">
        <w:rPr>
          <w:rFonts w:ascii="Times New Roman" w:eastAsia="Times New Roman" w:hAnsi="Times New Roman" w:cs="Times New Roman"/>
          <w:i/>
          <w:color w:val="000000"/>
          <w:lang w:eastAsia="en-GB"/>
        </w:rPr>
        <w:t>Responsible Gambling Awareness Survey 2017</w:t>
      </w:r>
      <w:r w:rsidRPr="00297DED">
        <w:rPr>
          <w:rFonts w:ascii="Times New Roman" w:eastAsia="Times New Roman" w:hAnsi="Times New Roman" w:cs="Times New Roman"/>
          <w:color w:val="000000"/>
          <w:lang w:eastAsia="en-GB"/>
        </w:rPr>
        <w:t>. Retrieved from: http://iasweb.ias.gov.mo/cvf/en/annualReport/survey2017_en.pdf</w:t>
      </w:r>
    </w:p>
    <w:p w14:paraId="14CD2351" w14:textId="77777777" w:rsidR="00297DED" w:rsidRPr="00297DED" w:rsidRDefault="00297DED" w:rsidP="00E37440">
      <w:pPr>
        <w:spacing w:after="240"/>
        <w:rPr>
          <w:rFonts w:ascii="Times New Roman" w:eastAsia="Times New Roman" w:hAnsi="Times New Roman" w:cs="Times New Roman"/>
          <w:bCs/>
          <w:color w:val="000000"/>
          <w:lang w:eastAsia="en-GB"/>
        </w:rPr>
      </w:pPr>
      <w:r w:rsidRPr="00297DED">
        <w:rPr>
          <w:rFonts w:ascii="Times New Roman" w:eastAsia="Times New Roman" w:hAnsi="Times New Roman" w:cs="Times New Roman"/>
          <w:color w:val="000000"/>
          <w:lang w:eastAsia="en-GB"/>
        </w:rPr>
        <w:t xml:space="preserve">Jacques, C. and Ladouceur, R. (2006). </w:t>
      </w:r>
      <w:r w:rsidRPr="00297DED">
        <w:rPr>
          <w:rFonts w:ascii="Times New Roman" w:eastAsia="Times New Roman" w:hAnsi="Times New Roman" w:cs="Times New Roman"/>
          <w:bCs/>
          <w:color w:val="000000"/>
          <w:lang w:eastAsia="en-GB"/>
        </w:rPr>
        <w:t xml:space="preserve">A prospective study of the impact of opening a casino on gambling behaviours: 2- and 4-Year Follow-ups. </w:t>
      </w:r>
      <w:r w:rsidRPr="00297DED">
        <w:rPr>
          <w:rFonts w:ascii="Times New Roman" w:eastAsia="Times New Roman" w:hAnsi="Times New Roman" w:cs="Times New Roman"/>
          <w:bCs/>
          <w:i/>
          <w:color w:val="000000"/>
          <w:lang w:eastAsia="en-GB"/>
        </w:rPr>
        <w:t>Canadian Journal of Psychiatry</w:t>
      </w:r>
      <w:r w:rsidRPr="00297DED">
        <w:rPr>
          <w:rFonts w:ascii="Times New Roman" w:eastAsia="Times New Roman" w:hAnsi="Times New Roman" w:cs="Times New Roman"/>
          <w:bCs/>
          <w:color w:val="000000"/>
          <w:lang w:eastAsia="en-GB"/>
        </w:rPr>
        <w:t>, 51(12), 764-773.</w:t>
      </w:r>
    </w:p>
    <w:p w14:paraId="0ADD4631"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LaPlante, D.A., Gray, H.M., Williams, P.M. and Nelson, S.E. (2018). An empirical review of gambling expansion and gambling-related harm. </w:t>
      </w:r>
      <w:r w:rsidRPr="00297DED">
        <w:rPr>
          <w:rFonts w:ascii="Times New Roman" w:eastAsia="Times New Roman" w:hAnsi="Times New Roman" w:cs="Times New Roman"/>
          <w:i/>
          <w:color w:val="000000"/>
          <w:lang w:eastAsia="en-GB"/>
        </w:rPr>
        <w:t>Sucht</w:t>
      </w:r>
      <w:r w:rsidRPr="00297DED">
        <w:rPr>
          <w:rFonts w:ascii="Times New Roman" w:eastAsia="Times New Roman" w:hAnsi="Times New Roman" w:cs="Times New Roman"/>
          <w:color w:val="000000"/>
          <w:lang w:eastAsia="en-GB"/>
        </w:rPr>
        <w:t>, 64(5-6), 295-306.</w:t>
      </w:r>
    </w:p>
    <w:p w14:paraId="0BCCCF0D"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LaPlante, D.A. and Shaffer, H.J. (2007). Understanding the influence of gambling opportunities: Expanding exposure models to include adaptation. </w:t>
      </w:r>
      <w:r w:rsidRPr="00297DED">
        <w:rPr>
          <w:rFonts w:ascii="Times New Roman" w:eastAsia="Times New Roman" w:hAnsi="Times New Roman" w:cs="Times New Roman"/>
          <w:i/>
          <w:color w:val="000000"/>
          <w:lang w:eastAsia="en-GB"/>
        </w:rPr>
        <w:t>American Journal of Orthopsychiatry</w:t>
      </w:r>
      <w:r w:rsidRPr="00297DED">
        <w:rPr>
          <w:rFonts w:ascii="Times New Roman" w:eastAsia="Times New Roman" w:hAnsi="Times New Roman" w:cs="Times New Roman"/>
          <w:color w:val="000000"/>
          <w:lang w:eastAsia="en-GB"/>
        </w:rPr>
        <w:t>, 77(4), 616-623.</w:t>
      </w:r>
    </w:p>
    <w:p w14:paraId="06E87CFA"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Lee, T.K., LaBrie, R.A., Rhee, H.S. and Shaffer, H.J. (2008). A study of South Korean casino employees and gambling problems. Occupational Medicine, 58(3), 191-197.</w:t>
      </w:r>
    </w:p>
    <w:p w14:paraId="039FC7E8"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Leonard, C.A. and Williams, R.J. (2016). The relationship between gambling fallacies and problem gambling. </w:t>
      </w:r>
      <w:r w:rsidRPr="00297DED">
        <w:rPr>
          <w:rFonts w:ascii="Times New Roman" w:eastAsia="Times New Roman" w:hAnsi="Times New Roman" w:cs="Times New Roman"/>
          <w:i/>
          <w:color w:val="000000"/>
          <w:lang w:eastAsia="en-GB"/>
        </w:rPr>
        <w:t>Psychology of Addictive Behaviors</w:t>
      </w:r>
      <w:r w:rsidRPr="00297DED">
        <w:rPr>
          <w:rFonts w:ascii="Times New Roman" w:eastAsia="Times New Roman" w:hAnsi="Times New Roman" w:cs="Times New Roman"/>
          <w:color w:val="000000"/>
          <w:lang w:eastAsia="en-GB"/>
        </w:rPr>
        <w:t>, 30(6), 694-704.</w:t>
      </w:r>
    </w:p>
    <w:p w14:paraId="4BC43CED"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Merlo, L.J., Cummings, S.M. and Cottler, L.B. (2012). Recovering substance-impaired pharmacists’ views regarding occupational risks for addiction. </w:t>
      </w:r>
      <w:r w:rsidRPr="00297DED">
        <w:rPr>
          <w:rFonts w:ascii="Times New Roman" w:eastAsia="Times New Roman" w:hAnsi="Times New Roman" w:cs="Times New Roman"/>
          <w:i/>
          <w:color w:val="000000"/>
          <w:lang w:eastAsia="en-GB"/>
        </w:rPr>
        <w:t>Journal of the American Pharmacists Association</w:t>
      </w:r>
      <w:r w:rsidRPr="00297DED">
        <w:rPr>
          <w:rFonts w:ascii="Times New Roman" w:eastAsia="Times New Roman" w:hAnsi="Times New Roman" w:cs="Times New Roman"/>
          <w:color w:val="000000"/>
          <w:lang w:eastAsia="en-GB"/>
        </w:rPr>
        <w:t>, 52(4), 480-491.</w:t>
      </w:r>
    </w:p>
    <w:p w14:paraId="4E200921" w14:textId="77777777" w:rsidR="00297DED" w:rsidRPr="00297DED" w:rsidRDefault="00297DED" w:rsidP="00E37440">
      <w:pPr>
        <w:spacing w:after="240"/>
        <w:rPr>
          <w:rFonts w:ascii="Times New Roman" w:eastAsia="Times New Roman" w:hAnsi="Times New Roman" w:cs="Times New Roman"/>
          <w:color w:val="000000"/>
          <w:u w:val="single"/>
          <w:lang w:eastAsia="en-GB"/>
        </w:rPr>
      </w:pPr>
      <w:r w:rsidRPr="00297DED">
        <w:rPr>
          <w:rFonts w:ascii="Times New Roman" w:eastAsia="Times New Roman" w:hAnsi="Times New Roman" w:cs="Times New Roman"/>
          <w:color w:val="000000"/>
          <w:lang w:eastAsia="en-GB"/>
        </w:rPr>
        <w:t xml:space="preserve">Nevada Department of Employment, Training and Rehabilitation (2019). Research and Analysis Bureau sub-state Report. Retrieved from </w:t>
      </w:r>
      <w:hyperlink r:id="rId10" w:history="1">
        <w:r w:rsidRPr="00297DED">
          <w:rPr>
            <w:rStyle w:val="Hyperlink"/>
            <w:rFonts w:ascii="Times New Roman" w:eastAsia="Times New Roman" w:hAnsi="Times New Roman" w:cs="Times New Roman"/>
            <w:lang w:eastAsia="en-GB"/>
          </w:rPr>
          <w:t>http://nevadaworkforce.com/Portals/197/Labor%20Market%20Overview/Current_Sub-State_Release.pdf</w:t>
        </w:r>
      </w:hyperlink>
    </w:p>
    <w:p w14:paraId="4C5486DF" w14:textId="77777777" w:rsidR="00297DED" w:rsidRPr="00297DED" w:rsidRDefault="00297DED" w:rsidP="00E37440">
      <w:pPr>
        <w:spacing w:after="240"/>
        <w:rPr>
          <w:rFonts w:ascii="Times New Roman" w:eastAsia="Times New Roman" w:hAnsi="Times New Roman" w:cs="Times New Roman"/>
          <w:b/>
          <w:bCs/>
          <w:color w:val="000000"/>
          <w:lang w:eastAsia="en-GB"/>
        </w:rPr>
      </w:pPr>
      <w:r w:rsidRPr="00297DED">
        <w:rPr>
          <w:rFonts w:ascii="Times New Roman" w:eastAsia="Times New Roman" w:hAnsi="Times New Roman" w:cs="Times New Roman"/>
          <w:color w:val="000000"/>
          <w:lang w:eastAsia="en-GB"/>
        </w:rPr>
        <w:t xml:space="preserve">Parke, A., Harris, A., Parke, J. And Goddard, P. (2016). </w:t>
      </w:r>
      <w:r w:rsidRPr="00297DED">
        <w:rPr>
          <w:rFonts w:ascii="Times New Roman" w:eastAsia="Times New Roman" w:hAnsi="Times New Roman" w:cs="Times New Roman"/>
          <w:bCs/>
          <w:color w:val="000000"/>
          <w:lang w:eastAsia="en-GB"/>
        </w:rPr>
        <w:t xml:space="preserve">Understanding within-session loss-chasing: An experimental investigation of the impact of stake size on cognitive control. </w:t>
      </w:r>
      <w:r w:rsidRPr="00297DED">
        <w:rPr>
          <w:rFonts w:ascii="Times New Roman" w:eastAsia="Times New Roman" w:hAnsi="Times New Roman" w:cs="Times New Roman"/>
          <w:bCs/>
          <w:i/>
          <w:color w:val="000000"/>
          <w:lang w:eastAsia="en-GB"/>
        </w:rPr>
        <w:t>Journal of Gambling Studies</w:t>
      </w:r>
      <w:r w:rsidRPr="00297DED">
        <w:rPr>
          <w:rFonts w:ascii="Times New Roman" w:eastAsia="Times New Roman" w:hAnsi="Times New Roman" w:cs="Times New Roman"/>
          <w:bCs/>
          <w:color w:val="000000"/>
          <w:lang w:eastAsia="en-GB"/>
        </w:rPr>
        <w:t>, 32(2), 721-735.</w:t>
      </w:r>
    </w:p>
    <w:p w14:paraId="2B9B419F" w14:textId="77777777" w:rsidR="00297DED" w:rsidRPr="00297DED" w:rsidRDefault="00297DED" w:rsidP="00E37440">
      <w:pPr>
        <w:spacing w:after="240"/>
        <w:rPr>
          <w:rFonts w:ascii="Times New Roman" w:eastAsia="Times New Roman" w:hAnsi="Times New Roman" w:cs="Times New Roman"/>
          <w:bCs/>
          <w:color w:val="000000"/>
          <w:lang w:eastAsia="en-GB"/>
        </w:rPr>
      </w:pPr>
      <w:r w:rsidRPr="00297DED">
        <w:rPr>
          <w:rFonts w:ascii="Times New Roman" w:eastAsia="Times New Roman" w:hAnsi="Times New Roman" w:cs="Times New Roman"/>
          <w:color w:val="000000"/>
          <w:lang w:eastAsia="en-GB"/>
        </w:rPr>
        <w:t xml:space="preserve">Philander, K.S. (2019). </w:t>
      </w:r>
      <w:r w:rsidRPr="00297DED">
        <w:rPr>
          <w:rFonts w:ascii="Times New Roman" w:eastAsia="Times New Roman" w:hAnsi="Times New Roman" w:cs="Times New Roman"/>
          <w:bCs/>
          <w:color w:val="000000"/>
          <w:lang w:eastAsia="en-GB"/>
        </w:rPr>
        <w:t xml:space="preserve">Regional impacts of casino availability on gambling problems: Evidence from the Canadian Community Health Survey. </w:t>
      </w:r>
      <w:r w:rsidRPr="00297DED">
        <w:rPr>
          <w:rFonts w:ascii="Times New Roman" w:eastAsia="Times New Roman" w:hAnsi="Times New Roman" w:cs="Times New Roman"/>
          <w:bCs/>
          <w:i/>
          <w:color w:val="000000"/>
          <w:lang w:eastAsia="en-GB"/>
        </w:rPr>
        <w:t>Tourism Management</w:t>
      </w:r>
      <w:r w:rsidRPr="00297DED">
        <w:rPr>
          <w:rFonts w:ascii="Times New Roman" w:eastAsia="Times New Roman" w:hAnsi="Times New Roman" w:cs="Times New Roman"/>
          <w:bCs/>
          <w:color w:val="000000"/>
          <w:lang w:eastAsia="en-GB"/>
        </w:rPr>
        <w:t>, 71, 173-178.</w:t>
      </w:r>
    </w:p>
    <w:p w14:paraId="44528441"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Schellinck, T., and Schrans, T. (2004). Identifying problem gamblers at the gambling venue: Finding combinations of high confidence indicators. </w:t>
      </w:r>
      <w:r w:rsidRPr="00297DED">
        <w:rPr>
          <w:rFonts w:ascii="Times New Roman" w:eastAsia="Times New Roman" w:hAnsi="Times New Roman" w:cs="Times New Roman"/>
          <w:i/>
          <w:color w:val="000000"/>
          <w:lang w:eastAsia="en-GB"/>
        </w:rPr>
        <w:t>Gambling Research</w:t>
      </w:r>
      <w:r w:rsidRPr="00297DED">
        <w:rPr>
          <w:rFonts w:ascii="Times New Roman" w:eastAsia="Times New Roman" w:hAnsi="Times New Roman" w:cs="Times New Roman"/>
          <w:color w:val="000000"/>
          <w:lang w:eastAsia="en-GB"/>
        </w:rPr>
        <w:t>, 16(1), 18-24.</w:t>
      </w:r>
    </w:p>
    <w:p w14:paraId="5A1A25E1"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Shaffer, H.J. and Hall, M.N. (2002). The natural history of gambling and drinking problems among casino employees. </w:t>
      </w:r>
      <w:r w:rsidRPr="00297DED">
        <w:rPr>
          <w:rFonts w:ascii="Times New Roman" w:eastAsia="Times New Roman" w:hAnsi="Times New Roman" w:cs="Times New Roman"/>
          <w:i/>
          <w:color w:val="000000"/>
          <w:lang w:eastAsia="en-GB"/>
        </w:rPr>
        <w:t>Journal of Social Psychology</w:t>
      </w:r>
      <w:r w:rsidRPr="00297DED">
        <w:rPr>
          <w:rFonts w:ascii="Times New Roman" w:eastAsia="Times New Roman" w:hAnsi="Times New Roman" w:cs="Times New Roman"/>
          <w:color w:val="000000"/>
          <w:lang w:eastAsia="en-GB"/>
        </w:rPr>
        <w:t>, 142(4), 405-424.</w:t>
      </w:r>
    </w:p>
    <w:p w14:paraId="0CD5E925"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Shaffer, H.J. and Korn (2002). Gambling and related mental disorders: A public health analysis. </w:t>
      </w:r>
      <w:r w:rsidRPr="00297DED">
        <w:rPr>
          <w:rFonts w:ascii="Times New Roman" w:eastAsia="Times New Roman" w:hAnsi="Times New Roman" w:cs="Times New Roman"/>
          <w:i/>
          <w:color w:val="000000"/>
          <w:lang w:eastAsia="en-GB"/>
        </w:rPr>
        <w:t>Annual Review of Public Health</w:t>
      </w:r>
      <w:r w:rsidRPr="00297DED">
        <w:rPr>
          <w:rFonts w:ascii="Times New Roman" w:eastAsia="Times New Roman" w:hAnsi="Times New Roman" w:cs="Times New Roman"/>
          <w:color w:val="000000"/>
          <w:lang w:eastAsia="en-GB"/>
        </w:rPr>
        <w:t>, 23(1), 171-212.</w:t>
      </w:r>
    </w:p>
    <w:p w14:paraId="0098620B" w14:textId="77777777" w:rsidR="00297DED" w:rsidRPr="00297DED" w:rsidRDefault="00297DED" w:rsidP="00E37440">
      <w:pPr>
        <w:spacing w:after="240"/>
        <w:rPr>
          <w:rFonts w:ascii="Times New Roman" w:eastAsia="Times New Roman" w:hAnsi="Times New Roman" w:cs="Times New Roman"/>
          <w:b/>
          <w:bCs/>
          <w:color w:val="000000"/>
          <w:lang w:eastAsia="en-GB"/>
        </w:rPr>
      </w:pPr>
      <w:r w:rsidRPr="00297DED">
        <w:rPr>
          <w:rFonts w:ascii="Times New Roman" w:eastAsia="Times New Roman" w:hAnsi="Times New Roman" w:cs="Times New Roman"/>
          <w:color w:val="000000"/>
          <w:lang w:eastAsia="en-GB"/>
        </w:rPr>
        <w:t xml:space="preserve">Shaffer, H.J., LaBrie, R.A. and LaPlante, D. (2004). </w:t>
      </w:r>
      <w:r w:rsidRPr="00297DED">
        <w:rPr>
          <w:rFonts w:ascii="Times New Roman" w:eastAsia="Times New Roman" w:hAnsi="Times New Roman" w:cs="Times New Roman"/>
          <w:bCs/>
          <w:color w:val="000000"/>
          <w:lang w:eastAsia="en-GB"/>
        </w:rPr>
        <w:t xml:space="preserve">Laying the foundation for quantifying regional exposure to social phenomena: Considering the case of legalized gambling as a public health toxin. </w:t>
      </w:r>
      <w:r w:rsidRPr="00297DED">
        <w:rPr>
          <w:rFonts w:ascii="Times New Roman" w:eastAsia="Times New Roman" w:hAnsi="Times New Roman" w:cs="Times New Roman"/>
          <w:bCs/>
          <w:i/>
          <w:color w:val="000000"/>
          <w:lang w:eastAsia="en-GB"/>
        </w:rPr>
        <w:t>Psychology of Addictive Behaviors</w:t>
      </w:r>
      <w:r w:rsidRPr="00297DED">
        <w:rPr>
          <w:rFonts w:ascii="Times New Roman" w:eastAsia="Times New Roman" w:hAnsi="Times New Roman" w:cs="Times New Roman"/>
          <w:bCs/>
          <w:color w:val="000000"/>
          <w:lang w:eastAsia="en-GB"/>
        </w:rPr>
        <w:t>, 18(1), 40-48.</w:t>
      </w:r>
    </w:p>
    <w:p w14:paraId="26EBF63C" w14:textId="25484144"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Sheng M., </w:t>
      </w:r>
      <w:r w:rsidR="00666BD5">
        <w:rPr>
          <w:rFonts w:ascii="Times New Roman" w:eastAsia="Times New Roman" w:hAnsi="Times New Roman" w:cs="Times New Roman"/>
          <w:color w:val="000000"/>
          <w:lang w:eastAsia="en-GB"/>
        </w:rPr>
        <w:t>and</w:t>
      </w:r>
      <w:r w:rsidRPr="00297DED">
        <w:rPr>
          <w:rFonts w:ascii="Times New Roman" w:eastAsia="Times New Roman" w:hAnsi="Times New Roman" w:cs="Times New Roman"/>
          <w:color w:val="000000"/>
          <w:lang w:eastAsia="en-GB"/>
        </w:rPr>
        <w:t xml:space="preserve"> Gu, C. (2018). Economic growth and development in Macau (1996-2016): The role of the booming gaming industry. </w:t>
      </w:r>
      <w:r w:rsidRPr="00297DED">
        <w:rPr>
          <w:rFonts w:ascii="Times New Roman" w:eastAsia="Times New Roman" w:hAnsi="Times New Roman" w:cs="Times New Roman"/>
          <w:i/>
          <w:color w:val="000000"/>
          <w:lang w:eastAsia="en-GB"/>
        </w:rPr>
        <w:t>Cities</w:t>
      </w:r>
      <w:r w:rsidRPr="00297DED">
        <w:rPr>
          <w:rFonts w:ascii="Times New Roman" w:eastAsia="Times New Roman" w:hAnsi="Times New Roman" w:cs="Times New Roman"/>
          <w:color w:val="000000"/>
          <w:lang w:eastAsia="en-GB"/>
        </w:rPr>
        <w:t>, 75, 72-80.</w:t>
      </w:r>
    </w:p>
    <w:p w14:paraId="7BC9D7F0"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Statistical Information Service of Macao (2019). </w:t>
      </w:r>
      <w:r w:rsidRPr="00297DED">
        <w:rPr>
          <w:rFonts w:ascii="Times New Roman" w:eastAsia="Times New Roman" w:hAnsi="Times New Roman" w:cs="Times New Roman"/>
          <w:i/>
          <w:color w:val="000000"/>
          <w:lang w:eastAsia="en-GB"/>
        </w:rPr>
        <w:t>Statistics on Labor Force</w:t>
      </w:r>
      <w:r w:rsidRPr="00297DED">
        <w:rPr>
          <w:rFonts w:ascii="Times New Roman" w:eastAsia="Times New Roman" w:hAnsi="Times New Roman" w:cs="Times New Roman"/>
          <w:color w:val="000000"/>
          <w:lang w:eastAsia="en-GB"/>
        </w:rPr>
        <w:t xml:space="preserve">. Retrieved from: </w:t>
      </w:r>
      <w:hyperlink r:id="rId11" w:history="1">
        <w:r w:rsidRPr="00297DED">
          <w:rPr>
            <w:rStyle w:val="Hyperlink"/>
            <w:rFonts w:ascii="Times New Roman" w:eastAsia="Times New Roman" w:hAnsi="Times New Roman" w:cs="Times New Roman"/>
            <w:lang w:eastAsia="en-GB"/>
          </w:rPr>
          <w:t>https://www.dsal.gov.mo/en/standard/download_statistics/folder/root.html</w:t>
        </w:r>
      </w:hyperlink>
    </w:p>
    <w:p w14:paraId="547EEA8A" w14:textId="55DAE91F" w:rsidR="00866D08" w:rsidRPr="00866D08" w:rsidRDefault="00866D08" w:rsidP="00E37440">
      <w:pPr>
        <w:spacing w:after="240"/>
        <w:rPr>
          <w:rFonts w:ascii="Times New Roman" w:eastAsia="Times New Roman" w:hAnsi="Times New Roman" w:cs="Times New Roman"/>
          <w:color w:val="000000"/>
          <w:lang w:eastAsia="en-GB"/>
        </w:rPr>
      </w:pPr>
      <w:commentRangeStart w:id="6"/>
      <w:r w:rsidRPr="00866D08">
        <w:rPr>
          <w:rFonts w:ascii="Times New Roman" w:eastAsia="Times New Roman" w:hAnsi="Times New Roman" w:cs="Times New Roman"/>
          <w:color w:val="000000"/>
          <w:lang w:eastAsia="en-GB"/>
        </w:rPr>
        <w:t>Statistics</w:t>
      </w:r>
      <w:commentRangeEnd w:id="6"/>
      <w:r>
        <w:rPr>
          <w:rStyle w:val="CommentReference"/>
        </w:rPr>
        <w:commentReference w:id="6"/>
      </w:r>
      <w:r w:rsidRPr="00866D08">
        <w:rPr>
          <w:rFonts w:ascii="Times New Roman" w:eastAsia="Times New Roman" w:hAnsi="Times New Roman" w:cs="Times New Roman"/>
          <w:color w:val="000000"/>
          <w:lang w:eastAsia="en-GB"/>
        </w:rPr>
        <w:t xml:space="preserve"> and Census Service of Government of Macao Special Administrative Region (2019). </w:t>
      </w:r>
      <w:r w:rsidRPr="00866D08">
        <w:rPr>
          <w:rFonts w:ascii="Times New Roman" w:eastAsia="Times New Roman" w:hAnsi="Times New Roman" w:cs="Times New Roman"/>
          <w:i/>
          <w:iCs/>
          <w:color w:val="000000"/>
          <w:lang w:eastAsia="en-GB"/>
        </w:rPr>
        <w:t>Statistics Database</w:t>
      </w:r>
      <w:r w:rsidRPr="00866D08">
        <w:rPr>
          <w:rFonts w:ascii="MS Gothic" w:eastAsia="MS Gothic" w:hAnsi="MS Gothic" w:cs="MS Gothic" w:hint="eastAsia"/>
          <w:i/>
          <w:iCs/>
          <w:color w:val="000000"/>
          <w:lang w:eastAsia="en-GB"/>
        </w:rPr>
        <w:t>：</w:t>
      </w:r>
      <w:r w:rsidRPr="00866D08">
        <w:rPr>
          <w:rFonts w:ascii="Times New Roman" w:eastAsia="Times New Roman" w:hAnsi="Times New Roman" w:cs="Times New Roman" w:hint="eastAsia"/>
          <w:i/>
          <w:iCs/>
          <w:color w:val="000000"/>
          <w:lang w:eastAsia="en-GB"/>
        </w:rPr>
        <w:t>Tour</w:t>
      </w:r>
      <w:r w:rsidRPr="00866D08">
        <w:rPr>
          <w:rFonts w:ascii="Times New Roman" w:eastAsia="Times New Roman" w:hAnsi="Times New Roman" w:cs="Times New Roman"/>
          <w:i/>
          <w:iCs/>
          <w:color w:val="000000"/>
          <w:lang w:eastAsia="en-GB"/>
        </w:rPr>
        <w:t>ism and Services:gaming</w:t>
      </w:r>
      <w:r w:rsidRPr="00866D08">
        <w:rPr>
          <w:rFonts w:ascii="Times New Roman" w:eastAsia="Times New Roman" w:hAnsi="Times New Roman" w:cs="Times New Roman"/>
          <w:color w:val="000000"/>
          <w:lang w:eastAsia="en-GB"/>
        </w:rPr>
        <w:t xml:space="preserve">. Retrieved from: </w:t>
      </w:r>
      <w:hyperlink r:id="rId12" w:history="1">
        <w:r w:rsidRPr="00866D08">
          <w:rPr>
            <w:rStyle w:val="Hyperlink"/>
            <w:rFonts w:ascii="Times New Roman" w:eastAsia="Times New Roman" w:hAnsi="Times New Roman" w:cs="Times New Roman"/>
            <w:lang w:eastAsia="en-GB"/>
          </w:rPr>
          <w:t>https://www.dsec.gov.mo/TimeSeriesDatabase.aspx</w:t>
        </w:r>
      </w:hyperlink>
      <w:r w:rsidRPr="00866D08">
        <w:rPr>
          <w:rFonts w:ascii="Times New Roman" w:eastAsia="Times New Roman" w:hAnsi="Times New Roman" w:cs="Times New Roman"/>
          <w:color w:val="000000"/>
          <w:lang w:eastAsia="en-GB"/>
        </w:rPr>
        <w:t xml:space="preserve">  </w:t>
      </w:r>
    </w:p>
    <w:p w14:paraId="5E965A24" w14:textId="51982BAE"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Storer, J., Abbott, M. and Stubbs, J. (2009). Access or adaptation? A meta-analysis of surveys of problem gambling prevalence in Australia and New Zealand with respect to concentration of electronic gaming machines. </w:t>
      </w:r>
      <w:r w:rsidRPr="00297DED">
        <w:rPr>
          <w:rFonts w:ascii="Times New Roman" w:eastAsia="Times New Roman" w:hAnsi="Times New Roman" w:cs="Times New Roman"/>
          <w:i/>
          <w:color w:val="000000"/>
          <w:lang w:eastAsia="en-GB"/>
        </w:rPr>
        <w:t>International Gambling Studies</w:t>
      </w:r>
      <w:r w:rsidRPr="00297DED">
        <w:rPr>
          <w:rFonts w:ascii="Times New Roman" w:eastAsia="Times New Roman" w:hAnsi="Times New Roman" w:cs="Times New Roman"/>
          <w:color w:val="000000"/>
          <w:lang w:eastAsia="en-GB"/>
        </w:rPr>
        <w:t>, 9(3), 225-244.</w:t>
      </w:r>
    </w:p>
    <w:p w14:paraId="51F91473"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Welte, J.W., Wieczorek, W.F., Barnes, G., Tidwell, M.-C., and Hoffman, J.H. (2004). The relationship of ecological and geographic factors to gambling behavior and pathology. </w:t>
      </w:r>
      <w:r w:rsidRPr="00297DED">
        <w:rPr>
          <w:rFonts w:ascii="Times New Roman" w:eastAsia="Times New Roman" w:hAnsi="Times New Roman" w:cs="Times New Roman"/>
          <w:i/>
          <w:color w:val="000000"/>
          <w:lang w:eastAsia="en-GB"/>
        </w:rPr>
        <w:t>Journal of Gambling Studies</w:t>
      </w:r>
      <w:r w:rsidRPr="00297DED">
        <w:rPr>
          <w:rFonts w:ascii="Times New Roman" w:eastAsia="Times New Roman" w:hAnsi="Times New Roman" w:cs="Times New Roman"/>
          <w:color w:val="000000"/>
          <w:lang w:eastAsia="en-GB"/>
        </w:rPr>
        <w:t>, 20, 405– 423.</w:t>
      </w:r>
    </w:p>
    <w:p w14:paraId="17BE7CFF" w14:textId="77777777" w:rsidR="00297DED" w:rsidRPr="00297DED"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Welte, J.W., Barnes, G.M., Tidwell, M-C., Hoffman, J.H., and Wieczorek, W.F. (2015). Gambling and problem gambling in the United States. </w:t>
      </w:r>
      <w:r w:rsidRPr="00297DED">
        <w:rPr>
          <w:rFonts w:ascii="Times New Roman" w:eastAsia="Times New Roman" w:hAnsi="Times New Roman" w:cs="Times New Roman"/>
          <w:i/>
          <w:color w:val="000000"/>
          <w:lang w:eastAsia="en-GB"/>
        </w:rPr>
        <w:t>Journal of Gambling Studies</w:t>
      </w:r>
      <w:r w:rsidRPr="00297DED">
        <w:rPr>
          <w:rFonts w:ascii="Times New Roman" w:eastAsia="Times New Roman" w:hAnsi="Times New Roman" w:cs="Times New Roman"/>
          <w:color w:val="000000"/>
          <w:lang w:eastAsia="en-GB"/>
        </w:rPr>
        <w:t>, 31, 695-715.</w:t>
      </w:r>
    </w:p>
    <w:p w14:paraId="57B4CDB2" w14:textId="5FFC86B9" w:rsidR="00325DD7" w:rsidRPr="004A71A9" w:rsidRDefault="00297DED" w:rsidP="00E37440">
      <w:pPr>
        <w:spacing w:after="240"/>
        <w:rPr>
          <w:rFonts w:ascii="Times New Roman" w:eastAsia="Times New Roman" w:hAnsi="Times New Roman" w:cs="Times New Roman"/>
          <w:color w:val="000000"/>
          <w:lang w:eastAsia="en-GB"/>
        </w:rPr>
      </w:pPr>
      <w:r w:rsidRPr="00297DED">
        <w:rPr>
          <w:rFonts w:ascii="Times New Roman" w:eastAsia="Times New Roman" w:hAnsi="Times New Roman" w:cs="Times New Roman"/>
          <w:color w:val="000000"/>
          <w:lang w:eastAsia="en-GB"/>
        </w:rPr>
        <w:t xml:space="preserve">Williams, R.J., Volberg, R.A. and Stevens, R.M.G. (2012). </w:t>
      </w:r>
      <w:r w:rsidRPr="00297DED">
        <w:rPr>
          <w:rFonts w:ascii="Times New Roman" w:eastAsia="Times New Roman" w:hAnsi="Times New Roman" w:cs="Times New Roman"/>
          <w:i/>
          <w:color w:val="000000"/>
          <w:lang w:eastAsia="en-GB"/>
        </w:rPr>
        <w:t>The Population Prevalence of Problem Gambling: Methodological Influences, Standardized Rates, Jurisdictional Differences, and Worldwide Trends</w:t>
      </w:r>
      <w:r w:rsidRPr="00297DED">
        <w:rPr>
          <w:rFonts w:ascii="Times New Roman" w:eastAsia="Times New Roman" w:hAnsi="Times New Roman" w:cs="Times New Roman"/>
          <w:color w:val="000000"/>
          <w:lang w:eastAsia="en-GB"/>
        </w:rPr>
        <w:t>. Report prepared for the Ontario Problem Gambling Research Centre and the Ontario Ministry of Health and Long</w:t>
      </w:r>
      <w:r w:rsidR="00666BD5">
        <w:rPr>
          <w:rFonts w:ascii="Times New Roman" w:eastAsia="Times New Roman" w:hAnsi="Times New Roman" w:cs="Times New Roman"/>
          <w:color w:val="000000"/>
          <w:lang w:eastAsia="en-GB"/>
        </w:rPr>
        <w:t>-</w:t>
      </w:r>
      <w:r w:rsidRPr="00297DED">
        <w:rPr>
          <w:rFonts w:ascii="Times New Roman" w:eastAsia="Times New Roman" w:hAnsi="Times New Roman" w:cs="Times New Roman"/>
          <w:color w:val="000000"/>
          <w:lang w:eastAsia="en-GB"/>
        </w:rPr>
        <w:t xml:space="preserve">Term Care. URI: </w:t>
      </w:r>
      <w:hyperlink r:id="rId13" w:history="1">
        <w:r w:rsidRPr="00297DED">
          <w:rPr>
            <w:rStyle w:val="Hyperlink"/>
            <w:rFonts w:ascii="Times New Roman" w:eastAsia="Times New Roman" w:hAnsi="Times New Roman" w:cs="Times New Roman"/>
            <w:lang w:eastAsia="en-GB"/>
          </w:rPr>
          <w:t>http://hdl.handle.net/10133/3068</w:t>
        </w:r>
      </w:hyperlink>
      <w:r w:rsidR="00CD5928">
        <w:rPr>
          <w:rFonts w:ascii="Times New Roman" w:eastAsia="Times New Roman" w:hAnsi="Times New Roman" w:cs="Times New Roman"/>
          <w:color w:val="000000"/>
          <w:lang w:eastAsia="en-GB"/>
        </w:rPr>
        <w:t xml:space="preserve">    </w:t>
      </w:r>
      <w:r w:rsidR="004C17E2">
        <w:rPr>
          <w:rFonts w:ascii="Times New Roman" w:eastAsia="Times New Roman" w:hAnsi="Times New Roman" w:cs="Times New Roman"/>
          <w:color w:val="000000"/>
          <w:lang w:eastAsia="en-GB"/>
        </w:rPr>
        <w:t xml:space="preserve"> </w:t>
      </w:r>
      <w:r w:rsidR="0028001C">
        <w:rPr>
          <w:rFonts w:ascii="Times New Roman" w:eastAsia="Times New Roman" w:hAnsi="Times New Roman" w:cs="Times New Roman"/>
          <w:color w:val="000000"/>
          <w:lang w:eastAsia="en-GB"/>
        </w:rPr>
        <w:t xml:space="preserve"> </w:t>
      </w:r>
      <w:r w:rsidR="000B745C">
        <w:rPr>
          <w:rFonts w:ascii="Times New Roman" w:eastAsia="Times New Roman" w:hAnsi="Times New Roman" w:cs="Times New Roman"/>
          <w:color w:val="000000"/>
          <w:lang w:eastAsia="en-GB"/>
        </w:rPr>
        <w:t xml:space="preserve"> </w:t>
      </w:r>
      <w:r w:rsidR="00612AEC">
        <w:rPr>
          <w:rFonts w:ascii="Times New Roman" w:eastAsia="Times New Roman" w:hAnsi="Times New Roman" w:cs="Times New Roman"/>
          <w:color w:val="000000"/>
          <w:lang w:eastAsia="en-GB"/>
        </w:rPr>
        <w:t xml:space="preserve">  </w:t>
      </w:r>
      <w:r w:rsidR="00244EAA">
        <w:rPr>
          <w:rFonts w:ascii="Times New Roman" w:eastAsia="Times New Roman" w:hAnsi="Times New Roman" w:cs="Times New Roman"/>
          <w:color w:val="000000"/>
          <w:lang w:eastAsia="en-GB"/>
        </w:rPr>
        <w:t xml:space="preserve">  </w:t>
      </w:r>
      <w:r w:rsidR="006A3019">
        <w:rPr>
          <w:rFonts w:ascii="Times New Roman" w:eastAsia="Times New Roman" w:hAnsi="Times New Roman" w:cs="Times New Roman"/>
          <w:color w:val="000000"/>
          <w:lang w:eastAsia="en-GB"/>
        </w:rPr>
        <w:t xml:space="preserve"> </w:t>
      </w:r>
      <w:r w:rsidR="00B82495">
        <w:rPr>
          <w:rFonts w:ascii="Times New Roman" w:eastAsia="Times New Roman" w:hAnsi="Times New Roman" w:cs="Times New Roman"/>
          <w:color w:val="000000"/>
          <w:lang w:eastAsia="en-GB"/>
        </w:rPr>
        <w:t xml:space="preserve">   </w:t>
      </w:r>
      <w:r w:rsidR="006600E5">
        <w:rPr>
          <w:rFonts w:ascii="Times New Roman" w:eastAsia="Times New Roman" w:hAnsi="Times New Roman" w:cs="Times New Roman"/>
          <w:color w:val="000000"/>
          <w:lang w:eastAsia="en-GB"/>
        </w:rPr>
        <w:t xml:space="preserve">  </w:t>
      </w:r>
      <w:r w:rsidR="00F70885">
        <w:rPr>
          <w:rFonts w:ascii="Times New Roman" w:eastAsia="Times New Roman" w:hAnsi="Times New Roman" w:cs="Times New Roman"/>
          <w:color w:val="000000"/>
          <w:lang w:eastAsia="en-GB"/>
        </w:rPr>
        <w:t xml:space="preserve">    </w:t>
      </w:r>
      <w:r w:rsidR="00BB6945">
        <w:rPr>
          <w:rFonts w:ascii="Times New Roman" w:eastAsia="Times New Roman" w:hAnsi="Times New Roman" w:cs="Times New Roman"/>
          <w:color w:val="000000"/>
          <w:lang w:eastAsia="en-GB"/>
        </w:rPr>
        <w:t xml:space="preserve"> </w:t>
      </w:r>
      <w:r w:rsidR="005476DE">
        <w:rPr>
          <w:rFonts w:ascii="Times New Roman" w:eastAsia="Times New Roman" w:hAnsi="Times New Roman" w:cs="Times New Roman"/>
          <w:color w:val="000000"/>
          <w:lang w:eastAsia="en-GB"/>
        </w:rPr>
        <w:t xml:space="preserve"> </w:t>
      </w:r>
      <w:r w:rsidR="00E5456B">
        <w:rPr>
          <w:rFonts w:ascii="Times New Roman" w:eastAsia="Times New Roman" w:hAnsi="Times New Roman" w:cs="Times New Roman"/>
          <w:color w:val="000000"/>
          <w:lang w:eastAsia="en-GB"/>
        </w:rPr>
        <w:t xml:space="preserve">      </w:t>
      </w:r>
      <w:r w:rsidR="003D0D3A">
        <w:rPr>
          <w:rFonts w:ascii="Times New Roman" w:eastAsia="Times New Roman" w:hAnsi="Times New Roman" w:cs="Times New Roman"/>
          <w:color w:val="000000"/>
          <w:lang w:eastAsia="en-GB"/>
        </w:rPr>
        <w:t xml:space="preserve"> </w:t>
      </w:r>
      <w:r w:rsidR="003549E8">
        <w:rPr>
          <w:rFonts w:ascii="Times New Roman" w:eastAsia="Times New Roman" w:hAnsi="Times New Roman" w:cs="Times New Roman"/>
          <w:color w:val="000000"/>
          <w:lang w:eastAsia="en-GB"/>
        </w:rPr>
        <w:t xml:space="preserve">  </w:t>
      </w:r>
      <w:r w:rsidR="00325DD7">
        <w:rPr>
          <w:rFonts w:ascii="Times New Roman" w:eastAsia="Times New Roman" w:hAnsi="Times New Roman" w:cs="Times New Roman"/>
          <w:color w:val="000000"/>
          <w:lang w:eastAsia="en-GB"/>
        </w:rPr>
        <w:t xml:space="preserve">   </w:t>
      </w:r>
    </w:p>
    <w:p w14:paraId="4E43FE3B" w14:textId="77777777" w:rsidR="006F3CB9" w:rsidRDefault="002560C1" w:rsidP="00E37440">
      <w:pPr>
        <w:spacing w:after="240"/>
        <w:rPr>
          <w:rFonts w:ascii="Times New Roman" w:hAnsi="Times New Roman" w:cs="Times New Roman"/>
        </w:rPr>
        <w:sectPr w:rsidR="006F3CB9" w:rsidSect="004B6665">
          <w:footerReference w:type="default" r:id="rId14"/>
          <w:pgSz w:w="11906" w:h="16838"/>
          <w:pgMar w:top="1296" w:right="1152" w:bottom="1152" w:left="1440" w:header="706" w:footer="706" w:gutter="0"/>
          <w:pgNumType w:start="0"/>
          <w:cols w:space="708"/>
          <w:titlePg/>
          <w:docGrid w:linePitch="360"/>
        </w:sectPr>
      </w:pPr>
      <w:r>
        <w:rPr>
          <w:rFonts w:ascii="Times New Roman" w:hAnsi="Times New Roman" w:cs="Times New Roman"/>
        </w:rPr>
        <w:t xml:space="preserve"> </w:t>
      </w:r>
      <w:r w:rsidR="00752F0A">
        <w:rPr>
          <w:rFonts w:ascii="Times New Roman" w:hAnsi="Times New Roman" w:cs="Times New Roman"/>
        </w:rPr>
        <w:t xml:space="preserve"> </w:t>
      </w:r>
      <w:r w:rsidR="00687432">
        <w:rPr>
          <w:rFonts w:ascii="Times New Roman" w:hAnsi="Times New Roman" w:cs="Times New Roman"/>
        </w:rPr>
        <w:tab/>
        <w:t xml:space="preserve">  </w:t>
      </w:r>
      <w:r w:rsidR="009F185A">
        <w:rPr>
          <w:rFonts w:ascii="Times New Roman" w:hAnsi="Times New Roman" w:cs="Times New Roman"/>
        </w:rPr>
        <w:t xml:space="preserve">      </w:t>
      </w:r>
      <w:r w:rsidR="003D0E97">
        <w:rPr>
          <w:rFonts w:ascii="Times New Roman" w:hAnsi="Times New Roman" w:cs="Times New Roman"/>
        </w:rPr>
        <w:t xml:space="preserve">  </w:t>
      </w:r>
      <w:r w:rsidR="00594E2A">
        <w:rPr>
          <w:rFonts w:ascii="Times New Roman" w:hAnsi="Times New Roman" w:cs="Times New Roman"/>
        </w:rPr>
        <w:t xml:space="preserve">      </w:t>
      </w:r>
      <w:r w:rsidR="00B3512A">
        <w:rPr>
          <w:rFonts w:ascii="Times New Roman" w:hAnsi="Times New Roman" w:cs="Times New Roman"/>
        </w:rPr>
        <w:t xml:space="preserve"> </w:t>
      </w:r>
    </w:p>
    <w:tbl>
      <w:tblPr>
        <w:tblW w:w="6266" w:type="dxa"/>
        <w:jc w:val="center"/>
        <w:tblCellMar>
          <w:left w:w="28" w:type="dxa"/>
          <w:right w:w="28" w:type="dxa"/>
        </w:tblCellMar>
        <w:tblLook w:val="04A0" w:firstRow="1" w:lastRow="0" w:firstColumn="1" w:lastColumn="0" w:noHBand="0" w:noVBand="1"/>
      </w:tblPr>
      <w:tblGrid>
        <w:gridCol w:w="924"/>
        <w:gridCol w:w="960"/>
        <w:gridCol w:w="1000"/>
        <w:gridCol w:w="880"/>
        <w:gridCol w:w="960"/>
        <w:gridCol w:w="924"/>
        <w:gridCol w:w="777"/>
      </w:tblGrid>
      <w:tr w:rsidR="00E23637" w:rsidRPr="008D5308" w14:paraId="2E1AAEFE" w14:textId="77777777" w:rsidTr="003E34E9">
        <w:trPr>
          <w:trHeight w:val="330"/>
          <w:jc w:val="center"/>
        </w:trPr>
        <w:tc>
          <w:tcPr>
            <w:tcW w:w="4566" w:type="dxa"/>
            <w:gridSpan w:val="5"/>
            <w:tcBorders>
              <w:top w:val="nil"/>
              <w:left w:val="nil"/>
              <w:bottom w:val="single" w:sz="8" w:space="0" w:color="auto"/>
              <w:right w:val="nil"/>
            </w:tcBorders>
            <w:shd w:val="clear" w:color="auto" w:fill="auto"/>
            <w:vAlign w:val="center"/>
            <w:hideMark/>
          </w:tcPr>
          <w:p w14:paraId="217D02BD" w14:textId="77777777" w:rsidR="00E23637" w:rsidRPr="0085192F" w:rsidRDefault="00E23637" w:rsidP="00E23637">
            <w:pPr>
              <w:spacing w:after="0" w:line="240" w:lineRule="auto"/>
              <w:jc w:val="center"/>
              <w:rPr>
                <w:rFonts w:ascii="Times New Roman" w:eastAsia="PMingLiU" w:hAnsi="Times New Roman" w:cs="Times New Roman"/>
                <w:b/>
                <w:bCs/>
                <w:color w:val="000000"/>
                <w:sz w:val="24"/>
                <w:szCs w:val="24"/>
                <w:lang w:eastAsia="zh-TW"/>
              </w:rPr>
            </w:pPr>
            <w:commentRangeStart w:id="7"/>
            <w:r w:rsidRPr="0085192F">
              <w:rPr>
                <w:rFonts w:ascii="Times New Roman" w:eastAsia="PMingLiU" w:hAnsi="Times New Roman" w:cs="Times New Roman"/>
                <w:b/>
                <w:bCs/>
                <w:color w:val="000000"/>
                <w:sz w:val="24"/>
                <w:szCs w:val="24"/>
                <w:lang w:eastAsia="zh-TW"/>
              </w:rPr>
              <w:t>Table 1: Profile of the Respondents (</w:t>
            </w:r>
            <w:r w:rsidRPr="0085192F">
              <w:rPr>
                <w:rFonts w:ascii="Times New Roman" w:eastAsia="PMingLiU" w:hAnsi="Times New Roman" w:cs="Times New Roman"/>
                <w:b/>
                <w:bCs/>
                <w:i/>
                <w:iCs/>
                <w:color w:val="000000"/>
                <w:sz w:val="24"/>
                <w:szCs w:val="24"/>
                <w:lang w:eastAsia="zh-TW"/>
              </w:rPr>
              <w:t>N</w:t>
            </w:r>
            <w:r w:rsidRPr="0085192F">
              <w:rPr>
                <w:rFonts w:ascii="Times New Roman" w:eastAsia="PMingLiU" w:hAnsi="Times New Roman" w:cs="Times New Roman"/>
                <w:b/>
                <w:bCs/>
                <w:color w:val="000000"/>
                <w:sz w:val="24"/>
                <w:szCs w:val="24"/>
                <w:lang w:eastAsia="zh-TW"/>
              </w:rPr>
              <w:t>=399)</w:t>
            </w:r>
            <w:commentRangeEnd w:id="7"/>
            <w:r w:rsidR="00061B45" w:rsidRPr="0085192F">
              <w:rPr>
                <w:rStyle w:val="CommentReference"/>
                <w:rFonts w:ascii="Times New Roman" w:hAnsi="Times New Roman" w:cs="Times New Roman"/>
                <w:sz w:val="24"/>
                <w:szCs w:val="24"/>
              </w:rPr>
              <w:commentReference w:id="7"/>
            </w:r>
          </w:p>
        </w:tc>
        <w:tc>
          <w:tcPr>
            <w:tcW w:w="924" w:type="dxa"/>
            <w:tcBorders>
              <w:top w:val="nil"/>
              <w:left w:val="nil"/>
              <w:bottom w:val="single" w:sz="8" w:space="0" w:color="auto"/>
              <w:right w:val="nil"/>
            </w:tcBorders>
            <w:shd w:val="clear" w:color="auto" w:fill="auto"/>
            <w:noWrap/>
            <w:vAlign w:val="bottom"/>
            <w:hideMark/>
          </w:tcPr>
          <w:p w14:paraId="53DED650" w14:textId="671F2BF0" w:rsidR="00E23637" w:rsidRPr="008D5308" w:rsidRDefault="00E23637" w:rsidP="00E23637">
            <w:pPr>
              <w:spacing w:after="0" w:line="240" w:lineRule="auto"/>
              <w:rPr>
                <w:rFonts w:ascii="Times New Roman" w:eastAsia="PMingLiU" w:hAnsi="Times New Roman" w:cs="Times New Roman"/>
                <w:color w:val="000000"/>
                <w:lang w:eastAsia="zh-TW"/>
              </w:rPr>
            </w:pPr>
          </w:p>
        </w:tc>
        <w:tc>
          <w:tcPr>
            <w:tcW w:w="776" w:type="dxa"/>
            <w:tcBorders>
              <w:top w:val="nil"/>
              <w:left w:val="nil"/>
              <w:bottom w:val="single" w:sz="8" w:space="0" w:color="auto"/>
              <w:right w:val="nil"/>
            </w:tcBorders>
            <w:shd w:val="clear" w:color="auto" w:fill="auto"/>
            <w:noWrap/>
            <w:vAlign w:val="bottom"/>
            <w:hideMark/>
          </w:tcPr>
          <w:p w14:paraId="26D0AA1C" w14:textId="31E57A4B" w:rsidR="00E23637" w:rsidRPr="008D5308" w:rsidRDefault="00E23637" w:rsidP="00E23637">
            <w:pPr>
              <w:spacing w:after="0" w:line="240" w:lineRule="auto"/>
              <w:rPr>
                <w:rFonts w:ascii="Times New Roman" w:eastAsia="PMingLiU" w:hAnsi="Times New Roman" w:cs="Times New Roman"/>
                <w:color w:val="000000"/>
                <w:lang w:eastAsia="zh-TW"/>
              </w:rPr>
            </w:pPr>
          </w:p>
        </w:tc>
      </w:tr>
      <w:tr w:rsidR="00E23637" w:rsidRPr="0085192F" w14:paraId="6F20AE83" w14:textId="77777777" w:rsidTr="00E37440">
        <w:trPr>
          <w:trHeight w:val="330"/>
          <w:jc w:val="center"/>
        </w:trPr>
        <w:tc>
          <w:tcPr>
            <w:tcW w:w="766" w:type="dxa"/>
            <w:tcBorders>
              <w:top w:val="nil"/>
              <w:left w:val="nil"/>
              <w:bottom w:val="single" w:sz="8" w:space="0" w:color="auto"/>
              <w:right w:val="nil"/>
            </w:tcBorders>
            <w:shd w:val="clear" w:color="auto" w:fill="auto"/>
            <w:vAlign w:val="bottom"/>
            <w:hideMark/>
          </w:tcPr>
          <w:p w14:paraId="50B8104D" w14:textId="4B915C7F" w:rsidR="00E23637" w:rsidRPr="0085192F" w:rsidRDefault="00E23637" w:rsidP="00E23637">
            <w:pPr>
              <w:spacing w:after="0" w:line="240" w:lineRule="auto"/>
              <w:rPr>
                <w:rFonts w:ascii="Times New Roman" w:eastAsia="PMingLiU" w:hAnsi="Times New Roman" w:cs="Times New Roman"/>
                <w:color w:val="000000"/>
                <w:lang w:eastAsia="zh-TW"/>
              </w:rPr>
            </w:pPr>
          </w:p>
        </w:tc>
        <w:tc>
          <w:tcPr>
            <w:tcW w:w="1960" w:type="dxa"/>
            <w:gridSpan w:val="2"/>
            <w:tcBorders>
              <w:top w:val="single" w:sz="8" w:space="0" w:color="auto"/>
              <w:left w:val="nil"/>
              <w:bottom w:val="single" w:sz="8" w:space="0" w:color="auto"/>
              <w:right w:val="nil"/>
            </w:tcBorders>
            <w:shd w:val="clear" w:color="auto" w:fill="auto"/>
            <w:vAlign w:val="center"/>
            <w:hideMark/>
          </w:tcPr>
          <w:p w14:paraId="4056457F" w14:textId="22965865" w:rsidR="00E23637" w:rsidRPr="0085192F" w:rsidRDefault="008865D6" w:rsidP="00E23637">
            <w:pPr>
              <w:spacing w:after="0" w:line="240" w:lineRule="auto"/>
              <w:jc w:val="center"/>
              <w:rPr>
                <w:rFonts w:ascii="Times New Roman" w:eastAsia="PMingLiU" w:hAnsi="Times New Roman" w:cs="Times New Roman"/>
                <w:b/>
                <w:bCs/>
                <w:color w:val="000000"/>
                <w:lang w:eastAsia="zh-TW"/>
              </w:rPr>
            </w:pPr>
            <w:r w:rsidRPr="0085192F">
              <w:rPr>
                <w:rFonts w:ascii="Times New Roman" w:eastAsia="PMingLiU" w:hAnsi="Times New Roman" w:cs="Times New Roman"/>
                <w:b/>
                <w:bCs/>
                <w:color w:val="000000"/>
                <w:lang w:eastAsia="zh-TW"/>
              </w:rPr>
              <w:t>C</w:t>
            </w:r>
            <w:r w:rsidR="00E23637" w:rsidRPr="0085192F">
              <w:rPr>
                <w:rFonts w:ascii="Times New Roman" w:eastAsia="SimSun" w:hAnsi="Times New Roman" w:cs="Times New Roman"/>
                <w:b/>
                <w:bCs/>
                <w:color w:val="000000"/>
                <w:lang w:eastAsia="zh-TW"/>
              </w:rPr>
              <w:t>asino (</w:t>
            </w:r>
            <w:r w:rsidR="00E23637" w:rsidRPr="0085192F">
              <w:rPr>
                <w:rFonts w:ascii="Times New Roman" w:eastAsia="SimSun" w:hAnsi="Times New Roman" w:cs="Times New Roman"/>
                <w:b/>
                <w:bCs/>
                <w:i/>
                <w:iCs/>
                <w:color w:val="000000"/>
                <w:lang w:eastAsia="zh-TW"/>
              </w:rPr>
              <w:t>N</w:t>
            </w:r>
            <w:r w:rsidR="00E23637" w:rsidRPr="0085192F">
              <w:rPr>
                <w:rFonts w:ascii="Times New Roman" w:eastAsia="SimSun" w:hAnsi="Times New Roman" w:cs="Times New Roman"/>
                <w:b/>
                <w:bCs/>
                <w:color w:val="000000"/>
                <w:lang w:eastAsia="zh-TW"/>
              </w:rPr>
              <w:t>=230)</w:t>
            </w:r>
          </w:p>
        </w:tc>
        <w:tc>
          <w:tcPr>
            <w:tcW w:w="1840" w:type="dxa"/>
            <w:gridSpan w:val="2"/>
            <w:tcBorders>
              <w:top w:val="single" w:sz="8" w:space="0" w:color="auto"/>
              <w:left w:val="nil"/>
              <w:bottom w:val="single" w:sz="8" w:space="0" w:color="auto"/>
              <w:right w:val="nil"/>
            </w:tcBorders>
            <w:shd w:val="clear" w:color="auto" w:fill="auto"/>
            <w:vAlign w:val="center"/>
            <w:hideMark/>
          </w:tcPr>
          <w:p w14:paraId="48B4E5B7" w14:textId="7CC9CF83" w:rsidR="00E23637" w:rsidRPr="0085192F" w:rsidRDefault="008865D6" w:rsidP="00E23637">
            <w:pPr>
              <w:spacing w:after="0" w:line="240" w:lineRule="auto"/>
              <w:jc w:val="center"/>
              <w:rPr>
                <w:rFonts w:ascii="Times New Roman" w:eastAsia="SimSun" w:hAnsi="Times New Roman" w:cs="Times New Roman"/>
                <w:b/>
                <w:bCs/>
                <w:color w:val="000000"/>
                <w:lang w:eastAsia="zh-TW"/>
              </w:rPr>
            </w:pPr>
            <w:r w:rsidRPr="0085192F">
              <w:rPr>
                <w:rFonts w:ascii="Times New Roman" w:eastAsia="SimSun" w:hAnsi="Times New Roman" w:cs="Times New Roman"/>
                <w:b/>
                <w:bCs/>
                <w:color w:val="000000"/>
                <w:lang w:eastAsia="zh-TW"/>
              </w:rPr>
              <w:t>N</w:t>
            </w:r>
            <w:r w:rsidR="00E23637" w:rsidRPr="0085192F">
              <w:rPr>
                <w:rFonts w:ascii="Times New Roman" w:eastAsia="SimSun" w:hAnsi="Times New Roman" w:cs="Times New Roman"/>
                <w:b/>
                <w:bCs/>
                <w:color w:val="000000"/>
                <w:lang w:eastAsia="zh-TW"/>
              </w:rPr>
              <w:t>on-casino (</w:t>
            </w:r>
            <w:r w:rsidR="00E23637" w:rsidRPr="0085192F">
              <w:rPr>
                <w:rFonts w:ascii="Times New Roman" w:eastAsia="SimSun" w:hAnsi="Times New Roman" w:cs="Times New Roman"/>
                <w:b/>
                <w:bCs/>
                <w:i/>
                <w:iCs/>
                <w:color w:val="000000"/>
                <w:lang w:eastAsia="zh-TW"/>
              </w:rPr>
              <w:t>N</w:t>
            </w:r>
            <w:r w:rsidR="00E23637" w:rsidRPr="0085192F">
              <w:rPr>
                <w:rFonts w:ascii="Times New Roman" w:eastAsia="SimSun" w:hAnsi="Times New Roman" w:cs="Times New Roman"/>
                <w:b/>
                <w:bCs/>
                <w:color w:val="000000"/>
                <w:lang w:eastAsia="zh-TW"/>
              </w:rPr>
              <w:t xml:space="preserve">=169) </w:t>
            </w:r>
          </w:p>
        </w:tc>
        <w:tc>
          <w:tcPr>
            <w:tcW w:w="1700" w:type="dxa"/>
            <w:gridSpan w:val="2"/>
            <w:tcBorders>
              <w:top w:val="single" w:sz="8" w:space="0" w:color="auto"/>
              <w:left w:val="nil"/>
              <w:bottom w:val="single" w:sz="8" w:space="0" w:color="auto"/>
              <w:right w:val="nil"/>
            </w:tcBorders>
            <w:shd w:val="clear" w:color="auto" w:fill="auto"/>
            <w:vAlign w:val="center"/>
            <w:hideMark/>
          </w:tcPr>
          <w:p w14:paraId="5EDD6962" w14:textId="77777777" w:rsidR="00E23637" w:rsidRPr="0085192F" w:rsidRDefault="00E23637" w:rsidP="00E23637">
            <w:pPr>
              <w:spacing w:after="0" w:line="240" w:lineRule="auto"/>
              <w:jc w:val="center"/>
              <w:rPr>
                <w:rFonts w:ascii="Times New Roman" w:eastAsia="SimSun" w:hAnsi="Times New Roman" w:cs="Times New Roman"/>
                <w:b/>
                <w:bCs/>
                <w:color w:val="000000"/>
                <w:lang w:eastAsia="zh-TW"/>
              </w:rPr>
            </w:pPr>
            <w:r w:rsidRPr="0085192F">
              <w:rPr>
                <w:rFonts w:ascii="Times New Roman" w:eastAsia="SimSun" w:hAnsi="Times New Roman" w:cs="Times New Roman"/>
                <w:b/>
                <w:bCs/>
                <w:color w:val="000000"/>
                <w:lang w:eastAsia="zh-TW"/>
              </w:rPr>
              <w:t>Total Sample</w:t>
            </w:r>
          </w:p>
        </w:tc>
      </w:tr>
      <w:tr w:rsidR="00E23637" w:rsidRPr="0085192F" w14:paraId="06C5FE82" w14:textId="77777777" w:rsidTr="00E37440">
        <w:trPr>
          <w:trHeight w:val="330"/>
          <w:jc w:val="center"/>
        </w:trPr>
        <w:tc>
          <w:tcPr>
            <w:tcW w:w="766" w:type="dxa"/>
            <w:tcBorders>
              <w:top w:val="nil"/>
              <w:left w:val="nil"/>
              <w:right w:val="nil"/>
            </w:tcBorders>
            <w:shd w:val="clear" w:color="auto" w:fill="auto"/>
            <w:vAlign w:val="bottom"/>
            <w:hideMark/>
          </w:tcPr>
          <w:p w14:paraId="53D3D698" w14:textId="652AD6F7" w:rsidR="00E23637" w:rsidRPr="0085192F" w:rsidRDefault="00E23637" w:rsidP="00E23637">
            <w:pPr>
              <w:spacing w:after="0" w:line="240" w:lineRule="auto"/>
              <w:rPr>
                <w:rFonts w:ascii="Times New Roman" w:eastAsia="PMingLiU" w:hAnsi="Times New Roman" w:cs="Times New Roman"/>
                <w:color w:val="000000"/>
                <w:lang w:eastAsia="zh-TW"/>
              </w:rPr>
            </w:pPr>
          </w:p>
        </w:tc>
        <w:tc>
          <w:tcPr>
            <w:tcW w:w="960" w:type="dxa"/>
            <w:tcBorders>
              <w:top w:val="nil"/>
              <w:left w:val="nil"/>
              <w:right w:val="nil"/>
            </w:tcBorders>
            <w:shd w:val="clear" w:color="auto" w:fill="auto"/>
            <w:vAlign w:val="bottom"/>
            <w:hideMark/>
          </w:tcPr>
          <w:p w14:paraId="00DC5A91" w14:textId="37859DAB" w:rsidR="00E23637" w:rsidRPr="0085192F" w:rsidRDefault="008865D6" w:rsidP="00E23637">
            <w:pPr>
              <w:spacing w:after="0" w:line="240" w:lineRule="auto"/>
              <w:jc w:val="center"/>
              <w:rPr>
                <w:rFonts w:ascii="Times New Roman" w:eastAsia="MingLiU" w:hAnsi="Times New Roman" w:cs="Times New Roman"/>
                <w:b/>
                <w:bCs/>
                <w:color w:val="000000"/>
                <w:lang w:eastAsia="zh-TW"/>
              </w:rPr>
            </w:pPr>
            <w:r w:rsidRPr="0085192F">
              <w:rPr>
                <w:rFonts w:ascii="Times New Roman" w:eastAsia="MingLiU" w:hAnsi="Times New Roman" w:cs="Times New Roman"/>
                <w:b/>
                <w:bCs/>
                <w:color w:val="000000"/>
                <w:lang w:eastAsia="zh-TW"/>
              </w:rPr>
              <w:t>C</w:t>
            </w:r>
            <w:r w:rsidR="00E23637" w:rsidRPr="0085192F">
              <w:rPr>
                <w:rFonts w:ascii="Times New Roman" w:eastAsia="MingLiU" w:hAnsi="Times New Roman" w:cs="Times New Roman"/>
                <w:b/>
                <w:bCs/>
                <w:color w:val="000000"/>
                <w:lang w:eastAsia="zh-TW"/>
              </w:rPr>
              <w:t>ount</w:t>
            </w:r>
          </w:p>
        </w:tc>
        <w:tc>
          <w:tcPr>
            <w:tcW w:w="1000" w:type="dxa"/>
            <w:tcBorders>
              <w:top w:val="nil"/>
              <w:left w:val="nil"/>
              <w:right w:val="nil"/>
            </w:tcBorders>
            <w:shd w:val="clear" w:color="auto" w:fill="auto"/>
            <w:vAlign w:val="bottom"/>
            <w:hideMark/>
          </w:tcPr>
          <w:p w14:paraId="208B1BE2" w14:textId="1BFE7E18" w:rsidR="00E23637" w:rsidRPr="0085192F" w:rsidRDefault="008865D6" w:rsidP="00E23637">
            <w:pPr>
              <w:spacing w:after="0" w:line="240" w:lineRule="auto"/>
              <w:jc w:val="center"/>
              <w:rPr>
                <w:rFonts w:ascii="Times New Roman" w:eastAsia="MingLiU" w:hAnsi="Times New Roman" w:cs="Times New Roman"/>
                <w:b/>
                <w:bCs/>
                <w:color w:val="000000"/>
                <w:lang w:eastAsia="zh-TW"/>
              </w:rPr>
            </w:pPr>
            <w:r w:rsidRPr="0085192F">
              <w:rPr>
                <w:rFonts w:ascii="Times New Roman" w:eastAsia="MingLiU" w:hAnsi="Times New Roman" w:cs="Times New Roman"/>
                <w:b/>
                <w:bCs/>
                <w:color w:val="000000"/>
                <w:lang w:eastAsia="zh-TW"/>
              </w:rPr>
              <w:t>P</w:t>
            </w:r>
            <w:r w:rsidR="00E23637" w:rsidRPr="0085192F">
              <w:rPr>
                <w:rFonts w:ascii="Times New Roman" w:eastAsia="MingLiU" w:hAnsi="Times New Roman" w:cs="Times New Roman"/>
                <w:b/>
                <w:bCs/>
                <w:color w:val="000000"/>
                <w:lang w:eastAsia="zh-TW"/>
              </w:rPr>
              <w:t>ercent</w:t>
            </w:r>
          </w:p>
        </w:tc>
        <w:tc>
          <w:tcPr>
            <w:tcW w:w="880" w:type="dxa"/>
            <w:tcBorders>
              <w:top w:val="nil"/>
              <w:left w:val="nil"/>
              <w:right w:val="nil"/>
            </w:tcBorders>
            <w:shd w:val="clear" w:color="auto" w:fill="auto"/>
            <w:vAlign w:val="bottom"/>
            <w:hideMark/>
          </w:tcPr>
          <w:p w14:paraId="13B97137" w14:textId="0D381173" w:rsidR="00E23637" w:rsidRPr="0085192F" w:rsidRDefault="008865D6" w:rsidP="00E23637">
            <w:pPr>
              <w:spacing w:after="0" w:line="240" w:lineRule="auto"/>
              <w:jc w:val="center"/>
              <w:rPr>
                <w:rFonts w:ascii="Times New Roman" w:eastAsia="MingLiU" w:hAnsi="Times New Roman" w:cs="Times New Roman"/>
                <w:b/>
                <w:bCs/>
                <w:color w:val="000000"/>
                <w:lang w:eastAsia="zh-TW"/>
              </w:rPr>
            </w:pPr>
            <w:r w:rsidRPr="0085192F">
              <w:rPr>
                <w:rFonts w:ascii="Times New Roman" w:eastAsia="MingLiU" w:hAnsi="Times New Roman" w:cs="Times New Roman"/>
                <w:b/>
                <w:bCs/>
                <w:color w:val="000000"/>
                <w:lang w:eastAsia="zh-TW"/>
              </w:rPr>
              <w:t>C</w:t>
            </w:r>
            <w:r w:rsidR="00E23637" w:rsidRPr="0085192F">
              <w:rPr>
                <w:rFonts w:ascii="Times New Roman" w:eastAsia="MingLiU" w:hAnsi="Times New Roman" w:cs="Times New Roman"/>
                <w:b/>
                <w:bCs/>
                <w:color w:val="000000"/>
                <w:lang w:eastAsia="zh-TW"/>
              </w:rPr>
              <w:t>ount</w:t>
            </w:r>
          </w:p>
        </w:tc>
        <w:tc>
          <w:tcPr>
            <w:tcW w:w="960" w:type="dxa"/>
            <w:tcBorders>
              <w:top w:val="nil"/>
              <w:left w:val="nil"/>
              <w:right w:val="nil"/>
            </w:tcBorders>
            <w:shd w:val="clear" w:color="auto" w:fill="auto"/>
            <w:vAlign w:val="bottom"/>
            <w:hideMark/>
          </w:tcPr>
          <w:p w14:paraId="4C390E3A" w14:textId="3B021B21" w:rsidR="00E23637" w:rsidRPr="0085192F" w:rsidRDefault="008865D6" w:rsidP="00E23637">
            <w:pPr>
              <w:spacing w:after="0" w:line="240" w:lineRule="auto"/>
              <w:jc w:val="center"/>
              <w:rPr>
                <w:rFonts w:ascii="Times New Roman" w:eastAsia="MingLiU" w:hAnsi="Times New Roman" w:cs="Times New Roman"/>
                <w:b/>
                <w:bCs/>
                <w:color w:val="000000"/>
                <w:lang w:eastAsia="zh-TW"/>
              </w:rPr>
            </w:pPr>
            <w:r w:rsidRPr="0085192F">
              <w:rPr>
                <w:rFonts w:ascii="Times New Roman" w:eastAsia="MingLiU" w:hAnsi="Times New Roman" w:cs="Times New Roman"/>
                <w:b/>
                <w:bCs/>
                <w:color w:val="000000"/>
                <w:lang w:eastAsia="zh-TW"/>
              </w:rPr>
              <w:t>P</w:t>
            </w:r>
            <w:r w:rsidR="00E23637" w:rsidRPr="0085192F">
              <w:rPr>
                <w:rFonts w:ascii="Times New Roman" w:eastAsia="MingLiU" w:hAnsi="Times New Roman" w:cs="Times New Roman"/>
                <w:b/>
                <w:bCs/>
                <w:color w:val="000000"/>
                <w:lang w:eastAsia="zh-TW"/>
              </w:rPr>
              <w:t>ercent</w:t>
            </w:r>
          </w:p>
        </w:tc>
        <w:tc>
          <w:tcPr>
            <w:tcW w:w="924" w:type="dxa"/>
            <w:tcBorders>
              <w:top w:val="nil"/>
              <w:left w:val="nil"/>
              <w:right w:val="nil"/>
            </w:tcBorders>
            <w:shd w:val="clear" w:color="auto" w:fill="auto"/>
            <w:noWrap/>
            <w:vAlign w:val="bottom"/>
            <w:hideMark/>
          </w:tcPr>
          <w:p w14:paraId="43E3B4F4" w14:textId="5AD79D39" w:rsidR="00E23637" w:rsidRPr="0085192F" w:rsidRDefault="008865D6" w:rsidP="00E23637">
            <w:pPr>
              <w:spacing w:after="0" w:line="240" w:lineRule="auto"/>
              <w:rPr>
                <w:rFonts w:ascii="Times New Roman" w:eastAsia="PMingLiU" w:hAnsi="Times New Roman" w:cs="Times New Roman"/>
                <w:b/>
                <w:bCs/>
                <w:color w:val="000000"/>
                <w:lang w:eastAsia="zh-TW"/>
              </w:rPr>
            </w:pPr>
            <w:r w:rsidRPr="0085192F">
              <w:rPr>
                <w:rFonts w:ascii="Times New Roman" w:eastAsia="PMingLiU" w:hAnsi="Times New Roman" w:cs="Times New Roman"/>
                <w:b/>
                <w:bCs/>
                <w:color w:val="000000"/>
                <w:lang w:eastAsia="zh-TW"/>
              </w:rPr>
              <w:t>C</w:t>
            </w:r>
            <w:r w:rsidR="00E23637" w:rsidRPr="0085192F">
              <w:rPr>
                <w:rFonts w:ascii="Times New Roman" w:eastAsia="PMingLiU" w:hAnsi="Times New Roman" w:cs="Times New Roman"/>
                <w:b/>
                <w:bCs/>
                <w:color w:val="000000"/>
                <w:lang w:eastAsia="zh-TW"/>
              </w:rPr>
              <w:t>ount</w:t>
            </w:r>
          </w:p>
        </w:tc>
        <w:tc>
          <w:tcPr>
            <w:tcW w:w="776" w:type="dxa"/>
            <w:tcBorders>
              <w:top w:val="nil"/>
              <w:left w:val="nil"/>
              <w:right w:val="nil"/>
            </w:tcBorders>
            <w:shd w:val="clear" w:color="auto" w:fill="auto"/>
            <w:noWrap/>
            <w:vAlign w:val="bottom"/>
            <w:hideMark/>
          </w:tcPr>
          <w:p w14:paraId="11A1C9C3" w14:textId="1CB7848D" w:rsidR="00E23637" w:rsidRPr="0085192F" w:rsidRDefault="008865D6" w:rsidP="00E23637">
            <w:pPr>
              <w:spacing w:after="0" w:line="240" w:lineRule="auto"/>
              <w:rPr>
                <w:rFonts w:ascii="Times New Roman" w:eastAsia="PMingLiU" w:hAnsi="Times New Roman" w:cs="Times New Roman"/>
                <w:b/>
                <w:bCs/>
                <w:color w:val="000000"/>
                <w:lang w:eastAsia="zh-TW"/>
              </w:rPr>
            </w:pPr>
            <w:r w:rsidRPr="0085192F">
              <w:rPr>
                <w:rFonts w:ascii="Times New Roman" w:eastAsia="PMingLiU" w:hAnsi="Times New Roman" w:cs="Times New Roman"/>
                <w:b/>
                <w:bCs/>
                <w:color w:val="000000"/>
                <w:lang w:eastAsia="zh-TW"/>
              </w:rPr>
              <w:t>P</w:t>
            </w:r>
            <w:r w:rsidR="00E23637" w:rsidRPr="0085192F">
              <w:rPr>
                <w:rFonts w:ascii="Times New Roman" w:eastAsia="PMingLiU" w:hAnsi="Times New Roman" w:cs="Times New Roman"/>
                <w:b/>
                <w:bCs/>
                <w:color w:val="000000"/>
                <w:lang w:eastAsia="zh-TW"/>
              </w:rPr>
              <w:t>ercent</w:t>
            </w:r>
          </w:p>
        </w:tc>
      </w:tr>
      <w:tr w:rsidR="00E23637" w:rsidRPr="0085192F" w14:paraId="3B3F9F3B" w14:textId="77777777" w:rsidTr="00E37440">
        <w:trPr>
          <w:trHeight w:val="300"/>
          <w:jc w:val="center"/>
        </w:trPr>
        <w:tc>
          <w:tcPr>
            <w:tcW w:w="6266" w:type="dxa"/>
            <w:gridSpan w:val="7"/>
            <w:tcBorders>
              <w:top w:val="nil"/>
              <w:bottom w:val="nil"/>
              <w:right w:val="nil"/>
            </w:tcBorders>
            <w:shd w:val="clear" w:color="auto" w:fill="auto"/>
            <w:vAlign w:val="bottom"/>
            <w:hideMark/>
          </w:tcPr>
          <w:p w14:paraId="74C16B55" w14:textId="77777777" w:rsidR="00E23637" w:rsidRPr="0085192F" w:rsidRDefault="00E23637" w:rsidP="00E23637">
            <w:pPr>
              <w:spacing w:after="0" w:line="240" w:lineRule="auto"/>
              <w:rPr>
                <w:rFonts w:ascii="Times New Roman" w:eastAsia="PMingLiU" w:hAnsi="Times New Roman" w:cs="Times New Roman"/>
                <w:i/>
                <w:iCs/>
                <w:color w:val="000000"/>
                <w:lang w:eastAsia="zh-TW"/>
              </w:rPr>
            </w:pPr>
            <w:r w:rsidRPr="0085192F">
              <w:rPr>
                <w:rFonts w:ascii="Times New Roman" w:eastAsia="PMingLiU" w:hAnsi="Times New Roman" w:cs="Times New Roman"/>
                <w:i/>
                <w:iCs/>
                <w:color w:val="000000"/>
                <w:lang w:eastAsia="zh-TW"/>
              </w:rPr>
              <w:t>Age</w:t>
            </w:r>
          </w:p>
        </w:tc>
      </w:tr>
      <w:tr w:rsidR="00E23637" w:rsidRPr="0085192F" w14:paraId="75580623" w14:textId="77777777" w:rsidTr="00E37440">
        <w:trPr>
          <w:trHeight w:val="300"/>
          <w:jc w:val="center"/>
        </w:trPr>
        <w:tc>
          <w:tcPr>
            <w:tcW w:w="766" w:type="dxa"/>
            <w:tcBorders>
              <w:top w:val="nil"/>
              <w:left w:val="nil"/>
              <w:bottom w:val="nil"/>
              <w:right w:val="nil"/>
            </w:tcBorders>
            <w:shd w:val="clear" w:color="auto" w:fill="auto"/>
            <w:noWrap/>
            <w:vAlign w:val="center"/>
            <w:hideMark/>
          </w:tcPr>
          <w:p w14:paraId="12CC5DF2" w14:textId="77777777" w:rsidR="00E23637" w:rsidRPr="0085192F" w:rsidRDefault="00E23637" w:rsidP="00E23637">
            <w:pPr>
              <w:spacing w:after="0" w:line="240" w:lineRule="auto"/>
              <w:ind w:firstLineChars="100" w:firstLine="220"/>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21-30</w:t>
            </w:r>
          </w:p>
        </w:tc>
        <w:tc>
          <w:tcPr>
            <w:tcW w:w="960" w:type="dxa"/>
            <w:tcBorders>
              <w:top w:val="nil"/>
              <w:left w:val="nil"/>
              <w:bottom w:val="nil"/>
              <w:right w:val="nil"/>
            </w:tcBorders>
            <w:shd w:val="clear" w:color="auto" w:fill="auto"/>
            <w:noWrap/>
            <w:vAlign w:val="center"/>
            <w:hideMark/>
          </w:tcPr>
          <w:p w14:paraId="453CD9A4"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47</w:t>
            </w:r>
          </w:p>
        </w:tc>
        <w:tc>
          <w:tcPr>
            <w:tcW w:w="1000" w:type="dxa"/>
            <w:tcBorders>
              <w:top w:val="nil"/>
              <w:left w:val="nil"/>
              <w:bottom w:val="nil"/>
              <w:right w:val="nil"/>
            </w:tcBorders>
            <w:shd w:val="clear" w:color="auto" w:fill="auto"/>
            <w:noWrap/>
            <w:vAlign w:val="center"/>
            <w:hideMark/>
          </w:tcPr>
          <w:p w14:paraId="4A76426B"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20.4</w:t>
            </w:r>
          </w:p>
        </w:tc>
        <w:tc>
          <w:tcPr>
            <w:tcW w:w="880" w:type="dxa"/>
            <w:tcBorders>
              <w:top w:val="nil"/>
              <w:left w:val="nil"/>
              <w:bottom w:val="nil"/>
              <w:right w:val="nil"/>
            </w:tcBorders>
            <w:shd w:val="clear" w:color="auto" w:fill="auto"/>
            <w:noWrap/>
            <w:vAlign w:val="center"/>
            <w:hideMark/>
          </w:tcPr>
          <w:p w14:paraId="35DED48B"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48</w:t>
            </w:r>
          </w:p>
        </w:tc>
        <w:tc>
          <w:tcPr>
            <w:tcW w:w="960" w:type="dxa"/>
            <w:tcBorders>
              <w:top w:val="nil"/>
              <w:left w:val="nil"/>
              <w:bottom w:val="nil"/>
              <w:right w:val="nil"/>
            </w:tcBorders>
            <w:shd w:val="clear" w:color="auto" w:fill="auto"/>
            <w:noWrap/>
            <w:vAlign w:val="center"/>
            <w:hideMark/>
          </w:tcPr>
          <w:p w14:paraId="408CB1E3"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28.4</w:t>
            </w:r>
          </w:p>
        </w:tc>
        <w:tc>
          <w:tcPr>
            <w:tcW w:w="924" w:type="dxa"/>
            <w:tcBorders>
              <w:top w:val="nil"/>
              <w:left w:val="nil"/>
              <w:bottom w:val="nil"/>
              <w:right w:val="nil"/>
            </w:tcBorders>
            <w:shd w:val="clear" w:color="auto" w:fill="auto"/>
            <w:noWrap/>
            <w:vAlign w:val="center"/>
            <w:hideMark/>
          </w:tcPr>
          <w:p w14:paraId="70911FB0"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95</w:t>
            </w:r>
          </w:p>
        </w:tc>
        <w:tc>
          <w:tcPr>
            <w:tcW w:w="776" w:type="dxa"/>
            <w:tcBorders>
              <w:top w:val="nil"/>
              <w:left w:val="nil"/>
              <w:bottom w:val="nil"/>
              <w:right w:val="nil"/>
            </w:tcBorders>
            <w:shd w:val="clear" w:color="auto" w:fill="auto"/>
            <w:noWrap/>
            <w:vAlign w:val="center"/>
            <w:hideMark/>
          </w:tcPr>
          <w:p w14:paraId="0A79950F"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23.8</w:t>
            </w:r>
          </w:p>
        </w:tc>
      </w:tr>
      <w:tr w:rsidR="00E23637" w:rsidRPr="0085192F" w14:paraId="1F089A23" w14:textId="77777777" w:rsidTr="00E37440">
        <w:trPr>
          <w:trHeight w:val="300"/>
          <w:jc w:val="center"/>
        </w:trPr>
        <w:tc>
          <w:tcPr>
            <w:tcW w:w="766" w:type="dxa"/>
            <w:tcBorders>
              <w:top w:val="nil"/>
              <w:left w:val="nil"/>
              <w:bottom w:val="nil"/>
              <w:right w:val="nil"/>
            </w:tcBorders>
            <w:shd w:val="clear" w:color="auto" w:fill="auto"/>
            <w:noWrap/>
            <w:vAlign w:val="center"/>
            <w:hideMark/>
          </w:tcPr>
          <w:p w14:paraId="4CF05491" w14:textId="77777777" w:rsidR="00E23637" w:rsidRPr="0085192F" w:rsidRDefault="00E23637" w:rsidP="00E23637">
            <w:pPr>
              <w:spacing w:after="0" w:line="240" w:lineRule="auto"/>
              <w:ind w:firstLineChars="100" w:firstLine="220"/>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31-40</w:t>
            </w:r>
          </w:p>
        </w:tc>
        <w:tc>
          <w:tcPr>
            <w:tcW w:w="960" w:type="dxa"/>
            <w:tcBorders>
              <w:top w:val="nil"/>
              <w:left w:val="nil"/>
              <w:bottom w:val="nil"/>
              <w:right w:val="nil"/>
            </w:tcBorders>
            <w:shd w:val="clear" w:color="auto" w:fill="auto"/>
            <w:noWrap/>
            <w:vAlign w:val="center"/>
            <w:hideMark/>
          </w:tcPr>
          <w:p w14:paraId="3AE90F39"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129</w:t>
            </w:r>
          </w:p>
        </w:tc>
        <w:tc>
          <w:tcPr>
            <w:tcW w:w="1000" w:type="dxa"/>
            <w:tcBorders>
              <w:top w:val="nil"/>
              <w:left w:val="nil"/>
              <w:bottom w:val="nil"/>
              <w:right w:val="nil"/>
            </w:tcBorders>
            <w:shd w:val="clear" w:color="auto" w:fill="auto"/>
            <w:noWrap/>
            <w:vAlign w:val="center"/>
            <w:hideMark/>
          </w:tcPr>
          <w:p w14:paraId="19F9E1AA"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56.1</w:t>
            </w:r>
          </w:p>
        </w:tc>
        <w:tc>
          <w:tcPr>
            <w:tcW w:w="880" w:type="dxa"/>
            <w:tcBorders>
              <w:top w:val="nil"/>
              <w:left w:val="nil"/>
              <w:bottom w:val="nil"/>
              <w:right w:val="nil"/>
            </w:tcBorders>
            <w:shd w:val="clear" w:color="auto" w:fill="auto"/>
            <w:noWrap/>
            <w:vAlign w:val="center"/>
            <w:hideMark/>
          </w:tcPr>
          <w:p w14:paraId="2252F613"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72</w:t>
            </w:r>
          </w:p>
        </w:tc>
        <w:tc>
          <w:tcPr>
            <w:tcW w:w="960" w:type="dxa"/>
            <w:tcBorders>
              <w:top w:val="nil"/>
              <w:left w:val="nil"/>
              <w:bottom w:val="nil"/>
              <w:right w:val="nil"/>
            </w:tcBorders>
            <w:shd w:val="clear" w:color="auto" w:fill="auto"/>
            <w:noWrap/>
            <w:vAlign w:val="center"/>
            <w:hideMark/>
          </w:tcPr>
          <w:p w14:paraId="63B6FD09"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42.6</w:t>
            </w:r>
          </w:p>
        </w:tc>
        <w:tc>
          <w:tcPr>
            <w:tcW w:w="924" w:type="dxa"/>
            <w:tcBorders>
              <w:top w:val="nil"/>
              <w:left w:val="nil"/>
              <w:bottom w:val="nil"/>
              <w:right w:val="nil"/>
            </w:tcBorders>
            <w:shd w:val="clear" w:color="auto" w:fill="auto"/>
            <w:noWrap/>
            <w:vAlign w:val="center"/>
            <w:hideMark/>
          </w:tcPr>
          <w:p w14:paraId="7E161CB4"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201</w:t>
            </w:r>
          </w:p>
        </w:tc>
        <w:tc>
          <w:tcPr>
            <w:tcW w:w="776" w:type="dxa"/>
            <w:tcBorders>
              <w:top w:val="nil"/>
              <w:left w:val="nil"/>
              <w:bottom w:val="nil"/>
              <w:right w:val="nil"/>
            </w:tcBorders>
            <w:shd w:val="clear" w:color="auto" w:fill="auto"/>
            <w:noWrap/>
            <w:vAlign w:val="center"/>
            <w:hideMark/>
          </w:tcPr>
          <w:p w14:paraId="31582ECF"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50.4</w:t>
            </w:r>
          </w:p>
        </w:tc>
      </w:tr>
      <w:tr w:rsidR="00E23637" w:rsidRPr="0085192F" w14:paraId="2F5AD9D6" w14:textId="77777777" w:rsidTr="00E37440">
        <w:trPr>
          <w:trHeight w:val="300"/>
          <w:jc w:val="center"/>
        </w:trPr>
        <w:tc>
          <w:tcPr>
            <w:tcW w:w="766" w:type="dxa"/>
            <w:tcBorders>
              <w:top w:val="nil"/>
              <w:left w:val="nil"/>
              <w:bottom w:val="nil"/>
              <w:right w:val="nil"/>
            </w:tcBorders>
            <w:shd w:val="clear" w:color="auto" w:fill="auto"/>
            <w:noWrap/>
            <w:vAlign w:val="center"/>
            <w:hideMark/>
          </w:tcPr>
          <w:p w14:paraId="280DE983" w14:textId="77777777" w:rsidR="00E23637" w:rsidRPr="0085192F" w:rsidRDefault="00E23637" w:rsidP="00E23637">
            <w:pPr>
              <w:spacing w:after="0" w:line="240" w:lineRule="auto"/>
              <w:ind w:firstLineChars="100" w:firstLine="220"/>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41-50</w:t>
            </w:r>
          </w:p>
        </w:tc>
        <w:tc>
          <w:tcPr>
            <w:tcW w:w="960" w:type="dxa"/>
            <w:tcBorders>
              <w:top w:val="nil"/>
              <w:left w:val="nil"/>
              <w:bottom w:val="nil"/>
              <w:right w:val="nil"/>
            </w:tcBorders>
            <w:shd w:val="clear" w:color="auto" w:fill="auto"/>
            <w:noWrap/>
            <w:vAlign w:val="center"/>
            <w:hideMark/>
          </w:tcPr>
          <w:p w14:paraId="38C4144B"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41</w:t>
            </w:r>
          </w:p>
        </w:tc>
        <w:tc>
          <w:tcPr>
            <w:tcW w:w="1000" w:type="dxa"/>
            <w:tcBorders>
              <w:top w:val="nil"/>
              <w:left w:val="nil"/>
              <w:bottom w:val="nil"/>
              <w:right w:val="nil"/>
            </w:tcBorders>
            <w:shd w:val="clear" w:color="auto" w:fill="auto"/>
            <w:noWrap/>
            <w:vAlign w:val="center"/>
            <w:hideMark/>
          </w:tcPr>
          <w:p w14:paraId="554B4295"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17.8</w:t>
            </w:r>
          </w:p>
        </w:tc>
        <w:tc>
          <w:tcPr>
            <w:tcW w:w="880" w:type="dxa"/>
            <w:tcBorders>
              <w:top w:val="nil"/>
              <w:left w:val="nil"/>
              <w:bottom w:val="nil"/>
              <w:right w:val="nil"/>
            </w:tcBorders>
            <w:shd w:val="clear" w:color="auto" w:fill="auto"/>
            <w:noWrap/>
            <w:vAlign w:val="center"/>
            <w:hideMark/>
          </w:tcPr>
          <w:p w14:paraId="434636F4"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23</w:t>
            </w:r>
          </w:p>
        </w:tc>
        <w:tc>
          <w:tcPr>
            <w:tcW w:w="960" w:type="dxa"/>
            <w:tcBorders>
              <w:top w:val="nil"/>
              <w:left w:val="nil"/>
              <w:bottom w:val="nil"/>
              <w:right w:val="nil"/>
            </w:tcBorders>
            <w:shd w:val="clear" w:color="auto" w:fill="auto"/>
            <w:noWrap/>
            <w:vAlign w:val="center"/>
            <w:hideMark/>
          </w:tcPr>
          <w:p w14:paraId="77B70CE6"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13.6</w:t>
            </w:r>
          </w:p>
        </w:tc>
        <w:tc>
          <w:tcPr>
            <w:tcW w:w="924" w:type="dxa"/>
            <w:tcBorders>
              <w:top w:val="nil"/>
              <w:left w:val="nil"/>
              <w:bottom w:val="nil"/>
              <w:right w:val="nil"/>
            </w:tcBorders>
            <w:shd w:val="clear" w:color="auto" w:fill="auto"/>
            <w:noWrap/>
            <w:vAlign w:val="center"/>
            <w:hideMark/>
          </w:tcPr>
          <w:p w14:paraId="4476C0BA"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64</w:t>
            </w:r>
          </w:p>
        </w:tc>
        <w:tc>
          <w:tcPr>
            <w:tcW w:w="776" w:type="dxa"/>
            <w:tcBorders>
              <w:top w:val="nil"/>
              <w:left w:val="nil"/>
              <w:bottom w:val="nil"/>
              <w:right w:val="nil"/>
            </w:tcBorders>
            <w:shd w:val="clear" w:color="auto" w:fill="auto"/>
            <w:noWrap/>
            <w:vAlign w:val="center"/>
            <w:hideMark/>
          </w:tcPr>
          <w:p w14:paraId="1ACC6C13"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16.0</w:t>
            </w:r>
          </w:p>
        </w:tc>
      </w:tr>
      <w:tr w:rsidR="00E23637" w:rsidRPr="0085192F" w14:paraId="647AC865" w14:textId="77777777" w:rsidTr="00E37440">
        <w:trPr>
          <w:trHeight w:val="300"/>
          <w:jc w:val="center"/>
        </w:trPr>
        <w:tc>
          <w:tcPr>
            <w:tcW w:w="766" w:type="dxa"/>
            <w:tcBorders>
              <w:top w:val="nil"/>
              <w:left w:val="nil"/>
              <w:bottom w:val="nil"/>
              <w:right w:val="nil"/>
            </w:tcBorders>
            <w:shd w:val="clear" w:color="auto" w:fill="auto"/>
            <w:noWrap/>
            <w:vAlign w:val="center"/>
            <w:hideMark/>
          </w:tcPr>
          <w:p w14:paraId="4B63C4C7" w14:textId="77777777" w:rsidR="00E23637" w:rsidRPr="0085192F" w:rsidRDefault="00E23637" w:rsidP="00E23637">
            <w:pPr>
              <w:spacing w:after="0" w:line="240" w:lineRule="auto"/>
              <w:ind w:firstLineChars="100" w:firstLine="220"/>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51-60</w:t>
            </w:r>
          </w:p>
        </w:tc>
        <w:tc>
          <w:tcPr>
            <w:tcW w:w="960" w:type="dxa"/>
            <w:tcBorders>
              <w:top w:val="nil"/>
              <w:left w:val="nil"/>
              <w:bottom w:val="nil"/>
              <w:right w:val="nil"/>
            </w:tcBorders>
            <w:shd w:val="clear" w:color="auto" w:fill="auto"/>
            <w:noWrap/>
            <w:vAlign w:val="center"/>
            <w:hideMark/>
          </w:tcPr>
          <w:p w14:paraId="4D80DE8F"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12</w:t>
            </w:r>
          </w:p>
        </w:tc>
        <w:tc>
          <w:tcPr>
            <w:tcW w:w="1000" w:type="dxa"/>
            <w:tcBorders>
              <w:top w:val="nil"/>
              <w:left w:val="nil"/>
              <w:bottom w:val="nil"/>
              <w:right w:val="nil"/>
            </w:tcBorders>
            <w:shd w:val="clear" w:color="auto" w:fill="auto"/>
            <w:noWrap/>
            <w:vAlign w:val="center"/>
            <w:hideMark/>
          </w:tcPr>
          <w:p w14:paraId="63E6ECBD"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5.2</w:t>
            </w:r>
          </w:p>
        </w:tc>
        <w:tc>
          <w:tcPr>
            <w:tcW w:w="880" w:type="dxa"/>
            <w:tcBorders>
              <w:top w:val="nil"/>
              <w:left w:val="nil"/>
              <w:bottom w:val="nil"/>
              <w:right w:val="nil"/>
            </w:tcBorders>
            <w:shd w:val="clear" w:color="auto" w:fill="auto"/>
            <w:noWrap/>
            <w:vAlign w:val="center"/>
            <w:hideMark/>
          </w:tcPr>
          <w:p w14:paraId="2D14F1DE"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16</w:t>
            </w:r>
          </w:p>
        </w:tc>
        <w:tc>
          <w:tcPr>
            <w:tcW w:w="960" w:type="dxa"/>
            <w:tcBorders>
              <w:top w:val="nil"/>
              <w:left w:val="nil"/>
              <w:bottom w:val="nil"/>
              <w:right w:val="nil"/>
            </w:tcBorders>
            <w:shd w:val="clear" w:color="auto" w:fill="auto"/>
            <w:noWrap/>
            <w:vAlign w:val="center"/>
            <w:hideMark/>
          </w:tcPr>
          <w:p w14:paraId="178F9802"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9.5</w:t>
            </w:r>
          </w:p>
        </w:tc>
        <w:tc>
          <w:tcPr>
            <w:tcW w:w="924" w:type="dxa"/>
            <w:tcBorders>
              <w:top w:val="nil"/>
              <w:left w:val="nil"/>
              <w:bottom w:val="nil"/>
              <w:right w:val="nil"/>
            </w:tcBorders>
            <w:shd w:val="clear" w:color="auto" w:fill="auto"/>
            <w:noWrap/>
            <w:vAlign w:val="center"/>
            <w:hideMark/>
          </w:tcPr>
          <w:p w14:paraId="7AC74DB4"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28</w:t>
            </w:r>
          </w:p>
        </w:tc>
        <w:tc>
          <w:tcPr>
            <w:tcW w:w="776" w:type="dxa"/>
            <w:tcBorders>
              <w:top w:val="nil"/>
              <w:left w:val="nil"/>
              <w:bottom w:val="nil"/>
              <w:right w:val="nil"/>
            </w:tcBorders>
            <w:shd w:val="clear" w:color="auto" w:fill="auto"/>
            <w:noWrap/>
            <w:vAlign w:val="center"/>
            <w:hideMark/>
          </w:tcPr>
          <w:p w14:paraId="4AFCEF72"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7.0</w:t>
            </w:r>
          </w:p>
        </w:tc>
      </w:tr>
      <w:tr w:rsidR="00E23637" w:rsidRPr="0085192F" w14:paraId="688062B9" w14:textId="77777777" w:rsidTr="00E37440">
        <w:trPr>
          <w:trHeight w:val="330"/>
          <w:jc w:val="center"/>
        </w:trPr>
        <w:tc>
          <w:tcPr>
            <w:tcW w:w="766" w:type="dxa"/>
            <w:tcBorders>
              <w:top w:val="nil"/>
              <w:left w:val="nil"/>
              <w:bottom w:val="single" w:sz="8" w:space="0" w:color="auto"/>
              <w:right w:val="nil"/>
            </w:tcBorders>
            <w:shd w:val="clear" w:color="auto" w:fill="auto"/>
            <w:noWrap/>
            <w:vAlign w:val="center"/>
            <w:hideMark/>
          </w:tcPr>
          <w:p w14:paraId="5566BEAE" w14:textId="77777777" w:rsidR="00E23637" w:rsidRPr="0085192F" w:rsidRDefault="00E23637" w:rsidP="00E23637">
            <w:pPr>
              <w:spacing w:after="0" w:line="240" w:lineRule="auto"/>
              <w:ind w:firstLineChars="100" w:firstLine="220"/>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&gt;60</w:t>
            </w:r>
          </w:p>
        </w:tc>
        <w:tc>
          <w:tcPr>
            <w:tcW w:w="960" w:type="dxa"/>
            <w:tcBorders>
              <w:top w:val="nil"/>
              <w:left w:val="nil"/>
              <w:bottom w:val="single" w:sz="8" w:space="0" w:color="auto"/>
              <w:right w:val="nil"/>
            </w:tcBorders>
            <w:shd w:val="clear" w:color="auto" w:fill="auto"/>
            <w:noWrap/>
            <w:vAlign w:val="center"/>
            <w:hideMark/>
          </w:tcPr>
          <w:p w14:paraId="61ADF9F1"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w:t>
            </w:r>
          </w:p>
        </w:tc>
        <w:tc>
          <w:tcPr>
            <w:tcW w:w="1000" w:type="dxa"/>
            <w:tcBorders>
              <w:top w:val="nil"/>
              <w:left w:val="nil"/>
              <w:bottom w:val="single" w:sz="8" w:space="0" w:color="auto"/>
              <w:right w:val="nil"/>
            </w:tcBorders>
            <w:shd w:val="clear" w:color="auto" w:fill="auto"/>
            <w:noWrap/>
            <w:vAlign w:val="center"/>
            <w:hideMark/>
          </w:tcPr>
          <w:p w14:paraId="6A5A7F7F" w14:textId="4764DDD4"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4</w:t>
            </w:r>
          </w:p>
        </w:tc>
        <w:tc>
          <w:tcPr>
            <w:tcW w:w="880" w:type="dxa"/>
            <w:tcBorders>
              <w:top w:val="nil"/>
              <w:left w:val="nil"/>
              <w:bottom w:val="single" w:sz="8" w:space="0" w:color="auto"/>
              <w:right w:val="nil"/>
            </w:tcBorders>
            <w:shd w:val="clear" w:color="auto" w:fill="auto"/>
            <w:noWrap/>
            <w:vAlign w:val="center"/>
            <w:hideMark/>
          </w:tcPr>
          <w:p w14:paraId="2CDA0906"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10</w:t>
            </w:r>
          </w:p>
        </w:tc>
        <w:tc>
          <w:tcPr>
            <w:tcW w:w="960" w:type="dxa"/>
            <w:tcBorders>
              <w:top w:val="nil"/>
              <w:left w:val="nil"/>
              <w:bottom w:val="single" w:sz="8" w:space="0" w:color="auto"/>
              <w:right w:val="nil"/>
            </w:tcBorders>
            <w:shd w:val="clear" w:color="auto" w:fill="auto"/>
            <w:noWrap/>
            <w:vAlign w:val="center"/>
            <w:hideMark/>
          </w:tcPr>
          <w:p w14:paraId="4398F582"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5.9</w:t>
            </w:r>
          </w:p>
        </w:tc>
        <w:tc>
          <w:tcPr>
            <w:tcW w:w="924" w:type="dxa"/>
            <w:tcBorders>
              <w:top w:val="nil"/>
              <w:left w:val="nil"/>
              <w:bottom w:val="single" w:sz="8" w:space="0" w:color="auto"/>
              <w:right w:val="nil"/>
            </w:tcBorders>
            <w:shd w:val="clear" w:color="auto" w:fill="auto"/>
            <w:noWrap/>
            <w:vAlign w:val="center"/>
            <w:hideMark/>
          </w:tcPr>
          <w:p w14:paraId="5E0F5D42"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11</w:t>
            </w:r>
          </w:p>
        </w:tc>
        <w:tc>
          <w:tcPr>
            <w:tcW w:w="776" w:type="dxa"/>
            <w:tcBorders>
              <w:top w:val="nil"/>
              <w:left w:val="nil"/>
              <w:bottom w:val="single" w:sz="8" w:space="0" w:color="auto"/>
              <w:right w:val="nil"/>
            </w:tcBorders>
            <w:shd w:val="clear" w:color="auto" w:fill="auto"/>
            <w:noWrap/>
            <w:vAlign w:val="center"/>
            <w:hideMark/>
          </w:tcPr>
          <w:p w14:paraId="0E798F70"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2.8</w:t>
            </w:r>
          </w:p>
        </w:tc>
      </w:tr>
      <w:tr w:rsidR="00E23637" w:rsidRPr="0085192F" w14:paraId="756B2CFF" w14:textId="77777777" w:rsidTr="00E37440">
        <w:trPr>
          <w:trHeight w:val="300"/>
          <w:jc w:val="center"/>
        </w:trPr>
        <w:tc>
          <w:tcPr>
            <w:tcW w:w="6266" w:type="dxa"/>
            <w:gridSpan w:val="7"/>
            <w:tcBorders>
              <w:top w:val="nil"/>
              <w:left w:val="nil"/>
              <w:bottom w:val="nil"/>
              <w:right w:val="nil"/>
            </w:tcBorders>
            <w:shd w:val="clear" w:color="auto" w:fill="auto"/>
            <w:noWrap/>
            <w:vAlign w:val="center"/>
            <w:hideMark/>
          </w:tcPr>
          <w:p w14:paraId="20584566" w14:textId="77777777" w:rsidR="00E23637" w:rsidRPr="0085192F" w:rsidRDefault="00E23637" w:rsidP="00E23637">
            <w:pPr>
              <w:spacing w:after="0" w:line="240" w:lineRule="auto"/>
              <w:rPr>
                <w:rFonts w:ascii="Times New Roman" w:eastAsia="MingLiU" w:hAnsi="Times New Roman" w:cs="Times New Roman"/>
                <w:i/>
                <w:iCs/>
                <w:color w:val="000000"/>
                <w:lang w:eastAsia="zh-TW"/>
              </w:rPr>
            </w:pPr>
            <w:r w:rsidRPr="0085192F">
              <w:rPr>
                <w:rFonts w:ascii="Times New Roman" w:eastAsia="MingLiU" w:hAnsi="Times New Roman" w:cs="Times New Roman"/>
                <w:i/>
                <w:iCs/>
                <w:color w:val="000000"/>
                <w:lang w:eastAsia="zh-TW"/>
              </w:rPr>
              <w:t>Gender</w:t>
            </w:r>
          </w:p>
        </w:tc>
      </w:tr>
      <w:tr w:rsidR="00E23637" w:rsidRPr="0085192F" w14:paraId="365B5691" w14:textId="77777777" w:rsidTr="00E37440">
        <w:trPr>
          <w:trHeight w:val="300"/>
          <w:jc w:val="center"/>
        </w:trPr>
        <w:tc>
          <w:tcPr>
            <w:tcW w:w="766" w:type="dxa"/>
            <w:tcBorders>
              <w:top w:val="nil"/>
              <w:left w:val="nil"/>
              <w:bottom w:val="nil"/>
              <w:right w:val="nil"/>
            </w:tcBorders>
            <w:shd w:val="clear" w:color="auto" w:fill="auto"/>
            <w:noWrap/>
            <w:vAlign w:val="center"/>
            <w:hideMark/>
          </w:tcPr>
          <w:p w14:paraId="2BAA35C3" w14:textId="77777777" w:rsidR="00E23637" w:rsidRPr="0085192F" w:rsidRDefault="00E23637" w:rsidP="00E23637">
            <w:pPr>
              <w:spacing w:after="0" w:line="240" w:lineRule="auto"/>
              <w:ind w:firstLineChars="100" w:firstLine="220"/>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Male</w:t>
            </w:r>
          </w:p>
        </w:tc>
        <w:tc>
          <w:tcPr>
            <w:tcW w:w="960" w:type="dxa"/>
            <w:tcBorders>
              <w:top w:val="nil"/>
              <w:left w:val="nil"/>
              <w:bottom w:val="nil"/>
              <w:right w:val="nil"/>
            </w:tcBorders>
            <w:shd w:val="clear" w:color="auto" w:fill="auto"/>
            <w:noWrap/>
            <w:vAlign w:val="center"/>
            <w:hideMark/>
          </w:tcPr>
          <w:p w14:paraId="3BDD4EE2"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124</w:t>
            </w:r>
          </w:p>
        </w:tc>
        <w:tc>
          <w:tcPr>
            <w:tcW w:w="1000" w:type="dxa"/>
            <w:tcBorders>
              <w:top w:val="nil"/>
              <w:left w:val="nil"/>
              <w:bottom w:val="nil"/>
              <w:right w:val="nil"/>
            </w:tcBorders>
            <w:shd w:val="clear" w:color="auto" w:fill="auto"/>
            <w:noWrap/>
            <w:vAlign w:val="center"/>
            <w:hideMark/>
          </w:tcPr>
          <w:p w14:paraId="34281429"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53.9</w:t>
            </w:r>
          </w:p>
        </w:tc>
        <w:tc>
          <w:tcPr>
            <w:tcW w:w="880" w:type="dxa"/>
            <w:tcBorders>
              <w:top w:val="nil"/>
              <w:left w:val="nil"/>
              <w:bottom w:val="nil"/>
              <w:right w:val="nil"/>
            </w:tcBorders>
            <w:shd w:val="clear" w:color="auto" w:fill="auto"/>
            <w:noWrap/>
            <w:vAlign w:val="center"/>
            <w:hideMark/>
          </w:tcPr>
          <w:p w14:paraId="009A3D7E"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81</w:t>
            </w:r>
          </w:p>
        </w:tc>
        <w:tc>
          <w:tcPr>
            <w:tcW w:w="960" w:type="dxa"/>
            <w:tcBorders>
              <w:top w:val="nil"/>
              <w:left w:val="nil"/>
              <w:bottom w:val="nil"/>
              <w:right w:val="nil"/>
            </w:tcBorders>
            <w:shd w:val="clear" w:color="auto" w:fill="auto"/>
            <w:noWrap/>
            <w:vAlign w:val="center"/>
            <w:hideMark/>
          </w:tcPr>
          <w:p w14:paraId="3835C106"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47.9</w:t>
            </w:r>
          </w:p>
        </w:tc>
        <w:tc>
          <w:tcPr>
            <w:tcW w:w="924" w:type="dxa"/>
            <w:tcBorders>
              <w:top w:val="nil"/>
              <w:left w:val="nil"/>
              <w:bottom w:val="nil"/>
              <w:right w:val="nil"/>
            </w:tcBorders>
            <w:shd w:val="clear" w:color="auto" w:fill="auto"/>
            <w:noWrap/>
            <w:vAlign w:val="center"/>
            <w:hideMark/>
          </w:tcPr>
          <w:p w14:paraId="013ACA24"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205</w:t>
            </w:r>
          </w:p>
        </w:tc>
        <w:tc>
          <w:tcPr>
            <w:tcW w:w="776" w:type="dxa"/>
            <w:tcBorders>
              <w:top w:val="nil"/>
              <w:left w:val="nil"/>
              <w:bottom w:val="nil"/>
              <w:right w:val="nil"/>
            </w:tcBorders>
            <w:shd w:val="clear" w:color="auto" w:fill="auto"/>
            <w:noWrap/>
            <w:vAlign w:val="center"/>
            <w:hideMark/>
          </w:tcPr>
          <w:p w14:paraId="4769868B"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51.4</w:t>
            </w:r>
          </w:p>
        </w:tc>
      </w:tr>
      <w:tr w:rsidR="00E23637" w:rsidRPr="0085192F" w14:paraId="432E19AF" w14:textId="77777777" w:rsidTr="00E37440">
        <w:trPr>
          <w:trHeight w:val="330"/>
          <w:jc w:val="center"/>
        </w:trPr>
        <w:tc>
          <w:tcPr>
            <w:tcW w:w="766" w:type="dxa"/>
            <w:tcBorders>
              <w:top w:val="nil"/>
              <w:left w:val="nil"/>
              <w:bottom w:val="single" w:sz="8" w:space="0" w:color="auto"/>
              <w:right w:val="nil"/>
            </w:tcBorders>
            <w:shd w:val="clear" w:color="auto" w:fill="auto"/>
            <w:noWrap/>
            <w:vAlign w:val="center"/>
            <w:hideMark/>
          </w:tcPr>
          <w:p w14:paraId="6914D655" w14:textId="77777777" w:rsidR="00E23637" w:rsidRPr="0085192F" w:rsidRDefault="00E23637" w:rsidP="00E23637">
            <w:pPr>
              <w:spacing w:after="0" w:line="240" w:lineRule="auto"/>
              <w:ind w:firstLineChars="100" w:firstLine="220"/>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Female</w:t>
            </w:r>
          </w:p>
        </w:tc>
        <w:tc>
          <w:tcPr>
            <w:tcW w:w="960" w:type="dxa"/>
            <w:tcBorders>
              <w:top w:val="nil"/>
              <w:left w:val="nil"/>
              <w:bottom w:val="single" w:sz="8" w:space="0" w:color="auto"/>
              <w:right w:val="nil"/>
            </w:tcBorders>
            <w:shd w:val="clear" w:color="auto" w:fill="auto"/>
            <w:noWrap/>
            <w:vAlign w:val="center"/>
            <w:hideMark/>
          </w:tcPr>
          <w:p w14:paraId="5F6F7D07"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106</w:t>
            </w:r>
          </w:p>
        </w:tc>
        <w:tc>
          <w:tcPr>
            <w:tcW w:w="1000" w:type="dxa"/>
            <w:tcBorders>
              <w:top w:val="nil"/>
              <w:left w:val="nil"/>
              <w:bottom w:val="single" w:sz="8" w:space="0" w:color="auto"/>
              <w:right w:val="nil"/>
            </w:tcBorders>
            <w:shd w:val="clear" w:color="auto" w:fill="auto"/>
            <w:noWrap/>
            <w:vAlign w:val="center"/>
            <w:hideMark/>
          </w:tcPr>
          <w:p w14:paraId="531C62F0"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46.1</w:t>
            </w:r>
          </w:p>
        </w:tc>
        <w:tc>
          <w:tcPr>
            <w:tcW w:w="880" w:type="dxa"/>
            <w:tcBorders>
              <w:top w:val="nil"/>
              <w:left w:val="nil"/>
              <w:bottom w:val="single" w:sz="8" w:space="0" w:color="auto"/>
              <w:right w:val="nil"/>
            </w:tcBorders>
            <w:shd w:val="clear" w:color="auto" w:fill="auto"/>
            <w:noWrap/>
            <w:vAlign w:val="center"/>
            <w:hideMark/>
          </w:tcPr>
          <w:p w14:paraId="030C7286"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88</w:t>
            </w:r>
          </w:p>
        </w:tc>
        <w:tc>
          <w:tcPr>
            <w:tcW w:w="960" w:type="dxa"/>
            <w:tcBorders>
              <w:top w:val="nil"/>
              <w:left w:val="nil"/>
              <w:bottom w:val="single" w:sz="8" w:space="0" w:color="auto"/>
              <w:right w:val="nil"/>
            </w:tcBorders>
            <w:shd w:val="clear" w:color="auto" w:fill="auto"/>
            <w:noWrap/>
            <w:vAlign w:val="center"/>
            <w:hideMark/>
          </w:tcPr>
          <w:p w14:paraId="0F923049" w14:textId="77777777" w:rsidR="00E23637" w:rsidRPr="0085192F" w:rsidRDefault="00E23637" w:rsidP="00E37440">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52.1</w:t>
            </w:r>
          </w:p>
        </w:tc>
        <w:tc>
          <w:tcPr>
            <w:tcW w:w="924" w:type="dxa"/>
            <w:tcBorders>
              <w:top w:val="nil"/>
              <w:left w:val="nil"/>
              <w:bottom w:val="single" w:sz="8" w:space="0" w:color="auto"/>
              <w:right w:val="nil"/>
            </w:tcBorders>
            <w:shd w:val="clear" w:color="auto" w:fill="auto"/>
            <w:noWrap/>
            <w:vAlign w:val="center"/>
            <w:hideMark/>
          </w:tcPr>
          <w:p w14:paraId="76531D70"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194</w:t>
            </w:r>
          </w:p>
        </w:tc>
        <w:tc>
          <w:tcPr>
            <w:tcW w:w="776" w:type="dxa"/>
            <w:tcBorders>
              <w:top w:val="nil"/>
              <w:left w:val="nil"/>
              <w:bottom w:val="single" w:sz="8" w:space="0" w:color="auto"/>
              <w:right w:val="nil"/>
            </w:tcBorders>
            <w:shd w:val="clear" w:color="auto" w:fill="auto"/>
            <w:noWrap/>
            <w:vAlign w:val="center"/>
            <w:hideMark/>
          </w:tcPr>
          <w:p w14:paraId="6D9D3604" w14:textId="77777777" w:rsidR="00E23637" w:rsidRPr="0085192F" w:rsidRDefault="00E23637" w:rsidP="00E23637">
            <w:pPr>
              <w:spacing w:after="0" w:line="240" w:lineRule="auto"/>
              <w:jc w:val="center"/>
              <w:rPr>
                <w:rFonts w:ascii="Times New Roman" w:eastAsia="MingLiU" w:hAnsi="Times New Roman" w:cs="Times New Roman"/>
                <w:color w:val="000000"/>
                <w:lang w:eastAsia="zh-TW"/>
              </w:rPr>
            </w:pPr>
            <w:r w:rsidRPr="0085192F">
              <w:rPr>
                <w:rFonts w:ascii="Times New Roman" w:eastAsia="MingLiU" w:hAnsi="Times New Roman" w:cs="Times New Roman"/>
                <w:color w:val="000000"/>
                <w:lang w:eastAsia="zh-TW"/>
              </w:rPr>
              <w:t>48.6</w:t>
            </w:r>
          </w:p>
        </w:tc>
      </w:tr>
    </w:tbl>
    <w:p w14:paraId="5A9C2D82" w14:textId="77777777" w:rsidR="00390BB1" w:rsidRPr="008D5308" w:rsidRDefault="00390BB1" w:rsidP="007E5744">
      <w:pPr>
        <w:rPr>
          <w:rFonts w:ascii="Times New Roman" w:hAnsi="Times New Roman" w:cs="Times New Roman"/>
        </w:rPr>
      </w:pPr>
    </w:p>
    <w:p w14:paraId="348AB363" w14:textId="77777777" w:rsidR="003A1536" w:rsidRDefault="003A1536" w:rsidP="003A1536">
      <w:pPr>
        <w:rPr>
          <w:rFonts w:ascii="Times New Roman" w:hAnsi="Times New Roman" w:cs="Times New Roman"/>
        </w:rPr>
        <w:sectPr w:rsidR="003A1536" w:rsidSect="00AC3DB6">
          <w:pgSz w:w="11906" w:h="16838"/>
          <w:pgMar w:top="1440" w:right="1440" w:bottom="1440" w:left="1440" w:header="708" w:footer="708" w:gutter="0"/>
          <w:pgNumType w:start="0"/>
          <w:cols w:space="708"/>
          <w:titlePg/>
          <w:docGrid w:linePitch="360"/>
        </w:sectPr>
      </w:pPr>
    </w:p>
    <w:tbl>
      <w:tblPr>
        <w:tblW w:w="9630" w:type="dxa"/>
        <w:tblCellMar>
          <w:left w:w="28" w:type="dxa"/>
          <w:right w:w="28" w:type="dxa"/>
        </w:tblCellMar>
        <w:tblLook w:val="04A0" w:firstRow="1" w:lastRow="0" w:firstColumn="1" w:lastColumn="0" w:noHBand="0" w:noVBand="1"/>
      </w:tblPr>
      <w:tblGrid>
        <w:gridCol w:w="1843"/>
        <w:gridCol w:w="1276"/>
        <w:gridCol w:w="1111"/>
        <w:gridCol w:w="1620"/>
        <w:gridCol w:w="1620"/>
        <w:gridCol w:w="1350"/>
        <w:gridCol w:w="810"/>
      </w:tblGrid>
      <w:tr w:rsidR="003A1536" w:rsidRPr="003A1536" w14:paraId="630D2854" w14:textId="77777777" w:rsidTr="0085192F">
        <w:trPr>
          <w:trHeight w:val="315"/>
        </w:trPr>
        <w:tc>
          <w:tcPr>
            <w:tcW w:w="8820" w:type="dxa"/>
            <w:gridSpan w:val="6"/>
            <w:tcBorders>
              <w:top w:val="nil"/>
              <w:bottom w:val="single" w:sz="4" w:space="0" w:color="auto"/>
              <w:right w:val="nil"/>
            </w:tcBorders>
            <w:shd w:val="clear" w:color="auto" w:fill="auto"/>
            <w:noWrap/>
            <w:vAlign w:val="bottom"/>
            <w:hideMark/>
          </w:tcPr>
          <w:p w14:paraId="4810AAAA" w14:textId="77777777" w:rsidR="003A1536" w:rsidRPr="0085192F" w:rsidRDefault="003A1536" w:rsidP="003A1536">
            <w:pPr>
              <w:spacing w:after="0" w:line="240" w:lineRule="auto"/>
              <w:jc w:val="center"/>
              <w:rPr>
                <w:rFonts w:ascii="Times New Roman" w:eastAsia="PMingLiU" w:hAnsi="Times New Roman" w:cs="Times New Roman"/>
                <w:b/>
                <w:bCs/>
                <w:color w:val="000000"/>
                <w:sz w:val="24"/>
                <w:szCs w:val="24"/>
                <w:lang w:eastAsia="zh-TW"/>
              </w:rPr>
            </w:pPr>
            <w:r w:rsidRPr="0085192F">
              <w:rPr>
                <w:rFonts w:ascii="Times New Roman" w:eastAsia="PMingLiU" w:hAnsi="Times New Roman" w:cs="Times New Roman"/>
                <w:b/>
                <w:bCs/>
                <w:color w:val="000000"/>
                <w:sz w:val="24"/>
                <w:szCs w:val="24"/>
                <w:lang w:eastAsia="zh-TW"/>
              </w:rPr>
              <w:t>Table 2 Transition Matrices for Casino Employees</w:t>
            </w:r>
          </w:p>
        </w:tc>
        <w:tc>
          <w:tcPr>
            <w:tcW w:w="810" w:type="dxa"/>
            <w:tcBorders>
              <w:top w:val="nil"/>
              <w:left w:val="nil"/>
              <w:bottom w:val="single" w:sz="4" w:space="0" w:color="auto"/>
              <w:right w:val="nil"/>
            </w:tcBorders>
            <w:shd w:val="clear" w:color="auto" w:fill="auto"/>
            <w:noWrap/>
            <w:vAlign w:val="bottom"/>
            <w:hideMark/>
          </w:tcPr>
          <w:p w14:paraId="42702375" w14:textId="77777777" w:rsidR="003A1536" w:rsidRPr="008D5308" w:rsidRDefault="003A1536" w:rsidP="003A1536">
            <w:pPr>
              <w:spacing w:after="0" w:line="240" w:lineRule="auto"/>
              <w:jc w:val="center"/>
              <w:rPr>
                <w:rFonts w:ascii="Times New Roman" w:eastAsia="PMingLiU" w:hAnsi="Times New Roman" w:cs="Times New Roman"/>
                <w:b/>
                <w:bCs/>
                <w:color w:val="000000"/>
                <w:sz w:val="20"/>
                <w:szCs w:val="20"/>
                <w:lang w:eastAsia="zh-TW"/>
              </w:rPr>
            </w:pPr>
          </w:p>
        </w:tc>
      </w:tr>
      <w:tr w:rsidR="003A1536" w:rsidRPr="003A1536" w14:paraId="0E7E251B" w14:textId="77777777" w:rsidTr="0085192F">
        <w:trPr>
          <w:trHeight w:val="315"/>
        </w:trPr>
        <w:tc>
          <w:tcPr>
            <w:tcW w:w="963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FCC7" w14:textId="039EE83C" w:rsidR="003A1536" w:rsidRPr="008D5308" w:rsidRDefault="003A1536" w:rsidP="00BA7883">
            <w:pPr>
              <w:spacing w:after="0" w:line="240" w:lineRule="auto"/>
              <w:jc w:val="center"/>
              <w:rPr>
                <w:rFonts w:ascii="Times New Roman" w:eastAsia="PMingLiU" w:hAnsi="Times New Roman" w:cs="Times New Roman"/>
                <w:b/>
                <w:bCs/>
                <w:color w:val="000000"/>
                <w:sz w:val="20"/>
                <w:szCs w:val="20"/>
                <w:lang w:eastAsia="zh-TW"/>
              </w:rPr>
            </w:pPr>
            <w:r w:rsidRPr="008D5308">
              <w:rPr>
                <w:rFonts w:ascii="Times New Roman" w:eastAsia="PMingLiU" w:hAnsi="Times New Roman" w:cs="Times New Roman"/>
                <w:b/>
                <w:bCs/>
                <w:color w:val="000000"/>
                <w:sz w:val="20"/>
                <w:szCs w:val="20"/>
                <w:lang w:eastAsia="zh-TW"/>
              </w:rPr>
              <w:t xml:space="preserve">2-1 Gambling Frequency </w:t>
            </w:r>
            <w:r w:rsidR="00BA7883">
              <w:rPr>
                <w:rFonts w:ascii="Times New Roman" w:eastAsia="PMingLiU" w:hAnsi="Times New Roman" w:cs="Times New Roman"/>
                <w:b/>
                <w:bCs/>
                <w:color w:val="000000"/>
                <w:sz w:val="20"/>
                <w:szCs w:val="20"/>
                <w:lang w:eastAsia="zh-TW"/>
              </w:rPr>
              <w:t xml:space="preserve">in first year gambling </w:t>
            </w:r>
            <w:r w:rsidR="00666BD5">
              <w:rPr>
                <w:rFonts w:ascii="Times New Roman" w:eastAsia="PMingLiU" w:hAnsi="Times New Roman" w:cs="Times New Roman"/>
                <w:b/>
                <w:bCs/>
                <w:color w:val="000000"/>
                <w:sz w:val="20"/>
                <w:szCs w:val="20"/>
                <w:lang w:eastAsia="zh-TW"/>
              </w:rPr>
              <w:t>and</w:t>
            </w:r>
            <w:r w:rsidR="00BA7883">
              <w:rPr>
                <w:rFonts w:ascii="Times New Roman" w:eastAsia="PMingLiU" w:hAnsi="Times New Roman" w:cs="Times New Roman"/>
                <w:b/>
                <w:bCs/>
                <w:color w:val="000000"/>
                <w:sz w:val="20"/>
                <w:szCs w:val="20"/>
                <w:lang w:eastAsia="zh-TW"/>
              </w:rPr>
              <w:t xml:space="preserve"> last 12 months</w:t>
            </w:r>
          </w:p>
        </w:tc>
      </w:tr>
      <w:tr w:rsidR="003A1536" w:rsidRPr="003A1536" w14:paraId="223B766A" w14:textId="77777777" w:rsidTr="0085192F">
        <w:trPr>
          <w:trHeight w:val="623"/>
        </w:trPr>
        <w:tc>
          <w:tcPr>
            <w:tcW w:w="1843"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186222E0" w14:textId="54834BEE" w:rsidR="003A1536" w:rsidRPr="008D5308" w:rsidRDefault="003A1536" w:rsidP="003A1536">
            <w:pPr>
              <w:spacing w:after="0" w:line="240" w:lineRule="auto"/>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 xml:space="preserve">              Past </w:t>
            </w:r>
            <w:r w:rsidR="00BA7883">
              <w:rPr>
                <w:rFonts w:ascii="Times New Roman" w:eastAsia="PMingLiU" w:hAnsi="Times New Roman" w:cs="Times New Roman"/>
                <w:color w:val="000000"/>
                <w:sz w:val="20"/>
                <w:szCs w:val="20"/>
                <w:lang w:eastAsia="zh-TW"/>
              </w:rPr>
              <w:t xml:space="preserve">12 mo. </w:t>
            </w:r>
            <w:r w:rsidRPr="008D5308">
              <w:rPr>
                <w:rFonts w:ascii="Times New Roman" w:eastAsia="PMingLiU" w:hAnsi="Times New Roman" w:cs="Times New Roman"/>
                <w:color w:val="000000"/>
                <w:sz w:val="20"/>
                <w:szCs w:val="20"/>
                <w:lang w:eastAsia="zh-TW"/>
              </w:rPr>
              <w:br/>
            </w:r>
          </w:p>
          <w:p w14:paraId="07E0A958" w14:textId="18AFE47F" w:rsidR="003A1536" w:rsidRPr="008D5308" w:rsidRDefault="000B197D" w:rsidP="000B197D">
            <w:pPr>
              <w:spacing w:after="0" w:line="240" w:lineRule="auto"/>
              <w:rPr>
                <w:rFonts w:ascii="Times New Roman" w:eastAsia="PMingLiU" w:hAnsi="Times New Roman" w:cs="Times New Roman"/>
                <w:color w:val="000000"/>
                <w:sz w:val="20"/>
                <w:szCs w:val="20"/>
                <w:lang w:eastAsia="zh-TW"/>
              </w:rPr>
            </w:pPr>
            <w:r>
              <w:rPr>
                <w:rFonts w:ascii="Times New Roman" w:eastAsia="PMingLiU" w:hAnsi="Times New Roman" w:cs="Times New Roman"/>
                <w:color w:val="000000"/>
                <w:sz w:val="20"/>
                <w:szCs w:val="20"/>
                <w:lang w:eastAsia="zh-TW"/>
              </w:rPr>
              <w:t xml:space="preserve">First </w:t>
            </w:r>
            <w:r w:rsidR="003A1536" w:rsidRPr="008D5308">
              <w:rPr>
                <w:rFonts w:ascii="Times New Roman" w:eastAsia="PMingLiU" w:hAnsi="Times New Roman" w:cs="Times New Roman"/>
                <w:color w:val="000000"/>
                <w:sz w:val="20"/>
                <w:szCs w:val="20"/>
                <w:lang w:eastAsia="zh-TW"/>
              </w:rPr>
              <w:t>Y</w:t>
            </w:r>
            <w:r w:rsidR="00BA7883">
              <w:rPr>
                <w:rFonts w:ascii="Times New Roman" w:eastAsia="PMingLiU" w:hAnsi="Times New Roman" w:cs="Times New Roman"/>
                <w:color w:val="000000"/>
                <w:sz w:val="20"/>
                <w:szCs w:val="20"/>
                <w:lang w:eastAsia="zh-TW"/>
              </w:rPr>
              <w:t>ear</w:t>
            </w:r>
            <w:r w:rsidR="003A1536" w:rsidRPr="008D5308">
              <w:rPr>
                <w:rFonts w:ascii="Times New Roman" w:eastAsia="PMingLiU" w:hAnsi="Times New Roman" w:cs="Times New Roman"/>
                <w:color w:val="000000"/>
                <w:sz w:val="20"/>
                <w:szCs w:val="20"/>
                <w:lang w:eastAsia="zh-TW"/>
              </w:rPr>
              <w:t>.</w:t>
            </w:r>
          </w:p>
        </w:tc>
        <w:tc>
          <w:tcPr>
            <w:tcW w:w="1276" w:type="dxa"/>
            <w:tcBorders>
              <w:top w:val="single" w:sz="4" w:space="0" w:color="auto"/>
              <w:left w:val="nil"/>
              <w:bottom w:val="single" w:sz="4" w:space="0" w:color="auto"/>
              <w:right w:val="single" w:sz="4" w:space="0" w:color="auto"/>
            </w:tcBorders>
            <w:shd w:val="clear" w:color="auto" w:fill="auto"/>
            <w:hideMark/>
          </w:tcPr>
          <w:p w14:paraId="50CD50C3" w14:textId="77777777" w:rsidR="003A1536" w:rsidRPr="008D5308" w:rsidRDefault="003A1536" w:rsidP="003A1536">
            <w:pPr>
              <w:spacing w:after="0" w:line="240" w:lineRule="auto"/>
              <w:rPr>
                <w:rFonts w:ascii="Times New Roman" w:eastAsia="MingLiU" w:hAnsi="Times New Roman" w:cs="Times New Roman"/>
                <w:sz w:val="20"/>
                <w:szCs w:val="20"/>
                <w:lang w:eastAsia="zh-TW"/>
              </w:rPr>
            </w:pPr>
            <w:r w:rsidRPr="008D5308">
              <w:rPr>
                <w:rFonts w:ascii="Times New Roman" w:eastAsia="SimSun" w:hAnsi="Times New Roman" w:cs="Times New Roman"/>
                <w:sz w:val="20"/>
                <w:szCs w:val="20"/>
                <w:lang w:eastAsia="zh-TW"/>
              </w:rPr>
              <w:t>N</w:t>
            </w:r>
            <w:r w:rsidRPr="008D5308">
              <w:rPr>
                <w:rFonts w:ascii="Times New Roman" w:eastAsia="MingLiU" w:hAnsi="Times New Roman" w:cs="Times New Roman"/>
                <w:sz w:val="20"/>
                <w:szCs w:val="20"/>
                <w:lang w:eastAsia="zh-TW"/>
              </w:rPr>
              <w:t>o gambling in past yr.</w:t>
            </w:r>
          </w:p>
        </w:tc>
        <w:tc>
          <w:tcPr>
            <w:tcW w:w="1111" w:type="dxa"/>
            <w:tcBorders>
              <w:top w:val="single" w:sz="4" w:space="0" w:color="auto"/>
              <w:left w:val="nil"/>
              <w:bottom w:val="single" w:sz="4" w:space="0" w:color="auto"/>
              <w:right w:val="single" w:sz="4" w:space="0" w:color="auto"/>
            </w:tcBorders>
            <w:shd w:val="clear" w:color="auto" w:fill="auto"/>
            <w:hideMark/>
          </w:tcPr>
          <w:p w14:paraId="6FA020BA" w14:textId="78D4C964" w:rsidR="003A1536" w:rsidRPr="008D5308" w:rsidRDefault="003A1536" w:rsidP="003A1536">
            <w:pPr>
              <w:spacing w:after="0" w:line="240" w:lineRule="auto"/>
              <w:rPr>
                <w:rFonts w:ascii="Times New Roman" w:eastAsia="MingLiU" w:hAnsi="Times New Roman" w:cs="Times New Roman"/>
                <w:color w:val="000000"/>
                <w:sz w:val="20"/>
                <w:szCs w:val="20"/>
                <w:lang w:eastAsia="zh-TW"/>
              </w:rPr>
            </w:pPr>
            <w:r w:rsidRPr="008D5308">
              <w:rPr>
                <w:rFonts w:ascii="Times New Roman" w:eastAsia="MingLiU" w:hAnsi="Times New Roman" w:cs="Times New Roman"/>
                <w:color w:val="000000"/>
                <w:sz w:val="20"/>
                <w:szCs w:val="20"/>
                <w:lang w:eastAsia="zh-TW"/>
              </w:rPr>
              <w:t>Less than M</w:t>
            </w:r>
            <w:r w:rsidR="00666BD5">
              <w:rPr>
                <w:rFonts w:ascii="Times New Roman" w:eastAsia="MingLiU" w:hAnsi="Times New Roman" w:cs="Times New Roman"/>
                <w:color w:val="000000"/>
                <w:sz w:val="20"/>
                <w:szCs w:val="20"/>
                <w:lang w:eastAsia="zh-TW"/>
              </w:rPr>
              <w:t>on</w:t>
            </w:r>
            <w:r w:rsidRPr="008D5308">
              <w:rPr>
                <w:rFonts w:ascii="Times New Roman" w:eastAsia="MingLiU" w:hAnsi="Times New Roman" w:cs="Times New Roman"/>
                <w:color w:val="000000"/>
                <w:sz w:val="20"/>
                <w:szCs w:val="20"/>
                <w:lang w:eastAsia="zh-TW"/>
              </w:rPr>
              <w:t>thly</w:t>
            </w:r>
          </w:p>
        </w:tc>
        <w:tc>
          <w:tcPr>
            <w:tcW w:w="1620" w:type="dxa"/>
            <w:tcBorders>
              <w:top w:val="single" w:sz="4" w:space="0" w:color="auto"/>
              <w:left w:val="nil"/>
              <w:bottom w:val="single" w:sz="4" w:space="0" w:color="auto"/>
              <w:right w:val="single" w:sz="4" w:space="0" w:color="auto"/>
            </w:tcBorders>
            <w:shd w:val="clear" w:color="auto" w:fill="auto"/>
            <w:hideMark/>
          </w:tcPr>
          <w:p w14:paraId="6D14823E" w14:textId="08840318" w:rsidR="003A1536" w:rsidRPr="008D5308" w:rsidRDefault="003A1536" w:rsidP="003A1536">
            <w:pPr>
              <w:spacing w:after="0" w:line="240" w:lineRule="auto"/>
              <w:rPr>
                <w:rFonts w:ascii="Times New Roman" w:eastAsia="MingLiU" w:hAnsi="Times New Roman" w:cs="Times New Roman"/>
                <w:color w:val="000000"/>
                <w:sz w:val="20"/>
                <w:szCs w:val="20"/>
                <w:lang w:eastAsia="zh-TW"/>
              </w:rPr>
            </w:pPr>
            <w:r w:rsidRPr="008D5308">
              <w:rPr>
                <w:rFonts w:ascii="Times New Roman" w:eastAsia="MingLiU" w:hAnsi="Times New Roman" w:cs="Times New Roman"/>
                <w:color w:val="000000"/>
                <w:sz w:val="20"/>
                <w:szCs w:val="20"/>
                <w:lang w:eastAsia="zh-TW"/>
              </w:rPr>
              <w:t>M</w:t>
            </w:r>
            <w:r w:rsidR="00666BD5">
              <w:rPr>
                <w:rFonts w:ascii="Times New Roman" w:eastAsia="MingLiU" w:hAnsi="Times New Roman" w:cs="Times New Roman"/>
                <w:color w:val="000000"/>
                <w:sz w:val="20"/>
                <w:szCs w:val="20"/>
                <w:lang w:eastAsia="zh-TW"/>
              </w:rPr>
              <w:t>on</w:t>
            </w:r>
            <w:r w:rsidRPr="008D5308">
              <w:rPr>
                <w:rFonts w:ascii="Times New Roman" w:eastAsia="MingLiU" w:hAnsi="Times New Roman" w:cs="Times New Roman"/>
                <w:color w:val="000000"/>
                <w:sz w:val="20"/>
                <w:szCs w:val="20"/>
                <w:lang w:eastAsia="zh-TW"/>
              </w:rPr>
              <w:t xml:space="preserve">thly or more </w:t>
            </w:r>
          </w:p>
        </w:tc>
        <w:tc>
          <w:tcPr>
            <w:tcW w:w="1620" w:type="dxa"/>
            <w:tcBorders>
              <w:top w:val="single" w:sz="4" w:space="0" w:color="auto"/>
              <w:left w:val="nil"/>
              <w:bottom w:val="single" w:sz="4" w:space="0" w:color="auto"/>
              <w:right w:val="single" w:sz="4" w:space="0" w:color="auto"/>
            </w:tcBorders>
            <w:shd w:val="clear" w:color="auto" w:fill="auto"/>
            <w:hideMark/>
          </w:tcPr>
          <w:p w14:paraId="46D57C55" w14:textId="023FED97" w:rsidR="003A1536" w:rsidRPr="008D5308" w:rsidRDefault="00666BD5" w:rsidP="003A1536">
            <w:pPr>
              <w:spacing w:after="0" w:line="240" w:lineRule="auto"/>
              <w:rPr>
                <w:rFonts w:ascii="Times New Roman" w:eastAsia="MingLiU" w:hAnsi="Times New Roman" w:cs="Times New Roman"/>
                <w:color w:val="000000"/>
                <w:sz w:val="20"/>
                <w:szCs w:val="20"/>
                <w:lang w:eastAsia="zh-TW"/>
              </w:rPr>
            </w:pPr>
            <w:r>
              <w:rPr>
                <w:rFonts w:ascii="Times New Roman" w:eastAsia="MingLiU" w:hAnsi="Times New Roman" w:cs="Times New Roman"/>
                <w:color w:val="000000"/>
                <w:sz w:val="20"/>
                <w:szCs w:val="20"/>
                <w:lang w:eastAsia="zh-TW"/>
              </w:rPr>
              <w:t>W</w:t>
            </w:r>
            <w:r w:rsidR="003A1536" w:rsidRPr="008D5308">
              <w:rPr>
                <w:rFonts w:ascii="Times New Roman" w:eastAsia="MingLiU" w:hAnsi="Times New Roman" w:cs="Times New Roman"/>
                <w:color w:val="000000"/>
                <w:sz w:val="20"/>
                <w:szCs w:val="20"/>
                <w:lang w:eastAsia="zh-TW"/>
              </w:rPr>
              <w:t>eekly or more</w:t>
            </w:r>
          </w:p>
        </w:tc>
        <w:tc>
          <w:tcPr>
            <w:tcW w:w="1350" w:type="dxa"/>
            <w:tcBorders>
              <w:top w:val="single" w:sz="4" w:space="0" w:color="auto"/>
              <w:left w:val="nil"/>
              <w:bottom w:val="single" w:sz="4" w:space="0" w:color="auto"/>
              <w:right w:val="single" w:sz="4" w:space="0" w:color="auto"/>
            </w:tcBorders>
            <w:shd w:val="clear" w:color="auto" w:fill="auto"/>
            <w:noWrap/>
            <w:hideMark/>
          </w:tcPr>
          <w:p w14:paraId="070FB3CE" w14:textId="77777777" w:rsidR="003A1536" w:rsidRPr="008D5308" w:rsidRDefault="003A1536" w:rsidP="003A1536">
            <w:pPr>
              <w:spacing w:after="0" w:line="240" w:lineRule="auto"/>
              <w:rPr>
                <w:rFonts w:ascii="Times New Roman" w:eastAsia="MingLiU" w:hAnsi="Times New Roman" w:cs="Times New Roman"/>
                <w:color w:val="000000"/>
                <w:sz w:val="20"/>
                <w:szCs w:val="20"/>
                <w:lang w:eastAsia="zh-TW"/>
              </w:rPr>
            </w:pPr>
            <w:r w:rsidRPr="008D5308">
              <w:rPr>
                <w:rFonts w:ascii="Times New Roman" w:eastAsia="MingLiU" w:hAnsi="Times New Roman" w:cs="Times New Roman"/>
                <w:color w:val="000000"/>
                <w:sz w:val="20"/>
                <w:szCs w:val="20"/>
                <w:lang w:eastAsia="zh-TW"/>
              </w:rPr>
              <w:t>Daily</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071A109" w14:textId="698A5846" w:rsidR="003A1536" w:rsidRPr="008D5308" w:rsidRDefault="003A1536" w:rsidP="003A1536">
            <w:pPr>
              <w:spacing w:after="0" w:line="240" w:lineRule="auto"/>
              <w:rPr>
                <w:rFonts w:ascii="Times New Roman" w:eastAsia="PMingLiU" w:hAnsi="Times New Roman" w:cs="Times New Roman"/>
                <w:color w:val="000000"/>
                <w:sz w:val="20"/>
                <w:szCs w:val="20"/>
                <w:lang w:eastAsia="zh-TW"/>
              </w:rPr>
            </w:pPr>
          </w:p>
        </w:tc>
      </w:tr>
      <w:tr w:rsidR="003A1536" w:rsidRPr="003A1536" w14:paraId="19A14EDF" w14:textId="77777777" w:rsidTr="0085192F">
        <w:trPr>
          <w:trHeight w:val="315"/>
        </w:trPr>
        <w:tc>
          <w:tcPr>
            <w:tcW w:w="1843" w:type="dxa"/>
            <w:tcBorders>
              <w:top w:val="nil"/>
              <w:left w:val="single" w:sz="4" w:space="0" w:color="auto"/>
              <w:bottom w:val="single" w:sz="4" w:space="0" w:color="auto"/>
              <w:right w:val="single" w:sz="4" w:space="0" w:color="auto"/>
            </w:tcBorders>
            <w:shd w:val="clear" w:color="auto" w:fill="auto"/>
            <w:noWrap/>
            <w:hideMark/>
          </w:tcPr>
          <w:p w14:paraId="5E3A976D" w14:textId="0A069B7E" w:rsidR="003A1536" w:rsidRPr="008D5308" w:rsidRDefault="003A1536" w:rsidP="003A1536">
            <w:pPr>
              <w:spacing w:after="0" w:line="240" w:lineRule="auto"/>
              <w:rPr>
                <w:rFonts w:ascii="Times New Roman" w:eastAsia="MingLiU" w:hAnsi="Times New Roman" w:cs="Times New Roman"/>
                <w:color w:val="000000"/>
                <w:sz w:val="20"/>
                <w:szCs w:val="20"/>
                <w:lang w:eastAsia="zh-TW"/>
              </w:rPr>
            </w:pPr>
            <w:r w:rsidRPr="008D5308">
              <w:rPr>
                <w:rFonts w:ascii="Times New Roman" w:eastAsia="MingLiU" w:hAnsi="Times New Roman" w:cs="Times New Roman"/>
                <w:color w:val="000000"/>
                <w:sz w:val="20"/>
                <w:szCs w:val="20"/>
                <w:lang w:eastAsia="zh-TW"/>
              </w:rPr>
              <w:t>Less than M</w:t>
            </w:r>
            <w:r w:rsidR="00666BD5">
              <w:rPr>
                <w:rFonts w:ascii="Times New Roman" w:eastAsia="MingLiU" w:hAnsi="Times New Roman" w:cs="Times New Roman"/>
                <w:color w:val="000000"/>
                <w:sz w:val="20"/>
                <w:szCs w:val="20"/>
                <w:lang w:eastAsia="zh-TW"/>
              </w:rPr>
              <w:t>on</w:t>
            </w:r>
            <w:r w:rsidRPr="008D5308">
              <w:rPr>
                <w:rFonts w:ascii="Times New Roman" w:eastAsia="MingLiU" w:hAnsi="Times New Roman" w:cs="Times New Roman"/>
                <w:color w:val="000000"/>
                <w:sz w:val="20"/>
                <w:szCs w:val="20"/>
                <w:lang w:eastAsia="zh-TW"/>
              </w:rPr>
              <w:t>thly</w:t>
            </w:r>
          </w:p>
        </w:tc>
        <w:tc>
          <w:tcPr>
            <w:tcW w:w="1276" w:type="dxa"/>
            <w:tcBorders>
              <w:top w:val="nil"/>
              <w:left w:val="nil"/>
              <w:bottom w:val="single" w:sz="4" w:space="0" w:color="auto"/>
              <w:right w:val="single" w:sz="4" w:space="0" w:color="auto"/>
            </w:tcBorders>
            <w:shd w:val="clear" w:color="auto" w:fill="auto"/>
            <w:noWrap/>
            <w:vAlign w:val="center"/>
            <w:hideMark/>
          </w:tcPr>
          <w:p w14:paraId="08D00A8E" w14:textId="77777777" w:rsidR="003A1536" w:rsidRPr="008D5308" w:rsidRDefault="003A1536" w:rsidP="003A1536">
            <w:pPr>
              <w:spacing w:after="0" w:line="240" w:lineRule="auto"/>
              <w:jc w:val="center"/>
              <w:rPr>
                <w:rFonts w:ascii="Times New Roman" w:eastAsia="SimSun" w:hAnsi="Times New Roman" w:cs="Times New Roman"/>
                <w:color w:val="000000"/>
                <w:sz w:val="20"/>
                <w:szCs w:val="20"/>
                <w:lang w:eastAsia="zh-TW"/>
              </w:rPr>
            </w:pPr>
            <w:r w:rsidRPr="008D5308">
              <w:rPr>
                <w:rFonts w:ascii="Times New Roman" w:eastAsia="SimSun" w:hAnsi="Times New Roman" w:cs="Times New Roman"/>
                <w:color w:val="000000"/>
                <w:sz w:val="20"/>
                <w:szCs w:val="20"/>
                <w:lang w:eastAsia="zh-TW"/>
              </w:rPr>
              <w:t>65</w:t>
            </w:r>
          </w:p>
        </w:tc>
        <w:tc>
          <w:tcPr>
            <w:tcW w:w="1111" w:type="dxa"/>
            <w:tcBorders>
              <w:top w:val="nil"/>
              <w:left w:val="nil"/>
              <w:bottom w:val="single" w:sz="4" w:space="0" w:color="auto"/>
              <w:right w:val="single" w:sz="4" w:space="0" w:color="auto"/>
            </w:tcBorders>
            <w:shd w:val="clear" w:color="auto" w:fill="auto"/>
            <w:noWrap/>
            <w:vAlign w:val="center"/>
            <w:hideMark/>
          </w:tcPr>
          <w:p w14:paraId="30318C34" w14:textId="77777777" w:rsidR="003A1536" w:rsidRPr="008D5308" w:rsidRDefault="003A1536" w:rsidP="003A1536">
            <w:pPr>
              <w:spacing w:after="0" w:line="240" w:lineRule="auto"/>
              <w:jc w:val="center"/>
              <w:rPr>
                <w:rFonts w:ascii="Times New Roman" w:eastAsia="SimSun" w:hAnsi="Times New Roman" w:cs="Times New Roman"/>
                <w:color w:val="000000"/>
                <w:sz w:val="20"/>
                <w:szCs w:val="20"/>
                <w:lang w:eastAsia="zh-TW"/>
              </w:rPr>
            </w:pPr>
            <w:r w:rsidRPr="008D5308">
              <w:rPr>
                <w:rFonts w:ascii="Times New Roman" w:eastAsia="SimSun" w:hAnsi="Times New Roman" w:cs="Times New Roman"/>
                <w:color w:val="000000"/>
                <w:sz w:val="20"/>
                <w:szCs w:val="20"/>
                <w:lang w:eastAsia="zh-TW"/>
              </w:rPr>
              <w:t>107</w:t>
            </w:r>
          </w:p>
        </w:tc>
        <w:tc>
          <w:tcPr>
            <w:tcW w:w="1620" w:type="dxa"/>
            <w:tcBorders>
              <w:top w:val="nil"/>
              <w:left w:val="nil"/>
              <w:bottom w:val="single" w:sz="4" w:space="0" w:color="auto"/>
              <w:right w:val="single" w:sz="4" w:space="0" w:color="auto"/>
            </w:tcBorders>
            <w:shd w:val="clear" w:color="auto" w:fill="auto"/>
            <w:noWrap/>
            <w:vAlign w:val="bottom"/>
            <w:hideMark/>
          </w:tcPr>
          <w:p w14:paraId="77DC7D94"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4</w:t>
            </w:r>
          </w:p>
        </w:tc>
        <w:tc>
          <w:tcPr>
            <w:tcW w:w="1620" w:type="dxa"/>
            <w:tcBorders>
              <w:top w:val="nil"/>
              <w:left w:val="nil"/>
              <w:bottom w:val="single" w:sz="4" w:space="0" w:color="auto"/>
              <w:right w:val="single" w:sz="4" w:space="0" w:color="auto"/>
            </w:tcBorders>
            <w:shd w:val="clear" w:color="auto" w:fill="auto"/>
            <w:noWrap/>
            <w:vAlign w:val="bottom"/>
            <w:hideMark/>
          </w:tcPr>
          <w:p w14:paraId="60CA9D09"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0</w:t>
            </w:r>
          </w:p>
        </w:tc>
        <w:tc>
          <w:tcPr>
            <w:tcW w:w="1350" w:type="dxa"/>
            <w:tcBorders>
              <w:top w:val="nil"/>
              <w:left w:val="nil"/>
              <w:bottom w:val="single" w:sz="4" w:space="0" w:color="auto"/>
              <w:right w:val="single" w:sz="4" w:space="0" w:color="auto"/>
            </w:tcBorders>
            <w:shd w:val="clear" w:color="auto" w:fill="auto"/>
            <w:noWrap/>
            <w:vAlign w:val="bottom"/>
            <w:hideMark/>
          </w:tcPr>
          <w:p w14:paraId="57F74F4A"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0</w:t>
            </w:r>
          </w:p>
        </w:tc>
        <w:tc>
          <w:tcPr>
            <w:tcW w:w="810" w:type="dxa"/>
            <w:tcBorders>
              <w:top w:val="nil"/>
              <w:left w:val="nil"/>
              <w:bottom w:val="single" w:sz="4" w:space="0" w:color="auto"/>
              <w:right w:val="single" w:sz="4" w:space="0" w:color="auto"/>
            </w:tcBorders>
            <w:shd w:val="clear" w:color="auto" w:fill="auto"/>
            <w:noWrap/>
            <w:vAlign w:val="bottom"/>
            <w:hideMark/>
          </w:tcPr>
          <w:p w14:paraId="45A9AEBC"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p>
        </w:tc>
      </w:tr>
      <w:tr w:rsidR="003A1536" w:rsidRPr="003A1536" w14:paraId="071567C5" w14:textId="77777777" w:rsidTr="0085192F">
        <w:trPr>
          <w:trHeight w:val="315"/>
        </w:trPr>
        <w:tc>
          <w:tcPr>
            <w:tcW w:w="1843" w:type="dxa"/>
            <w:tcBorders>
              <w:top w:val="nil"/>
              <w:left w:val="single" w:sz="4" w:space="0" w:color="auto"/>
              <w:bottom w:val="single" w:sz="4" w:space="0" w:color="auto"/>
              <w:right w:val="single" w:sz="4" w:space="0" w:color="auto"/>
            </w:tcBorders>
            <w:shd w:val="clear" w:color="auto" w:fill="auto"/>
            <w:noWrap/>
            <w:hideMark/>
          </w:tcPr>
          <w:p w14:paraId="5C5B7C0E" w14:textId="07F657D3" w:rsidR="003A1536" w:rsidRPr="008D5308" w:rsidRDefault="003A1536" w:rsidP="003A1536">
            <w:pPr>
              <w:spacing w:after="0" w:line="240" w:lineRule="auto"/>
              <w:rPr>
                <w:rFonts w:ascii="Times New Roman" w:eastAsia="MingLiU" w:hAnsi="Times New Roman" w:cs="Times New Roman"/>
                <w:color w:val="000000"/>
                <w:sz w:val="20"/>
                <w:szCs w:val="20"/>
                <w:lang w:eastAsia="zh-TW"/>
              </w:rPr>
            </w:pPr>
            <w:r w:rsidRPr="008D5308">
              <w:rPr>
                <w:rFonts w:ascii="Times New Roman" w:eastAsia="MingLiU" w:hAnsi="Times New Roman" w:cs="Times New Roman"/>
                <w:color w:val="000000"/>
                <w:sz w:val="20"/>
                <w:szCs w:val="20"/>
                <w:lang w:eastAsia="zh-TW"/>
              </w:rPr>
              <w:t>M</w:t>
            </w:r>
            <w:r w:rsidR="00666BD5">
              <w:rPr>
                <w:rFonts w:ascii="Times New Roman" w:eastAsia="MingLiU" w:hAnsi="Times New Roman" w:cs="Times New Roman"/>
                <w:color w:val="000000"/>
                <w:sz w:val="20"/>
                <w:szCs w:val="20"/>
                <w:lang w:eastAsia="zh-TW"/>
              </w:rPr>
              <w:t>on</w:t>
            </w:r>
            <w:r w:rsidRPr="008D5308">
              <w:rPr>
                <w:rFonts w:ascii="Times New Roman" w:eastAsia="MingLiU" w:hAnsi="Times New Roman" w:cs="Times New Roman"/>
                <w:color w:val="000000"/>
                <w:sz w:val="20"/>
                <w:szCs w:val="20"/>
                <w:lang w:eastAsia="zh-TW"/>
              </w:rPr>
              <w:t xml:space="preserve">thly or more </w:t>
            </w:r>
          </w:p>
        </w:tc>
        <w:tc>
          <w:tcPr>
            <w:tcW w:w="1276" w:type="dxa"/>
            <w:tcBorders>
              <w:top w:val="nil"/>
              <w:left w:val="nil"/>
              <w:bottom w:val="single" w:sz="4" w:space="0" w:color="auto"/>
              <w:right w:val="single" w:sz="4" w:space="0" w:color="auto"/>
            </w:tcBorders>
            <w:shd w:val="clear" w:color="auto" w:fill="auto"/>
            <w:noWrap/>
            <w:vAlign w:val="bottom"/>
            <w:hideMark/>
          </w:tcPr>
          <w:p w14:paraId="3CB30405"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11</w:t>
            </w:r>
          </w:p>
        </w:tc>
        <w:tc>
          <w:tcPr>
            <w:tcW w:w="1111" w:type="dxa"/>
            <w:tcBorders>
              <w:top w:val="nil"/>
              <w:left w:val="nil"/>
              <w:bottom w:val="single" w:sz="4" w:space="0" w:color="auto"/>
              <w:right w:val="single" w:sz="4" w:space="0" w:color="auto"/>
            </w:tcBorders>
            <w:shd w:val="clear" w:color="auto" w:fill="auto"/>
            <w:noWrap/>
            <w:vAlign w:val="bottom"/>
            <w:hideMark/>
          </w:tcPr>
          <w:p w14:paraId="3AAE12FA"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15</w:t>
            </w:r>
          </w:p>
        </w:tc>
        <w:tc>
          <w:tcPr>
            <w:tcW w:w="1620" w:type="dxa"/>
            <w:tcBorders>
              <w:top w:val="nil"/>
              <w:left w:val="nil"/>
              <w:bottom w:val="single" w:sz="4" w:space="0" w:color="auto"/>
              <w:right w:val="single" w:sz="4" w:space="0" w:color="auto"/>
            </w:tcBorders>
            <w:shd w:val="clear" w:color="auto" w:fill="auto"/>
            <w:noWrap/>
            <w:vAlign w:val="bottom"/>
            <w:hideMark/>
          </w:tcPr>
          <w:p w14:paraId="431ACE85"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1620" w:type="dxa"/>
            <w:tcBorders>
              <w:top w:val="nil"/>
              <w:left w:val="nil"/>
              <w:bottom w:val="single" w:sz="4" w:space="0" w:color="auto"/>
              <w:right w:val="single" w:sz="4" w:space="0" w:color="auto"/>
            </w:tcBorders>
            <w:shd w:val="clear" w:color="auto" w:fill="auto"/>
            <w:noWrap/>
            <w:vAlign w:val="bottom"/>
            <w:hideMark/>
          </w:tcPr>
          <w:p w14:paraId="7671AC04"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0</w:t>
            </w:r>
          </w:p>
        </w:tc>
        <w:tc>
          <w:tcPr>
            <w:tcW w:w="1350" w:type="dxa"/>
            <w:tcBorders>
              <w:top w:val="nil"/>
              <w:left w:val="nil"/>
              <w:bottom w:val="single" w:sz="4" w:space="0" w:color="auto"/>
              <w:right w:val="single" w:sz="4" w:space="0" w:color="auto"/>
            </w:tcBorders>
            <w:shd w:val="clear" w:color="auto" w:fill="auto"/>
            <w:noWrap/>
            <w:vAlign w:val="bottom"/>
            <w:hideMark/>
          </w:tcPr>
          <w:p w14:paraId="01E0FE48"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0</w:t>
            </w:r>
          </w:p>
        </w:tc>
        <w:tc>
          <w:tcPr>
            <w:tcW w:w="810" w:type="dxa"/>
            <w:tcBorders>
              <w:top w:val="nil"/>
              <w:left w:val="nil"/>
              <w:bottom w:val="single" w:sz="4" w:space="0" w:color="auto"/>
              <w:right w:val="single" w:sz="4" w:space="0" w:color="auto"/>
            </w:tcBorders>
            <w:shd w:val="clear" w:color="auto" w:fill="auto"/>
            <w:noWrap/>
            <w:vAlign w:val="bottom"/>
            <w:hideMark/>
          </w:tcPr>
          <w:p w14:paraId="2F87C821"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p>
        </w:tc>
      </w:tr>
      <w:tr w:rsidR="003A1536" w:rsidRPr="003A1536" w14:paraId="2B99056F" w14:textId="77777777" w:rsidTr="0085192F">
        <w:trPr>
          <w:trHeight w:val="315"/>
        </w:trPr>
        <w:tc>
          <w:tcPr>
            <w:tcW w:w="1843" w:type="dxa"/>
            <w:tcBorders>
              <w:top w:val="nil"/>
              <w:left w:val="single" w:sz="4" w:space="0" w:color="auto"/>
              <w:bottom w:val="single" w:sz="4" w:space="0" w:color="auto"/>
              <w:right w:val="single" w:sz="4" w:space="0" w:color="auto"/>
            </w:tcBorders>
            <w:shd w:val="clear" w:color="auto" w:fill="auto"/>
            <w:noWrap/>
            <w:hideMark/>
          </w:tcPr>
          <w:p w14:paraId="5B3AA983" w14:textId="7B696BE4" w:rsidR="003A1536" w:rsidRPr="008D5308" w:rsidRDefault="00666BD5" w:rsidP="003A1536">
            <w:pPr>
              <w:spacing w:after="0" w:line="240" w:lineRule="auto"/>
              <w:rPr>
                <w:rFonts w:ascii="Times New Roman" w:eastAsia="MingLiU" w:hAnsi="Times New Roman" w:cs="Times New Roman"/>
                <w:color w:val="000000"/>
                <w:sz w:val="20"/>
                <w:szCs w:val="20"/>
                <w:lang w:eastAsia="zh-TW"/>
              </w:rPr>
            </w:pPr>
            <w:r>
              <w:rPr>
                <w:rFonts w:ascii="Times New Roman" w:eastAsia="MingLiU" w:hAnsi="Times New Roman" w:cs="Times New Roman"/>
                <w:color w:val="000000"/>
                <w:sz w:val="20"/>
                <w:szCs w:val="20"/>
                <w:lang w:eastAsia="zh-TW"/>
              </w:rPr>
              <w:t>W</w:t>
            </w:r>
            <w:r w:rsidR="003A1536" w:rsidRPr="008D5308">
              <w:rPr>
                <w:rFonts w:ascii="Times New Roman" w:eastAsia="MingLiU" w:hAnsi="Times New Roman" w:cs="Times New Roman"/>
                <w:color w:val="000000"/>
                <w:sz w:val="20"/>
                <w:szCs w:val="20"/>
                <w:lang w:eastAsia="zh-TW"/>
              </w:rPr>
              <w:t>eekly or more</w:t>
            </w:r>
          </w:p>
        </w:tc>
        <w:tc>
          <w:tcPr>
            <w:tcW w:w="1276" w:type="dxa"/>
            <w:tcBorders>
              <w:top w:val="nil"/>
              <w:left w:val="nil"/>
              <w:bottom w:val="single" w:sz="4" w:space="0" w:color="auto"/>
              <w:right w:val="single" w:sz="4" w:space="0" w:color="auto"/>
            </w:tcBorders>
            <w:shd w:val="clear" w:color="auto" w:fill="auto"/>
            <w:noWrap/>
            <w:vAlign w:val="bottom"/>
            <w:hideMark/>
          </w:tcPr>
          <w:p w14:paraId="7485E239"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1111" w:type="dxa"/>
            <w:tcBorders>
              <w:top w:val="nil"/>
              <w:left w:val="nil"/>
              <w:bottom w:val="single" w:sz="4" w:space="0" w:color="auto"/>
              <w:right w:val="single" w:sz="4" w:space="0" w:color="auto"/>
            </w:tcBorders>
            <w:shd w:val="clear" w:color="auto" w:fill="auto"/>
            <w:noWrap/>
            <w:vAlign w:val="bottom"/>
            <w:hideMark/>
          </w:tcPr>
          <w:p w14:paraId="4F44AA87"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5</w:t>
            </w:r>
          </w:p>
        </w:tc>
        <w:tc>
          <w:tcPr>
            <w:tcW w:w="1620" w:type="dxa"/>
            <w:tcBorders>
              <w:top w:val="nil"/>
              <w:left w:val="nil"/>
              <w:bottom w:val="single" w:sz="4" w:space="0" w:color="auto"/>
              <w:right w:val="single" w:sz="4" w:space="0" w:color="auto"/>
            </w:tcBorders>
            <w:shd w:val="clear" w:color="auto" w:fill="auto"/>
            <w:noWrap/>
            <w:vAlign w:val="bottom"/>
            <w:hideMark/>
          </w:tcPr>
          <w:p w14:paraId="184EE6C5"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1620" w:type="dxa"/>
            <w:tcBorders>
              <w:top w:val="nil"/>
              <w:left w:val="nil"/>
              <w:bottom w:val="single" w:sz="4" w:space="0" w:color="auto"/>
              <w:right w:val="single" w:sz="4" w:space="0" w:color="auto"/>
            </w:tcBorders>
            <w:shd w:val="clear" w:color="auto" w:fill="auto"/>
            <w:noWrap/>
            <w:vAlign w:val="bottom"/>
            <w:hideMark/>
          </w:tcPr>
          <w:p w14:paraId="25F7D25C"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4</w:t>
            </w:r>
          </w:p>
        </w:tc>
        <w:tc>
          <w:tcPr>
            <w:tcW w:w="1350" w:type="dxa"/>
            <w:tcBorders>
              <w:top w:val="nil"/>
              <w:left w:val="nil"/>
              <w:bottom w:val="single" w:sz="4" w:space="0" w:color="auto"/>
              <w:right w:val="single" w:sz="4" w:space="0" w:color="auto"/>
            </w:tcBorders>
            <w:shd w:val="clear" w:color="auto" w:fill="auto"/>
            <w:noWrap/>
            <w:vAlign w:val="bottom"/>
            <w:hideMark/>
          </w:tcPr>
          <w:p w14:paraId="2F4DCF24"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0</w:t>
            </w:r>
          </w:p>
        </w:tc>
        <w:tc>
          <w:tcPr>
            <w:tcW w:w="810" w:type="dxa"/>
            <w:tcBorders>
              <w:top w:val="nil"/>
              <w:left w:val="nil"/>
              <w:bottom w:val="single" w:sz="4" w:space="0" w:color="auto"/>
              <w:right w:val="single" w:sz="4" w:space="0" w:color="auto"/>
            </w:tcBorders>
            <w:shd w:val="clear" w:color="auto" w:fill="auto"/>
            <w:noWrap/>
            <w:vAlign w:val="bottom"/>
            <w:hideMark/>
          </w:tcPr>
          <w:p w14:paraId="57106900"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p>
        </w:tc>
      </w:tr>
      <w:tr w:rsidR="003A1536" w:rsidRPr="003A1536" w14:paraId="638929F1" w14:textId="77777777" w:rsidTr="0085192F">
        <w:trPr>
          <w:trHeight w:val="315"/>
        </w:trPr>
        <w:tc>
          <w:tcPr>
            <w:tcW w:w="1843" w:type="dxa"/>
            <w:tcBorders>
              <w:top w:val="nil"/>
              <w:left w:val="single" w:sz="4" w:space="0" w:color="auto"/>
              <w:bottom w:val="single" w:sz="4" w:space="0" w:color="auto"/>
              <w:right w:val="single" w:sz="4" w:space="0" w:color="auto"/>
            </w:tcBorders>
            <w:shd w:val="clear" w:color="auto" w:fill="auto"/>
            <w:noWrap/>
            <w:hideMark/>
          </w:tcPr>
          <w:p w14:paraId="28724466" w14:textId="77777777" w:rsidR="003A1536" w:rsidRPr="008D5308" w:rsidRDefault="003A1536" w:rsidP="003A1536">
            <w:pPr>
              <w:spacing w:after="0" w:line="240" w:lineRule="auto"/>
              <w:rPr>
                <w:rFonts w:ascii="Times New Roman" w:eastAsia="MingLiU" w:hAnsi="Times New Roman" w:cs="Times New Roman"/>
                <w:color w:val="000000"/>
                <w:sz w:val="20"/>
                <w:szCs w:val="20"/>
                <w:lang w:eastAsia="zh-TW"/>
              </w:rPr>
            </w:pPr>
            <w:r w:rsidRPr="008D5308">
              <w:rPr>
                <w:rFonts w:ascii="Times New Roman" w:eastAsia="MingLiU" w:hAnsi="Times New Roman" w:cs="Times New Roman"/>
                <w:color w:val="000000"/>
                <w:sz w:val="20"/>
                <w:szCs w:val="20"/>
                <w:lang w:eastAsia="zh-TW"/>
              </w:rPr>
              <w:t>Daily</w:t>
            </w:r>
          </w:p>
        </w:tc>
        <w:tc>
          <w:tcPr>
            <w:tcW w:w="1276" w:type="dxa"/>
            <w:tcBorders>
              <w:top w:val="nil"/>
              <w:left w:val="nil"/>
              <w:bottom w:val="single" w:sz="4" w:space="0" w:color="auto"/>
              <w:right w:val="single" w:sz="4" w:space="0" w:color="auto"/>
            </w:tcBorders>
            <w:shd w:val="clear" w:color="auto" w:fill="auto"/>
            <w:noWrap/>
            <w:vAlign w:val="bottom"/>
            <w:hideMark/>
          </w:tcPr>
          <w:p w14:paraId="42B6C510"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1111" w:type="dxa"/>
            <w:tcBorders>
              <w:top w:val="nil"/>
              <w:left w:val="nil"/>
              <w:bottom w:val="single" w:sz="4" w:space="0" w:color="auto"/>
              <w:right w:val="single" w:sz="4" w:space="0" w:color="auto"/>
            </w:tcBorders>
            <w:shd w:val="clear" w:color="auto" w:fill="auto"/>
            <w:noWrap/>
            <w:vAlign w:val="bottom"/>
            <w:hideMark/>
          </w:tcPr>
          <w:p w14:paraId="78B2BFA4"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3</w:t>
            </w:r>
          </w:p>
        </w:tc>
        <w:tc>
          <w:tcPr>
            <w:tcW w:w="1620" w:type="dxa"/>
            <w:tcBorders>
              <w:top w:val="nil"/>
              <w:left w:val="nil"/>
              <w:bottom w:val="single" w:sz="4" w:space="0" w:color="auto"/>
              <w:right w:val="single" w:sz="4" w:space="0" w:color="auto"/>
            </w:tcBorders>
            <w:shd w:val="clear" w:color="auto" w:fill="auto"/>
            <w:noWrap/>
            <w:vAlign w:val="bottom"/>
            <w:hideMark/>
          </w:tcPr>
          <w:p w14:paraId="7C6EE5B2"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w:t>
            </w:r>
          </w:p>
        </w:tc>
        <w:tc>
          <w:tcPr>
            <w:tcW w:w="1620" w:type="dxa"/>
            <w:tcBorders>
              <w:top w:val="nil"/>
              <w:left w:val="nil"/>
              <w:bottom w:val="single" w:sz="4" w:space="0" w:color="auto"/>
              <w:right w:val="single" w:sz="4" w:space="0" w:color="auto"/>
            </w:tcBorders>
            <w:shd w:val="clear" w:color="auto" w:fill="auto"/>
            <w:noWrap/>
            <w:vAlign w:val="bottom"/>
            <w:hideMark/>
          </w:tcPr>
          <w:p w14:paraId="456EC5E4"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1350" w:type="dxa"/>
            <w:tcBorders>
              <w:top w:val="nil"/>
              <w:left w:val="nil"/>
              <w:bottom w:val="single" w:sz="4" w:space="0" w:color="auto"/>
              <w:right w:val="single" w:sz="4" w:space="0" w:color="auto"/>
            </w:tcBorders>
            <w:shd w:val="clear" w:color="auto" w:fill="auto"/>
            <w:noWrap/>
            <w:vAlign w:val="bottom"/>
            <w:hideMark/>
          </w:tcPr>
          <w:p w14:paraId="45AA88C8"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810" w:type="dxa"/>
            <w:tcBorders>
              <w:top w:val="nil"/>
              <w:left w:val="nil"/>
              <w:bottom w:val="single" w:sz="4" w:space="0" w:color="auto"/>
              <w:right w:val="single" w:sz="4" w:space="0" w:color="auto"/>
            </w:tcBorders>
            <w:shd w:val="clear" w:color="auto" w:fill="auto"/>
            <w:noWrap/>
            <w:vAlign w:val="bottom"/>
            <w:hideMark/>
          </w:tcPr>
          <w:p w14:paraId="3A4E290A"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p>
        </w:tc>
      </w:tr>
      <w:tr w:rsidR="003A1536" w:rsidRPr="003A1536" w14:paraId="1FB711CA" w14:textId="77777777" w:rsidTr="0085192F">
        <w:trPr>
          <w:trHeight w:val="315"/>
        </w:trPr>
        <w:tc>
          <w:tcPr>
            <w:tcW w:w="1843" w:type="dxa"/>
            <w:tcBorders>
              <w:top w:val="nil"/>
              <w:left w:val="single" w:sz="4" w:space="0" w:color="auto"/>
              <w:bottom w:val="single" w:sz="4" w:space="0" w:color="auto"/>
              <w:right w:val="single" w:sz="4" w:space="0" w:color="auto"/>
            </w:tcBorders>
            <w:shd w:val="clear" w:color="auto" w:fill="auto"/>
            <w:noWrap/>
            <w:hideMark/>
          </w:tcPr>
          <w:p w14:paraId="201ADD11" w14:textId="77777777" w:rsidR="003A1536" w:rsidRPr="008D5308" w:rsidRDefault="003A1536" w:rsidP="003A1536">
            <w:pPr>
              <w:spacing w:after="0" w:line="240" w:lineRule="auto"/>
              <w:rPr>
                <w:rFonts w:ascii="Times New Roman" w:eastAsia="MingLiU" w:hAnsi="Times New Roman" w:cs="Times New Roman"/>
                <w:color w:val="000000"/>
                <w:sz w:val="20"/>
                <w:szCs w:val="20"/>
                <w:lang w:eastAsia="zh-TW"/>
              </w:rPr>
            </w:pPr>
            <w:r w:rsidRPr="008D5308">
              <w:rPr>
                <w:rFonts w:ascii="Times New Roman" w:eastAsia="SimSun" w:hAnsi="Times New Roman" w:cs="Times New Roman"/>
                <w:color w:val="000000"/>
                <w:sz w:val="20"/>
                <w:szCs w:val="20"/>
                <w:lang w:eastAsia="zh-TW"/>
              </w:rPr>
              <w:t>T</w:t>
            </w:r>
            <w:r w:rsidRPr="008D5308">
              <w:rPr>
                <w:rFonts w:ascii="Times New Roman" w:eastAsia="MingLiU" w:hAnsi="Times New Roman" w:cs="Times New Roman"/>
                <w:color w:val="000000"/>
                <w:sz w:val="20"/>
                <w:szCs w:val="20"/>
                <w:lang w:eastAsia="zh-TW"/>
              </w:rPr>
              <w:t>otal</w:t>
            </w:r>
          </w:p>
        </w:tc>
        <w:tc>
          <w:tcPr>
            <w:tcW w:w="1276" w:type="dxa"/>
            <w:tcBorders>
              <w:top w:val="nil"/>
              <w:left w:val="nil"/>
              <w:bottom w:val="single" w:sz="4" w:space="0" w:color="auto"/>
              <w:right w:val="single" w:sz="4" w:space="0" w:color="auto"/>
            </w:tcBorders>
            <w:shd w:val="clear" w:color="auto" w:fill="auto"/>
            <w:noWrap/>
            <w:vAlign w:val="bottom"/>
            <w:hideMark/>
          </w:tcPr>
          <w:p w14:paraId="419F98D6"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80</w:t>
            </w:r>
          </w:p>
        </w:tc>
        <w:tc>
          <w:tcPr>
            <w:tcW w:w="1111" w:type="dxa"/>
            <w:tcBorders>
              <w:top w:val="nil"/>
              <w:left w:val="nil"/>
              <w:bottom w:val="single" w:sz="4" w:space="0" w:color="auto"/>
              <w:right w:val="single" w:sz="4" w:space="0" w:color="auto"/>
            </w:tcBorders>
            <w:shd w:val="clear" w:color="auto" w:fill="auto"/>
            <w:noWrap/>
            <w:vAlign w:val="bottom"/>
            <w:hideMark/>
          </w:tcPr>
          <w:p w14:paraId="22B72468"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130</w:t>
            </w:r>
          </w:p>
        </w:tc>
        <w:tc>
          <w:tcPr>
            <w:tcW w:w="1620" w:type="dxa"/>
            <w:tcBorders>
              <w:top w:val="nil"/>
              <w:left w:val="nil"/>
              <w:bottom w:val="single" w:sz="4" w:space="0" w:color="auto"/>
              <w:right w:val="single" w:sz="4" w:space="0" w:color="auto"/>
            </w:tcBorders>
            <w:shd w:val="clear" w:color="auto" w:fill="auto"/>
            <w:noWrap/>
            <w:vAlign w:val="bottom"/>
            <w:hideMark/>
          </w:tcPr>
          <w:p w14:paraId="66FC7B60"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9</w:t>
            </w:r>
          </w:p>
        </w:tc>
        <w:tc>
          <w:tcPr>
            <w:tcW w:w="1620" w:type="dxa"/>
            <w:tcBorders>
              <w:top w:val="nil"/>
              <w:left w:val="nil"/>
              <w:bottom w:val="single" w:sz="4" w:space="0" w:color="auto"/>
              <w:right w:val="single" w:sz="4" w:space="0" w:color="auto"/>
            </w:tcBorders>
            <w:shd w:val="clear" w:color="auto" w:fill="auto"/>
            <w:noWrap/>
            <w:vAlign w:val="bottom"/>
            <w:hideMark/>
          </w:tcPr>
          <w:p w14:paraId="7F160AA8"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6</w:t>
            </w:r>
          </w:p>
        </w:tc>
        <w:tc>
          <w:tcPr>
            <w:tcW w:w="1350" w:type="dxa"/>
            <w:tcBorders>
              <w:top w:val="nil"/>
              <w:left w:val="nil"/>
              <w:bottom w:val="single" w:sz="4" w:space="0" w:color="auto"/>
              <w:right w:val="single" w:sz="4" w:space="0" w:color="auto"/>
            </w:tcBorders>
            <w:shd w:val="clear" w:color="auto" w:fill="auto"/>
            <w:noWrap/>
            <w:vAlign w:val="bottom"/>
            <w:hideMark/>
          </w:tcPr>
          <w:p w14:paraId="0BA3C7BF"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810" w:type="dxa"/>
            <w:tcBorders>
              <w:top w:val="nil"/>
              <w:left w:val="nil"/>
              <w:bottom w:val="single" w:sz="4" w:space="0" w:color="auto"/>
              <w:right w:val="single" w:sz="4" w:space="0" w:color="auto"/>
            </w:tcBorders>
            <w:shd w:val="clear" w:color="auto" w:fill="auto"/>
            <w:noWrap/>
            <w:vAlign w:val="bottom"/>
            <w:hideMark/>
          </w:tcPr>
          <w:p w14:paraId="25328F7A"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p>
        </w:tc>
      </w:tr>
      <w:tr w:rsidR="003A1536" w:rsidRPr="003A1536" w14:paraId="1B69D1FD" w14:textId="77777777" w:rsidTr="0085192F">
        <w:trPr>
          <w:trHeight w:val="315"/>
        </w:trPr>
        <w:tc>
          <w:tcPr>
            <w:tcW w:w="963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23D63" w14:textId="58BD70A1" w:rsidR="003A1536" w:rsidRPr="008D5308" w:rsidRDefault="003A1536" w:rsidP="00BA7883">
            <w:pPr>
              <w:spacing w:after="0" w:line="240" w:lineRule="auto"/>
              <w:jc w:val="center"/>
              <w:rPr>
                <w:rFonts w:ascii="Times New Roman" w:eastAsia="PMingLiU" w:hAnsi="Times New Roman" w:cs="Times New Roman"/>
                <w:b/>
                <w:bCs/>
                <w:color w:val="000000"/>
                <w:sz w:val="20"/>
                <w:szCs w:val="20"/>
                <w:lang w:eastAsia="zh-TW"/>
              </w:rPr>
            </w:pPr>
            <w:r w:rsidRPr="008D5308">
              <w:rPr>
                <w:rFonts w:ascii="Times New Roman" w:eastAsia="PMingLiU" w:hAnsi="Times New Roman" w:cs="Times New Roman"/>
                <w:b/>
                <w:bCs/>
                <w:color w:val="000000"/>
                <w:sz w:val="20"/>
                <w:szCs w:val="20"/>
                <w:lang w:eastAsia="zh-TW"/>
              </w:rPr>
              <w:t xml:space="preserve">2-2 Gambling </w:t>
            </w:r>
            <w:r w:rsidR="00BA7883">
              <w:rPr>
                <w:rFonts w:ascii="Times New Roman" w:eastAsia="PMingLiU" w:hAnsi="Times New Roman" w:cs="Times New Roman"/>
                <w:b/>
                <w:bCs/>
                <w:color w:val="000000"/>
                <w:sz w:val="20"/>
                <w:szCs w:val="20"/>
                <w:lang w:eastAsia="zh-TW"/>
              </w:rPr>
              <w:t xml:space="preserve">Duration in </w:t>
            </w:r>
            <w:r w:rsidR="00666BD5">
              <w:rPr>
                <w:rFonts w:ascii="Times New Roman" w:eastAsia="PMingLiU" w:hAnsi="Times New Roman" w:cs="Times New Roman"/>
                <w:b/>
                <w:bCs/>
                <w:color w:val="000000"/>
                <w:sz w:val="20"/>
                <w:szCs w:val="20"/>
                <w:lang w:eastAsia="zh-TW"/>
              </w:rPr>
              <w:t>F</w:t>
            </w:r>
            <w:r w:rsidR="00BA7883">
              <w:rPr>
                <w:rFonts w:ascii="Times New Roman" w:eastAsia="PMingLiU" w:hAnsi="Times New Roman" w:cs="Times New Roman"/>
                <w:b/>
                <w:bCs/>
                <w:color w:val="000000"/>
                <w:sz w:val="20"/>
                <w:szCs w:val="20"/>
                <w:lang w:eastAsia="zh-TW"/>
              </w:rPr>
              <w:t xml:space="preserve">irst </w:t>
            </w:r>
            <w:r w:rsidR="00666BD5">
              <w:rPr>
                <w:rFonts w:ascii="Times New Roman" w:eastAsia="PMingLiU" w:hAnsi="Times New Roman" w:cs="Times New Roman"/>
                <w:b/>
                <w:bCs/>
                <w:color w:val="000000"/>
                <w:sz w:val="20"/>
                <w:szCs w:val="20"/>
                <w:lang w:eastAsia="zh-TW"/>
              </w:rPr>
              <w:t>Y</w:t>
            </w:r>
            <w:r w:rsidR="00BA7883">
              <w:rPr>
                <w:rFonts w:ascii="Times New Roman" w:eastAsia="PMingLiU" w:hAnsi="Times New Roman" w:cs="Times New Roman"/>
                <w:b/>
                <w:bCs/>
                <w:color w:val="000000"/>
                <w:sz w:val="20"/>
                <w:szCs w:val="20"/>
                <w:lang w:eastAsia="zh-TW"/>
              </w:rPr>
              <w:t xml:space="preserve">ear </w:t>
            </w:r>
            <w:r w:rsidR="00666BD5">
              <w:rPr>
                <w:rFonts w:ascii="Times New Roman" w:eastAsia="PMingLiU" w:hAnsi="Times New Roman" w:cs="Times New Roman"/>
                <w:b/>
                <w:bCs/>
                <w:color w:val="000000"/>
                <w:sz w:val="20"/>
                <w:szCs w:val="20"/>
                <w:lang w:eastAsia="zh-TW"/>
              </w:rPr>
              <w:t>G</w:t>
            </w:r>
            <w:r w:rsidR="00BA7883">
              <w:rPr>
                <w:rFonts w:ascii="Times New Roman" w:eastAsia="PMingLiU" w:hAnsi="Times New Roman" w:cs="Times New Roman"/>
                <w:b/>
                <w:bCs/>
                <w:color w:val="000000"/>
                <w:sz w:val="20"/>
                <w:szCs w:val="20"/>
                <w:lang w:eastAsia="zh-TW"/>
              </w:rPr>
              <w:t xml:space="preserve">ambling and </w:t>
            </w:r>
            <w:r w:rsidR="00666BD5">
              <w:rPr>
                <w:rFonts w:ascii="Times New Roman" w:eastAsia="PMingLiU" w:hAnsi="Times New Roman" w:cs="Times New Roman"/>
                <w:b/>
                <w:bCs/>
                <w:color w:val="000000"/>
                <w:sz w:val="20"/>
                <w:szCs w:val="20"/>
                <w:lang w:eastAsia="zh-TW"/>
              </w:rPr>
              <w:t>L</w:t>
            </w:r>
            <w:r w:rsidR="00BA7883">
              <w:rPr>
                <w:rFonts w:ascii="Times New Roman" w:eastAsia="PMingLiU" w:hAnsi="Times New Roman" w:cs="Times New Roman"/>
                <w:b/>
                <w:bCs/>
                <w:color w:val="000000"/>
                <w:sz w:val="20"/>
                <w:szCs w:val="20"/>
                <w:lang w:eastAsia="zh-TW"/>
              </w:rPr>
              <w:t xml:space="preserve">ast 12 </w:t>
            </w:r>
            <w:r w:rsidR="00666BD5">
              <w:rPr>
                <w:rFonts w:ascii="Times New Roman" w:eastAsia="PMingLiU" w:hAnsi="Times New Roman" w:cs="Times New Roman"/>
                <w:b/>
                <w:bCs/>
                <w:color w:val="000000"/>
                <w:sz w:val="20"/>
                <w:szCs w:val="20"/>
                <w:lang w:eastAsia="zh-TW"/>
              </w:rPr>
              <w:t>M</w:t>
            </w:r>
            <w:r w:rsidR="00BA7883">
              <w:rPr>
                <w:rFonts w:ascii="Times New Roman" w:eastAsia="PMingLiU" w:hAnsi="Times New Roman" w:cs="Times New Roman"/>
                <w:b/>
                <w:bCs/>
                <w:color w:val="000000"/>
                <w:sz w:val="20"/>
                <w:szCs w:val="20"/>
                <w:lang w:eastAsia="zh-TW"/>
              </w:rPr>
              <w:t>onths</w:t>
            </w:r>
          </w:p>
        </w:tc>
      </w:tr>
      <w:tr w:rsidR="003A1536" w:rsidRPr="003A1536" w14:paraId="73BFD1FF" w14:textId="77777777" w:rsidTr="0085192F">
        <w:trPr>
          <w:trHeight w:val="718"/>
        </w:trPr>
        <w:tc>
          <w:tcPr>
            <w:tcW w:w="1843" w:type="dxa"/>
            <w:tcBorders>
              <w:top w:val="nil"/>
              <w:left w:val="single" w:sz="4" w:space="0" w:color="auto"/>
              <w:bottom w:val="single" w:sz="4" w:space="0" w:color="auto"/>
              <w:right w:val="single" w:sz="4" w:space="0" w:color="auto"/>
              <w:tl2br w:val="single" w:sz="4" w:space="0" w:color="auto"/>
            </w:tcBorders>
            <w:shd w:val="clear" w:color="auto" w:fill="auto"/>
            <w:hideMark/>
          </w:tcPr>
          <w:p w14:paraId="45A99447" w14:textId="363E68DF" w:rsidR="003A1536" w:rsidRPr="008D5308" w:rsidRDefault="003A1536" w:rsidP="003A1536">
            <w:pPr>
              <w:spacing w:after="0" w:line="240" w:lineRule="auto"/>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 xml:space="preserve">              Past </w:t>
            </w:r>
            <w:r w:rsidR="00BA7883">
              <w:rPr>
                <w:rFonts w:ascii="Times New Roman" w:eastAsia="PMingLiU" w:hAnsi="Times New Roman" w:cs="Times New Roman"/>
                <w:color w:val="000000"/>
                <w:sz w:val="20"/>
                <w:szCs w:val="20"/>
                <w:lang w:eastAsia="zh-TW"/>
              </w:rPr>
              <w:t>12 mo.</w:t>
            </w:r>
            <w:r w:rsidRPr="008D5308">
              <w:rPr>
                <w:rFonts w:ascii="Times New Roman" w:eastAsia="PMingLiU" w:hAnsi="Times New Roman" w:cs="Times New Roman"/>
                <w:color w:val="000000"/>
                <w:sz w:val="20"/>
                <w:szCs w:val="20"/>
                <w:lang w:eastAsia="zh-TW"/>
              </w:rPr>
              <w:br/>
            </w:r>
          </w:p>
          <w:p w14:paraId="15AA3892" w14:textId="594A18AC" w:rsidR="003A1536" w:rsidRPr="008D5308" w:rsidRDefault="000B197D" w:rsidP="003A1536">
            <w:pPr>
              <w:spacing w:after="0" w:line="240" w:lineRule="auto"/>
              <w:rPr>
                <w:rFonts w:ascii="Times New Roman" w:eastAsia="PMingLiU" w:hAnsi="Times New Roman" w:cs="Times New Roman"/>
                <w:color w:val="000000"/>
                <w:sz w:val="20"/>
                <w:szCs w:val="20"/>
                <w:lang w:eastAsia="zh-TW"/>
              </w:rPr>
            </w:pPr>
            <w:r>
              <w:rPr>
                <w:rFonts w:ascii="Times New Roman" w:eastAsia="PMingLiU" w:hAnsi="Times New Roman" w:cs="Times New Roman"/>
                <w:color w:val="000000"/>
                <w:sz w:val="20"/>
                <w:szCs w:val="20"/>
                <w:lang w:eastAsia="zh-TW"/>
              </w:rPr>
              <w:t>First</w:t>
            </w:r>
            <w:r w:rsidR="003A1536" w:rsidRPr="008D5308">
              <w:rPr>
                <w:rFonts w:ascii="Times New Roman" w:eastAsia="PMingLiU" w:hAnsi="Times New Roman" w:cs="Times New Roman"/>
                <w:color w:val="000000"/>
                <w:sz w:val="20"/>
                <w:szCs w:val="20"/>
                <w:lang w:eastAsia="zh-TW"/>
              </w:rPr>
              <w:t xml:space="preserve"> Y</w:t>
            </w:r>
            <w:r>
              <w:rPr>
                <w:rFonts w:ascii="Times New Roman" w:eastAsia="PMingLiU" w:hAnsi="Times New Roman" w:cs="Times New Roman"/>
                <w:color w:val="000000"/>
                <w:sz w:val="20"/>
                <w:szCs w:val="20"/>
                <w:lang w:eastAsia="zh-TW"/>
              </w:rPr>
              <w:t>ea</w:t>
            </w:r>
            <w:r w:rsidR="003A1536" w:rsidRPr="008D5308">
              <w:rPr>
                <w:rFonts w:ascii="Times New Roman" w:eastAsia="PMingLiU" w:hAnsi="Times New Roman" w:cs="Times New Roman"/>
                <w:color w:val="000000"/>
                <w:sz w:val="20"/>
                <w:szCs w:val="20"/>
                <w:lang w:eastAsia="zh-TW"/>
              </w:rPr>
              <w:t>r.</w:t>
            </w:r>
          </w:p>
        </w:tc>
        <w:tc>
          <w:tcPr>
            <w:tcW w:w="1276" w:type="dxa"/>
            <w:tcBorders>
              <w:top w:val="nil"/>
              <w:left w:val="nil"/>
              <w:bottom w:val="single" w:sz="4" w:space="0" w:color="auto"/>
              <w:right w:val="single" w:sz="4" w:space="0" w:color="auto"/>
            </w:tcBorders>
            <w:shd w:val="clear" w:color="auto" w:fill="auto"/>
            <w:hideMark/>
          </w:tcPr>
          <w:p w14:paraId="3E48E52C" w14:textId="75559092" w:rsidR="003A1536" w:rsidRPr="008D5308" w:rsidRDefault="003A1536" w:rsidP="003A1536">
            <w:pPr>
              <w:spacing w:after="0" w:line="240" w:lineRule="auto"/>
              <w:jc w:val="center"/>
              <w:rPr>
                <w:rFonts w:ascii="Times New Roman" w:eastAsia="MingLiU" w:hAnsi="Times New Roman" w:cs="Times New Roman"/>
                <w:sz w:val="20"/>
                <w:szCs w:val="20"/>
                <w:lang w:eastAsia="zh-TW"/>
              </w:rPr>
            </w:pPr>
            <w:r w:rsidRPr="008D5308">
              <w:rPr>
                <w:rFonts w:ascii="Times New Roman" w:eastAsia="SimSun" w:hAnsi="Times New Roman" w:cs="Times New Roman"/>
                <w:sz w:val="20"/>
                <w:szCs w:val="20"/>
                <w:lang w:eastAsia="zh-TW"/>
              </w:rPr>
              <w:t>N</w:t>
            </w:r>
            <w:r w:rsidRPr="008D5308">
              <w:rPr>
                <w:rFonts w:ascii="Times New Roman" w:eastAsia="MingLiU" w:hAnsi="Times New Roman" w:cs="Times New Roman"/>
                <w:sz w:val="20"/>
                <w:szCs w:val="20"/>
                <w:lang w:eastAsia="zh-TW"/>
              </w:rPr>
              <w:t>o gambling in past y</w:t>
            </w:r>
            <w:r w:rsidR="00E102C8">
              <w:rPr>
                <w:rFonts w:ascii="Times New Roman" w:eastAsia="MingLiU" w:hAnsi="Times New Roman" w:cs="Times New Roman"/>
                <w:sz w:val="20"/>
                <w:szCs w:val="20"/>
                <w:lang w:eastAsia="zh-TW"/>
              </w:rPr>
              <w:t>ea</w:t>
            </w:r>
            <w:r w:rsidRPr="008D5308">
              <w:rPr>
                <w:rFonts w:ascii="Times New Roman" w:eastAsia="MingLiU" w:hAnsi="Times New Roman" w:cs="Times New Roman"/>
                <w:sz w:val="20"/>
                <w:szCs w:val="20"/>
                <w:lang w:eastAsia="zh-TW"/>
              </w:rPr>
              <w:t>r.</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0D8CA24D" w14:textId="7696A4A1" w:rsidR="003A1536" w:rsidRPr="008D5308" w:rsidRDefault="00E102C8" w:rsidP="003A1536">
            <w:pPr>
              <w:spacing w:after="0" w:line="240" w:lineRule="auto"/>
              <w:jc w:val="center"/>
              <w:rPr>
                <w:rFonts w:ascii="Times New Roman" w:eastAsia="PMingLiU" w:hAnsi="Times New Roman" w:cs="Times New Roman"/>
                <w:color w:val="000000"/>
                <w:sz w:val="20"/>
                <w:szCs w:val="20"/>
                <w:lang w:eastAsia="zh-TW"/>
              </w:rPr>
            </w:pPr>
            <w:r>
              <w:rPr>
                <w:rFonts w:ascii="Times New Roman" w:eastAsia="PMingLiU" w:hAnsi="Times New Roman" w:cs="Times New Roman"/>
                <w:color w:val="000000"/>
                <w:sz w:val="20"/>
                <w:szCs w:val="20"/>
                <w:lang w:eastAsia="zh-TW"/>
              </w:rPr>
              <w:t>L</w:t>
            </w:r>
            <w:r w:rsidR="003A1536" w:rsidRPr="008D5308">
              <w:rPr>
                <w:rFonts w:ascii="Times New Roman" w:eastAsia="PMingLiU" w:hAnsi="Times New Roman" w:cs="Times New Roman"/>
                <w:color w:val="000000"/>
                <w:sz w:val="20"/>
                <w:szCs w:val="20"/>
                <w:lang w:eastAsia="zh-TW"/>
              </w:rPr>
              <w:t>ess than 1 hour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B2B3A" w14:textId="0C36B405" w:rsidR="003A1536" w:rsidRPr="008D5308" w:rsidRDefault="00E102C8" w:rsidP="003A1536">
            <w:pPr>
              <w:spacing w:after="0" w:line="240" w:lineRule="auto"/>
              <w:jc w:val="center"/>
              <w:rPr>
                <w:rFonts w:ascii="Times New Roman" w:eastAsia="PMingLiU" w:hAnsi="Times New Roman" w:cs="Times New Roman"/>
                <w:color w:val="000000"/>
                <w:sz w:val="20"/>
                <w:szCs w:val="20"/>
                <w:lang w:eastAsia="zh-TW"/>
              </w:rPr>
            </w:pPr>
            <w:r>
              <w:rPr>
                <w:rFonts w:ascii="Times New Roman" w:eastAsia="PMingLiU" w:hAnsi="Times New Roman" w:cs="Times New Roman"/>
                <w:color w:val="000000"/>
                <w:sz w:val="20"/>
                <w:szCs w:val="20"/>
                <w:lang w:eastAsia="zh-TW"/>
              </w:rPr>
              <w:t>B</w:t>
            </w:r>
            <w:r w:rsidR="003A1536" w:rsidRPr="008D5308">
              <w:rPr>
                <w:rFonts w:ascii="Times New Roman" w:eastAsia="PMingLiU" w:hAnsi="Times New Roman" w:cs="Times New Roman"/>
                <w:color w:val="000000"/>
                <w:sz w:val="20"/>
                <w:szCs w:val="20"/>
                <w:lang w:eastAsia="zh-TW"/>
              </w:rPr>
              <w:t>etween 1 &amp; 2</w:t>
            </w:r>
            <w:r>
              <w:rPr>
                <w:rFonts w:ascii="Times New Roman" w:eastAsia="PMingLiU" w:hAnsi="Times New Roman" w:cs="Times New Roman"/>
                <w:color w:val="000000"/>
                <w:sz w:val="20"/>
                <w:szCs w:val="20"/>
                <w:lang w:eastAsia="zh-TW"/>
              </w:rPr>
              <w:t xml:space="preserve"> hours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6464E" w14:textId="29A4DD4A" w:rsidR="003A1536" w:rsidRPr="008D5308" w:rsidRDefault="00E102C8" w:rsidP="003A1536">
            <w:pPr>
              <w:spacing w:after="0" w:line="240" w:lineRule="auto"/>
              <w:jc w:val="center"/>
              <w:rPr>
                <w:rFonts w:ascii="Times New Roman" w:eastAsia="PMingLiU" w:hAnsi="Times New Roman" w:cs="Times New Roman"/>
                <w:color w:val="000000"/>
                <w:sz w:val="20"/>
                <w:szCs w:val="20"/>
                <w:lang w:eastAsia="zh-TW"/>
              </w:rPr>
            </w:pPr>
            <w:r>
              <w:rPr>
                <w:rFonts w:ascii="Times New Roman" w:eastAsia="PMingLiU" w:hAnsi="Times New Roman" w:cs="Times New Roman"/>
                <w:color w:val="000000"/>
                <w:sz w:val="20"/>
                <w:szCs w:val="20"/>
                <w:lang w:eastAsia="zh-TW"/>
              </w:rPr>
              <w:t>B</w:t>
            </w:r>
            <w:r w:rsidR="003A1536" w:rsidRPr="008D5308">
              <w:rPr>
                <w:rFonts w:ascii="Times New Roman" w:eastAsia="PMingLiU" w:hAnsi="Times New Roman" w:cs="Times New Roman"/>
                <w:color w:val="000000"/>
                <w:sz w:val="20"/>
                <w:szCs w:val="20"/>
                <w:lang w:eastAsia="zh-TW"/>
              </w:rPr>
              <w:t>etween 2 &amp; 3</w:t>
            </w:r>
            <w:r>
              <w:rPr>
                <w:rFonts w:ascii="Times New Roman" w:eastAsia="PMingLiU" w:hAnsi="Times New Roman" w:cs="Times New Roman"/>
                <w:color w:val="000000"/>
                <w:sz w:val="20"/>
                <w:szCs w:val="20"/>
                <w:lang w:eastAsia="zh-TW"/>
              </w:rPr>
              <w:t xml:space="preserve">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4104C" w14:textId="34CA1F93" w:rsidR="003A1536" w:rsidRPr="008D5308" w:rsidRDefault="00E102C8" w:rsidP="003A1536">
            <w:pPr>
              <w:spacing w:after="0" w:line="240" w:lineRule="auto"/>
              <w:jc w:val="center"/>
              <w:rPr>
                <w:rFonts w:ascii="Times New Roman" w:eastAsia="PMingLiU" w:hAnsi="Times New Roman" w:cs="Times New Roman"/>
                <w:color w:val="000000"/>
                <w:sz w:val="20"/>
                <w:szCs w:val="20"/>
                <w:lang w:eastAsia="zh-TW"/>
              </w:rPr>
            </w:pPr>
            <w:r>
              <w:rPr>
                <w:rFonts w:ascii="Times New Roman" w:eastAsia="PMingLiU" w:hAnsi="Times New Roman" w:cs="Times New Roman"/>
                <w:color w:val="000000"/>
                <w:sz w:val="20"/>
                <w:szCs w:val="20"/>
                <w:lang w:eastAsia="zh-TW"/>
              </w:rPr>
              <w:t>B</w:t>
            </w:r>
            <w:r w:rsidR="003A1536" w:rsidRPr="008D5308">
              <w:rPr>
                <w:rFonts w:ascii="Times New Roman" w:eastAsia="PMingLiU" w:hAnsi="Times New Roman" w:cs="Times New Roman"/>
                <w:color w:val="000000"/>
                <w:sz w:val="20"/>
                <w:szCs w:val="20"/>
                <w:lang w:eastAsia="zh-TW"/>
              </w:rPr>
              <w:t>etween 3 &amp; 4</w:t>
            </w:r>
            <w:r>
              <w:rPr>
                <w:rFonts w:ascii="Times New Roman" w:eastAsia="PMingLiU" w:hAnsi="Times New Roman" w:cs="Times New Roman"/>
                <w:color w:val="000000"/>
                <w:sz w:val="20"/>
                <w:szCs w:val="20"/>
                <w:lang w:eastAsia="zh-TW"/>
              </w:rPr>
              <w:t xml:space="preserve"> hours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23E61" w14:textId="6A78185B"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SimSun" w:hAnsi="Times New Roman" w:cs="Times New Roman"/>
                <w:color w:val="000000"/>
                <w:sz w:val="20"/>
                <w:szCs w:val="20"/>
                <w:lang w:eastAsia="zh-TW"/>
              </w:rPr>
              <w:t>≥</w:t>
            </w:r>
            <w:r w:rsidRPr="008D5308">
              <w:rPr>
                <w:rFonts w:ascii="Times New Roman" w:eastAsia="PMingLiU" w:hAnsi="Times New Roman" w:cs="Times New Roman"/>
                <w:color w:val="000000"/>
                <w:sz w:val="20"/>
                <w:szCs w:val="20"/>
                <w:lang w:eastAsia="zh-TW"/>
              </w:rPr>
              <w:t>4</w:t>
            </w:r>
            <w:r w:rsidR="0085192F">
              <w:rPr>
                <w:rFonts w:ascii="Times New Roman" w:eastAsia="PMingLiU" w:hAnsi="Times New Roman" w:cs="Times New Roman"/>
                <w:color w:val="000000"/>
                <w:sz w:val="20"/>
                <w:szCs w:val="20"/>
                <w:lang w:eastAsia="zh-TW"/>
              </w:rPr>
              <w:t xml:space="preserve"> Hours</w:t>
            </w:r>
          </w:p>
        </w:tc>
      </w:tr>
      <w:tr w:rsidR="003A1536" w:rsidRPr="003A1536" w14:paraId="40BE4095" w14:textId="77777777" w:rsidTr="0085192F">
        <w:trPr>
          <w:trHeight w:val="330"/>
        </w:trPr>
        <w:tc>
          <w:tcPr>
            <w:tcW w:w="1843" w:type="dxa"/>
            <w:tcBorders>
              <w:top w:val="nil"/>
              <w:left w:val="single" w:sz="4" w:space="0" w:color="auto"/>
              <w:bottom w:val="single" w:sz="8" w:space="0" w:color="auto"/>
              <w:right w:val="nil"/>
            </w:tcBorders>
            <w:shd w:val="clear" w:color="auto" w:fill="auto"/>
            <w:vAlign w:val="center"/>
            <w:hideMark/>
          </w:tcPr>
          <w:p w14:paraId="20E81DC6" w14:textId="492A0D03" w:rsidR="003A1536" w:rsidRPr="008D5308" w:rsidRDefault="00666BD5" w:rsidP="003A1536">
            <w:pPr>
              <w:spacing w:after="0" w:line="240" w:lineRule="auto"/>
              <w:jc w:val="both"/>
              <w:rPr>
                <w:rFonts w:ascii="Times New Roman" w:eastAsia="PMingLiU" w:hAnsi="Times New Roman" w:cs="Times New Roman"/>
                <w:color w:val="000000"/>
                <w:sz w:val="20"/>
                <w:szCs w:val="20"/>
                <w:lang w:eastAsia="zh-TW"/>
              </w:rPr>
            </w:pPr>
            <w:r>
              <w:rPr>
                <w:rFonts w:ascii="Times New Roman" w:eastAsia="PMingLiU" w:hAnsi="Times New Roman" w:cs="Times New Roman"/>
                <w:color w:val="000000"/>
                <w:sz w:val="20"/>
                <w:szCs w:val="20"/>
                <w:lang w:eastAsia="zh-TW"/>
              </w:rPr>
              <w:t>L</w:t>
            </w:r>
            <w:r w:rsidR="003A1536" w:rsidRPr="008D5308">
              <w:rPr>
                <w:rFonts w:ascii="Times New Roman" w:eastAsia="PMingLiU" w:hAnsi="Times New Roman" w:cs="Times New Roman"/>
                <w:color w:val="000000"/>
                <w:sz w:val="20"/>
                <w:szCs w:val="20"/>
                <w:lang w:eastAsia="zh-TW"/>
              </w:rPr>
              <w:t>ess than 1 hour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3CAEB68" w14:textId="77777777" w:rsidR="003A1536" w:rsidRPr="008D5308" w:rsidRDefault="003A1536" w:rsidP="003A1536">
            <w:pPr>
              <w:spacing w:after="0" w:line="240" w:lineRule="auto"/>
              <w:jc w:val="center"/>
              <w:rPr>
                <w:rFonts w:ascii="Times New Roman" w:eastAsia="SimSun" w:hAnsi="Times New Roman" w:cs="Times New Roman"/>
                <w:color w:val="000000"/>
                <w:sz w:val="20"/>
                <w:szCs w:val="20"/>
                <w:lang w:eastAsia="zh-TW"/>
              </w:rPr>
            </w:pPr>
            <w:r w:rsidRPr="008D5308">
              <w:rPr>
                <w:rFonts w:ascii="Times New Roman" w:eastAsia="SimSun" w:hAnsi="Times New Roman" w:cs="Times New Roman"/>
                <w:color w:val="000000"/>
                <w:sz w:val="20"/>
                <w:szCs w:val="20"/>
                <w:lang w:eastAsia="zh-TW"/>
              </w:rPr>
              <w:t>20</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1AB5AA48" w14:textId="77777777" w:rsidR="003A1536" w:rsidRPr="008D5308" w:rsidRDefault="003A1536" w:rsidP="003A1536">
            <w:pPr>
              <w:spacing w:after="0" w:line="240" w:lineRule="auto"/>
              <w:jc w:val="center"/>
              <w:rPr>
                <w:rFonts w:ascii="Times New Roman" w:eastAsia="SimSun" w:hAnsi="Times New Roman" w:cs="Times New Roman"/>
                <w:color w:val="000000"/>
                <w:sz w:val="20"/>
                <w:szCs w:val="20"/>
                <w:lang w:eastAsia="zh-TW"/>
              </w:rPr>
            </w:pPr>
            <w:r w:rsidRPr="008D5308">
              <w:rPr>
                <w:rFonts w:ascii="Times New Roman" w:eastAsia="SimSun" w:hAnsi="Times New Roman" w:cs="Times New Roman"/>
                <w:color w:val="000000"/>
                <w:sz w:val="20"/>
                <w:szCs w:val="20"/>
                <w:lang w:eastAsia="zh-TW"/>
              </w:rPr>
              <w:t>11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6525A28"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0598DBE"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1350" w:type="dxa"/>
            <w:tcBorders>
              <w:top w:val="single" w:sz="4" w:space="0" w:color="auto"/>
              <w:left w:val="nil"/>
              <w:bottom w:val="single" w:sz="4" w:space="0" w:color="auto"/>
              <w:right w:val="single" w:sz="4" w:space="0" w:color="auto"/>
            </w:tcBorders>
            <w:shd w:val="clear" w:color="auto" w:fill="auto"/>
            <w:noWrap/>
            <w:hideMark/>
          </w:tcPr>
          <w:p w14:paraId="669F8A5D" w14:textId="77777777" w:rsidR="003A1536" w:rsidRPr="008D5308" w:rsidRDefault="003A1536" w:rsidP="003A1536">
            <w:pPr>
              <w:spacing w:after="0" w:line="240" w:lineRule="auto"/>
              <w:jc w:val="center"/>
              <w:rPr>
                <w:rFonts w:ascii="Times New Roman" w:eastAsia="MingLiU" w:hAnsi="Times New Roman" w:cs="Times New Roman"/>
                <w:color w:val="000000"/>
                <w:sz w:val="20"/>
                <w:szCs w:val="20"/>
                <w:lang w:eastAsia="zh-TW"/>
              </w:rPr>
            </w:pPr>
            <w:r w:rsidRPr="008D5308">
              <w:rPr>
                <w:rFonts w:ascii="Times New Roman" w:eastAsia="MingLiU" w:hAnsi="Times New Roman" w:cs="Times New Roman"/>
                <w:color w:val="000000"/>
                <w:sz w:val="20"/>
                <w:szCs w:val="20"/>
                <w:lang w:eastAsia="zh-TW"/>
              </w:rPr>
              <w:t>0</w:t>
            </w:r>
          </w:p>
        </w:tc>
        <w:tc>
          <w:tcPr>
            <w:tcW w:w="810" w:type="dxa"/>
            <w:tcBorders>
              <w:top w:val="single" w:sz="4" w:space="0" w:color="auto"/>
              <w:left w:val="nil"/>
              <w:bottom w:val="single" w:sz="4" w:space="0" w:color="auto"/>
              <w:right w:val="single" w:sz="4" w:space="0" w:color="auto"/>
            </w:tcBorders>
            <w:shd w:val="clear" w:color="auto" w:fill="auto"/>
            <w:noWrap/>
            <w:hideMark/>
          </w:tcPr>
          <w:p w14:paraId="118BF18C" w14:textId="77777777" w:rsidR="003A1536" w:rsidRPr="008D5308" w:rsidRDefault="003A1536" w:rsidP="003A1536">
            <w:pPr>
              <w:spacing w:after="0" w:line="240" w:lineRule="auto"/>
              <w:jc w:val="center"/>
              <w:rPr>
                <w:rFonts w:ascii="Times New Roman" w:eastAsia="MingLiU" w:hAnsi="Times New Roman" w:cs="Times New Roman"/>
                <w:color w:val="000000"/>
                <w:sz w:val="20"/>
                <w:szCs w:val="20"/>
                <w:lang w:eastAsia="zh-TW"/>
              </w:rPr>
            </w:pPr>
            <w:r w:rsidRPr="008D5308">
              <w:rPr>
                <w:rFonts w:ascii="Times New Roman" w:eastAsia="MingLiU" w:hAnsi="Times New Roman" w:cs="Times New Roman"/>
                <w:color w:val="000000"/>
                <w:sz w:val="20"/>
                <w:szCs w:val="20"/>
                <w:lang w:eastAsia="zh-TW"/>
              </w:rPr>
              <w:t>0</w:t>
            </w:r>
          </w:p>
        </w:tc>
      </w:tr>
      <w:tr w:rsidR="003A1536" w:rsidRPr="003A1536" w14:paraId="5C0E5B3A" w14:textId="77777777" w:rsidTr="0085192F">
        <w:trPr>
          <w:trHeight w:val="330"/>
        </w:trPr>
        <w:tc>
          <w:tcPr>
            <w:tcW w:w="1843" w:type="dxa"/>
            <w:tcBorders>
              <w:top w:val="nil"/>
              <w:left w:val="single" w:sz="4" w:space="0" w:color="auto"/>
              <w:bottom w:val="single" w:sz="8" w:space="0" w:color="auto"/>
              <w:right w:val="nil"/>
            </w:tcBorders>
            <w:shd w:val="clear" w:color="auto" w:fill="auto"/>
            <w:vAlign w:val="center"/>
            <w:hideMark/>
          </w:tcPr>
          <w:p w14:paraId="5DC05ADC" w14:textId="6D421849" w:rsidR="003A1536" w:rsidRPr="008D5308" w:rsidRDefault="00666BD5" w:rsidP="003A1536">
            <w:pPr>
              <w:spacing w:after="0" w:line="240" w:lineRule="auto"/>
              <w:jc w:val="both"/>
              <w:rPr>
                <w:rFonts w:ascii="Times New Roman" w:eastAsia="PMingLiU" w:hAnsi="Times New Roman" w:cs="Times New Roman"/>
                <w:color w:val="000000"/>
                <w:sz w:val="20"/>
                <w:szCs w:val="20"/>
                <w:lang w:eastAsia="zh-TW"/>
              </w:rPr>
            </w:pPr>
            <w:r>
              <w:rPr>
                <w:rFonts w:ascii="Times New Roman" w:eastAsia="PMingLiU" w:hAnsi="Times New Roman" w:cs="Times New Roman"/>
                <w:color w:val="000000"/>
                <w:sz w:val="20"/>
                <w:szCs w:val="20"/>
                <w:lang w:eastAsia="zh-TW"/>
              </w:rPr>
              <w:t>B</w:t>
            </w:r>
            <w:r w:rsidR="003A1536" w:rsidRPr="008D5308">
              <w:rPr>
                <w:rFonts w:ascii="Times New Roman" w:eastAsia="PMingLiU" w:hAnsi="Times New Roman" w:cs="Times New Roman"/>
                <w:color w:val="000000"/>
                <w:sz w:val="20"/>
                <w:szCs w:val="20"/>
                <w:lang w:eastAsia="zh-TW"/>
              </w:rPr>
              <w:t xml:space="preserve">etween1 &amp; 2 </w:t>
            </w:r>
            <w:r w:rsidR="00E102C8">
              <w:rPr>
                <w:rFonts w:ascii="Times New Roman" w:eastAsia="PMingLiU" w:hAnsi="Times New Roman" w:cs="Times New Roman"/>
                <w:color w:val="000000"/>
                <w:sz w:val="20"/>
                <w:szCs w:val="20"/>
                <w:lang w:eastAsia="zh-TW"/>
              </w:rPr>
              <w:t xml:space="preserve"> hours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76A95BF"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27</w:t>
            </w:r>
          </w:p>
        </w:tc>
        <w:tc>
          <w:tcPr>
            <w:tcW w:w="1111" w:type="dxa"/>
            <w:tcBorders>
              <w:top w:val="nil"/>
              <w:left w:val="nil"/>
              <w:bottom w:val="single" w:sz="4" w:space="0" w:color="auto"/>
              <w:right w:val="single" w:sz="4" w:space="0" w:color="auto"/>
            </w:tcBorders>
            <w:shd w:val="clear" w:color="auto" w:fill="auto"/>
            <w:noWrap/>
            <w:vAlign w:val="bottom"/>
            <w:hideMark/>
          </w:tcPr>
          <w:p w14:paraId="0EFF827A"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3</w:t>
            </w:r>
          </w:p>
        </w:tc>
        <w:tc>
          <w:tcPr>
            <w:tcW w:w="1620" w:type="dxa"/>
            <w:tcBorders>
              <w:top w:val="nil"/>
              <w:left w:val="nil"/>
              <w:bottom w:val="single" w:sz="4" w:space="0" w:color="auto"/>
              <w:right w:val="single" w:sz="4" w:space="0" w:color="auto"/>
            </w:tcBorders>
            <w:shd w:val="clear" w:color="auto" w:fill="auto"/>
            <w:noWrap/>
            <w:vAlign w:val="bottom"/>
            <w:hideMark/>
          </w:tcPr>
          <w:p w14:paraId="7B3D3DBC"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46</w:t>
            </w:r>
          </w:p>
        </w:tc>
        <w:tc>
          <w:tcPr>
            <w:tcW w:w="1620" w:type="dxa"/>
            <w:tcBorders>
              <w:top w:val="nil"/>
              <w:left w:val="nil"/>
              <w:bottom w:val="single" w:sz="4" w:space="0" w:color="auto"/>
              <w:right w:val="single" w:sz="4" w:space="0" w:color="auto"/>
            </w:tcBorders>
            <w:shd w:val="clear" w:color="auto" w:fill="auto"/>
            <w:noWrap/>
            <w:vAlign w:val="bottom"/>
            <w:hideMark/>
          </w:tcPr>
          <w:p w14:paraId="77765712"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18</w:t>
            </w:r>
          </w:p>
        </w:tc>
        <w:tc>
          <w:tcPr>
            <w:tcW w:w="1350" w:type="dxa"/>
            <w:tcBorders>
              <w:top w:val="nil"/>
              <w:left w:val="nil"/>
              <w:bottom w:val="single" w:sz="4" w:space="0" w:color="auto"/>
              <w:right w:val="single" w:sz="4" w:space="0" w:color="auto"/>
            </w:tcBorders>
            <w:shd w:val="clear" w:color="auto" w:fill="auto"/>
            <w:noWrap/>
            <w:vAlign w:val="bottom"/>
            <w:hideMark/>
          </w:tcPr>
          <w:p w14:paraId="11F73E76"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810" w:type="dxa"/>
            <w:tcBorders>
              <w:top w:val="nil"/>
              <w:left w:val="nil"/>
              <w:bottom w:val="single" w:sz="4" w:space="0" w:color="auto"/>
              <w:right w:val="single" w:sz="4" w:space="0" w:color="auto"/>
            </w:tcBorders>
            <w:shd w:val="clear" w:color="auto" w:fill="auto"/>
            <w:noWrap/>
            <w:vAlign w:val="bottom"/>
            <w:hideMark/>
          </w:tcPr>
          <w:p w14:paraId="5523DE27"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3</w:t>
            </w:r>
          </w:p>
        </w:tc>
      </w:tr>
      <w:tr w:rsidR="003A1536" w:rsidRPr="003A1536" w14:paraId="623F3E5B" w14:textId="77777777" w:rsidTr="0085192F">
        <w:trPr>
          <w:trHeight w:val="330"/>
        </w:trPr>
        <w:tc>
          <w:tcPr>
            <w:tcW w:w="1843" w:type="dxa"/>
            <w:tcBorders>
              <w:top w:val="nil"/>
              <w:left w:val="single" w:sz="4" w:space="0" w:color="auto"/>
              <w:bottom w:val="single" w:sz="8" w:space="0" w:color="auto"/>
              <w:right w:val="nil"/>
            </w:tcBorders>
            <w:shd w:val="clear" w:color="auto" w:fill="auto"/>
            <w:vAlign w:val="center"/>
            <w:hideMark/>
          </w:tcPr>
          <w:p w14:paraId="2DCEB0D7" w14:textId="3A9A5E25" w:rsidR="003A1536" w:rsidRPr="008D5308" w:rsidRDefault="003A1536" w:rsidP="003A1536">
            <w:pPr>
              <w:spacing w:after="0" w:line="240" w:lineRule="auto"/>
              <w:jc w:val="both"/>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 xml:space="preserve">between2 &amp; 3 </w:t>
            </w:r>
            <w:r w:rsidR="00E102C8">
              <w:rPr>
                <w:rFonts w:ascii="Times New Roman" w:eastAsia="PMingLiU" w:hAnsi="Times New Roman" w:cs="Times New Roman"/>
                <w:color w:val="000000"/>
                <w:sz w:val="20"/>
                <w:szCs w:val="20"/>
                <w:lang w:eastAsia="zh-TW"/>
              </w:rPr>
              <w:t>hours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D62E9BD"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14</w:t>
            </w:r>
          </w:p>
        </w:tc>
        <w:tc>
          <w:tcPr>
            <w:tcW w:w="1111" w:type="dxa"/>
            <w:tcBorders>
              <w:top w:val="nil"/>
              <w:left w:val="nil"/>
              <w:bottom w:val="single" w:sz="4" w:space="0" w:color="auto"/>
              <w:right w:val="single" w:sz="4" w:space="0" w:color="auto"/>
            </w:tcBorders>
            <w:shd w:val="clear" w:color="auto" w:fill="auto"/>
            <w:noWrap/>
            <w:vAlign w:val="bottom"/>
            <w:hideMark/>
          </w:tcPr>
          <w:p w14:paraId="06ADFC5D"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w:t>
            </w:r>
          </w:p>
        </w:tc>
        <w:tc>
          <w:tcPr>
            <w:tcW w:w="1620" w:type="dxa"/>
            <w:tcBorders>
              <w:top w:val="nil"/>
              <w:left w:val="nil"/>
              <w:bottom w:val="single" w:sz="4" w:space="0" w:color="auto"/>
              <w:right w:val="single" w:sz="4" w:space="0" w:color="auto"/>
            </w:tcBorders>
            <w:shd w:val="clear" w:color="auto" w:fill="auto"/>
            <w:noWrap/>
            <w:vAlign w:val="bottom"/>
            <w:hideMark/>
          </w:tcPr>
          <w:p w14:paraId="5BB72345"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15</w:t>
            </w:r>
          </w:p>
        </w:tc>
        <w:tc>
          <w:tcPr>
            <w:tcW w:w="1620" w:type="dxa"/>
            <w:tcBorders>
              <w:top w:val="nil"/>
              <w:left w:val="nil"/>
              <w:bottom w:val="single" w:sz="4" w:space="0" w:color="auto"/>
              <w:right w:val="single" w:sz="4" w:space="0" w:color="auto"/>
            </w:tcBorders>
            <w:shd w:val="clear" w:color="auto" w:fill="auto"/>
            <w:noWrap/>
            <w:vAlign w:val="bottom"/>
            <w:hideMark/>
          </w:tcPr>
          <w:p w14:paraId="1BD103B5"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10</w:t>
            </w:r>
          </w:p>
        </w:tc>
        <w:tc>
          <w:tcPr>
            <w:tcW w:w="1350" w:type="dxa"/>
            <w:tcBorders>
              <w:top w:val="nil"/>
              <w:left w:val="nil"/>
              <w:bottom w:val="single" w:sz="4" w:space="0" w:color="auto"/>
              <w:right w:val="single" w:sz="4" w:space="0" w:color="auto"/>
            </w:tcBorders>
            <w:shd w:val="clear" w:color="auto" w:fill="auto"/>
            <w:noWrap/>
            <w:hideMark/>
          </w:tcPr>
          <w:p w14:paraId="3C87F0F9" w14:textId="77777777" w:rsidR="003A1536" w:rsidRPr="008D5308" w:rsidRDefault="003A1536" w:rsidP="003A1536">
            <w:pPr>
              <w:spacing w:after="0" w:line="240" w:lineRule="auto"/>
              <w:jc w:val="center"/>
              <w:rPr>
                <w:rFonts w:ascii="Times New Roman" w:eastAsia="MingLiU" w:hAnsi="Times New Roman" w:cs="Times New Roman"/>
                <w:color w:val="000000"/>
                <w:sz w:val="20"/>
                <w:szCs w:val="20"/>
                <w:lang w:eastAsia="zh-TW"/>
              </w:rPr>
            </w:pPr>
            <w:r w:rsidRPr="008D5308">
              <w:rPr>
                <w:rFonts w:ascii="Times New Roman" w:eastAsia="MingLiU" w:hAnsi="Times New Roman" w:cs="Times New Roman"/>
                <w:color w:val="000000"/>
                <w:sz w:val="20"/>
                <w:szCs w:val="20"/>
                <w:lang w:eastAsia="zh-TW"/>
              </w:rPr>
              <w:t>0</w:t>
            </w:r>
          </w:p>
        </w:tc>
        <w:tc>
          <w:tcPr>
            <w:tcW w:w="810" w:type="dxa"/>
            <w:tcBorders>
              <w:top w:val="nil"/>
              <w:left w:val="nil"/>
              <w:bottom w:val="single" w:sz="4" w:space="0" w:color="auto"/>
              <w:right w:val="single" w:sz="4" w:space="0" w:color="auto"/>
            </w:tcBorders>
            <w:shd w:val="clear" w:color="auto" w:fill="auto"/>
            <w:noWrap/>
            <w:vAlign w:val="bottom"/>
            <w:hideMark/>
          </w:tcPr>
          <w:p w14:paraId="46345F77"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w:t>
            </w:r>
          </w:p>
        </w:tc>
      </w:tr>
      <w:tr w:rsidR="003A1536" w:rsidRPr="003A1536" w14:paraId="185A7C5F" w14:textId="77777777" w:rsidTr="0085192F">
        <w:trPr>
          <w:trHeight w:val="330"/>
        </w:trPr>
        <w:tc>
          <w:tcPr>
            <w:tcW w:w="1843" w:type="dxa"/>
            <w:tcBorders>
              <w:top w:val="nil"/>
              <w:left w:val="single" w:sz="4" w:space="0" w:color="auto"/>
              <w:bottom w:val="single" w:sz="8" w:space="0" w:color="auto"/>
              <w:right w:val="nil"/>
            </w:tcBorders>
            <w:shd w:val="clear" w:color="auto" w:fill="auto"/>
            <w:vAlign w:val="center"/>
            <w:hideMark/>
          </w:tcPr>
          <w:p w14:paraId="2F481901" w14:textId="1B20AA6A" w:rsidR="003A1536" w:rsidRPr="008D5308" w:rsidRDefault="003A1536" w:rsidP="003A1536">
            <w:pPr>
              <w:spacing w:after="0" w:line="240" w:lineRule="auto"/>
              <w:jc w:val="both"/>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between 3 &amp; 4</w:t>
            </w:r>
            <w:r w:rsidR="00E102C8">
              <w:rPr>
                <w:rFonts w:ascii="Times New Roman" w:eastAsia="PMingLiU" w:hAnsi="Times New Roman" w:cs="Times New Roman"/>
                <w:color w:val="000000"/>
                <w:sz w:val="20"/>
                <w:szCs w:val="20"/>
                <w:lang w:eastAsia="zh-TW"/>
              </w:rPr>
              <w:t xml:space="preserve"> hours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BF3FD12"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8</w:t>
            </w:r>
          </w:p>
        </w:tc>
        <w:tc>
          <w:tcPr>
            <w:tcW w:w="1111" w:type="dxa"/>
            <w:tcBorders>
              <w:top w:val="nil"/>
              <w:left w:val="nil"/>
              <w:bottom w:val="single" w:sz="4" w:space="0" w:color="auto"/>
              <w:right w:val="single" w:sz="4" w:space="0" w:color="auto"/>
            </w:tcBorders>
            <w:shd w:val="clear" w:color="auto" w:fill="auto"/>
            <w:noWrap/>
            <w:vAlign w:val="bottom"/>
            <w:hideMark/>
          </w:tcPr>
          <w:p w14:paraId="5A40A734"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0</w:t>
            </w:r>
          </w:p>
        </w:tc>
        <w:tc>
          <w:tcPr>
            <w:tcW w:w="1620" w:type="dxa"/>
            <w:tcBorders>
              <w:top w:val="nil"/>
              <w:left w:val="nil"/>
              <w:bottom w:val="single" w:sz="4" w:space="0" w:color="auto"/>
              <w:right w:val="single" w:sz="4" w:space="0" w:color="auto"/>
            </w:tcBorders>
            <w:shd w:val="clear" w:color="auto" w:fill="auto"/>
            <w:noWrap/>
            <w:vAlign w:val="bottom"/>
            <w:hideMark/>
          </w:tcPr>
          <w:p w14:paraId="7D5B65E8"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4</w:t>
            </w:r>
          </w:p>
        </w:tc>
        <w:tc>
          <w:tcPr>
            <w:tcW w:w="1620" w:type="dxa"/>
            <w:tcBorders>
              <w:top w:val="nil"/>
              <w:left w:val="nil"/>
              <w:bottom w:val="single" w:sz="4" w:space="0" w:color="auto"/>
              <w:right w:val="single" w:sz="4" w:space="0" w:color="auto"/>
            </w:tcBorders>
            <w:shd w:val="clear" w:color="auto" w:fill="auto"/>
            <w:noWrap/>
            <w:vAlign w:val="bottom"/>
            <w:hideMark/>
          </w:tcPr>
          <w:p w14:paraId="36616453"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2</w:t>
            </w:r>
          </w:p>
        </w:tc>
        <w:tc>
          <w:tcPr>
            <w:tcW w:w="1350" w:type="dxa"/>
            <w:tcBorders>
              <w:top w:val="nil"/>
              <w:left w:val="nil"/>
              <w:bottom w:val="single" w:sz="4" w:space="0" w:color="auto"/>
              <w:right w:val="single" w:sz="4" w:space="0" w:color="auto"/>
            </w:tcBorders>
            <w:shd w:val="clear" w:color="auto" w:fill="auto"/>
            <w:noWrap/>
            <w:vAlign w:val="bottom"/>
            <w:hideMark/>
          </w:tcPr>
          <w:p w14:paraId="5152A57C"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5</w:t>
            </w:r>
          </w:p>
        </w:tc>
        <w:tc>
          <w:tcPr>
            <w:tcW w:w="810" w:type="dxa"/>
            <w:tcBorders>
              <w:top w:val="nil"/>
              <w:left w:val="nil"/>
              <w:bottom w:val="single" w:sz="4" w:space="0" w:color="auto"/>
              <w:right w:val="single" w:sz="4" w:space="0" w:color="auto"/>
            </w:tcBorders>
            <w:shd w:val="clear" w:color="auto" w:fill="auto"/>
            <w:noWrap/>
            <w:vAlign w:val="bottom"/>
            <w:hideMark/>
          </w:tcPr>
          <w:p w14:paraId="6AA35E03"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3</w:t>
            </w:r>
          </w:p>
        </w:tc>
      </w:tr>
      <w:tr w:rsidR="003A1536" w:rsidRPr="003A1536" w14:paraId="57A946E8" w14:textId="77777777" w:rsidTr="0085192F">
        <w:trPr>
          <w:trHeight w:val="330"/>
        </w:trPr>
        <w:tc>
          <w:tcPr>
            <w:tcW w:w="1843" w:type="dxa"/>
            <w:tcBorders>
              <w:top w:val="nil"/>
              <w:left w:val="single" w:sz="4" w:space="0" w:color="auto"/>
              <w:bottom w:val="nil"/>
              <w:right w:val="nil"/>
            </w:tcBorders>
            <w:shd w:val="clear" w:color="auto" w:fill="auto"/>
            <w:vAlign w:val="center"/>
            <w:hideMark/>
          </w:tcPr>
          <w:p w14:paraId="626215D6" w14:textId="591193B3" w:rsidR="003A1536" w:rsidRPr="008D5308" w:rsidRDefault="003A1536" w:rsidP="003A1536">
            <w:pPr>
              <w:spacing w:after="0" w:line="240" w:lineRule="auto"/>
              <w:jc w:val="both"/>
              <w:rPr>
                <w:rFonts w:ascii="Times New Roman" w:eastAsia="PMingLiU" w:hAnsi="Times New Roman" w:cs="Times New Roman"/>
                <w:color w:val="000000"/>
                <w:sz w:val="20"/>
                <w:szCs w:val="20"/>
                <w:lang w:eastAsia="zh-TW"/>
              </w:rPr>
            </w:pPr>
            <w:r w:rsidRPr="008D5308">
              <w:rPr>
                <w:rFonts w:ascii="Times New Roman" w:eastAsia="SimSun" w:hAnsi="Times New Roman" w:cs="Times New Roman"/>
                <w:color w:val="000000"/>
                <w:sz w:val="20"/>
                <w:szCs w:val="20"/>
                <w:lang w:eastAsia="zh-TW"/>
              </w:rPr>
              <w:t>≥</w:t>
            </w:r>
            <w:r w:rsidRPr="008D5308">
              <w:rPr>
                <w:rFonts w:ascii="Times New Roman" w:eastAsia="PMingLiU" w:hAnsi="Times New Roman" w:cs="Times New Roman"/>
                <w:color w:val="000000"/>
                <w:sz w:val="20"/>
                <w:szCs w:val="20"/>
                <w:lang w:eastAsia="zh-TW"/>
              </w:rPr>
              <w:t xml:space="preserve">4 </w:t>
            </w:r>
            <w:r w:rsidR="00E102C8">
              <w:rPr>
                <w:rFonts w:ascii="Times New Roman" w:eastAsia="PMingLiU" w:hAnsi="Times New Roman" w:cs="Times New Roman"/>
                <w:color w:val="000000"/>
                <w:sz w:val="20"/>
                <w:szCs w:val="20"/>
                <w:lang w:eastAsia="zh-TW"/>
              </w:rPr>
              <w:t xml:space="preserve"> hours</w:t>
            </w:r>
          </w:p>
        </w:tc>
        <w:tc>
          <w:tcPr>
            <w:tcW w:w="1276" w:type="dxa"/>
            <w:tcBorders>
              <w:top w:val="nil"/>
              <w:left w:val="single" w:sz="4" w:space="0" w:color="auto"/>
              <w:bottom w:val="nil"/>
              <w:right w:val="single" w:sz="4" w:space="0" w:color="auto"/>
            </w:tcBorders>
            <w:shd w:val="clear" w:color="auto" w:fill="auto"/>
            <w:noWrap/>
            <w:vAlign w:val="bottom"/>
            <w:hideMark/>
          </w:tcPr>
          <w:p w14:paraId="67EC9DF6"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3</w:t>
            </w:r>
          </w:p>
        </w:tc>
        <w:tc>
          <w:tcPr>
            <w:tcW w:w="1111" w:type="dxa"/>
            <w:tcBorders>
              <w:top w:val="nil"/>
              <w:left w:val="nil"/>
              <w:bottom w:val="nil"/>
              <w:right w:val="single" w:sz="4" w:space="0" w:color="auto"/>
            </w:tcBorders>
            <w:shd w:val="clear" w:color="auto" w:fill="auto"/>
            <w:noWrap/>
            <w:vAlign w:val="bottom"/>
            <w:hideMark/>
          </w:tcPr>
          <w:p w14:paraId="7B74E3CB"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0</w:t>
            </w:r>
          </w:p>
        </w:tc>
        <w:tc>
          <w:tcPr>
            <w:tcW w:w="1620" w:type="dxa"/>
            <w:tcBorders>
              <w:top w:val="nil"/>
              <w:left w:val="nil"/>
              <w:bottom w:val="nil"/>
              <w:right w:val="single" w:sz="4" w:space="0" w:color="auto"/>
            </w:tcBorders>
            <w:shd w:val="clear" w:color="auto" w:fill="auto"/>
            <w:noWrap/>
            <w:vAlign w:val="bottom"/>
            <w:hideMark/>
          </w:tcPr>
          <w:p w14:paraId="4E53E57F"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3</w:t>
            </w:r>
          </w:p>
        </w:tc>
        <w:tc>
          <w:tcPr>
            <w:tcW w:w="1620" w:type="dxa"/>
            <w:tcBorders>
              <w:top w:val="nil"/>
              <w:left w:val="nil"/>
              <w:bottom w:val="nil"/>
              <w:right w:val="single" w:sz="4" w:space="0" w:color="auto"/>
            </w:tcBorders>
            <w:shd w:val="clear" w:color="auto" w:fill="auto"/>
            <w:noWrap/>
            <w:vAlign w:val="bottom"/>
            <w:hideMark/>
          </w:tcPr>
          <w:p w14:paraId="039811A2"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4</w:t>
            </w:r>
          </w:p>
        </w:tc>
        <w:tc>
          <w:tcPr>
            <w:tcW w:w="1350" w:type="dxa"/>
            <w:tcBorders>
              <w:top w:val="nil"/>
              <w:left w:val="nil"/>
              <w:bottom w:val="nil"/>
              <w:right w:val="single" w:sz="4" w:space="0" w:color="auto"/>
            </w:tcBorders>
            <w:shd w:val="clear" w:color="auto" w:fill="auto"/>
            <w:noWrap/>
            <w:vAlign w:val="bottom"/>
            <w:hideMark/>
          </w:tcPr>
          <w:p w14:paraId="7BE914D1"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w:t>
            </w:r>
          </w:p>
        </w:tc>
        <w:tc>
          <w:tcPr>
            <w:tcW w:w="810" w:type="dxa"/>
            <w:tcBorders>
              <w:top w:val="nil"/>
              <w:left w:val="nil"/>
              <w:bottom w:val="nil"/>
              <w:right w:val="single" w:sz="4" w:space="0" w:color="auto"/>
            </w:tcBorders>
            <w:shd w:val="clear" w:color="auto" w:fill="auto"/>
            <w:noWrap/>
            <w:vAlign w:val="bottom"/>
            <w:hideMark/>
          </w:tcPr>
          <w:p w14:paraId="37D09322"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8</w:t>
            </w:r>
          </w:p>
        </w:tc>
      </w:tr>
      <w:tr w:rsidR="003A1536" w:rsidRPr="003A1536" w14:paraId="2B4E0D71" w14:textId="77777777" w:rsidTr="0085192F">
        <w:trPr>
          <w:trHeight w:val="315"/>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14121E08" w14:textId="77777777" w:rsidR="003A1536" w:rsidRPr="008D5308" w:rsidRDefault="003A1536" w:rsidP="003A1536">
            <w:pPr>
              <w:spacing w:after="0" w:line="240" w:lineRule="auto"/>
              <w:rPr>
                <w:rFonts w:ascii="Times New Roman" w:eastAsia="MingLiU" w:hAnsi="Times New Roman" w:cs="Times New Roman"/>
                <w:color w:val="000000"/>
                <w:sz w:val="20"/>
                <w:szCs w:val="20"/>
                <w:lang w:eastAsia="zh-TW"/>
              </w:rPr>
            </w:pPr>
            <w:r w:rsidRPr="008D5308">
              <w:rPr>
                <w:rFonts w:ascii="Times New Roman" w:eastAsia="SimSun" w:hAnsi="Times New Roman" w:cs="Times New Roman"/>
                <w:color w:val="000000"/>
                <w:sz w:val="20"/>
                <w:szCs w:val="20"/>
                <w:lang w:eastAsia="zh-TW"/>
              </w:rPr>
              <w:t>T</w:t>
            </w:r>
            <w:r w:rsidRPr="008D5308">
              <w:rPr>
                <w:rFonts w:ascii="Times New Roman" w:eastAsia="MingLiU" w:hAnsi="Times New Roman" w:cs="Times New Roman"/>
                <w:color w:val="000000"/>
                <w:sz w:val="20"/>
                <w:szCs w:val="20"/>
                <w:lang w:eastAsia="zh-TW"/>
              </w:rPr>
              <w:t>otal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16D407"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72</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14:paraId="04D0D016"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15</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9CB90AA"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71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179BE32"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36</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6826857"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33E9CC44" w14:textId="77777777" w:rsidR="003A1536" w:rsidRPr="008D5308" w:rsidRDefault="003A1536" w:rsidP="003A1536">
            <w:pPr>
              <w:spacing w:after="0" w:line="240" w:lineRule="auto"/>
              <w:jc w:val="center"/>
              <w:rPr>
                <w:rFonts w:ascii="Times New Roman" w:eastAsia="PMingLiU" w:hAnsi="Times New Roman" w:cs="Times New Roman"/>
                <w:color w:val="000000"/>
                <w:sz w:val="20"/>
                <w:szCs w:val="20"/>
                <w:lang w:eastAsia="zh-TW"/>
              </w:rPr>
            </w:pPr>
            <w:r w:rsidRPr="008D5308">
              <w:rPr>
                <w:rFonts w:ascii="Times New Roman" w:eastAsia="PMingLiU" w:hAnsi="Times New Roman" w:cs="Times New Roman"/>
                <w:color w:val="000000"/>
                <w:sz w:val="20"/>
                <w:szCs w:val="20"/>
                <w:lang w:eastAsia="zh-TW"/>
              </w:rPr>
              <w:t>15</w:t>
            </w:r>
          </w:p>
        </w:tc>
      </w:tr>
    </w:tbl>
    <w:p w14:paraId="6C667F7D" w14:textId="77777777" w:rsidR="003A1536" w:rsidRDefault="003A1536" w:rsidP="003A1536">
      <w:pPr>
        <w:rPr>
          <w:rFonts w:ascii="Times New Roman" w:hAnsi="Times New Roman" w:cs="Times New Roman"/>
        </w:rPr>
      </w:pPr>
    </w:p>
    <w:p w14:paraId="3335DDA4" w14:textId="77777777" w:rsidR="003A1536" w:rsidRDefault="003A1536" w:rsidP="003A1536">
      <w:pPr>
        <w:rPr>
          <w:rFonts w:ascii="Times New Roman" w:hAnsi="Times New Roman" w:cs="Times New Roman"/>
        </w:rPr>
      </w:pPr>
    </w:p>
    <w:p w14:paraId="3484A08A" w14:textId="77777777" w:rsidR="003A1536" w:rsidRPr="003A1536" w:rsidRDefault="003A1536" w:rsidP="003A1536">
      <w:pPr>
        <w:rPr>
          <w:rFonts w:ascii="Times New Roman" w:hAnsi="Times New Roman" w:cs="Times New Roman"/>
        </w:rPr>
        <w:sectPr w:rsidR="003A1536" w:rsidRPr="003A1536" w:rsidSect="00AC3DB6">
          <w:pgSz w:w="11906" w:h="16838"/>
          <w:pgMar w:top="1440" w:right="1440" w:bottom="1440" w:left="1440" w:header="708" w:footer="708" w:gutter="0"/>
          <w:pgNumType w:start="0"/>
          <w:cols w:space="708"/>
          <w:titlePg/>
          <w:docGrid w:linePitch="360"/>
        </w:sectPr>
      </w:pPr>
    </w:p>
    <w:tbl>
      <w:tblPr>
        <w:tblW w:w="8076" w:type="dxa"/>
        <w:tblCellMar>
          <w:left w:w="28" w:type="dxa"/>
          <w:right w:w="28" w:type="dxa"/>
        </w:tblCellMar>
        <w:tblLook w:val="04A0" w:firstRow="1" w:lastRow="0" w:firstColumn="1" w:lastColumn="0" w:noHBand="0" w:noVBand="1"/>
      </w:tblPr>
      <w:tblGrid>
        <w:gridCol w:w="1840"/>
        <w:gridCol w:w="1240"/>
        <w:gridCol w:w="1210"/>
        <w:gridCol w:w="1058"/>
        <w:gridCol w:w="1140"/>
        <w:gridCol w:w="940"/>
        <w:gridCol w:w="868"/>
      </w:tblGrid>
      <w:tr w:rsidR="00390BB1" w:rsidRPr="008D5308" w14:paraId="266DE87C" w14:textId="77777777" w:rsidTr="00390BB1">
        <w:trPr>
          <w:trHeight w:val="315"/>
        </w:trPr>
        <w:tc>
          <w:tcPr>
            <w:tcW w:w="7428" w:type="dxa"/>
            <w:gridSpan w:val="6"/>
            <w:tcBorders>
              <w:top w:val="nil"/>
              <w:bottom w:val="nil"/>
            </w:tcBorders>
            <w:shd w:val="clear" w:color="auto" w:fill="auto"/>
            <w:noWrap/>
            <w:vAlign w:val="bottom"/>
            <w:hideMark/>
          </w:tcPr>
          <w:p w14:paraId="5F0F9E4E" w14:textId="77777777" w:rsidR="00390BB1" w:rsidRPr="008D5308" w:rsidRDefault="00390BB1" w:rsidP="00390BB1">
            <w:pPr>
              <w:spacing w:after="0" w:line="240" w:lineRule="auto"/>
              <w:jc w:val="center"/>
              <w:rPr>
                <w:rFonts w:ascii="Times New Roman" w:eastAsia="PMingLiU" w:hAnsi="Times New Roman" w:cs="Times New Roman"/>
                <w:b/>
                <w:bCs/>
                <w:sz w:val="20"/>
                <w:szCs w:val="20"/>
                <w:lang w:eastAsia="zh-TW"/>
              </w:rPr>
            </w:pPr>
            <w:r w:rsidRPr="008D5308">
              <w:rPr>
                <w:rFonts w:ascii="Times New Roman" w:eastAsia="PMingLiU" w:hAnsi="Times New Roman" w:cs="Times New Roman"/>
                <w:b/>
                <w:bCs/>
                <w:sz w:val="20"/>
                <w:szCs w:val="20"/>
                <w:lang w:eastAsia="zh-TW"/>
              </w:rPr>
              <w:t>Table 3 Transition Matrices for Non-Casino Respondents</w:t>
            </w:r>
          </w:p>
        </w:tc>
        <w:tc>
          <w:tcPr>
            <w:tcW w:w="648" w:type="dxa"/>
            <w:tcBorders>
              <w:top w:val="nil"/>
              <w:left w:val="nil"/>
              <w:bottom w:val="nil"/>
              <w:right w:val="nil"/>
            </w:tcBorders>
            <w:shd w:val="clear" w:color="auto" w:fill="auto"/>
            <w:noWrap/>
            <w:vAlign w:val="bottom"/>
            <w:hideMark/>
          </w:tcPr>
          <w:p w14:paraId="7538FDCF" w14:textId="77777777" w:rsidR="00390BB1" w:rsidRPr="008D5308" w:rsidRDefault="00390BB1" w:rsidP="00390BB1">
            <w:pPr>
              <w:spacing w:after="0" w:line="240" w:lineRule="auto"/>
              <w:jc w:val="center"/>
              <w:rPr>
                <w:rFonts w:ascii="Times New Roman" w:eastAsia="PMingLiU" w:hAnsi="Times New Roman" w:cs="Times New Roman"/>
                <w:b/>
                <w:bCs/>
                <w:sz w:val="20"/>
                <w:szCs w:val="20"/>
                <w:lang w:eastAsia="zh-TW"/>
              </w:rPr>
            </w:pPr>
          </w:p>
        </w:tc>
      </w:tr>
      <w:tr w:rsidR="00390BB1" w:rsidRPr="008D5308" w14:paraId="05451963" w14:textId="77777777" w:rsidTr="00390BB1">
        <w:trPr>
          <w:trHeight w:val="315"/>
        </w:trPr>
        <w:tc>
          <w:tcPr>
            <w:tcW w:w="807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7CA14E" w14:textId="6A2E7D66" w:rsidR="00390BB1" w:rsidRPr="008D5308" w:rsidRDefault="00390BB1" w:rsidP="00EF544E">
            <w:pPr>
              <w:spacing w:after="0" w:line="240" w:lineRule="auto"/>
              <w:jc w:val="center"/>
              <w:rPr>
                <w:rFonts w:ascii="Times New Roman" w:eastAsia="PMingLiU" w:hAnsi="Times New Roman" w:cs="Times New Roman"/>
                <w:b/>
                <w:bCs/>
                <w:sz w:val="20"/>
                <w:szCs w:val="20"/>
                <w:lang w:eastAsia="zh-TW"/>
              </w:rPr>
            </w:pPr>
            <w:r w:rsidRPr="008D5308">
              <w:rPr>
                <w:rFonts w:ascii="Times New Roman" w:eastAsia="PMingLiU" w:hAnsi="Times New Roman" w:cs="Times New Roman"/>
                <w:b/>
                <w:bCs/>
                <w:sz w:val="20"/>
                <w:szCs w:val="20"/>
                <w:lang w:eastAsia="zh-TW"/>
              </w:rPr>
              <w:t>3</w:t>
            </w:r>
            <w:r w:rsidR="00BA7883">
              <w:rPr>
                <w:rFonts w:ascii="Times New Roman" w:eastAsia="PMingLiU" w:hAnsi="Times New Roman" w:cs="Times New Roman"/>
                <w:b/>
                <w:bCs/>
                <w:sz w:val="20"/>
                <w:szCs w:val="20"/>
                <w:lang w:eastAsia="zh-TW"/>
              </w:rPr>
              <w:t xml:space="preserve">-1 Gambling </w:t>
            </w:r>
            <w:r w:rsidR="00E53168">
              <w:rPr>
                <w:rFonts w:ascii="Times New Roman" w:eastAsia="PMingLiU" w:hAnsi="Times New Roman" w:cs="Times New Roman"/>
                <w:b/>
                <w:bCs/>
                <w:sz w:val="20"/>
                <w:szCs w:val="20"/>
                <w:lang w:eastAsia="zh-TW"/>
              </w:rPr>
              <w:t>F</w:t>
            </w:r>
            <w:r w:rsidR="00EF544E">
              <w:rPr>
                <w:rFonts w:ascii="Times New Roman" w:eastAsia="PMingLiU" w:hAnsi="Times New Roman" w:cs="Times New Roman"/>
                <w:b/>
                <w:bCs/>
                <w:sz w:val="20"/>
                <w:szCs w:val="20"/>
                <w:lang w:eastAsia="zh-TW"/>
              </w:rPr>
              <w:t xml:space="preserve">requency </w:t>
            </w:r>
            <w:r w:rsidR="00BA7883">
              <w:rPr>
                <w:rFonts w:ascii="Times New Roman" w:eastAsia="PMingLiU" w:hAnsi="Times New Roman" w:cs="Times New Roman"/>
                <w:b/>
                <w:bCs/>
                <w:sz w:val="20"/>
                <w:szCs w:val="20"/>
                <w:lang w:eastAsia="zh-TW"/>
              </w:rPr>
              <w:t xml:space="preserve">in </w:t>
            </w:r>
            <w:r w:rsidR="00E53168">
              <w:rPr>
                <w:rFonts w:ascii="Times New Roman" w:eastAsia="PMingLiU" w:hAnsi="Times New Roman" w:cs="Times New Roman"/>
                <w:b/>
                <w:bCs/>
                <w:sz w:val="20"/>
                <w:szCs w:val="20"/>
                <w:lang w:eastAsia="zh-TW"/>
              </w:rPr>
              <w:t>F</w:t>
            </w:r>
            <w:r w:rsidR="00BA7883">
              <w:rPr>
                <w:rFonts w:ascii="Times New Roman" w:eastAsia="PMingLiU" w:hAnsi="Times New Roman" w:cs="Times New Roman"/>
                <w:b/>
                <w:bCs/>
                <w:sz w:val="20"/>
                <w:szCs w:val="20"/>
                <w:lang w:eastAsia="zh-TW"/>
              </w:rPr>
              <w:t xml:space="preserve">irst </w:t>
            </w:r>
            <w:r w:rsidR="00E53168">
              <w:rPr>
                <w:rFonts w:ascii="Times New Roman" w:eastAsia="PMingLiU" w:hAnsi="Times New Roman" w:cs="Times New Roman"/>
                <w:b/>
                <w:bCs/>
                <w:sz w:val="20"/>
                <w:szCs w:val="20"/>
                <w:lang w:eastAsia="zh-TW"/>
              </w:rPr>
              <w:t>Y</w:t>
            </w:r>
            <w:r w:rsidR="00BA7883">
              <w:rPr>
                <w:rFonts w:ascii="Times New Roman" w:eastAsia="PMingLiU" w:hAnsi="Times New Roman" w:cs="Times New Roman"/>
                <w:b/>
                <w:bCs/>
                <w:sz w:val="20"/>
                <w:szCs w:val="20"/>
                <w:lang w:eastAsia="zh-TW"/>
              </w:rPr>
              <w:t xml:space="preserve">ear </w:t>
            </w:r>
            <w:r w:rsidR="00E53168">
              <w:rPr>
                <w:rFonts w:ascii="Times New Roman" w:eastAsia="PMingLiU" w:hAnsi="Times New Roman" w:cs="Times New Roman"/>
                <w:b/>
                <w:bCs/>
                <w:sz w:val="20"/>
                <w:szCs w:val="20"/>
                <w:lang w:eastAsia="zh-TW"/>
              </w:rPr>
              <w:t>G</w:t>
            </w:r>
            <w:r w:rsidR="00BA7883">
              <w:rPr>
                <w:rFonts w:ascii="Times New Roman" w:eastAsia="PMingLiU" w:hAnsi="Times New Roman" w:cs="Times New Roman"/>
                <w:b/>
                <w:bCs/>
                <w:sz w:val="20"/>
                <w:szCs w:val="20"/>
                <w:lang w:eastAsia="zh-TW"/>
              </w:rPr>
              <w:t xml:space="preserve">ambling </w:t>
            </w:r>
            <w:r w:rsidR="00E53168">
              <w:rPr>
                <w:rFonts w:ascii="Times New Roman" w:eastAsia="PMingLiU" w:hAnsi="Times New Roman" w:cs="Times New Roman"/>
                <w:b/>
                <w:bCs/>
                <w:sz w:val="20"/>
                <w:szCs w:val="20"/>
                <w:lang w:eastAsia="zh-TW"/>
              </w:rPr>
              <w:t>and</w:t>
            </w:r>
            <w:r w:rsidR="00BA7883">
              <w:rPr>
                <w:rFonts w:ascii="Times New Roman" w:eastAsia="PMingLiU" w:hAnsi="Times New Roman" w:cs="Times New Roman"/>
                <w:b/>
                <w:bCs/>
                <w:sz w:val="20"/>
                <w:szCs w:val="20"/>
                <w:lang w:eastAsia="zh-TW"/>
              </w:rPr>
              <w:t xml:space="preserve"> </w:t>
            </w:r>
            <w:r w:rsidR="00E53168">
              <w:rPr>
                <w:rFonts w:ascii="Times New Roman" w:eastAsia="PMingLiU" w:hAnsi="Times New Roman" w:cs="Times New Roman"/>
                <w:b/>
                <w:bCs/>
                <w:sz w:val="20"/>
                <w:szCs w:val="20"/>
                <w:lang w:eastAsia="zh-TW"/>
              </w:rPr>
              <w:t>L</w:t>
            </w:r>
            <w:r w:rsidR="00BA7883">
              <w:rPr>
                <w:rFonts w:ascii="Times New Roman" w:eastAsia="PMingLiU" w:hAnsi="Times New Roman" w:cs="Times New Roman"/>
                <w:b/>
                <w:bCs/>
                <w:sz w:val="20"/>
                <w:szCs w:val="20"/>
                <w:lang w:eastAsia="zh-TW"/>
              </w:rPr>
              <w:t xml:space="preserve">ast 12 </w:t>
            </w:r>
            <w:r w:rsidR="00E53168">
              <w:rPr>
                <w:rFonts w:ascii="Times New Roman" w:eastAsia="PMingLiU" w:hAnsi="Times New Roman" w:cs="Times New Roman"/>
                <w:b/>
                <w:bCs/>
                <w:sz w:val="20"/>
                <w:szCs w:val="20"/>
                <w:lang w:eastAsia="zh-TW"/>
              </w:rPr>
              <w:t>M</w:t>
            </w:r>
            <w:r w:rsidR="00BA7883">
              <w:rPr>
                <w:rFonts w:ascii="Times New Roman" w:eastAsia="PMingLiU" w:hAnsi="Times New Roman" w:cs="Times New Roman"/>
                <w:b/>
                <w:bCs/>
                <w:sz w:val="20"/>
                <w:szCs w:val="20"/>
                <w:lang w:eastAsia="zh-TW"/>
              </w:rPr>
              <w:t>onths</w:t>
            </w:r>
          </w:p>
        </w:tc>
      </w:tr>
      <w:tr w:rsidR="00390BB1" w:rsidRPr="008D5308" w14:paraId="0E55609A" w14:textId="77777777" w:rsidTr="00390BB1">
        <w:trPr>
          <w:trHeight w:val="930"/>
        </w:trPr>
        <w:tc>
          <w:tcPr>
            <w:tcW w:w="1840" w:type="dxa"/>
            <w:tcBorders>
              <w:top w:val="nil"/>
              <w:left w:val="single" w:sz="4" w:space="0" w:color="auto"/>
              <w:bottom w:val="single" w:sz="4" w:space="0" w:color="auto"/>
              <w:right w:val="single" w:sz="4" w:space="0" w:color="auto"/>
              <w:tl2br w:val="single" w:sz="4" w:space="0" w:color="auto"/>
            </w:tcBorders>
            <w:shd w:val="clear" w:color="auto" w:fill="auto"/>
            <w:hideMark/>
          </w:tcPr>
          <w:p w14:paraId="3C150A0A" w14:textId="7E2D8674" w:rsidR="00390BB1" w:rsidRDefault="00390BB1" w:rsidP="00BA7883">
            <w:pPr>
              <w:spacing w:after="0" w:line="240" w:lineRule="auto"/>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               Past </w:t>
            </w:r>
            <w:r w:rsidR="00BA7883">
              <w:rPr>
                <w:rFonts w:ascii="Times New Roman" w:eastAsia="PMingLiU" w:hAnsi="Times New Roman" w:cs="Times New Roman"/>
                <w:sz w:val="20"/>
                <w:szCs w:val="20"/>
                <w:lang w:eastAsia="zh-TW"/>
              </w:rPr>
              <w:t>12 mo.</w:t>
            </w:r>
            <w:r w:rsidRPr="008D5308">
              <w:rPr>
                <w:rFonts w:ascii="Times New Roman" w:eastAsia="PMingLiU" w:hAnsi="Times New Roman" w:cs="Times New Roman"/>
                <w:sz w:val="20"/>
                <w:szCs w:val="20"/>
                <w:lang w:eastAsia="zh-TW"/>
              </w:rPr>
              <w:br/>
            </w:r>
            <w:r w:rsidR="000B197D">
              <w:rPr>
                <w:rFonts w:ascii="Times New Roman" w:eastAsia="PMingLiU" w:hAnsi="Times New Roman" w:cs="Times New Roman"/>
                <w:sz w:val="20"/>
                <w:szCs w:val="20"/>
                <w:lang w:eastAsia="zh-TW"/>
              </w:rPr>
              <w:t>First</w:t>
            </w:r>
          </w:p>
          <w:p w14:paraId="46EB9B98" w14:textId="4E168A55" w:rsidR="00BA7883" w:rsidRPr="008D5308" w:rsidRDefault="00BA7883" w:rsidP="00BA7883">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Year</w:t>
            </w:r>
          </w:p>
        </w:tc>
        <w:tc>
          <w:tcPr>
            <w:tcW w:w="1240" w:type="dxa"/>
            <w:tcBorders>
              <w:top w:val="nil"/>
              <w:left w:val="nil"/>
              <w:bottom w:val="single" w:sz="4" w:space="0" w:color="auto"/>
              <w:right w:val="single" w:sz="4" w:space="0" w:color="auto"/>
            </w:tcBorders>
            <w:shd w:val="clear" w:color="auto" w:fill="auto"/>
            <w:vAlign w:val="center"/>
            <w:hideMark/>
          </w:tcPr>
          <w:p w14:paraId="57BCEBA3" w14:textId="12533811" w:rsidR="00390BB1" w:rsidRPr="008D5308" w:rsidRDefault="00390BB1" w:rsidP="00390BB1">
            <w:pPr>
              <w:spacing w:after="0" w:line="240" w:lineRule="auto"/>
              <w:jc w:val="center"/>
              <w:rPr>
                <w:rFonts w:ascii="Times New Roman" w:eastAsia="MingLiU" w:hAnsi="Times New Roman" w:cs="Times New Roman"/>
                <w:sz w:val="20"/>
                <w:szCs w:val="20"/>
                <w:lang w:eastAsia="zh-TW"/>
              </w:rPr>
            </w:pPr>
            <w:r w:rsidRPr="008D5308">
              <w:rPr>
                <w:rFonts w:ascii="Times New Roman" w:eastAsia="SimSun" w:hAnsi="Times New Roman" w:cs="Times New Roman"/>
                <w:sz w:val="20"/>
                <w:szCs w:val="20"/>
                <w:lang w:eastAsia="zh-TW"/>
              </w:rPr>
              <w:t>N</w:t>
            </w:r>
            <w:r w:rsidRPr="008D5308">
              <w:rPr>
                <w:rFonts w:ascii="Times New Roman" w:eastAsia="MingLiU" w:hAnsi="Times New Roman" w:cs="Times New Roman"/>
                <w:sz w:val="20"/>
                <w:szCs w:val="20"/>
                <w:lang w:eastAsia="zh-TW"/>
              </w:rPr>
              <w:t xml:space="preserve">o </w:t>
            </w:r>
            <w:r w:rsidR="00E53168">
              <w:rPr>
                <w:rFonts w:ascii="Times New Roman" w:eastAsia="MingLiU" w:hAnsi="Times New Roman" w:cs="Times New Roman"/>
                <w:sz w:val="20"/>
                <w:szCs w:val="20"/>
                <w:lang w:eastAsia="zh-TW"/>
              </w:rPr>
              <w:t>G</w:t>
            </w:r>
            <w:r w:rsidRPr="008D5308">
              <w:rPr>
                <w:rFonts w:ascii="Times New Roman" w:eastAsia="MingLiU" w:hAnsi="Times New Roman" w:cs="Times New Roman"/>
                <w:sz w:val="20"/>
                <w:szCs w:val="20"/>
                <w:lang w:eastAsia="zh-TW"/>
              </w:rPr>
              <w:t xml:space="preserve">ambling in </w:t>
            </w:r>
            <w:r w:rsidR="00E53168">
              <w:rPr>
                <w:rFonts w:ascii="Times New Roman" w:eastAsia="MingLiU" w:hAnsi="Times New Roman" w:cs="Times New Roman"/>
                <w:sz w:val="20"/>
                <w:szCs w:val="20"/>
                <w:lang w:eastAsia="zh-TW"/>
              </w:rPr>
              <w:t>P</w:t>
            </w:r>
            <w:r w:rsidRPr="008D5308">
              <w:rPr>
                <w:rFonts w:ascii="Times New Roman" w:eastAsia="MingLiU" w:hAnsi="Times New Roman" w:cs="Times New Roman"/>
                <w:sz w:val="20"/>
                <w:szCs w:val="20"/>
                <w:lang w:eastAsia="zh-TW"/>
              </w:rPr>
              <w:t>ast</w:t>
            </w:r>
            <w:r w:rsidR="00E53168">
              <w:rPr>
                <w:rFonts w:ascii="Times New Roman" w:eastAsia="MingLiU" w:hAnsi="Times New Roman" w:cs="Times New Roman"/>
                <w:sz w:val="20"/>
                <w:szCs w:val="20"/>
                <w:lang w:eastAsia="zh-TW"/>
              </w:rPr>
              <w:t xml:space="preserve"> Year</w:t>
            </w:r>
            <w:r w:rsidRPr="008D5308">
              <w:rPr>
                <w:rFonts w:ascii="Times New Roman" w:eastAsia="MingLiU" w:hAnsi="Times New Roman" w:cs="Times New Roman"/>
                <w:sz w:val="20"/>
                <w:szCs w:val="20"/>
                <w:lang w:eastAsia="zh-TW"/>
              </w:rPr>
              <w:t>.</w:t>
            </w:r>
          </w:p>
        </w:tc>
        <w:tc>
          <w:tcPr>
            <w:tcW w:w="1210" w:type="dxa"/>
            <w:tcBorders>
              <w:top w:val="nil"/>
              <w:left w:val="nil"/>
              <w:bottom w:val="single" w:sz="4" w:space="0" w:color="auto"/>
              <w:right w:val="single" w:sz="4" w:space="0" w:color="auto"/>
            </w:tcBorders>
            <w:shd w:val="clear" w:color="auto" w:fill="auto"/>
            <w:vAlign w:val="center"/>
            <w:hideMark/>
          </w:tcPr>
          <w:p w14:paraId="05A8A8C1" w14:textId="026EE1BA" w:rsidR="00390BB1" w:rsidRPr="008D5308" w:rsidRDefault="00390BB1" w:rsidP="00390BB1">
            <w:pPr>
              <w:spacing w:after="0" w:line="240" w:lineRule="auto"/>
              <w:jc w:val="center"/>
              <w:rPr>
                <w:rFonts w:ascii="Times New Roman" w:eastAsia="MingLiU" w:hAnsi="Times New Roman" w:cs="Times New Roman"/>
                <w:sz w:val="20"/>
                <w:szCs w:val="20"/>
                <w:lang w:eastAsia="zh-TW"/>
              </w:rPr>
            </w:pPr>
            <w:r w:rsidRPr="008D5308">
              <w:rPr>
                <w:rFonts w:ascii="Times New Roman" w:eastAsia="MingLiU" w:hAnsi="Times New Roman" w:cs="Times New Roman"/>
                <w:sz w:val="20"/>
                <w:szCs w:val="20"/>
                <w:lang w:eastAsia="zh-TW"/>
              </w:rPr>
              <w:t>Less than M</w:t>
            </w:r>
            <w:r w:rsidR="00E53168">
              <w:rPr>
                <w:rFonts w:ascii="Times New Roman" w:eastAsia="MingLiU" w:hAnsi="Times New Roman" w:cs="Times New Roman"/>
                <w:sz w:val="20"/>
                <w:szCs w:val="20"/>
                <w:lang w:eastAsia="zh-TW"/>
              </w:rPr>
              <w:t>on</w:t>
            </w:r>
            <w:r w:rsidRPr="008D5308">
              <w:rPr>
                <w:rFonts w:ascii="Times New Roman" w:eastAsia="MingLiU" w:hAnsi="Times New Roman" w:cs="Times New Roman"/>
                <w:sz w:val="20"/>
                <w:szCs w:val="20"/>
                <w:lang w:eastAsia="zh-TW"/>
              </w:rPr>
              <w:t>thly</w:t>
            </w:r>
          </w:p>
        </w:tc>
        <w:tc>
          <w:tcPr>
            <w:tcW w:w="1058" w:type="dxa"/>
            <w:tcBorders>
              <w:top w:val="nil"/>
              <w:left w:val="nil"/>
              <w:bottom w:val="single" w:sz="4" w:space="0" w:color="auto"/>
              <w:right w:val="single" w:sz="4" w:space="0" w:color="auto"/>
            </w:tcBorders>
            <w:shd w:val="clear" w:color="auto" w:fill="auto"/>
            <w:vAlign w:val="center"/>
            <w:hideMark/>
          </w:tcPr>
          <w:p w14:paraId="325EB41A" w14:textId="1D9AB1CE" w:rsidR="00390BB1" w:rsidRPr="008D5308" w:rsidRDefault="00390BB1" w:rsidP="00390BB1">
            <w:pPr>
              <w:spacing w:after="0" w:line="240" w:lineRule="auto"/>
              <w:jc w:val="center"/>
              <w:rPr>
                <w:rFonts w:ascii="Times New Roman" w:eastAsia="MingLiU" w:hAnsi="Times New Roman" w:cs="Times New Roman"/>
                <w:sz w:val="20"/>
                <w:szCs w:val="20"/>
                <w:lang w:eastAsia="zh-TW"/>
              </w:rPr>
            </w:pPr>
            <w:r w:rsidRPr="008D5308">
              <w:rPr>
                <w:rFonts w:ascii="Times New Roman" w:eastAsia="MingLiU" w:hAnsi="Times New Roman" w:cs="Times New Roman"/>
                <w:sz w:val="20"/>
                <w:szCs w:val="20"/>
                <w:lang w:eastAsia="zh-TW"/>
              </w:rPr>
              <w:t>M</w:t>
            </w:r>
            <w:r w:rsidR="00E53168">
              <w:rPr>
                <w:rFonts w:ascii="Times New Roman" w:eastAsia="MingLiU" w:hAnsi="Times New Roman" w:cs="Times New Roman"/>
                <w:sz w:val="20"/>
                <w:szCs w:val="20"/>
                <w:lang w:eastAsia="zh-TW"/>
              </w:rPr>
              <w:t>on</w:t>
            </w:r>
            <w:r w:rsidRPr="008D5308">
              <w:rPr>
                <w:rFonts w:ascii="Times New Roman" w:eastAsia="MingLiU" w:hAnsi="Times New Roman" w:cs="Times New Roman"/>
                <w:sz w:val="20"/>
                <w:szCs w:val="20"/>
                <w:lang w:eastAsia="zh-TW"/>
              </w:rPr>
              <w:t xml:space="preserve">thly or </w:t>
            </w:r>
            <w:r w:rsidR="00E53168">
              <w:rPr>
                <w:rFonts w:ascii="Times New Roman" w:eastAsia="MingLiU" w:hAnsi="Times New Roman" w:cs="Times New Roman"/>
                <w:sz w:val="20"/>
                <w:szCs w:val="20"/>
                <w:lang w:eastAsia="zh-TW"/>
              </w:rPr>
              <w:t>M</w:t>
            </w:r>
            <w:r w:rsidRPr="008D5308">
              <w:rPr>
                <w:rFonts w:ascii="Times New Roman" w:eastAsia="MingLiU" w:hAnsi="Times New Roman" w:cs="Times New Roman"/>
                <w:sz w:val="20"/>
                <w:szCs w:val="20"/>
                <w:lang w:eastAsia="zh-TW"/>
              </w:rPr>
              <w:t xml:space="preserve">ore </w:t>
            </w:r>
          </w:p>
        </w:tc>
        <w:tc>
          <w:tcPr>
            <w:tcW w:w="1140" w:type="dxa"/>
            <w:tcBorders>
              <w:top w:val="nil"/>
              <w:left w:val="nil"/>
              <w:bottom w:val="single" w:sz="4" w:space="0" w:color="auto"/>
              <w:right w:val="single" w:sz="4" w:space="0" w:color="auto"/>
            </w:tcBorders>
            <w:shd w:val="clear" w:color="auto" w:fill="auto"/>
            <w:vAlign w:val="center"/>
            <w:hideMark/>
          </w:tcPr>
          <w:p w14:paraId="763027ED" w14:textId="74C345D5" w:rsidR="00390BB1" w:rsidRPr="008D5308" w:rsidRDefault="00E53168" w:rsidP="00390BB1">
            <w:pPr>
              <w:spacing w:after="0" w:line="240" w:lineRule="auto"/>
              <w:jc w:val="center"/>
              <w:rPr>
                <w:rFonts w:ascii="Times New Roman" w:eastAsia="MingLiU" w:hAnsi="Times New Roman" w:cs="Times New Roman"/>
                <w:sz w:val="20"/>
                <w:szCs w:val="20"/>
                <w:lang w:eastAsia="zh-TW"/>
              </w:rPr>
            </w:pPr>
            <w:r>
              <w:rPr>
                <w:rFonts w:ascii="Times New Roman" w:eastAsia="MingLiU" w:hAnsi="Times New Roman" w:cs="Times New Roman"/>
                <w:sz w:val="20"/>
                <w:szCs w:val="20"/>
                <w:lang w:eastAsia="zh-TW"/>
              </w:rPr>
              <w:t>W</w:t>
            </w:r>
            <w:r w:rsidR="00390BB1" w:rsidRPr="008D5308">
              <w:rPr>
                <w:rFonts w:ascii="Times New Roman" w:eastAsia="MingLiU" w:hAnsi="Times New Roman" w:cs="Times New Roman"/>
                <w:sz w:val="20"/>
                <w:szCs w:val="20"/>
                <w:lang w:eastAsia="zh-TW"/>
              </w:rPr>
              <w:t xml:space="preserve">eekly or </w:t>
            </w:r>
            <w:r>
              <w:rPr>
                <w:rFonts w:ascii="Times New Roman" w:eastAsia="MingLiU" w:hAnsi="Times New Roman" w:cs="Times New Roman"/>
                <w:sz w:val="20"/>
                <w:szCs w:val="20"/>
                <w:lang w:eastAsia="zh-TW"/>
              </w:rPr>
              <w:t>M</w:t>
            </w:r>
            <w:r w:rsidR="00390BB1" w:rsidRPr="008D5308">
              <w:rPr>
                <w:rFonts w:ascii="Times New Roman" w:eastAsia="MingLiU" w:hAnsi="Times New Roman" w:cs="Times New Roman"/>
                <w:sz w:val="20"/>
                <w:szCs w:val="20"/>
                <w:lang w:eastAsia="zh-TW"/>
              </w:rPr>
              <w:t>ore</w:t>
            </w:r>
          </w:p>
        </w:tc>
        <w:tc>
          <w:tcPr>
            <w:tcW w:w="940" w:type="dxa"/>
            <w:tcBorders>
              <w:top w:val="nil"/>
              <w:left w:val="nil"/>
              <w:bottom w:val="single" w:sz="4" w:space="0" w:color="auto"/>
              <w:right w:val="single" w:sz="4" w:space="0" w:color="auto"/>
            </w:tcBorders>
            <w:shd w:val="clear" w:color="auto" w:fill="auto"/>
            <w:noWrap/>
            <w:vAlign w:val="center"/>
            <w:hideMark/>
          </w:tcPr>
          <w:p w14:paraId="3078B12D" w14:textId="77777777" w:rsidR="00390BB1" w:rsidRPr="008D5308" w:rsidRDefault="00390BB1" w:rsidP="00390BB1">
            <w:pPr>
              <w:spacing w:after="0" w:line="240" w:lineRule="auto"/>
              <w:jc w:val="center"/>
              <w:rPr>
                <w:rFonts w:ascii="Times New Roman" w:eastAsia="MingLiU" w:hAnsi="Times New Roman" w:cs="Times New Roman"/>
                <w:sz w:val="20"/>
                <w:szCs w:val="20"/>
                <w:lang w:eastAsia="zh-TW"/>
              </w:rPr>
            </w:pPr>
            <w:r w:rsidRPr="008D5308">
              <w:rPr>
                <w:rFonts w:ascii="Times New Roman" w:eastAsia="MingLiU" w:hAnsi="Times New Roman" w:cs="Times New Roman"/>
                <w:sz w:val="20"/>
                <w:szCs w:val="20"/>
                <w:lang w:eastAsia="zh-TW"/>
              </w:rPr>
              <w:t>Daily</w:t>
            </w:r>
          </w:p>
        </w:tc>
        <w:tc>
          <w:tcPr>
            <w:tcW w:w="648" w:type="dxa"/>
            <w:tcBorders>
              <w:top w:val="nil"/>
              <w:left w:val="nil"/>
              <w:bottom w:val="single" w:sz="4" w:space="0" w:color="auto"/>
              <w:right w:val="single" w:sz="4" w:space="0" w:color="auto"/>
            </w:tcBorders>
            <w:shd w:val="clear" w:color="auto" w:fill="auto"/>
            <w:noWrap/>
            <w:vAlign w:val="center"/>
            <w:hideMark/>
          </w:tcPr>
          <w:p w14:paraId="2131CB6A" w14:textId="77777777" w:rsidR="00390BB1" w:rsidRPr="008D5308" w:rsidRDefault="00390BB1" w:rsidP="00390BB1">
            <w:pPr>
              <w:spacing w:after="0" w:line="240" w:lineRule="auto"/>
              <w:jc w:val="center"/>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　</w:t>
            </w:r>
          </w:p>
        </w:tc>
      </w:tr>
      <w:tr w:rsidR="00390BB1" w:rsidRPr="008D5308" w14:paraId="4144F993" w14:textId="77777777" w:rsidTr="00390BB1">
        <w:trPr>
          <w:trHeight w:val="315"/>
        </w:trPr>
        <w:tc>
          <w:tcPr>
            <w:tcW w:w="1840" w:type="dxa"/>
            <w:tcBorders>
              <w:top w:val="nil"/>
              <w:left w:val="single" w:sz="4" w:space="0" w:color="auto"/>
              <w:bottom w:val="single" w:sz="4" w:space="0" w:color="auto"/>
              <w:right w:val="single" w:sz="4" w:space="0" w:color="auto"/>
            </w:tcBorders>
            <w:shd w:val="clear" w:color="auto" w:fill="auto"/>
            <w:noWrap/>
            <w:hideMark/>
          </w:tcPr>
          <w:p w14:paraId="7C67A52B" w14:textId="65D57D41" w:rsidR="00390BB1" w:rsidRPr="008D5308" w:rsidRDefault="00390BB1" w:rsidP="00390BB1">
            <w:pPr>
              <w:spacing w:after="0" w:line="240" w:lineRule="auto"/>
              <w:rPr>
                <w:rFonts w:ascii="Times New Roman" w:eastAsia="MingLiU" w:hAnsi="Times New Roman" w:cs="Times New Roman"/>
                <w:sz w:val="20"/>
                <w:szCs w:val="20"/>
                <w:lang w:eastAsia="zh-TW"/>
              </w:rPr>
            </w:pPr>
            <w:r w:rsidRPr="008D5308">
              <w:rPr>
                <w:rFonts w:ascii="Times New Roman" w:eastAsia="MingLiU" w:hAnsi="Times New Roman" w:cs="Times New Roman"/>
                <w:sz w:val="20"/>
                <w:szCs w:val="20"/>
                <w:lang w:eastAsia="zh-TW"/>
              </w:rPr>
              <w:t>Less than M</w:t>
            </w:r>
            <w:r w:rsidR="00E53168">
              <w:rPr>
                <w:rFonts w:ascii="Times New Roman" w:eastAsia="MingLiU" w:hAnsi="Times New Roman" w:cs="Times New Roman"/>
                <w:sz w:val="20"/>
                <w:szCs w:val="20"/>
                <w:lang w:eastAsia="zh-TW"/>
              </w:rPr>
              <w:t>on</w:t>
            </w:r>
            <w:r w:rsidRPr="008D5308">
              <w:rPr>
                <w:rFonts w:ascii="Times New Roman" w:eastAsia="MingLiU" w:hAnsi="Times New Roman" w:cs="Times New Roman"/>
                <w:sz w:val="20"/>
                <w:szCs w:val="20"/>
                <w:lang w:eastAsia="zh-TW"/>
              </w:rPr>
              <w:t>thly</w:t>
            </w:r>
          </w:p>
        </w:tc>
        <w:tc>
          <w:tcPr>
            <w:tcW w:w="1240" w:type="dxa"/>
            <w:tcBorders>
              <w:top w:val="nil"/>
              <w:left w:val="nil"/>
              <w:bottom w:val="single" w:sz="4" w:space="0" w:color="auto"/>
              <w:right w:val="single" w:sz="4" w:space="0" w:color="auto"/>
            </w:tcBorders>
            <w:shd w:val="clear" w:color="auto" w:fill="auto"/>
            <w:noWrap/>
            <w:vAlign w:val="center"/>
            <w:hideMark/>
          </w:tcPr>
          <w:p w14:paraId="2F386FCA" w14:textId="77777777" w:rsidR="00390BB1" w:rsidRPr="008D5308" w:rsidRDefault="00390BB1" w:rsidP="00390BB1">
            <w:pPr>
              <w:spacing w:after="0" w:line="240" w:lineRule="auto"/>
              <w:jc w:val="right"/>
              <w:rPr>
                <w:rFonts w:ascii="Times New Roman" w:eastAsia="SimSun" w:hAnsi="Times New Roman" w:cs="Times New Roman"/>
                <w:sz w:val="20"/>
                <w:szCs w:val="20"/>
                <w:lang w:eastAsia="zh-TW"/>
              </w:rPr>
            </w:pPr>
            <w:r w:rsidRPr="008D5308">
              <w:rPr>
                <w:rFonts w:ascii="Times New Roman" w:eastAsia="SimSun" w:hAnsi="Times New Roman" w:cs="Times New Roman"/>
                <w:sz w:val="20"/>
                <w:szCs w:val="20"/>
                <w:lang w:eastAsia="zh-TW"/>
              </w:rPr>
              <w:t>59</w:t>
            </w:r>
          </w:p>
        </w:tc>
        <w:tc>
          <w:tcPr>
            <w:tcW w:w="1210" w:type="dxa"/>
            <w:tcBorders>
              <w:top w:val="nil"/>
              <w:left w:val="nil"/>
              <w:bottom w:val="single" w:sz="4" w:space="0" w:color="auto"/>
              <w:right w:val="single" w:sz="4" w:space="0" w:color="auto"/>
            </w:tcBorders>
            <w:shd w:val="clear" w:color="auto" w:fill="auto"/>
            <w:noWrap/>
            <w:vAlign w:val="center"/>
            <w:hideMark/>
          </w:tcPr>
          <w:p w14:paraId="232553F4" w14:textId="77777777" w:rsidR="00390BB1" w:rsidRPr="008D5308" w:rsidRDefault="00390BB1" w:rsidP="00390BB1">
            <w:pPr>
              <w:spacing w:after="0" w:line="240" w:lineRule="auto"/>
              <w:jc w:val="right"/>
              <w:rPr>
                <w:rFonts w:ascii="Times New Roman" w:eastAsia="SimSun" w:hAnsi="Times New Roman" w:cs="Times New Roman"/>
                <w:sz w:val="20"/>
                <w:szCs w:val="20"/>
                <w:lang w:eastAsia="zh-TW"/>
              </w:rPr>
            </w:pPr>
            <w:r w:rsidRPr="008D5308">
              <w:rPr>
                <w:rFonts w:ascii="Times New Roman" w:eastAsia="SimSun" w:hAnsi="Times New Roman" w:cs="Times New Roman"/>
                <w:sz w:val="20"/>
                <w:szCs w:val="20"/>
                <w:lang w:eastAsia="zh-TW"/>
              </w:rPr>
              <w:t>73</w:t>
            </w:r>
          </w:p>
        </w:tc>
        <w:tc>
          <w:tcPr>
            <w:tcW w:w="1058" w:type="dxa"/>
            <w:tcBorders>
              <w:top w:val="nil"/>
              <w:left w:val="nil"/>
              <w:bottom w:val="single" w:sz="4" w:space="0" w:color="auto"/>
              <w:right w:val="single" w:sz="4" w:space="0" w:color="auto"/>
            </w:tcBorders>
            <w:shd w:val="clear" w:color="auto" w:fill="auto"/>
            <w:noWrap/>
            <w:vAlign w:val="bottom"/>
            <w:hideMark/>
          </w:tcPr>
          <w:p w14:paraId="6A127AA0"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6</w:t>
            </w:r>
          </w:p>
        </w:tc>
        <w:tc>
          <w:tcPr>
            <w:tcW w:w="1140" w:type="dxa"/>
            <w:tcBorders>
              <w:top w:val="nil"/>
              <w:left w:val="nil"/>
              <w:bottom w:val="single" w:sz="4" w:space="0" w:color="auto"/>
              <w:right w:val="single" w:sz="4" w:space="0" w:color="auto"/>
            </w:tcBorders>
            <w:shd w:val="clear" w:color="auto" w:fill="auto"/>
            <w:noWrap/>
            <w:vAlign w:val="bottom"/>
            <w:hideMark/>
          </w:tcPr>
          <w:p w14:paraId="61F734CC"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4</w:t>
            </w:r>
          </w:p>
        </w:tc>
        <w:tc>
          <w:tcPr>
            <w:tcW w:w="940" w:type="dxa"/>
            <w:tcBorders>
              <w:top w:val="nil"/>
              <w:left w:val="nil"/>
              <w:bottom w:val="single" w:sz="4" w:space="0" w:color="auto"/>
              <w:right w:val="single" w:sz="4" w:space="0" w:color="auto"/>
            </w:tcBorders>
            <w:shd w:val="clear" w:color="auto" w:fill="auto"/>
            <w:noWrap/>
            <w:vAlign w:val="bottom"/>
            <w:hideMark/>
          </w:tcPr>
          <w:p w14:paraId="63B16CCB"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1</w:t>
            </w:r>
          </w:p>
        </w:tc>
        <w:tc>
          <w:tcPr>
            <w:tcW w:w="648" w:type="dxa"/>
            <w:tcBorders>
              <w:top w:val="nil"/>
              <w:left w:val="nil"/>
              <w:bottom w:val="single" w:sz="4" w:space="0" w:color="auto"/>
              <w:right w:val="single" w:sz="4" w:space="0" w:color="auto"/>
            </w:tcBorders>
            <w:shd w:val="clear" w:color="auto" w:fill="auto"/>
            <w:noWrap/>
            <w:vAlign w:val="bottom"/>
            <w:hideMark/>
          </w:tcPr>
          <w:p w14:paraId="28A79D29" w14:textId="77777777" w:rsidR="00390BB1" w:rsidRPr="008D5308" w:rsidRDefault="00390BB1" w:rsidP="00390BB1">
            <w:pPr>
              <w:spacing w:after="0" w:line="240" w:lineRule="auto"/>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　</w:t>
            </w:r>
          </w:p>
        </w:tc>
      </w:tr>
      <w:tr w:rsidR="00390BB1" w:rsidRPr="008D5308" w14:paraId="30C199DF" w14:textId="77777777" w:rsidTr="00390BB1">
        <w:trPr>
          <w:trHeight w:val="315"/>
        </w:trPr>
        <w:tc>
          <w:tcPr>
            <w:tcW w:w="1840" w:type="dxa"/>
            <w:tcBorders>
              <w:top w:val="nil"/>
              <w:left w:val="single" w:sz="4" w:space="0" w:color="auto"/>
              <w:bottom w:val="single" w:sz="4" w:space="0" w:color="auto"/>
              <w:right w:val="single" w:sz="4" w:space="0" w:color="auto"/>
            </w:tcBorders>
            <w:shd w:val="clear" w:color="auto" w:fill="auto"/>
            <w:noWrap/>
            <w:hideMark/>
          </w:tcPr>
          <w:p w14:paraId="0E27416A" w14:textId="025B00A2" w:rsidR="00390BB1" w:rsidRPr="008D5308" w:rsidRDefault="00390BB1" w:rsidP="00390BB1">
            <w:pPr>
              <w:spacing w:after="0" w:line="240" w:lineRule="auto"/>
              <w:rPr>
                <w:rFonts w:ascii="Times New Roman" w:eastAsia="MingLiU" w:hAnsi="Times New Roman" w:cs="Times New Roman"/>
                <w:sz w:val="20"/>
                <w:szCs w:val="20"/>
                <w:lang w:eastAsia="zh-TW"/>
              </w:rPr>
            </w:pPr>
            <w:r w:rsidRPr="008D5308">
              <w:rPr>
                <w:rFonts w:ascii="Times New Roman" w:eastAsia="MingLiU" w:hAnsi="Times New Roman" w:cs="Times New Roman"/>
                <w:sz w:val="20"/>
                <w:szCs w:val="20"/>
                <w:lang w:eastAsia="zh-TW"/>
              </w:rPr>
              <w:t>M</w:t>
            </w:r>
            <w:r w:rsidR="00E53168">
              <w:rPr>
                <w:rFonts w:ascii="Times New Roman" w:eastAsia="MingLiU" w:hAnsi="Times New Roman" w:cs="Times New Roman"/>
                <w:sz w:val="20"/>
                <w:szCs w:val="20"/>
                <w:lang w:eastAsia="zh-TW"/>
              </w:rPr>
              <w:t>on</w:t>
            </w:r>
            <w:r w:rsidRPr="008D5308">
              <w:rPr>
                <w:rFonts w:ascii="Times New Roman" w:eastAsia="MingLiU" w:hAnsi="Times New Roman" w:cs="Times New Roman"/>
                <w:sz w:val="20"/>
                <w:szCs w:val="20"/>
                <w:lang w:eastAsia="zh-TW"/>
              </w:rPr>
              <w:t xml:space="preserve">thly or </w:t>
            </w:r>
            <w:r w:rsidR="00E53168">
              <w:rPr>
                <w:rFonts w:ascii="Times New Roman" w:eastAsia="MingLiU" w:hAnsi="Times New Roman" w:cs="Times New Roman"/>
                <w:sz w:val="20"/>
                <w:szCs w:val="20"/>
                <w:lang w:eastAsia="zh-TW"/>
              </w:rPr>
              <w:t>M</w:t>
            </w:r>
            <w:r w:rsidRPr="008D5308">
              <w:rPr>
                <w:rFonts w:ascii="Times New Roman" w:eastAsia="MingLiU" w:hAnsi="Times New Roman" w:cs="Times New Roman"/>
                <w:sz w:val="20"/>
                <w:szCs w:val="20"/>
                <w:lang w:eastAsia="zh-TW"/>
              </w:rPr>
              <w:t xml:space="preserve">ore </w:t>
            </w:r>
          </w:p>
        </w:tc>
        <w:tc>
          <w:tcPr>
            <w:tcW w:w="1240" w:type="dxa"/>
            <w:tcBorders>
              <w:top w:val="nil"/>
              <w:left w:val="nil"/>
              <w:bottom w:val="single" w:sz="4" w:space="0" w:color="auto"/>
              <w:right w:val="single" w:sz="4" w:space="0" w:color="auto"/>
            </w:tcBorders>
            <w:shd w:val="clear" w:color="auto" w:fill="auto"/>
            <w:noWrap/>
            <w:vAlign w:val="bottom"/>
            <w:hideMark/>
          </w:tcPr>
          <w:p w14:paraId="13053E27"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2</w:t>
            </w:r>
          </w:p>
        </w:tc>
        <w:tc>
          <w:tcPr>
            <w:tcW w:w="1210" w:type="dxa"/>
            <w:tcBorders>
              <w:top w:val="nil"/>
              <w:left w:val="nil"/>
              <w:bottom w:val="single" w:sz="4" w:space="0" w:color="auto"/>
              <w:right w:val="single" w:sz="4" w:space="0" w:color="auto"/>
            </w:tcBorders>
            <w:shd w:val="clear" w:color="auto" w:fill="auto"/>
            <w:noWrap/>
            <w:vAlign w:val="bottom"/>
            <w:hideMark/>
          </w:tcPr>
          <w:p w14:paraId="4B2E0BF3"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3</w:t>
            </w:r>
          </w:p>
        </w:tc>
        <w:tc>
          <w:tcPr>
            <w:tcW w:w="1058" w:type="dxa"/>
            <w:tcBorders>
              <w:top w:val="nil"/>
              <w:left w:val="nil"/>
              <w:bottom w:val="single" w:sz="4" w:space="0" w:color="auto"/>
              <w:right w:val="single" w:sz="4" w:space="0" w:color="auto"/>
            </w:tcBorders>
            <w:shd w:val="clear" w:color="auto" w:fill="auto"/>
            <w:noWrap/>
            <w:vAlign w:val="bottom"/>
            <w:hideMark/>
          </w:tcPr>
          <w:p w14:paraId="408D4271"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4</w:t>
            </w:r>
          </w:p>
        </w:tc>
        <w:tc>
          <w:tcPr>
            <w:tcW w:w="1140" w:type="dxa"/>
            <w:tcBorders>
              <w:top w:val="nil"/>
              <w:left w:val="nil"/>
              <w:bottom w:val="single" w:sz="4" w:space="0" w:color="auto"/>
              <w:right w:val="single" w:sz="4" w:space="0" w:color="auto"/>
            </w:tcBorders>
            <w:shd w:val="clear" w:color="auto" w:fill="auto"/>
            <w:noWrap/>
            <w:vAlign w:val="bottom"/>
            <w:hideMark/>
          </w:tcPr>
          <w:p w14:paraId="063AC8BD"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940" w:type="dxa"/>
            <w:tcBorders>
              <w:top w:val="nil"/>
              <w:left w:val="nil"/>
              <w:bottom w:val="single" w:sz="4" w:space="0" w:color="auto"/>
              <w:right w:val="single" w:sz="4" w:space="0" w:color="auto"/>
            </w:tcBorders>
            <w:shd w:val="clear" w:color="auto" w:fill="auto"/>
            <w:noWrap/>
            <w:vAlign w:val="bottom"/>
            <w:hideMark/>
          </w:tcPr>
          <w:p w14:paraId="1833AC6A"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648" w:type="dxa"/>
            <w:tcBorders>
              <w:top w:val="nil"/>
              <w:left w:val="nil"/>
              <w:bottom w:val="single" w:sz="4" w:space="0" w:color="auto"/>
              <w:right w:val="single" w:sz="4" w:space="0" w:color="auto"/>
            </w:tcBorders>
            <w:shd w:val="clear" w:color="auto" w:fill="auto"/>
            <w:noWrap/>
            <w:vAlign w:val="bottom"/>
            <w:hideMark/>
          </w:tcPr>
          <w:p w14:paraId="116A295D" w14:textId="77777777" w:rsidR="00390BB1" w:rsidRPr="008D5308" w:rsidRDefault="00390BB1" w:rsidP="00390BB1">
            <w:pPr>
              <w:spacing w:after="0" w:line="240" w:lineRule="auto"/>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　</w:t>
            </w:r>
          </w:p>
        </w:tc>
      </w:tr>
      <w:tr w:rsidR="00390BB1" w:rsidRPr="008D5308" w14:paraId="42E49175" w14:textId="77777777" w:rsidTr="00390BB1">
        <w:trPr>
          <w:trHeight w:val="315"/>
        </w:trPr>
        <w:tc>
          <w:tcPr>
            <w:tcW w:w="1840" w:type="dxa"/>
            <w:tcBorders>
              <w:top w:val="nil"/>
              <w:left w:val="single" w:sz="4" w:space="0" w:color="auto"/>
              <w:bottom w:val="single" w:sz="4" w:space="0" w:color="auto"/>
              <w:right w:val="single" w:sz="4" w:space="0" w:color="auto"/>
            </w:tcBorders>
            <w:shd w:val="clear" w:color="auto" w:fill="auto"/>
            <w:noWrap/>
            <w:hideMark/>
          </w:tcPr>
          <w:p w14:paraId="0E38C5A0" w14:textId="7AC714D4" w:rsidR="00390BB1" w:rsidRPr="008D5308" w:rsidRDefault="00E53168" w:rsidP="00390BB1">
            <w:pPr>
              <w:spacing w:after="0" w:line="240" w:lineRule="auto"/>
              <w:rPr>
                <w:rFonts w:ascii="Times New Roman" w:eastAsia="MingLiU" w:hAnsi="Times New Roman" w:cs="Times New Roman"/>
                <w:sz w:val="20"/>
                <w:szCs w:val="20"/>
                <w:lang w:eastAsia="zh-TW"/>
              </w:rPr>
            </w:pPr>
            <w:r>
              <w:rPr>
                <w:rFonts w:ascii="Times New Roman" w:eastAsia="MingLiU" w:hAnsi="Times New Roman" w:cs="Times New Roman"/>
                <w:sz w:val="20"/>
                <w:szCs w:val="20"/>
                <w:lang w:eastAsia="zh-TW"/>
              </w:rPr>
              <w:t>W</w:t>
            </w:r>
            <w:r w:rsidR="00390BB1" w:rsidRPr="008D5308">
              <w:rPr>
                <w:rFonts w:ascii="Times New Roman" w:eastAsia="MingLiU" w:hAnsi="Times New Roman" w:cs="Times New Roman"/>
                <w:sz w:val="20"/>
                <w:szCs w:val="20"/>
                <w:lang w:eastAsia="zh-TW"/>
              </w:rPr>
              <w:t xml:space="preserve">eekly or </w:t>
            </w:r>
            <w:r>
              <w:rPr>
                <w:rFonts w:ascii="Times New Roman" w:eastAsia="MingLiU" w:hAnsi="Times New Roman" w:cs="Times New Roman"/>
                <w:sz w:val="20"/>
                <w:szCs w:val="20"/>
                <w:lang w:eastAsia="zh-TW"/>
              </w:rPr>
              <w:t>M</w:t>
            </w:r>
            <w:r w:rsidR="00390BB1" w:rsidRPr="008D5308">
              <w:rPr>
                <w:rFonts w:ascii="Times New Roman" w:eastAsia="MingLiU" w:hAnsi="Times New Roman" w:cs="Times New Roman"/>
                <w:sz w:val="20"/>
                <w:szCs w:val="20"/>
                <w:lang w:eastAsia="zh-TW"/>
              </w:rPr>
              <w:t>ore</w:t>
            </w:r>
          </w:p>
        </w:tc>
        <w:tc>
          <w:tcPr>
            <w:tcW w:w="1240" w:type="dxa"/>
            <w:tcBorders>
              <w:top w:val="nil"/>
              <w:left w:val="nil"/>
              <w:bottom w:val="single" w:sz="4" w:space="0" w:color="auto"/>
              <w:right w:val="single" w:sz="4" w:space="0" w:color="auto"/>
            </w:tcBorders>
            <w:shd w:val="clear" w:color="auto" w:fill="auto"/>
            <w:noWrap/>
            <w:vAlign w:val="bottom"/>
            <w:hideMark/>
          </w:tcPr>
          <w:p w14:paraId="330234C9"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2</w:t>
            </w:r>
          </w:p>
        </w:tc>
        <w:tc>
          <w:tcPr>
            <w:tcW w:w="1210" w:type="dxa"/>
            <w:tcBorders>
              <w:top w:val="nil"/>
              <w:left w:val="nil"/>
              <w:bottom w:val="single" w:sz="4" w:space="0" w:color="auto"/>
              <w:right w:val="single" w:sz="4" w:space="0" w:color="auto"/>
            </w:tcBorders>
            <w:shd w:val="clear" w:color="auto" w:fill="auto"/>
            <w:noWrap/>
            <w:vAlign w:val="bottom"/>
            <w:hideMark/>
          </w:tcPr>
          <w:p w14:paraId="76AFDC8E"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7</w:t>
            </w:r>
          </w:p>
        </w:tc>
        <w:tc>
          <w:tcPr>
            <w:tcW w:w="1058" w:type="dxa"/>
            <w:tcBorders>
              <w:top w:val="nil"/>
              <w:left w:val="nil"/>
              <w:bottom w:val="nil"/>
              <w:right w:val="nil"/>
            </w:tcBorders>
            <w:shd w:val="clear" w:color="auto" w:fill="auto"/>
            <w:noWrap/>
            <w:vAlign w:val="bottom"/>
            <w:hideMark/>
          </w:tcPr>
          <w:p w14:paraId="53AD361C"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701BA32"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3</w:t>
            </w:r>
          </w:p>
        </w:tc>
        <w:tc>
          <w:tcPr>
            <w:tcW w:w="940" w:type="dxa"/>
            <w:tcBorders>
              <w:top w:val="nil"/>
              <w:left w:val="nil"/>
              <w:bottom w:val="single" w:sz="4" w:space="0" w:color="auto"/>
              <w:right w:val="single" w:sz="4" w:space="0" w:color="auto"/>
            </w:tcBorders>
            <w:shd w:val="clear" w:color="auto" w:fill="auto"/>
            <w:noWrap/>
            <w:vAlign w:val="bottom"/>
            <w:hideMark/>
          </w:tcPr>
          <w:p w14:paraId="5850EAD3"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648" w:type="dxa"/>
            <w:tcBorders>
              <w:top w:val="nil"/>
              <w:left w:val="nil"/>
              <w:bottom w:val="single" w:sz="4" w:space="0" w:color="auto"/>
              <w:right w:val="single" w:sz="4" w:space="0" w:color="auto"/>
            </w:tcBorders>
            <w:shd w:val="clear" w:color="auto" w:fill="auto"/>
            <w:noWrap/>
            <w:vAlign w:val="bottom"/>
            <w:hideMark/>
          </w:tcPr>
          <w:p w14:paraId="334D989D" w14:textId="77777777" w:rsidR="00390BB1" w:rsidRPr="008D5308" w:rsidRDefault="00390BB1" w:rsidP="00390BB1">
            <w:pPr>
              <w:spacing w:after="0" w:line="240" w:lineRule="auto"/>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　</w:t>
            </w:r>
          </w:p>
        </w:tc>
      </w:tr>
      <w:tr w:rsidR="00390BB1" w:rsidRPr="008D5308" w14:paraId="3AC4CB0E" w14:textId="77777777" w:rsidTr="00390BB1">
        <w:trPr>
          <w:trHeight w:val="315"/>
        </w:trPr>
        <w:tc>
          <w:tcPr>
            <w:tcW w:w="1840" w:type="dxa"/>
            <w:tcBorders>
              <w:top w:val="nil"/>
              <w:left w:val="single" w:sz="4" w:space="0" w:color="auto"/>
              <w:bottom w:val="single" w:sz="4" w:space="0" w:color="auto"/>
              <w:right w:val="single" w:sz="4" w:space="0" w:color="auto"/>
            </w:tcBorders>
            <w:shd w:val="clear" w:color="auto" w:fill="auto"/>
            <w:noWrap/>
            <w:hideMark/>
          </w:tcPr>
          <w:p w14:paraId="55AD07D9" w14:textId="77777777" w:rsidR="00390BB1" w:rsidRPr="008D5308" w:rsidRDefault="00390BB1" w:rsidP="00390BB1">
            <w:pPr>
              <w:spacing w:after="0" w:line="240" w:lineRule="auto"/>
              <w:rPr>
                <w:rFonts w:ascii="Times New Roman" w:eastAsia="MingLiU" w:hAnsi="Times New Roman" w:cs="Times New Roman"/>
                <w:sz w:val="20"/>
                <w:szCs w:val="20"/>
                <w:lang w:eastAsia="zh-TW"/>
              </w:rPr>
            </w:pPr>
            <w:r w:rsidRPr="008D5308">
              <w:rPr>
                <w:rFonts w:ascii="Times New Roman" w:eastAsia="MingLiU" w:hAnsi="Times New Roman" w:cs="Times New Roman"/>
                <w:sz w:val="20"/>
                <w:szCs w:val="20"/>
                <w:lang w:eastAsia="zh-TW"/>
              </w:rPr>
              <w:t>Daily</w:t>
            </w:r>
          </w:p>
        </w:tc>
        <w:tc>
          <w:tcPr>
            <w:tcW w:w="1240" w:type="dxa"/>
            <w:tcBorders>
              <w:top w:val="nil"/>
              <w:left w:val="nil"/>
              <w:bottom w:val="single" w:sz="4" w:space="0" w:color="auto"/>
              <w:right w:val="single" w:sz="4" w:space="0" w:color="auto"/>
            </w:tcBorders>
            <w:shd w:val="clear" w:color="auto" w:fill="auto"/>
            <w:noWrap/>
            <w:vAlign w:val="bottom"/>
            <w:hideMark/>
          </w:tcPr>
          <w:p w14:paraId="6A130192"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1</w:t>
            </w:r>
          </w:p>
        </w:tc>
        <w:tc>
          <w:tcPr>
            <w:tcW w:w="1210" w:type="dxa"/>
            <w:tcBorders>
              <w:top w:val="nil"/>
              <w:left w:val="nil"/>
              <w:bottom w:val="single" w:sz="4" w:space="0" w:color="auto"/>
              <w:right w:val="single" w:sz="4" w:space="0" w:color="auto"/>
            </w:tcBorders>
            <w:shd w:val="clear" w:color="auto" w:fill="auto"/>
            <w:noWrap/>
            <w:vAlign w:val="bottom"/>
            <w:hideMark/>
          </w:tcPr>
          <w:p w14:paraId="763033E6"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14:paraId="3243F40B"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1140" w:type="dxa"/>
            <w:tcBorders>
              <w:top w:val="nil"/>
              <w:left w:val="nil"/>
              <w:bottom w:val="single" w:sz="4" w:space="0" w:color="auto"/>
              <w:right w:val="single" w:sz="4" w:space="0" w:color="auto"/>
            </w:tcBorders>
            <w:shd w:val="clear" w:color="auto" w:fill="auto"/>
            <w:noWrap/>
            <w:vAlign w:val="bottom"/>
            <w:hideMark/>
          </w:tcPr>
          <w:p w14:paraId="73F61CA4"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940" w:type="dxa"/>
            <w:tcBorders>
              <w:top w:val="nil"/>
              <w:left w:val="nil"/>
              <w:bottom w:val="single" w:sz="4" w:space="0" w:color="auto"/>
              <w:right w:val="single" w:sz="4" w:space="0" w:color="auto"/>
            </w:tcBorders>
            <w:shd w:val="clear" w:color="auto" w:fill="auto"/>
            <w:noWrap/>
            <w:vAlign w:val="bottom"/>
            <w:hideMark/>
          </w:tcPr>
          <w:p w14:paraId="43B5A6D4"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2</w:t>
            </w:r>
          </w:p>
        </w:tc>
        <w:tc>
          <w:tcPr>
            <w:tcW w:w="648" w:type="dxa"/>
            <w:tcBorders>
              <w:top w:val="nil"/>
              <w:left w:val="nil"/>
              <w:bottom w:val="single" w:sz="4" w:space="0" w:color="auto"/>
              <w:right w:val="single" w:sz="4" w:space="0" w:color="auto"/>
            </w:tcBorders>
            <w:shd w:val="clear" w:color="auto" w:fill="auto"/>
            <w:noWrap/>
            <w:vAlign w:val="bottom"/>
            <w:hideMark/>
          </w:tcPr>
          <w:p w14:paraId="2ACDF88C" w14:textId="77777777" w:rsidR="00390BB1" w:rsidRPr="008D5308" w:rsidRDefault="00390BB1" w:rsidP="00390BB1">
            <w:pPr>
              <w:spacing w:after="0" w:line="240" w:lineRule="auto"/>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　</w:t>
            </w:r>
          </w:p>
        </w:tc>
      </w:tr>
      <w:tr w:rsidR="00390BB1" w:rsidRPr="008D5308" w14:paraId="362D07AA" w14:textId="77777777" w:rsidTr="00390BB1">
        <w:trPr>
          <w:trHeight w:val="315"/>
        </w:trPr>
        <w:tc>
          <w:tcPr>
            <w:tcW w:w="1840" w:type="dxa"/>
            <w:tcBorders>
              <w:top w:val="nil"/>
              <w:left w:val="single" w:sz="4" w:space="0" w:color="auto"/>
              <w:bottom w:val="single" w:sz="4" w:space="0" w:color="auto"/>
              <w:right w:val="single" w:sz="4" w:space="0" w:color="auto"/>
            </w:tcBorders>
            <w:shd w:val="clear" w:color="auto" w:fill="auto"/>
            <w:noWrap/>
            <w:hideMark/>
          </w:tcPr>
          <w:p w14:paraId="2AAEBAC5" w14:textId="77777777" w:rsidR="00390BB1" w:rsidRPr="008D5308" w:rsidRDefault="00390BB1" w:rsidP="00390BB1">
            <w:pPr>
              <w:spacing w:after="0" w:line="240" w:lineRule="auto"/>
              <w:rPr>
                <w:rFonts w:ascii="Times New Roman" w:eastAsia="MingLiU" w:hAnsi="Times New Roman" w:cs="Times New Roman"/>
                <w:sz w:val="20"/>
                <w:szCs w:val="20"/>
                <w:lang w:eastAsia="zh-TW"/>
              </w:rPr>
            </w:pPr>
            <w:r w:rsidRPr="008D5308">
              <w:rPr>
                <w:rFonts w:ascii="Times New Roman" w:eastAsia="SimSun" w:hAnsi="Times New Roman" w:cs="Times New Roman"/>
                <w:sz w:val="20"/>
                <w:szCs w:val="20"/>
                <w:lang w:eastAsia="zh-TW"/>
              </w:rPr>
              <w:t>T</w:t>
            </w:r>
            <w:r w:rsidRPr="008D5308">
              <w:rPr>
                <w:rFonts w:ascii="Times New Roman" w:eastAsia="MingLiU" w:hAnsi="Times New Roman" w:cs="Times New Roman"/>
                <w:sz w:val="20"/>
                <w:szCs w:val="20"/>
                <w:lang w:eastAsia="zh-TW"/>
              </w:rPr>
              <w:t>otal</w:t>
            </w:r>
          </w:p>
        </w:tc>
        <w:tc>
          <w:tcPr>
            <w:tcW w:w="1240" w:type="dxa"/>
            <w:tcBorders>
              <w:top w:val="nil"/>
              <w:left w:val="nil"/>
              <w:bottom w:val="single" w:sz="4" w:space="0" w:color="auto"/>
              <w:right w:val="single" w:sz="4" w:space="0" w:color="auto"/>
            </w:tcBorders>
            <w:shd w:val="clear" w:color="auto" w:fill="auto"/>
            <w:noWrap/>
            <w:vAlign w:val="bottom"/>
            <w:hideMark/>
          </w:tcPr>
          <w:p w14:paraId="0C3FD383"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64</w:t>
            </w:r>
          </w:p>
        </w:tc>
        <w:tc>
          <w:tcPr>
            <w:tcW w:w="1210" w:type="dxa"/>
            <w:tcBorders>
              <w:top w:val="nil"/>
              <w:left w:val="nil"/>
              <w:bottom w:val="single" w:sz="4" w:space="0" w:color="auto"/>
              <w:right w:val="single" w:sz="4" w:space="0" w:color="auto"/>
            </w:tcBorders>
            <w:shd w:val="clear" w:color="auto" w:fill="auto"/>
            <w:noWrap/>
            <w:vAlign w:val="bottom"/>
            <w:hideMark/>
          </w:tcPr>
          <w:p w14:paraId="07A2080F"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83</w:t>
            </w:r>
          </w:p>
        </w:tc>
        <w:tc>
          <w:tcPr>
            <w:tcW w:w="1058" w:type="dxa"/>
            <w:tcBorders>
              <w:top w:val="nil"/>
              <w:left w:val="nil"/>
              <w:bottom w:val="single" w:sz="4" w:space="0" w:color="auto"/>
              <w:right w:val="single" w:sz="4" w:space="0" w:color="auto"/>
            </w:tcBorders>
            <w:shd w:val="clear" w:color="auto" w:fill="auto"/>
            <w:noWrap/>
            <w:vAlign w:val="bottom"/>
            <w:hideMark/>
          </w:tcPr>
          <w:p w14:paraId="6E1BD527"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10</w:t>
            </w:r>
          </w:p>
        </w:tc>
        <w:tc>
          <w:tcPr>
            <w:tcW w:w="1140" w:type="dxa"/>
            <w:tcBorders>
              <w:top w:val="nil"/>
              <w:left w:val="nil"/>
              <w:bottom w:val="single" w:sz="4" w:space="0" w:color="auto"/>
              <w:right w:val="single" w:sz="4" w:space="0" w:color="auto"/>
            </w:tcBorders>
            <w:shd w:val="clear" w:color="auto" w:fill="auto"/>
            <w:noWrap/>
            <w:vAlign w:val="bottom"/>
            <w:hideMark/>
          </w:tcPr>
          <w:p w14:paraId="3CCD31BA"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7</w:t>
            </w:r>
          </w:p>
        </w:tc>
        <w:tc>
          <w:tcPr>
            <w:tcW w:w="940" w:type="dxa"/>
            <w:tcBorders>
              <w:top w:val="nil"/>
              <w:left w:val="nil"/>
              <w:bottom w:val="single" w:sz="4" w:space="0" w:color="auto"/>
              <w:right w:val="single" w:sz="4" w:space="0" w:color="auto"/>
            </w:tcBorders>
            <w:shd w:val="clear" w:color="auto" w:fill="auto"/>
            <w:noWrap/>
            <w:vAlign w:val="bottom"/>
            <w:hideMark/>
          </w:tcPr>
          <w:p w14:paraId="26F99074"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3</w:t>
            </w:r>
          </w:p>
        </w:tc>
        <w:tc>
          <w:tcPr>
            <w:tcW w:w="648" w:type="dxa"/>
            <w:tcBorders>
              <w:top w:val="nil"/>
              <w:left w:val="nil"/>
              <w:bottom w:val="single" w:sz="4" w:space="0" w:color="auto"/>
              <w:right w:val="single" w:sz="4" w:space="0" w:color="auto"/>
            </w:tcBorders>
            <w:shd w:val="clear" w:color="auto" w:fill="auto"/>
            <w:noWrap/>
            <w:vAlign w:val="bottom"/>
            <w:hideMark/>
          </w:tcPr>
          <w:p w14:paraId="4F276A7C" w14:textId="77777777" w:rsidR="00390BB1" w:rsidRPr="008D5308" w:rsidRDefault="00390BB1" w:rsidP="00390BB1">
            <w:pPr>
              <w:spacing w:after="0" w:line="240" w:lineRule="auto"/>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　</w:t>
            </w:r>
          </w:p>
        </w:tc>
      </w:tr>
      <w:tr w:rsidR="00390BB1" w:rsidRPr="008D5308" w14:paraId="28F004DE" w14:textId="77777777" w:rsidTr="00390BB1">
        <w:trPr>
          <w:trHeight w:val="315"/>
        </w:trPr>
        <w:tc>
          <w:tcPr>
            <w:tcW w:w="80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BDED2" w14:textId="197FD2B1" w:rsidR="00390BB1" w:rsidRPr="008D5308" w:rsidRDefault="00390BB1" w:rsidP="00BA7883">
            <w:pPr>
              <w:spacing w:after="0" w:line="240" w:lineRule="auto"/>
              <w:jc w:val="center"/>
              <w:rPr>
                <w:rFonts w:ascii="Times New Roman" w:eastAsia="PMingLiU" w:hAnsi="Times New Roman" w:cs="Times New Roman"/>
                <w:b/>
                <w:bCs/>
                <w:sz w:val="20"/>
                <w:szCs w:val="20"/>
                <w:lang w:eastAsia="zh-TW"/>
              </w:rPr>
            </w:pPr>
            <w:r w:rsidRPr="008D5308">
              <w:rPr>
                <w:rFonts w:ascii="Times New Roman" w:eastAsia="PMingLiU" w:hAnsi="Times New Roman" w:cs="Times New Roman"/>
                <w:b/>
                <w:bCs/>
                <w:sz w:val="20"/>
                <w:szCs w:val="20"/>
                <w:lang w:eastAsia="zh-TW"/>
              </w:rPr>
              <w:t xml:space="preserve">3-2 Gambling </w:t>
            </w:r>
            <w:r w:rsidR="00E53168">
              <w:rPr>
                <w:rFonts w:ascii="Times New Roman" w:eastAsia="PMingLiU" w:hAnsi="Times New Roman" w:cs="Times New Roman"/>
                <w:b/>
                <w:bCs/>
                <w:sz w:val="20"/>
                <w:szCs w:val="20"/>
                <w:lang w:eastAsia="zh-TW"/>
              </w:rPr>
              <w:t>D</w:t>
            </w:r>
            <w:r w:rsidR="00BA7883">
              <w:rPr>
                <w:rFonts w:ascii="Times New Roman" w:eastAsia="PMingLiU" w:hAnsi="Times New Roman" w:cs="Times New Roman"/>
                <w:b/>
                <w:bCs/>
                <w:sz w:val="20"/>
                <w:szCs w:val="20"/>
                <w:lang w:eastAsia="zh-TW"/>
              </w:rPr>
              <w:t xml:space="preserve">uration in </w:t>
            </w:r>
            <w:r w:rsidR="00E53168">
              <w:rPr>
                <w:rFonts w:ascii="Times New Roman" w:eastAsia="PMingLiU" w:hAnsi="Times New Roman" w:cs="Times New Roman"/>
                <w:b/>
                <w:bCs/>
                <w:sz w:val="20"/>
                <w:szCs w:val="20"/>
                <w:lang w:eastAsia="zh-TW"/>
              </w:rPr>
              <w:t>F</w:t>
            </w:r>
            <w:r w:rsidR="00BA7883">
              <w:rPr>
                <w:rFonts w:ascii="Times New Roman" w:eastAsia="PMingLiU" w:hAnsi="Times New Roman" w:cs="Times New Roman"/>
                <w:b/>
                <w:bCs/>
                <w:sz w:val="20"/>
                <w:szCs w:val="20"/>
                <w:lang w:eastAsia="zh-TW"/>
              </w:rPr>
              <w:t xml:space="preserve">irst </w:t>
            </w:r>
            <w:r w:rsidR="00E53168">
              <w:rPr>
                <w:rFonts w:ascii="Times New Roman" w:eastAsia="PMingLiU" w:hAnsi="Times New Roman" w:cs="Times New Roman"/>
                <w:b/>
                <w:bCs/>
                <w:sz w:val="20"/>
                <w:szCs w:val="20"/>
                <w:lang w:eastAsia="zh-TW"/>
              </w:rPr>
              <w:t>Y</w:t>
            </w:r>
            <w:r w:rsidR="00BA7883">
              <w:rPr>
                <w:rFonts w:ascii="Times New Roman" w:eastAsia="PMingLiU" w:hAnsi="Times New Roman" w:cs="Times New Roman"/>
                <w:b/>
                <w:bCs/>
                <w:sz w:val="20"/>
                <w:szCs w:val="20"/>
                <w:lang w:eastAsia="zh-TW"/>
              </w:rPr>
              <w:t xml:space="preserve">ear </w:t>
            </w:r>
            <w:r w:rsidR="00E53168">
              <w:rPr>
                <w:rFonts w:ascii="Times New Roman" w:eastAsia="PMingLiU" w:hAnsi="Times New Roman" w:cs="Times New Roman"/>
                <w:b/>
                <w:bCs/>
                <w:sz w:val="20"/>
                <w:szCs w:val="20"/>
                <w:lang w:eastAsia="zh-TW"/>
              </w:rPr>
              <w:t>G</w:t>
            </w:r>
            <w:r w:rsidR="00BA7883">
              <w:rPr>
                <w:rFonts w:ascii="Times New Roman" w:eastAsia="PMingLiU" w:hAnsi="Times New Roman" w:cs="Times New Roman"/>
                <w:b/>
                <w:bCs/>
                <w:sz w:val="20"/>
                <w:szCs w:val="20"/>
                <w:lang w:eastAsia="zh-TW"/>
              </w:rPr>
              <w:t xml:space="preserve">ambling and </w:t>
            </w:r>
            <w:r w:rsidR="00E53168">
              <w:rPr>
                <w:rFonts w:ascii="Times New Roman" w:eastAsia="PMingLiU" w:hAnsi="Times New Roman" w:cs="Times New Roman"/>
                <w:b/>
                <w:bCs/>
                <w:sz w:val="20"/>
                <w:szCs w:val="20"/>
                <w:lang w:eastAsia="zh-TW"/>
              </w:rPr>
              <w:t>L</w:t>
            </w:r>
            <w:r w:rsidR="00BA7883">
              <w:rPr>
                <w:rFonts w:ascii="Times New Roman" w:eastAsia="PMingLiU" w:hAnsi="Times New Roman" w:cs="Times New Roman"/>
                <w:b/>
                <w:bCs/>
                <w:sz w:val="20"/>
                <w:szCs w:val="20"/>
                <w:lang w:eastAsia="zh-TW"/>
              </w:rPr>
              <w:t xml:space="preserve">ast 12 </w:t>
            </w:r>
            <w:r w:rsidR="00E53168">
              <w:rPr>
                <w:rFonts w:ascii="Times New Roman" w:eastAsia="PMingLiU" w:hAnsi="Times New Roman" w:cs="Times New Roman"/>
                <w:b/>
                <w:bCs/>
                <w:sz w:val="20"/>
                <w:szCs w:val="20"/>
                <w:lang w:eastAsia="zh-TW"/>
              </w:rPr>
              <w:t>M</w:t>
            </w:r>
            <w:r w:rsidR="00BA7883">
              <w:rPr>
                <w:rFonts w:ascii="Times New Roman" w:eastAsia="PMingLiU" w:hAnsi="Times New Roman" w:cs="Times New Roman"/>
                <w:b/>
                <w:bCs/>
                <w:sz w:val="20"/>
                <w:szCs w:val="20"/>
                <w:lang w:eastAsia="zh-TW"/>
              </w:rPr>
              <w:t>onths</w:t>
            </w:r>
          </w:p>
        </w:tc>
      </w:tr>
      <w:tr w:rsidR="00390BB1" w:rsidRPr="008D5308" w14:paraId="618AEFBB" w14:textId="77777777" w:rsidTr="00390BB1">
        <w:trPr>
          <w:trHeight w:val="570"/>
        </w:trPr>
        <w:tc>
          <w:tcPr>
            <w:tcW w:w="1840" w:type="dxa"/>
            <w:tcBorders>
              <w:top w:val="nil"/>
              <w:left w:val="single" w:sz="4" w:space="0" w:color="auto"/>
              <w:bottom w:val="single" w:sz="4" w:space="0" w:color="auto"/>
              <w:right w:val="single" w:sz="4" w:space="0" w:color="auto"/>
              <w:tl2br w:val="single" w:sz="4" w:space="0" w:color="auto"/>
            </w:tcBorders>
            <w:shd w:val="clear" w:color="auto" w:fill="auto"/>
            <w:hideMark/>
          </w:tcPr>
          <w:p w14:paraId="4FEB5034" w14:textId="761C1FCA" w:rsidR="00BA7883" w:rsidRDefault="00390BB1" w:rsidP="00BA7883">
            <w:pPr>
              <w:spacing w:after="0" w:line="240" w:lineRule="auto"/>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                Past</w:t>
            </w:r>
            <w:r w:rsidR="00BA7883">
              <w:rPr>
                <w:rFonts w:ascii="Times New Roman" w:eastAsia="PMingLiU" w:hAnsi="Times New Roman" w:cs="Times New Roman"/>
                <w:sz w:val="20"/>
                <w:szCs w:val="20"/>
                <w:lang w:eastAsia="zh-TW"/>
              </w:rPr>
              <w:t xml:space="preserve"> 12 mo. </w:t>
            </w:r>
          </w:p>
          <w:p w14:paraId="1AF785C1" w14:textId="534CDBBC" w:rsidR="00390BB1" w:rsidRPr="008D5308" w:rsidRDefault="000B197D" w:rsidP="00BA7883">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 xml:space="preserve">First </w:t>
            </w:r>
            <w:r w:rsidR="00BA7883">
              <w:rPr>
                <w:rFonts w:ascii="Times New Roman" w:eastAsia="PMingLiU" w:hAnsi="Times New Roman" w:cs="Times New Roman"/>
                <w:sz w:val="20"/>
                <w:szCs w:val="20"/>
                <w:lang w:eastAsia="zh-TW"/>
              </w:rPr>
              <w:t xml:space="preserve">Year </w:t>
            </w:r>
          </w:p>
        </w:tc>
        <w:tc>
          <w:tcPr>
            <w:tcW w:w="1240" w:type="dxa"/>
            <w:tcBorders>
              <w:top w:val="nil"/>
              <w:left w:val="nil"/>
              <w:bottom w:val="single" w:sz="4" w:space="0" w:color="auto"/>
              <w:right w:val="single" w:sz="4" w:space="0" w:color="auto"/>
            </w:tcBorders>
            <w:shd w:val="clear" w:color="auto" w:fill="auto"/>
            <w:vAlign w:val="center"/>
            <w:hideMark/>
          </w:tcPr>
          <w:p w14:paraId="24D2ED12" w14:textId="77777777" w:rsidR="00390BB1" w:rsidRPr="008D5308" w:rsidRDefault="00390BB1" w:rsidP="00390BB1">
            <w:pPr>
              <w:spacing w:after="0" w:line="240" w:lineRule="auto"/>
              <w:jc w:val="center"/>
              <w:rPr>
                <w:rFonts w:ascii="Times New Roman" w:eastAsia="MingLiU" w:hAnsi="Times New Roman" w:cs="Times New Roman"/>
                <w:sz w:val="20"/>
                <w:szCs w:val="20"/>
                <w:lang w:eastAsia="zh-TW"/>
              </w:rPr>
            </w:pPr>
            <w:r w:rsidRPr="008D5308">
              <w:rPr>
                <w:rFonts w:ascii="Times New Roman" w:eastAsia="SimSun" w:hAnsi="Times New Roman" w:cs="Times New Roman"/>
                <w:sz w:val="20"/>
                <w:szCs w:val="20"/>
                <w:lang w:eastAsia="zh-TW"/>
              </w:rPr>
              <w:t>N</w:t>
            </w:r>
            <w:r w:rsidRPr="008D5308">
              <w:rPr>
                <w:rFonts w:ascii="Times New Roman" w:eastAsia="MingLiU" w:hAnsi="Times New Roman" w:cs="Times New Roman"/>
                <w:sz w:val="20"/>
                <w:szCs w:val="20"/>
                <w:lang w:eastAsia="zh-TW"/>
              </w:rPr>
              <w:t>o gambling in past yr.</w:t>
            </w:r>
          </w:p>
        </w:tc>
        <w:tc>
          <w:tcPr>
            <w:tcW w:w="1210" w:type="dxa"/>
            <w:tcBorders>
              <w:top w:val="nil"/>
              <w:left w:val="nil"/>
              <w:bottom w:val="single" w:sz="4" w:space="0" w:color="auto"/>
              <w:right w:val="single" w:sz="4" w:space="0" w:color="auto"/>
            </w:tcBorders>
            <w:shd w:val="clear" w:color="auto" w:fill="auto"/>
            <w:noWrap/>
            <w:vAlign w:val="center"/>
            <w:hideMark/>
          </w:tcPr>
          <w:p w14:paraId="4ADD889B" w14:textId="77777777" w:rsidR="00390BB1" w:rsidRPr="008D5308" w:rsidRDefault="00390BB1" w:rsidP="00390BB1">
            <w:pPr>
              <w:spacing w:after="0" w:line="240" w:lineRule="auto"/>
              <w:jc w:val="center"/>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less than 1 hour</w:t>
            </w:r>
          </w:p>
        </w:tc>
        <w:tc>
          <w:tcPr>
            <w:tcW w:w="1058" w:type="dxa"/>
            <w:tcBorders>
              <w:top w:val="nil"/>
              <w:left w:val="nil"/>
              <w:bottom w:val="single" w:sz="4" w:space="0" w:color="auto"/>
              <w:right w:val="single" w:sz="4" w:space="0" w:color="auto"/>
            </w:tcBorders>
            <w:shd w:val="clear" w:color="auto" w:fill="auto"/>
            <w:vAlign w:val="center"/>
            <w:hideMark/>
          </w:tcPr>
          <w:p w14:paraId="2FCE7D93" w14:textId="77777777" w:rsidR="00390BB1" w:rsidRPr="008D5308" w:rsidRDefault="00390BB1" w:rsidP="00390BB1">
            <w:pPr>
              <w:spacing w:after="0" w:line="240" w:lineRule="auto"/>
              <w:jc w:val="center"/>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between 1 &amp; 2 </w:t>
            </w:r>
          </w:p>
        </w:tc>
        <w:tc>
          <w:tcPr>
            <w:tcW w:w="1140" w:type="dxa"/>
            <w:tcBorders>
              <w:top w:val="nil"/>
              <w:left w:val="nil"/>
              <w:bottom w:val="single" w:sz="4" w:space="0" w:color="auto"/>
              <w:right w:val="single" w:sz="4" w:space="0" w:color="auto"/>
            </w:tcBorders>
            <w:shd w:val="clear" w:color="auto" w:fill="auto"/>
            <w:noWrap/>
            <w:vAlign w:val="center"/>
            <w:hideMark/>
          </w:tcPr>
          <w:p w14:paraId="1FB42D06" w14:textId="77777777" w:rsidR="00390BB1" w:rsidRPr="008D5308" w:rsidRDefault="00390BB1" w:rsidP="00390BB1">
            <w:pPr>
              <w:spacing w:after="0" w:line="240" w:lineRule="auto"/>
              <w:jc w:val="center"/>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between 2 &amp; 3</w:t>
            </w:r>
          </w:p>
        </w:tc>
        <w:tc>
          <w:tcPr>
            <w:tcW w:w="940" w:type="dxa"/>
            <w:tcBorders>
              <w:top w:val="nil"/>
              <w:left w:val="nil"/>
              <w:bottom w:val="single" w:sz="4" w:space="0" w:color="auto"/>
              <w:right w:val="single" w:sz="4" w:space="0" w:color="auto"/>
            </w:tcBorders>
            <w:shd w:val="clear" w:color="auto" w:fill="auto"/>
            <w:vAlign w:val="center"/>
            <w:hideMark/>
          </w:tcPr>
          <w:p w14:paraId="5E2FF0A1" w14:textId="77777777" w:rsidR="00390BB1" w:rsidRPr="008D5308" w:rsidRDefault="00390BB1" w:rsidP="00390BB1">
            <w:pPr>
              <w:spacing w:after="0" w:line="240" w:lineRule="auto"/>
              <w:jc w:val="center"/>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 xml:space="preserve">between 3 &amp; 4 </w:t>
            </w:r>
          </w:p>
        </w:tc>
        <w:tc>
          <w:tcPr>
            <w:tcW w:w="648" w:type="dxa"/>
            <w:tcBorders>
              <w:top w:val="nil"/>
              <w:left w:val="nil"/>
              <w:bottom w:val="single" w:sz="4" w:space="0" w:color="auto"/>
              <w:right w:val="single" w:sz="4" w:space="0" w:color="auto"/>
            </w:tcBorders>
            <w:shd w:val="clear" w:color="auto" w:fill="auto"/>
            <w:vAlign w:val="center"/>
            <w:hideMark/>
          </w:tcPr>
          <w:p w14:paraId="702F4C31" w14:textId="77777777" w:rsidR="00390BB1" w:rsidRPr="008D5308" w:rsidRDefault="00390BB1" w:rsidP="00390BB1">
            <w:pPr>
              <w:spacing w:after="0" w:line="240" w:lineRule="auto"/>
              <w:jc w:val="both"/>
              <w:rPr>
                <w:rFonts w:ascii="Times New Roman" w:eastAsia="PMingLiU" w:hAnsi="Times New Roman" w:cs="Times New Roman"/>
                <w:sz w:val="20"/>
                <w:szCs w:val="20"/>
                <w:lang w:eastAsia="zh-TW"/>
              </w:rPr>
            </w:pPr>
            <w:r w:rsidRPr="008D5308">
              <w:rPr>
                <w:rFonts w:ascii="Times New Roman" w:eastAsia="SimSun" w:hAnsi="Times New Roman" w:cs="Times New Roman"/>
                <w:sz w:val="20"/>
                <w:szCs w:val="20"/>
                <w:lang w:eastAsia="zh-TW"/>
              </w:rPr>
              <w:t>≥</w:t>
            </w:r>
            <w:r w:rsidRPr="008D5308">
              <w:rPr>
                <w:rFonts w:ascii="Times New Roman" w:eastAsia="PMingLiU" w:hAnsi="Times New Roman" w:cs="Times New Roman"/>
                <w:sz w:val="20"/>
                <w:szCs w:val="20"/>
                <w:lang w:eastAsia="zh-TW"/>
              </w:rPr>
              <w:t xml:space="preserve">4 </w:t>
            </w:r>
          </w:p>
        </w:tc>
      </w:tr>
      <w:tr w:rsidR="00390BB1" w:rsidRPr="008D5308" w14:paraId="2118406D" w14:textId="77777777" w:rsidTr="00390BB1">
        <w:trPr>
          <w:trHeight w:val="330"/>
        </w:trPr>
        <w:tc>
          <w:tcPr>
            <w:tcW w:w="1840" w:type="dxa"/>
            <w:tcBorders>
              <w:top w:val="nil"/>
              <w:left w:val="single" w:sz="4" w:space="0" w:color="auto"/>
              <w:bottom w:val="single" w:sz="8" w:space="0" w:color="auto"/>
              <w:right w:val="nil"/>
            </w:tcBorders>
            <w:shd w:val="clear" w:color="auto" w:fill="auto"/>
            <w:vAlign w:val="center"/>
            <w:hideMark/>
          </w:tcPr>
          <w:p w14:paraId="2A1BC38F" w14:textId="57C29B61" w:rsidR="00390BB1" w:rsidRPr="008D5308" w:rsidRDefault="00E53168" w:rsidP="00390BB1">
            <w:pPr>
              <w:spacing w:after="0" w:line="240" w:lineRule="auto"/>
              <w:jc w:val="both"/>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L</w:t>
            </w:r>
            <w:r w:rsidR="00390BB1" w:rsidRPr="008D5308">
              <w:rPr>
                <w:rFonts w:ascii="Times New Roman" w:eastAsia="PMingLiU" w:hAnsi="Times New Roman" w:cs="Times New Roman"/>
                <w:sz w:val="20"/>
                <w:szCs w:val="20"/>
                <w:lang w:eastAsia="zh-TW"/>
              </w:rPr>
              <w:t>ess than 1 hour</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62A0AA3" w14:textId="77777777" w:rsidR="00390BB1" w:rsidRPr="008D5308" w:rsidRDefault="00390BB1" w:rsidP="00390BB1">
            <w:pPr>
              <w:spacing w:after="0" w:line="240" w:lineRule="auto"/>
              <w:jc w:val="right"/>
              <w:rPr>
                <w:rFonts w:ascii="Times New Roman" w:eastAsia="SimSun" w:hAnsi="Times New Roman" w:cs="Times New Roman"/>
                <w:sz w:val="20"/>
                <w:szCs w:val="20"/>
                <w:lang w:eastAsia="zh-TW"/>
              </w:rPr>
            </w:pPr>
            <w:r w:rsidRPr="008D5308">
              <w:rPr>
                <w:rFonts w:ascii="Times New Roman" w:eastAsia="SimSun" w:hAnsi="Times New Roman" w:cs="Times New Roman"/>
                <w:sz w:val="20"/>
                <w:szCs w:val="20"/>
                <w:lang w:eastAsia="zh-TW"/>
              </w:rPr>
              <w:t>20</w:t>
            </w:r>
          </w:p>
        </w:tc>
        <w:tc>
          <w:tcPr>
            <w:tcW w:w="1210" w:type="dxa"/>
            <w:tcBorders>
              <w:top w:val="nil"/>
              <w:left w:val="nil"/>
              <w:bottom w:val="single" w:sz="4" w:space="0" w:color="auto"/>
              <w:right w:val="single" w:sz="4" w:space="0" w:color="auto"/>
            </w:tcBorders>
            <w:shd w:val="clear" w:color="auto" w:fill="auto"/>
            <w:noWrap/>
            <w:vAlign w:val="center"/>
            <w:hideMark/>
          </w:tcPr>
          <w:p w14:paraId="15E6BFD9" w14:textId="77777777" w:rsidR="00390BB1" w:rsidRPr="008D5308" w:rsidRDefault="00390BB1" w:rsidP="00390BB1">
            <w:pPr>
              <w:spacing w:after="0" w:line="240" w:lineRule="auto"/>
              <w:jc w:val="right"/>
              <w:rPr>
                <w:rFonts w:ascii="Times New Roman" w:eastAsia="SimSun" w:hAnsi="Times New Roman" w:cs="Times New Roman"/>
                <w:sz w:val="20"/>
                <w:szCs w:val="20"/>
                <w:lang w:eastAsia="zh-TW"/>
              </w:rPr>
            </w:pPr>
            <w:r w:rsidRPr="008D5308">
              <w:rPr>
                <w:rFonts w:ascii="Times New Roman" w:eastAsia="SimSun" w:hAnsi="Times New Roman" w:cs="Times New Roman"/>
                <w:sz w:val="20"/>
                <w:szCs w:val="20"/>
                <w:lang w:eastAsia="zh-TW"/>
              </w:rPr>
              <w:t>9</w:t>
            </w:r>
          </w:p>
        </w:tc>
        <w:tc>
          <w:tcPr>
            <w:tcW w:w="1058" w:type="dxa"/>
            <w:tcBorders>
              <w:top w:val="nil"/>
              <w:left w:val="nil"/>
              <w:bottom w:val="single" w:sz="4" w:space="0" w:color="auto"/>
              <w:right w:val="single" w:sz="4" w:space="0" w:color="auto"/>
            </w:tcBorders>
            <w:shd w:val="clear" w:color="auto" w:fill="auto"/>
            <w:noWrap/>
            <w:vAlign w:val="bottom"/>
            <w:hideMark/>
          </w:tcPr>
          <w:p w14:paraId="505A96E3"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6</w:t>
            </w:r>
          </w:p>
        </w:tc>
        <w:tc>
          <w:tcPr>
            <w:tcW w:w="1140" w:type="dxa"/>
            <w:tcBorders>
              <w:top w:val="nil"/>
              <w:left w:val="nil"/>
              <w:bottom w:val="single" w:sz="4" w:space="0" w:color="auto"/>
              <w:right w:val="single" w:sz="4" w:space="0" w:color="auto"/>
            </w:tcBorders>
            <w:shd w:val="clear" w:color="auto" w:fill="auto"/>
            <w:noWrap/>
            <w:vAlign w:val="bottom"/>
            <w:hideMark/>
          </w:tcPr>
          <w:p w14:paraId="3E5B5F00"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3</w:t>
            </w:r>
          </w:p>
        </w:tc>
        <w:tc>
          <w:tcPr>
            <w:tcW w:w="940" w:type="dxa"/>
            <w:tcBorders>
              <w:top w:val="nil"/>
              <w:left w:val="nil"/>
              <w:bottom w:val="single" w:sz="4" w:space="0" w:color="auto"/>
              <w:right w:val="single" w:sz="4" w:space="0" w:color="auto"/>
            </w:tcBorders>
            <w:shd w:val="clear" w:color="auto" w:fill="auto"/>
            <w:noWrap/>
            <w:hideMark/>
          </w:tcPr>
          <w:p w14:paraId="5258695A" w14:textId="77777777" w:rsidR="00390BB1" w:rsidRPr="008D5308" w:rsidRDefault="00390BB1" w:rsidP="00390BB1">
            <w:pPr>
              <w:spacing w:after="0" w:line="240" w:lineRule="auto"/>
              <w:jc w:val="right"/>
              <w:rPr>
                <w:rFonts w:ascii="Times New Roman" w:eastAsia="MingLiU" w:hAnsi="Times New Roman" w:cs="Times New Roman"/>
                <w:sz w:val="20"/>
                <w:szCs w:val="20"/>
                <w:lang w:eastAsia="zh-TW"/>
              </w:rPr>
            </w:pPr>
            <w:r w:rsidRPr="008D5308">
              <w:rPr>
                <w:rFonts w:ascii="Times New Roman" w:eastAsia="MingLiU" w:hAnsi="Times New Roman" w:cs="Times New Roman"/>
                <w:sz w:val="20"/>
                <w:szCs w:val="20"/>
                <w:lang w:eastAsia="zh-TW"/>
              </w:rPr>
              <w:t>0</w:t>
            </w:r>
          </w:p>
        </w:tc>
        <w:tc>
          <w:tcPr>
            <w:tcW w:w="648" w:type="dxa"/>
            <w:tcBorders>
              <w:top w:val="nil"/>
              <w:left w:val="nil"/>
              <w:bottom w:val="single" w:sz="4" w:space="0" w:color="auto"/>
              <w:right w:val="single" w:sz="4" w:space="0" w:color="auto"/>
            </w:tcBorders>
            <w:shd w:val="clear" w:color="auto" w:fill="auto"/>
            <w:noWrap/>
            <w:hideMark/>
          </w:tcPr>
          <w:p w14:paraId="24CE802F" w14:textId="77777777" w:rsidR="00390BB1" w:rsidRPr="008D5308" w:rsidRDefault="00390BB1" w:rsidP="00390BB1">
            <w:pPr>
              <w:spacing w:after="0" w:line="240" w:lineRule="auto"/>
              <w:jc w:val="right"/>
              <w:rPr>
                <w:rFonts w:ascii="Times New Roman" w:eastAsia="MingLiU" w:hAnsi="Times New Roman" w:cs="Times New Roman"/>
                <w:sz w:val="20"/>
                <w:szCs w:val="20"/>
                <w:lang w:eastAsia="zh-TW"/>
              </w:rPr>
            </w:pPr>
            <w:r w:rsidRPr="008D5308">
              <w:rPr>
                <w:rFonts w:ascii="Times New Roman" w:eastAsia="MingLiU" w:hAnsi="Times New Roman" w:cs="Times New Roman"/>
                <w:sz w:val="20"/>
                <w:szCs w:val="20"/>
                <w:lang w:eastAsia="zh-TW"/>
              </w:rPr>
              <w:t>0</w:t>
            </w:r>
          </w:p>
        </w:tc>
      </w:tr>
      <w:tr w:rsidR="00390BB1" w:rsidRPr="008D5308" w14:paraId="6628841E" w14:textId="77777777" w:rsidTr="00390BB1">
        <w:trPr>
          <w:trHeight w:val="330"/>
        </w:trPr>
        <w:tc>
          <w:tcPr>
            <w:tcW w:w="1840" w:type="dxa"/>
            <w:tcBorders>
              <w:top w:val="nil"/>
              <w:left w:val="single" w:sz="4" w:space="0" w:color="auto"/>
              <w:bottom w:val="single" w:sz="8" w:space="0" w:color="auto"/>
              <w:right w:val="nil"/>
            </w:tcBorders>
            <w:shd w:val="clear" w:color="auto" w:fill="auto"/>
            <w:vAlign w:val="center"/>
            <w:hideMark/>
          </w:tcPr>
          <w:p w14:paraId="3A6C55A9" w14:textId="5FCFB23A" w:rsidR="00390BB1" w:rsidRPr="008D5308" w:rsidRDefault="00E53168" w:rsidP="00390BB1">
            <w:pPr>
              <w:spacing w:after="0" w:line="240" w:lineRule="auto"/>
              <w:jc w:val="both"/>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B</w:t>
            </w:r>
            <w:r w:rsidR="00390BB1" w:rsidRPr="008D5308">
              <w:rPr>
                <w:rFonts w:ascii="Times New Roman" w:eastAsia="PMingLiU" w:hAnsi="Times New Roman" w:cs="Times New Roman"/>
                <w:sz w:val="20"/>
                <w:szCs w:val="20"/>
                <w:lang w:eastAsia="zh-TW"/>
              </w:rPr>
              <w:t xml:space="preserve">etween1 &amp; 2 </w:t>
            </w:r>
            <w:r>
              <w:rPr>
                <w:rFonts w:ascii="Times New Roman" w:eastAsia="PMingLiU" w:hAnsi="Times New Roman" w:cs="Times New Roman"/>
                <w:sz w:val="20"/>
                <w:szCs w:val="20"/>
                <w:lang w:eastAsia="zh-TW"/>
              </w:rPr>
              <w:t xml:space="preserve"> Hours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1F19D8"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26</w:t>
            </w:r>
          </w:p>
        </w:tc>
        <w:tc>
          <w:tcPr>
            <w:tcW w:w="1210" w:type="dxa"/>
            <w:tcBorders>
              <w:top w:val="nil"/>
              <w:left w:val="nil"/>
              <w:bottom w:val="single" w:sz="4" w:space="0" w:color="auto"/>
              <w:right w:val="single" w:sz="4" w:space="0" w:color="auto"/>
            </w:tcBorders>
            <w:shd w:val="clear" w:color="auto" w:fill="auto"/>
            <w:noWrap/>
            <w:vAlign w:val="bottom"/>
            <w:hideMark/>
          </w:tcPr>
          <w:p w14:paraId="692F716C"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4</w:t>
            </w:r>
          </w:p>
        </w:tc>
        <w:tc>
          <w:tcPr>
            <w:tcW w:w="1058" w:type="dxa"/>
            <w:tcBorders>
              <w:top w:val="nil"/>
              <w:left w:val="nil"/>
              <w:bottom w:val="single" w:sz="4" w:space="0" w:color="auto"/>
              <w:right w:val="single" w:sz="4" w:space="0" w:color="auto"/>
            </w:tcBorders>
            <w:shd w:val="clear" w:color="auto" w:fill="auto"/>
            <w:noWrap/>
            <w:vAlign w:val="bottom"/>
            <w:hideMark/>
          </w:tcPr>
          <w:p w14:paraId="5C1F2309"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28</w:t>
            </w:r>
          </w:p>
        </w:tc>
        <w:tc>
          <w:tcPr>
            <w:tcW w:w="1140" w:type="dxa"/>
            <w:tcBorders>
              <w:top w:val="nil"/>
              <w:left w:val="nil"/>
              <w:bottom w:val="single" w:sz="4" w:space="0" w:color="auto"/>
              <w:right w:val="single" w:sz="4" w:space="0" w:color="auto"/>
            </w:tcBorders>
            <w:shd w:val="clear" w:color="auto" w:fill="auto"/>
            <w:noWrap/>
            <w:vAlign w:val="bottom"/>
            <w:hideMark/>
          </w:tcPr>
          <w:p w14:paraId="318FF234"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8</w:t>
            </w:r>
          </w:p>
        </w:tc>
        <w:tc>
          <w:tcPr>
            <w:tcW w:w="940" w:type="dxa"/>
            <w:tcBorders>
              <w:top w:val="nil"/>
              <w:left w:val="nil"/>
              <w:bottom w:val="single" w:sz="4" w:space="0" w:color="auto"/>
              <w:right w:val="single" w:sz="4" w:space="0" w:color="auto"/>
            </w:tcBorders>
            <w:shd w:val="clear" w:color="auto" w:fill="auto"/>
            <w:noWrap/>
            <w:vAlign w:val="bottom"/>
            <w:hideMark/>
          </w:tcPr>
          <w:p w14:paraId="7A4B77E0"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648" w:type="dxa"/>
            <w:tcBorders>
              <w:top w:val="nil"/>
              <w:left w:val="nil"/>
              <w:bottom w:val="single" w:sz="4" w:space="0" w:color="auto"/>
              <w:right w:val="single" w:sz="4" w:space="0" w:color="auto"/>
            </w:tcBorders>
            <w:shd w:val="clear" w:color="auto" w:fill="auto"/>
            <w:noWrap/>
            <w:vAlign w:val="bottom"/>
            <w:hideMark/>
          </w:tcPr>
          <w:p w14:paraId="3C42B50D"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5</w:t>
            </w:r>
          </w:p>
        </w:tc>
      </w:tr>
      <w:tr w:rsidR="00390BB1" w:rsidRPr="008D5308" w14:paraId="0E543177" w14:textId="77777777" w:rsidTr="00390BB1">
        <w:trPr>
          <w:trHeight w:val="330"/>
        </w:trPr>
        <w:tc>
          <w:tcPr>
            <w:tcW w:w="1840" w:type="dxa"/>
            <w:tcBorders>
              <w:top w:val="nil"/>
              <w:left w:val="single" w:sz="4" w:space="0" w:color="auto"/>
              <w:bottom w:val="single" w:sz="8" w:space="0" w:color="auto"/>
              <w:right w:val="nil"/>
            </w:tcBorders>
            <w:shd w:val="clear" w:color="auto" w:fill="auto"/>
            <w:vAlign w:val="center"/>
            <w:hideMark/>
          </w:tcPr>
          <w:p w14:paraId="3B616F48" w14:textId="3DF53AAE" w:rsidR="00390BB1" w:rsidRPr="008D5308" w:rsidRDefault="00E53168" w:rsidP="00390BB1">
            <w:pPr>
              <w:spacing w:after="0" w:line="240" w:lineRule="auto"/>
              <w:jc w:val="both"/>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B</w:t>
            </w:r>
            <w:r w:rsidR="00390BB1" w:rsidRPr="008D5308">
              <w:rPr>
                <w:rFonts w:ascii="Times New Roman" w:eastAsia="PMingLiU" w:hAnsi="Times New Roman" w:cs="Times New Roman"/>
                <w:sz w:val="20"/>
                <w:szCs w:val="20"/>
                <w:lang w:eastAsia="zh-TW"/>
              </w:rPr>
              <w:t>etween</w:t>
            </w:r>
            <w:r>
              <w:rPr>
                <w:rFonts w:ascii="Times New Roman" w:eastAsia="PMingLiU" w:hAnsi="Times New Roman" w:cs="Times New Roman"/>
                <w:sz w:val="20"/>
                <w:szCs w:val="20"/>
                <w:lang w:eastAsia="zh-TW"/>
              </w:rPr>
              <w:t xml:space="preserve"> </w:t>
            </w:r>
            <w:r w:rsidR="00390BB1" w:rsidRPr="008D5308">
              <w:rPr>
                <w:rFonts w:ascii="Times New Roman" w:eastAsia="PMingLiU" w:hAnsi="Times New Roman" w:cs="Times New Roman"/>
                <w:sz w:val="20"/>
                <w:szCs w:val="20"/>
                <w:lang w:eastAsia="zh-TW"/>
              </w:rPr>
              <w:t xml:space="preserve">2 &amp; 3 </w:t>
            </w:r>
            <w:r>
              <w:rPr>
                <w:rFonts w:ascii="Times New Roman" w:eastAsia="PMingLiU" w:hAnsi="Times New Roman" w:cs="Times New Roman"/>
                <w:sz w:val="20"/>
                <w:szCs w:val="20"/>
                <w:lang w:eastAsia="zh-TW"/>
              </w:rPr>
              <w:t>Hours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3F6E4B7"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8</w:t>
            </w:r>
          </w:p>
        </w:tc>
        <w:tc>
          <w:tcPr>
            <w:tcW w:w="1210" w:type="dxa"/>
            <w:tcBorders>
              <w:top w:val="nil"/>
              <w:left w:val="nil"/>
              <w:bottom w:val="single" w:sz="4" w:space="0" w:color="auto"/>
              <w:right w:val="single" w:sz="4" w:space="0" w:color="auto"/>
            </w:tcBorders>
            <w:shd w:val="clear" w:color="auto" w:fill="auto"/>
            <w:noWrap/>
            <w:vAlign w:val="bottom"/>
            <w:hideMark/>
          </w:tcPr>
          <w:p w14:paraId="51B105DD"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1058" w:type="dxa"/>
            <w:tcBorders>
              <w:top w:val="nil"/>
              <w:left w:val="nil"/>
              <w:bottom w:val="single" w:sz="4" w:space="0" w:color="auto"/>
              <w:right w:val="single" w:sz="4" w:space="0" w:color="auto"/>
            </w:tcBorders>
            <w:shd w:val="clear" w:color="auto" w:fill="auto"/>
            <w:noWrap/>
            <w:vAlign w:val="bottom"/>
            <w:hideMark/>
          </w:tcPr>
          <w:p w14:paraId="0F3AD0C5"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4</w:t>
            </w:r>
          </w:p>
        </w:tc>
        <w:tc>
          <w:tcPr>
            <w:tcW w:w="1140" w:type="dxa"/>
            <w:tcBorders>
              <w:top w:val="nil"/>
              <w:left w:val="nil"/>
              <w:bottom w:val="single" w:sz="4" w:space="0" w:color="auto"/>
              <w:right w:val="single" w:sz="4" w:space="0" w:color="auto"/>
            </w:tcBorders>
            <w:shd w:val="clear" w:color="auto" w:fill="auto"/>
            <w:noWrap/>
            <w:vAlign w:val="bottom"/>
            <w:hideMark/>
          </w:tcPr>
          <w:p w14:paraId="5E67D51B"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7</w:t>
            </w:r>
          </w:p>
        </w:tc>
        <w:tc>
          <w:tcPr>
            <w:tcW w:w="940" w:type="dxa"/>
            <w:tcBorders>
              <w:top w:val="nil"/>
              <w:left w:val="nil"/>
              <w:bottom w:val="single" w:sz="4" w:space="0" w:color="auto"/>
              <w:right w:val="single" w:sz="4" w:space="0" w:color="auto"/>
            </w:tcBorders>
            <w:shd w:val="clear" w:color="auto" w:fill="auto"/>
            <w:noWrap/>
            <w:hideMark/>
          </w:tcPr>
          <w:p w14:paraId="506747D9" w14:textId="77777777" w:rsidR="00390BB1" w:rsidRPr="008D5308" w:rsidRDefault="00390BB1" w:rsidP="00390BB1">
            <w:pPr>
              <w:spacing w:after="0" w:line="240" w:lineRule="auto"/>
              <w:jc w:val="right"/>
              <w:rPr>
                <w:rFonts w:ascii="Times New Roman" w:eastAsia="SimSun" w:hAnsi="Times New Roman" w:cs="Times New Roman"/>
                <w:sz w:val="20"/>
                <w:szCs w:val="20"/>
                <w:lang w:eastAsia="zh-TW"/>
              </w:rPr>
            </w:pPr>
            <w:r w:rsidRPr="008D5308">
              <w:rPr>
                <w:rFonts w:ascii="Times New Roman" w:eastAsia="SimSun" w:hAnsi="Times New Roman" w:cs="Times New Roman"/>
                <w:sz w:val="20"/>
                <w:szCs w:val="20"/>
                <w:lang w:eastAsia="zh-TW"/>
              </w:rPr>
              <w:t>5</w:t>
            </w:r>
          </w:p>
        </w:tc>
        <w:tc>
          <w:tcPr>
            <w:tcW w:w="648" w:type="dxa"/>
            <w:tcBorders>
              <w:top w:val="nil"/>
              <w:left w:val="nil"/>
              <w:bottom w:val="single" w:sz="4" w:space="0" w:color="auto"/>
              <w:right w:val="single" w:sz="4" w:space="0" w:color="auto"/>
            </w:tcBorders>
            <w:shd w:val="clear" w:color="auto" w:fill="auto"/>
            <w:noWrap/>
            <w:vAlign w:val="bottom"/>
            <w:hideMark/>
          </w:tcPr>
          <w:p w14:paraId="253C1DE9"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1</w:t>
            </w:r>
          </w:p>
        </w:tc>
      </w:tr>
      <w:tr w:rsidR="00390BB1" w:rsidRPr="008D5308" w14:paraId="7C18F5A0" w14:textId="77777777" w:rsidTr="00390BB1">
        <w:trPr>
          <w:trHeight w:val="330"/>
        </w:trPr>
        <w:tc>
          <w:tcPr>
            <w:tcW w:w="1840" w:type="dxa"/>
            <w:tcBorders>
              <w:top w:val="nil"/>
              <w:left w:val="single" w:sz="4" w:space="0" w:color="auto"/>
              <w:bottom w:val="single" w:sz="8" w:space="0" w:color="auto"/>
              <w:right w:val="nil"/>
            </w:tcBorders>
            <w:shd w:val="clear" w:color="auto" w:fill="auto"/>
            <w:vAlign w:val="center"/>
            <w:hideMark/>
          </w:tcPr>
          <w:p w14:paraId="4EFA5016" w14:textId="03D8F65D" w:rsidR="00390BB1" w:rsidRPr="008D5308" w:rsidRDefault="00E53168" w:rsidP="00390BB1">
            <w:pPr>
              <w:spacing w:after="0" w:line="240" w:lineRule="auto"/>
              <w:jc w:val="both"/>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B</w:t>
            </w:r>
            <w:r w:rsidR="00390BB1" w:rsidRPr="008D5308">
              <w:rPr>
                <w:rFonts w:ascii="Times New Roman" w:eastAsia="PMingLiU" w:hAnsi="Times New Roman" w:cs="Times New Roman"/>
                <w:sz w:val="20"/>
                <w:szCs w:val="20"/>
                <w:lang w:eastAsia="zh-TW"/>
              </w:rPr>
              <w:t>etween 3 &amp; 4</w:t>
            </w:r>
            <w:r>
              <w:rPr>
                <w:rFonts w:ascii="Times New Roman" w:eastAsia="PMingLiU" w:hAnsi="Times New Roman" w:cs="Times New Roman"/>
                <w:sz w:val="20"/>
                <w:szCs w:val="20"/>
                <w:lang w:eastAsia="zh-TW"/>
              </w:rPr>
              <w:t xml:space="preserve"> Hours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3DF3C1F"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5</w:t>
            </w:r>
          </w:p>
        </w:tc>
        <w:tc>
          <w:tcPr>
            <w:tcW w:w="1210" w:type="dxa"/>
            <w:tcBorders>
              <w:top w:val="nil"/>
              <w:left w:val="nil"/>
              <w:bottom w:val="nil"/>
              <w:right w:val="nil"/>
            </w:tcBorders>
            <w:shd w:val="clear" w:color="auto" w:fill="auto"/>
            <w:noWrap/>
            <w:vAlign w:val="bottom"/>
            <w:hideMark/>
          </w:tcPr>
          <w:p w14:paraId="56127330"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1CD9D115"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4</w:t>
            </w:r>
          </w:p>
        </w:tc>
        <w:tc>
          <w:tcPr>
            <w:tcW w:w="1140" w:type="dxa"/>
            <w:tcBorders>
              <w:top w:val="nil"/>
              <w:left w:val="nil"/>
              <w:bottom w:val="single" w:sz="4" w:space="0" w:color="auto"/>
              <w:right w:val="single" w:sz="4" w:space="0" w:color="auto"/>
            </w:tcBorders>
            <w:shd w:val="clear" w:color="auto" w:fill="auto"/>
            <w:noWrap/>
            <w:vAlign w:val="bottom"/>
            <w:hideMark/>
          </w:tcPr>
          <w:p w14:paraId="6B36C188"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2</w:t>
            </w:r>
          </w:p>
        </w:tc>
        <w:tc>
          <w:tcPr>
            <w:tcW w:w="940" w:type="dxa"/>
            <w:tcBorders>
              <w:top w:val="nil"/>
              <w:left w:val="nil"/>
              <w:bottom w:val="single" w:sz="4" w:space="0" w:color="auto"/>
              <w:right w:val="single" w:sz="4" w:space="0" w:color="auto"/>
            </w:tcBorders>
            <w:shd w:val="clear" w:color="auto" w:fill="auto"/>
            <w:noWrap/>
            <w:vAlign w:val="bottom"/>
            <w:hideMark/>
          </w:tcPr>
          <w:p w14:paraId="2EAB735F"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4</w:t>
            </w:r>
          </w:p>
        </w:tc>
        <w:tc>
          <w:tcPr>
            <w:tcW w:w="648" w:type="dxa"/>
            <w:tcBorders>
              <w:top w:val="nil"/>
              <w:left w:val="nil"/>
              <w:bottom w:val="single" w:sz="4" w:space="0" w:color="auto"/>
              <w:right w:val="single" w:sz="4" w:space="0" w:color="auto"/>
            </w:tcBorders>
            <w:shd w:val="clear" w:color="auto" w:fill="auto"/>
            <w:noWrap/>
            <w:vAlign w:val="bottom"/>
            <w:hideMark/>
          </w:tcPr>
          <w:p w14:paraId="0275CBD2"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r>
      <w:tr w:rsidR="00390BB1" w:rsidRPr="008D5308" w14:paraId="407061CB" w14:textId="77777777" w:rsidTr="00390BB1">
        <w:trPr>
          <w:trHeight w:val="330"/>
        </w:trPr>
        <w:tc>
          <w:tcPr>
            <w:tcW w:w="1840" w:type="dxa"/>
            <w:tcBorders>
              <w:top w:val="nil"/>
              <w:left w:val="single" w:sz="4" w:space="0" w:color="auto"/>
              <w:bottom w:val="nil"/>
              <w:right w:val="nil"/>
            </w:tcBorders>
            <w:shd w:val="clear" w:color="auto" w:fill="auto"/>
            <w:vAlign w:val="center"/>
            <w:hideMark/>
          </w:tcPr>
          <w:p w14:paraId="64940020" w14:textId="5C24179B" w:rsidR="00390BB1" w:rsidRPr="008D5308" w:rsidRDefault="00390BB1" w:rsidP="00390BB1">
            <w:pPr>
              <w:spacing w:after="0" w:line="240" w:lineRule="auto"/>
              <w:jc w:val="both"/>
              <w:rPr>
                <w:rFonts w:ascii="Times New Roman" w:eastAsia="PMingLiU" w:hAnsi="Times New Roman" w:cs="Times New Roman"/>
                <w:sz w:val="20"/>
                <w:szCs w:val="20"/>
                <w:lang w:eastAsia="zh-TW"/>
              </w:rPr>
            </w:pPr>
            <w:r w:rsidRPr="008D5308">
              <w:rPr>
                <w:rFonts w:ascii="Times New Roman" w:eastAsia="SimSun" w:hAnsi="Times New Roman" w:cs="Times New Roman"/>
                <w:sz w:val="20"/>
                <w:szCs w:val="20"/>
                <w:lang w:eastAsia="zh-TW"/>
              </w:rPr>
              <w:t>≥</w:t>
            </w:r>
            <w:r w:rsidRPr="008D5308">
              <w:rPr>
                <w:rFonts w:ascii="Times New Roman" w:eastAsia="PMingLiU" w:hAnsi="Times New Roman" w:cs="Times New Roman"/>
                <w:sz w:val="20"/>
                <w:szCs w:val="20"/>
                <w:lang w:eastAsia="zh-TW"/>
              </w:rPr>
              <w:t xml:space="preserve">4 </w:t>
            </w:r>
            <w:r w:rsidR="00E53168">
              <w:rPr>
                <w:rFonts w:ascii="Times New Roman" w:eastAsia="PMingLiU" w:hAnsi="Times New Roman" w:cs="Times New Roman"/>
                <w:sz w:val="20"/>
                <w:szCs w:val="20"/>
                <w:lang w:eastAsia="zh-TW"/>
              </w:rPr>
              <w:t>Hours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CD5A5EB"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14:paraId="4B4AD720"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1</w:t>
            </w:r>
          </w:p>
        </w:tc>
        <w:tc>
          <w:tcPr>
            <w:tcW w:w="1058" w:type="dxa"/>
            <w:tcBorders>
              <w:top w:val="nil"/>
              <w:left w:val="nil"/>
              <w:bottom w:val="single" w:sz="4" w:space="0" w:color="auto"/>
              <w:right w:val="single" w:sz="4" w:space="0" w:color="auto"/>
            </w:tcBorders>
            <w:shd w:val="clear" w:color="auto" w:fill="auto"/>
            <w:noWrap/>
            <w:vAlign w:val="bottom"/>
            <w:hideMark/>
          </w:tcPr>
          <w:p w14:paraId="112BCDA8"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0</w:t>
            </w:r>
          </w:p>
        </w:tc>
        <w:tc>
          <w:tcPr>
            <w:tcW w:w="1140" w:type="dxa"/>
            <w:tcBorders>
              <w:top w:val="nil"/>
              <w:left w:val="nil"/>
              <w:bottom w:val="single" w:sz="4" w:space="0" w:color="auto"/>
              <w:right w:val="single" w:sz="4" w:space="0" w:color="auto"/>
            </w:tcBorders>
            <w:shd w:val="clear" w:color="auto" w:fill="auto"/>
            <w:noWrap/>
            <w:vAlign w:val="bottom"/>
            <w:hideMark/>
          </w:tcPr>
          <w:p w14:paraId="587D5024"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1</w:t>
            </w:r>
          </w:p>
        </w:tc>
        <w:tc>
          <w:tcPr>
            <w:tcW w:w="940" w:type="dxa"/>
            <w:tcBorders>
              <w:top w:val="nil"/>
              <w:left w:val="nil"/>
              <w:bottom w:val="single" w:sz="4" w:space="0" w:color="auto"/>
              <w:right w:val="single" w:sz="4" w:space="0" w:color="auto"/>
            </w:tcBorders>
            <w:shd w:val="clear" w:color="auto" w:fill="auto"/>
            <w:noWrap/>
            <w:vAlign w:val="bottom"/>
            <w:hideMark/>
          </w:tcPr>
          <w:p w14:paraId="5A785210"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2</w:t>
            </w:r>
          </w:p>
        </w:tc>
        <w:tc>
          <w:tcPr>
            <w:tcW w:w="648" w:type="dxa"/>
            <w:tcBorders>
              <w:top w:val="nil"/>
              <w:left w:val="nil"/>
              <w:bottom w:val="single" w:sz="4" w:space="0" w:color="auto"/>
              <w:right w:val="single" w:sz="4" w:space="0" w:color="auto"/>
            </w:tcBorders>
            <w:shd w:val="clear" w:color="auto" w:fill="auto"/>
            <w:noWrap/>
            <w:vAlign w:val="bottom"/>
            <w:hideMark/>
          </w:tcPr>
          <w:p w14:paraId="54F1199C"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7</w:t>
            </w:r>
          </w:p>
        </w:tc>
      </w:tr>
      <w:tr w:rsidR="00390BB1" w:rsidRPr="008D5308" w14:paraId="71D9547A" w14:textId="77777777" w:rsidTr="00390BB1">
        <w:trPr>
          <w:trHeight w:val="315"/>
        </w:trPr>
        <w:tc>
          <w:tcPr>
            <w:tcW w:w="1840" w:type="dxa"/>
            <w:tcBorders>
              <w:top w:val="single" w:sz="4" w:space="0" w:color="auto"/>
              <w:left w:val="single" w:sz="4" w:space="0" w:color="auto"/>
              <w:bottom w:val="single" w:sz="4" w:space="0" w:color="auto"/>
              <w:right w:val="single" w:sz="4" w:space="0" w:color="auto"/>
            </w:tcBorders>
            <w:shd w:val="clear" w:color="auto" w:fill="auto"/>
            <w:noWrap/>
            <w:hideMark/>
          </w:tcPr>
          <w:p w14:paraId="326486B5" w14:textId="77777777" w:rsidR="00390BB1" w:rsidRPr="008D5308" w:rsidRDefault="00390BB1" w:rsidP="00390BB1">
            <w:pPr>
              <w:spacing w:after="0" w:line="240" w:lineRule="auto"/>
              <w:rPr>
                <w:rFonts w:ascii="Times New Roman" w:eastAsia="MingLiU" w:hAnsi="Times New Roman" w:cs="Times New Roman"/>
                <w:sz w:val="20"/>
                <w:szCs w:val="20"/>
                <w:lang w:eastAsia="zh-TW"/>
              </w:rPr>
            </w:pPr>
            <w:r w:rsidRPr="008D5308">
              <w:rPr>
                <w:rFonts w:ascii="Times New Roman" w:eastAsia="SimSun" w:hAnsi="Times New Roman" w:cs="Times New Roman"/>
                <w:sz w:val="20"/>
                <w:szCs w:val="20"/>
                <w:lang w:eastAsia="zh-TW"/>
              </w:rPr>
              <w:t>T</w:t>
            </w:r>
            <w:r w:rsidRPr="008D5308">
              <w:rPr>
                <w:rFonts w:ascii="Times New Roman" w:eastAsia="MingLiU" w:hAnsi="Times New Roman" w:cs="Times New Roman"/>
                <w:sz w:val="20"/>
                <w:szCs w:val="20"/>
                <w:lang w:eastAsia="zh-TW"/>
              </w:rPr>
              <w:t>otal</w:t>
            </w:r>
          </w:p>
        </w:tc>
        <w:tc>
          <w:tcPr>
            <w:tcW w:w="1240" w:type="dxa"/>
            <w:tcBorders>
              <w:top w:val="nil"/>
              <w:left w:val="nil"/>
              <w:bottom w:val="single" w:sz="4" w:space="0" w:color="auto"/>
              <w:right w:val="single" w:sz="4" w:space="0" w:color="auto"/>
            </w:tcBorders>
            <w:shd w:val="clear" w:color="auto" w:fill="auto"/>
            <w:noWrap/>
            <w:vAlign w:val="bottom"/>
            <w:hideMark/>
          </w:tcPr>
          <w:p w14:paraId="55909F0D"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60</w:t>
            </w:r>
          </w:p>
        </w:tc>
        <w:tc>
          <w:tcPr>
            <w:tcW w:w="1210" w:type="dxa"/>
            <w:tcBorders>
              <w:top w:val="nil"/>
              <w:left w:val="nil"/>
              <w:bottom w:val="single" w:sz="4" w:space="0" w:color="auto"/>
              <w:right w:val="single" w:sz="4" w:space="0" w:color="auto"/>
            </w:tcBorders>
            <w:shd w:val="clear" w:color="auto" w:fill="auto"/>
            <w:noWrap/>
            <w:vAlign w:val="bottom"/>
            <w:hideMark/>
          </w:tcPr>
          <w:p w14:paraId="283292A3"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14</w:t>
            </w:r>
          </w:p>
        </w:tc>
        <w:tc>
          <w:tcPr>
            <w:tcW w:w="1058" w:type="dxa"/>
            <w:tcBorders>
              <w:top w:val="nil"/>
              <w:left w:val="nil"/>
              <w:bottom w:val="single" w:sz="4" w:space="0" w:color="auto"/>
              <w:right w:val="single" w:sz="4" w:space="0" w:color="auto"/>
            </w:tcBorders>
            <w:shd w:val="clear" w:color="auto" w:fill="auto"/>
            <w:noWrap/>
            <w:vAlign w:val="bottom"/>
            <w:hideMark/>
          </w:tcPr>
          <w:p w14:paraId="373033AF"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42</w:t>
            </w:r>
          </w:p>
        </w:tc>
        <w:tc>
          <w:tcPr>
            <w:tcW w:w="1140" w:type="dxa"/>
            <w:tcBorders>
              <w:top w:val="nil"/>
              <w:left w:val="nil"/>
              <w:bottom w:val="single" w:sz="4" w:space="0" w:color="auto"/>
              <w:right w:val="single" w:sz="4" w:space="0" w:color="auto"/>
            </w:tcBorders>
            <w:shd w:val="clear" w:color="auto" w:fill="auto"/>
            <w:noWrap/>
            <w:vAlign w:val="bottom"/>
            <w:hideMark/>
          </w:tcPr>
          <w:p w14:paraId="4F3B8A74"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21</w:t>
            </w:r>
          </w:p>
        </w:tc>
        <w:tc>
          <w:tcPr>
            <w:tcW w:w="940" w:type="dxa"/>
            <w:tcBorders>
              <w:top w:val="nil"/>
              <w:left w:val="nil"/>
              <w:bottom w:val="single" w:sz="4" w:space="0" w:color="auto"/>
              <w:right w:val="single" w:sz="4" w:space="0" w:color="auto"/>
            </w:tcBorders>
            <w:shd w:val="clear" w:color="auto" w:fill="auto"/>
            <w:noWrap/>
            <w:vAlign w:val="bottom"/>
            <w:hideMark/>
          </w:tcPr>
          <w:p w14:paraId="3A3B61BA"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r w:rsidRPr="008D5308">
              <w:rPr>
                <w:rFonts w:ascii="Times New Roman" w:eastAsia="PMingLiU" w:hAnsi="Times New Roman" w:cs="Times New Roman"/>
                <w:sz w:val="20"/>
                <w:szCs w:val="20"/>
                <w:lang w:eastAsia="zh-TW"/>
              </w:rPr>
              <w:t>11</w:t>
            </w:r>
          </w:p>
        </w:tc>
        <w:tc>
          <w:tcPr>
            <w:tcW w:w="648" w:type="dxa"/>
            <w:tcBorders>
              <w:top w:val="nil"/>
              <w:left w:val="nil"/>
              <w:bottom w:val="single" w:sz="4" w:space="0" w:color="auto"/>
              <w:right w:val="single" w:sz="4" w:space="0" w:color="auto"/>
            </w:tcBorders>
            <w:shd w:val="clear" w:color="auto" w:fill="auto"/>
            <w:noWrap/>
            <w:vAlign w:val="bottom"/>
            <w:hideMark/>
          </w:tcPr>
          <w:p w14:paraId="1320F164" w14:textId="77777777" w:rsidR="00390BB1" w:rsidRPr="008D5308" w:rsidRDefault="00390BB1" w:rsidP="00390BB1">
            <w:pPr>
              <w:spacing w:after="0" w:line="240" w:lineRule="auto"/>
              <w:jc w:val="right"/>
              <w:rPr>
                <w:rFonts w:ascii="Times New Roman" w:eastAsia="PMingLiU" w:hAnsi="Times New Roman" w:cs="Times New Roman"/>
                <w:sz w:val="20"/>
                <w:szCs w:val="20"/>
                <w:lang w:eastAsia="zh-TW"/>
              </w:rPr>
            </w:pPr>
            <w:commentRangeStart w:id="8"/>
            <w:commentRangeStart w:id="9"/>
            <w:r w:rsidRPr="008D5308">
              <w:rPr>
                <w:rFonts w:ascii="Times New Roman" w:eastAsia="PMingLiU" w:hAnsi="Times New Roman" w:cs="Times New Roman"/>
                <w:sz w:val="20"/>
                <w:szCs w:val="20"/>
                <w:lang w:eastAsia="zh-TW"/>
              </w:rPr>
              <w:t>13</w:t>
            </w:r>
            <w:commentRangeEnd w:id="8"/>
            <w:r w:rsidR="000B197D">
              <w:rPr>
                <w:rStyle w:val="CommentReference"/>
              </w:rPr>
              <w:commentReference w:id="8"/>
            </w:r>
            <w:commentRangeEnd w:id="9"/>
            <w:r w:rsidR="00085B66">
              <w:rPr>
                <w:rStyle w:val="CommentReference"/>
              </w:rPr>
              <w:commentReference w:id="9"/>
            </w:r>
          </w:p>
        </w:tc>
      </w:tr>
    </w:tbl>
    <w:p w14:paraId="398AD3A4" w14:textId="77777777" w:rsidR="00B25B8D" w:rsidRPr="008D5308" w:rsidRDefault="00B25B8D" w:rsidP="0082406C">
      <w:pPr>
        <w:rPr>
          <w:rFonts w:ascii="Times New Roman" w:hAnsi="Times New Roman" w:cs="Times New Roman"/>
        </w:rPr>
      </w:pPr>
    </w:p>
    <w:sectPr w:rsidR="00B25B8D" w:rsidRPr="008D5308" w:rsidSect="0085192F">
      <w:pgSz w:w="12240" w:h="15840" w:code="1"/>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orrest, David" w:date="2020-01-14T12:36:00Z" w:initials="FD">
    <w:p w14:paraId="08DD28A3" w14:textId="4193A8D7" w:rsidR="008865D6" w:rsidRDefault="008865D6">
      <w:pPr>
        <w:pStyle w:val="CommentText"/>
      </w:pPr>
      <w:r>
        <w:rPr>
          <w:rStyle w:val="CommentReference"/>
        </w:rPr>
        <w:annotationRef/>
      </w:r>
      <w:r>
        <w:t xml:space="preserve">I compared your tables at the end with my last tabulations and there was a discrepancy. So I had to change this para- the numbers became different because of errors affecting three responses in the non-casino group. </w:t>
      </w:r>
    </w:p>
  </w:comment>
  <w:comment w:id="2" w:author="Forrest, David" w:date="2020-01-14T12:51:00Z" w:initials="FD">
    <w:p w14:paraId="10ACC289" w14:textId="72AD1791" w:rsidR="008865D6" w:rsidRDefault="008865D6">
      <w:pPr>
        <w:pStyle w:val="CommentText"/>
      </w:pPr>
      <w:r>
        <w:rPr>
          <w:rStyle w:val="CommentReference"/>
        </w:rPr>
        <w:annotationRef/>
      </w:r>
      <w:r>
        <w:t xml:space="preserve">this number has been corrected (severely) </w:t>
      </w:r>
    </w:p>
  </w:comment>
  <w:comment w:id="3" w:author="Forrest, David" w:date="2020-01-14T11:51:00Z" w:initials="FD">
    <w:p w14:paraId="15CE48B9" w14:textId="022541E3" w:rsidR="008865D6" w:rsidRDefault="008865D6">
      <w:pPr>
        <w:pStyle w:val="CommentText"/>
      </w:pPr>
      <w:r>
        <w:rPr>
          <w:rStyle w:val="CommentReference"/>
        </w:rPr>
        <w:annotationRef/>
      </w:r>
      <w:r>
        <w:t>I have made minor corrections to this para as I made a mistake in having 147 employee players instead of 145</w:t>
      </w:r>
    </w:p>
  </w:comment>
  <w:comment w:id="4" w:author="zhonglu zeng" w:date="2020-01-16T07:02:00Z" w:initials="zz">
    <w:p w14:paraId="47CD9F12" w14:textId="6B65001C" w:rsidR="008865D6" w:rsidRPr="004F65F0" w:rsidRDefault="008865D6">
      <w:pPr>
        <w:pStyle w:val="CommentText"/>
        <w:rPr>
          <w:lang w:eastAsia="zh-CN"/>
        </w:rPr>
      </w:pPr>
      <w:r>
        <w:rPr>
          <w:rStyle w:val="CommentReference"/>
        </w:rPr>
        <w:annotationRef/>
      </w:r>
      <w:r>
        <w:t>The should be 147 if the missing values are added</w:t>
      </w:r>
    </w:p>
  </w:comment>
  <w:comment w:id="5" w:author="zhonglu zeng" w:date="2020-01-16T07:05:00Z" w:initials="zz">
    <w:p w14:paraId="1CC23539" w14:textId="6D529981" w:rsidR="008865D6" w:rsidRPr="004F65F0" w:rsidRDefault="008865D6">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he figure should be 105. If we don’t consider the missing values, the figure should be 101.</w:t>
      </w:r>
    </w:p>
  </w:comment>
  <w:comment w:id="6" w:author="Forrest, David" w:date="2020-01-14T12:45:00Z" w:initials="FD">
    <w:p w14:paraId="78AD2709" w14:textId="5ADD4616" w:rsidR="008865D6" w:rsidRDefault="008865D6">
      <w:pPr>
        <w:pStyle w:val="CommentText"/>
      </w:pPr>
      <w:r>
        <w:rPr>
          <w:rStyle w:val="CommentReference"/>
        </w:rPr>
        <w:annotationRef/>
      </w:r>
      <w:r>
        <w:t>I have removed the word “the” from the start of the reference, and in the text, as the definite article is not conventionally used in references where the reference is an agency- hence have repositioned it in alphabetic order</w:t>
      </w:r>
    </w:p>
  </w:comment>
  <w:comment w:id="7" w:author="Forrest, David" w:date="2020-01-14T11:15:00Z" w:initials="FD">
    <w:p w14:paraId="2CCBE5B6" w14:textId="404C68BE" w:rsidR="008865D6" w:rsidRDefault="008865D6">
      <w:pPr>
        <w:pStyle w:val="CommentText"/>
      </w:pPr>
      <w:r>
        <w:rPr>
          <w:rStyle w:val="CommentReference"/>
        </w:rPr>
        <w:annotationRef/>
      </w:r>
      <w:r>
        <w:t>I have changed the font on the tables as it should be consistent with the font in the text</w:t>
      </w:r>
    </w:p>
  </w:comment>
  <w:comment w:id="8" w:author="Forrest, David" w:date="2020-01-14T11:19:00Z" w:initials="FD">
    <w:p w14:paraId="75BF8CA7" w14:textId="1893DE6E" w:rsidR="008865D6" w:rsidRDefault="008865D6">
      <w:pPr>
        <w:pStyle w:val="CommentText"/>
      </w:pPr>
      <w:r>
        <w:rPr>
          <w:rStyle w:val="CommentReference"/>
        </w:rPr>
        <w:annotationRef/>
      </w:r>
      <w:r>
        <w:t>I have changed the headings first to remove some errors in the top left cells in Tables 3-1 and 3-2 and then to use words which to the English speaker make things easier to understand.</w:t>
      </w:r>
    </w:p>
    <w:p w14:paraId="7BC8CEFD" w14:textId="77777777" w:rsidR="008865D6" w:rsidRDefault="008865D6">
      <w:pPr>
        <w:pStyle w:val="CommentText"/>
      </w:pPr>
    </w:p>
    <w:p w14:paraId="2F003F37" w14:textId="77777777" w:rsidR="008865D6" w:rsidRDefault="008865D6">
      <w:pPr>
        <w:pStyle w:val="CommentText"/>
      </w:pPr>
      <w:r>
        <w:t>I would prefer to have Table 2 about frequency (2.-1 for employees and 2-2 for non-employees) and Table 3 about duration (3-1 for employees and 3-2 for duration). This better matches the text and allows the reader to examine the differences between employees and non-employees more easily</w:t>
      </w:r>
    </w:p>
    <w:p w14:paraId="37EA5064" w14:textId="61B9C67B" w:rsidR="008865D6" w:rsidRDefault="008865D6">
      <w:pPr>
        <w:pStyle w:val="CommentText"/>
      </w:pPr>
      <w:r>
        <w:t>.</w:t>
      </w:r>
    </w:p>
    <w:p w14:paraId="28FFDCAD" w14:textId="7BDC1AE3" w:rsidR="008865D6" w:rsidRDefault="008865D6">
      <w:pPr>
        <w:pStyle w:val="CommentText"/>
      </w:pPr>
      <w:r>
        <w:t xml:space="preserve">Please do a final check about the accuracy of each number in these tables. A small number are different from my tables. For example, </w:t>
      </w:r>
    </w:p>
    <w:p w14:paraId="18A76112" w14:textId="331ADF93" w:rsidR="008865D6" w:rsidRDefault="008865D6">
      <w:pPr>
        <w:pStyle w:val="CommentText"/>
        <w:rPr>
          <w:lang w:eastAsia="zh-CN"/>
        </w:rPr>
      </w:pPr>
      <w:r>
        <w:rPr>
          <w:lang w:eastAsia="zh-CN"/>
        </w:rPr>
        <w:t xml:space="preserve">.  </w:t>
      </w:r>
    </w:p>
    <w:p w14:paraId="30C7D011" w14:textId="51572EB3" w:rsidR="008865D6" w:rsidRDefault="008865D6">
      <w:pPr>
        <w:pStyle w:val="CommentText"/>
        <w:rPr>
          <w:lang w:eastAsia="zh-CN"/>
        </w:rPr>
      </w:pPr>
    </w:p>
  </w:comment>
  <w:comment w:id="9" w:author="1150590665@qq.com" w:date="2020-01-15T23:07:00Z" w:initials="1">
    <w:p w14:paraId="5FE046F2" w14:textId="519934AB" w:rsidR="008865D6" w:rsidRDefault="008865D6">
      <w:pPr>
        <w:pStyle w:val="CommentText"/>
        <w:rPr>
          <w:lang w:eastAsia="zh-CN"/>
        </w:rPr>
      </w:pPr>
      <w:r>
        <w:rPr>
          <w:rStyle w:val="CommentReference"/>
        </w:rPr>
        <w:annotationRef/>
      </w:r>
      <w:r>
        <w:rPr>
          <w:rFonts w:ascii="SimSun" w:eastAsia="SimSun" w:hAnsi="SimSun" w:hint="eastAsia"/>
          <w:lang w:eastAsia="zh-CN"/>
        </w:rPr>
        <w:t>已检查，现在的表格数据完全正确。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DD28A3" w15:done="1"/>
  <w15:commentEx w15:paraId="10ACC289" w15:done="0"/>
  <w15:commentEx w15:paraId="15CE48B9" w15:done="0"/>
  <w15:commentEx w15:paraId="47CD9F12" w15:paraIdParent="15CE48B9" w15:done="0"/>
  <w15:commentEx w15:paraId="1CC23539" w15:done="0"/>
  <w15:commentEx w15:paraId="78AD2709" w15:done="1"/>
  <w15:commentEx w15:paraId="2CCBE5B6" w15:done="1"/>
  <w15:commentEx w15:paraId="30C7D011" w15:done="1"/>
  <w15:commentEx w15:paraId="5FE046F2" w15:paraIdParent="30C7D01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DD28A3" w16cid:durableId="21CA1783"/>
  <w16cid:commentId w16cid:paraId="10ACC289" w16cid:durableId="21CA1784"/>
  <w16cid:commentId w16cid:paraId="15CE48B9" w16cid:durableId="21CA1785"/>
  <w16cid:commentId w16cid:paraId="47CD9F12" w16cid:durableId="21CA890F"/>
  <w16cid:commentId w16cid:paraId="1CC23539" w16cid:durableId="21CA89A6"/>
  <w16cid:commentId w16cid:paraId="78AD2709" w16cid:durableId="21CA1786"/>
  <w16cid:commentId w16cid:paraId="2CCBE5B6" w16cid:durableId="21CA1787"/>
  <w16cid:commentId w16cid:paraId="30C7D011" w16cid:durableId="21CA1788"/>
  <w16cid:commentId w16cid:paraId="5FE046F2" w16cid:durableId="21CA19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A66C" w14:textId="77777777" w:rsidR="008F2F14" w:rsidRDefault="008F2F14" w:rsidP="00AC3DB6">
      <w:pPr>
        <w:spacing w:after="0" w:line="240" w:lineRule="auto"/>
      </w:pPr>
      <w:r>
        <w:separator/>
      </w:r>
    </w:p>
  </w:endnote>
  <w:endnote w:type="continuationSeparator" w:id="0">
    <w:p w14:paraId="53AA43B1" w14:textId="77777777" w:rsidR="008F2F14" w:rsidRDefault="008F2F14" w:rsidP="00AC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FKai-SB">
    <w:altName w:val="標楷體"/>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Microsoft JhengHei"/>
    <w:panose1 w:val="02010609000101010101"/>
    <w:charset w:val="88"/>
    <w:family w:val="modern"/>
    <w:pitch w:val="fixed"/>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960492"/>
      <w:docPartObj>
        <w:docPartGallery w:val="Page Numbers (Bottom of Page)"/>
        <w:docPartUnique/>
      </w:docPartObj>
    </w:sdtPr>
    <w:sdtEndPr>
      <w:rPr>
        <w:noProof/>
      </w:rPr>
    </w:sdtEndPr>
    <w:sdtContent>
      <w:p w14:paraId="672D9622" w14:textId="18DEFE41" w:rsidR="008865D6" w:rsidRDefault="008865D6">
        <w:pPr>
          <w:pStyle w:val="Footer"/>
          <w:jc w:val="right"/>
        </w:pPr>
        <w:r>
          <w:fldChar w:fldCharType="begin"/>
        </w:r>
        <w:r>
          <w:instrText xml:space="preserve"> PAGE   \* MERGEFORMAT </w:instrText>
        </w:r>
        <w:r>
          <w:fldChar w:fldCharType="separate"/>
        </w:r>
        <w:r w:rsidR="003825B8">
          <w:rPr>
            <w:noProof/>
          </w:rPr>
          <w:t>20</w:t>
        </w:r>
        <w:r>
          <w:rPr>
            <w:noProof/>
          </w:rPr>
          <w:fldChar w:fldCharType="end"/>
        </w:r>
      </w:p>
    </w:sdtContent>
  </w:sdt>
  <w:p w14:paraId="5AE5762F" w14:textId="77777777" w:rsidR="008865D6" w:rsidRDefault="0088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7541F" w14:textId="77777777" w:rsidR="008F2F14" w:rsidRDefault="008F2F14" w:rsidP="00AC3DB6">
      <w:pPr>
        <w:spacing w:after="0" w:line="240" w:lineRule="auto"/>
      </w:pPr>
      <w:r>
        <w:separator/>
      </w:r>
    </w:p>
  </w:footnote>
  <w:footnote w:type="continuationSeparator" w:id="0">
    <w:p w14:paraId="4CC59B4F" w14:textId="77777777" w:rsidR="008F2F14" w:rsidRDefault="008F2F14" w:rsidP="00AC3DB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rrest, David">
    <w15:presenceInfo w15:providerId="AD" w15:userId="S-1-5-21-137024685-2204166116-4157399963-323870"/>
  </w15:person>
  <w15:person w15:author="zhonglu zeng">
    <w15:presenceInfo w15:providerId="Windows Live" w15:userId="d446cd93798a559b"/>
  </w15:person>
  <w15:person w15:author="1150590665@qq.com">
    <w15:presenceInfo w15:providerId="Windows Live" w15:userId="7e64d2ca96ae9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90"/>
    <w:rsid w:val="00002C4F"/>
    <w:rsid w:val="00004D71"/>
    <w:rsid w:val="0001085F"/>
    <w:rsid w:val="000255B7"/>
    <w:rsid w:val="00046A08"/>
    <w:rsid w:val="00053A6E"/>
    <w:rsid w:val="00061B45"/>
    <w:rsid w:val="00073715"/>
    <w:rsid w:val="00081B54"/>
    <w:rsid w:val="00085B66"/>
    <w:rsid w:val="000A2775"/>
    <w:rsid w:val="000A6F70"/>
    <w:rsid w:val="000B197D"/>
    <w:rsid w:val="000B5DE1"/>
    <w:rsid w:val="000B745C"/>
    <w:rsid w:val="000B7B58"/>
    <w:rsid w:val="000D0DBD"/>
    <w:rsid w:val="000D2256"/>
    <w:rsid w:val="000D46B2"/>
    <w:rsid w:val="000D7393"/>
    <w:rsid w:val="000E5C6D"/>
    <w:rsid w:val="000F03F5"/>
    <w:rsid w:val="000F3578"/>
    <w:rsid w:val="000F7A80"/>
    <w:rsid w:val="00121EE8"/>
    <w:rsid w:val="00134F00"/>
    <w:rsid w:val="0013639B"/>
    <w:rsid w:val="00150961"/>
    <w:rsid w:val="001527F0"/>
    <w:rsid w:val="001567CB"/>
    <w:rsid w:val="00165E4F"/>
    <w:rsid w:val="001806CB"/>
    <w:rsid w:val="001974A7"/>
    <w:rsid w:val="001B6DBE"/>
    <w:rsid w:val="001C38E5"/>
    <w:rsid w:val="001C580F"/>
    <w:rsid w:val="001E015C"/>
    <w:rsid w:val="001F61EF"/>
    <w:rsid w:val="00206A4C"/>
    <w:rsid w:val="00206BA8"/>
    <w:rsid w:val="0022180B"/>
    <w:rsid w:val="002268C0"/>
    <w:rsid w:val="00244EAA"/>
    <w:rsid w:val="00245CEE"/>
    <w:rsid w:val="00254F4B"/>
    <w:rsid w:val="002560C1"/>
    <w:rsid w:val="00266524"/>
    <w:rsid w:val="00276C5C"/>
    <w:rsid w:val="0028001C"/>
    <w:rsid w:val="00291F52"/>
    <w:rsid w:val="00297DED"/>
    <w:rsid w:val="002F1C90"/>
    <w:rsid w:val="002F333F"/>
    <w:rsid w:val="00304D33"/>
    <w:rsid w:val="0032482E"/>
    <w:rsid w:val="00325DD7"/>
    <w:rsid w:val="00326EB3"/>
    <w:rsid w:val="00333889"/>
    <w:rsid w:val="00333C0F"/>
    <w:rsid w:val="00343850"/>
    <w:rsid w:val="0034516F"/>
    <w:rsid w:val="003549E8"/>
    <w:rsid w:val="003550CF"/>
    <w:rsid w:val="00357209"/>
    <w:rsid w:val="003626ED"/>
    <w:rsid w:val="00362CCB"/>
    <w:rsid w:val="00382083"/>
    <w:rsid w:val="003825B8"/>
    <w:rsid w:val="00390BB1"/>
    <w:rsid w:val="003A1536"/>
    <w:rsid w:val="003A5CB0"/>
    <w:rsid w:val="003A6490"/>
    <w:rsid w:val="003B650A"/>
    <w:rsid w:val="003C1AB9"/>
    <w:rsid w:val="003C6D72"/>
    <w:rsid w:val="003D0D3A"/>
    <w:rsid w:val="003D0E97"/>
    <w:rsid w:val="003D4FE5"/>
    <w:rsid w:val="003E34E9"/>
    <w:rsid w:val="003F6303"/>
    <w:rsid w:val="004003DC"/>
    <w:rsid w:val="0041318F"/>
    <w:rsid w:val="00417D9E"/>
    <w:rsid w:val="00420A22"/>
    <w:rsid w:val="00421742"/>
    <w:rsid w:val="004242E3"/>
    <w:rsid w:val="00424BD7"/>
    <w:rsid w:val="00427A3C"/>
    <w:rsid w:val="0043666F"/>
    <w:rsid w:val="00440FCE"/>
    <w:rsid w:val="004550BE"/>
    <w:rsid w:val="00455B26"/>
    <w:rsid w:val="004763A9"/>
    <w:rsid w:val="00486170"/>
    <w:rsid w:val="00495D9A"/>
    <w:rsid w:val="004A71A9"/>
    <w:rsid w:val="004B6665"/>
    <w:rsid w:val="004C17E2"/>
    <w:rsid w:val="004C49CA"/>
    <w:rsid w:val="004D4647"/>
    <w:rsid w:val="004D5D4F"/>
    <w:rsid w:val="004E737D"/>
    <w:rsid w:val="004F2523"/>
    <w:rsid w:val="004F65F0"/>
    <w:rsid w:val="00507523"/>
    <w:rsid w:val="00525605"/>
    <w:rsid w:val="0053031A"/>
    <w:rsid w:val="00547471"/>
    <w:rsid w:val="005476DE"/>
    <w:rsid w:val="00547EC2"/>
    <w:rsid w:val="00561674"/>
    <w:rsid w:val="00563B09"/>
    <w:rsid w:val="00564B31"/>
    <w:rsid w:val="00594E2A"/>
    <w:rsid w:val="005A1606"/>
    <w:rsid w:val="005B1FB0"/>
    <w:rsid w:val="005C6014"/>
    <w:rsid w:val="005C61F9"/>
    <w:rsid w:val="005D164D"/>
    <w:rsid w:val="005E2494"/>
    <w:rsid w:val="005E6C63"/>
    <w:rsid w:val="005F3363"/>
    <w:rsid w:val="005F5732"/>
    <w:rsid w:val="00612AEC"/>
    <w:rsid w:val="00615856"/>
    <w:rsid w:val="006171C4"/>
    <w:rsid w:val="006206B2"/>
    <w:rsid w:val="00630392"/>
    <w:rsid w:val="00635728"/>
    <w:rsid w:val="0064024E"/>
    <w:rsid w:val="00642457"/>
    <w:rsid w:val="006600E5"/>
    <w:rsid w:val="00666BD5"/>
    <w:rsid w:val="00687432"/>
    <w:rsid w:val="00691D3D"/>
    <w:rsid w:val="006A13E5"/>
    <w:rsid w:val="006A3019"/>
    <w:rsid w:val="006A4695"/>
    <w:rsid w:val="006D7934"/>
    <w:rsid w:val="006F3CB9"/>
    <w:rsid w:val="00704C89"/>
    <w:rsid w:val="007179E9"/>
    <w:rsid w:val="007406C1"/>
    <w:rsid w:val="00743272"/>
    <w:rsid w:val="007477EE"/>
    <w:rsid w:val="00751BD7"/>
    <w:rsid w:val="00752F0A"/>
    <w:rsid w:val="00755D6B"/>
    <w:rsid w:val="007640F6"/>
    <w:rsid w:val="007641FC"/>
    <w:rsid w:val="00766ED9"/>
    <w:rsid w:val="00786183"/>
    <w:rsid w:val="007B14D4"/>
    <w:rsid w:val="007C59A1"/>
    <w:rsid w:val="007D08C3"/>
    <w:rsid w:val="007D3789"/>
    <w:rsid w:val="007E5744"/>
    <w:rsid w:val="007F1C03"/>
    <w:rsid w:val="00801CCE"/>
    <w:rsid w:val="00803C50"/>
    <w:rsid w:val="00810518"/>
    <w:rsid w:val="0081156E"/>
    <w:rsid w:val="00812087"/>
    <w:rsid w:val="008147D3"/>
    <w:rsid w:val="00822BAD"/>
    <w:rsid w:val="0082406C"/>
    <w:rsid w:val="00847FED"/>
    <w:rsid w:val="0085192F"/>
    <w:rsid w:val="00866D08"/>
    <w:rsid w:val="00877ABF"/>
    <w:rsid w:val="0088244B"/>
    <w:rsid w:val="008836F9"/>
    <w:rsid w:val="008865D6"/>
    <w:rsid w:val="008B52BB"/>
    <w:rsid w:val="008C1591"/>
    <w:rsid w:val="008D2C32"/>
    <w:rsid w:val="008D4396"/>
    <w:rsid w:val="008D5308"/>
    <w:rsid w:val="008F27F6"/>
    <w:rsid w:val="008F2F14"/>
    <w:rsid w:val="008F3E68"/>
    <w:rsid w:val="008F4A7B"/>
    <w:rsid w:val="00900E33"/>
    <w:rsid w:val="00904D98"/>
    <w:rsid w:val="009067DA"/>
    <w:rsid w:val="00932A04"/>
    <w:rsid w:val="009576FD"/>
    <w:rsid w:val="00962D90"/>
    <w:rsid w:val="00966AD6"/>
    <w:rsid w:val="00981CC0"/>
    <w:rsid w:val="00981DCE"/>
    <w:rsid w:val="009820EA"/>
    <w:rsid w:val="009865C6"/>
    <w:rsid w:val="0099357E"/>
    <w:rsid w:val="009B0CEB"/>
    <w:rsid w:val="009D1F56"/>
    <w:rsid w:val="009D687C"/>
    <w:rsid w:val="009F185A"/>
    <w:rsid w:val="00A2394B"/>
    <w:rsid w:val="00A25B8F"/>
    <w:rsid w:val="00A302FB"/>
    <w:rsid w:val="00A34C4D"/>
    <w:rsid w:val="00A43A0D"/>
    <w:rsid w:val="00A53CD0"/>
    <w:rsid w:val="00A547AA"/>
    <w:rsid w:val="00A7547E"/>
    <w:rsid w:val="00A7638F"/>
    <w:rsid w:val="00AB643F"/>
    <w:rsid w:val="00AB7B79"/>
    <w:rsid w:val="00AC3DB6"/>
    <w:rsid w:val="00AC72CE"/>
    <w:rsid w:val="00AD78A0"/>
    <w:rsid w:val="00B14A66"/>
    <w:rsid w:val="00B16AB2"/>
    <w:rsid w:val="00B25B8D"/>
    <w:rsid w:val="00B27BE9"/>
    <w:rsid w:val="00B31C2C"/>
    <w:rsid w:val="00B3512A"/>
    <w:rsid w:val="00B537C6"/>
    <w:rsid w:val="00B63F7E"/>
    <w:rsid w:val="00B6526A"/>
    <w:rsid w:val="00B656EB"/>
    <w:rsid w:val="00B65ED3"/>
    <w:rsid w:val="00B739A8"/>
    <w:rsid w:val="00B82495"/>
    <w:rsid w:val="00B920FD"/>
    <w:rsid w:val="00BA47C0"/>
    <w:rsid w:val="00BA7883"/>
    <w:rsid w:val="00BB6945"/>
    <w:rsid w:val="00BC7413"/>
    <w:rsid w:val="00BD2DB5"/>
    <w:rsid w:val="00BD370F"/>
    <w:rsid w:val="00BD3D34"/>
    <w:rsid w:val="00BD5ABF"/>
    <w:rsid w:val="00BE78ED"/>
    <w:rsid w:val="00C41140"/>
    <w:rsid w:val="00C51194"/>
    <w:rsid w:val="00C519F3"/>
    <w:rsid w:val="00C554D1"/>
    <w:rsid w:val="00C674D2"/>
    <w:rsid w:val="00C711AB"/>
    <w:rsid w:val="00C73889"/>
    <w:rsid w:val="00C86AAC"/>
    <w:rsid w:val="00C92596"/>
    <w:rsid w:val="00C97AC7"/>
    <w:rsid w:val="00CA29AF"/>
    <w:rsid w:val="00CC2D44"/>
    <w:rsid w:val="00CC4CE3"/>
    <w:rsid w:val="00CD0082"/>
    <w:rsid w:val="00CD5928"/>
    <w:rsid w:val="00CD6E71"/>
    <w:rsid w:val="00D06744"/>
    <w:rsid w:val="00D06933"/>
    <w:rsid w:val="00D07CA0"/>
    <w:rsid w:val="00D22D20"/>
    <w:rsid w:val="00D23323"/>
    <w:rsid w:val="00D23EB9"/>
    <w:rsid w:val="00D27497"/>
    <w:rsid w:val="00D46135"/>
    <w:rsid w:val="00D51B30"/>
    <w:rsid w:val="00D74D1E"/>
    <w:rsid w:val="00D77C2C"/>
    <w:rsid w:val="00D803BF"/>
    <w:rsid w:val="00D82E31"/>
    <w:rsid w:val="00DB7389"/>
    <w:rsid w:val="00DD08D0"/>
    <w:rsid w:val="00DD172E"/>
    <w:rsid w:val="00DE023D"/>
    <w:rsid w:val="00DF4DAF"/>
    <w:rsid w:val="00E073FE"/>
    <w:rsid w:val="00E102C8"/>
    <w:rsid w:val="00E15B51"/>
    <w:rsid w:val="00E161B8"/>
    <w:rsid w:val="00E207A8"/>
    <w:rsid w:val="00E23637"/>
    <w:rsid w:val="00E24F95"/>
    <w:rsid w:val="00E37440"/>
    <w:rsid w:val="00E42CF3"/>
    <w:rsid w:val="00E53168"/>
    <w:rsid w:val="00E5456B"/>
    <w:rsid w:val="00E5498C"/>
    <w:rsid w:val="00E817DF"/>
    <w:rsid w:val="00E93A0D"/>
    <w:rsid w:val="00EB5FB0"/>
    <w:rsid w:val="00EC3EBB"/>
    <w:rsid w:val="00ED6F3C"/>
    <w:rsid w:val="00EE0C24"/>
    <w:rsid w:val="00EE3AFD"/>
    <w:rsid w:val="00EF180F"/>
    <w:rsid w:val="00EF544E"/>
    <w:rsid w:val="00F048B2"/>
    <w:rsid w:val="00F153D8"/>
    <w:rsid w:val="00F270E2"/>
    <w:rsid w:val="00F41294"/>
    <w:rsid w:val="00F42C59"/>
    <w:rsid w:val="00F475B4"/>
    <w:rsid w:val="00F504F5"/>
    <w:rsid w:val="00F547F9"/>
    <w:rsid w:val="00F70885"/>
    <w:rsid w:val="00F91CDF"/>
    <w:rsid w:val="00F92000"/>
    <w:rsid w:val="00F96E87"/>
    <w:rsid w:val="00FA6F2D"/>
    <w:rsid w:val="00FB3922"/>
    <w:rsid w:val="00FC026D"/>
    <w:rsid w:val="00FC1990"/>
    <w:rsid w:val="00FC47A4"/>
    <w:rsid w:val="00FE1CE1"/>
    <w:rsid w:val="00FE5E92"/>
    <w:rsid w:val="00FE61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B6E2"/>
  <w15:chartTrackingRefBased/>
  <w15:docId w15:val="{EDD95CD1-5F21-42AF-A1EB-830B40BC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DB6"/>
  </w:style>
  <w:style w:type="paragraph" w:styleId="Footer">
    <w:name w:val="footer"/>
    <w:basedOn w:val="Normal"/>
    <w:link w:val="FooterChar"/>
    <w:uiPriority w:val="99"/>
    <w:unhideWhenUsed/>
    <w:rsid w:val="00AC3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DB6"/>
  </w:style>
  <w:style w:type="paragraph" w:styleId="FootnoteText">
    <w:name w:val="footnote text"/>
    <w:basedOn w:val="Normal"/>
    <w:link w:val="FootnoteTextChar"/>
    <w:uiPriority w:val="99"/>
    <w:unhideWhenUsed/>
    <w:rsid w:val="00743272"/>
    <w:pPr>
      <w:spacing w:after="0" w:line="240" w:lineRule="auto"/>
    </w:pPr>
    <w:rPr>
      <w:sz w:val="20"/>
      <w:szCs w:val="20"/>
    </w:rPr>
  </w:style>
  <w:style w:type="character" w:customStyle="1" w:styleId="FootnoteTextChar">
    <w:name w:val="Footnote Text Char"/>
    <w:basedOn w:val="DefaultParagraphFont"/>
    <w:link w:val="FootnoteText"/>
    <w:uiPriority w:val="99"/>
    <w:rsid w:val="00743272"/>
    <w:rPr>
      <w:sz w:val="20"/>
      <w:szCs w:val="20"/>
    </w:rPr>
  </w:style>
  <w:style w:type="character" w:styleId="FootnoteReference">
    <w:name w:val="footnote reference"/>
    <w:basedOn w:val="DefaultParagraphFont"/>
    <w:uiPriority w:val="99"/>
    <w:unhideWhenUsed/>
    <w:rsid w:val="00743272"/>
    <w:rPr>
      <w:vertAlign w:val="superscript"/>
    </w:rPr>
  </w:style>
  <w:style w:type="character" w:styleId="Hyperlink">
    <w:name w:val="Hyperlink"/>
    <w:basedOn w:val="DefaultParagraphFont"/>
    <w:uiPriority w:val="99"/>
    <w:unhideWhenUsed/>
    <w:rsid w:val="00297DED"/>
    <w:rPr>
      <w:color w:val="0563C1" w:themeColor="hyperlink"/>
      <w:u w:val="single"/>
    </w:rPr>
  </w:style>
  <w:style w:type="paragraph" w:styleId="BalloonText">
    <w:name w:val="Balloon Text"/>
    <w:basedOn w:val="Normal"/>
    <w:link w:val="BalloonTextChar"/>
    <w:uiPriority w:val="99"/>
    <w:semiHidden/>
    <w:unhideWhenUsed/>
    <w:rsid w:val="006A469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A4695"/>
    <w:rPr>
      <w:rFonts w:asciiTheme="majorHAnsi" w:eastAsiaTheme="majorEastAsia" w:hAnsiTheme="majorHAnsi" w:cstheme="majorBidi"/>
      <w:sz w:val="18"/>
      <w:szCs w:val="18"/>
    </w:rPr>
  </w:style>
  <w:style w:type="character" w:customStyle="1" w:styleId="1">
    <w:name w:val="未处理的提及1"/>
    <w:basedOn w:val="DefaultParagraphFont"/>
    <w:uiPriority w:val="99"/>
    <w:semiHidden/>
    <w:unhideWhenUsed/>
    <w:rsid w:val="00304D33"/>
    <w:rPr>
      <w:color w:val="605E5C"/>
      <w:shd w:val="clear" w:color="auto" w:fill="E1DFDD"/>
    </w:rPr>
  </w:style>
  <w:style w:type="character" w:styleId="FollowedHyperlink">
    <w:name w:val="FollowedHyperlink"/>
    <w:basedOn w:val="DefaultParagraphFont"/>
    <w:uiPriority w:val="99"/>
    <w:semiHidden/>
    <w:unhideWhenUsed/>
    <w:rsid w:val="008D5308"/>
    <w:rPr>
      <w:color w:val="954F72" w:themeColor="followedHyperlink"/>
      <w:u w:val="single"/>
    </w:rPr>
  </w:style>
  <w:style w:type="character" w:styleId="CommentReference">
    <w:name w:val="annotation reference"/>
    <w:basedOn w:val="DefaultParagraphFont"/>
    <w:uiPriority w:val="99"/>
    <w:semiHidden/>
    <w:unhideWhenUsed/>
    <w:rsid w:val="00061B45"/>
    <w:rPr>
      <w:sz w:val="16"/>
      <w:szCs w:val="16"/>
    </w:rPr>
  </w:style>
  <w:style w:type="paragraph" w:styleId="CommentText">
    <w:name w:val="annotation text"/>
    <w:basedOn w:val="Normal"/>
    <w:link w:val="CommentTextChar"/>
    <w:uiPriority w:val="99"/>
    <w:semiHidden/>
    <w:unhideWhenUsed/>
    <w:rsid w:val="00061B45"/>
    <w:pPr>
      <w:spacing w:line="240" w:lineRule="auto"/>
    </w:pPr>
    <w:rPr>
      <w:sz w:val="20"/>
      <w:szCs w:val="20"/>
    </w:rPr>
  </w:style>
  <w:style w:type="character" w:customStyle="1" w:styleId="CommentTextChar">
    <w:name w:val="Comment Text Char"/>
    <w:basedOn w:val="DefaultParagraphFont"/>
    <w:link w:val="CommentText"/>
    <w:uiPriority w:val="99"/>
    <w:semiHidden/>
    <w:rsid w:val="00061B45"/>
    <w:rPr>
      <w:sz w:val="20"/>
      <w:szCs w:val="20"/>
    </w:rPr>
  </w:style>
  <w:style w:type="paragraph" w:styleId="CommentSubject">
    <w:name w:val="annotation subject"/>
    <w:basedOn w:val="CommentText"/>
    <w:next w:val="CommentText"/>
    <w:link w:val="CommentSubjectChar"/>
    <w:uiPriority w:val="99"/>
    <w:semiHidden/>
    <w:unhideWhenUsed/>
    <w:rsid w:val="00061B45"/>
    <w:rPr>
      <w:b/>
      <w:bCs/>
    </w:rPr>
  </w:style>
  <w:style w:type="character" w:customStyle="1" w:styleId="CommentSubjectChar">
    <w:name w:val="Comment Subject Char"/>
    <w:basedOn w:val="CommentTextChar"/>
    <w:link w:val="CommentSubject"/>
    <w:uiPriority w:val="99"/>
    <w:semiHidden/>
    <w:rsid w:val="00061B45"/>
    <w:rPr>
      <w:b/>
      <w:bCs/>
      <w:sz w:val="20"/>
      <w:szCs w:val="20"/>
    </w:rPr>
  </w:style>
  <w:style w:type="paragraph" w:styleId="ListParagraph">
    <w:name w:val="List Paragraph"/>
    <w:basedOn w:val="Normal"/>
    <w:uiPriority w:val="34"/>
    <w:qFormat/>
    <w:rsid w:val="005F5732"/>
    <w:pPr>
      <w:ind w:left="720"/>
      <w:contextualSpacing/>
    </w:pPr>
  </w:style>
  <w:style w:type="paragraph" w:customStyle="1" w:styleId="Default">
    <w:name w:val="Default"/>
    <w:rsid w:val="004B6665"/>
    <w:pPr>
      <w:widowControl w:val="0"/>
      <w:autoSpaceDE w:val="0"/>
      <w:autoSpaceDN w:val="0"/>
      <w:adjustRightInd w:val="0"/>
      <w:spacing w:after="0" w:line="240" w:lineRule="auto"/>
    </w:pPr>
    <w:rPr>
      <w:rFonts w:ascii="Times New Roman"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7716">
      <w:bodyDiv w:val="1"/>
      <w:marLeft w:val="0"/>
      <w:marRight w:val="0"/>
      <w:marTop w:val="0"/>
      <w:marBottom w:val="0"/>
      <w:divBdr>
        <w:top w:val="none" w:sz="0" w:space="0" w:color="auto"/>
        <w:left w:val="none" w:sz="0" w:space="0" w:color="auto"/>
        <w:bottom w:val="none" w:sz="0" w:space="0" w:color="auto"/>
        <w:right w:val="none" w:sz="0" w:space="0" w:color="auto"/>
      </w:divBdr>
    </w:div>
    <w:div w:id="284963773">
      <w:bodyDiv w:val="1"/>
      <w:marLeft w:val="0"/>
      <w:marRight w:val="0"/>
      <w:marTop w:val="0"/>
      <w:marBottom w:val="0"/>
      <w:divBdr>
        <w:top w:val="none" w:sz="0" w:space="0" w:color="auto"/>
        <w:left w:val="none" w:sz="0" w:space="0" w:color="auto"/>
        <w:bottom w:val="none" w:sz="0" w:space="0" w:color="auto"/>
        <w:right w:val="none" w:sz="0" w:space="0" w:color="auto"/>
      </w:divBdr>
    </w:div>
    <w:div w:id="294651469">
      <w:bodyDiv w:val="1"/>
      <w:marLeft w:val="0"/>
      <w:marRight w:val="0"/>
      <w:marTop w:val="0"/>
      <w:marBottom w:val="0"/>
      <w:divBdr>
        <w:top w:val="none" w:sz="0" w:space="0" w:color="auto"/>
        <w:left w:val="none" w:sz="0" w:space="0" w:color="auto"/>
        <w:bottom w:val="none" w:sz="0" w:space="0" w:color="auto"/>
        <w:right w:val="none" w:sz="0" w:space="0" w:color="auto"/>
      </w:divBdr>
    </w:div>
    <w:div w:id="476919534">
      <w:bodyDiv w:val="1"/>
      <w:marLeft w:val="0"/>
      <w:marRight w:val="0"/>
      <w:marTop w:val="0"/>
      <w:marBottom w:val="0"/>
      <w:divBdr>
        <w:top w:val="none" w:sz="0" w:space="0" w:color="auto"/>
        <w:left w:val="none" w:sz="0" w:space="0" w:color="auto"/>
        <w:bottom w:val="none" w:sz="0" w:space="0" w:color="auto"/>
        <w:right w:val="none" w:sz="0" w:space="0" w:color="auto"/>
      </w:divBdr>
    </w:div>
    <w:div w:id="601299514">
      <w:bodyDiv w:val="1"/>
      <w:marLeft w:val="0"/>
      <w:marRight w:val="0"/>
      <w:marTop w:val="0"/>
      <w:marBottom w:val="0"/>
      <w:divBdr>
        <w:top w:val="none" w:sz="0" w:space="0" w:color="auto"/>
        <w:left w:val="none" w:sz="0" w:space="0" w:color="auto"/>
        <w:bottom w:val="none" w:sz="0" w:space="0" w:color="auto"/>
        <w:right w:val="none" w:sz="0" w:space="0" w:color="auto"/>
      </w:divBdr>
    </w:div>
    <w:div w:id="805048276">
      <w:bodyDiv w:val="1"/>
      <w:marLeft w:val="0"/>
      <w:marRight w:val="0"/>
      <w:marTop w:val="0"/>
      <w:marBottom w:val="0"/>
      <w:divBdr>
        <w:top w:val="none" w:sz="0" w:space="0" w:color="auto"/>
        <w:left w:val="none" w:sz="0" w:space="0" w:color="auto"/>
        <w:bottom w:val="none" w:sz="0" w:space="0" w:color="auto"/>
        <w:right w:val="none" w:sz="0" w:space="0" w:color="auto"/>
      </w:divBdr>
    </w:div>
    <w:div w:id="1089037565">
      <w:bodyDiv w:val="1"/>
      <w:marLeft w:val="0"/>
      <w:marRight w:val="0"/>
      <w:marTop w:val="0"/>
      <w:marBottom w:val="0"/>
      <w:divBdr>
        <w:top w:val="none" w:sz="0" w:space="0" w:color="auto"/>
        <w:left w:val="none" w:sz="0" w:space="0" w:color="auto"/>
        <w:bottom w:val="none" w:sz="0" w:space="0" w:color="auto"/>
        <w:right w:val="none" w:sz="0" w:space="0" w:color="auto"/>
      </w:divBdr>
    </w:div>
    <w:div w:id="1121074627">
      <w:bodyDiv w:val="1"/>
      <w:marLeft w:val="0"/>
      <w:marRight w:val="0"/>
      <w:marTop w:val="0"/>
      <w:marBottom w:val="0"/>
      <w:divBdr>
        <w:top w:val="none" w:sz="0" w:space="0" w:color="auto"/>
        <w:left w:val="none" w:sz="0" w:space="0" w:color="auto"/>
        <w:bottom w:val="none" w:sz="0" w:space="0" w:color="auto"/>
        <w:right w:val="none" w:sz="0" w:space="0" w:color="auto"/>
      </w:divBdr>
    </w:div>
    <w:div w:id="1267233864">
      <w:bodyDiv w:val="1"/>
      <w:marLeft w:val="0"/>
      <w:marRight w:val="0"/>
      <w:marTop w:val="0"/>
      <w:marBottom w:val="0"/>
      <w:divBdr>
        <w:top w:val="none" w:sz="0" w:space="0" w:color="auto"/>
        <w:left w:val="none" w:sz="0" w:space="0" w:color="auto"/>
        <w:bottom w:val="none" w:sz="0" w:space="0" w:color="auto"/>
        <w:right w:val="none" w:sz="0" w:space="0" w:color="auto"/>
      </w:divBdr>
    </w:div>
    <w:div w:id="1466779319">
      <w:bodyDiv w:val="1"/>
      <w:marLeft w:val="0"/>
      <w:marRight w:val="0"/>
      <w:marTop w:val="0"/>
      <w:marBottom w:val="0"/>
      <w:divBdr>
        <w:top w:val="none" w:sz="0" w:space="0" w:color="auto"/>
        <w:left w:val="none" w:sz="0" w:space="0" w:color="auto"/>
        <w:bottom w:val="none" w:sz="0" w:space="0" w:color="auto"/>
        <w:right w:val="none" w:sz="0" w:space="0" w:color="auto"/>
      </w:divBdr>
    </w:div>
    <w:div w:id="1616330282">
      <w:bodyDiv w:val="1"/>
      <w:marLeft w:val="0"/>
      <w:marRight w:val="0"/>
      <w:marTop w:val="0"/>
      <w:marBottom w:val="0"/>
      <w:divBdr>
        <w:top w:val="none" w:sz="0" w:space="0" w:color="auto"/>
        <w:left w:val="none" w:sz="0" w:space="0" w:color="auto"/>
        <w:bottom w:val="none" w:sz="0" w:space="0" w:color="auto"/>
        <w:right w:val="none" w:sz="0" w:space="0" w:color="auto"/>
      </w:divBdr>
    </w:div>
    <w:div w:id="1797219671">
      <w:bodyDiv w:val="1"/>
      <w:marLeft w:val="0"/>
      <w:marRight w:val="0"/>
      <w:marTop w:val="0"/>
      <w:marBottom w:val="0"/>
      <w:divBdr>
        <w:top w:val="none" w:sz="0" w:space="0" w:color="auto"/>
        <w:left w:val="none" w:sz="0" w:space="0" w:color="auto"/>
        <w:bottom w:val="none" w:sz="0" w:space="0" w:color="auto"/>
        <w:right w:val="none" w:sz="0" w:space="0" w:color="auto"/>
      </w:divBdr>
    </w:div>
    <w:div w:id="1906718647">
      <w:bodyDiv w:val="1"/>
      <w:marLeft w:val="0"/>
      <w:marRight w:val="0"/>
      <w:marTop w:val="0"/>
      <w:marBottom w:val="0"/>
      <w:divBdr>
        <w:top w:val="none" w:sz="0" w:space="0" w:color="auto"/>
        <w:left w:val="none" w:sz="0" w:space="0" w:color="auto"/>
        <w:bottom w:val="none" w:sz="0" w:space="0" w:color="auto"/>
        <w:right w:val="none" w:sz="0" w:space="0" w:color="auto"/>
      </w:divBdr>
    </w:div>
    <w:div w:id="21079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hdl.handle.net/10133/3068"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dsec.gov.mo/TimeSeriesDatabase.aspx"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sal.gov.mo/en/standard/download_statistics/folder/root.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evadaworkforce.com/Portals/197/Labor%20Market%20Overview/Current_Sub-State_Release.pdf" TargetMode="External"/><Relationship Id="rId4" Type="http://schemas.openxmlformats.org/officeDocument/2006/relationships/webSettings" Target="webSettings.xml"/><Relationship Id="rId9" Type="http://schemas.openxmlformats.org/officeDocument/2006/relationships/hyperlink" Target="https://hdl.handle.net/10133/55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C275E-05C5-4212-8637-1E166B14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9004</Words>
  <Characters>51327</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d.k.forrest</dc:creator>
  <cp:keywords/>
  <dc:description/>
  <cp:lastModifiedBy>Forrest, David</cp:lastModifiedBy>
  <cp:revision>2</cp:revision>
  <cp:lastPrinted>2020-01-20T06:46:00Z</cp:lastPrinted>
  <dcterms:created xsi:type="dcterms:W3CDTF">2020-03-04T13:30:00Z</dcterms:created>
  <dcterms:modified xsi:type="dcterms:W3CDTF">2020-03-04T13:30:00Z</dcterms:modified>
</cp:coreProperties>
</file>