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6B" w:rsidRDefault="00FB3C65" w:rsidP="00FB3C65">
      <w:pPr>
        <w:spacing w:line="480" w:lineRule="auto"/>
        <w:jc w:val="both"/>
        <w:rPr>
          <w:b/>
          <w:sz w:val="24"/>
          <w:szCs w:val="24"/>
        </w:rPr>
      </w:pPr>
      <w:r>
        <w:rPr>
          <w:b/>
          <w:sz w:val="24"/>
          <w:szCs w:val="24"/>
        </w:rPr>
        <w:t xml:space="preserve">FROM PARIS TO MONTREAL: </w:t>
      </w:r>
      <w:r w:rsidR="0094306B">
        <w:rPr>
          <w:b/>
          <w:sz w:val="24"/>
          <w:szCs w:val="24"/>
        </w:rPr>
        <w:t xml:space="preserve">DISEASE REGRESSION IS COMMON DURING LONG TERM FOLLOW-UP OF </w:t>
      </w:r>
      <w:r>
        <w:rPr>
          <w:b/>
          <w:sz w:val="24"/>
          <w:szCs w:val="24"/>
        </w:rPr>
        <w:t>P</w:t>
      </w:r>
      <w:r w:rsidR="00EB51E1">
        <w:rPr>
          <w:b/>
          <w:sz w:val="24"/>
          <w:szCs w:val="24"/>
        </w:rPr>
        <w:t>A</w:t>
      </w:r>
      <w:r>
        <w:rPr>
          <w:b/>
          <w:sz w:val="24"/>
          <w:szCs w:val="24"/>
        </w:rPr>
        <w:t xml:space="preserve">EDIATRIC CROHN’S DISEASE </w:t>
      </w:r>
    </w:p>
    <w:p w:rsidR="00FB3C65" w:rsidRPr="00113F3D" w:rsidRDefault="00FB3C65" w:rsidP="00FB3C65">
      <w:pPr>
        <w:spacing w:line="480" w:lineRule="auto"/>
        <w:jc w:val="both"/>
        <w:rPr>
          <w:sz w:val="24"/>
          <w:szCs w:val="24"/>
        </w:rPr>
      </w:pPr>
      <w:r w:rsidRPr="00113F3D">
        <w:rPr>
          <w:i/>
          <w:sz w:val="24"/>
          <w:szCs w:val="24"/>
        </w:rPr>
        <w:t>Mike Davies, MD</w:t>
      </w:r>
      <w:r w:rsidRPr="00113F3D">
        <w:rPr>
          <w:i/>
          <w:sz w:val="24"/>
          <w:szCs w:val="24"/>
          <w:vertAlign w:val="superscript"/>
        </w:rPr>
        <w:t>1</w:t>
      </w:r>
      <w:r w:rsidRPr="00113F3D">
        <w:rPr>
          <w:i/>
          <w:sz w:val="24"/>
          <w:szCs w:val="24"/>
        </w:rPr>
        <w:t>, Susanna Dodd, MD</w:t>
      </w:r>
      <w:r w:rsidRPr="00113F3D">
        <w:rPr>
          <w:i/>
          <w:sz w:val="24"/>
          <w:szCs w:val="24"/>
          <w:vertAlign w:val="superscript"/>
        </w:rPr>
        <w:t>2</w:t>
      </w:r>
      <w:r w:rsidRPr="00113F3D">
        <w:rPr>
          <w:i/>
          <w:sz w:val="24"/>
          <w:szCs w:val="24"/>
        </w:rPr>
        <w:t>, Morwenna Coultate, MD</w:t>
      </w:r>
      <w:r w:rsidRPr="00113F3D">
        <w:rPr>
          <w:i/>
          <w:sz w:val="24"/>
          <w:szCs w:val="24"/>
          <w:vertAlign w:val="superscript"/>
        </w:rPr>
        <w:t>1</w:t>
      </w:r>
      <w:r w:rsidRPr="00113F3D">
        <w:rPr>
          <w:i/>
          <w:sz w:val="24"/>
          <w:szCs w:val="24"/>
        </w:rPr>
        <w:t>, Andrew Ross, MD</w:t>
      </w:r>
      <w:r w:rsidRPr="00113F3D">
        <w:rPr>
          <w:i/>
          <w:sz w:val="24"/>
          <w:szCs w:val="24"/>
          <w:vertAlign w:val="superscript"/>
        </w:rPr>
        <w:t>1</w:t>
      </w:r>
      <w:r w:rsidRPr="00113F3D">
        <w:rPr>
          <w:i/>
          <w:sz w:val="24"/>
          <w:szCs w:val="24"/>
        </w:rPr>
        <w:t>, George Pears, MD</w:t>
      </w:r>
      <w:r w:rsidRPr="00113F3D">
        <w:rPr>
          <w:i/>
          <w:sz w:val="24"/>
          <w:szCs w:val="24"/>
          <w:vertAlign w:val="superscript"/>
        </w:rPr>
        <w:t>1</w:t>
      </w:r>
      <w:r w:rsidRPr="00113F3D">
        <w:rPr>
          <w:i/>
          <w:sz w:val="24"/>
          <w:szCs w:val="24"/>
        </w:rPr>
        <w:t>, Bruno Gnaneswaran, MD</w:t>
      </w:r>
      <w:r w:rsidRPr="00113F3D">
        <w:rPr>
          <w:i/>
          <w:sz w:val="24"/>
          <w:szCs w:val="24"/>
          <w:vertAlign w:val="superscript"/>
        </w:rPr>
        <w:t>1</w:t>
      </w:r>
      <w:r w:rsidRPr="00113F3D">
        <w:rPr>
          <w:i/>
          <w:sz w:val="24"/>
          <w:szCs w:val="24"/>
        </w:rPr>
        <w:t>, Christos Tzivinikos, MD</w:t>
      </w:r>
      <w:r w:rsidRPr="00113F3D">
        <w:rPr>
          <w:i/>
          <w:sz w:val="24"/>
          <w:szCs w:val="24"/>
          <w:vertAlign w:val="superscript"/>
        </w:rPr>
        <w:t>3</w:t>
      </w:r>
      <w:r w:rsidRPr="00113F3D">
        <w:rPr>
          <w:i/>
          <w:sz w:val="24"/>
          <w:szCs w:val="24"/>
        </w:rPr>
        <w:t>, Anastasia Kon</w:t>
      </w:r>
      <w:r>
        <w:rPr>
          <w:i/>
          <w:sz w:val="24"/>
          <w:szCs w:val="24"/>
        </w:rPr>
        <w:t>i</w:t>
      </w:r>
      <w:r w:rsidRPr="00113F3D">
        <w:rPr>
          <w:i/>
          <w:sz w:val="24"/>
          <w:szCs w:val="24"/>
        </w:rPr>
        <w:t>dar</w:t>
      </w:r>
      <w:r>
        <w:rPr>
          <w:i/>
          <w:sz w:val="24"/>
          <w:szCs w:val="24"/>
        </w:rPr>
        <w:t>i</w:t>
      </w:r>
      <w:r w:rsidRPr="00113F3D">
        <w:rPr>
          <w:i/>
          <w:sz w:val="24"/>
          <w:szCs w:val="24"/>
        </w:rPr>
        <w:t>, MD</w:t>
      </w:r>
      <w:r w:rsidRPr="00113F3D">
        <w:rPr>
          <w:i/>
          <w:sz w:val="24"/>
          <w:szCs w:val="24"/>
          <w:vertAlign w:val="superscript"/>
        </w:rPr>
        <w:t>3</w:t>
      </w:r>
      <w:r w:rsidRPr="00113F3D">
        <w:rPr>
          <w:i/>
          <w:sz w:val="24"/>
          <w:szCs w:val="24"/>
        </w:rPr>
        <w:t>, Jeng Cheng, MD</w:t>
      </w:r>
      <w:r w:rsidRPr="00113F3D">
        <w:rPr>
          <w:i/>
          <w:sz w:val="24"/>
          <w:szCs w:val="24"/>
          <w:vertAlign w:val="superscript"/>
        </w:rPr>
        <w:t>3</w:t>
      </w:r>
      <w:r w:rsidRPr="00113F3D">
        <w:rPr>
          <w:i/>
          <w:sz w:val="24"/>
          <w:szCs w:val="24"/>
        </w:rPr>
        <w:t>, Marcus Karl-Heinz Auth, MD</w:t>
      </w:r>
      <w:r w:rsidRPr="00113F3D">
        <w:rPr>
          <w:i/>
          <w:sz w:val="24"/>
          <w:szCs w:val="24"/>
          <w:vertAlign w:val="superscript"/>
        </w:rPr>
        <w:t>3, 4</w:t>
      </w:r>
      <w:r w:rsidRPr="00113F3D">
        <w:rPr>
          <w:i/>
          <w:sz w:val="24"/>
          <w:szCs w:val="24"/>
        </w:rPr>
        <w:t>, Fiona Cameron, MD</w:t>
      </w:r>
      <w:r w:rsidRPr="00113F3D">
        <w:rPr>
          <w:i/>
          <w:sz w:val="24"/>
          <w:szCs w:val="24"/>
          <w:vertAlign w:val="superscript"/>
        </w:rPr>
        <w:t>3</w:t>
      </w:r>
      <w:r w:rsidRPr="00113F3D">
        <w:rPr>
          <w:i/>
          <w:sz w:val="24"/>
          <w:szCs w:val="24"/>
        </w:rPr>
        <w:t>, Sarang Tamhne, MD</w:t>
      </w:r>
      <w:r w:rsidRPr="00113F3D">
        <w:rPr>
          <w:i/>
          <w:sz w:val="24"/>
          <w:szCs w:val="24"/>
          <w:vertAlign w:val="superscript"/>
        </w:rPr>
        <w:t>3</w:t>
      </w:r>
      <w:r w:rsidRPr="00113F3D">
        <w:rPr>
          <w:i/>
          <w:sz w:val="24"/>
          <w:szCs w:val="24"/>
        </w:rPr>
        <w:t>, Elizabeth Renji, MD</w:t>
      </w:r>
      <w:r w:rsidRPr="00113F3D">
        <w:rPr>
          <w:i/>
          <w:sz w:val="24"/>
          <w:szCs w:val="24"/>
          <w:vertAlign w:val="superscript"/>
        </w:rPr>
        <w:t>3</w:t>
      </w:r>
      <w:r w:rsidRPr="00113F3D">
        <w:rPr>
          <w:i/>
          <w:sz w:val="24"/>
          <w:szCs w:val="24"/>
        </w:rPr>
        <w:t xml:space="preserve">, Manjula </w:t>
      </w:r>
      <w:bookmarkStart w:id="0" w:name="_GoBack"/>
      <w:bookmarkEnd w:id="0"/>
      <w:r w:rsidRPr="00113F3D">
        <w:rPr>
          <w:i/>
          <w:sz w:val="24"/>
          <w:szCs w:val="24"/>
        </w:rPr>
        <w:t>Nair, MD</w:t>
      </w:r>
      <w:r w:rsidRPr="00113F3D">
        <w:rPr>
          <w:i/>
          <w:sz w:val="24"/>
          <w:szCs w:val="24"/>
          <w:vertAlign w:val="superscript"/>
        </w:rPr>
        <w:t>3</w:t>
      </w:r>
      <w:r w:rsidRPr="00113F3D">
        <w:rPr>
          <w:i/>
          <w:sz w:val="24"/>
          <w:szCs w:val="24"/>
        </w:rPr>
        <w:t>, Colin Baillie, MD</w:t>
      </w:r>
      <w:r w:rsidRPr="00113F3D">
        <w:rPr>
          <w:i/>
          <w:sz w:val="24"/>
          <w:szCs w:val="24"/>
          <w:vertAlign w:val="superscript"/>
        </w:rPr>
        <w:t>5</w:t>
      </w:r>
      <w:r w:rsidRPr="00113F3D">
        <w:rPr>
          <w:i/>
          <w:sz w:val="24"/>
          <w:szCs w:val="24"/>
        </w:rPr>
        <w:t>, Paul Collins, MD</w:t>
      </w:r>
      <w:r w:rsidRPr="00113F3D">
        <w:rPr>
          <w:i/>
          <w:sz w:val="24"/>
          <w:szCs w:val="24"/>
          <w:vertAlign w:val="superscript"/>
        </w:rPr>
        <w:t>1</w:t>
      </w:r>
      <w:r w:rsidRPr="00113F3D">
        <w:rPr>
          <w:i/>
          <w:sz w:val="24"/>
          <w:szCs w:val="24"/>
        </w:rPr>
        <w:t>, Philip J Smith, MD</w:t>
      </w:r>
      <w:r w:rsidRPr="00113F3D">
        <w:rPr>
          <w:i/>
          <w:sz w:val="24"/>
          <w:szCs w:val="24"/>
          <w:vertAlign w:val="superscript"/>
        </w:rPr>
        <w:t>1</w:t>
      </w:r>
      <w:r w:rsidRPr="00113F3D">
        <w:rPr>
          <w:i/>
          <w:sz w:val="24"/>
          <w:szCs w:val="24"/>
        </w:rPr>
        <w:t>, Sreedhar Subramanian, MD</w:t>
      </w:r>
      <w:r w:rsidRPr="00113F3D">
        <w:rPr>
          <w:i/>
          <w:sz w:val="24"/>
          <w:szCs w:val="24"/>
          <w:vertAlign w:val="superscript"/>
        </w:rPr>
        <w:t>1, 4*</w:t>
      </w:r>
    </w:p>
    <w:p w:rsidR="00FB3C65" w:rsidRPr="00113F3D" w:rsidRDefault="00FB3C65" w:rsidP="00FB3C65">
      <w:pPr>
        <w:spacing w:line="480" w:lineRule="auto"/>
        <w:jc w:val="both"/>
        <w:rPr>
          <w:sz w:val="24"/>
          <w:szCs w:val="24"/>
        </w:rPr>
      </w:pPr>
      <w:r w:rsidRPr="00113F3D">
        <w:rPr>
          <w:sz w:val="24"/>
          <w:szCs w:val="24"/>
          <w:vertAlign w:val="superscript"/>
        </w:rPr>
        <w:t>1</w:t>
      </w:r>
      <w:r w:rsidRPr="00113F3D">
        <w:rPr>
          <w:sz w:val="24"/>
          <w:szCs w:val="24"/>
        </w:rPr>
        <w:t>Department of Gastroenterology, Royal Liverpool and Broadgreen University Hospital NHS Trust, Liverpool, UK</w:t>
      </w:r>
    </w:p>
    <w:p w:rsidR="00FB3C65" w:rsidRPr="00113F3D" w:rsidRDefault="00FB3C65" w:rsidP="00FB3C65">
      <w:pPr>
        <w:spacing w:line="480" w:lineRule="auto"/>
        <w:jc w:val="both"/>
        <w:rPr>
          <w:sz w:val="24"/>
          <w:szCs w:val="24"/>
        </w:rPr>
      </w:pPr>
      <w:r w:rsidRPr="00113F3D">
        <w:rPr>
          <w:sz w:val="24"/>
          <w:szCs w:val="24"/>
          <w:vertAlign w:val="superscript"/>
        </w:rPr>
        <w:t>2</w:t>
      </w:r>
      <w:r w:rsidRPr="00113F3D">
        <w:rPr>
          <w:sz w:val="24"/>
          <w:szCs w:val="24"/>
        </w:rPr>
        <w:t>Department of Biostatistics, University of Liverpool, Liverpool, UK</w:t>
      </w:r>
    </w:p>
    <w:p w:rsidR="00FB3C65" w:rsidRPr="00113F3D" w:rsidRDefault="00FB3C65" w:rsidP="00FB3C65">
      <w:pPr>
        <w:spacing w:line="480" w:lineRule="auto"/>
        <w:jc w:val="both"/>
        <w:rPr>
          <w:sz w:val="24"/>
          <w:szCs w:val="24"/>
        </w:rPr>
      </w:pPr>
      <w:r w:rsidRPr="00113F3D">
        <w:rPr>
          <w:sz w:val="24"/>
          <w:szCs w:val="24"/>
          <w:vertAlign w:val="superscript"/>
        </w:rPr>
        <w:t>3</w:t>
      </w:r>
      <w:r w:rsidRPr="00113F3D">
        <w:rPr>
          <w:sz w:val="24"/>
          <w:szCs w:val="24"/>
        </w:rPr>
        <w:t>Pediatric Gastroenterology, Hepatology and Nutrition, Alder Hey Children’s NHS Foundation Trust, Liverpool, UK</w:t>
      </w:r>
    </w:p>
    <w:p w:rsidR="00FB3C65" w:rsidRPr="00113F3D" w:rsidRDefault="00FB3C65" w:rsidP="00FB3C65">
      <w:pPr>
        <w:spacing w:line="480" w:lineRule="auto"/>
        <w:jc w:val="both"/>
        <w:rPr>
          <w:sz w:val="24"/>
          <w:szCs w:val="24"/>
        </w:rPr>
      </w:pPr>
      <w:r w:rsidRPr="00113F3D">
        <w:rPr>
          <w:sz w:val="24"/>
          <w:szCs w:val="24"/>
          <w:vertAlign w:val="superscript"/>
        </w:rPr>
        <w:t>4</w:t>
      </w:r>
      <w:r w:rsidRPr="00113F3D">
        <w:rPr>
          <w:sz w:val="24"/>
          <w:szCs w:val="24"/>
        </w:rPr>
        <w:t>University of Liverpool, Liverpool, UK</w:t>
      </w:r>
    </w:p>
    <w:p w:rsidR="00FB3C65" w:rsidRPr="00113F3D" w:rsidRDefault="00FB3C65" w:rsidP="00FB3C65">
      <w:pPr>
        <w:spacing w:line="480" w:lineRule="auto"/>
        <w:jc w:val="both"/>
        <w:rPr>
          <w:sz w:val="24"/>
          <w:szCs w:val="24"/>
        </w:rPr>
      </w:pPr>
      <w:r w:rsidRPr="00113F3D">
        <w:rPr>
          <w:sz w:val="24"/>
          <w:szCs w:val="24"/>
          <w:vertAlign w:val="superscript"/>
        </w:rPr>
        <w:t>5</w:t>
      </w:r>
      <w:r w:rsidRPr="00113F3D">
        <w:rPr>
          <w:sz w:val="24"/>
          <w:szCs w:val="24"/>
        </w:rPr>
        <w:t>Department of Surgery, Alder Hey Children’s NHS Foundation Trust, Liverpool, UK</w:t>
      </w:r>
    </w:p>
    <w:p w:rsidR="00FB3C65" w:rsidRPr="00113F3D" w:rsidRDefault="00FB3C65" w:rsidP="00FB3C65">
      <w:pPr>
        <w:spacing w:line="480" w:lineRule="auto"/>
        <w:jc w:val="both"/>
        <w:rPr>
          <w:sz w:val="24"/>
          <w:szCs w:val="24"/>
          <w:u w:val="single"/>
        </w:rPr>
      </w:pPr>
      <w:r w:rsidRPr="00113F3D">
        <w:rPr>
          <w:sz w:val="24"/>
          <w:szCs w:val="24"/>
          <w:u w:val="single"/>
        </w:rPr>
        <w:t>*Corresponding Author:</w:t>
      </w:r>
    </w:p>
    <w:p w:rsidR="00FB3C65" w:rsidRPr="00113F3D" w:rsidRDefault="00FB3C65" w:rsidP="00FB3C65">
      <w:pPr>
        <w:spacing w:line="480" w:lineRule="auto"/>
        <w:jc w:val="both"/>
        <w:rPr>
          <w:sz w:val="24"/>
          <w:szCs w:val="24"/>
        </w:rPr>
      </w:pPr>
      <w:r w:rsidRPr="00113F3D">
        <w:rPr>
          <w:sz w:val="24"/>
          <w:szCs w:val="24"/>
        </w:rPr>
        <w:t>Dr Sreedhar Subramanian, Consultant Gastroenterologist and Honorary Senior Lecturer</w:t>
      </w:r>
    </w:p>
    <w:p w:rsidR="00FB3C65" w:rsidRPr="00113F3D" w:rsidRDefault="00FB3C65" w:rsidP="00FB3C65">
      <w:pPr>
        <w:spacing w:line="480" w:lineRule="auto"/>
        <w:jc w:val="both"/>
        <w:rPr>
          <w:sz w:val="24"/>
          <w:szCs w:val="24"/>
        </w:rPr>
      </w:pPr>
      <w:r w:rsidRPr="00113F3D">
        <w:rPr>
          <w:sz w:val="24"/>
          <w:szCs w:val="24"/>
        </w:rPr>
        <w:t>Department of Gastroenterology</w:t>
      </w:r>
    </w:p>
    <w:p w:rsidR="00FB3C65" w:rsidRPr="00113F3D" w:rsidRDefault="00FB3C65" w:rsidP="00FB3C65">
      <w:pPr>
        <w:spacing w:line="480" w:lineRule="auto"/>
        <w:jc w:val="both"/>
        <w:rPr>
          <w:sz w:val="24"/>
          <w:szCs w:val="24"/>
        </w:rPr>
      </w:pPr>
      <w:r w:rsidRPr="00113F3D">
        <w:rPr>
          <w:sz w:val="24"/>
          <w:szCs w:val="24"/>
        </w:rPr>
        <w:t>Royal Liverpool and Broadgreen University Hospital Trust and University of Liverpool</w:t>
      </w:r>
    </w:p>
    <w:p w:rsidR="00FB3C65" w:rsidRPr="00113F3D" w:rsidRDefault="00FB3C65" w:rsidP="00FB3C65">
      <w:pPr>
        <w:spacing w:line="480" w:lineRule="auto"/>
        <w:jc w:val="both"/>
        <w:rPr>
          <w:sz w:val="24"/>
          <w:szCs w:val="24"/>
        </w:rPr>
      </w:pPr>
      <w:r w:rsidRPr="00113F3D">
        <w:rPr>
          <w:sz w:val="24"/>
          <w:szCs w:val="24"/>
        </w:rPr>
        <w:t>Prescot Street</w:t>
      </w:r>
    </w:p>
    <w:p w:rsidR="00FB3C65" w:rsidRPr="00113F3D" w:rsidRDefault="00FB3C65" w:rsidP="00FB3C65">
      <w:pPr>
        <w:spacing w:line="480" w:lineRule="auto"/>
        <w:jc w:val="both"/>
        <w:rPr>
          <w:sz w:val="24"/>
          <w:szCs w:val="24"/>
        </w:rPr>
      </w:pPr>
      <w:r w:rsidRPr="00113F3D">
        <w:rPr>
          <w:sz w:val="24"/>
          <w:szCs w:val="24"/>
        </w:rPr>
        <w:t>Liverpool</w:t>
      </w:r>
    </w:p>
    <w:p w:rsidR="00FB3C65" w:rsidRPr="00113F3D" w:rsidRDefault="00FB3C65" w:rsidP="00FB3C65">
      <w:pPr>
        <w:spacing w:line="480" w:lineRule="auto"/>
        <w:jc w:val="both"/>
        <w:rPr>
          <w:sz w:val="24"/>
          <w:szCs w:val="24"/>
        </w:rPr>
      </w:pPr>
      <w:r w:rsidRPr="00113F3D">
        <w:rPr>
          <w:sz w:val="24"/>
          <w:szCs w:val="24"/>
        </w:rPr>
        <w:t>UK</w:t>
      </w:r>
    </w:p>
    <w:p w:rsidR="00FB3C65" w:rsidRPr="00113F3D" w:rsidRDefault="0041504E" w:rsidP="00FB3C65">
      <w:pPr>
        <w:spacing w:line="480" w:lineRule="auto"/>
        <w:jc w:val="both"/>
        <w:rPr>
          <w:sz w:val="24"/>
          <w:szCs w:val="24"/>
        </w:rPr>
      </w:pPr>
      <w:hyperlink r:id="rId7" w:history="1">
        <w:r w:rsidR="00FB3C65" w:rsidRPr="00113F3D">
          <w:rPr>
            <w:rStyle w:val="Hyperlink"/>
            <w:sz w:val="24"/>
            <w:szCs w:val="24"/>
          </w:rPr>
          <w:t>sreedhar.subramanian@rlbuht.ns.uk</w:t>
        </w:r>
      </w:hyperlink>
    </w:p>
    <w:p w:rsidR="00FB3C65" w:rsidRPr="00113F3D" w:rsidRDefault="00FB3C65" w:rsidP="00FB3C65">
      <w:pPr>
        <w:spacing w:line="480" w:lineRule="auto"/>
        <w:jc w:val="both"/>
        <w:rPr>
          <w:sz w:val="24"/>
          <w:szCs w:val="24"/>
        </w:rPr>
      </w:pPr>
      <w:r w:rsidRPr="00113F3D">
        <w:rPr>
          <w:sz w:val="24"/>
          <w:szCs w:val="24"/>
        </w:rPr>
        <w:t>Tel: 0151 706 2000</w:t>
      </w:r>
    </w:p>
    <w:p w:rsidR="00FB3C65" w:rsidRPr="00113F3D" w:rsidRDefault="00FB3C65" w:rsidP="00FB3C65">
      <w:pPr>
        <w:rPr>
          <w:sz w:val="24"/>
          <w:szCs w:val="24"/>
        </w:rPr>
      </w:pPr>
    </w:p>
    <w:p w:rsidR="00FB3C65" w:rsidRPr="00113F3D" w:rsidRDefault="00FB3C65" w:rsidP="00FB3C65">
      <w:pPr>
        <w:rPr>
          <w:sz w:val="24"/>
          <w:szCs w:val="24"/>
        </w:rPr>
      </w:pPr>
      <w:r w:rsidRPr="00113F3D">
        <w:rPr>
          <w:sz w:val="24"/>
          <w:szCs w:val="24"/>
        </w:rPr>
        <w:t>Sources of funding and support: nil</w:t>
      </w:r>
    </w:p>
    <w:p w:rsidR="00FB3C65" w:rsidRPr="00113F3D" w:rsidRDefault="00FB3C65" w:rsidP="00FB3C65">
      <w:pPr>
        <w:rPr>
          <w:sz w:val="24"/>
          <w:szCs w:val="24"/>
        </w:rPr>
      </w:pPr>
    </w:p>
    <w:p w:rsidR="00FB3C65" w:rsidRPr="00113F3D" w:rsidRDefault="00FB3C65" w:rsidP="00FB3C65">
      <w:pPr>
        <w:rPr>
          <w:sz w:val="24"/>
          <w:szCs w:val="24"/>
        </w:rPr>
      </w:pPr>
      <w:r w:rsidRPr="00113F3D">
        <w:rPr>
          <w:sz w:val="24"/>
          <w:szCs w:val="24"/>
        </w:rPr>
        <w:t>URL (website address) and trial identification number: N/A</w:t>
      </w:r>
    </w:p>
    <w:p w:rsidR="00FB3C65" w:rsidRPr="00113F3D" w:rsidRDefault="00FB3C65" w:rsidP="00FB3C65">
      <w:pPr>
        <w:rPr>
          <w:sz w:val="24"/>
          <w:szCs w:val="24"/>
        </w:rPr>
      </w:pPr>
    </w:p>
    <w:p w:rsidR="00FB3C65" w:rsidRPr="00113F3D" w:rsidRDefault="00FB3C65" w:rsidP="00FB3C65">
      <w:pPr>
        <w:rPr>
          <w:sz w:val="24"/>
          <w:szCs w:val="24"/>
        </w:rPr>
      </w:pPr>
    </w:p>
    <w:p w:rsidR="00FB3C65" w:rsidRDefault="00FB3C65" w:rsidP="00FB3C65">
      <w:pPr>
        <w:spacing w:line="480" w:lineRule="auto"/>
        <w:rPr>
          <w:sz w:val="24"/>
          <w:szCs w:val="24"/>
        </w:rPr>
      </w:pPr>
      <w:r w:rsidRPr="00113F3D">
        <w:rPr>
          <w:sz w:val="24"/>
          <w:szCs w:val="24"/>
        </w:rPr>
        <w:t>All authors concur with the submission. The material submitted for publication is not under consideration for publication elsewhere.</w:t>
      </w:r>
    </w:p>
    <w:p w:rsidR="00FB3C65" w:rsidRPr="00113F3D" w:rsidRDefault="00FB3C65" w:rsidP="00FB3C65">
      <w:pPr>
        <w:spacing w:line="480" w:lineRule="auto"/>
        <w:rPr>
          <w:sz w:val="24"/>
          <w:szCs w:val="24"/>
        </w:rPr>
      </w:pPr>
    </w:p>
    <w:p w:rsidR="00FB3C65" w:rsidRPr="00113F3D" w:rsidRDefault="00FB3C65" w:rsidP="00FB3C65">
      <w:pPr>
        <w:spacing w:line="480" w:lineRule="auto"/>
        <w:rPr>
          <w:sz w:val="24"/>
          <w:szCs w:val="24"/>
        </w:rPr>
      </w:pPr>
      <w:r w:rsidRPr="00113F3D">
        <w:rPr>
          <w:sz w:val="24"/>
          <w:szCs w:val="24"/>
        </w:rPr>
        <w:t>Word Count: 2075</w:t>
      </w:r>
    </w:p>
    <w:p w:rsidR="00FB3C65" w:rsidRPr="00113F3D" w:rsidRDefault="00FB3C65" w:rsidP="00FB3C65">
      <w:pPr>
        <w:spacing w:line="480" w:lineRule="auto"/>
        <w:rPr>
          <w:sz w:val="24"/>
          <w:szCs w:val="24"/>
        </w:rPr>
      </w:pPr>
      <w:r w:rsidRPr="00113F3D">
        <w:rPr>
          <w:sz w:val="24"/>
          <w:szCs w:val="24"/>
        </w:rPr>
        <w:t>Number of Tables:</w:t>
      </w:r>
      <w:r>
        <w:rPr>
          <w:sz w:val="24"/>
          <w:szCs w:val="24"/>
        </w:rPr>
        <w:t xml:space="preserve"> 1</w:t>
      </w:r>
    </w:p>
    <w:p w:rsidR="00FB3C65" w:rsidRPr="00113F3D" w:rsidRDefault="00FB3C65" w:rsidP="00FB3C65">
      <w:pPr>
        <w:spacing w:line="480" w:lineRule="auto"/>
        <w:rPr>
          <w:sz w:val="24"/>
          <w:szCs w:val="24"/>
        </w:rPr>
      </w:pPr>
      <w:r w:rsidRPr="00113F3D">
        <w:rPr>
          <w:sz w:val="24"/>
          <w:szCs w:val="24"/>
        </w:rPr>
        <w:t>Number of Figures:</w:t>
      </w:r>
      <w:r>
        <w:rPr>
          <w:sz w:val="24"/>
          <w:szCs w:val="24"/>
        </w:rPr>
        <w:t xml:space="preserve"> 3</w:t>
      </w:r>
    </w:p>
    <w:p w:rsidR="00FB3C65" w:rsidRPr="00113F3D" w:rsidRDefault="00FB3C65" w:rsidP="00FB3C65">
      <w:pPr>
        <w:spacing w:line="480" w:lineRule="auto"/>
        <w:rPr>
          <w:b/>
          <w:sz w:val="24"/>
          <w:szCs w:val="24"/>
        </w:rPr>
      </w:pPr>
      <w:r w:rsidRPr="00113F3D">
        <w:rPr>
          <w:b/>
          <w:sz w:val="24"/>
          <w:szCs w:val="24"/>
        </w:rPr>
        <w:t>Conflicts of Interest and Source of Funding</w:t>
      </w:r>
    </w:p>
    <w:p w:rsidR="00FB3C65" w:rsidRDefault="00FB3C65" w:rsidP="00FB3C65">
      <w:pPr>
        <w:spacing w:line="480" w:lineRule="auto"/>
        <w:jc w:val="both"/>
        <w:rPr>
          <w:sz w:val="24"/>
          <w:szCs w:val="24"/>
        </w:rPr>
      </w:pPr>
      <w:r w:rsidRPr="00113F3D">
        <w:rPr>
          <w:sz w:val="24"/>
          <w:szCs w:val="24"/>
        </w:rPr>
        <w:t xml:space="preserve">SS has received speaker fee from MSD, Actavis, Abbvie, Dr Falk pharmaceuticals, Shire and received educational grant from MSD, Abbvie, Actavis and is an advisory board member for Abbvie, Dr Falk pharmaceutics, Janssen and Vifor pharmaceuticals. MKHA has received speaker fees from Abbvie, and travel grants from Abbvie, Dr Falk pharmaceuticals, MSD/Janssen and Nutricia. CT has received speaker fees from Abbvie, Sanofi, Nutricia, Nestle and received travel grants from Abbvie and Merck. PC has received speaker fees from Shire, Abbvie, MSD, Warner-Chillcott and Falk pharma. He has received educational grants from Warner Chilcott, MSD and Ferring pharmaceuticals. He has served as an Advisory Board </w:t>
      </w:r>
      <w:r w:rsidRPr="00113F3D">
        <w:rPr>
          <w:sz w:val="24"/>
          <w:szCs w:val="24"/>
        </w:rPr>
        <w:lastRenderedPageBreak/>
        <w:t>member for Falk pharma. PJS has received speaker fees from Abbvie and Janssen. MD, AK, AR, MC, BG, JC, FC, ST, ER, CB, MVN and GP report no conflicts of interest.</w:t>
      </w:r>
    </w:p>
    <w:p w:rsidR="00FB3C65" w:rsidRDefault="00FB3C65" w:rsidP="00FB3C65">
      <w:pPr>
        <w:spacing w:line="480" w:lineRule="auto"/>
        <w:jc w:val="both"/>
        <w:rPr>
          <w:sz w:val="24"/>
          <w:szCs w:val="24"/>
        </w:rPr>
      </w:pPr>
    </w:p>
    <w:p w:rsidR="00FB3C65" w:rsidRPr="00113F3D" w:rsidRDefault="00FB3C65" w:rsidP="00FB3C65">
      <w:pPr>
        <w:spacing w:line="480" w:lineRule="auto"/>
        <w:jc w:val="both"/>
        <w:rPr>
          <w:sz w:val="24"/>
          <w:szCs w:val="24"/>
        </w:rPr>
      </w:pPr>
    </w:p>
    <w:p w:rsidR="00FB3C65" w:rsidRDefault="00FB3C65" w:rsidP="00FB3C65">
      <w:pPr>
        <w:spacing w:line="480" w:lineRule="auto"/>
        <w:jc w:val="both"/>
        <w:rPr>
          <w:sz w:val="24"/>
          <w:szCs w:val="24"/>
        </w:rPr>
      </w:pPr>
      <w:r w:rsidRPr="00113F3D">
        <w:rPr>
          <w:sz w:val="24"/>
          <w:szCs w:val="24"/>
        </w:rPr>
        <w:t>This study did not receive any funding support</w:t>
      </w:r>
    </w:p>
    <w:p w:rsidR="00FB3C65" w:rsidRDefault="00FB3C65" w:rsidP="00FB3C65">
      <w:pPr>
        <w:spacing w:line="480" w:lineRule="auto"/>
        <w:jc w:val="both"/>
        <w:rPr>
          <w:sz w:val="24"/>
          <w:szCs w:val="24"/>
        </w:rPr>
      </w:pPr>
    </w:p>
    <w:p w:rsidR="00FB3C65" w:rsidRPr="00113F3D" w:rsidRDefault="00FB3C65" w:rsidP="00FB3C65">
      <w:pPr>
        <w:spacing w:line="480" w:lineRule="auto"/>
        <w:jc w:val="both"/>
        <w:rPr>
          <w:sz w:val="24"/>
          <w:szCs w:val="24"/>
        </w:rPr>
      </w:pPr>
    </w:p>
    <w:p w:rsidR="00FB3C65" w:rsidRPr="00113F3D" w:rsidRDefault="00FB3C65" w:rsidP="00FB3C65">
      <w:pPr>
        <w:spacing w:line="480" w:lineRule="auto"/>
        <w:jc w:val="both"/>
        <w:rPr>
          <w:sz w:val="24"/>
          <w:szCs w:val="24"/>
        </w:rPr>
      </w:pPr>
      <w:r w:rsidRPr="00BF6617">
        <w:rPr>
          <w:b/>
          <w:sz w:val="24"/>
          <w:szCs w:val="24"/>
        </w:rPr>
        <w:t>Author contributions:</w:t>
      </w:r>
      <w:r w:rsidRPr="00113F3D">
        <w:rPr>
          <w:sz w:val="24"/>
          <w:szCs w:val="24"/>
        </w:rPr>
        <w:t xml:space="preserve"> MD, AR, MC, BG, GP and AK were involved in data collection and drafting of the manuscript. SS, JC and AK were involved in data analysis, drafting and final revision of the manuscript. SS and MD were involved in study design, data collection, analysis, drafting and revision of the manuscript. PC, PJS, MKHA, CT, ST, ER, CB and MVN were involved in the drafting of the final manuscript.</w:t>
      </w:r>
    </w:p>
    <w:p w:rsidR="00FB3C65" w:rsidRDefault="00FB3C65" w:rsidP="00FB3C65">
      <w:pPr>
        <w:spacing w:line="480" w:lineRule="auto"/>
        <w:jc w:val="both"/>
      </w:pPr>
    </w:p>
    <w:p w:rsidR="00FB3C65" w:rsidRPr="00B24FD0" w:rsidRDefault="00FB3C65" w:rsidP="00FB3C65">
      <w:pPr>
        <w:spacing w:line="480" w:lineRule="auto"/>
        <w:jc w:val="both"/>
      </w:pPr>
    </w:p>
    <w:p w:rsidR="00FB3C65" w:rsidRPr="00147D9E" w:rsidRDefault="00FB3C65" w:rsidP="00FB3C65">
      <w:pPr>
        <w:spacing w:line="480" w:lineRule="auto"/>
        <w:jc w:val="both"/>
        <w:rPr>
          <w:sz w:val="24"/>
          <w:szCs w:val="24"/>
        </w:rPr>
      </w:pPr>
      <w:r>
        <w:rPr>
          <w:sz w:val="24"/>
          <w:szCs w:val="24"/>
        </w:rPr>
        <w:t xml:space="preserve"> </w:t>
      </w:r>
    </w:p>
    <w:p w:rsidR="00FB3C65" w:rsidRDefault="00FB3C65" w:rsidP="002D67DB">
      <w:pPr>
        <w:spacing w:line="480" w:lineRule="auto"/>
        <w:jc w:val="both"/>
        <w:rPr>
          <w:b/>
          <w:sz w:val="24"/>
          <w:szCs w:val="24"/>
        </w:rPr>
      </w:pPr>
    </w:p>
    <w:p w:rsidR="00FB3C65" w:rsidRDefault="00FB3C65" w:rsidP="002D67DB">
      <w:pPr>
        <w:spacing w:line="480" w:lineRule="auto"/>
        <w:jc w:val="both"/>
        <w:rPr>
          <w:b/>
          <w:sz w:val="24"/>
          <w:szCs w:val="24"/>
        </w:rPr>
      </w:pPr>
    </w:p>
    <w:p w:rsidR="00FB3C65" w:rsidRDefault="00FB3C65" w:rsidP="002D67DB">
      <w:pPr>
        <w:spacing w:line="480" w:lineRule="auto"/>
        <w:jc w:val="both"/>
        <w:rPr>
          <w:b/>
          <w:sz w:val="24"/>
          <w:szCs w:val="24"/>
        </w:rPr>
      </w:pPr>
    </w:p>
    <w:p w:rsidR="00FB3C65" w:rsidRDefault="00FB3C65" w:rsidP="002D67DB">
      <w:pPr>
        <w:spacing w:line="480" w:lineRule="auto"/>
        <w:jc w:val="both"/>
        <w:rPr>
          <w:b/>
          <w:sz w:val="24"/>
          <w:szCs w:val="24"/>
        </w:rPr>
      </w:pPr>
    </w:p>
    <w:p w:rsidR="00FB3C65" w:rsidRDefault="00FB3C65" w:rsidP="002D67DB">
      <w:pPr>
        <w:spacing w:line="480" w:lineRule="auto"/>
        <w:jc w:val="both"/>
        <w:rPr>
          <w:b/>
          <w:sz w:val="24"/>
          <w:szCs w:val="24"/>
        </w:rPr>
      </w:pPr>
    </w:p>
    <w:p w:rsidR="002D67DB" w:rsidRPr="0053417E" w:rsidRDefault="002D67DB" w:rsidP="002D67DB">
      <w:pPr>
        <w:spacing w:line="480" w:lineRule="auto"/>
        <w:jc w:val="both"/>
        <w:rPr>
          <w:b/>
          <w:sz w:val="24"/>
          <w:szCs w:val="24"/>
        </w:rPr>
      </w:pPr>
      <w:r w:rsidRPr="000753E4">
        <w:rPr>
          <w:b/>
          <w:sz w:val="24"/>
          <w:szCs w:val="24"/>
        </w:rPr>
        <w:lastRenderedPageBreak/>
        <w:t>Abstract</w:t>
      </w:r>
    </w:p>
    <w:p w:rsidR="002D67DB" w:rsidRPr="000753E4" w:rsidRDefault="002D67DB" w:rsidP="002D67DB">
      <w:pPr>
        <w:spacing w:line="480" w:lineRule="auto"/>
        <w:jc w:val="both"/>
        <w:rPr>
          <w:b/>
          <w:sz w:val="24"/>
          <w:szCs w:val="24"/>
        </w:rPr>
      </w:pPr>
      <w:r w:rsidRPr="000753E4">
        <w:rPr>
          <w:b/>
          <w:sz w:val="24"/>
          <w:szCs w:val="24"/>
        </w:rPr>
        <w:t>Introduction</w:t>
      </w:r>
    </w:p>
    <w:p w:rsidR="002D67DB" w:rsidRPr="000753E4" w:rsidRDefault="002D67DB" w:rsidP="002D67DB">
      <w:pPr>
        <w:spacing w:line="480" w:lineRule="auto"/>
        <w:jc w:val="both"/>
        <w:rPr>
          <w:sz w:val="24"/>
          <w:szCs w:val="24"/>
        </w:rPr>
      </w:pPr>
      <w:r>
        <w:rPr>
          <w:sz w:val="24"/>
          <w:szCs w:val="24"/>
        </w:rPr>
        <w:t xml:space="preserve">Paediatric Crohn’s disease (PCD) often presents with extensive and a frequent pan-enteric phenotype at onset. However, its long term evolution in to adulthood, especially since the widespread use of biological agents, is not well characterised. We conducted a single centre cohort study of all PCD patients transitioned to adult care to assess the long term disease evolution in the era of biologic therapy.  </w:t>
      </w:r>
    </w:p>
    <w:p w:rsidR="002D67DB" w:rsidRPr="000753E4" w:rsidRDefault="002D67DB" w:rsidP="002D67DB">
      <w:pPr>
        <w:spacing w:line="480" w:lineRule="auto"/>
        <w:jc w:val="both"/>
        <w:rPr>
          <w:b/>
          <w:sz w:val="24"/>
          <w:szCs w:val="24"/>
        </w:rPr>
      </w:pPr>
      <w:r w:rsidRPr="000753E4">
        <w:rPr>
          <w:b/>
          <w:sz w:val="24"/>
          <w:szCs w:val="24"/>
        </w:rPr>
        <w:t>Method</w:t>
      </w:r>
      <w:r w:rsidR="0017304B">
        <w:rPr>
          <w:b/>
          <w:sz w:val="24"/>
          <w:szCs w:val="24"/>
        </w:rPr>
        <w:t>s</w:t>
      </w:r>
    </w:p>
    <w:p w:rsidR="002D67DB" w:rsidRPr="000753E4" w:rsidRDefault="002D67DB" w:rsidP="002D67DB">
      <w:pPr>
        <w:spacing w:line="480" w:lineRule="auto"/>
        <w:jc w:val="both"/>
        <w:rPr>
          <w:sz w:val="24"/>
          <w:szCs w:val="24"/>
        </w:rPr>
      </w:pPr>
      <w:r w:rsidRPr="000753E4">
        <w:rPr>
          <w:sz w:val="24"/>
          <w:szCs w:val="24"/>
        </w:rPr>
        <w:t xml:space="preserve">We conducted a </w:t>
      </w:r>
      <w:r>
        <w:rPr>
          <w:sz w:val="24"/>
          <w:szCs w:val="24"/>
        </w:rPr>
        <w:t>retros</w:t>
      </w:r>
      <w:r w:rsidRPr="000753E4">
        <w:rPr>
          <w:sz w:val="24"/>
          <w:szCs w:val="24"/>
        </w:rPr>
        <w:t>pective observational</w:t>
      </w:r>
      <w:r>
        <w:rPr>
          <w:sz w:val="24"/>
          <w:szCs w:val="24"/>
        </w:rPr>
        <w:t xml:space="preserve">, </w:t>
      </w:r>
      <w:r w:rsidRPr="000753E4">
        <w:rPr>
          <w:sz w:val="24"/>
          <w:szCs w:val="24"/>
        </w:rPr>
        <w:t xml:space="preserve">study of all </w:t>
      </w:r>
      <w:r>
        <w:rPr>
          <w:sz w:val="24"/>
          <w:szCs w:val="24"/>
        </w:rPr>
        <w:t xml:space="preserve">PCD </w:t>
      </w:r>
      <w:r w:rsidRPr="000753E4">
        <w:rPr>
          <w:sz w:val="24"/>
          <w:szCs w:val="24"/>
        </w:rPr>
        <w:t xml:space="preserve">patients </w:t>
      </w:r>
      <w:r>
        <w:rPr>
          <w:sz w:val="24"/>
          <w:szCs w:val="24"/>
        </w:rPr>
        <w:t>who were subsequently transferred to the care of an adult gastroenterology unit and had a minimum follow up of 2 years.  We examined the case notes for evolution of disease location and behaviour. Disease location and behaviour was characterised using Paris classification at diagnosis and Montreal classification at last follow-up. In addition, we examined variables associated with complicated disease behaviour and the need for CD related intestinal resection.</w:t>
      </w:r>
    </w:p>
    <w:p w:rsidR="002D67DB" w:rsidRPr="000753E4" w:rsidRDefault="002D67DB" w:rsidP="002D67DB">
      <w:pPr>
        <w:spacing w:line="480" w:lineRule="auto"/>
        <w:jc w:val="both"/>
        <w:rPr>
          <w:b/>
          <w:sz w:val="24"/>
          <w:szCs w:val="24"/>
        </w:rPr>
      </w:pPr>
      <w:r w:rsidRPr="000753E4">
        <w:rPr>
          <w:b/>
          <w:sz w:val="24"/>
          <w:szCs w:val="24"/>
        </w:rPr>
        <w:t>Results</w:t>
      </w:r>
    </w:p>
    <w:p w:rsidR="002D67DB" w:rsidRPr="00AE2598" w:rsidRDefault="002D67DB" w:rsidP="002D67DB">
      <w:pPr>
        <w:spacing w:line="480" w:lineRule="auto"/>
        <w:jc w:val="both"/>
        <w:rPr>
          <w:sz w:val="24"/>
          <w:szCs w:val="24"/>
        </w:rPr>
      </w:pPr>
      <w:r>
        <w:rPr>
          <w:sz w:val="24"/>
          <w:szCs w:val="24"/>
        </w:rPr>
        <w:t>In</w:t>
      </w:r>
      <w:r w:rsidRPr="000753E4">
        <w:rPr>
          <w:sz w:val="24"/>
          <w:szCs w:val="24"/>
        </w:rPr>
        <w:t xml:space="preserve"> total</w:t>
      </w:r>
      <w:r>
        <w:rPr>
          <w:sz w:val="24"/>
          <w:szCs w:val="24"/>
        </w:rPr>
        <w:t>,</w:t>
      </w:r>
      <w:r w:rsidRPr="000753E4">
        <w:rPr>
          <w:sz w:val="24"/>
          <w:szCs w:val="24"/>
        </w:rPr>
        <w:t xml:space="preserve"> </w:t>
      </w:r>
      <w:r>
        <w:rPr>
          <w:sz w:val="24"/>
          <w:szCs w:val="24"/>
        </w:rPr>
        <w:t>132 patients were included with a median age at diagnosis of 13 (IQR 11-14) and a median follow up of 11 years (range 4-14)</w:t>
      </w:r>
      <w:r w:rsidRPr="000753E4">
        <w:rPr>
          <w:sz w:val="24"/>
          <w:szCs w:val="24"/>
        </w:rPr>
        <w:t>.</w:t>
      </w:r>
      <w:r>
        <w:rPr>
          <w:sz w:val="24"/>
          <w:szCs w:val="24"/>
        </w:rPr>
        <w:t xml:space="preserve"> At diagnosis, 23 (17.4%), 39 (29.6%) and 70 (53%) patients had ileal, colonic and ileocolonic </w:t>
      </w:r>
      <w:r w:rsidRPr="000753E4">
        <w:rPr>
          <w:sz w:val="24"/>
          <w:szCs w:val="24"/>
        </w:rPr>
        <w:t xml:space="preserve"> </w:t>
      </w:r>
      <w:r>
        <w:rPr>
          <w:sz w:val="24"/>
          <w:szCs w:val="24"/>
        </w:rPr>
        <w:t>disease</w:t>
      </w:r>
      <w:r w:rsidRPr="00853A52">
        <w:rPr>
          <w:sz w:val="24"/>
          <w:szCs w:val="24"/>
        </w:rPr>
        <w:t xml:space="preserve">. In addition, 31 (23.5%) patients had L4a or L4b disease at diagnosis (proximal or distal to the ligament of treitz respectively) and 13 patients (9.8%) had both whilst 27 (20.4%) patients had perianal disease.  </w:t>
      </w:r>
      <w:r>
        <w:rPr>
          <w:sz w:val="24"/>
          <w:szCs w:val="24"/>
        </w:rPr>
        <w:t xml:space="preserve">At diagnosis, 27 (20.4%) patients had complicated </w:t>
      </w:r>
      <w:r w:rsidRPr="00916952">
        <w:rPr>
          <w:sz w:val="24"/>
          <w:szCs w:val="24"/>
        </w:rPr>
        <w:t>disease behaviour</w:t>
      </w:r>
      <w:r>
        <w:rPr>
          <w:sz w:val="24"/>
          <w:szCs w:val="24"/>
        </w:rPr>
        <w:t xml:space="preserve"> but </w:t>
      </w:r>
      <w:r w:rsidRPr="00916952">
        <w:rPr>
          <w:rFonts w:eastAsia="Times New Roman"/>
          <w:sz w:val="24"/>
          <w:szCs w:val="24"/>
        </w:rPr>
        <w:t>83 (62.9)% of patients had an extensive ‘pan-enteric’ phenotype</w:t>
      </w:r>
      <w:r>
        <w:rPr>
          <w:rFonts w:eastAsia="Times New Roman"/>
          <w:sz w:val="24"/>
          <w:szCs w:val="24"/>
        </w:rPr>
        <w:t>. O</w:t>
      </w:r>
      <w:r w:rsidRPr="00916952">
        <w:rPr>
          <w:rFonts w:eastAsia="Times New Roman"/>
          <w:sz w:val="24"/>
          <w:szCs w:val="24"/>
        </w:rPr>
        <w:t xml:space="preserve">f these patients only 55 (66.3%) retained the </w:t>
      </w:r>
      <w:r>
        <w:rPr>
          <w:rFonts w:eastAsia="Times New Roman"/>
          <w:sz w:val="24"/>
          <w:szCs w:val="24"/>
        </w:rPr>
        <w:t xml:space="preserve">pan-enteric </w:t>
      </w:r>
      <w:r w:rsidRPr="00916952">
        <w:rPr>
          <w:rFonts w:eastAsia="Times New Roman"/>
          <w:sz w:val="24"/>
          <w:szCs w:val="24"/>
        </w:rPr>
        <w:t xml:space="preserve">phenotype at last follow-up (p=0.0002). Disease extension was noted in 25 (18.9%) of patients </w:t>
      </w:r>
      <w:r w:rsidRPr="00916952">
        <w:rPr>
          <w:rFonts w:eastAsia="Times New Roman"/>
          <w:sz w:val="24"/>
          <w:szCs w:val="24"/>
        </w:rPr>
        <w:lastRenderedPageBreak/>
        <w:t>and regression was noted in 47 (35.6%) of patients</w:t>
      </w:r>
      <w:r>
        <w:rPr>
          <w:rFonts w:eastAsia="Times New Roman"/>
          <w:sz w:val="24"/>
          <w:szCs w:val="24"/>
        </w:rPr>
        <w:t>, whereas u</w:t>
      </w:r>
      <w:r w:rsidRPr="00257771">
        <w:rPr>
          <w:color w:val="000000" w:themeColor="text1"/>
          <w:sz w:val="24"/>
          <w:szCs w:val="24"/>
        </w:rPr>
        <w:t xml:space="preserve">pper GI disease was noted in significantly fewer patients </w:t>
      </w:r>
      <w:r>
        <w:rPr>
          <w:color w:val="000000" w:themeColor="text1"/>
          <w:sz w:val="24"/>
          <w:szCs w:val="24"/>
        </w:rPr>
        <w:t xml:space="preserve">at last follow-up </w:t>
      </w:r>
      <w:r w:rsidRPr="00257771">
        <w:rPr>
          <w:color w:val="000000" w:themeColor="text1"/>
          <w:sz w:val="24"/>
          <w:szCs w:val="24"/>
        </w:rPr>
        <w:t>(21, 15.9%) (p=0.0001). More patients had complicated disease behaviour (46 patients, 34.9%, p=0.0018)</w:t>
      </w:r>
      <w:r w:rsidR="007F2AD3">
        <w:rPr>
          <w:color w:val="000000" w:themeColor="text1"/>
          <w:sz w:val="24"/>
          <w:szCs w:val="24"/>
        </w:rPr>
        <w:t xml:space="preserve"> at follow-up</w:t>
      </w:r>
      <w:r w:rsidRPr="00257771">
        <w:rPr>
          <w:color w:val="000000" w:themeColor="text1"/>
          <w:sz w:val="24"/>
          <w:szCs w:val="24"/>
        </w:rPr>
        <w:t>. There was a high exposure to both thiopurines 121 (91.7</w:t>
      </w:r>
      <w:r>
        <w:rPr>
          <w:sz w:val="24"/>
          <w:szCs w:val="24"/>
        </w:rPr>
        <w:t xml:space="preserve">%) and biologics 84 (63.6%). </w:t>
      </w:r>
      <w:r w:rsidRPr="003564C0">
        <w:rPr>
          <w:sz w:val="24"/>
          <w:szCs w:val="24"/>
        </w:rPr>
        <w:t>The cumulative probability (95% CI) of surgery was 0.05 (0.02, 0.11) at 1 year, 0.17 (0.11, 0.24) at 3 years and 0.22 (0.15, 0.30) at 5 years</w:t>
      </w:r>
      <w:r>
        <w:rPr>
          <w:sz w:val="24"/>
          <w:szCs w:val="24"/>
        </w:rPr>
        <w:t>. Neither disease location nor behaviour were associated with the need for intestinal resectional surgery.</w:t>
      </w:r>
    </w:p>
    <w:p w:rsidR="002D67DB" w:rsidRPr="000753E4" w:rsidRDefault="002D67DB" w:rsidP="002D67DB">
      <w:pPr>
        <w:spacing w:line="480" w:lineRule="auto"/>
        <w:jc w:val="both"/>
        <w:rPr>
          <w:b/>
          <w:sz w:val="24"/>
          <w:szCs w:val="24"/>
        </w:rPr>
      </w:pPr>
      <w:r w:rsidRPr="000753E4">
        <w:rPr>
          <w:b/>
          <w:sz w:val="24"/>
          <w:szCs w:val="24"/>
        </w:rPr>
        <w:t>Conclusion</w:t>
      </w:r>
      <w:r>
        <w:rPr>
          <w:b/>
          <w:sz w:val="24"/>
          <w:szCs w:val="24"/>
        </w:rPr>
        <w:t>s</w:t>
      </w:r>
    </w:p>
    <w:p w:rsidR="002D67DB" w:rsidRDefault="002D67DB" w:rsidP="002D67DB">
      <w:pPr>
        <w:spacing w:line="480" w:lineRule="auto"/>
        <w:jc w:val="both"/>
        <w:rPr>
          <w:sz w:val="24"/>
          <w:szCs w:val="24"/>
        </w:rPr>
      </w:pPr>
      <w:r>
        <w:rPr>
          <w:sz w:val="24"/>
          <w:szCs w:val="24"/>
        </w:rPr>
        <w:t xml:space="preserve">Over the course of an extended follow-up period, there appeared to be changes in both disease location and behaviour in PCD. Interestingly, a significant proportion of patients had disease involution which may be related to a high rate of exposure to thiopurines and biologics. We were unable to identify any variables associated with the need for intestinal surgery. </w:t>
      </w: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2D67DB" w:rsidRDefault="002D67DB" w:rsidP="005C4B1D">
      <w:pPr>
        <w:spacing w:after="0" w:line="240" w:lineRule="auto"/>
        <w:rPr>
          <w:b/>
          <w:sz w:val="24"/>
          <w:szCs w:val="24"/>
        </w:rPr>
      </w:pPr>
    </w:p>
    <w:p w:rsidR="007F2AD3" w:rsidRDefault="007F2AD3" w:rsidP="005C4B1D">
      <w:pPr>
        <w:spacing w:after="0" w:line="240" w:lineRule="auto"/>
        <w:rPr>
          <w:b/>
          <w:sz w:val="24"/>
          <w:szCs w:val="24"/>
        </w:rPr>
      </w:pPr>
    </w:p>
    <w:p w:rsidR="007F2AD3" w:rsidRDefault="007F2AD3" w:rsidP="005C4B1D">
      <w:pPr>
        <w:spacing w:after="0" w:line="240" w:lineRule="auto"/>
        <w:rPr>
          <w:b/>
          <w:sz w:val="24"/>
          <w:szCs w:val="24"/>
        </w:rPr>
      </w:pPr>
    </w:p>
    <w:p w:rsidR="007F2AD3" w:rsidRDefault="007F2AD3" w:rsidP="005C4B1D">
      <w:pPr>
        <w:spacing w:after="0" w:line="240" w:lineRule="auto"/>
        <w:rPr>
          <w:b/>
          <w:sz w:val="24"/>
          <w:szCs w:val="24"/>
        </w:rPr>
      </w:pPr>
    </w:p>
    <w:p w:rsidR="007F2AD3" w:rsidRDefault="007F2AD3" w:rsidP="005C4B1D">
      <w:pPr>
        <w:spacing w:after="0" w:line="240" w:lineRule="auto"/>
        <w:rPr>
          <w:b/>
          <w:sz w:val="24"/>
          <w:szCs w:val="24"/>
        </w:rPr>
      </w:pPr>
    </w:p>
    <w:p w:rsidR="002D67DB" w:rsidRDefault="002D67DB" w:rsidP="005C4B1D">
      <w:pPr>
        <w:spacing w:after="0" w:line="240" w:lineRule="auto"/>
        <w:rPr>
          <w:b/>
          <w:sz w:val="24"/>
          <w:szCs w:val="24"/>
        </w:rPr>
      </w:pPr>
    </w:p>
    <w:p w:rsidR="00AF67D9" w:rsidRDefault="00AF67D9" w:rsidP="005C4B1D">
      <w:pPr>
        <w:spacing w:after="0" w:line="240" w:lineRule="auto"/>
        <w:rPr>
          <w:b/>
          <w:sz w:val="24"/>
          <w:szCs w:val="24"/>
        </w:rPr>
      </w:pPr>
      <w:r w:rsidRPr="000753E4">
        <w:rPr>
          <w:b/>
          <w:sz w:val="24"/>
          <w:szCs w:val="24"/>
        </w:rPr>
        <w:lastRenderedPageBreak/>
        <w:t>Introduction</w:t>
      </w:r>
    </w:p>
    <w:p w:rsidR="005C4B1D" w:rsidRPr="00152271" w:rsidRDefault="005C4B1D" w:rsidP="005C4B1D">
      <w:pPr>
        <w:spacing w:after="0" w:line="240" w:lineRule="auto"/>
        <w:rPr>
          <w:sz w:val="24"/>
          <w:szCs w:val="24"/>
        </w:rPr>
      </w:pPr>
    </w:p>
    <w:p w:rsidR="00AF67D9" w:rsidRPr="00514DE8" w:rsidRDefault="00AF67D9" w:rsidP="00514DE8">
      <w:pPr>
        <w:autoSpaceDE w:val="0"/>
        <w:autoSpaceDN w:val="0"/>
        <w:adjustRightInd w:val="0"/>
        <w:spacing w:after="0" w:line="480" w:lineRule="auto"/>
        <w:jc w:val="both"/>
        <w:rPr>
          <w:sz w:val="24"/>
          <w:szCs w:val="24"/>
        </w:rPr>
      </w:pPr>
      <w:r w:rsidRPr="00514DE8">
        <w:rPr>
          <w:sz w:val="24"/>
          <w:szCs w:val="24"/>
        </w:rPr>
        <w:t xml:space="preserve">Crohn’s disease </w:t>
      </w:r>
      <w:r>
        <w:rPr>
          <w:sz w:val="24"/>
          <w:szCs w:val="24"/>
        </w:rPr>
        <w:t xml:space="preserve">(CD) </w:t>
      </w:r>
      <w:r w:rsidRPr="00514DE8">
        <w:rPr>
          <w:sz w:val="24"/>
          <w:szCs w:val="24"/>
        </w:rPr>
        <w:t>is usually diagnosed in the second and third decades of life</w:t>
      </w:r>
      <w:r w:rsidRPr="00514DE8">
        <w:rPr>
          <w:noProof/>
          <w:sz w:val="24"/>
          <w:szCs w:val="24"/>
          <w:vertAlign w:val="superscript"/>
        </w:rPr>
        <w:t>1</w:t>
      </w:r>
      <w:r w:rsidRPr="00514DE8">
        <w:rPr>
          <w:sz w:val="24"/>
          <w:szCs w:val="24"/>
        </w:rPr>
        <w:t xml:space="preserve"> but approximately 20-30% of patients are diagnosed during childhood</w:t>
      </w:r>
      <w:r w:rsidRPr="00514DE8">
        <w:rPr>
          <w:noProof/>
          <w:sz w:val="24"/>
          <w:szCs w:val="24"/>
          <w:vertAlign w:val="superscript"/>
        </w:rPr>
        <w:t>2-4</w:t>
      </w:r>
      <w:r w:rsidRPr="00514DE8">
        <w:rPr>
          <w:sz w:val="24"/>
          <w:szCs w:val="24"/>
        </w:rPr>
        <w:t>. Th</w:t>
      </w:r>
      <w:r w:rsidR="00407479">
        <w:rPr>
          <w:sz w:val="24"/>
          <w:szCs w:val="24"/>
        </w:rPr>
        <w:t>e incidence and prevalence of p</w:t>
      </w:r>
      <w:r w:rsidR="0010487C">
        <w:rPr>
          <w:sz w:val="24"/>
          <w:szCs w:val="24"/>
        </w:rPr>
        <w:t>a</w:t>
      </w:r>
      <w:r w:rsidRPr="00514DE8">
        <w:rPr>
          <w:sz w:val="24"/>
          <w:szCs w:val="24"/>
        </w:rPr>
        <w:t>ediatric Crohn’s disease (</w:t>
      </w:r>
      <w:r>
        <w:rPr>
          <w:sz w:val="24"/>
          <w:szCs w:val="24"/>
        </w:rPr>
        <w:t>P</w:t>
      </w:r>
      <w:r w:rsidRPr="00514DE8">
        <w:rPr>
          <w:sz w:val="24"/>
          <w:szCs w:val="24"/>
        </w:rPr>
        <w:t>CD) appears to be increasing globally</w:t>
      </w:r>
      <w:r w:rsidRPr="00514DE8">
        <w:rPr>
          <w:noProof/>
          <w:sz w:val="24"/>
          <w:szCs w:val="24"/>
          <w:vertAlign w:val="superscript"/>
        </w:rPr>
        <w:t>5, 6</w:t>
      </w:r>
      <w:r w:rsidRPr="00514DE8">
        <w:rPr>
          <w:sz w:val="24"/>
          <w:szCs w:val="24"/>
        </w:rPr>
        <w:t>. The increase in in</w:t>
      </w:r>
      <w:r w:rsidR="00407479">
        <w:rPr>
          <w:sz w:val="24"/>
          <w:szCs w:val="24"/>
        </w:rPr>
        <w:t>cidence has been noted in all p</w:t>
      </w:r>
      <w:r w:rsidR="0010487C">
        <w:rPr>
          <w:sz w:val="24"/>
          <w:szCs w:val="24"/>
        </w:rPr>
        <w:t>a</w:t>
      </w:r>
      <w:r w:rsidR="00407479">
        <w:rPr>
          <w:sz w:val="24"/>
          <w:szCs w:val="24"/>
        </w:rPr>
        <w:t>e</w:t>
      </w:r>
      <w:r w:rsidRPr="00514DE8">
        <w:rPr>
          <w:sz w:val="24"/>
          <w:szCs w:val="24"/>
        </w:rPr>
        <w:t>diatric age groups including the very-early onset group under 5 years of age</w:t>
      </w:r>
      <w:r w:rsidRPr="00514DE8">
        <w:rPr>
          <w:noProof/>
          <w:sz w:val="24"/>
          <w:szCs w:val="24"/>
          <w:vertAlign w:val="superscript"/>
        </w:rPr>
        <w:t>6, 7</w:t>
      </w:r>
      <w:r w:rsidRPr="00514DE8">
        <w:rPr>
          <w:sz w:val="24"/>
          <w:szCs w:val="24"/>
        </w:rPr>
        <w:t xml:space="preserve">. </w:t>
      </w:r>
    </w:p>
    <w:p w:rsidR="00AF67D9" w:rsidRDefault="00AF67D9" w:rsidP="00514DE8">
      <w:pPr>
        <w:autoSpaceDE w:val="0"/>
        <w:autoSpaceDN w:val="0"/>
        <w:adjustRightInd w:val="0"/>
        <w:spacing w:after="0" w:line="480" w:lineRule="auto"/>
        <w:jc w:val="both"/>
        <w:rPr>
          <w:sz w:val="24"/>
          <w:szCs w:val="24"/>
          <w:lang w:val="en-US"/>
        </w:rPr>
      </w:pPr>
      <w:r w:rsidRPr="00514DE8">
        <w:rPr>
          <w:sz w:val="24"/>
          <w:szCs w:val="24"/>
          <w:lang w:val="en-US"/>
        </w:rPr>
        <w:t xml:space="preserve">Current literature, though conflicting, suggests some important differences between pediatric onset and adult onset Crohn’s disease. </w:t>
      </w:r>
      <w:r>
        <w:rPr>
          <w:sz w:val="24"/>
          <w:szCs w:val="24"/>
          <w:lang w:val="en-US"/>
        </w:rPr>
        <w:t>P</w:t>
      </w:r>
      <w:r w:rsidRPr="00514DE8">
        <w:rPr>
          <w:sz w:val="24"/>
          <w:szCs w:val="24"/>
          <w:lang w:val="en-US"/>
        </w:rPr>
        <w:t xml:space="preserve">CD reportedly has a more aggressive disease course, including more extensive disease location, </w:t>
      </w:r>
      <w:r>
        <w:rPr>
          <w:sz w:val="24"/>
          <w:szCs w:val="24"/>
          <w:lang w:val="en-US"/>
        </w:rPr>
        <w:t xml:space="preserve">a higher predilection to a pan-enteric phenotype, </w:t>
      </w:r>
      <w:r w:rsidRPr="00514DE8">
        <w:rPr>
          <w:sz w:val="24"/>
          <w:szCs w:val="24"/>
          <w:lang w:val="en-US"/>
        </w:rPr>
        <w:t xml:space="preserve">frequent upper </w:t>
      </w:r>
      <w:r w:rsidR="009555E6">
        <w:rPr>
          <w:sz w:val="24"/>
          <w:szCs w:val="24"/>
          <w:lang w:val="en-US"/>
        </w:rPr>
        <w:t>gastrointestinal (</w:t>
      </w:r>
      <w:r w:rsidRPr="00514DE8">
        <w:rPr>
          <w:sz w:val="24"/>
          <w:szCs w:val="24"/>
          <w:lang w:val="en-US"/>
        </w:rPr>
        <w:t>GI</w:t>
      </w:r>
      <w:r w:rsidR="009555E6">
        <w:rPr>
          <w:sz w:val="24"/>
          <w:szCs w:val="24"/>
          <w:lang w:val="en-US"/>
        </w:rPr>
        <w:t>)</w:t>
      </w:r>
      <w:r w:rsidRPr="00514DE8">
        <w:rPr>
          <w:sz w:val="24"/>
          <w:szCs w:val="24"/>
          <w:lang w:val="en-US"/>
        </w:rPr>
        <w:t xml:space="preserve"> involvement, growth failure, more active disease, and need for more aggressive medical therapy, in predominantly hospital based</w:t>
      </w:r>
      <w:r>
        <w:rPr>
          <w:sz w:val="24"/>
          <w:szCs w:val="24"/>
          <w:lang w:val="en-US"/>
        </w:rPr>
        <w:t xml:space="preserve"> </w:t>
      </w:r>
      <w:r w:rsidRPr="00514DE8">
        <w:rPr>
          <w:sz w:val="24"/>
          <w:szCs w:val="24"/>
          <w:lang w:val="en-US"/>
        </w:rPr>
        <w:t>studies</w:t>
      </w:r>
      <w:r w:rsidRPr="00514DE8">
        <w:rPr>
          <w:noProof/>
          <w:sz w:val="24"/>
          <w:szCs w:val="24"/>
          <w:vertAlign w:val="superscript"/>
          <w:lang w:val="en-US"/>
        </w:rPr>
        <w:t>8-10</w:t>
      </w:r>
      <w:r w:rsidRPr="00514DE8">
        <w:rPr>
          <w:sz w:val="24"/>
          <w:szCs w:val="24"/>
          <w:lang w:val="en-US"/>
        </w:rPr>
        <w:t xml:space="preserve">. However, </w:t>
      </w:r>
      <w:r>
        <w:rPr>
          <w:sz w:val="24"/>
          <w:szCs w:val="24"/>
          <w:lang w:val="en-US"/>
        </w:rPr>
        <w:t>other studies have suggested that</w:t>
      </w:r>
      <w:r w:rsidRPr="00514DE8">
        <w:rPr>
          <w:sz w:val="24"/>
          <w:szCs w:val="24"/>
          <w:lang w:val="en-US"/>
        </w:rPr>
        <w:t xml:space="preserve"> pediatric disease behavior seems to</w:t>
      </w:r>
      <w:r>
        <w:rPr>
          <w:sz w:val="24"/>
          <w:szCs w:val="24"/>
          <w:lang w:val="en-US"/>
        </w:rPr>
        <w:t xml:space="preserve"> </w:t>
      </w:r>
      <w:r w:rsidRPr="00514DE8">
        <w:rPr>
          <w:sz w:val="24"/>
          <w:szCs w:val="24"/>
          <w:lang w:val="en-US"/>
        </w:rPr>
        <w:t>parallel that of adults</w:t>
      </w:r>
      <w:r w:rsidRPr="001D1649">
        <w:rPr>
          <w:noProof/>
          <w:sz w:val="24"/>
          <w:szCs w:val="24"/>
          <w:vertAlign w:val="superscript"/>
          <w:lang w:val="en-US"/>
        </w:rPr>
        <w:t>11</w:t>
      </w:r>
      <w:r w:rsidRPr="00514DE8">
        <w:rPr>
          <w:sz w:val="24"/>
          <w:szCs w:val="24"/>
          <w:lang w:val="en-US"/>
        </w:rPr>
        <w:t xml:space="preserve">. </w:t>
      </w:r>
    </w:p>
    <w:p w:rsidR="00AF67D9" w:rsidRPr="00514DE8" w:rsidRDefault="00AF67D9" w:rsidP="00514DE8">
      <w:pPr>
        <w:autoSpaceDE w:val="0"/>
        <w:autoSpaceDN w:val="0"/>
        <w:adjustRightInd w:val="0"/>
        <w:spacing w:after="0" w:line="480" w:lineRule="auto"/>
        <w:jc w:val="both"/>
        <w:rPr>
          <w:sz w:val="24"/>
          <w:szCs w:val="24"/>
          <w:lang w:val="en-US"/>
        </w:rPr>
      </w:pPr>
      <w:r>
        <w:rPr>
          <w:sz w:val="24"/>
          <w:szCs w:val="24"/>
          <w:lang w:val="en-US"/>
        </w:rPr>
        <w:t>Despite the widespread acknowledgement of an initial severe presentation, very few studies have examined if this severe phenotype persists in to adulthood. The</w:t>
      </w:r>
      <w:r w:rsidRPr="00514DE8">
        <w:rPr>
          <w:sz w:val="24"/>
          <w:szCs w:val="24"/>
        </w:rPr>
        <w:t xml:space="preserve"> literature regarding the evolution of </w:t>
      </w:r>
      <w:r>
        <w:rPr>
          <w:sz w:val="24"/>
          <w:szCs w:val="24"/>
        </w:rPr>
        <w:t>PCD</w:t>
      </w:r>
      <w:r w:rsidRPr="00514DE8">
        <w:rPr>
          <w:sz w:val="24"/>
          <w:szCs w:val="24"/>
        </w:rPr>
        <w:t xml:space="preserve"> are conflicting and limited by short follow-up times. Hope </w:t>
      </w:r>
      <w:r w:rsidRPr="00F3592E">
        <w:rPr>
          <w:i/>
          <w:sz w:val="24"/>
          <w:szCs w:val="24"/>
        </w:rPr>
        <w:t>et al</w:t>
      </w:r>
      <w:r w:rsidRPr="00514DE8">
        <w:rPr>
          <w:sz w:val="24"/>
          <w:szCs w:val="24"/>
        </w:rPr>
        <w:t xml:space="preserve"> followed up a cohort of Irish </w:t>
      </w:r>
      <w:r>
        <w:rPr>
          <w:sz w:val="24"/>
          <w:szCs w:val="24"/>
        </w:rPr>
        <w:t>PC</w:t>
      </w:r>
      <w:r w:rsidRPr="00514DE8">
        <w:rPr>
          <w:sz w:val="24"/>
          <w:szCs w:val="24"/>
        </w:rPr>
        <w:t>D patients for 2 years and reported a low rate of disease extension. To the contrary, studies from Scotland</w:t>
      </w:r>
      <w:r w:rsidRPr="001D1649">
        <w:rPr>
          <w:noProof/>
          <w:sz w:val="24"/>
          <w:szCs w:val="24"/>
          <w:vertAlign w:val="superscript"/>
        </w:rPr>
        <w:t>12</w:t>
      </w:r>
      <w:r w:rsidRPr="00514DE8">
        <w:rPr>
          <w:sz w:val="24"/>
          <w:szCs w:val="24"/>
        </w:rPr>
        <w:t>, Slovenia</w:t>
      </w:r>
      <w:r w:rsidRPr="001D1649">
        <w:rPr>
          <w:noProof/>
          <w:sz w:val="24"/>
          <w:szCs w:val="24"/>
          <w:vertAlign w:val="superscript"/>
        </w:rPr>
        <w:t>13</w:t>
      </w:r>
      <w:r w:rsidRPr="00514DE8">
        <w:rPr>
          <w:sz w:val="24"/>
          <w:szCs w:val="24"/>
        </w:rPr>
        <w:t xml:space="preserve"> and France</w:t>
      </w:r>
      <w:r w:rsidRPr="001D1649">
        <w:rPr>
          <w:noProof/>
          <w:sz w:val="24"/>
          <w:szCs w:val="24"/>
          <w:vertAlign w:val="superscript"/>
        </w:rPr>
        <w:t>14</w:t>
      </w:r>
      <w:r w:rsidRPr="00514DE8">
        <w:rPr>
          <w:sz w:val="24"/>
          <w:szCs w:val="24"/>
        </w:rPr>
        <w:t xml:space="preserve"> reported disease extension rates of up to 40% with median follow-up periods ranging from 2 years to 84 months. </w:t>
      </w:r>
      <w:r>
        <w:rPr>
          <w:sz w:val="24"/>
          <w:szCs w:val="24"/>
        </w:rPr>
        <w:t xml:space="preserve">Fewer studies still have examined the long term disease course in PCD </w:t>
      </w:r>
      <w:r w:rsidRPr="00514DE8">
        <w:rPr>
          <w:sz w:val="24"/>
          <w:szCs w:val="24"/>
        </w:rPr>
        <w:t xml:space="preserve">after the advent of biological therapy. A recently published </w:t>
      </w:r>
      <w:r>
        <w:rPr>
          <w:sz w:val="24"/>
          <w:szCs w:val="24"/>
        </w:rPr>
        <w:t xml:space="preserve">long-term extension </w:t>
      </w:r>
      <w:r w:rsidRPr="00514DE8">
        <w:rPr>
          <w:sz w:val="24"/>
          <w:szCs w:val="24"/>
        </w:rPr>
        <w:t xml:space="preserve">study from </w:t>
      </w:r>
      <w:r>
        <w:rPr>
          <w:sz w:val="24"/>
          <w:szCs w:val="24"/>
        </w:rPr>
        <w:t xml:space="preserve">a </w:t>
      </w:r>
      <w:r w:rsidRPr="00514DE8">
        <w:rPr>
          <w:sz w:val="24"/>
          <w:szCs w:val="24"/>
        </w:rPr>
        <w:t xml:space="preserve">French </w:t>
      </w:r>
      <w:r>
        <w:rPr>
          <w:sz w:val="24"/>
          <w:szCs w:val="24"/>
        </w:rPr>
        <w:t xml:space="preserve">population based PCD cohort </w:t>
      </w:r>
      <w:r>
        <w:rPr>
          <w:sz w:val="24"/>
          <w:szCs w:val="24"/>
          <w:lang w:val="en-US"/>
        </w:rPr>
        <w:t>showed that a high proportion of patients developed complicated disease behavior and had extensive disease at follow up</w:t>
      </w:r>
      <w:r w:rsidRPr="00A30507">
        <w:rPr>
          <w:noProof/>
          <w:sz w:val="24"/>
          <w:szCs w:val="24"/>
          <w:vertAlign w:val="superscript"/>
          <w:lang w:val="en-US"/>
        </w:rPr>
        <w:t>15</w:t>
      </w:r>
      <w:r>
        <w:rPr>
          <w:sz w:val="24"/>
          <w:szCs w:val="24"/>
          <w:lang w:val="en-US"/>
        </w:rPr>
        <w:t>.</w:t>
      </w:r>
      <w:r w:rsidRPr="00514DE8">
        <w:rPr>
          <w:sz w:val="24"/>
          <w:szCs w:val="24"/>
          <w:lang w:val="en-US"/>
        </w:rPr>
        <w:t xml:space="preserve"> However, </w:t>
      </w:r>
      <w:r>
        <w:rPr>
          <w:sz w:val="24"/>
          <w:szCs w:val="24"/>
          <w:lang w:val="en-US"/>
        </w:rPr>
        <w:t xml:space="preserve">this study was conducted prior to the widespread use of scheduled maintenance anti-TNF therapy in children potentially over-estimating the progression to complicated disease behavior. In light of this, we aimed to characterize the long term evolution of PCD in a contemporary cohort of patients. </w:t>
      </w:r>
    </w:p>
    <w:p w:rsidR="00AF67D9" w:rsidRPr="000753E4" w:rsidRDefault="00AF67D9" w:rsidP="000753E4">
      <w:pPr>
        <w:spacing w:line="480" w:lineRule="auto"/>
        <w:jc w:val="both"/>
        <w:rPr>
          <w:b/>
          <w:sz w:val="24"/>
          <w:szCs w:val="24"/>
        </w:rPr>
      </w:pPr>
      <w:r w:rsidRPr="000753E4">
        <w:rPr>
          <w:b/>
          <w:sz w:val="24"/>
          <w:szCs w:val="24"/>
        </w:rPr>
        <w:lastRenderedPageBreak/>
        <w:t>Method</w:t>
      </w:r>
      <w:r>
        <w:rPr>
          <w:b/>
          <w:sz w:val="24"/>
          <w:szCs w:val="24"/>
        </w:rPr>
        <w:t>s</w:t>
      </w:r>
    </w:p>
    <w:p w:rsidR="00FA3944" w:rsidRDefault="00AF67D9" w:rsidP="000753E4">
      <w:pPr>
        <w:spacing w:line="480" w:lineRule="auto"/>
        <w:jc w:val="both"/>
        <w:rPr>
          <w:sz w:val="24"/>
          <w:szCs w:val="24"/>
        </w:rPr>
      </w:pPr>
      <w:r w:rsidRPr="00796736">
        <w:rPr>
          <w:i/>
          <w:sz w:val="24"/>
          <w:szCs w:val="24"/>
        </w:rPr>
        <w:t>Patient population and variables:</w:t>
      </w:r>
      <w:r>
        <w:rPr>
          <w:sz w:val="24"/>
          <w:szCs w:val="24"/>
        </w:rPr>
        <w:t xml:space="preserve"> </w:t>
      </w:r>
      <w:r w:rsidRPr="00954234">
        <w:rPr>
          <w:color w:val="000000" w:themeColor="text1"/>
          <w:sz w:val="24"/>
          <w:szCs w:val="24"/>
        </w:rPr>
        <w:t xml:space="preserve">We conducted a single-centre study of PCD patients diagnosed </w:t>
      </w:r>
      <w:r w:rsidRPr="00954234">
        <w:rPr>
          <w:color w:val="000000" w:themeColor="text1"/>
          <w:sz w:val="24"/>
          <w:szCs w:val="24"/>
        </w:rPr>
        <w:sym w:font="Symbol" w:char="F0A3"/>
      </w:r>
      <w:r w:rsidRPr="00954234">
        <w:rPr>
          <w:color w:val="000000" w:themeColor="text1"/>
          <w:sz w:val="24"/>
          <w:szCs w:val="24"/>
        </w:rPr>
        <w:t xml:space="preserve">16 years of age between February 1994 and December 2014 transitioned to adult care. The diagnosis of CD was based on standard clinical, endoscopic and histological criteria. Patients were transferred to the care of an adult gastroenterologist at approximately 16 years of age. Follow-up data was collected until August 2018 or </w:t>
      </w:r>
      <w:r>
        <w:rPr>
          <w:sz w:val="24"/>
          <w:szCs w:val="24"/>
        </w:rPr>
        <w:t>the last contact with the clinician, whichever was latest. We only included patients with a minimum follow-up period of 2 years. Case notes were retrospectively interrogated to extract the following information: age, gender, year of diagnosis, disease location and behaviour at diagnosis and follow-up, time to initiation of immunomodulatory and biologic therapy and time to diagnosis of complications or surgery. Complication from CD was defined as the presence of a stricture or fistula or intra-abdominal abscess assessed by either endoscopy or cross-sectional imaging. Surgery was defined as the need for resection surgery such as small bowel or colonic resection. CD location and disease behaviour at diagnosis and maximal follow-up was collected according to Paris</w:t>
      </w:r>
      <w:r w:rsidRPr="00A30507">
        <w:rPr>
          <w:noProof/>
          <w:sz w:val="24"/>
          <w:szCs w:val="24"/>
          <w:vertAlign w:val="superscript"/>
        </w:rPr>
        <w:t>16</w:t>
      </w:r>
      <w:r>
        <w:rPr>
          <w:sz w:val="24"/>
          <w:szCs w:val="24"/>
        </w:rPr>
        <w:t xml:space="preserve"> and Montreal</w:t>
      </w:r>
      <w:r w:rsidRPr="00A30507">
        <w:rPr>
          <w:noProof/>
          <w:sz w:val="24"/>
          <w:szCs w:val="24"/>
          <w:vertAlign w:val="superscript"/>
        </w:rPr>
        <w:t>17</w:t>
      </w:r>
      <w:r>
        <w:rPr>
          <w:sz w:val="24"/>
          <w:szCs w:val="24"/>
        </w:rPr>
        <w:t xml:space="preserve"> classification respectively. Disease extension </w:t>
      </w:r>
      <w:r w:rsidR="00690A1C">
        <w:rPr>
          <w:sz w:val="24"/>
          <w:szCs w:val="24"/>
        </w:rPr>
        <w:t xml:space="preserve">was defined as involvement of an additional location at last follow-up. </w:t>
      </w:r>
      <w:r w:rsidR="00233305">
        <w:rPr>
          <w:sz w:val="24"/>
          <w:szCs w:val="24"/>
        </w:rPr>
        <w:t xml:space="preserve">If a previously involved segment at diagnosis was subsequently noted to be disease free at follow-up, it was </w:t>
      </w:r>
      <w:r w:rsidR="0017304B">
        <w:rPr>
          <w:sz w:val="24"/>
          <w:szCs w:val="24"/>
        </w:rPr>
        <w:t>categorised</w:t>
      </w:r>
      <w:r w:rsidR="00233305">
        <w:rPr>
          <w:sz w:val="24"/>
          <w:szCs w:val="24"/>
        </w:rPr>
        <w:t xml:space="preserve"> as disease regression. </w:t>
      </w:r>
      <w:r>
        <w:rPr>
          <w:sz w:val="24"/>
          <w:szCs w:val="24"/>
        </w:rPr>
        <w:t>Pan-</w:t>
      </w:r>
      <w:r w:rsidR="006C7066">
        <w:rPr>
          <w:sz w:val="24"/>
          <w:szCs w:val="24"/>
        </w:rPr>
        <w:t>enteric phenotype was defined as</w:t>
      </w:r>
      <w:r>
        <w:rPr>
          <w:sz w:val="24"/>
          <w:szCs w:val="24"/>
        </w:rPr>
        <w:t xml:space="preserve"> extensive GI tract involvement (L4a, L4b and L3). </w:t>
      </w:r>
    </w:p>
    <w:p w:rsidR="00AF67D9" w:rsidRPr="000753E4" w:rsidRDefault="00AF67D9" w:rsidP="000753E4">
      <w:pPr>
        <w:spacing w:line="480" w:lineRule="auto"/>
        <w:jc w:val="both"/>
        <w:rPr>
          <w:i/>
          <w:sz w:val="24"/>
          <w:szCs w:val="24"/>
        </w:rPr>
      </w:pPr>
      <w:r w:rsidRPr="000753E4">
        <w:rPr>
          <w:i/>
          <w:sz w:val="24"/>
          <w:szCs w:val="24"/>
        </w:rPr>
        <w:t>Statistical analysis</w:t>
      </w:r>
    </w:p>
    <w:p w:rsidR="00AF67D9" w:rsidRDefault="00AF67D9" w:rsidP="00770B8E">
      <w:pPr>
        <w:spacing w:line="480" w:lineRule="auto"/>
        <w:jc w:val="both"/>
        <w:rPr>
          <w:sz w:val="24"/>
          <w:szCs w:val="24"/>
        </w:rPr>
      </w:pPr>
      <w:r w:rsidRPr="000753E4">
        <w:rPr>
          <w:sz w:val="24"/>
          <w:szCs w:val="24"/>
        </w:rPr>
        <w:t>Categorical variables have been summarized as frequency (%) and continuous variables as median (interquartile range</w:t>
      </w:r>
      <w:r>
        <w:rPr>
          <w:sz w:val="24"/>
          <w:szCs w:val="24"/>
        </w:rPr>
        <w:t>,</w:t>
      </w:r>
      <w:r w:rsidRPr="000753E4">
        <w:rPr>
          <w:sz w:val="24"/>
          <w:szCs w:val="24"/>
        </w:rPr>
        <w:t xml:space="preserve"> IQR</w:t>
      </w:r>
      <w:r>
        <w:rPr>
          <w:sz w:val="24"/>
          <w:szCs w:val="24"/>
        </w:rPr>
        <w:t xml:space="preserve">).  Comparison of frequencies was performed using Pearson’s chi-square test. Hazard ratios (HR) from Cox proportional hazards models were used to quantify risk of surgery and complicated disease behaviour. </w:t>
      </w:r>
      <w:r w:rsidRPr="000753E4">
        <w:rPr>
          <w:sz w:val="24"/>
          <w:szCs w:val="24"/>
        </w:rPr>
        <w:t xml:space="preserve">All analyses were carried out using </w:t>
      </w:r>
      <w:r w:rsidRPr="000753E4">
        <w:rPr>
          <w:sz w:val="24"/>
          <w:szCs w:val="24"/>
        </w:rPr>
        <w:lastRenderedPageBreak/>
        <w:t>Stata v1</w:t>
      </w:r>
      <w:r>
        <w:rPr>
          <w:sz w:val="24"/>
          <w:szCs w:val="24"/>
        </w:rPr>
        <w:t>5.1</w:t>
      </w:r>
      <w:r w:rsidRPr="000753E4">
        <w:rPr>
          <w:sz w:val="24"/>
          <w:szCs w:val="24"/>
        </w:rPr>
        <w:t xml:space="preserve"> software (Stata Statistical Software, Release 1</w:t>
      </w:r>
      <w:r>
        <w:rPr>
          <w:sz w:val="24"/>
          <w:szCs w:val="24"/>
        </w:rPr>
        <w:t>5</w:t>
      </w:r>
      <w:r w:rsidRPr="000753E4">
        <w:rPr>
          <w:sz w:val="24"/>
          <w:szCs w:val="24"/>
        </w:rPr>
        <w:t>; StataCorp LP, College Station, Texas, USA).</w:t>
      </w:r>
    </w:p>
    <w:p w:rsidR="002A4E72" w:rsidRPr="002A4E72" w:rsidRDefault="002A4E72" w:rsidP="002A4E72">
      <w:pPr>
        <w:spacing w:line="480" w:lineRule="auto"/>
        <w:jc w:val="both"/>
        <w:rPr>
          <w:i/>
          <w:sz w:val="24"/>
          <w:szCs w:val="24"/>
        </w:rPr>
      </w:pPr>
      <w:r w:rsidRPr="002A4E72">
        <w:rPr>
          <w:i/>
          <w:sz w:val="24"/>
          <w:szCs w:val="24"/>
        </w:rPr>
        <w:t>Ethical Considerations</w:t>
      </w:r>
    </w:p>
    <w:p w:rsidR="002A4E72" w:rsidRPr="008A3022" w:rsidRDefault="002A4E72" w:rsidP="002A4E72">
      <w:pPr>
        <w:spacing w:line="480" w:lineRule="auto"/>
        <w:jc w:val="both"/>
        <w:rPr>
          <w:sz w:val="24"/>
          <w:szCs w:val="24"/>
        </w:rPr>
      </w:pPr>
      <w:r w:rsidRPr="00940A66">
        <w:rPr>
          <w:sz w:val="24"/>
          <w:szCs w:val="24"/>
        </w:rPr>
        <w:t>The study was performed using routine collected clinical data and as such is exempt from the need for ethics committee approval in the UK and the need to take written informed consent.</w:t>
      </w:r>
    </w:p>
    <w:p w:rsidR="002A4E72" w:rsidRPr="000753E4" w:rsidRDefault="002A4E72" w:rsidP="00770B8E">
      <w:pPr>
        <w:spacing w:line="480" w:lineRule="auto"/>
        <w:jc w:val="both"/>
        <w:rPr>
          <w:sz w:val="24"/>
          <w:szCs w:val="24"/>
        </w:rPr>
      </w:pPr>
    </w:p>
    <w:p w:rsidR="00AF67D9" w:rsidRPr="000753E4" w:rsidRDefault="00AF67D9" w:rsidP="000753E4">
      <w:pPr>
        <w:spacing w:line="480" w:lineRule="auto"/>
        <w:jc w:val="both"/>
        <w:rPr>
          <w:b/>
          <w:sz w:val="24"/>
          <w:szCs w:val="24"/>
        </w:rPr>
      </w:pPr>
      <w:r w:rsidRPr="000753E4">
        <w:rPr>
          <w:b/>
          <w:sz w:val="24"/>
          <w:szCs w:val="24"/>
        </w:rPr>
        <w:t>Results</w:t>
      </w:r>
    </w:p>
    <w:p w:rsidR="00AF67D9" w:rsidRPr="00954234" w:rsidRDefault="00AF67D9" w:rsidP="000753E4">
      <w:pPr>
        <w:spacing w:line="480" w:lineRule="auto"/>
        <w:jc w:val="both"/>
        <w:rPr>
          <w:i/>
          <w:color w:val="000000" w:themeColor="text1"/>
          <w:sz w:val="24"/>
          <w:szCs w:val="24"/>
        </w:rPr>
      </w:pPr>
      <w:r w:rsidRPr="00954234">
        <w:rPr>
          <w:i/>
          <w:color w:val="000000" w:themeColor="text1"/>
          <w:sz w:val="24"/>
          <w:szCs w:val="24"/>
        </w:rPr>
        <w:t>Demographics</w:t>
      </w:r>
    </w:p>
    <w:p w:rsidR="00AF67D9" w:rsidRDefault="00AF67D9" w:rsidP="000753E4">
      <w:pPr>
        <w:spacing w:line="480" w:lineRule="auto"/>
        <w:jc w:val="both"/>
        <w:rPr>
          <w:sz w:val="24"/>
          <w:szCs w:val="24"/>
        </w:rPr>
      </w:pPr>
      <w:r w:rsidRPr="00954234">
        <w:rPr>
          <w:color w:val="000000" w:themeColor="text1"/>
          <w:sz w:val="24"/>
          <w:szCs w:val="24"/>
        </w:rPr>
        <w:t xml:space="preserve">A total of 161 patients were transferred to adult care from the years 2002 to 2016. We excluded 29 due to </w:t>
      </w:r>
      <w:r w:rsidRPr="00C020E4">
        <w:rPr>
          <w:color w:val="000000" w:themeColor="text1"/>
          <w:sz w:val="24"/>
          <w:szCs w:val="24"/>
        </w:rPr>
        <w:t xml:space="preserve">insufficient follow-up and 132 were included in the final analysis. </w:t>
      </w:r>
      <w:r>
        <w:rPr>
          <w:sz w:val="24"/>
          <w:szCs w:val="24"/>
        </w:rPr>
        <w:t xml:space="preserve">The median age at diagnosis was 13 (IQR 11-14) and 77 (58.3%) were male. The median follow up period was 11 years (range 4-24) and the median age at last follow up was 23.5 (IQR 20-26). </w:t>
      </w:r>
    </w:p>
    <w:p w:rsidR="00AF67D9" w:rsidRDefault="00AF67D9" w:rsidP="000753E4">
      <w:pPr>
        <w:spacing w:line="480" w:lineRule="auto"/>
        <w:jc w:val="both"/>
        <w:rPr>
          <w:i/>
          <w:sz w:val="24"/>
          <w:szCs w:val="24"/>
        </w:rPr>
      </w:pPr>
      <w:r>
        <w:rPr>
          <w:i/>
          <w:sz w:val="24"/>
          <w:szCs w:val="24"/>
        </w:rPr>
        <w:t>CD location</w:t>
      </w:r>
    </w:p>
    <w:p w:rsidR="00AF67D9" w:rsidRPr="00B43286" w:rsidRDefault="00AF67D9" w:rsidP="00B20F5A">
      <w:pPr>
        <w:spacing w:line="480" w:lineRule="auto"/>
        <w:jc w:val="both"/>
        <w:rPr>
          <w:rFonts w:eastAsia="Times New Roman"/>
          <w:color w:val="000000" w:themeColor="text1"/>
          <w:sz w:val="24"/>
          <w:szCs w:val="24"/>
        </w:rPr>
      </w:pPr>
      <w:r w:rsidRPr="00B20F5A">
        <w:rPr>
          <w:color w:val="000000" w:themeColor="text1"/>
          <w:sz w:val="24"/>
          <w:szCs w:val="24"/>
        </w:rPr>
        <w:t xml:space="preserve">Ileocolonic disease location was the commonest (n=70, 53%) followed by colonic (n=39, 30%) and ileal (n=23, 17%) location at diagnosis (Figure 1). In addition, </w:t>
      </w:r>
      <w:r w:rsidRPr="00B20F5A">
        <w:rPr>
          <w:rFonts w:eastAsia="Times New Roman"/>
          <w:color w:val="000000" w:themeColor="text1"/>
          <w:sz w:val="24"/>
          <w:szCs w:val="24"/>
        </w:rPr>
        <w:t xml:space="preserve">21 (16%) and 10 (7.5%) patients had disease proximal (L4a) and distal to the ligament of </w:t>
      </w:r>
      <w:r>
        <w:rPr>
          <w:rFonts w:eastAsia="Times New Roman"/>
          <w:color w:val="000000" w:themeColor="text1"/>
          <w:sz w:val="24"/>
          <w:szCs w:val="24"/>
        </w:rPr>
        <w:t>T</w:t>
      </w:r>
      <w:r w:rsidRPr="00B20F5A">
        <w:rPr>
          <w:rFonts w:eastAsia="Times New Roman"/>
          <w:color w:val="000000" w:themeColor="text1"/>
          <w:sz w:val="24"/>
          <w:szCs w:val="24"/>
        </w:rPr>
        <w:t xml:space="preserve">reitz respectively at diagnosis and 38 (29.7%) had perianal disease.  Of these, 13 patients (9.8%) had disease both proximal and distal to the ligament of </w:t>
      </w:r>
      <w:r>
        <w:rPr>
          <w:rFonts w:eastAsia="Times New Roman"/>
          <w:color w:val="000000" w:themeColor="text1"/>
          <w:sz w:val="24"/>
          <w:szCs w:val="24"/>
        </w:rPr>
        <w:t>T</w:t>
      </w:r>
      <w:r w:rsidRPr="00B20F5A">
        <w:rPr>
          <w:rFonts w:eastAsia="Times New Roman"/>
          <w:color w:val="000000" w:themeColor="text1"/>
          <w:sz w:val="24"/>
          <w:szCs w:val="24"/>
        </w:rPr>
        <w:t xml:space="preserve">reitz. </w:t>
      </w:r>
      <w:r w:rsidRPr="00F133C7">
        <w:rPr>
          <w:rFonts w:eastAsia="Times New Roman"/>
          <w:sz w:val="24"/>
          <w:szCs w:val="24"/>
        </w:rPr>
        <w:t xml:space="preserve">Growth status was only available in 67 patients, of whom 43 (64%) had impaired status. </w:t>
      </w:r>
      <w:r w:rsidRPr="00B20F5A">
        <w:rPr>
          <w:rFonts w:eastAsia="Times New Roman"/>
          <w:color w:val="000000" w:themeColor="text1"/>
          <w:sz w:val="24"/>
          <w:szCs w:val="24"/>
        </w:rPr>
        <w:t>At maximal follow up, disease location remained broadly similar except for upper GI (L4) disease with fewer patients (n=21, 15.9%</w:t>
      </w:r>
      <w:r>
        <w:rPr>
          <w:rFonts w:eastAsia="Times New Roman"/>
          <w:color w:val="000000" w:themeColor="text1"/>
          <w:sz w:val="24"/>
          <w:szCs w:val="24"/>
        </w:rPr>
        <w:t xml:space="preserve">, </w:t>
      </w:r>
      <w:r w:rsidRPr="00257771">
        <w:rPr>
          <w:color w:val="000000" w:themeColor="text1"/>
          <w:sz w:val="24"/>
          <w:szCs w:val="24"/>
        </w:rPr>
        <w:t>p=0.0001</w:t>
      </w:r>
      <w:r w:rsidRPr="00B20F5A">
        <w:rPr>
          <w:rFonts w:eastAsia="Times New Roman"/>
          <w:color w:val="000000" w:themeColor="text1"/>
          <w:sz w:val="24"/>
          <w:szCs w:val="24"/>
        </w:rPr>
        <w:t xml:space="preserve">) compared to diagnosis (Figure 1).  </w:t>
      </w:r>
      <w:r w:rsidRPr="00573DD7">
        <w:rPr>
          <w:rFonts w:eastAsia="Times New Roman"/>
          <w:color w:val="000000" w:themeColor="text1"/>
          <w:sz w:val="24"/>
          <w:szCs w:val="24"/>
        </w:rPr>
        <w:t>There was a non-significant increase in the proportion of patients with perianal disease</w:t>
      </w:r>
      <w:r>
        <w:rPr>
          <w:rFonts w:eastAsia="Times New Roman"/>
          <w:color w:val="000000" w:themeColor="text1"/>
          <w:sz w:val="24"/>
          <w:szCs w:val="24"/>
        </w:rPr>
        <w:t xml:space="preserve"> at diagnosis (20.4%) and maximal follow-up (23.5%)</w:t>
      </w:r>
      <w:r w:rsidRPr="00573DD7">
        <w:rPr>
          <w:rFonts w:eastAsia="Times New Roman"/>
          <w:color w:val="000000" w:themeColor="text1"/>
          <w:sz w:val="24"/>
          <w:szCs w:val="24"/>
        </w:rPr>
        <w:t xml:space="preserve">. </w:t>
      </w:r>
      <w:r w:rsidRPr="007614D3">
        <w:rPr>
          <w:rFonts w:eastAsia="Times New Roman"/>
          <w:color w:val="000000" w:themeColor="text1"/>
          <w:sz w:val="24"/>
          <w:szCs w:val="24"/>
        </w:rPr>
        <w:t xml:space="preserve">At diagnosis, </w:t>
      </w:r>
      <w:r w:rsidRPr="00F133C7">
        <w:rPr>
          <w:rFonts w:eastAsia="Times New Roman"/>
          <w:color w:val="000000" w:themeColor="text1"/>
          <w:sz w:val="24"/>
          <w:szCs w:val="24"/>
        </w:rPr>
        <w:t xml:space="preserve">83 </w:t>
      </w:r>
      <w:r w:rsidRPr="00F133C7">
        <w:rPr>
          <w:rFonts w:eastAsia="Times New Roman"/>
          <w:color w:val="000000" w:themeColor="text1"/>
          <w:sz w:val="24"/>
          <w:szCs w:val="24"/>
        </w:rPr>
        <w:lastRenderedPageBreak/>
        <w:t>(62.9</w:t>
      </w:r>
      <w:r>
        <w:rPr>
          <w:rFonts w:eastAsia="Times New Roman"/>
          <w:color w:val="000000" w:themeColor="text1"/>
          <w:sz w:val="24"/>
          <w:szCs w:val="24"/>
        </w:rPr>
        <w:t>%)</w:t>
      </w:r>
      <w:r w:rsidRPr="00F133C7">
        <w:rPr>
          <w:rFonts w:eastAsia="Times New Roman"/>
          <w:color w:val="000000" w:themeColor="text1"/>
          <w:sz w:val="24"/>
          <w:szCs w:val="24"/>
        </w:rPr>
        <w:t xml:space="preserve"> of patients had an extensive ‘pan-enteric’ phenotype but of these patients only 55 </w:t>
      </w:r>
      <w:r w:rsidRPr="00F50895">
        <w:rPr>
          <w:rFonts w:eastAsia="Times New Roman"/>
          <w:color w:val="000000" w:themeColor="text1"/>
          <w:sz w:val="24"/>
          <w:szCs w:val="24"/>
        </w:rPr>
        <w:t xml:space="preserve">(66.3%) retained the phenotype at last follow-up (p=0.0002). Disease extension was noted in 25 (18.9%) of patients and regression was noted in 47 (35.6%). The rate of exposure to biological therapy was similar in patients with disease regression (32/47, 68.1%) and disease extension (21/25, 84%). </w:t>
      </w:r>
    </w:p>
    <w:p w:rsidR="00AF67D9" w:rsidRPr="008869E8" w:rsidRDefault="00AF67D9" w:rsidP="000753E4">
      <w:pPr>
        <w:spacing w:line="480" w:lineRule="auto"/>
        <w:jc w:val="both"/>
        <w:rPr>
          <w:i/>
          <w:sz w:val="24"/>
          <w:szCs w:val="24"/>
        </w:rPr>
      </w:pPr>
      <w:r>
        <w:rPr>
          <w:i/>
          <w:sz w:val="24"/>
          <w:szCs w:val="24"/>
        </w:rPr>
        <w:t xml:space="preserve">CD Behaviour </w:t>
      </w:r>
    </w:p>
    <w:p w:rsidR="00AF67D9" w:rsidRPr="00177243" w:rsidRDefault="00AF67D9" w:rsidP="00177243">
      <w:pPr>
        <w:spacing w:line="480" w:lineRule="auto"/>
        <w:jc w:val="both"/>
        <w:rPr>
          <w:sz w:val="24"/>
          <w:szCs w:val="24"/>
        </w:rPr>
      </w:pPr>
      <w:r>
        <w:rPr>
          <w:sz w:val="24"/>
          <w:szCs w:val="24"/>
        </w:rPr>
        <w:t>Most patients had inflammatory (n=105, 80%) phenotype at diagnosis but disease behaviour changed significantly over time (Figure 2). Complicated disease behaviour was noted in 27 (20%) patients at diagnosis with stricturing phenotype in 11 (8.3%), penetrating in 15 (11.4%) and a combination of both in 1 (0.8%). At last follow up, 20 (15.2%) and 26 (19.7%) patients had stricturing and penetrating phenotypes respectively.</w:t>
      </w:r>
      <w:r w:rsidRPr="00177243">
        <w:rPr>
          <w:color w:val="000000" w:themeColor="text1"/>
          <w:sz w:val="24"/>
          <w:szCs w:val="24"/>
        </w:rPr>
        <w:t xml:space="preserve"> We examined the association of a number of variables </w:t>
      </w:r>
      <w:r>
        <w:rPr>
          <w:color w:val="000000" w:themeColor="text1"/>
          <w:sz w:val="24"/>
          <w:szCs w:val="24"/>
        </w:rPr>
        <w:t xml:space="preserve">including early exposure to biologics and immunosuppressants with complicated </w:t>
      </w:r>
      <w:r w:rsidRPr="00177243">
        <w:rPr>
          <w:color w:val="000000" w:themeColor="text1"/>
          <w:sz w:val="24"/>
          <w:szCs w:val="24"/>
        </w:rPr>
        <w:t>disease behaviour at diagnosis or follow u</w:t>
      </w:r>
      <w:r>
        <w:rPr>
          <w:color w:val="000000" w:themeColor="text1"/>
          <w:sz w:val="24"/>
          <w:szCs w:val="24"/>
        </w:rPr>
        <w:t xml:space="preserve">p </w:t>
      </w:r>
      <w:r w:rsidRPr="00177243">
        <w:rPr>
          <w:color w:val="000000" w:themeColor="text1"/>
          <w:sz w:val="24"/>
          <w:szCs w:val="24"/>
        </w:rPr>
        <w:t>(Table 1).</w:t>
      </w:r>
      <w:r>
        <w:rPr>
          <w:color w:val="000000" w:themeColor="text1"/>
          <w:sz w:val="24"/>
          <w:szCs w:val="24"/>
        </w:rPr>
        <w:t xml:space="preserve"> </w:t>
      </w:r>
      <w:r w:rsidR="0017304B">
        <w:rPr>
          <w:color w:val="000000" w:themeColor="text1"/>
          <w:sz w:val="24"/>
          <w:szCs w:val="24"/>
        </w:rPr>
        <w:t xml:space="preserve">None of the examined variables were associated with the need for surgery and reached the pre-specified significance threshold of 5% to be included in a multi-variate analysis. </w:t>
      </w:r>
      <w:r>
        <w:rPr>
          <w:color w:val="000000" w:themeColor="text1"/>
          <w:sz w:val="24"/>
          <w:szCs w:val="24"/>
        </w:rPr>
        <w:t>Only the presence of perianal disease was associated with complicated disease behaviour</w:t>
      </w:r>
      <w:r w:rsidRPr="00177243">
        <w:rPr>
          <w:color w:val="000000" w:themeColor="text1"/>
          <w:sz w:val="24"/>
          <w:szCs w:val="24"/>
        </w:rPr>
        <w:t xml:space="preserve"> </w:t>
      </w:r>
      <w:r>
        <w:rPr>
          <w:color w:val="000000" w:themeColor="text1"/>
          <w:sz w:val="24"/>
          <w:szCs w:val="24"/>
        </w:rPr>
        <w:t xml:space="preserve">at follow-up </w:t>
      </w:r>
      <w:r w:rsidR="0017304B">
        <w:rPr>
          <w:color w:val="000000" w:themeColor="text1"/>
          <w:sz w:val="24"/>
          <w:szCs w:val="24"/>
        </w:rPr>
        <w:t xml:space="preserve">in both uni- and multi-variate analysis </w:t>
      </w:r>
      <w:r>
        <w:rPr>
          <w:color w:val="000000" w:themeColor="text1"/>
          <w:sz w:val="24"/>
          <w:szCs w:val="24"/>
        </w:rPr>
        <w:t xml:space="preserve">(Odds ratio 3.31, 95% CI 1.23-8.85, P=0.017). </w:t>
      </w:r>
    </w:p>
    <w:p w:rsidR="00AF67D9" w:rsidRPr="008869E8" w:rsidRDefault="00AF67D9" w:rsidP="000753E4">
      <w:pPr>
        <w:spacing w:line="480" w:lineRule="auto"/>
        <w:jc w:val="both"/>
        <w:rPr>
          <w:i/>
          <w:sz w:val="24"/>
          <w:szCs w:val="24"/>
        </w:rPr>
      </w:pPr>
      <w:r>
        <w:rPr>
          <w:i/>
          <w:sz w:val="24"/>
          <w:szCs w:val="24"/>
        </w:rPr>
        <w:t>Treatments</w:t>
      </w:r>
    </w:p>
    <w:p w:rsidR="00AF67D9" w:rsidRPr="00EF583A" w:rsidRDefault="00AF67D9" w:rsidP="008869E8">
      <w:pPr>
        <w:spacing w:line="480" w:lineRule="auto"/>
        <w:jc w:val="both"/>
        <w:rPr>
          <w:color w:val="000000" w:themeColor="text1"/>
          <w:sz w:val="24"/>
          <w:szCs w:val="24"/>
        </w:rPr>
      </w:pPr>
      <w:r>
        <w:rPr>
          <w:color w:val="000000" w:themeColor="text1"/>
          <w:sz w:val="24"/>
          <w:szCs w:val="24"/>
        </w:rPr>
        <w:t xml:space="preserve">A high proportion of patients were exposed to thiopurines (N=121, 91.7%) either alone (N-40, 30.3%) or in combination with a biologic agent (N=81, 61.4%).  Eighty-one (61.4%) patients received an anti-TNF agent during their disease course. Of the patients who failed anti-TNF therapy a further 12 patients (9%) received </w:t>
      </w:r>
      <w:r w:rsidRPr="00EF583A">
        <w:rPr>
          <w:color w:val="000000" w:themeColor="text1"/>
          <w:sz w:val="24"/>
          <w:szCs w:val="24"/>
        </w:rPr>
        <w:t xml:space="preserve">ustekinumab (9%) and </w:t>
      </w:r>
      <w:r>
        <w:rPr>
          <w:color w:val="000000" w:themeColor="text1"/>
          <w:sz w:val="24"/>
          <w:szCs w:val="24"/>
        </w:rPr>
        <w:t>6 (</w:t>
      </w:r>
      <w:r w:rsidRPr="00EF583A">
        <w:rPr>
          <w:color w:val="000000" w:themeColor="text1"/>
          <w:sz w:val="24"/>
          <w:szCs w:val="24"/>
        </w:rPr>
        <w:t xml:space="preserve">4.5%) </w:t>
      </w:r>
      <w:r>
        <w:rPr>
          <w:color w:val="000000" w:themeColor="text1"/>
          <w:sz w:val="24"/>
          <w:szCs w:val="24"/>
        </w:rPr>
        <w:t xml:space="preserve">patients received </w:t>
      </w:r>
      <w:r w:rsidRPr="00EF583A">
        <w:rPr>
          <w:color w:val="000000" w:themeColor="text1"/>
          <w:sz w:val="24"/>
          <w:szCs w:val="24"/>
        </w:rPr>
        <w:t xml:space="preserve">vedolizumab.  </w:t>
      </w:r>
      <w:r>
        <w:rPr>
          <w:color w:val="000000" w:themeColor="text1"/>
          <w:sz w:val="24"/>
          <w:szCs w:val="24"/>
        </w:rPr>
        <w:t xml:space="preserve">Most patients were commenced on thiopurines early (median 0 years, IQR 0-1) whereas the median time to starting an anti-TNF agent was 5 years (IQR 2-8). </w:t>
      </w:r>
    </w:p>
    <w:p w:rsidR="00AF67D9" w:rsidRDefault="00AF67D9" w:rsidP="00F50895">
      <w:pPr>
        <w:spacing w:line="480" w:lineRule="auto"/>
        <w:jc w:val="both"/>
        <w:rPr>
          <w:i/>
          <w:sz w:val="24"/>
          <w:szCs w:val="24"/>
        </w:rPr>
      </w:pPr>
      <w:r>
        <w:rPr>
          <w:i/>
          <w:sz w:val="24"/>
          <w:szCs w:val="24"/>
        </w:rPr>
        <w:lastRenderedPageBreak/>
        <w:t>Surgery:</w:t>
      </w:r>
    </w:p>
    <w:p w:rsidR="00AF67D9" w:rsidRPr="00F50895" w:rsidRDefault="00AF67D9" w:rsidP="00F50895">
      <w:pPr>
        <w:spacing w:line="480" w:lineRule="auto"/>
        <w:jc w:val="both"/>
        <w:rPr>
          <w:rFonts w:eastAsia="Times New Roman"/>
          <w:sz w:val="24"/>
          <w:szCs w:val="24"/>
        </w:rPr>
      </w:pPr>
      <w:r w:rsidRPr="00F50895">
        <w:rPr>
          <w:sz w:val="24"/>
          <w:szCs w:val="24"/>
        </w:rPr>
        <w:t>The cumulative probability (95% CI) of surgery was 0.05 (0.02, 0.11) at 1 year, 0.17 (0.11, 0.24) at 3 years, 0.22 (0.15, 0.30) at 5 years and 0.43 (0.34, 0.53) at 10 years (Figure 3</w:t>
      </w:r>
      <w:r w:rsidRPr="00F50895">
        <w:rPr>
          <w:color w:val="000000" w:themeColor="text1"/>
          <w:sz w:val="24"/>
          <w:szCs w:val="24"/>
        </w:rPr>
        <w:t xml:space="preserve">). </w:t>
      </w:r>
      <w:r w:rsidRPr="00F50895">
        <w:rPr>
          <w:rFonts w:eastAsia="Times New Roman"/>
          <w:color w:val="000000" w:themeColor="text1"/>
          <w:sz w:val="24"/>
          <w:szCs w:val="24"/>
          <w:shd w:val="clear" w:color="auto" w:fill="FFFFFF"/>
        </w:rPr>
        <w:t xml:space="preserve">Overall, 56 (42.4%) of the entire cohort had surgery at the end of follow-up. </w:t>
      </w:r>
      <w:r w:rsidRPr="00F50895">
        <w:rPr>
          <w:color w:val="000000" w:themeColor="text1"/>
          <w:sz w:val="24"/>
          <w:szCs w:val="24"/>
        </w:rPr>
        <w:t xml:space="preserve">We assessed the </w:t>
      </w:r>
      <w:r w:rsidRPr="00F50895">
        <w:rPr>
          <w:sz w:val="24"/>
          <w:szCs w:val="24"/>
        </w:rPr>
        <w:t>contribution of a number of variables (disease location, behaviour, early exposure to</w:t>
      </w:r>
      <w:r>
        <w:rPr>
          <w:sz w:val="24"/>
          <w:szCs w:val="24"/>
        </w:rPr>
        <w:t xml:space="preserve"> </w:t>
      </w:r>
      <w:r w:rsidRPr="00F50895">
        <w:rPr>
          <w:sz w:val="24"/>
          <w:szCs w:val="24"/>
        </w:rPr>
        <w:t xml:space="preserve">thiopurines and anti-TNF agents) to the risk of intestinal surgery but none of the examined variables showed a significant association (Table </w:t>
      </w:r>
      <w:r w:rsidR="007D2FD4">
        <w:rPr>
          <w:sz w:val="24"/>
          <w:szCs w:val="24"/>
        </w:rPr>
        <w:t>2</w:t>
      </w:r>
      <w:r w:rsidRPr="00F50895">
        <w:rPr>
          <w:sz w:val="24"/>
          <w:szCs w:val="24"/>
        </w:rPr>
        <w:t>)</w:t>
      </w:r>
      <w:r w:rsidRPr="00F50895">
        <w:rPr>
          <w:color w:val="FF0000"/>
          <w:sz w:val="24"/>
          <w:szCs w:val="24"/>
        </w:rPr>
        <w:t xml:space="preserve">. </w:t>
      </w:r>
    </w:p>
    <w:p w:rsidR="00AF67D9" w:rsidRDefault="00AF67D9" w:rsidP="000753E4">
      <w:pPr>
        <w:spacing w:line="480" w:lineRule="auto"/>
        <w:jc w:val="both"/>
        <w:rPr>
          <w:b/>
          <w:sz w:val="24"/>
          <w:szCs w:val="24"/>
        </w:rPr>
      </w:pPr>
      <w:r w:rsidRPr="000753E4">
        <w:rPr>
          <w:b/>
          <w:sz w:val="24"/>
          <w:szCs w:val="24"/>
        </w:rPr>
        <w:t>Discussion</w:t>
      </w:r>
    </w:p>
    <w:p w:rsidR="00AF67D9" w:rsidRPr="0017304B" w:rsidRDefault="00AF67D9" w:rsidP="002B4BC4">
      <w:pPr>
        <w:autoSpaceDE w:val="0"/>
        <w:autoSpaceDN w:val="0"/>
        <w:adjustRightInd w:val="0"/>
        <w:spacing w:after="0" w:line="480" w:lineRule="auto"/>
        <w:jc w:val="both"/>
        <w:rPr>
          <w:color w:val="000000" w:themeColor="text1"/>
          <w:sz w:val="24"/>
          <w:szCs w:val="24"/>
          <w:lang w:val="en-US"/>
        </w:rPr>
      </w:pPr>
      <w:r w:rsidRPr="001C328C">
        <w:rPr>
          <w:color w:val="000000" w:themeColor="text1"/>
          <w:sz w:val="24"/>
          <w:szCs w:val="24"/>
        </w:rPr>
        <w:t>We report that both disease location and behaviour in PCD evolve during an extended follow</w:t>
      </w:r>
      <w:r>
        <w:rPr>
          <w:color w:val="000000" w:themeColor="text1"/>
          <w:sz w:val="24"/>
          <w:szCs w:val="24"/>
        </w:rPr>
        <w:t>-</w:t>
      </w:r>
      <w:r w:rsidRPr="001C328C">
        <w:rPr>
          <w:color w:val="000000" w:themeColor="text1"/>
          <w:sz w:val="24"/>
          <w:szCs w:val="24"/>
        </w:rPr>
        <w:t>up period into adulthood</w:t>
      </w:r>
      <w:r>
        <w:rPr>
          <w:color w:val="000000" w:themeColor="text1"/>
          <w:sz w:val="24"/>
          <w:szCs w:val="24"/>
        </w:rPr>
        <w:t xml:space="preserve"> in our cohort of patients with a high exposure rate to biological therapy</w:t>
      </w:r>
      <w:r w:rsidRPr="001C328C">
        <w:rPr>
          <w:color w:val="000000" w:themeColor="text1"/>
          <w:sz w:val="24"/>
          <w:szCs w:val="24"/>
        </w:rPr>
        <w:t xml:space="preserve">. </w:t>
      </w:r>
      <w:r>
        <w:rPr>
          <w:color w:val="000000" w:themeColor="text1"/>
          <w:sz w:val="24"/>
          <w:szCs w:val="24"/>
        </w:rPr>
        <w:t xml:space="preserve">Our findings of a high prevalence of extensive pan-enteric phenotype at presentation </w:t>
      </w:r>
      <w:r w:rsidR="00A43CB3">
        <w:rPr>
          <w:color w:val="000000" w:themeColor="text1"/>
          <w:sz w:val="24"/>
          <w:szCs w:val="24"/>
        </w:rPr>
        <w:t>are</w:t>
      </w:r>
      <w:r>
        <w:rPr>
          <w:color w:val="000000" w:themeColor="text1"/>
          <w:sz w:val="24"/>
          <w:szCs w:val="24"/>
        </w:rPr>
        <w:t xml:space="preserve"> similar</w:t>
      </w:r>
      <w:r w:rsidR="00A43CB3">
        <w:rPr>
          <w:color w:val="000000" w:themeColor="text1"/>
          <w:sz w:val="24"/>
          <w:szCs w:val="24"/>
        </w:rPr>
        <w:t xml:space="preserve"> </w:t>
      </w:r>
      <w:r>
        <w:rPr>
          <w:color w:val="000000" w:themeColor="text1"/>
          <w:sz w:val="24"/>
          <w:szCs w:val="24"/>
        </w:rPr>
        <w:t>to previously reported studies</w:t>
      </w:r>
      <w:r w:rsidRPr="00EC58FC">
        <w:rPr>
          <w:noProof/>
          <w:color w:val="000000" w:themeColor="text1"/>
          <w:sz w:val="24"/>
          <w:szCs w:val="24"/>
          <w:vertAlign w:val="superscript"/>
        </w:rPr>
        <w:t>12, 14</w:t>
      </w:r>
      <w:r>
        <w:rPr>
          <w:color w:val="000000" w:themeColor="text1"/>
          <w:sz w:val="24"/>
          <w:szCs w:val="24"/>
        </w:rPr>
        <w:t>. Similarly, t</w:t>
      </w:r>
      <w:r w:rsidRPr="00766428">
        <w:rPr>
          <w:color w:val="000000" w:themeColor="text1"/>
          <w:sz w:val="24"/>
          <w:szCs w:val="24"/>
        </w:rPr>
        <w:t xml:space="preserve">he proportion of patients with perianal fistulising disease in our cohort is similar to that reported in previous population based </w:t>
      </w:r>
      <w:r w:rsidRPr="003C24FF">
        <w:rPr>
          <w:noProof/>
          <w:color w:val="000000" w:themeColor="text1"/>
          <w:sz w:val="24"/>
          <w:szCs w:val="24"/>
          <w:vertAlign w:val="superscript"/>
        </w:rPr>
        <w:t>14, 18</w:t>
      </w:r>
      <w:r w:rsidRPr="00766428">
        <w:rPr>
          <w:color w:val="000000" w:themeColor="text1"/>
          <w:sz w:val="24"/>
          <w:szCs w:val="24"/>
        </w:rPr>
        <w:t xml:space="preserve"> and hospital based cohorts</w:t>
      </w:r>
      <w:r w:rsidRPr="00766428">
        <w:rPr>
          <w:noProof/>
          <w:color w:val="000000" w:themeColor="text1"/>
          <w:sz w:val="24"/>
          <w:szCs w:val="24"/>
          <w:vertAlign w:val="superscript"/>
        </w:rPr>
        <w:t>12</w:t>
      </w:r>
      <w:r w:rsidRPr="00766428">
        <w:rPr>
          <w:color w:val="000000" w:themeColor="text1"/>
          <w:sz w:val="24"/>
          <w:szCs w:val="24"/>
        </w:rPr>
        <w:t xml:space="preserve">. </w:t>
      </w:r>
      <w:r w:rsidRPr="001C328C">
        <w:rPr>
          <w:color w:val="000000" w:themeColor="text1"/>
          <w:sz w:val="24"/>
          <w:szCs w:val="24"/>
        </w:rPr>
        <w:t>A</w:t>
      </w:r>
      <w:r>
        <w:rPr>
          <w:color w:val="000000" w:themeColor="text1"/>
          <w:sz w:val="24"/>
          <w:szCs w:val="24"/>
        </w:rPr>
        <w:t>n additional</w:t>
      </w:r>
      <w:r w:rsidRPr="001C328C">
        <w:rPr>
          <w:color w:val="000000" w:themeColor="text1"/>
          <w:sz w:val="24"/>
          <w:szCs w:val="24"/>
        </w:rPr>
        <w:t xml:space="preserve"> novel finding in our study is that a greater proportion of patients experienced involution of disease location compared to disease extension. Up to a third of patients with a pan-enteric phenotype at presentation subsequently had less extensive disease. Our findings differ from previous studies </w:t>
      </w:r>
      <w:r>
        <w:rPr>
          <w:color w:val="231F20"/>
          <w:sz w:val="24"/>
          <w:szCs w:val="24"/>
          <w:lang w:val="en-US"/>
        </w:rPr>
        <w:t>which have investigated</w:t>
      </w:r>
      <w:r w:rsidRPr="002B4BC4">
        <w:rPr>
          <w:color w:val="231F20"/>
          <w:sz w:val="24"/>
          <w:szCs w:val="24"/>
          <w:lang w:val="en-US"/>
        </w:rPr>
        <w:t xml:space="preserve"> the change of disease location</w:t>
      </w:r>
      <w:r>
        <w:rPr>
          <w:color w:val="231F20"/>
          <w:sz w:val="24"/>
          <w:szCs w:val="24"/>
          <w:lang w:val="en-US"/>
        </w:rPr>
        <w:t xml:space="preserve"> over</w:t>
      </w:r>
      <w:r w:rsidRPr="002B4BC4">
        <w:rPr>
          <w:color w:val="231F20"/>
          <w:sz w:val="24"/>
          <w:szCs w:val="24"/>
          <w:lang w:val="en-US"/>
        </w:rPr>
        <w:t xml:space="preserve"> time</w:t>
      </w:r>
      <w:r w:rsidRPr="003C24FF">
        <w:rPr>
          <w:noProof/>
          <w:color w:val="231F20"/>
          <w:sz w:val="24"/>
          <w:szCs w:val="24"/>
          <w:vertAlign w:val="superscript"/>
          <w:lang w:val="en-US"/>
        </w:rPr>
        <w:t>12, 15, 19-21</w:t>
      </w:r>
      <w:r>
        <w:rPr>
          <w:color w:val="231F20"/>
          <w:sz w:val="24"/>
          <w:szCs w:val="24"/>
          <w:lang w:val="en-US"/>
        </w:rPr>
        <w:t xml:space="preserve"> in pediatric cohorts with the majority of studies reporting disease extension rather than regression. </w:t>
      </w:r>
      <w:r w:rsidRPr="002B4BC4">
        <w:rPr>
          <w:color w:val="231F20"/>
          <w:sz w:val="24"/>
          <w:szCs w:val="24"/>
          <w:lang w:val="en-US"/>
        </w:rPr>
        <w:t>In a Danish study from</w:t>
      </w:r>
      <w:r>
        <w:rPr>
          <w:color w:val="231F20"/>
          <w:sz w:val="24"/>
          <w:szCs w:val="24"/>
          <w:lang w:val="en-US"/>
        </w:rPr>
        <w:t xml:space="preserve"> </w:t>
      </w:r>
      <w:r w:rsidRPr="002B4BC4">
        <w:rPr>
          <w:color w:val="231F20"/>
          <w:sz w:val="24"/>
          <w:szCs w:val="24"/>
          <w:lang w:val="en-US"/>
        </w:rPr>
        <w:t>Copenhagen county (1962–1987; n=23), disease</w:t>
      </w:r>
      <w:r>
        <w:rPr>
          <w:color w:val="231F20"/>
          <w:sz w:val="24"/>
          <w:szCs w:val="24"/>
          <w:lang w:val="en-US"/>
        </w:rPr>
        <w:t xml:space="preserve"> location</w:t>
      </w:r>
      <w:r w:rsidRPr="002B4BC4">
        <w:rPr>
          <w:color w:val="231F20"/>
          <w:sz w:val="24"/>
          <w:szCs w:val="24"/>
          <w:lang w:val="en-US"/>
        </w:rPr>
        <w:t xml:space="preserve"> progressed in 67% of children until the end of</w:t>
      </w:r>
      <w:r>
        <w:rPr>
          <w:color w:val="231F20"/>
          <w:sz w:val="24"/>
          <w:szCs w:val="24"/>
          <w:lang w:val="en-US"/>
        </w:rPr>
        <w:t xml:space="preserve"> </w:t>
      </w:r>
      <w:r w:rsidRPr="002B4BC4">
        <w:rPr>
          <w:color w:val="231F20"/>
          <w:sz w:val="24"/>
          <w:szCs w:val="24"/>
          <w:lang w:val="en-US"/>
        </w:rPr>
        <w:t xml:space="preserve">the follow-up </w:t>
      </w:r>
      <w:r w:rsidRPr="003C24FF">
        <w:rPr>
          <w:noProof/>
          <w:color w:val="231F20"/>
          <w:sz w:val="24"/>
          <w:szCs w:val="24"/>
          <w:vertAlign w:val="superscript"/>
          <w:lang w:val="en-US"/>
        </w:rPr>
        <w:t>20</w:t>
      </w:r>
      <w:r w:rsidRPr="002B4BC4">
        <w:rPr>
          <w:color w:val="231F20"/>
          <w:sz w:val="24"/>
          <w:szCs w:val="24"/>
          <w:lang w:val="en-US"/>
        </w:rPr>
        <w:t xml:space="preserve">. In </w:t>
      </w:r>
      <w:r>
        <w:rPr>
          <w:color w:val="231F20"/>
          <w:sz w:val="24"/>
          <w:szCs w:val="24"/>
          <w:lang w:val="en-US"/>
        </w:rPr>
        <w:t>a</w:t>
      </w:r>
      <w:r w:rsidRPr="002B4BC4">
        <w:rPr>
          <w:color w:val="231F20"/>
          <w:sz w:val="24"/>
          <w:szCs w:val="24"/>
          <w:lang w:val="en-US"/>
        </w:rPr>
        <w:t xml:space="preserve"> French population-based </w:t>
      </w:r>
      <w:r>
        <w:rPr>
          <w:color w:val="231F20"/>
          <w:sz w:val="24"/>
          <w:szCs w:val="24"/>
          <w:lang w:val="en-US"/>
        </w:rPr>
        <w:t>cohort</w:t>
      </w:r>
      <w:r w:rsidRPr="002B4BC4">
        <w:rPr>
          <w:color w:val="231F20"/>
          <w:sz w:val="24"/>
          <w:szCs w:val="24"/>
          <w:lang w:val="en-US"/>
        </w:rPr>
        <w:t xml:space="preserve"> (1988–2002; n=281), 31% of children were reported to</w:t>
      </w:r>
      <w:r>
        <w:rPr>
          <w:color w:val="231F20"/>
          <w:sz w:val="24"/>
          <w:szCs w:val="24"/>
          <w:lang w:val="en-US"/>
        </w:rPr>
        <w:t xml:space="preserve"> </w:t>
      </w:r>
      <w:r w:rsidRPr="002B4BC4">
        <w:rPr>
          <w:color w:val="231F20"/>
          <w:sz w:val="24"/>
          <w:szCs w:val="24"/>
          <w:lang w:val="en-US"/>
        </w:rPr>
        <w:t xml:space="preserve">have disease extension at maximal follow-up </w:t>
      </w:r>
      <w:r w:rsidRPr="002B4BC4">
        <w:rPr>
          <w:noProof/>
          <w:color w:val="231F20"/>
          <w:sz w:val="24"/>
          <w:szCs w:val="24"/>
          <w:vertAlign w:val="superscript"/>
          <w:lang w:val="en-US"/>
        </w:rPr>
        <w:t>14, 15</w:t>
      </w:r>
      <w:r w:rsidRPr="002B4BC4">
        <w:rPr>
          <w:color w:val="231F20"/>
          <w:sz w:val="24"/>
          <w:szCs w:val="24"/>
          <w:lang w:val="en-US"/>
        </w:rPr>
        <w:t>. A</w:t>
      </w:r>
      <w:r>
        <w:rPr>
          <w:color w:val="231F20"/>
          <w:sz w:val="24"/>
          <w:szCs w:val="24"/>
          <w:lang w:val="en-US"/>
        </w:rPr>
        <w:t xml:space="preserve"> </w:t>
      </w:r>
      <w:r w:rsidRPr="002B4BC4">
        <w:rPr>
          <w:color w:val="231F20"/>
          <w:sz w:val="24"/>
          <w:szCs w:val="24"/>
          <w:lang w:val="en-US"/>
        </w:rPr>
        <w:t>similar extension rate was described in a national cohort</w:t>
      </w:r>
      <w:r>
        <w:rPr>
          <w:color w:val="231F20"/>
          <w:sz w:val="24"/>
          <w:szCs w:val="24"/>
          <w:lang w:val="en-US"/>
        </w:rPr>
        <w:t xml:space="preserve"> </w:t>
      </w:r>
      <w:r w:rsidRPr="002B4BC4">
        <w:rPr>
          <w:color w:val="231F20"/>
          <w:sz w:val="24"/>
          <w:szCs w:val="24"/>
          <w:lang w:val="en-US"/>
        </w:rPr>
        <w:t>from Scotland (n= 276), where 39.1% of children</w:t>
      </w:r>
      <w:r>
        <w:rPr>
          <w:color w:val="231F20"/>
          <w:sz w:val="24"/>
          <w:szCs w:val="24"/>
          <w:lang w:val="en-US"/>
        </w:rPr>
        <w:t xml:space="preserve"> </w:t>
      </w:r>
      <w:r w:rsidRPr="002B4BC4">
        <w:rPr>
          <w:color w:val="231F20"/>
          <w:sz w:val="24"/>
          <w:szCs w:val="24"/>
          <w:lang w:val="en-US"/>
        </w:rPr>
        <w:t>experienced disease progression 2 years after diagnosis</w:t>
      </w:r>
      <w:r w:rsidRPr="002B4BC4">
        <w:rPr>
          <w:noProof/>
          <w:color w:val="231F20"/>
          <w:sz w:val="24"/>
          <w:szCs w:val="24"/>
          <w:vertAlign w:val="superscript"/>
          <w:lang w:val="en-US"/>
        </w:rPr>
        <w:t>12</w:t>
      </w:r>
      <w:r w:rsidRPr="002B4BC4">
        <w:rPr>
          <w:color w:val="231F20"/>
          <w:sz w:val="24"/>
          <w:szCs w:val="24"/>
          <w:lang w:val="en-US"/>
        </w:rPr>
        <w:t>. In contrast, a lower rate of disease extension</w:t>
      </w:r>
      <w:r>
        <w:rPr>
          <w:color w:val="231F20"/>
          <w:sz w:val="24"/>
          <w:szCs w:val="24"/>
          <w:lang w:val="en-US"/>
        </w:rPr>
        <w:t xml:space="preserve"> </w:t>
      </w:r>
      <w:r>
        <w:rPr>
          <w:color w:val="231F20"/>
          <w:sz w:val="24"/>
          <w:szCs w:val="24"/>
          <w:lang w:val="en-US"/>
        </w:rPr>
        <w:lastRenderedPageBreak/>
        <w:t xml:space="preserve">(15%) </w:t>
      </w:r>
      <w:r w:rsidRPr="002B4BC4">
        <w:rPr>
          <w:color w:val="231F20"/>
          <w:sz w:val="24"/>
          <w:szCs w:val="24"/>
          <w:lang w:val="en-US"/>
        </w:rPr>
        <w:t>was observed in an unselected cohort from Sweden</w:t>
      </w:r>
      <w:r>
        <w:rPr>
          <w:color w:val="231F20"/>
          <w:sz w:val="24"/>
          <w:szCs w:val="24"/>
          <w:lang w:val="en-US"/>
        </w:rPr>
        <w:t xml:space="preserve"> </w:t>
      </w:r>
      <w:r w:rsidRPr="002B4BC4">
        <w:rPr>
          <w:color w:val="231F20"/>
          <w:sz w:val="24"/>
          <w:szCs w:val="24"/>
          <w:lang w:val="en-US"/>
        </w:rPr>
        <w:t>(1990–2007, n=200), during a median follow</w:t>
      </w:r>
      <w:r>
        <w:rPr>
          <w:color w:val="231F20"/>
          <w:sz w:val="24"/>
          <w:szCs w:val="24"/>
          <w:lang w:val="en-US"/>
        </w:rPr>
        <w:t>-</w:t>
      </w:r>
      <w:r w:rsidRPr="002B4BC4">
        <w:rPr>
          <w:color w:val="231F20"/>
          <w:sz w:val="24"/>
          <w:szCs w:val="24"/>
          <w:lang w:val="en-US"/>
        </w:rPr>
        <w:t>up</w:t>
      </w:r>
      <w:r>
        <w:rPr>
          <w:color w:val="231F20"/>
          <w:sz w:val="24"/>
          <w:szCs w:val="24"/>
          <w:lang w:val="en-US"/>
        </w:rPr>
        <w:t xml:space="preserve"> </w:t>
      </w:r>
      <w:r w:rsidRPr="002B4BC4">
        <w:rPr>
          <w:color w:val="231F20"/>
          <w:sz w:val="24"/>
          <w:szCs w:val="24"/>
          <w:lang w:val="en-US"/>
        </w:rPr>
        <w:t>of 8.8 years</w:t>
      </w:r>
      <w:r w:rsidRPr="003C24FF">
        <w:rPr>
          <w:noProof/>
          <w:color w:val="231F20"/>
          <w:sz w:val="24"/>
          <w:szCs w:val="24"/>
          <w:vertAlign w:val="superscript"/>
          <w:lang w:val="en-US"/>
        </w:rPr>
        <w:t>21</w:t>
      </w:r>
      <w:r w:rsidRPr="002B4BC4">
        <w:rPr>
          <w:color w:val="231F20"/>
          <w:sz w:val="24"/>
          <w:szCs w:val="24"/>
          <w:lang w:val="en-US"/>
        </w:rPr>
        <w:t>. Finally, no significant change in disease</w:t>
      </w:r>
      <w:r>
        <w:rPr>
          <w:color w:val="231F20"/>
          <w:sz w:val="24"/>
          <w:szCs w:val="24"/>
          <w:lang w:val="en-US"/>
        </w:rPr>
        <w:t xml:space="preserve"> </w:t>
      </w:r>
      <w:r w:rsidRPr="002B4BC4">
        <w:rPr>
          <w:color w:val="231F20"/>
          <w:sz w:val="24"/>
          <w:szCs w:val="24"/>
          <w:lang w:val="en-US"/>
        </w:rPr>
        <w:t>location was observed in</w:t>
      </w:r>
      <w:r>
        <w:rPr>
          <w:color w:val="231F20"/>
          <w:sz w:val="24"/>
          <w:szCs w:val="24"/>
          <w:lang w:val="en-US"/>
        </w:rPr>
        <w:t xml:space="preserve"> </w:t>
      </w:r>
      <w:r w:rsidRPr="002B4BC4">
        <w:rPr>
          <w:color w:val="231F20"/>
          <w:sz w:val="24"/>
          <w:szCs w:val="24"/>
          <w:lang w:val="en-US"/>
        </w:rPr>
        <w:t>two Irish inception cohorts, but</w:t>
      </w:r>
      <w:r>
        <w:rPr>
          <w:color w:val="231F20"/>
          <w:sz w:val="24"/>
          <w:szCs w:val="24"/>
          <w:lang w:val="en-US"/>
        </w:rPr>
        <w:t xml:space="preserve"> </w:t>
      </w:r>
      <w:r w:rsidRPr="002B4BC4">
        <w:rPr>
          <w:color w:val="231F20"/>
          <w:sz w:val="24"/>
          <w:szCs w:val="24"/>
          <w:lang w:val="en-US"/>
        </w:rPr>
        <w:t xml:space="preserve">the number of patients </w:t>
      </w:r>
      <w:r w:rsidR="006C7066">
        <w:rPr>
          <w:color w:val="231F20"/>
          <w:sz w:val="24"/>
          <w:szCs w:val="24"/>
          <w:lang w:val="en-US"/>
        </w:rPr>
        <w:t xml:space="preserve">included was quite small </w:t>
      </w:r>
      <w:r>
        <w:rPr>
          <w:color w:val="231F20"/>
          <w:sz w:val="24"/>
          <w:szCs w:val="24"/>
          <w:lang w:val="en-US"/>
        </w:rPr>
        <w:t>and follow-up time limited</w:t>
      </w:r>
      <w:r w:rsidRPr="003C24FF">
        <w:rPr>
          <w:noProof/>
          <w:color w:val="231F20"/>
          <w:sz w:val="24"/>
          <w:szCs w:val="24"/>
          <w:vertAlign w:val="superscript"/>
          <w:lang w:val="en-US"/>
        </w:rPr>
        <w:t>19</w:t>
      </w:r>
      <w:r w:rsidRPr="002B4BC4">
        <w:rPr>
          <w:color w:val="231F20"/>
          <w:sz w:val="24"/>
          <w:szCs w:val="24"/>
          <w:lang w:val="en-US"/>
        </w:rPr>
        <w:t>.</w:t>
      </w:r>
      <w:r>
        <w:rPr>
          <w:color w:val="231F20"/>
          <w:sz w:val="24"/>
          <w:szCs w:val="24"/>
          <w:lang w:val="en-US"/>
        </w:rPr>
        <w:t xml:space="preserve"> A major difference between our cohort and other studies is the high rate of exposure to biologics and thiopurines and this may be relevant to our observation. However, there is limited data on the impact of biological therapy on regression of disease location in CD. Of note, a single population based Danish cohort of adult CD patients</w:t>
      </w:r>
      <w:r w:rsidRPr="003C24FF">
        <w:rPr>
          <w:noProof/>
          <w:color w:val="231F20"/>
          <w:sz w:val="24"/>
          <w:szCs w:val="24"/>
          <w:vertAlign w:val="superscript"/>
          <w:lang w:val="en-US"/>
        </w:rPr>
        <w:t>22</w:t>
      </w:r>
      <w:r>
        <w:rPr>
          <w:color w:val="231F20"/>
          <w:sz w:val="24"/>
          <w:szCs w:val="24"/>
          <w:lang w:val="en-US"/>
        </w:rPr>
        <w:t xml:space="preserve"> found that biologic therapy protected against a change in disease location which is in keeping with our observation.</w:t>
      </w:r>
      <w:r w:rsidR="0017304B">
        <w:rPr>
          <w:color w:val="231F20"/>
          <w:sz w:val="24"/>
          <w:szCs w:val="24"/>
          <w:lang w:val="en-US"/>
        </w:rPr>
        <w:t xml:space="preserve"> </w:t>
      </w:r>
      <w:r w:rsidR="0002698A">
        <w:rPr>
          <w:color w:val="231F20"/>
          <w:sz w:val="24"/>
          <w:szCs w:val="24"/>
          <w:lang w:val="en-US"/>
        </w:rPr>
        <w:t>Scheduled</w:t>
      </w:r>
      <w:r w:rsidR="0017304B">
        <w:rPr>
          <w:color w:val="231F20"/>
          <w:sz w:val="24"/>
          <w:szCs w:val="24"/>
          <w:lang w:val="en-US"/>
        </w:rPr>
        <w:t xml:space="preserve"> maintenance anti-TNF therapy was introduced to routine clinical practice at our </w:t>
      </w:r>
      <w:r w:rsidR="0002698A">
        <w:rPr>
          <w:color w:val="231F20"/>
          <w:sz w:val="24"/>
          <w:szCs w:val="24"/>
          <w:lang w:val="en-US"/>
        </w:rPr>
        <w:t>centre</w:t>
      </w:r>
      <w:r w:rsidR="0017304B">
        <w:rPr>
          <w:color w:val="231F20"/>
          <w:sz w:val="24"/>
          <w:szCs w:val="24"/>
          <w:lang w:val="en-US"/>
        </w:rPr>
        <w:t xml:space="preserve"> in 2009. </w:t>
      </w:r>
      <w:r w:rsidR="0017304B" w:rsidRPr="004A2E09">
        <w:rPr>
          <w:rFonts w:eastAsia="Times New Roman"/>
          <w:color w:val="1D2228"/>
          <w:sz w:val="24"/>
          <w:szCs w:val="24"/>
          <w:lang w:eastAsia="en-GB"/>
        </w:rPr>
        <w:t xml:space="preserve">Only </w:t>
      </w:r>
      <w:r w:rsidR="0017304B">
        <w:rPr>
          <w:rFonts w:eastAsia="Times New Roman"/>
          <w:color w:val="1D2228"/>
          <w:sz w:val="24"/>
          <w:szCs w:val="24"/>
          <w:lang w:eastAsia="en-GB"/>
        </w:rPr>
        <w:t>a minority of patients (n=</w:t>
      </w:r>
      <w:r w:rsidR="0017304B" w:rsidRPr="004A2E09">
        <w:rPr>
          <w:rFonts w:eastAsia="Times New Roman"/>
          <w:color w:val="1D2228"/>
          <w:sz w:val="24"/>
          <w:szCs w:val="24"/>
          <w:lang w:eastAsia="en-GB"/>
        </w:rPr>
        <w:t>41</w:t>
      </w:r>
      <w:r w:rsidR="0017304B">
        <w:rPr>
          <w:rFonts w:eastAsia="Times New Roman"/>
          <w:color w:val="1D2228"/>
          <w:sz w:val="24"/>
          <w:szCs w:val="24"/>
          <w:lang w:eastAsia="en-GB"/>
        </w:rPr>
        <w:t xml:space="preserve">, </w:t>
      </w:r>
      <w:r w:rsidR="0017304B" w:rsidRPr="004A2E09">
        <w:rPr>
          <w:rFonts w:eastAsia="Times New Roman"/>
          <w:color w:val="1D2228"/>
          <w:sz w:val="24"/>
          <w:szCs w:val="24"/>
          <w:lang w:eastAsia="en-GB"/>
        </w:rPr>
        <w:t>30%) were diagnosed after 2009. Of that cohort, 28 (68.3%) were treated with biologic</w:t>
      </w:r>
      <w:r w:rsidR="0017304B">
        <w:rPr>
          <w:rFonts w:eastAsia="Times New Roman"/>
          <w:color w:val="1D2228"/>
          <w:sz w:val="24"/>
          <w:szCs w:val="24"/>
          <w:lang w:eastAsia="en-GB"/>
        </w:rPr>
        <w:t xml:space="preserve"> but t</w:t>
      </w:r>
      <w:r w:rsidR="0017304B" w:rsidRPr="004A2E09">
        <w:rPr>
          <w:rFonts w:eastAsia="Times New Roman"/>
          <w:color w:val="1D2228"/>
          <w:sz w:val="24"/>
          <w:szCs w:val="24"/>
          <w:lang w:eastAsia="en-GB"/>
        </w:rPr>
        <w:t xml:space="preserve">he proportion of patients with early exposure to biological therapy (within 2 years) was relatively low. Due to the low number of patients, we were unable to meaningfully assess the impact of </w:t>
      </w:r>
      <w:r w:rsidR="00012814">
        <w:rPr>
          <w:rFonts w:eastAsia="Times New Roman"/>
          <w:color w:val="1D2228"/>
          <w:sz w:val="24"/>
          <w:szCs w:val="24"/>
          <w:lang w:eastAsia="en-GB"/>
        </w:rPr>
        <w:t xml:space="preserve">routine maintenance </w:t>
      </w:r>
      <w:r w:rsidR="0017304B" w:rsidRPr="004A2E09">
        <w:rPr>
          <w:rFonts w:eastAsia="Times New Roman"/>
          <w:color w:val="1D2228"/>
          <w:sz w:val="24"/>
          <w:szCs w:val="24"/>
          <w:lang w:eastAsia="en-GB"/>
        </w:rPr>
        <w:t xml:space="preserve">anti-TNF therapy </w:t>
      </w:r>
      <w:r w:rsidR="0017304B">
        <w:rPr>
          <w:rFonts w:eastAsia="Times New Roman"/>
          <w:color w:val="1D2228"/>
          <w:sz w:val="24"/>
          <w:szCs w:val="24"/>
          <w:lang w:eastAsia="en-GB"/>
        </w:rPr>
        <w:t xml:space="preserve">after </w:t>
      </w:r>
      <w:r w:rsidR="00012814">
        <w:rPr>
          <w:rFonts w:eastAsia="Times New Roman"/>
          <w:color w:val="1D2228"/>
          <w:sz w:val="24"/>
          <w:szCs w:val="24"/>
          <w:lang w:eastAsia="en-GB"/>
        </w:rPr>
        <w:t>its</w:t>
      </w:r>
      <w:r w:rsidR="0017304B">
        <w:rPr>
          <w:rFonts w:eastAsia="Times New Roman"/>
          <w:color w:val="1D2228"/>
          <w:sz w:val="24"/>
          <w:szCs w:val="24"/>
          <w:lang w:eastAsia="en-GB"/>
        </w:rPr>
        <w:t xml:space="preserve"> introduction </w:t>
      </w:r>
      <w:r w:rsidR="00012814">
        <w:rPr>
          <w:rFonts w:eastAsia="Times New Roman"/>
          <w:color w:val="1D2228"/>
          <w:sz w:val="24"/>
          <w:szCs w:val="24"/>
          <w:lang w:eastAsia="en-GB"/>
        </w:rPr>
        <w:t>to our clinical practice</w:t>
      </w:r>
      <w:r w:rsidR="0017304B" w:rsidRPr="004A2E09">
        <w:rPr>
          <w:rFonts w:eastAsia="Times New Roman"/>
          <w:color w:val="1D2228"/>
          <w:sz w:val="24"/>
          <w:szCs w:val="24"/>
          <w:lang w:eastAsia="en-GB"/>
        </w:rPr>
        <w:t>.</w:t>
      </w:r>
    </w:p>
    <w:p w:rsidR="00AF67D9" w:rsidRDefault="00AF67D9" w:rsidP="000753E4">
      <w:pPr>
        <w:spacing w:line="480" w:lineRule="auto"/>
        <w:jc w:val="both"/>
        <w:rPr>
          <w:color w:val="000000" w:themeColor="text1"/>
          <w:sz w:val="24"/>
          <w:szCs w:val="24"/>
        </w:rPr>
      </w:pPr>
      <w:r>
        <w:rPr>
          <w:color w:val="000000" w:themeColor="text1"/>
          <w:sz w:val="24"/>
          <w:szCs w:val="24"/>
        </w:rPr>
        <w:t>We noted a high rate of inflammatory phenotype at diagnosis consistent with previous studies</w:t>
      </w:r>
      <w:r w:rsidRPr="003C24FF">
        <w:rPr>
          <w:noProof/>
          <w:color w:val="000000" w:themeColor="text1"/>
          <w:sz w:val="24"/>
          <w:szCs w:val="24"/>
          <w:vertAlign w:val="superscript"/>
        </w:rPr>
        <w:t>23, 24</w:t>
      </w:r>
      <w:r>
        <w:rPr>
          <w:color w:val="000000" w:themeColor="text1"/>
          <w:sz w:val="24"/>
          <w:szCs w:val="24"/>
        </w:rPr>
        <w:t>. However, just over a third of patients developed either a stricturing or penetrating phenotype during follow-up. The rate of progression reported in our cohort is broadly comparable to previous reports of between 24-43% and 14-44% developing a stricturing and penetrating phenotype respectively</w:t>
      </w:r>
      <w:r w:rsidRPr="003C24FF">
        <w:rPr>
          <w:noProof/>
          <w:color w:val="000000" w:themeColor="text1"/>
          <w:sz w:val="24"/>
          <w:szCs w:val="24"/>
          <w:vertAlign w:val="superscript"/>
        </w:rPr>
        <w:t>8, 14, 23, 24</w:t>
      </w:r>
      <w:r>
        <w:rPr>
          <w:color w:val="000000" w:themeColor="text1"/>
          <w:sz w:val="24"/>
          <w:szCs w:val="24"/>
        </w:rPr>
        <w:t>. Despite the high rate of exposure to biologicals, it is surprising that the rate of complicated disease behaviour in our study is not significantly lower than reported previously. This could be readily explained by differences in study population and the fact that the median disease duration prior to treatment with biological agents was 5 years in our cohort. In keeping with this, a recent prospective study in PCD showed that only early initiation of anti-TNF agents (within 90 days of diagnosis) was associated with a reduction in intestinal penetrating complications</w:t>
      </w:r>
      <w:r w:rsidRPr="003C24FF">
        <w:rPr>
          <w:noProof/>
          <w:color w:val="000000" w:themeColor="text1"/>
          <w:sz w:val="24"/>
          <w:szCs w:val="24"/>
          <w:vertAlign w:val="superscript"/>
        </w:rPr>
        <w:t>25</w:t>
      </w:r>
      <w:r>
        <w:rPr>
          <w:color w:val="000000" w:themeColor="text1"/>
          <w:sz w:val="24"/>
          <w:szCs w:val="24"/>
        </w:rPr>
        <w:t xml:space="preserve">. Interestingly, we did not find an association between </w:t>
      </w:r>
      <w:r>
        <w:rPr>
          <w:color w:val="000000" w:themeColor="text1"/>
          <w:sz w:val="24"/>
          <w:szCs w:val="24"/>
        </w:rPr>
        <w:lastRenderedPageBreak/>
        <w:t>early anti-TNF therapy and disease behaviour but our study was under-powered to address this question. Overall, it is yet unclear whether anti-TNF agents halt the progression to a complicated phenotype with some studies suggesting a protective effect</w:t>
      </w:r>
      <w:r w:rsidRPr="003C24FF">
        <w:rPr>
          <w:noProof/>
          <w:color w:val="000000" w:themeColor="text1"/>
          <w:sz w:val="24"/>
          <w:szCs w:val="24"/>
          <w:vertAlign w:val="superscript"/>
        </w:rPr>
        <w:t>26, 27</w:t>
      </w:r>
      <w:r>
        <w:rPr>
          <w:color w:val="000000" w:themeColor="text1"/>
          <w:sz w:val="24"/>
          <w:szCs w:val="24"/>
        </w:rPr>
        <w:t xml:space="preserve"> whilst others do not</w:t>
      </w:r>
      <w:r w:rsidRPr="003C24FF">
        <w:rPr>
          <w:noProof/>
          <w:color w:val="000000" w:themeColor="text1"/>
          <w:sz w:val="24"/>
          <w:szCs w:val="24"/>
          <w:vertAlign w:val="superscript"/>
        </w:rPr>
        <w:t>28</w:t>
      </w:r>
      <w:r>
        <w:rPr>
          <w:color w:val="000000" w:themeColor="text1"/>
          <w:sz w:val="24"/>
          <w:szCs w:val="24"/>
        </w:rPr>
        <w:t xml:space="preserve">. </w:t>
      </w:r>
    </w:p>
    <w:p w:rsidR="00AF67D9" w:rsidRPr="0026272D" w:rsidRDefault="00AF67D9" w:rsidP="0026272D">
      <w:pPr>
        <w:autoSpaceDE w:val="0"/>
        <w:autoSpaceDN w:val="0"/>
        <w:adjustRightInd w:val="0"/>
        <w:spacing w:after="0" w:line="480" w:lineRule="auto"/>
        <w:jc w:val="both"/>
        <w:rPr>
          <w:color w:val="000000"/>
          <w:sz w:val="24"/>
          <w:szCs w:val="24"/>
          <w:lang w:val="en-US"/>
        </w:rPr>
      </w:pPr>
      <w:r w:rsidRPr="0026272D">
        <w:rPr>
          <w:color w:val="000000" w:themeColor="text1"/>
          <w:sz w:val="24"/>
          <w:szCs w:val="24"/>
        </w:rPr>
        <w:t xml:space="preserve">The rate of surgery in our cohort is broadly comparable to findings from other studies. </w:t>
      </w:r>
      <w:r w:rsidRPr="0026272D">
        <w:rPr>
          <w:color w:val="000000"/>
          <w:sz w:val="24"/>
          <w:szCs w:val="24"/>
          <w:lang w:val="en-US"/>
        </w:rPr>
        <w:t>This is</w:t>
      </w:r>
    </w:p>
    <w:p w:rsidR="00AF67D9" w:rsidRPr="0026272D" w:rsidRDefault="00AF67D9" w:rsidP="0026272D">
      <w:pPr>
        <w:autoSpaceDE w:val="0"/>
        <w:autoSpaceDN w:val="0"/>
        <w:adjustRightInd w:val="0"/>
        <w:spacing w:after="0" w:line="480" w:lineRule="auto"/>
        <w:jc w:val="both"/>
        <w:rPr>
          <w:color w:val="000000"/>
          <w:sz w:val="24"/>
          <w:szCs w:val="24"/>
          <w:lang w:val="en-US"/>
        </w:rPr>
      </w:pPr>
      <w:r w:rsidRPr="0026272D">
        <w:rPr>
          <w:color w:val="000000"/>
          <w:sz w:val="24"/>
          <w:szCs w:val="24"/>
          <w:lang w:val="en-US"/>
        </w:rPr>
        <w:t>in line with figures from elsewhere reporting surgery proportions ranging from 14% to 20% after 3 years of follow-up</w:t>
      </w:r>
      <w:r w:rsidRPr="003C24FF">
        <w:rPr>
          <w:noProof/>
          <w:color w:val="000000"/>
          <w:sz w:val="24"/>
          <w:szCs w:val="24"/>
          <w:vertAlign w:val="superscript"/>
          <w:lang w:val="en-US"/>
        </w:rPr>
        <w:t>29, 30</w:t>
      </w:r>
      <w:r w:rsidRPr="0026272D">
        <w:rPr>
          <w:color w:val="000000"/>
          <w:sz w:val="24"/>
          <w:szCs w:val="24"/>
          <w:lang w:val="en-US"/>
        </w:rPr>
        <w:t>.</w:t>
      </w:r>
      <w:r>
        <w:rPr>
          <w:color w:val="0000FF"/>
          <w:sz w:val="24"/>
          <w:szCs w:val="24"/>
          <w:lang w:val="en-US"/>
        </w:rPr>
        <w:t xml:space="preserve"> </w:t>
      </w:r>
      <w:r w:rsidRPr="0026272D">
        <w:rPr>
          <w:color w:val="000000"/>
          <w:sz w:val="24"/>
          <w:szCs w:val="24"/>
          <w:lang w:val="en-US"/>
        </w:rPr>
        <w:t xml:space="preserve">The 5-year probability of surgery in </w:t>
      </w:r>
      <w:r>
        <w:rPr>
          <w:color w:val="000000"/>
          <w:sz w:val="24"/>
          <w:szCs w:val="24"/>
          <w:lang w:val="en-US"/>
        </w:rPr>
        <w:t xml:space="preserve">our cohort </w:t>
      </w:r>
      <w:r w:rsidRPr="0026272D">
        <w:rPr>
          <w:color w:val="000000"/>
          <w:sz w:val="24"/>
          <w:szCs w:val="24"/>
          <w:lang w:val="en-US"/>
        </w:rPr>
        <w:t xml:space="preserve">and this figure </w:t>
      </w:r>
      <w:r>
        <w:rPr>
          <w:color w:val="000000"/>
          <w:sz w:val="24"/>
          <w:szCs w:val="24"/>
          <w:lang w:val="en-US"/>
        </w:rPr>
        <w:t>is higher than the 15% resection rates in recent studies of PCD patients with a lower frequency of exposure to biological agents</w:t>
      </w:r>
      <w:r w:rsidRPr="003C24FF">
        <w:rPr>
          <w:noProof/>
          <w:color w:val="000000"/>
          <w:sz w:val="24"/>
          <w:szCs w:val="24"/>
          <w:vertAlign w:val="superscript"/>
          <w:lang w:val="en-US"/>
        </w:rPr>
        <w:t>22, 31</w:t>
      </w:r>
      <w:r>
        <w:rPr>
          <w:color w:val="000000"/>
          <w:sz w:val="24"/>
          <w:szCs w:val="24"/>
          <w:lang w:val="en-US"/>
        </w:rPr>
        <w:t>.</w:t>
      </w:r>
      <w:r w:rsidRPr="0026272D">
        <w:rPr>
          <w:color w:val="000000"/>
          <w:sz w:val="24"/>
          <w:szCs w:val="24"/>
          <w:lang w:val="en-US"/>
        </w:rPr>
        <w:t xml:space="preserve"> </w:t>
      </w:r>
      <w:r>
        <w:rPr>
          <w:color w:val="000000"/>
          <w:sz w:val="24"/>
          <w:szCs w:val="24"/>
          <w:lang w:val="en-US"/>
        </w:rPr>
        <w:t xml:space="preserve">Interestingly, higher rates </w:t>
      </w:r>
      <w:r w:rsidRPr="0026272D">
        <w:rPr>
          <w:color w:val="000000"/>
          <w:sz w:val="24"/>
          <w:szCs w:val="24"/>
          <w:lang w:val="en-US"/>
        </w:rPr>
        <w:t>of surgery have been reported from selected hospital units with up to 24% during 4 years of follow-up</w:t>
      </w:r>
      <w:r w:rsidRPr="00483124">
        <w:rPr>
          <w:noProof/>
          <w:color w:val="000000"/>
          <w:sz w:val="24"/>
          <w:szCs w:val="24"/>
          <w:vertAlign w:val="superscript"/>
          <w:lang w:val="en-US"/>
        </w:rPr>
        <w:t>32</w:t>
      </w:r>
      <w:r w:rsidRPr="0026272D">
        <w:rPr>
          <w:color w:val="0000FF"/>
          <w:sz w:val="24"/>
          <w:szCs w:val="24"/>
          <w:lang w:val="en-US"/>
        </w:rPr>
        <w:t xml:space="preserve"> </w:t>
      </w:r>
      <w:r w:rsidRPr="0026272D">
        <w:rPr>
          <w:color w:val="000000"/>
          <w:sz w:val="24"/>
          <w:szCs w:val="24"/>
          <w:lang w:val="en-US"/>
        </w:rPr>
        <w:t>and up to 44% during 2 years</w:t>
      </w:r>
      <w:r>
        <w:rPr>
          <w:color w:val="000000"/>
          <w:sz w:val="24"/>
          <w:szCs w:val="24"/>
          <w:lang w:val="en-US"/>
        </w:rPr>
        <w:t xml:space="preserve"> </w:t>
      </w:r>
      <w:r w:rsidRPr="0026272D">
        <w:rPr>
          <w:color w:val="000000"/>
          <w:sz w:val="24"/>
          <w:szCs w:val="24"/>
          <w:lang w:val="en-US"/>
        </w:rPr>
        <w:t>of follow-up</w:t>
      </w:r>
      <w:r w:rsidRPr="00483124">
        <w:rPr>
          <w:noProof/>
          <w:color w:val="000000"/>
          <w:sz w:val="24"/>
          <w:szCs w:val="24"/>
          <w:vertAlign w:val="superscript"/>
          <w:lang w:val="en-US"/>
        </w:rPr>
        <w:t>33</w:t>
      </w:r>
      <w:r w:rsidRPr="0026272D">
        <w:rPr>
          <w:color w:val="000000"/>
          <w:sz w:val="24"/>
          <w:szCs w:val="24"/>
          <w:lang w:val="en-US"/>
        </w:rPr>
        <w:t>.</w:t>
      </w:r>
      <w:r>
        <w:rPr>
          <w:color w:val="000000"/>
          <w:sz w:val="24"/>
          <w:szCs w:val="24"/>
          <w:lang w:val="en-US"/>
        </w:rPr>
        <w:t xml:space="preserve"> It is noteworthy that the surgical rate in our cohort is high despite the extensive use of biologics. This is consistent with findings from a Danish nationwide cohort study which reported no significant change in surgical rates over time despite an increase in the use of biologic agents</w:t>
      </w:r>
      <w:r w:rsidRPr="003C24FF">
        <w:rPr>
          <w:noProof/>
          <w:color w:val="000000"/>
          <w:sz w:val="24"/>
          <w:szCs w:val="24"/>
          <w:vertAlign w:val="superscript"/>
          <w:lang w:val="en-US"/>
        </w:rPr>
        <w:t>22</w:t>
      </w:r>
      <w:r>
        <w:rPr>
          <w:color w:val="000000"/>
          <w:sz w:val="24"/>
          <w:szCs w:val="24"/>
          <w:lang w:val="en-US"/>
        </w:rPr>
        <w:t xml:space="preserve">. Moreover, many of the patients treated in our cohort were treated with biologic agents later on in the disease course. </w:t>
      </w:r>
    </w:p>
    <w:p w:rsidR="00AF67D9" w:rsidRDefault="00AF67D9" w:rsidP="000753E4">
      <w:pPr>
        <w:spacing w:line="480" w:lineRule="auto"/>
        <w:jc w:val="both"/>
        <w:rPr>
          <w:color w:val="000000" w:themeColor="text1"/>
          <w:sz w:val="24"/>
          <w:szCs w:val="24"/>
        </w:rPr>
      </w:pPr>
      <w:r w:rsidRPr="00AD6333">
        <w:rPr>
          <w:color w:val="000000" w:themeColor="text1"/>
          <w:sz w:val="24"/>
          <w:szCs w:val="24"/>
        </w:rPr>
        <w:t xml:space="preserve">Our study has some notable strengths and limitations. </w:t>
      </w:r>
      <w:r>
        <w:rPr>
          <w:color w:val="000000" w:themeColor="text1"/>
          <w:sz w:val="24"/>
          <w:szCs w:val="24"/>
        </w:rPr>
        <w:t xml:space="preserve">All the patients in our cohort were closely followed up clinically, endoscopically and radiologically allowing for robust measures of disease location and complication rates. In addition, the length of follow-up and the contemporary nature of our study are particular strengths. Almost all of the previous studies were done prior to the widespread use of biologic agents hampering conclusions on the impact of biological therapy on the evolution of PCD. Our study population was derived from a tertiary centre IBD practice and consequently included patients with extensive and complicated disease history and may not be representative of other population based PCD cohorts. This is consistent with a high rate of exposure to biological agents in our study population. Finally, structured </w:t>
      </w:r>
      <w:r>
        <w:rPr>
          <w:color w:val="000000" w:themeColor="text1"/>
          <w:sz w:val="24"/>
          <w:szCs w:val="24"/>
        </w:rPr>
        <w:lastRenderedPageBreak/>
        <w:t>data on biomarkers or mucosal healing were not available to examine the impact of these factors on risk of surgery.</w:t>
      </w:r>
    </w:p>
    <w:p w:rsidR="00AF67D9" w:rsidRDefault="00AF67D9" w:rsidP="000753E4">
      <w:pPr>
        <w:spacing w:line="480" w:lineRule="auto"/>
        <w:jc w:val="both"/>
        <w:rPr>
          <w:color w:val="000000" w:themeColor="text1"/>
          <w:sz w:val="24"/>
          <w:szCs w:val="24"/>
        </w:rPr>
      </w:pPr>
      <w:r>
        <w:rPr>
          <w:color w:val="000000" w:themeColor="text1"/>
          <w:sz w:val="24"/>
          <w:szCs w:val="24"/>
        </w:rPr>
        <w:t xml:space="preserve">In summary, we conclude that the severe phenotype of PCD at presentation was attenuated at follow up in a proportion of patients, likely due to the regular use of biological therapy. </w:t>
      </w:r>
    </w:p>
    <w:p w:rsidR="0010487C" w:rsidRDefault="0010487C" w:rsidP="003E3DA4">
      <w:pPr>
        <w:spacing w:line="480" w:lineRule="auto"/>
        <w:jc w:val="both"/>
        <w:rPr>
          <w:b/>
          <w:sz w:val="24"/>
          <w:szCs w:val="24"/>
        </w:rPr>
      </w:pPr>
    </w:p>
    <w:p w:rsidR="003E3DA4" w:rsidRDefault="003E3DA4" w:rsidP="003E3DA4">
      <w:pPr>
        <w:spacing w:line="480" w:lineRule="auto"/>
        <w:jc w:val="both"/>
        <w:rPr>
          <w:b/>
          <w:sz w:val="24"/>
          <w:szCs w:val="24"/>
        </w:rPr>
      </w:pPr>
      <w:r>
        <w:rPr>
          <w:b/>
          <w:sz w:val="24"/>
          <w:szCs w:val="24"/>
        </w:rPr>
        <w:t>Table 1: Uni</w:t>
      </w:r>
      <w:r w:rsidR="007602DB">
        <w:rPr>
          <w:b/>
          <w:sz w:val="24"/>
          <w:szCs w:val="24"/>
        </w:rPr>
        <w:t>- and multi-</w:t>
      </w:r>
      <w:r>
        <w:rPr>
          <w:b/>
          <w:sz w:val="24"/>
          <w:szCs w:val="24"/>
        </w:rPr>
        <w:t>variate analysis</w:t>
      </w:r>
      <w:r w:rsidR="007602DB">
        <w:rPr>
          <w:b/>
          <w:sz w:val="24"/>
          <w:szCs w:val="24"/>
        </w:rPr>
        <w:t>*</w:t>
      </w:r>
      <w:r>
        <w:rPr>
          <w:b/>
          <w:sz w:val="24"/>
          <w:szCs w:val="24"/>
        </w:rPr>
        <w:t xml:space="preserve"> of factors associated with complicated disease behaviour</w:t>
      </w:r>
    </w:p>
    <w:tbl>
      <w:tblPr>
        <w:tblStyle w:val="TableGrid"/>
        <w:tblW w:w="0" w:type="auto"/>
        <w:tblLook w:val="04A0" w:firstRow="1" w:lastRow="0" w:firstColumn="1" w:lastColumn="0" w:noHBand="0" w:noVBand="1"/>
      </w:tblPr>
      <w:tblGrid>
        <w:gridCol w:w="3013"/>
        <w:gridCol w:w="1529"/>
        <w:gridCol w:w="1925"/>
        <w:gridCol w:w="1249"/>
        <w:gridCol w:w="1294"/>
      </w:tblGrid>
      <w:tr w:rsidR="003E3DA4" w:rsidRPr="00003E6C" w:rsidTr="00F424CF">
        <w:tc>
          <w:tcPr>
            <w:tcW w:w="3085" w:type="dxa"/>
          </w:tcPr>
          <w:p w:rsidR="003E3DA4" w:rsidRPr="00177243" w:rsidRDefault="003E3DA4" w:rsidP="00F424CF">
            <w:pPr>
              <w:rPr>
                <w:b/>
                <w:color w:val="000000" w:themeColor="text1"/>
              </w:rPr>
            </w:pPr>
            <w:r w:rsidRPr="00177243">
              <w:rPr>
                <w:b/>
                <w:color w:val="000000" w:themeColor="text1"/>
              </w:rPr>
              <w:t>Diagnosis characteristics</w:t>
            </w:r>
          </w:p>
        </w:tc>
        <w:tc>
          <w:tcPr>
            <w:tcW w:w="1559" w:type="dxa"/>
          </w:tcPr>
          <w:p w:rsidR="003E3DA4" w:rsidRPr="00177243" w:rsidRDefault="003E3DA4" w:rsidP="00F424CF">
            <w:pPr>
              <w:jc w:val="center"/>
              <w:rPr>
                <w:b/>
                <w:color w:val="000000" w:themeColor="text1"/>
              </w:rPr>
            </w:pPr>
            <w:r w:rsidRPr="00177243">
              <w:rPr>
                <w:b/>
                <w:color w:val="000000" w:themeColor="text1"/>
              </w:rPr>
              <w:t>Hazard ratio</w:t>
            </w:r>
          </w:p>
        </w:tc>
        <w:tc>
          <w:tcPr>
            <w:tcW w:w="1985" w:type="dxa"/>
          </w:tcPr>
          <w:p w:rsidR="003E3DA4" w:rsidRPr="00177243" w:rsidRDefault="003E3DA4" w:rsidP="00F424CF">
            <w:pPr>
              <w:jc w:val="center"/>
              <w:rPr>
                <w:b/>
                <w:color w:val="000000" w:themeColor="text1"/>
              </w:rPr>
            </w:pPr>
            <w:r w:rsidRPr="00177243">
              <w:rPr>
                <w:b/>
                <w:color w:val="000000" w:themeColor="text1"/>
              </w:rPr>
              <w:t>95% CI</w:t>
            </w:r>
          </w:p>
        </w:tc>
        <w:tc>
          <w:tcPr>
            <w:tcW w:w="1276" w:type="dxa"/>
          </w:tcPr>
          <w:p w:rsidR="003E3DA4" w:rsidRPr="00177243" w:rsidRDefault="003E3DA4" w:rsidP="00F424CF">
            <w:pPr>
              <w:jc w:val="center"/>
              <w:rPr>
                <w:b/>
                <w:color w:val="000000" w:themeColor="text1"/>
              </w:rPr>
            </w:pPr>
            <w:r w:rsidRPr="00177243">
              <w:rPr>
                <w:b/>
                <w:color w:val="000000" w:themeColor="text1"/>
              </w:rPr>
              <w:t>p-value</w:t>
            </w:r>
          </w:p>
        </w:tc>
        <w:tc>
          <w:tcPr>
            <w:tcW w:w="1337" w:type="dxa"/>
          </w:tcPr>
          <w:p w:rsidR="003E3DA4" w:rsidRPr="00177243" w:rsidRDefault="003E3DA4" w:rsidP="00F424CF">
            <w:pPr>
              <w:jc w:val="center"/>
              <w:rPr>
                <w:b/>
                <w:color w:val="000000" w:themeColor="text1"/>
              </w:rPr>
            </w:pPr>
            <w:r w:rsidRPr="00177243">
              <w:rPr>
                <w:b/>
                <w:color w:val="000000" w:themeColor="text1"/>
              </w:rPr>
              <w:t>N</w:t>
            </w:r>
          </w:p>
        </w:tc>
      </w:tr>
      <w:tr w:rsidR="003E3DA4" w:rsidRPr="00F63FC6" w:rsidTr="00F424CF">
        <w:tc>
          <w:tcPr>
            <w:tcW w:w="3085" w:type="dxa"/>
            <w:tcBorders>
              <w:bottom w:val="single" w:sz="4" w:space="0" w:color="auto"/>
            </w:tcBorders>
          </w:tcPr>
          <w:p w:rsidR="003E3DA4" w:rsidRPr="00177243" w:rsidRDefault="003E3DA4" w:rsidP="00F424CF">
            <w:pPr>
              <w:rPr>
                <w:color w:val="000000" w:themeColor="text1"/>
              </w:rPr>
            </w:pPr>
            <w:r w:rsidRPr="00177243">
              <w:rPr>
                <w:color w:val="000000" w:themeColor="text1"/>
              </w:rPr>
              <w:t xml:space="preserve">Age &lt;10 </w:t>
            </w:r>
          </w:p>
        </w:tc>
        <w:tc>
          <w:tcPr>
            <w:tcW w:w="1559"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1.68</w:t>
            </w:r>
          </w:p>
        </w:tc>
        <w:tc>
          <w:tcPr>
            <w:tcW w:w="1985"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(0.54, 5.22)</w:t>
            </w:r>
          </w:p>
        </w:tc>
        <w:tc>
          <w:tcPr>
            <w:tcW w:w="1276"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0.372</w:t>
            </w:r>
          </w:p>
        </w:tc>
        <w:tc>
          <w:tcPr>
            <w:tcW w:w="1337"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15</w:t>
            </w:r>
          </w:p>
        </w:tc>
      </w:tr>
      <w:tr w:rsidR="003E3DA4" w:rsidRPr="007373F7" w:rsidTr="00F424CF">
        <w:tc>
          <w:tcPr>
            <w:tcW w:w="3085" w:type="dxa"/>
            <w:tcBorders>
              <w:bottom w:val="nil"/>
            </w:tcBorders>
          </w:tcPr>
          <w:p w:rsidR="003E3DA4" w:rsidRPr="00177243" w:rsidRDefault="003E3DA4" w:rsidP="00F424CF">
            <w:pPr>
              <w:rPr>
                <w:color w:val="000000" w:themeColor="text1"/>
              </w:rPr>
            </w:pPr>
            <w:r>
              <w:rPr>
                <w:color w:val="000000" w:themeColor="text1"/>
              </w:rPr>
              <w:t>Male sex</w:t>
            </w:r>
          </w:p>
        </w:tc>
        <w:tc>
          <w:tcPr>
            <w:tcW w:w="1559" w:type="dxa"/>
            <w:tcBorders>
              <w:bottom w:val="nil"/>
            </w:tcBorders>
          </w:tcPr>
          <w:p w:rsidR="003E3DA4" w:rsidRPr="00F133C7" w:rsidRDefault="003E3DA4" w:rsidP="00F424CF">
            <w:pPr>
              <w:jc w:val="center"/>
              <w:rPr>
                <w:color w:val="000000" w:themeColor="text1"/>
              </w:rPr>
            </w:pPr>
            <w:r>
              <w:rPr>
                <w:color w:val="000000" w:themeColor="text1"/>
              </w:rPr>
              <w:t>0.70</w:t>
            </w:r>
          </w:p>
        </w:tc>
        <w:tc>
          <w:tcPr>
            <w:tcW w:w="1985" w:type="dxa"/>
            <w:tcBorders>
              <w:bottom w:val="nil"/>
            </w:tcBorders>
          </w:tcPr>
          <w:p w:rsidR="003E3DA4" w:rsidRPr="00F133C7" w:rsidRDefault="003E3DA4" w:rsidP="00F424CF">
            <w:pPr>
              <w:jc w:val="center"/>
              <w:rPr>
                <w:color w:val="000000" w:themeColor="text1"/>
              </w:rPr>
            </w:pPr>
            <w:r>
              <w:rPr>
                <w:color w:val="000000" w:themeColor="text1"/>
              </w:rPr>
              <w:t>(0.35, 1.42)</w:t>
            </w:r>
          </w:p>
        </w:tc>
        <w:tc>
          <w:tcPr>
            <w:tcW w:w="1276" w:type="dxa"/>
            <w:tcBorders>
              <w:bottom w:val="nil"/>
            </w:tcBorders>
          </w:tcPr>
          <w:p w:rsidR="003E3DA4" w:rsidRPr="00177243" w:rsidRDefault="003E3DA4" w:rsidP="00F424CF">
            <w:pPr>
              <w:jc w:val="center"/>
              <w:rPr>
                <w:color w:val="000000" w:themeColor="text1"/>
              </w:rPr>
            </w:pPr>
            <w:r>
              <w:rPr>
                <w:color w:val="000000" w:themeColor="text1"/>
              </w:rPr>
              <w:t>0.328</w:t>
            </w:r>
          </w:p>
        </w:tc>
        <w:tc>
          <w:tcPr>
            <w:tcW w:w="1337" w:type="dxa"/>
            <w:tcBorders>
              <w:bottom w:val="nil"/>
            </w:tcBorders>
          </w:tcPr>
          <w:p w:rsidR="003E3DA4" w:rsidRPr="00177243" w:rsidRDefault="003E3DA4" w:rsidP="00F424CF">
            <w:pPr>
              <w:jc w:val="center"/>
              <w:rPr>
                <w:i/>
                <w:color w:val="000000" w:themeColor="text1"/>
              </w:rPr>
            </w:pPr>
          </w:p>
        </w:tc>
      </w:tr>
      <w:tr w:rsidR="003E3DA4" w:rsidRPr="007373F7" w:rsidTr="00F424CF">
        <w:tc>
          <w:tcPr>
            <w:tcW w:w="3085" w:type="dxa"/>
            <w:tcBorders>
              <w:bottom w:val="nil"/>
            </w:tcBorders>
          </w:tcPr>
          <w:p w:rsidR="003E3DA4" w:rsidRPr="00177243" w:rsidRDefault="003E3DA4" w:rsidP="00F424CF">
            <w:pPr>
              <w:rPr>
                <w:color w:val="000000" w:themeColor="text1"/>
              </w:rPr>
            </w:pPr>
            <w:r w:rsidRPr="00177243">
              <w:rPr>
                <w:color w:val="000000" w:themeColor="text1"/>
              </w:rPr>
              <w:t>Location: baseline L2 (n= 39)</w:t>
            </w:r>
          </w:p>
        </w:tc>
        <w:tc>
          <w:tcPr>
            <w:tcW w:w="1559" w:type="dxa"/>
            <w:tcBorders>
              <w:bottom w:val="nil"/>
            </w:tcBorders>
          </w:tcPr>
          <w:p w:rsidR="003E3DA4" w:rsidRPr="00177243" w:rsidRDefault="003E3DA4" w:rsidP="00F424CF">
            <w:pPr>
              <w:jc w:val="center"/>
              <w:rPr>
                <w:i/>
                <w:color w:val="000000" w:themeColor="text1"/>
              </w:rPr>
            </w:pPr>
          </w:p>
        </w:tc>
        <w:tc>
          <w:tcPr>
            <w:tcW w:w="1985" w:type="dxa"/>
            <w:tcBorders>
              <w:bottom w:val="nil"/>
            </w:tcBorders>
          </w:tcPr>
          <w:p w:rsidR="003E3DA4" w:rsidRPr="00177243" w:rsidRDefault="003E3DA4" w:rsidP="00F424CF">
            <w:pPr>
              <w:jc w:val="center"/>
              <w:rPr>
                <w:i/>
                <w:color w:val="000000" w:themeColor="text1"/>
              </w:rPr>
            </w:pPr>
          </w:p>
        </w:tc>
        <w:tc>
          <w:tcPr>
            <w:tcW w:w="1276" w:type="dxa"/>
            <w:tcBorders>
              <w:bottom w:val="nil"/>
            </w:tcBorders>
          </w:tcPr>
          <w:p w:rsidR="003E3DA4" w:rsidRPr="00177243" w:rsidRDefault="003E3DA4" w:rsidP="00F424CF">
            <w:pPr>
              <w:jc w:val="center"/>
              <w:rPr>
                <w:color w:val="000000" w:themeColor="text1"/>
              </w:rPr>
            </w:pPr>
            <w:r w:rsidRPr="00177243">
              <w:rPr>
                <w:color w:val="000000" w:themeColor="text1"/>
              </w:rPr>
              <w:t>0.322</w:t>
            </w:r>
          </w:p>
        </w:tc>
        <w:tc>
          <w:tcPr>
            <w:tcW w:w="1337" w:type="dxa"/>
            <w:tcBorders>
              <w:bottom w:val="nil"/>
            </w:tcBorders>
          </w:tcPr>
          <w:p w:rsidR="003E3DA4" w:rsidRPr="00177243" w:rsidRDefault="003E3DA4" w:rsidP="00F424CF">
            <w:pPr>
              <w:jc w:val="center"/>
              <w:rPr>
                <w:i/>
                <w:color w:val="000000" w:themeColor="text1"/>
              </w:rPr>
            </w:pPr>
          </w:p>
        </w:tc>
      </w:tr>
      <w:tr w:rsidR="003E3DA4" w:rsidRPr="007373F7" w:rsidTr="00F424CF">
        <w:tc>
          <w:tcPr>
            <w:tcW w:w="3085" w:type="dxa"/>
            <w:tcBorders>
              <w:top w:val="nil"/>
              <w:bottom w:val="nil"/>
            </w:tcBorders>
          </w:tcPr>
          <w:p w:rsidR="003E3DA4" w:rsidRPr="00177243" w:rsidRDefault="003E3DA4" w:rsidP="00F424CF">
            <w:pPr>
              <w:jc w:val="right"/>
              <w:rPr>
                <w:color w:val="000000" w:themeColor="text1"/>
              </w:rPr>
            </w:pPr>
            <w:r w:rsidRPr="00177243">
              <w:rPr>
                <w:color w:val="000000" w:themeColor="text1"/>
              </w:rPr>
              <w:t>L1</w:t>
            </w:r>
          </w:p>
        </w:tc>
        <w:tc>
          <w:tcPr>
            <w:tcW w:w="1559" w:type="dxa"/>
            <w:tcBorders>
              <w:top w:val="nil"/>
              <w:bottom w:val="nil"/>
            </w:tcBorders>
          </w:tcPr>
          <w:p w:rsidR="003E3DA4" w:rsidRPr="00177243" w:rsidRDefault="003E3DA4" w:rsidP="00F424CF">
            <w:pPr>
              <w:jc w:val="center"/>
              <w:rPr>
                <w:color w:val="000000" w:themeColor="text1"/>
              </w:rPr>
            </w:pPr>
            <w:r w:rsidRPr="00177243">
              <w:rPr>
                <w:color w:val="000000" w:themeColor="text1"/>
              </w:rPr>
              <w:t>1.15</w:t>
            </w:r>
          </w:p>
        </w:tc>
        <w:tc>
          <w:tcPr>
            <w:tcW w:w="1985" w:type="dxa"/>
            <w:tcBorders>
              <w:top w:val="nil"/>
              <w:bottom w:val="nil"/>
            </w:tcBorders>
          </w:tcPr>
          <w:p w:rsidR="003E3DA4" w:rsidRPr="00177243" w:rsidRDefault="003E3DA4" w:rsidP="00F424CF">
            <w:pPr>
              <w:jc w:val="center"/>
              <w:rPr>
                <w:color w:val="000000" w:themeColor="text1"/>
              </w:rPr>
            </w:pPr>
            <w:r w:rsidRPr="00177243">
              <w:rPr>
                <w:color w:val="000000" w:themeColor="text1"/>
              </w:rPr>
              <w:t>(0.41, 3.22)</w:t>
            </w:r>
          </w:p>
        </w:tc>
        <w:tc>
          <w:tcPr>
            <w:tcW w:w="1276" w:type="dxa"/>
            <w:tcBorders>
              <w:top w:val="nil"/>
              <w:bottom w:val="nil"/>
            </w:tcBorders>
          </w:tcPr>
          <w:p w:rsidR="003E3DA4" w:rsidRPr="00177243" w:rsidRDefault="003E3DA4" w:rsidP="00F424CF">
            <w:pPr>
              <w:jc w:val="center"/>
              <w:rPr>
                <w:i/>
                <w:color w:val="000000" w:themeColor="text1"/>
              </w:rPr>
            </w:pPr>
          </w:p>
        </w:tc>
        <w:tc>
          <w:tcPr>
            <w:tcW w:w="1337" w:type="dxa"/>
            <w:tcBorders>
              <w:top w:val="nil"/>
              <w:bottom w:val="nil"/>
            </w:tcBorders>
          </w:tcPr>
          <w:p w:rsidR="003E3DA4" w:rsidRPr="00F133C7" w:rsidRDefault="003E3DA4" w:rsidP="00F424CF">
            <w:pPr>
              <w:jc w:val="center"/>
              <w:rPr>
                <w:color w:val="000000" w:themeColor="text1"/>
              </w:rPr>
            </w:pPr>
            <w:r w:rsidRPr="00F133C7">
              <w:rPr>
                <w:color w:val="000000" w:themeColor="text1"/>
              </w:rPr>
              <w:t>23</w:t>
            </w:r>
          </w:p>
        </w:tc>
      </w:tr>
      <w:tr w:rsidR="003E3DA4" w:rsidRPr="00F63FC6" w:rsidTr="00F424CF">
        <w:tc>
          <w:tcPr>
            <w:tcW w:w="3085" w:type="dxa"/>
            <w:tcBorders>
              <w:top w:val="nil"/>
            </w:tcBorders>
          </w:tcPr>
          <w:p w:rsidR="003E3DA4" w:rsidRPr="00177243" w:rsidRDefault="003E3DA4" w:rsidP="00F424CF">
            <w:pPr>
              <w:jc w:val="right"/>
              <w:rPr>
                <w:color w:val="000000" w:themeColor="text1"/>
              </w:rPr>
            </w:pPr>
            <w:r w:rsidRPr="00177243">
              <w:rPr>
                <w:color w:val="000000" w:themeColor="text1"/>
              </w:rPr>
              <w:t>L3</w:t>
            </w:r>
          </w:p>
        </w:tc>
        <w:tc>
          <w:tcPr>
            <w:tcW w:w="1559" w:type="dxa"/>
            <w:tcBorders>
              <w:top w:val="nil"/>
            </w:tcBorders>
          </w:tcPr>
          <w:p w:rsidR="003E3DA4" w:rsidRPr="00177243" w:rsidRDefault="003E3DA4" w:rsidP="00F424CF">
            <w:pPr>
              <w:jc w:val="center"/>
              <w:rPr>
                <w:color w:val="000000" w:themeColor="text1"/>
              </w:rPr>
            </w:pPr>
            <w:r w:rsidRPr="00177243">
              <w:rPr>
                <w:color w:val="000000" w:themeColor="text1"/>
              </w:rPr>
              <w:t>1.78</w:t>
            </w:r>
          </w:p>
        </w:tc>
        <w:tc>
          <w:tcPr>
            <w:tcW w:w="1985" w:type="dxa"/>
            <w:tcBorders>
              <w:top w:val="nil"/>
            </w:tcBorders>
          </w:tcPr>
          <w:p w:rsidR="003E3DA4" w:rsidRPr="00177243" w:rsidRDefault="003E3DA4" w:rsidP="00F424CF">
            <w:pPr>
              <w:jc w:val="center"/>
              <w:rPr>
                <w:color w:val="000000" w:themeColor="text1"/>
              </w:rPr>
            </w:pPr>
            <w:r w:rsidRPr="00177243">
              <w:rPr>
                <w:color w:val="000000" w:themeColor="text1"/>
              </w:rPr>
              <w:t>(0.81, 3.94)</w:t>
            </w:r>
          </w:p>
        </w:tc>
        <w:tc>
          <w:tcPr>
            <w:tcW w:w="1276" w:type="dxa"/>
            <w:tcBorders>
              <w:top w:val="nil"/>
            </w:tcBorders>
          </w:tcPr>
          <w:p w:rsidR="003E3DA4" w:rsidRPr="00177243" w:rsidRDefault="003E3DA4" w:rsidP="00F424CF">
            <w:pPr>
              <w:jc w:val="center"/>
              <w:rPr>
                <w:i/>
                <w:color w:val="000000" w:themeColor="text1"/>
              </w:rPr>
            </w:pPr>
          </w:p>
        </w:tc>
        <w:tc>
          <w:tcPr>
            <w:tcW w:w="1337" w:type="dxa"/>
            <w:tcBorders>
              <w:top w:val="nil"/>
            </w:tcBorders>
          </w:tcPr>
          <w:p w:rsidR="003E3DA4" w:rsidRPr="00177243" w:rsidRDefault="003E3DA4" w:rsidP="00F424CF">
            <w:pPr>
              <w:jc w:val="center"/>
              <w:rPr>
                <w:color w:val="000000" w:themeColor="text1"/>
              </w:rPr>
            </w:pPr>
            <w:r w:rsidRPr="00177243">
              <w:rPr>
                <w:color w:val="000000" w:themeColor="text1"/>
              </w:rPr>
              <w:t>70</w:t>
            </w:r>
          </w:p>
        </w:tc>
      </w:tr>
      <w:tr w:rsidR="003E3DA4" w:rsidRPr="00F63FC6" w:rsidTr="00F424CF">
        <w:tc>
          <w:tcPr>
            <w:tcW w:w="3085" w:type="dxa"/>
            <w:tcBorders>
              <w:bottom w:val="single" w:sz="4" w:space="0" w:color="auto"/>
            </w:tcBorders>
          </w:tcPr>
          <w:p w:rsidR="003E3DA4" w:rsidRPr="00177243" w:rsidRDefault="003E3DA4" w:rsidP="00F424CF">
            <w:pPr>
              <w:rPr>
                <w:color w:val="000000" w:themeColor="text1"/>
              </w:rPr>
            </w:pPr>
            <w:r w:rsidRPr="00177243">
              <w:rPr>
                <w:color w:val="000000" w:themeColor="text1"/>
              </w:rPr>
              <w:t>L4</w:t>
            </w:r>
          </w:p>
        </w:tc>
        <w:tc>
          <w:tcPr>
            <w:tcW w:w="1559"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1.77</w:t>
            </w:r>
          </w:p>
        </w:tc>
        <w:tc>
          <w:tcPr>
            <w:tcW w:w="1985"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(0.83, 3.74)</w:t>
            </w:r>
          </w:p>
        </w:tc>
        <w:tc>
          <w:tcPr>
            <w:tcW w:w="1276"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0.138</w:t>
            </w:r>
          </w:p>
        </w:tc>
        <w:tc>
          <w:tcPr>
            <w:tcW w:w="1337"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44</w:t>
            </w:r>
          </w:p>
        </w:tc>
      </w:tr>
      <w:tr w:rsidR="003E3DA4" w:rsidRPr="00F63FC6" w:rsidTr="00F424CF">
        <w:tc>
          <w:tcPr>
            <w:tcW w:w="3085" w:type="dxa"/>
          </w:tcPr>
          <w:p w:rsidR="003E3DA4" w:rsidRPr="00177243" w:rsidRDefault="003E3DA4" w:rsidP="00F424CF">
            <w:pPr>
              <w:rPr>
                <w:color w:val="000000" w:themeColor="text1"/>
              </w:rPr>
            </w:pPr>
            <w:r w:rsidRPr="00177243">
              <w:rPr>
                <w:color w:val="000000" w:themeColor="text1"/>
              </w:rPr>
              <w:t xml:space="preserve">Perianal disease </w:t>
            </w:r>
          </w:p>
        </w:tc>
        <w:tc>
          <w:tcPr>
            <w:tcW w:w="1559" w:type="dxa"/>
          </w:tcPr>
          <w:p w:rsidR="003E3DA4" w:rsidRPr="00177243" w:rsidRDefault="003E3DA4" w:rsidP="00F424CF">
            <w:pPr>
              <w:jc w:val="center"/>
              <w:rPr>
                <w:color w:val="000000" w:themeColor="text1"/>
              </w:rPr>
            </w:pPr>
            <w:r w:rsidRPr="00177243">
              <w:rPr>
                <w:color w:val="000000" w:themeColor="text1"/>
              </w:rPr>
              <w:t>3.31</w:t>
            </w:r>
          </w:p>
        </w:tc>
        <w:tc>
          <w:tcPr>
            <w:tcW w:w="1985" w:type="dxa"/>
          </w:tcPr>
          <w:p w:rsidR="003E3DA4" w:rsidRPr="00177243" w:rsidRDefault="003E3DA4" w:rsidP="00F424CF">
            <w:pPr>
              <w:jc w:val="center"/>
              <w:rPr>
                <w:color w:val="000000" w:themeColor="text1"/>
              </w:rPr>
            </w:pPr>
            <w:r w:rsidRPr="00177243">
              <w:rPr>
                <w:color w:val="000000" w:themeColor="text1"/>
              </w:rPr>
              <w:t>(1.23, 8.85)</w:t>
            </w:r>
          </w:p>
        </w:tc>
        <w:tc>
          <w:tcPr>
            <w:tcW w:w="1276" w:type="dxa"/>
          </w:tcPr>
          <w:p w:rsidR="003E3DA4" w:rsidRPr="00177243" w:rsidRDefault="003E3DA4" w:rsidP="00F424CF">
            <w:pPr>
              <w:jc w:val="center"/>
              <w:rPr>
                <w:color w:val="000000" w:themeColor="text1"/>
              </w:rPr>
            </w:pPr>
            <w:r w:rsidRPr="00177243">
              <w:rPr>
                <w:color w:val="000000" w:themeColor="text1"/>
              </w:rPr>
              <w:t>0.017</w:t>
            </w:r>
          </w:p>
        </w:tc>
        <w:tc>
          <w:tcPr>
            <w:tcW w:w="1337" w:type="dxa"/>
          </w:tcPr>
          <w:p w:rsidR="003E3DA4" w:rsidRPr="00177243" w:rsidRDefault="003E3DA4" w:rsidP="00F424CF">
            <w:pPr>
              <w:jc w:val="center"/>
              <w:rPr>
                <w:color w:val="000000" w:themeColor="text1"/>
              </w:rPr>
            </w:pPr>
            <w:r w:rsidRPr="00177243">
              <w:rPr>
                <w:color w:val="000000" w:themeColor="text1"/>
              </w:rPr>
              <w:t>38</w:t>
            </w:r>
          </w:p>
        </w:tc>
      </w:tr>
      <w:tr w:rsidR="003E3DA4" w:rsidRPr="00F63FC6" w:rsidTr="00F424CF">
        <w:tc>
          <w:tcPr>
            <w:tcW w:w="3085" w:type="dxa"/>
            <w:tcBorders>
              <w:bottom w:val="single" w:sz="4" w:space="0" w:color="auto"/>
            </w:tcBorders>
          </w:tcPr>
          <w:p w:rsidR="003E3DA4" w:rsidRPr="00177243" w:rsidRDefault="003E3DA4" w:rsidP="00F424CF">
            <w:pPr>
              <w:rPr>
                <w:color w:val="000000" w:themeColor="text1"/>
              </w:rPr>
            </w:pPr>
            <w:r w:rsidRPr="00177243">
              <w:rPr>
                <w:color w:val="000000" w:themeColor="text1"/>
              </w:rPr>
              <w:t>Early exposure to thiopurines (&lt;2 years from diagnosis)</w:t>
            </w:r>
          </w:p>
        </w:tc>
        <w:tc>
          <w:tcPr>
            <w:tcW w:w="1559"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0.74</w:t>
            </w:r>
          </w:p>
        </w:tc>
        <w:tc>
          <w:tcPr>
            <w:tcW w:w="1985"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(0.35, 1.55)</w:t>
            </w:r>
          </w:p>
        </w:tc>
        <w:tc>
          <w:tcPr>
            <w:tcW w:w="1276"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0.421</w:t>
            </w:r>
          </w:p>
        </w:tc>
        <w:tc>
          <w:tcPr>
            <w:tcW w:w="1337"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90</w:t>
            </w:r>
          </w:p>
        </w:tc>
      </w:tr>
      <w:tr w:rsidR="003E3DA4" w:rsidRPr="00F63FC6" w:rsidTr="00F424CF">
        <w:tc>
          <w:tcPr>
            <w:tcW w:w="3085" w:type="dxa"/>
            <w:tcBorders>
              <w:bottom w:val="single" w:sz="4" w:space="0" w:color="auto"/>
            </w:tcBorders>
          </w:tcPr>
          <w:p w:rsidR="003E3DA4" w:rsidRPr="00177243" w:rsidRDefault="003E3DA4" w:rsidP="00F424CF">
            <w:pPr>
              <w:rPr>
                <w:color w:val="000000" w:themeColor="text1"/>
              </w:rPr>
            </w:pPr>
            <w:r w:rsidRPr="00177243">
              <w:rPr>
                <w:color w:val="000000" w:themeColor="text1"/>
              </w:rPr>
              <w:t xml:space="preserve">Early exposure to biologics </w:t>
            </w:r>
          </w:p>
          <w:p w:rsidR="003E3DA4" w:rsidRPr="00177243" w:rsidRDefault="003E3DA4" w:rsidP="00F424CF">
            <w:pPr>
              <w:rPr>
                <w:color w:val="000000" w:themeColor="text1"/>
              </w:rPr>
            </w:pPr>
            <w:r w:rsidRPr="00177243">
              <w:rPr>
                <w:color w:val="000000" w:themeColor="text1"/>
              </w:rPr>
              <w:t>(&lt;2 years from diagnosis)</w:t>
            </w:r>
          </w:p>
        </w:tc>
        <w:tc>
          <w:tcPr>
            <w:tcW w:w="1559"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0.74</w:t>
            </w:r>
          </w:p>
        </w:tc>
        <w:tc>
          <w:tcPr>
            <w:tcW w:w="1985"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(0.23, 2.42)</w:t>
            </w:r>
          </w:p>
        </w:tc>
        <w:tc>
          <w:tcPr>
            <w:tcW w:w="1276"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0.618</w:t>
            </w:r>
          </w:p>
        </w:tc>
        <w:tc>
          <w:tcPr>
            <w:tcW w:w="1337" w:type="dxa"/>
            <w:tcBorders>
              <w:bottom w:val="single" w:sz="4" w:space="0" w:color="auto"/>
            </w:tcBorders>
          </w:tcPr>
          <w:p w:rsidR="003E3DA4" w:rsidRPr="00177243" w:rsidRDefault="003E3DA4" w:rsidP="00F424CF">
            <w:pPr>
              <w:jc w:val="center"/>
              <w:rPr>
                <w:color w:val="000000" w:themeColor="text1"/>
              </w:rPr>
            </w:pPr>
            <w:r w:rsidRPr="00177243">
              <w:rPr>
                <w:color w:val="000000" w:themeColor="text1"/>
              </w:rPr>
              <w:t>12</w:t>
            </w:r>
          </w:p>
        </w:tc>
      </w:tr>
    </w:tbl>
    <w:p w:rsidR="003E3DA4" w:rsidRDefault="007602DB" w:rsidP="000753E4">
      <w:pPr>
        <w:spacing w:line="480" w:lineRule="auto"/>
        <w:jc w:val="both"/>
        <w:rPr>
          <w:color w:val="000000" w:themeColor="text1"/>
          <w:sz w:val="24"/>
          <w:szCs w:val="24"/>
        </w:rPr>
      </w:pPr>
      <w:r>
        <w:rPr>
          <w:color w:val="000000" w:themeColor="text1"/>
          <w:sz w:val="24"/>
          <w:szCs w:val="24"/>
        </w:rPr>
        <w:t>*Both uni-and multi-variate analysed yielded identical results</w:t>
      </w:r>
    </w:p>
    <w:p w:rsidR="003E3DA4" w:rsidRDefault="003E3DA4" w:rsidP="003E3DA4">
      <w:pPr>
        <w:widowControl w:val="0"/>
        <w:autoSpaceDE w:val="0"/>
        <w:autoSpaceDN w:val="0"/>
        <w:adjustRightInd w:val="0"/>
        <w:spacing w:line="480" w:lineRule="auto"/>
        <w:ind w:left="640" w:hanging="640"/>
        <w:jc w:val="both"/>
        <w:rPr>
          <w:b/>
          <w:sz w:val="24"/>
          <w:szCs w:val="24"/>
        </w:rPr>
      </w:pPr>
    </w:p>
    <w:p w:rsidR="003E3DA4" w:rsidRDefault="003E3DA4" w:rsidP="003E3DA4">
      <w:pPr>
        <w:widowControl w:val="0"/>
        <w:autoSpaceDE w:val="0"/>
        <w:autoSpaceDN w:val="0"/>
        <w:adjustRightInd w:val="0"/>
        <w:spacing w:line="480" w:lineRule="auto"/>
        <w:ind w:left="640" w:hanging="640"/>
        <w:jc w:val="both"/>
        <w:rPr>
          <w:b/>
          <w:sz w:val="24"/>
          <w:szCs w:val="24"/>
        </w:rPr>
      </w:pPr>
    </w:p>
    <w:p w:rsidR="003E3DA4" w:rsidRDefault="003E3DA4" w:rsidP="003E3DA4">
      <w:pPr>
        <w:widowControl w:val="0"/>
        <w:autoSpaceDE w:val="0"/>
        <w:autoSpaceDN w:val="0"/>
        <w:adjustRightInd w:val="0"/>
        <w:spacing w:line="480" w:lineRule="auto"/>
        <w:ind w:left="640" w:hanging="640"/>
        <w:jc w:val="both"/>
        <w:rPr>
          <w:b/>
          <w:sz w:val="24"/>
          <w:szCs w:val="24"/>
        </w:rPr>
      </w:pPr>
    </w:p>
    <w:p w:rsidR="003E3DA4" w:rsidRDefault="003E3DA4" w:rsidP="003E3DA4">
      <w:pPr>
        <w:widowControl w:val="0"/>
        <w:autoSpaceDE w:val="0"/>
        <w:autoSpaceDN w:val="0"/>
        <w:adjustRightInd w:val="0"/>
        <w:spacing w:line="480" w:lineRule="auto"/>
        <w:ind w:left="640" w:hanging="640"/>
        <w:jc w:val="both"/>
        <w:rPr>
          <w:b/>
          <w:sz w:val="24"/>
          <w:szCs w:val="24"/>
        </w:rPr>
      </w:pPr>
    </w:p>
    <w:p w:rsidR="003E3DA4" w:rsidRDefault="003E3DA4" w:rsidP="003E3DA4">
      <w:pPr>
        <w:widowControl w:val="0"/>
        <w:autoSpaceDE w:val="0"/>
        <w:autoSpaceDN w:val="0"/>
        <w:adjustRightInd w:val="0"/>
        <w:spacing w:line="480" w:lineRule="auto"/>
        <w:ind w:left="640" w:hanging="640"/>
        <w:jc w:val="both"/>
        <w:rPr>
          <w:b/>
          <w:sz w:val="24"/>
          <w:szCs w:val="24"/>
        </w:rPr>
      </w:pPr>
    </w:p>
    <w:p w:rsidR="003E3DA4" w:rsidRDefault="003E3DA4" w:rsidP="003E3DA4">
      <w:pPr>
        <w:widowControl w:val="0"/>
        <w:autoSpaceDE w:val="0"/>
        <w:autoSpaceDN w:val="0"/>
        <w:adjustRightInd w:val="0"/>
        <w:spacing w:line="480" w:lineRule="auto"/>
        <w:ind w:left="640" w:hanging="640"/>
        <w:jc w:val="both"/>
        <w:rPr>
          <w:b/>
          <w:sz w:val="24"/>
          <w:szCs w:val="24"/>
        </w:rPr>
      </w:pPr>
    </w:p>
    <w:p w:rsidR="003E3DA4" w:rsidRDefault="003E3DA4" w:rsidP="003E3DA4">
      <w:pPr>
        <w:widowControl w:val="0"/>
        <w:autoSpaceDE w:val="0"/>
        <w:autoSpaceDN w:val="0"/>
        <w:adjustRightInd w:val="0"/>
        <w:spacing w:line="480" w:lineRule="auto"/>
        <w:ind w:left="640" w:hanging="640"/>
        <w:jc w:val="both"/>
        <w:rPr>
          <w:b/>
          <w:sz w:val="24"/>
          <w:szCs w:val="24"/>
        </w:rPr>
      </w:pPr>
    </w:p>
    <w:p w:rsidR="003E3DA4" w:rsidRDefault="003E3DA4" w:rsidP="003E3DA4">
      <w:pPr>
        <w:widowControl w:val="0"/>
        <w:autoSpaceDE w:val="0"/>
        <w:autoSpaceDN w:val="0"/>
        <w:adjustRightInd w:val="0"/>
        <w:spacing w:line="480" w:lineRule="auto"/>
        <w:ind w:left="640" w:hanging="640"/>
        <w:jc w:val="both"/>
        <w:rPr>
          <w:b/>
          <w:sz w:val="24"/>
          <w:szCs w:val="24"/>
        </w:rPr>
      </w:pPr>
    </w:p>
    <w:p w:rsidR="003E3DA4" w:rsidRDefault="003E3DA4" w:rsidP="004A2E09">
      <w:pPr>
        <w:widowControl w:val="0"/>
        <w:autoSpaceDE w:val="0"/>
        <w:autoSpaceDN w:val="0"/>
        <w:adjustRightInd w:val="0"/>
        <w:spacing w:line="480" w:lineRule="auto"/>
        <w:jc w:val="both"/>
        <w:rPr>
          <w:b/>
          <w:sz w:val="24"/>
          <w:szCs w:val="24"/>
        </w:rPr>
      </w:pPr>
      <w:r>
        <w:rPr>
          <w:b/>
          <w:sz w:val="24"/>
          <w:szCs w:val="24"/>
        </w:rPr>
        <w:t>Table 2: Univariate analysis of factors associated with the need for intestinal surgery in p</w:t>
      </w:r>
      <w:r w:rsidR="0010487C">
        <w:rPr>
          <w:b/>
          <w:sz w:val="24"/>
          <w:szCs w:val="24"/>
        </w:rPr>
        <w:t>a</w:t>
      </w:r>
      <w:r>
        <w:rPr>
          <w:b/>
          <w:sz w:val="24"/>
          <w:szCs w:val="24"/>
        </w:rPr>
        <w:t>ediatric Crohn’s disease</w:t>
      </w:r>
    </w:p>
    <w:tbl>
      <w:tblPr>
        <w:tblStyle w:val="TableGrid"/>
        <w:tblW w:w="0" w:type="auto"/>
        <w:tblLook w:val="04A0" w:firstRow="1" w:lastRow="0" w:firstColumn="1" w:lastColumn="0" w:noHBand="0" w:noVBand="1"/>
      </w:tblPr>
      <w:tblGrid>
        <w:gridCol w:w="3013"/>
        <w:gridCol w:w="1529"/>
        <w:gridCol w:w="1925"/>
        <w:gridCol w:w="1249"/>
        <w:gridCol w:w="1294"/>
      </w:tblGrid>
      <w:tr w:rsidR="003E3DA4" w:rsidRPr="00003E6C" w:rsidTr="00F424CF">
        <w:tc>
          <w:tcPr>
            <w:tcW w:w="3085" w:type="dxa"/>
          </w:tcPr>
          <w:p w:rsidR="003E3DA4" w:rsidRPr="00003E6C" w:rsidRDefault="003E3DA4" w:rsidP="00F424CF">
            <w:pPr>
              <w:rPr>
                <w:b/>
              </w:rPr>
            </w:pPr>
            <w:r>
              <w:rPr>
                <w:b/>
              </w:rPr>
              <w:t>Diagnosis characteristics</w:t>
            </w:r>
          </w:p>
        </w:tc>
        <w:tc>
          <w:tcPr>
            <w:tcW w:w="1559" w:type="dxa"/>
          </w:tcPr>
          <w:p w:rsidR="003E3DA4" w:rsidRPr="00003E6C" w:rsidRDefault="003E3DA4" w:rsidP="00F424CF">
            <w:pPr>
              <w:jc w:val="center"/>
              <w:rPr>
                <w:b/>
              </w:rPr>
            </w:pPr>
            <w:r w:rsidRPr="00003E6C">
              <w:rPr>
                <w:b/>
              </w:rPr>
              <w:t>Hazard ratio</w:t>
            </w:r>
          </w:p>
        </w:tc>
        <w:tc>
          <w:tcPr>
            <w:tcW w:w="1985" w:type="dxa"/>
          </w:tcPr>
          <w:p w:rsidR="003E3DA4" w:rsidRPr="00003E6C" w:rsidRDefault="003E3DA4" w:rsidP="00F424CF">
            <w:pPr>
              <w:jc w:val="center"/>
              <w:rPr>
                <w:b/>
              </w:rPr>
            </w:pPr>
            <w:r w:rsidRPr="00003E6C">
              <w:rPr>
                <w:b/>
              </w:rPr>
              <w:t>95% CI</w:t>
            </w:r>
          </w:p>
        </w:tc>
        <w:tc>
          <w:tcPr>
            <w:tcW w:w="1276" w:type="dxa"/>
          </w:tcPr>
          <w:p w:rsidR="003E3DA4" w:rsidRPr="00003E6C" w:rsidRDefault="003E3DA4" w:rsidP="00F424CF">
            <w:pPr>
              <w:jc w:val="center"/>
              <w:rPr>
                <w:b/>
              </w:rPr>
            </w:pPr>
            <w:r w:rsidRPr="00003E6C">
              <w:rPr>
                <w:b/>
              </w:rPr>
              <w:t>p-value</w:t>
            </w:r>
          </w:p>
        </w:tc>
        <w:tc>
          <w:tcPr>
            <w:tcW w:w="1337" w:type="dxa"/>
          </w:tcPr>
          <w:p w:rsidR="003E3DA4" w:rsidRPr="00003E6C" w:rsidRDefault="003E3DA4" w:rsidP="00F424CF">
            <w:pPr>
              <w:jc w:val="center"/>
              <w:rPr>
                <w:b/>
              </w:rPr>
            </w:pPr>
            <w:r w:rsidRPr="00003E6C">
              <w:rPr>
                <w:b/>
              </w:rPr>
              <w:t>N</w:t>
            </w:r>
          </w:p>
        </w:tc>
      </w:tr>
      <w:tr w:rsidR="003E3DA4" w:rsidTr="00F424CF">
        <w:tc>
          <w:tcPr>
            <w:tcW w:w="3085" w:type="dxa"/>
            <w:tcBorders>
              <w:bottom w:val="single" w:sz="4" w:space="0" w:color="auto"/>
            </w:tcBorders>
          </w:tcPr>
          <w:p w:rsidR="003E3DA4" w:rsidRPr="00F133C7" w:rsidRDefault="003E3DA4" w:rsidP="00F424CF">
            <w:r w:rsidRPr="00F133C7">
              <w:t xml:space="preserve">Age &lt;10 </w:t>
            </w:r>
          </w:p>
        </w:tc>
        <w:tc>
          <w:tcPr>
            <w:tcW w:w="1559" w:type="dxa"/>
            <w:tcBorders>
              <w:bottom w:val="single" w:sz="4" w:space="0" w:color="auto"/>
            </w:tcBorders>
          </w:tcPr>
          <w:p w:rsidR="003E3DA4" w:rsidRPr="00F133C7" w:rsidRDefault="003E3DA4" w:rsidP="00F424CF">
            <w:pPr>
              <w:jc w:val="center"/>
            </w:pPr>
            <w:r w:rsidRPr="00F133C7">
              <w:t>0.75</w:t>
            </w:r>
          </w:p>
        </w:tc>
        <w:tc>
          <w:tcPr>
            <w:tcW w:w="1985" w:type="dxa"/>
            <w:tcBorders>
              <w:bottom w:val="single" w:sz="4" w:space="0" w:color="auto"/>
            </w:tcBorders>
          </w:tcPr>
          <w:p w:rsidR="003E3DA4" w:rsidRPr="00F133C7" w:rsidRDefault="003E3DA4" w:rsidP="00F424CF">
            <w:pPr>
              <w:jc w:val="center"/>
            </w:pPr>
            <w:r w:rsidRPr="00F133C7">
              <w:t>(0.34, 1.68)</w:t>
            </w:r>
          </w:p>
        </w:tc>
        <w:tc>
          <w:tcPr>
            <w:tcW w:w="1276" w:type="dxa"/>
            <w:tcBorders>
              <w:bottom w:val="single" w:sz="4" w:space="0" w:color="auto"/>
            </w:tcBorders>
          </w:tcPr>
          <w:p w:rsidR="003E3DA4" w:rsidRPr="00F133C7" w:rsidRDefault="003E3DA4" w:rsidP="00F424CF">
            <w:pPr>
              <w:jc w:val="center"/>
            </w:pPr>
            <w:r w:rsidRPr="00F133C7">
              <w:t>0.487</w:t>
            </w:r>
          </w:p>
        </w:tc>
        <w:tc>
          <w:tcPr>
            <w:tcW w:w="1337" w:type="dxa"/>
            <w:tcBorders>
              <w:bottom w:val="single" w:sz="4" w:space="0" w:color="auto"/>
            </w:tcBorders>
          </w:tcPr>
          <w:p w:rsidR="003E3DA4" w:rsidRPr="00F133C7" w:rsidRDefault="003E3DA4" w:rsidP="00F424CF">
            <w:pPr>
              <w:jc w:val="center"/>
            </w:pPr>
            <w:r w:rsidRPr="00F133C7">
              <w:t>15</w:t>
            </w:r>
          </w:p>
        </w:tc>
      </w:tr>
      <w:tr w:rsidR="003E3DA4" w:rsidTr="00F424CF">
        <w:tc>
          <w:tcPr>
            <w:tcW w:w="3085" w:type="dxa"/>
            <w:tcBorders>
              <w:bottom w:val="nil"/>
            </w:tcBorders>
          </w:tcPr>
          <w:p w:rsidR="003E3DA4" w:rsidRPr="00F133C7" w:rsidRDefault="003E3DA4" w:rsidP="00F424CF">
            <w:r w:rsidRPr="00F133C7">
              <w:t>Male sex</w:t>
            </w:r>
          </w:p>
        </w:tc>
        <w:tc>
          <w:tcPr>
            <w:tcW w:w="1559" w:type="dxa"/>
            <w:tcBorders>
              <w:bottom w:val="nil"/>
            </w:tcBorders>
          </w:tcPr>
          <w:p w:rsidR="003E3DA4" w:rsidRPr="00F133C7" w:rsidRDefault="003E3DA4" w:rsidP="00F424CF">
            <w:pPr>
              <w:jc w:val="center"/>
            </w:pPr>
            <w:r w:rsidRPr="00F133C7">
              <w:t>0.66</w:t>
            </w:r>
          </w:p>
        </w:tc>
        <w:tc>
          <w:tcPr>
            <w:tcW w:w="1985" w:type="dxa"/>
            <w:tcBorders>
              <w:bottom w:val="nil"/>
            </w:tcBorders>
          </w:tcPr>
          <w:p w:rsidR="003E3DA4" w:rsidRPr="00F133C7" w:rsidRDefault="003E3DA4" w:rsidP="00F424CF">
            <w:pPr>
              <w:jc w:val="center"/>
            </w:pPr>
            <w:r w:rsidRPr="00F133C7">
              <w:t>(0.39, 1.12)</w:t>
            </w:r>
          </w:p>
        </w:tc>
        <w:tc>
          <w:tcPr>
            <w:tcW w:w="1276" w:type="dxa"/>
            <w:tcBorders>
              <w:bottom w:val="nil"/>
            </w:tcBorders>
          </w:tcPr>
          <w:p w:rsidR="003E3DA4" w:rsidRPr="00F133C7" w:rsidRDefault="003E3DA4" w:rsidP="00F424CF">
            <w:pPr>
              <w:jc w:val="center"/>
            </w:pPr>
            <w:r w:rsidRPr="00F133C7">
              <w:t>0.122</w:t>
            </w:r>
          </w:p>
        </w:tc>
        <w:tc>
          <w:tcPr>
            <w:tcW w:w="1337" w:type="dxa"/>
            <w:tcBorders>
              <w:bottom w:val="nil"/>
            </w:tcBorders>
          </w:tcPr>
          <w:p w:rsidR="003E3DA4" w:rsidRPr="00F133C7" w:rsidRDefault="003E3DA4" w:rsidP="00F424CF">
            <w:pPr>
              <w:jc w:val="center"/>
            </w:pPr>
          </w:p>
        </w:tc>
      </w:tr>
      <w:tr w:rsidR="003E3DA4" w:rsidTr="00F424CF">
        <w:tc>
          <w:tcPr>
            <w:tcW w:w="3085" w:type="dxa"/>
            <w:tcBorders>
              <w:bottom w:val="nil"/>
            </w:tcBorders>
          </w:tcPr>
          <w:p w:rsidR="003E3DA4" w:rsidRPr="00F133C7" w:rsidRDefault="003E3DA4" w:rsidP="00F424CF">
            <w:r w:rsidRPr="00F133C7">
              <w:t>Location: baseline L2 (n= 39)</w:t>
            </w:r>
          </w:p>
        </w:tc>
        <w:tc>
          <w:tcPr>
            <w:tcW w:w="1559" w:type="dxa"/>
            <w:tcBorders>
              <w:bottom w:val="nil"/>
            </w:tcBorders>
          </w:tcPr>
          <w:p w:rsidR="003E3DA4" w:rsidRPr="00F133C7" w:rsidRDefault="003E3DA4" w:rsidP="00F424CF">
            <w:pPr>
              <w:jc w:val="center"/>
            </w:pPr>
          </w:p>
        </w:tc>
        <w:tc>
          <w:tcPr>
            <w:tcW w:w="1985" w:type="dxa"/>
            <w:tcBorders>
              <w:bottom w:val="nil"/>
            </w:tcBorders>
          </w:tcPr>
          <w:p w:rsidR="003E3DA4" w:rsidRPr="00F133C7" w:rsidRDefault="003E3DA4" w:rsidP="00F424CF">
            <w:pPr>
              <w:jc w:val="center"/>
            </w:pPr>
          </w:p>
        </w:tc>
        <w:tc>
          <w:tcPr>
            <w:tcW w:w="1276" w:type="dxa"/>
            <w:tcBorders>
              <w:bottom w:val="nil"/>
            </w:tcBorders>
          </w:tcPr>
          <w:p w:rsidR="003E3DA4" w:rsidRPr="00F133C7" w:rsidRDefault="003E3DA4" w:rsidP="00F424CF">
            <w:pPr>
              <w:jc w:val="center"/>
            </w:pPr>
            <w:r w:rsidRPr="00F133C7">
              <w:t>0.144</w:t>
            </w:r>
          </w:p>
        </w:tc>
        <w:tc>
          <w:tcPr>
            <w:tcW w:w="1337" w:type="dxa"/>
            <w:tcBorders>
              <w:bottom w:val="nil"/>
            </w:tcBorders>
          </w:tcPr>
          <w:p w:rsidR="003E3DA4" w:rsidRPr="00F133C7" w:rsidRDefault="003E3DA4" w:rsidP="00F424CF">
            <w:pPr>
              <w:jc w:val="center"/>
            </w:pPr>
          </w:p>
        </w:tc>
      </w:tr>
      <w:tr w:rsidR="003E3DA4" w:rsidRPr="004C436D" w:rsidTr="00F424CF">
        <w:tc>
          <w:tcPr>
            <w:tcW w:w="3085" w:type="dxa"/>
            <w:tcBorders>
              <w:top w:val="nil"/>
              <w:bottom w:val="nil"/>
            </w:tcBorders>
          </w:tcPr>
          <w:p w:rsidR="003E3DA4" w:rsidRPr="00F133C7" w:rsidRDefault="003E3DA4" w:rsidP="00F424CF">
            <w:pPr>
              <w:jc w:val="right"/>
            </w:pPr>
            <w:r w:rsidRPr="00F133C7">
              <w:t>L1</w:t>
            </w:r>
          </w:p>
        </w:tc>
        <w:tc>
          <w:tcPr>
            <w:tcW w:w="1559" w:type="dxa"/>
            <w:tcBorders>
              <w:top w:val="nil"/>
              <w:bottom w:val="nil"/>
            </w:tcBorders>
          </w:tcPr>
          <w:p w:rsidR="003E3DA4" w:rsidRPr="00F133C7" w:rsidRDefault="003E3DA4" w:rsidP="00F424CF">
            <w:pPr>
              <w:jc w:val="center"/>
            </w:pPr>
            <w:r w:rsidRPr="00F133C7">
              <w:t>2.19</w:t>
            </w:r>
          </w:p>
        </w:tc>
        <w:tc>
          <w:tcPr>
            <w:tcW w:w="1985" w:type="dxa"/>
            <w:tcBorders>
              <w:top w:val="nil"/>
              <w:bottom w:val="nil"/>
            </w:tcBorders>
          </w:tcPr>
          <w:p w:rsidR="003E3DA4" w:rsidRPr="00F133C7" w:rsidRDefault="003E3DA4" w:rsidP="00F424CF">
            <w:pPr>
              <w:jc w:val="center"/>
            </w:pPr>
            <w:r w:rsidRPr="00F133C7">
              <w:t>(1.00, 4.79)</w:t>
            </w:r>
          </w:p>
        </w:tc>
        <w:tc>
          <w:tcPr>
            <w:tcW w:w="1276" w:type="dxa"/>
            <w:tcBorders>
              <w:top w:val="nil"/>
              <w:bottom w:val="nil"/>
            </w:tcBorders>
          </w:tcPr>
          <w:p w:rsidR="003E3DA4" w:rsidRPr="00F133C7" w:rsidRDefault="003E3DA4" w:rsidP="00F424CF">
            <w:pPr>
              <w:jc w:val="center"/>
            </w:pPr>
          </w:p>
        </w:tc>
        <w:tc>
          <w:tcPr>
            <w:tcW w:w="1337" w:type="dxa"/>
            <w:tcBorders>
              <w:top w:val="nil"/>
              <w:bottom w:val="nil"/>
            </w:tcBorders>
          </w:tcPr>
          <w:p w:rsidR="003E3DA4" w:rsidRPr="00F133C7" w:rsidRDefault="003E3DA4" w:rsidP="00F424CF">
            <w:pPr>
              <w:jc w:val="center"/>
            </w:pPr>
            <w:r w:rsidRPr="00F133C7">
              <w:t>23</w:t>
            </w:r>
          </w:p>
        </w:tc>
      </w:tr>
      <w:tr w:rsidR="003E3DA4" w:rsidRPr="004C436D" w:rsidTr="00F424CF">
        <w:tc>
          <w:tcPr>
            <w:tcW w:w="3085" w:type="dxa"/>
            <w:tcBorders>
              <w:top w:val="nil"/>
            </w:tcBorders>
          </w:tcPr>
          <w:p w:rsidR="003E3DA4" w:rsidRPr="00F133C7" w:rsidRDefault="003E3DA4" w:rsidP="00F424CF">
            <w:pPr>
              <w:jc w:val="right"/>
            </w:pPr>
            <w:r w:rsidRPr="00F133C7">
              <w:t>L3</w:t>
            </w:r>
          </w:p>
        </w:tc>
        <w:tc>
          <w:tcPr>
            <w:tcW w:w="1559" w:type="dxa"/>
            <w:tcBorders>
              <w:top w:val="nil"/>
            </w:tcBorders>
          </w:tcPr>
          <w:p w:rsidR="003E3DA4" w:rsidRPr="00F133C7" w:rsidRDefault="003E3DA4" w:rsidP="00F424CF">
            <w:pPr>
              <w:jc w:val="center"/>
            </w:pPr>
            <w:r w:rsidRPr="00F133C7">
              <w:t>1.34</w:t>
            </w:r>
          </w:p>
        </w:tc>
        <w:tc>
          <w:tcPr>
            <w:tcW w:w="1985" w:type="dxa"/>
            <w:tcBorders>
              <w:top w:val="nil"/>
            </w:tcBorders>
          </w:tcPr>
          <w:p w:rsidR="003E3DA4" w:rsidRPr="00F133C7" w:rsidRDefault="003E3DA4" w:rsidP="00F424CF">
            <w:pPr>
              <w:jc w:val="center"/>
            </w:pPr>
            <w:r w:rsidRPr="00F133C7">
              <w:t>(0.72, 2.50)</w:t>
            </w:r>
          </w:p>
        </w:tc>
        <w:tc>
          <w:tcPr>
            <w:tcW w:w="1276" w:type="dxa"/>
            <w:tcBorders>
              <w:top w:val="nil"/>
            </w:tcBorders>
          </w:tcPr>
          <w:p w:rsidR="003E3DA4" w:rsidRPr="00F133C7" w:rsidRDefault="003E3DA4" w:rsidP="00F424CF">
            <w:pPr>
              <w:jc w:val="center"/>
            </w:pPr>
          </w:p>
        </w:tc>
        <w:tc>
          <w:tcPr>
            <w:tcW w:w="1337" w:type="dxa"/>
            <w:tcBorders>
              <w:top w:val="nil"/>
            </w:tcBorders>
          </w:tcPr>
          <w:p w:rsidR="003E3DA4" w:rsidRPr="00F133C7" w:rsidRDefault="003E3DA4" w:rsidP="00F424CF">
            <w:pPr>
              <w:jc w:val="center"/>
            </w:pPr>
            <w:r w:rsidRPr="00F133C7">
              <w:t>70</w:t>
            </w:r>
          </w:p>
        </w:tc>
      </w:tr>
      <w:tr w:rsidR="003E3DA4" w:rsidTr="00F424CF">
        <w:tc>
          <w:tcPr>
            <w:tcW w:w="3085" w:type="dxa"/>
            <w:tcBorders>
              <w:bottom w:val="single" w:sz="4" w:space="0" w:color="auto"/>
            </w:tcBorders>
          </w:tcPr>
          <w:p w:rsidR="003E3DA4" w:rsidRDefault="003E3DA4" w:rsidP="00F424CF">
            <w:r>
              <w:t>L4</w:t>
            </w:r>
          </w:p>
        </w:tc>
        <w:tc>
          <w:tcPr>
            <w:tcW w:w="1559" w:type="dxa"/>
            <w:tcBorders>
              <w:bottom w:val="single" w:sz="4" w:space="0" w:color="auto"/>
            </w:tcBorders>
          </w:tcPr>
          <w:p w:rsidR="003E3DA4" w:rsidRDefault="003E3DA4" w:rsidP="00F424CF">
            <w:pPr>
              <w:jc w:val="center"/>
            </w:pPr>
            <w:r>
              <w:t>0.999</w:t>
            </w:r>
          </w:p>
        </w:tc>
        <w:tc>
          <w:tcPr>
            <w:tcW w:w="1985" w:type="dxa"/>
            <w:tcBorders>
              <w:bottom w:val="single" w:sz="4" w:space="0" w:color="auto"/>
            </w:tcBorders>
          </w:tcPr>
          <w:p w:rsidR="003E3DA4" w:rsidRDefault="003E3DA4" w:rsidP="00F424CF">
            <w:pPr>
              <w:jc w:val="center"/>
            </w:pPr>
            <w:r>
              <w:t>(0.58, 1.73)</w:t>
            </w:r>
          </w:p>
        </w:tc>
        <w:tc>
          <w:tcPr>
            <w:tcW w:w="1276" w:type="dxa"/>
            <w:tcBorders>
              <w:bottom w:val="single" w:sz="4" w:space="0" w:color="auto"/>
            </w:tcBorders>
          </w:tcPr>
          <w:p w:rsidR="003E3DA4" w:rsidRDefault="003E3DA4" w:rsidP="00F424CF">
            <w:pPr>
              <w:jc w:val="center"/>
            </w:pPr>
            <w:r>
              <w:t>0.996</w:t>
            </w:r>
          </w:p>
        </w:tc>
        <w:tc>
          <w:tcPr>
            <w:tcW w:w="1337" w:type="dxa"/>
            <w:tcBorders>
              <w:bottom w:val="single" w:sz="4" w:space="0" w:color="auto"/>
            </w:tcBorders>
          </w:tcPr>
          <w:p w:rsidR="003E3DA4" w:rsidRDefault="003E3DA4" w:rsidP="00F424CF">
            <w:pPr>
              <w:jc w:val="center"/>
            </w:pPr>
            <w:r>
              <w:t>44</w:t>
            </w:r>
          </w:p>
        </w:tc>
      </w:tr>
      <w:tr w:rsidR="003E3DA4" w:rsidTr="00F424CF">
        <w:tc>
          <w:tcPr>
            <w:tcW w:w="3085" w:type="dxa"/>
            <w:tcBorders>
              <w:bottom w:val="nil"/>
            </w:tcBorders>
          </w:tcPr>
          <w:p w:rsidR="003E3DA4" w:rsidRDefault="003E3DA4" w:rsidP="00F424CF">
            <w:r>
              <w:t xml:space="preserve">Behaviour: baseline B1 (n= </w:t>
            </w:r>
            <w:r w:rsidRPr="00003E6C">
              <w:t>105</w:t>
            </w:r>
            <w:r>
              <w:t>)</w:t>
            </w:r>
          </w:p>
        </w:tc>
        <w:tc>
          <w:tcPr>
            <w:tcW w:w="1559" w:type="dxa"/>
            <w:tcBorders>
              <w:bottom w:val="nil"/>
            </w:tcBorders>
          </w:tcPr>
          <w:p w:rsidR="003E3DA4" w:rsidRDefault="003E3DA4" w:rsidP="00F424CF">
            <w:pPr>
              <w:jc w:val="center"/>
            </w:pPr>
          </w:p>
        </w:tc>
        <w:tc>
          <w:tcPr>
            <w:tcW w:w="1985" w:type="dxa"/>
            <w:tcBorders>
              <w:bottom w:val="nil"/>
            </w:tcBorders>
          </w:tcPr>
          <w:p w:rsidR="003E3DA4" w:rsidRDefault="003E3DA4" w:rsidP="00F424CF">
            <w:pPr>
              <w:jc w:val="center"/>
            </w:pPr>
          </w:p>
        </w:tc>
        <w:tc>
          <w:tcPr>
            <w:tcW w:w="1276" w:type="dxa"/>
            <w:tcBorders>
              <w:bottom w:val="nil"/>
            </w:tcBorders>
          </w:tcPr>
          <w:p w:rsidR="003E3DA4" w:rsidRDefault="003E3DA4" w:rsidP="00F424CF">
            <w:pPr>
              <w:jc w:val="center"/>
            </w:pPr>
            <w:r>
              <w:t>0.318</w:t>
            </w:r>
          </w:p>
        </w:tc>
        <w:tc>
          <w:tcPr>
            <w:tcW w:w="1337" w:type="dxa"/>
            <w:tcBorders>
              <w:bottom w:val="nil"/>
            </w:tcBorders>
          </w:tcPr>
          <w:p w:rsidR="003E3DA4" w:rsidRDefault="003E3DA4" w:rsidP="00F424CF">
            <w:pPr>
              <w:jc w:val="center"/>
            </w:pPr>
          </w:p>
        </w:tc>
      </w:tr>
      <w:tr w:rsidR="003E3DA4" w:rsidTr="00F424CF">
        <w:tc>
          <w:tcPr>
            <w:tcW w:w="3085" w:type="dxa"/>
            <w:tcBorders>
              <w:top w:val="nil"/>
              <w:bottom w:val="nil"/>
            </w:tcBorders>
          </w:tcPr>
          <w:p w:rsidR="003E3DA4" w:rsidRDefault="003E3DA4" w:rsidP="00F424CF">
            <w:pPr>
              <w:jc w:val="right"/>
            </w:pPr>
            <w:r>
              <w:t>B2</w:t>
            </w:r>
          </w:p>
        </w:tc>
        <w:tc>
          <w:tcPr>
            <w:tcW w:w="1559" w:type="dxa"/>
            <w:tcBorders>
              <w:top w:val="nil"/>
              <w:bottom w:val="nil"/>
            </w:tcBorders>
          </w:tcPr>
          <w:p w:rsidR="003E3DA4" w:rsidRDefault="003E3DA4" w:rsidP="00F424CF">
            <w:pPr>
              <w:jc w:val="center"/>
            </w:pPr>
            <w:r>
              <w:t>0.70</w:t>
            </w:r>
          </w:p>
        </w:tc>
        <w:tc>
          <w:tcPr>
            <w:tcW w:w="1985" w:type="dxa"/>
            <w:tcBorders>
              <w:top w:val="nil"/>
              <w:bottom w:val="nil"/>
            </w:tcBorders>
          </w:tcPr>
          <w:p w:rsidR="003E3DA4" w:rsidRDefault="003E3DA4" w:rsidP="00F424CF">
            <w:pPr>
              <w:jc w:val="center"/>
            </w:pPr>
            <w:r>
              <w:t>(0.22, 2.26)</w:t>
            </w:r>
          </w:p>
        </w:tc>
        <w:tc>
          <w:tcPr>
            <w:tcW w:w="1276" w:type="dxa"/>
            <w:tcBorders>
              <w:top w:val="nil"/>
              <w:bottom w:val="nil"/>
            </w:tcBorders>
          </w:tcPr>
          <w:p w:rsidR="003E3DA4" w:rsidRDefault="003E3DA4" w:rsidP="00F424CF">
            <w:pPr>
              <w:jc w:val="center"/>
            </w:pPr>
          </w:p>
        </w:tc>
        <w:tc>
          <w:tcPr>
            <w:tcW w:w="1337" w:type="dxa"/>
            <w:tcBorders>
              <w:top w:val="nil"/>
              <w:bottom w:val="nil"/>
            </w:tcBorders>
          </w:tcPr>
          <w:p w:rsidR="003E3DA4" w:rsidRDefault="003E3DA4" w:rsidP="00F424CF">
            <w:pPr>
              <w:jc w:val="center"/>
            </w:pPr>
            <w:r w:rsidRPr="00003E6C">
              <w:t>11</w:t>
            </w:r>
          </w:p>
        </w:tc>
      </w:tr>
      <w:tr w:rsidR="003E3DA4" w:rsidTr="00F424CF">
        <w:tc>
          <w:tcPr>
            <w:tcW w:w="3085" w:type="dxa"/>
            <w:tcBorders>
              <w:top w:val="nil"/>
            </w:tcBorders>
          </w:tcPr>
          <w:p w:rsidR="003E3DA4" w:rsidRDefault="003E3DA4" w:rsidP="00F424CF">
            <w:pPr>
              <w:jc w:val="right"/>
            </w:pPr>
            <w:r>
              <w:t>B3</w:t>
            </w:r>
          </w:p>
        </w:tc>
        <w:tc>
          <w:tcPr>
            <w:tcW w:w="1559" w:type="dxa"/>
            <w:tcBorders>
              <w:top w:val="nil"/>
            </w:tcBorders>
          </w:tcPr>
          <w:p w:rsidR="003E3DA4" w:rsidRDefault="003E3DA4" w:rsidP="00F424CF">
            <w:pPr>
              <w:jc w:val="center"/>
            </w:pPr>
            <w:r>
              <w:t>1.72</w:t>
            </w:r>
          </w:p>
        </w:tc>
        <w:tc>
          <w:tcPr>
            <w:tcW w:w="1985" w:type="dxa"/>
            <w:tcBorders>
              <w:top w:val="nil"/>
            </w:tcBorders>
          </w:tcPr>
          <w:p w:rsidR="003E3DA4" w:rsidRDefault="003E3DA4" w:rsidP="00F424CF">
            <w:pPr>
              <w:jc w:val="center"/>
            </w:pPr>
            <w:r>
              <w:t>(0.77, 3.82)</w:t>
            </w:r>
          </w:p>
        </w:tc>
        <w:tc>
          <w:tcPr>
            <w:tcW w:w="1276" w:type="dxa"/>
            <w:tcBorders>
              <w:top w:val="nil"/>
            </w:tcBorders>
          </w:tcPr>
          <w:p w:rsidR="003E3DA4" w:rsidRDefault="003E3DA4" w:rsidP="00F424CF">
            <w:pPr>
              <w:jc w:val="center"/>
            </w:pPr>
          </w:p>
        </w:tc>
        <w:tc>
          <w:tcPr>
            <w:tcW w:w="1337" w:type="dxa"/>
            <w:tcBorders>
              <w:top w:val="nil"/>
            </w:tcBorders>
          </w:tcPr>
          <w:p w:rsidR="003E3DA4" w:rsidRDefault="003E3DA4" w:rsidP="00F424CF">
            <w:pPr>
              <w:jc w:val="center"/>
            </w:pPr>
            <w:r w:rsidRPr="00003E6C">
              <w:t>1</w:t>
            </w:r>
            <w:r>
              <w:t>5</w:t>
            </w:r>
          </w:p>
        </w:tc>
      </w:tr>
      <w:tr w:rsidR="003E3DA4" w:rsidTr="00F424CF">
        <w:tc>
          <w:tcPr>
            <w:tcW w:w="3085" w:type="dxa"/>
          </w:tcPr>
          <w:p w:rsidR="003E3DA4" w:rsidRDefault="003E3DA4" w:rsidP="00F424CF">
            <w:r>
              <w:t xml:space="preserve">Perianal disease </w:t>
            </w:r>
          </w:p>
        </w:tc>
        <w:tc>
          <w:tcPr>
            <w:tcW w:w="1559" w:type="dxa"/>
          </w:tcPr>
          <w:p w:rsidR="003E3DA4" w:rsidRDefault="003E3DA4" w:rsidP="00F424CF">
            <w:pPr>
              <w:jc w:val="center"/>
            </w:pPr>
            <w:r>
              <w:t>1.70</w:t>
            </w:r>
          </w:p>
        </w:tc>
        <w:tc>
          <w:tcPr>
            <w:tcW w:w="1985" w:type="dxa"/>
          </w:tcPr>
          <w:p w:rsidR="003E3DA4" w:rsidRDefault="003E3DA4" w:rsidP="00F424CF">
            <w:pPr>
              <w:jc w:val="center"/>
            </w:pPr>
            <w:r>
              <w:t>(0.93, 3.12)</w:t>
            </w:r>
          </w:p>
        </w:tc>
        <w:tc>
          <w:tcPr>
            <w:tcW w:w="1276" w:type="dxa"/>
          </w:tcPr>
          <w:p w:rsidR="003E3DA4" w:rsidRDefault="003E3DA4" w:rsidP="00F424CF">
            <w:pPr>
              <w:jc w:val="center"/>
            </w:pPr>
            <w:r>
              <w:t>0.087</w:t>
            </w:r>
          </w:p>
        </w:tc>
        <w:tc>
          <w:tcPr>
            <w:tcW w:w="1337" w:type="dxa"/>
          </w:tcPr>
          <w:p w:rsidR="003E3DA4" w:rsidRDefault="003E3DA4" w:rsidP="00F424CF">
            <w:pPr>
              <w:jc w:val="center"/>
            </w:pPr>
            <w:r w:rsidRPr="00003E6C">
              <w:t>38</w:t>
            </w:r>
          </w:p>
        </w:tc>
      </w:tr>
      <w:tr w:rsidR="003E3DA4" w:rsidRPr="004C436D" w:rsidTr="00F424CF">
        <w:tc>
          <w:tcPr>
            <w:tcW w:w="3085" w:type="dxa"/>
            <w:tcBorders>
              <w:bottom w:val="single" w:sz="4" w:space="0" w:color="auto"/>
            </w:tcBorders>
          </w:tcPr>
          <w:p w:rsidR="003E3DA4" w:rsidRPr="004C436D" w:rsidRDefault="003E3DA4" w:rsidP="00F424CF">
            <w:r w:rsidRPr="004C436D">
              <w:t>Early exposure to thiopurines (&lt;2 years from diagnosis)</w:t>
            </w:r>
          </w:p>
        </w:tc>
        <w:tc>
          <w:tcPr>
            <w:tcW w:w="1559" w:type="dxa"/>
            <w:tcBorders>
              <w:bottom w:val="single" w:sz="4" w:space="0" w:color="auto"/>
            </w:tcBorders>
          </w:tcPr>
          <w:p w:rsidR="003E3DA4" w:rsidRPr="004C436D" w:rsidRDefault="003E3DA4" w:rsidP="00F424CF">
            <w:pPr>
              <w:jc w:val="center"/>
            </w:pPr>
            <w:r w:rsidRPr="004C436D">
              <w:t>1.14</w:t>
            </w:r>
          </w:p>
        </w:tc>
        <w:tc>
          <w:tcPr>
            <w:tcW w:w="1985" w:type="dxa"/>
            <w:tcBorders>
              <w:bottom w:val="single" w:sz="4" w:space="0" w:color="auto"/>
            </w:tcBorders>
          </w:tcPr>
          <w:p w:rsidR="003E3DA4" w:rsidRPr="004C436D" w:rsidRDefault="003E3DA4" w:rsidP="00F424CF">
            <w:pPr>
              <w:jc w:val="center"/>
            </w:pPr>
            <w:r w:rsidRPr="004C436D">
              <w:t>(0. 64, 2.03)</w:t>
            </w:r>
          </w:p>
        </w:tc>
        <w:tc>
          <w:tcPr>
            <w:tcW w:w="1276" w:type="dxa"/>
            <w:tcBorders>
              <w:bottom w:val="single" w:sz="4" w:space="0" w:color="auto"/>
            </w:tcBorders>
          </w:tcPr>
          <w:p w:rsidR="003E3DA4" w:rsidRPr="004C436D" w:rsidRDefault="003E3DA4" w:rsidP="00F424CF">
            <w:pPr>
              <w:jc w:val="center"/>
            </w:pPr>
            <w:r w:rsidRPr="004C436D">
              <w:t>0.644</w:t>
            </w:r>
          </w:p>
        </w:tc>
        <w:tc>
          <w:tcPr>
            <w:tcW w:w="1337" w:type="dxa"/>
            <w:tcBorders>
              <w:bottom w:val="single" w:sz="4" w:space="0" w:color="auto"/>
            </w:tcBorders>
          </w:tcPr>
          <w:p w:rsidR="003E3DA4" w:rsidRPr="004C436D" w:rsidRDefault="003E3DA4" w:rsidP="00F424CF">
            <w:pPr>
              <w:jc w:val="center"/>
            </w:pPr>
            <w:r w:rsidRPr="004C436D">
              <w:t>90</w:t>
            </w:r>
          </w:p>
        </w:tc>
      </w:tr>
      <w:tr w:rsidR="003E3DA4" w:rsidRPr="004C436D" w:rsidTr="00F424CF">
        <w:tc>
          <w:tcPr>
            <w:tcW w:w="3085" w:type="dxa"/>
          </w:tcPr>
          <w:p w:rsidR="003E3DA4" w:rsidRPr="004C436D" w:rsidRDefault="003E3DA4" w:rsidP="00F424CF">
            <w:r w:rsidRPr="004C436D">
              <w:t xml:space="preserve">Early exposure to biologics </w:t>
            </w:r>
          </w:p>
          <w:p w:rsidR="003E3DA4" w:rsidRPr="004C436D" w:rsidRDefault="003E3DA4" w:rsidP="00F424CF">
            <w:r w:rsidRPr="004C436D">
              <w:t>(&lt;2 years from diagnosis)</w:t>
            </w:r>
          </w:p>
        </w:tc>
        <w:tc>
          <w:tcPr>
            <w:tcW w:w="1559" w:type="dxa"/>
          </w:tcPr>
          <w:p w:rsidR="003E3DA4" w:rsidRPr="004C436D" w:rsidRDefault="003E3DA4" w:rsidP="00F424CF">
            <w:pPr>
              <w:jc w:val="center"/>
            </w:pPr>
            <w:r w:rsidRPr="004C436D">
              <w:t>0.63</w:t>
            </w:r>
          </w:p>
        </w:tc>
        <w:tc>
          <w:tcPr>
            <w:tcW w:w="1985" w:type="dxa"/>
          </w:tcPr>
          <w:p w:rsidR="003E3DA4" w:rsidRPr="004C436D" w:rsidRDefault="003E3DA4" w:rsidP="00F424CF">
            <w:pPr>
              <w:jc w:val="center"/>
            </w:pPr>
            <w:r w:rsidRPr="004C436D">
              <w:t>(0 .15, 2.59)</w:t>
            </w:r>
          </w:p>
        </w:tc>
        <w:tc>
          <w:tcPr>
            <w:tcW w:w="1276" w:type="dxa"/>
          </w:tcPr>
          <w:p w:rsidR="003E3DA4" w:rsidRPr="004C436D" w:rsidRDefault="003E3DA4" w:rsidP="00F424CF">
            <w:pPr>
              <w:jc w:val="center"/>
            </w:pPr>
            <w:r w:rsidRPr="004C436D">
              <w:t>0.518</w:t>
            </w:r>
          </w:p>
        </w:tc>
        <w:tc>
          <w:tcPr>
            <w:tcW w:w="1337" w:type="dxa"/>
          </w:tcPr>
          <w:p w:rsidR="003E3DA4" w:rsidRPr="004C436D" w:rsidRDefault="003E3DA4" w:rsidP="00F424CF">
            <w:pPr>
              <w:jc w:val="center"/>
            </w:pPr>
            <w:r w:rsidRPr="004C436D">
              <w:t>12</w:t>
            </w:r>
          </w:p>
        </w:tc>
      </w:tr>
    </w:tbl>
    <w:p w:rsidR="003E3DA4" w:rsidRDefault="003E3DA4" w:rsidP="000753E4">
      <w:pPr>
        <w:spacing w:line="480" w:lineRule="auto"/>
        <w:jc w:val="both"/>
        <w:rPr>
          <w:color w:val="000000" w:themeColor="text1"/>
          <w:sz w:val="24"/>
          <w:szCs w:val="24"/>
        </w:rPr>
      </w:pPr>
    </w:p>
    <w:p w:rsidR="003E3DA4" w:rsidRDefault="003E3DA4" w:rsidP="000753E4">
      <w:pPr>
        <w:spacing w:line="480" w:lineRule="auto"/>
        <w:jc w:val="both"/>
        <w:rPr>
          <w:color w:val="000000" w:themeColor="text1"/>
          <w:sz w:val="24"/>
          <w:szCs w:val="24"/>
        </w:rPr>
      </w:pPr>
    </w:p>
    <w:p w:rsidR="003E3DA4" w:rsidRDefault="003E3DA4" w:rsidP="000753E4">
      <w:pPr>
        <w:spacing w:line="480" w:lineRule="auto"/>
        <w:jc w:val="both"/>
        <w:rPr>
          <w:color w:val="000000" w:themeColor="text1"/>
          <w:sz w:val="24"/>
          <w:szCs w:val="24"/>
        </w:rPr>
      </w:pPr>
    </w:p>
    <w:p w:rsidR="003E3DA4" w:rsidRDefault="003E3DA4" w:rsidP="000753E4">
      <w:pPr>
        <w:spacing w:line="480" w:lineRule="auto"/>
        <w:jc w:val="both"/>
        <w:rPr>
          <w:color w:val="000000" w:themeColor="text1"/>
          <w:sz w:val="24"/>
          <w:szCs w:val="24"/>
        </w:rPr>
      </w:pPr>
    </w:p>
    <w:p w:rsidR="003E3DA4" w:rsidRDefault="003E3DA4" w:rsidP="000753E4">
      <w:pPr>
        <w:spacing w:line="480" w:lineRule="auto"/>
        <w:jc w:val="both"/>
        <w:rPr>
          <w:color w:val="000000" w:themeColor="text1"/>
          <w:sz w:val="24"/>
          <w:szCs w:val="24"/>
        </w:rPr>
      </w:pPr>
    </w:p>
    <w:p w:rsidR="003E3DA4" w:rsidRDefault="003E3DA4" w:rsidP="000753E4">
      <w:pPr>
        <w:spacing w:line="480" w:lineRule="auto"/>
        <w:jc w:val="both"/>
        <w:rPr>
          <w:color w:val="000000" w:themeColor="text1"/>
          <w:sz w:val="24"/>
          <w:szCs w:val="24"/>
        </w:rPr>
      </w:pPr>
    </w:p>
    <w:p w:rsidR="003E3DA4" w:rsidRDefault="003E3DA4" w:rsidP="000753E4">
      <w:pPr>
        <w:spacing w:line="480" w:lineRule="auto"/>
        <w:jc w:val="both"/>
        <w:rPr>
          <w:color w:val="000000" w:themeColor="text1"/>
          <w:sz w:val="24"/>
          <w:szCs w:val="24"/>
        </w:rPr>
      </w:pPr>
    </w:p>
    <w:p w:rsidR="00A16C3B" w:rsidRDefault="00A16C3B" w:rsidP="00A16C3B">
      <w:pPr>
        <w:widowControl w:val="0"/>
        <w:autoSpaceDE w:val="0"/>
        <w:autoSpaceDN w:val="0"/>
        <w:adjustRightInd w:val="0"/>
        <w:spacing w:line="480" w:lineRule="auto"/>
        <w:ind w:left="640" w:hanging="640"/>
        <w:rPr>
          <w:b/>
          <w:sz w:val="24"/>
          <w:szCs w:val="24"/>
        </w:rPr>
      </w:pPr>
      <w:r>
        <w:rPr>
          <w:b/>
          <w:sz w:val="24"/>
          <w:szCs w:val="24"/>
        </w:rPr>
        <w:t>References:</w:t>
      </w:r>
    </w:p>
    <w:p w:rsidR="00A16C3B" w:rsidRPr="003C24FF" w:rsidRDefault="00A16C3B" w:rsidP="00A16C3B">
      <w:pPr>
        <w:pStyle w:val="EndNoteBibliography"/>
        <w:spacing w:after="0" w:line="480" w:lineRule="auto"/>
        <w:ind w:left="720" w:hanging="720"/>
        <w:rPr>
          <w:noProof/>
        </w:rPr>
      </w:pPr>
      <w:r w:rsidRPr="003C24FF">
        <w:rPr>
          <w:noProof/>
        </w:rPr>
        <w:t>1.Shivashankar R, Tremaine WJ, Harmsen WS, et al. Incidence and Prevalence of Crohn's Disease and Ulcerative Colitis in Olmsted County, Minnesota From 1970 Through 2010. Clin Gastroenterol Hepatol 2017;15:857-863.</w:t>
      </w:r>
    </w:p>
    <w:p w:rsidR="00A16C3B" w:rsidRPr="003C24FF" w:rsidRDefault="00A16C3B" w:rsidP="00A16C3B">
      <w:pPr>
        <w:pStyle w:val="EndNoteBibliography"/>
        <w:spacing w:after="0" w:line="480" w:lineRule="auto"/>
        <w:ind w:left="720" w:hanging="720"/>
        <w:rPr>
          <w:noProof/>
        </w:rPr>
      </w:pPr>
      <w:r w:rsidRPr="003C24FF">
        <w:rPr>
          <w:noProof/>
        </w:rPr>
        <w:t>2.Adamiak T, Walkiewicz-Jedrzejczak D, Fish D, et al. Incidence, clinical characteristics, and natural history of pediatric IBD in Wisconsin: a population-based epidemiological study. Inflamm Bowel Dis 2013;19:1218-23.</w:t>
      </w:r>
    </w:p>
    <w:p w:rsidR="00A16C3B" w:rsidRPr="003C24FF" w:rsidRDefault="00A16C3B" w:rsidP="00A16C3B">
      <w:pPr>
        <w:pStyle w:val="EndNoteBibliography"/>
        <w:spacing w:after="0" w:line="480" w:lineRule="auto"/>
        <w:ind w:left="720" w:hanging="720"/>
        <w:rPr>
          <w:noProof/>
        </w:rPr>
      </w:pPr>
      <w:r w:rsidRPr="003C24FF">
        <w:rPr>
          <w:noProof/>
        </w:rPr>
        <w:t>3.Farrokhyar F, Swarbrick ET, Irvine EJ. A critical review of epidemiological studies in inflammatory bowel disease. Scand J Gastroenterol 2001;36:2-15.</w:t>
      </w:r>
    </w:p>
    <w:p w:rsidR="00A16C3B" w:rsidRPr="003C24FF" w:rsidRDefault="00A16C3B" w:rsidP="00A16C3B">
      <w:pPr>
        <w:pStyle w:val="EndNoteBibliography"/>
        <w:spacing w:after="0" w:line="480" w:lineRule="auto"/>
        <w:ind w:left="720" w:hanging="720"/>
        <w:rPr>
          <w:noProof/>
        </w:rPr>
      </w:pPr>
      <w:r w:rsidRPr="003C24FF">
        <w:rPr>
          <w:noProof/>
        </w:rPr>
        <w:t>4.Kugathasan S, Judd RH, Hoffmann RG, et al. Epidemiologic and clinical characteristics of children with newly diagnosed inflammatory bowel disease in Wisconsin: a statewide population-based study. J Pediatr 2003;143:525-31.</w:t>
      </w:r>
    </w:p>
    <w:p w:rsidR="00A16C3B" w:rsidRPr="003C24FF" w:rsidRDefault="00A16C3B" w:rsidP="00A16C3B">
      <w:pPr>
        <w:pStyle w:val="EndNoteBibliography"/>
        <w:spacing w:after="0" w:line="480" w:lineRule="auto"/>
        <w:ind w:left="720" w:hanging="720"/>
        <w:rPr>
          <w:noProof/>
        </w:rPr>
      </w:pPr>
      <w:r w:rsidRPr="003C24FF">
        <w:rPr>
          <w:noProof/>
        </w:rPr>
        <w:t>5.Ashton JJ, Cullen M, Afzal NA, et al. Is the incidence of paediatric inflammatory bowel disease still increasing? Arch Dis Child 2018;103:1093-1094.</w:t>
      </w:r>
    </w:p>
    <w:p w:rsidR="00A16C3B" w:rsidRPr="003C24FF" w:rsidRDefault="00A16C3B" w:rsidP="00A16C3B">
      <w:pPr>
        <w:pStyle w:val="EndNoteBibliography"/>
        <w:spacing w:after="0" w:line="480" w:lineRule="auto"/>
        <w:ind w:left="720" w:hanging="720"/>
        <w:rPr>
          <w:noProof/>
        </w:rPr>
      </w:pPr>
      <w:r w:rsidRPr="003C24FF">
        <w:rPr>
          <w:noProof/>
        </w:rPr>
        <w:t>6.Benchimol EI, Bernstein CN, Bitton A, et al. Trends in Epidemiology of Pediatric Inflammatory Bowel Disease in Canada: Distributed Network Analysis of Multiple Population-Based Provincial Health Administrative Databases. Am J Gastroenterol 2017;112:1120-1134.</w:t>
      </w:r>
    </w:p>
    <w:p w:rsidR="00A16C3B" w:rsidRPr="003C24FF" w:rsidRDefault="00A16C3B" w:rsidP="00A16C3B">
      <w:pPr>
        <w:pStyle w:val="EndNoteBibliography"/>
        <w:spacing w:after="0" w:line="480" w:lineRule="auto"/>
        <w:ind w:left="720" w:hanging="720"/>
        <w:rPr>
          <w:noProof/>
        </w:rPr>
      </w:pPr>
      <w:r w:rsidRPr="003C24FF">
        <w:rPr>
          <w:noProof/>
        </w:rPr>
        <w:t>7.Henderson P, Wilson DC. The rising incidence of paediatric-onset inflammatory bowel disease. Arch Dis Child 2012;97:585-6.</w:t>
      </w:r>
    </w:p>
    <w:p w:rsidR="00A16C3B" w:rsidRPr="003C24FF" w:rsidRDefault="00A16C3B" w:rsidP="00A16C3B">
      <w:pPr>
        <w:pStyle w:val="EndNoteBibliography"/>
        <w:spacing w:after="0" w:line="480" w:lineRule="auto"/>
        <w:ind w:left="720" w:hanging="720"/>
        <w:rPr>
          <w:noProof/>
        </w:rPr>
      </w:pPr>
      <w:r w:rsidRPr="003C24FF">
        <w:rPr>
          <w:noProof/>
        </w:rPr>
        <w:t>8.Abraham BP, Mehta S, El-Serag HB. Natural history of pediatric-onset inflammatory bowel disease: a systematic review. J Clin Gastroenterol 2012;46:581-9.</w:t>
      </w:r>
    </w:p>
    <w:p w:rsidR="00A16C3B" w:rsidRPr="003C24FF" w:rsidRDefault="00A16C3B" w:rsidP="00A16C3B">
      <w:pPr>
        <w:pStyle w:val="EndNoteBibliography"/>
        <w:spacing w:after="0" w:line="480" w:lineRule="auto"/>
        <w:ind w:left="720" w:hanging="720"/>
        <w:rPr>
          <w:noProof/>
        </w:rPr>
      </w:pPr>
      <w:r w:rsidRPr="003C24FF">
        <w:rPr>
          <w:noProof/>
        </w:rPr>
        <w:t>9.de Bie CI, Paerregaard A, Kolacek S, et al. Disease phenotype at diagnosis in pediatric Crohn's disease: 5-year analyses of the EUROKIDS Registry. Inflamm Bowel Dis 2013;19:378-85.</w:t>
      </w:r>
    </w:p>
    <w:p w:rsidR="00A16C3B" w:rsidRPr="003C24FF" w:rsidRDefault="00A16C3B" w:rsidP="00A16C3B">
      <w:pPr>
        <w:pStyle w:val="EndNoteBibliography"/>
        <w:spacing w:after="0" w:line="480" w:lineRule="auto"/>
        <w:ind w:left="720" w:hanging="720"/>
        <w:rPr>
          <w:noProof/>
        </w:rPr>
      </w:pPr>
      <w:r w:rsidRPr="003C24FF">
        <w:rPr>
          <w:noProof/>
        </w:rPr>
        <w:t>10.Pigneur B, Seksik P, Viola S, et al. Natural history of Crohn's disease: comparison between childhood- and adult-onset disease. Inflamm Bowel Dis 2010;16:953-61.</w:t>
      </w:r>
    </w:p>
    <w:p w:rsidR="00A16C3B" w:rsidRPr="003C24FF" w:rsidRDefault="00A16C3B" w:rsidP="00A16C3B">
      <w:pPr>
        <w:pStyle w:val="EndNoteBibliography"/>
        <w:spacing w:after="0" w:line="480" w:lineRule="auto"/>
        <w:ind w:left="720" w:hanging="720"/>
        <w:rPr>
          <w:noProof/>
        </w:rPr>
      </w:pPr>
      <w:r w:rsidRPr="003C24FF">
        <w:rPr>
          <w:noProof/>
        </w:rPr>
        <w:t>11.Levine A. Pediatric inflammatory bowel disease: is it different? Dig Dis 2009;27:212-4.</w:t>
      </w:r>
    </w:p>
    <w:p w:rsidR="00A16C3B" w:rsidRPr="003C24FF" w:rsidRDefault="00A16C3B" w:rsidP="00A16C3B">
      <w:pPr>
        <w:pStyle w:val="EndNoteBibliography"/>
        <w:spacing w:after="0" w:line="480" w:lineRule="auto"/>
        <w:ind w:left="720" w:hanging="720"/>
        <w:rPr>
          <w:noProof/>
        </w:rPr>
      </w:pPr>
      <w:r w:rsidRPr="003C24FF">
        <w:rPr>
          <w:noProof/>
        </w:rPr>
        <w:t>12.Van Limbergen J, Russell RK, Drummond HE, et al. Definition of phenotypic characteristics of childhood-onset inflammatory bowel disease. Gastroenterology 2008;135:1114-22.</w:t>
      </w:r>
    </w:p>
    <w:p w:rsidR="00A16C3B" w:rsidRPr="003C24FF" w:rsidRDefault="00A16C3B" w:rsidP="00A16C3B">
      <w:pPr>
        <w:pStyle w:val="EndNoteBibliography"/>
        <w:spacing w:after="0" w:line="480" w:lineRule="auto"/>
        <w:ind w:left="720" w:hanging="720"/>
        <w:rPr>
          <w:noProof/>
        </w:rPr>
      </w:pPr>
      <w:r w:rsidRPr="003C24FF">
        <w:rPr>
          <w:noProof/>
        </w:rPr>
        <w:t>13.Urlep D, Trop TK, Blagus R, et al. Incidence and phenotypic characteristics of pediatric IBD in northeastern Slovenia, 2002-2010. J Pediatr Gastroenterol Nutr 2014;58:325-32.</w:t>
      </w:r>
    </w:p>
    <w:p w:rsidR="00A16C3B" w:rsidRPr="003C24FF" w:rsidRDefault="00A16C3B" w:rsidP="00A16C3B">
      <w:pPr>
        <w:pStyle w:val="EndNoteBibliography"/>
        <w:spacing w:after="0" w:line="480" w:lineRule="auto"/>
        <w:ind w:left="720" w:hanging="720"/>
        <w:rPr>
          <w:noProof/>
        </w:rPr>
      </w:pPr>
      <w:r w:rsidRPr="003C24FF">
        <w:rPr>
          <w:noProof/>
        </w:rPr>
        <w:t>14.Vernier-Massouille G, Balde M, Salleron J, et al. Natural history of pediatric Crohn's disease: a population-based cohort study. Gastroenterology 2008;135:1106-13.</w:t>
      </w:r>
    </w:p>
    <w:p w:rsidR="00A16C3B" w:rsidRPr="003C24FF" w:rsidRDefault="00A16C3B" w:rsidP="00A16C3B">
      <w:pPr>
        <w:pStyle w:val="EndNoteBibliography"/>
        <w:spacing w:after="0" w:line="480" w:lineRule="auto"/>
        <w:ind w:left="720" w:hanging="720"/>
        <w:rPr>
          <w:noProof/>
        </w:rPr>
      </w:pPr>
      <w:r w:rsidRPr="003C24FF">
        <w:rPr>
          <w:noProof/>
        </w:rPr>
        <w:t>15.Fumery M, Pariente B, Sarter H, et al. Long-term outcome of pediatric-onset Crohn's disease: A population-based cohort study. Dig Liver Dis 2018.</w:t>
      </w:r>
    </w:p>
    <w:p w:rsidR="00A16C3B" w:rsidRPr="003C24FF" w:rsidRDefault="00A16C3B" w:rsidP="00A16C3B">
      <w:pPr>
        <w:pStyle w:val="EndNoteBibliography"/>
        <w:spacing w:after="0" w:line="480" w:lineRule="auto"/>
        <w:ind w:left="720" w:hanging="720"/>
        <w:rPr>
          <w:noProof/>
        </w:rPr>
      </w:pPr>
      <w:r w:rsidRPr="003C24FF">
        <w:rPr>
          <w:noProof/>
        </w:rPr>
        <w:t>16.Levine A, Griffiths A, Markowitz J, et al. Pediatric modification of the Montreal classification for inflammatory bowel disease: the Paris classification. Inflamm Bowel Dis 2011;17:1314-21.</w:t>
      </w:r>
    </w:p>
    <w:p w:rsidR="00A16C3B" w:rsidRPr="003C24FF" w:rsidRDefault="00A16C3B" w:rsidP="00A16C3B">
      <w:pPr>
        <w:pStyle w:val="EndNoteBibliography"/>
        <w:spacing w:after="0" w:line="480" w:lineRule="auto"/>
        <w:ind w:left="720" w:hanging="720"/>
        <w:rPr>
          <w:noProof/>
        </w:rPr>
      </w:pPr>
      <w:r w:rsidRPr="003C24FF">
        <w:rPr>
          <w:noProof/>
        </w:rPr>
        <w:t>17.Satsangi J, Silverberg MS, Vermeire S, et al. The Montreal classification of inflammatory bowel disease: controversies, consensus, and implications. Gut 2006;55:749-53.</w:t>
      </w:r>
    </w:p>
    <w:p w:rsidR="00A16C3B" w:rsidRPr="003C24FF" w:rsidRDefault="00A16C3B" w:rsidP="00A16C3B">
      <w:pPr>
        <w:pStyle w:val="EndNoteBibliography"/>
        <w:spacing w:after="0" w:line="480" w:lineRule="auto"/>
        <w:ind w:left="720" w:hanging="720"/>
        <w:rPr>
          <w:noProof/>
        </w:rPr>
      </w:pPr>
      <w:r w:rsidRPr="003C24FF">
        <w:rPr>
          <w:noProof/>
        </w:rPr>
        <w:t>18.Schwartz DA, Loftus EV, Jr., Tremaine WJ, et al. The natural history of fistulizing Crohn's disease in Olmsted County, Minnesota. Gastroenterology 2002;122:875-80.</w:t>
      </w:r>
    </w:p>
    <w:p w:rsidR="00A16C3B" w:rsidRPr="003C24FF" w:rsidRDefault="00A16C3B" w:rsidP="00A16C3B">
      <w:pPr>
        <w:pStyle w:val="EndNoteBibliography"/>
        <w:spacing w:after="0" w:line="480" w:lineRule="auto"/>
        <w:ind w:left="720" w:hanging="720"/>
        <w:rPr>
          <w:noProof/>
        </w:rPr>
      </w:pPr>
      <w:r w:rsidRPr="003C24FF">
        <w:rPr>
          <w:noProof/>
        </w:rPr>
        <w:t>19.Hope B, Shahdadpuri R, Dunne C, et al. Rapid rise in incidence of Irish paediatric inflammatory bowel disease. Arch Dis Child 2012;97:590-4.</w:t>
      </w:r>
    </w:p>
    <w:p w:rsidR="00A16C3B" w:rsidRPr="003C24FF" w:rsidRDefault="00A16C3B" w:rsidP="00A16C3B">
      <w:pPr>
        <w:pStyle w:val="EndNoteBibliography"/>
        <w:spacing w:after="0" w:line="480" w:lineRule="auto"/>
        <w:ind w:left="720" w:hanging="720"/>
        <w:rPr>
          <w:noProof/>
        </w:rPr>
      </w:pPr>
      <w:r w:rsidRPr="003C24FF">
        <w:rPr>
          <w:noProof/>
        </w:rPr>
        <w:t>20.Langholz E, Munkholm P, Krasilnikoff PA, et al. Inflammatory bowel diseases with onset in childhood. Clinical features, morbidity, and mortality in a regional cohort. Scand J Gastroenterol 1997;32:139-47.</w:t>
      </w:r>
    </w:p>
    <w:p w:rsidR="00A16C3B" w:rsidRPr="003C24FF" w:rsidRDefault="00A16C3B" w:rsidP="00A16C3B">
      <w:pPr>
        <w:pStyle w:val="EndNoteBibliography"/>
        <w:spacing w:after="0" w:line="480" w:lineRule="auto"/>
        <w:ind w:left="720" w:hanging="720"/>
        <w:rPr>
          <w:noProof/>
        </w:rPr>
      </w:pPr>
      <w:r w:rsidRPr="003C24FF">
        <w:rPr>
          <w:noProof/>
        </w:rPr>
        <w:t>21.Malmborg P, Grahnquist L, Idestrom M, et al. Presentation and progression of childhood-onset inflammatory bowel disease in Northern Stockholm County. Inflamm Bowel Dis 2015;21:1098-108.</w:t>
      </w:r>
    </w:p>
    <w:p w:rsidR="00A16C3B" w:rsidRPr="003C24FF" w:rsidRDefault="00A16C3B" w:rsidP="00A16C3B">
      <w:pPr>
        <w:pStyle w:val="EndNoteBibliography"/>
        <w:spacing w:after="0" w:line="480" w:lineRule="auto"/>
        <w:ind w:left="720" w:hanging="720"/>
        <w:rPr>
          <w:noProof/>
        </w:rPr>
      </w:pPr>
      <w:r w:rsidRPr="003C24FF">
        <w:rPr>
          <w:noProof/>
        </w:rPr>
        <w:t>22.Larsen MD, Qvist N, Nielsen J, et al. Use of Anti-TNFalpha Agents and Time to First-time Surgery in Paediatric Patients with Ulcerative Colitis and Crohn's Disease. J Crohns Colitis 2016;10:650-6.</w:t>
      </w:r>
    </w:p>
    <w:p w:rsidR="00A16C3B" w:rsidRPr="003C24FF" w:rsidRDefault="00A16C3B" w:rsidP="00A16C3B">
      <w:pPr>
        <w:pStyle w:val="EndNoteBibliography"/>
        <w:spacing w:after="0" w:line="480" w:lineRule="auto"/>
        <w:ind w:left="720" w:hanging="720"/>
        <w:rPr>
          <w:noProof/>
        </w:rPr>
      </w:pPr>
      <w:r w:rsidRPr="003C24FF">
        <w:rPr>
          <w:noProof/>
        </w:rPr>
        <w:t>23.Kim HJ, Oh SH, Kim DY, et al. Clinical Characteristics and Long-Term Outcomes of Paediatric Crohn's Disease: A Single-Centre Experience. J Crohns Colitis 2017;11:157-164.</w:t>
      </w:r>
    </w:p>
    <w:p w:rsidR="00A16C3B" w:rsidRPr="003C24FF" w:rsidRDefault="00A16C3B" w:rsidP="00A16C3B">
      <w:pPr>
        <w:pStyle w:val="EndNoteBibliography"/>
        <w:spacing w:after="0" w:line="480" w:lineRule="auto"/>
        <w:ind w:left="720" w:hanging="720"/>
        <w:rPr>
          <w:noProof/>
        </w:rPr>
      </w:pPr>
      <w:r w:rsidRPr="003C24FF">
        <w:rPr>
          <w:noProof/>
        </w:rPr>
        <w:t>24.Rinawi F, Assa A, Hartman C, et al. Evolution of disease phenotype in pediatric-onset Crohn's disease after more than 10 years follow up-Cohort study. Dig Liver Dis 2016;48:1444-1450.</w:t>
      </w:r>
    </w:p>
    <w:p w:rsidR="00A16C3B" w:rsidRPr="003C24FF" w:rsidRDefault="00A16C3B" w:rsidP="00A16C3B">
      <w:pPr>
        <w:pStyle w:val="EndNoteBibliography"/>
        <w:spacing w:after="0" w:line="480" w:lineRule="auto"/>
        <w:ind w:left="720" w:hanging="720"/>
        <w:rPr>
          <w:noProof/>
        </w:rPr>
      </w:pPr>
      <w:r w:rsidRPr="003C24FF">
        <w:rPr>
          <w:noProof/>
        </w:rPr>
        <w:t>25.Kugathasan S, Denson LA, Walters TD, et al. Prediction of complicated disease course for children newly diagnosed with Crohn's disease: a multicentre inception cohort study. Lancet 2017;389:1710-1718.</w:t>
      </w:r>
    </w:p>
    <w:p w:rsidR="00A16C3B" w:rsidRPr="003C24FF" w:rsidRDefault="00A16C3B" w:rsidP="00A16C3B">
      <w:pPr>
        <w:pStyle w:val="EndNoteBibliography"/>
        <w:spacing w:after="0" w:line="480" w:lineRule="auto"/>
        <w:ind w:left="720" w:hanging="720"/>
        <w:rPr>
          <w:noProof/>
        </w:rPr>
      </w:pPr>
      <w:r w:rsidRPr="003C24FF">
        <w:rPr>
          <w:noProof/>
        </w:rPr>
        <w:t>26.Peyrin-Biroulet L, Oussalah A, Williet N, et al. Impact of azathioprine and tumour necrosis factor antagonists on the need for surgery in newly diagnosed Crohn's disease. Gut 2011;60:930-6.</w:t>
      </w:r>
    </w:p>
    <w:p w:rsidR="00A16C3B" w:rsidRPr="003C24FF" w:rsidRDefault="00A16C3B" w:rsidP="00A16C3B">
      <w:pPr>
        <w:pStyle w:val="EndNoteBibliography"/>
        <w:spacing w:after="0" w:line="480" w:lineRule="auto"/>
        <w:ind w:left="720" w:hanging="720"/>
        <w:rPr>
          <w:noProof/>
        </w:rPr>
      </w:pPr>
      <w:r w:rsidRPr="003C24FF">
        <w:rPr>
          <w:noProof/>
        </w:rPr>
        <w:t>27.Safroneeva E, Vavricka SR, Fournier N, et al. Impact of the early use of immunomodulators or TNF antagonists on bowel damage and surgery in Crohn's disease. Aliment Pharmacol Ther 2015;42:977-89.</w:t>
      </w:r>
    </w:p>
    <w:p w:rsidR="00A16C3B" w:rsidRPr="003C24FF" w:rsidRDefault="00A16C3B" w:rsidP="00A16C3B">
      <w:pPr>
        <w:pStyle w:val="EndNoteBibliography"/>
        <w:spacing w:after="0" w:line="480" w:lineRule="auto"/>
        <w:ind w:left="720" w:hanging="720"/>
        <w:rPr>
          <w:noProof/>
        </w:rPr>
      </w:pPr>
      <w:r w:rsidRPr="003C24FF">
        <w:rPr>
          <w:noProof/>
        </w:rPr>
        <w:t>28.Jeuring SF, van den Heuvel TR, Liu LY, et al. Improvements in the Long-Term Outcome of Crohn's Disease Over the Past Two Decades and the Relation to Changes in Medical Management: Results from the Population-Based IBDSL Cohort. Am J Gastroenterol 2017;112:325-336.</w:t>
      </w:r>
    </w:p>
    <w:p w:rsidR="00A16C3B" w:rsidRPr="003C24FF" w:rsidRDefault="00A16C3B" w:rsidP="00A16C3B">
      <w:pPr>
        <w:pStyle w:val="EndNoteBibliography"/>
        <w:spacing w:after="0" w:line="480" w:lineRule="auto"/>
        <w:ind w:left="720" w:hanging="720"/>
        <w:rPr>
          <w:noProof/>
        </w:rPr>
      </w:pPr>
      <w:r w:rsidRPr="003C24FF">
        <w:rPr>
          <w:noProof/>
        </w:rPr>
        <w:t>29.Benchimol EI, Guttmann A, To T, et al. Changes to surgical and hospitalization rates of pediatric inflammatory bowel disease in Ontario, Canada (1994-2007). Inflamm Bowel Dis 2011;17:2153-61.</w:t>
      </w:r>
    </w:p>
    <w:p w:rsidR="00A16C3B" w:rsidRPr="003C24FF" w:rsidRDefault="00A16C3B" w:rsidP="00A16C3B">
      <w:pPr>
        <w:pStyle w:val="EndNoteBibliography"/>
        <w:spacing w:after="0" w:line="480" w:lineRule="auto"/>
        <w:ind w:left="720" w:hanging="720"/>
        <w:rPr>
          <w:noProof/>
        </w:rPr>
      </w:pPr>
      <w:r w:rsidRPr="003C24FF">
        <w:rPr>
          <w:noProof/>
        </w:rPr>
        <w:t>30.Leonor R, Jacobson K, Pinsk V, et al. Surgical intervention in children with Crohn's disease. Int J Colorectal Dis 2007;22:1037-41.</w:t>
      </w:r>
    </w:p>
    <w:p w:rsidR="00A16C3B" w:rsidRPr="003C24FF" w:rsidRDefault="00A16C3B" w:rsidP="00A16C3B">
      <w:pPr>
        <w:pStyle w:val="EndNoteBibliography"/>
        <w:spacing w:after="0" w:line="480" w:lineRule="auto"/>
        <w:ind w:left="720" w:hanging="720"/>
        <w:rPr>
          <w:noProof/>
        </w:rPr>
      </w:pPr>
      <w:r w:rsidRPr="003C24FF">
        <w:rPr>
          <w:noProof/>
        </w:rPr>
        <w:t>31.Benchimol EI, Mack DR, Nguyen GC, et al. Incidence, outcomes, and health services burden of very early onset inflammatory bowel disease. Gastroenterology 2014;147:803-813 e7; quiz e14-5.</w:t>
      </w:r>
    </w:p>
    <w:p w:rsidR="00A16C3B" w:rsidRPr="003C24FF" w:rsidRDefault="00A16C3B" w:rsidP="00A16C3B">
      <w:pPr>
        <w:pStyle w:val="EndNoteBibliography"/>
        <w:spacing w:after="0" w:line="480" w:lineRule="auto"/>
        <w:ind w:left="720" w:hanging="720"/>
        <w:rPr>
          <w:noProof/>
        </w:rPr>
      </w:pPr>
      <w:r w:rsidRPr="003C24FF">
        <w:rPr>
          <w:noProof/>
        </w:rPr>
        <w:t>32.Blackburn SC, Wiskin AE, Barnes C, et al. Surgery for children with Crohn's disease: indications, complications and outcome. Arch Dis Child 2014;99:420-6.</w:t>
      </w:r>
    </w:p>
    <w:p w:rsidR="00A16C3B" w:rsidRDefault="00A16C3B" w:rsidP="00021688">
      <w:pPr>
        <w:pStyle w:val="EndNoteBibliography"/>
        <w:spacing w:line="480" w:lineRule="auto"/>
        <w:ind w:left="720" w:hanging="720"/>
        <w:rPr>
          <w:noProof/>
        </w:rPr>
      </w:pPr>
      <w:r w:rsidRPr="003C24FF">
        <w:rPr>
          <w:noProof/>
        </w:rPr>
        <w:t>33.Aloi M, Viola F, D'Arcangelo G, et al. Disease course and efficacy of medical therapy in stricturing paediatric Crohn's disease. Dig Liver Dis 2013;45:464-8.</w:t>
      </w:r>
    </w:p>
    <w:p w:rsidR="0010487C" w:rsidRDefault="0010487C" w:rsidP="00021688">
      <w:pPr>
        <w:pStyle w:val="EndNoteBibliography"/>
        <w:spacing w:line="480" w:lineRule="auto"/>
        <w:ind w:left="720" w:hanging="720"/>
        <w:rPr>
          <w:b/>
          <w:noProof/>
          <w:sz w:val="24"/>
        </w:rPr>
      </w:pPr>
    </w:p>
    <w:p w:rsidR="00A652C5" w:rsidRPr="00A652C5" w:rsidRDefault="00A652C5" w:rsidP="00021688">
      <w:pPr>
        <w:pStyle w:val="EndNoteBibliography"/>
        <w:spacing w:line="480" w:lineRule="auto"/>
        <w:ind w:left="720" w:hanging="720"/>
        <w:rPr>
          <w:b/>
          <w:noProof/>
          <w:sz w:val="24"/>
        </w:rPr>
      </w:pPr>
      <w:r w:rsidRPr="00A652C5">
        <w:rPr>
          <w:b/>
          <w:noProof/>
          <w:sz w:val="24"/>
        </w:rPr>
        <w:t>Legends</w:t>
      </w:r>
    </w:p>
    <w:p w:rsidR="00A652C5" w:rsidRPr="00DB21FA" w:rsidRDefault="00A652C5" w:rsidP="00DB21FA">
      <w:pPr>
        <w:spacing w:line="480" w:lineRule="auto"/>
        <w:jc w:val="both"/>
        <w:rPr>
          <w:sz w:val="24"/>
          <w:szCs w:val="24"/>
        </w:rPr>
      </w:pPr>
      <w:r w:rsidRPr="00DB21FA">
        <w:rPr>
          <w:sz w:val="24"/>
          <w:szCs w:val="24"/>
        </w:rPr>
        <w:t>Figure 1 A and B: Disease location according to Paris classification at diagnosis (1A) and Montreal classification (1B) at maximal follow up</w:t>
      </w:r>
    </w:p>
    <w:p w:rsidR="00A652C5" w:rsidRPr="00DB21FA" w:rsidRDefault="00A652C5" w:rsidP="00DB21FA">
      <w:pPr>
        <w:spacing w:line="480" w:lineRule="auto"/>
        <w:jc w:val="both"/>
        <w:rPr>
          <w:sz w:val="24"/>
          <w:szCs w:val="24"/>
        </w:rPr>
      </w:pPr>
      <w:r w:rsidRPr="00DB21FA">
        <w:rPr>
          <w:sz w:val="24"/>
          <w:szCs w:val="24"/>
        </w:rPr>
        <w:t>Figure 2: Crohn’s disease behaviour at diagnosis and last follow-up. A significant change in disease behaviour towards a complicated phenotype was noted over time.</w:t>
      </w:r>
    </w:p>
    <w:p w:rsidR="00A652C5" w:rsidRPr="00DB21FA" w:rsidRDefault="00A652C5" w:rsidP="00DB21FA">
      <w:pPr>
        <w:spacing w:line="480" w:lineRule="auto"/>
        <w:rPr>
          <w:sz w:val="24"/>
          <w:szCs w:val="24"/>
        </w:rPr>
      </w:pPr>
      <w:r w:rsidRPr="00DB21FA">
        <w:rPr>
          <w:sz w:val="24"/>
          <w:szCs w:val="24"/>
        </w:rPr>
        <w:t>Figure 3: Cumulative risk of first intestinal resection in P</w:t>
      </w:r>
      <w:r w:rsidR="006E0214">
        <w:rPr>
          <w:sz w:val="24"/>
          <w:szCs w:val="24"/>
        </w:rPr>
        <w:t>a</w:t>
      </w:r>
      <w:r w:rsidRPr="00DB21FA">
        <w:rPr>
          <w:sz w:val="24"/>
          <w:szCs w:val="24"/>
        </w:rPr>
        <w:t>ediatric Crohn’s disease (N=132)</w:t>
      </w:r>
    </w:p>
    <w:p w:rsidR="00024283" w:rsidRDefault="00024283" w:rsidP="00024283">
      <w:pPr>
        <w:spacing w:line="480" w:lineRule="auto"/>
        <w:jc w:val="both"/>
        <w:rPr>
          <w:sz w:val="24"/>
          <w:szCs w:val="24"/>
        </w:rPr>
      </w:pPr>
      <w:r w:rsidRPr="00DB21FA">
        <w:rPr>
          <w:sz w:val="24"/>
          <w:szCs w:val="24"/>
        </w:rPr>
        <w:t>Table 1: Uni</w:t>
      </w:r>
      <w:r>
        <w:rPr>
          <w:sz w:val="24"/>
          <w:szCs w:val="24"/>
        </w:rPr>
        <w:t>- and multi-</w:t>
      </w:r>
      <w:r w:rsidRPr="00DB21FA">
        <w:rPr>
          <w:sz w:val="24"/>
          <w:szCs w:val="24"/>
        </w:rPr>
        <w:t>variate analysis of factors associated with complicated disease behaviour</w:t>
      </w:r>
    </w:p>
    <w:p w:rsidR="00024283" w:rsidRPr="00DB21FA" w:rsidRDefault="00024283" w:rsidP="00024283">
      <w:pPr>
        <w:spacing w:line="480" w:lineRule="auto"/>
        <w:jc w:val="both"/>
        <w:rPr>
          <w:sz w:val="24"/>
          <w:szCs w:val="24"/>
        </w:rPr>
      </w:pPr>
      <w:r w:rsidRPr="00DB21FA">
        <w:rPr>
          <w:sz w:val="24"/>
          <w:szCs w:val="24"/>
        </w:rPr>
        <w:t xml:space="preserve">Table </w:t>
      </w:r>
      <w:r>
        <w:rPr>
          <w:sz w:val="24"/>
          <w:szCs w:val="24"/>
        </w:rPr>
        <w:t>2</w:t>
      </w:r>
      <w:r w:rsidRPr="00DB21FA">
        <w:rPr>
          <w:sz w:val="24"/>
          <w:szCs w:val="24"/>
        </w:rPr>
        <w:t>: Uni</w:t>
      </w:r>
      <w:r>
        <w:rPr>
          <w:sz w:val="24"/>
          <w:szCs w:val="24"/>
        </w:rPr>
        <w:t>-</w:t>
      </w:r>
      <w:r w:rsidRPr="00DB21FA">
        <w:rPr>
          <w:sz w:val="24"/>
          <w:szCs w:val="24"/>
        </w:rPr>
        <w:t xml:space="preserve">variate analysis of factors associated with </w:t>
      </w:r>
      <w:r>
        <w:rPr>
          <w:sz w:val="24"/>
          <w:szCs w:val="24"/>
        </w:rPr>
        <w:t>the need for intestinal surgery in paediatric Crohn’s disease</w:t>
      </w:r>
    </w:p>
    <w:p w:rsidR="00DB21FA" w:rsidRDefault="00DB21FA" w:rsidP="00A652C5">
      <w:pPr>
        <w:rPr>
          <w:b/>
          <w:sz w:val="24"/>
          <w:szCs w:val="24"/>
        </w:rPr>
      </w:pPr>
    </w:p>
    <w:p w:rsidR="00A652C5" w:rsidRDefault="00A652C5" w:rsidP="00A652C5">
      <w:pPr>
        <w:spacing w:line="480" w:lineRule="auto"/>
        <w:jc w:val="both"/>
        <w:rPr>
          <w:b/>
          <w:sz w:val="24"/>
          <w:szCs w:val="24"/>
        </w:rPr>
      </w:pPr>
    </w:p>
    <w:p w:rsidR="00A652C5" w:rsidRDefault="00A652C5" w:rsidP="00A652C5">
      <w:pPr>
        <w:spacing w:line="480" w:lineRule="auto"/>
        <w:jc w:val="both"/>
        <w:rPr>
          <w:noProof/>
          <w:sz w:val="24"/>
          <w:szCs w:val="24"/>
          <w:lang w:eastAsia="en-GB"/>
        </w:rPr>
      </w:pPr>
    </w:p>
    <w:p w:rsidR="00A652C5" w:rsidRPr="00A652C5" w:rsidRDefault="00A652C5" w:rsidP="00021688">
      <w:pPr>
        <w:pStyle w:val="EndNoteBibliography"/>
        <w:spacing w:line="480" w:lineRule="auto"/>
        <w:ind w:left="720" w:hanging="720"/>
        <w:rPr>
          <w:noProof/>
          <w:sz w:val="24"/>
        </w:rPr>
      </w:pPr>
    </w:p>
    <w:p w:rsidR="00A652C5" w:rsidRDefault="00A652C5" w:rsidP="00021688">
      <w:pPr>
        <w:pStyle w:val="EndNoteBibliography"/>
        <w:spacing w:line="480" w:lineRule="auto"/>
        <w:ind w:left="720" w:hanging="720"/>
        <w:rPr>
          <w:noProof/>
        </w:rPr>
      </w:pPr>
    </w:p>
    <w:sectPr w:rsidR="00A652C5" w:rsidSect="00FD70B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04E" w:rsidRDefault="0041504E">
      <w:pPr>
        <w:spacing w:after="0" w:line="240" w:lineRule="auto"/>
      </w:pPr>
      <w:r>
        <w:separator/>
      </w:r>
    </w:p>
  </w:endnote>
  <w:endnote w:type="continuationSeparator" w:id="0">
    <w:p w:rsidR="0041504E" w:rsidRDefault="0041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2868"/>
      <w:docPartObj>
        <w:docPartGallery w:val="Page Numbers (Bottom of Page)"/>
        <w:docPartUnique/>
      </w:docPartObj>
    </w:sdtPr>
    <w:sdtEndPr/>
    <w:sdtContent>
      <w:p w:rsidR="00BA1493" w:rsidRDefault="00AF67D9">
        <w:pPr>
          <w:pStyle w:val="Footer"/>
          <w:jc w:val="right"/>
        </w:pPr>
        <w:r>
          <w:fldChar w:fldCharType="begin"/>
        </w:r>
        <w:r>
          <w:instrText xml:space="preserve"> PAGE   \* MERGEFORMAT </w:instrText>
        </w:r>
        <w:r>
          <w:fldChar w:fldCharType="separate"/>
        </w:r>
        <w:r w:rsidR="0089102E">
          <w:rPr>
            <w:noProof/>
          </w:rPr>
          <w:t>3</w:t>
        </w:r>
        <w:r>
          <w:rPr>
            <w:noProof/>
          </w:rPr>
          <w:fldChar w:fldCharType="end"/>
        </w:r>
      </w:p>
    </w:sdtContent>
  </w:sdt>
  <w:p w:rsidR="00BA1493" w:rsidRDefault="0041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04E" w:rsidRDefault="0041504E">
      <w:pPr>
        <w:spacing w:after="0" w:line="240" w:lineRule="auto"/>
      </w:pPr>
      <w:r>
        <w:separator/>
      </w:r>
    </w:p>
  </w:footnote>
  <w:footnote w:type="continuationSeparator" w:id="0">
    <w:p w:rsidR="0041504E" w:rsidRDefault="00415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25FDD"/>
    <w:multiLevelType w:val="hybridMultilevel"/>
    <w:tmpl w:val="0E7C0104"/>
    <w:lvl w:ilvl="0" w:tplc="973C81C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036EA"/>
    <w:multiLevelType w:val="hybridMultilevel"/>
    <w:tmpl w:val="71F8A7C6"/>
    <w:lvl w:ilvl="0" w:tplc="BB88C044">
      <w:start w:val="2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C23D9"/>
    <w:multiLevelType w:val="hybridMultilevel"/>
    <w:tmpl w:val="1EF61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F67D9"/>
    <w:rsid w:val="00010123"/>
    <w:rsid w:val="00012814"/>
    <w:rsid w:val="00021688"/>
    <w:rsid w:val="00024283"/>
    <w:rsid w:val="00024C87"/>
    <w:rsid w:val="0002698A"/>
    <w:rsid w:val="000C2875"/>
    <w:rsid w:val="000F64CF"/>
    <w:rsid w:val="0010487C"/>
    <w:rsid w:val="00152271"/>
    <w:rsid w:val="00160D86"/>
    <w:rsid w:val="0017304B"/>
    <w:rsid w:val="001804C9"/>
    <w:rsid w:val="0019350D"/>
    <w:rsid w:val="001969A2"/>
    <w:rsid w:val="00233305"/>
    <w:rsid w:val="00246409"/>
    <w:rsid w:val="00256AF2"/>
    <w:rsid w:val="00256B96"/>
    <w:rsid w:val="00290372"/>
    <w:rsid w:val="00291644"/>
    <w:rsid w:val="002A4E72"/>
    <w:rsid w:val="002C3E5C"/>
    <w:rsid w:val="002D2BEB"/>
    <w:rsid w:val="002D67DB"/>
    <w:rsid w:val="00370DEC"/>
    <w:rsid w:val="003D699F"/>
    <w:rsid w:val="003E3DA4"/>
    <w:rsid w:val="00407479"/>
    <w:rsid w:val="0041504E"/>
    <w:rsid w:val="00452B80"/>
    <w:rsid w:val="00491552"/>
    <w:rsid w:val="004A2E09"/>
    <w:rsid w:val="004B49B4"/>
    <w:rsid w:val="004C552D"/>
    <w:rsid w:val="004E03BA"/>
    <w:rsid w:val="004E3493"/>
    <w:rsid w:val="00546E97"/>
    <w:rsid w:val="005922A9"/>
    <w:rsid w:val="005B0672"/>
    <w:rsid w:val="005C00AE"/>
    <w:rsid w:val="005C2133"/>
    <w:rsid w:val="005C4B1D"/>
    <w:rsid w:val="00650E18"/>
    <w:rsid w:val="00680814"/>
    <w:rsid w:val="00690A1C"/>
    <w:rsid w:val="006C7066"/>
    <w:rsid w:val="006E0214"/>
    <w:rsid w:val="007063A0"/>
    <w:rsid w:val="00743E8E"/>
    <w:rsid w:val="007602DB"/>
    <w:rsid w:val="007854DE"/>
    <w:rsid w:val="007D2FD4"/>
    <w:rsid w:val="007D316A"/>
    <w:rsid w:val="007F2AD3"/>
    <w:rsid w:val="00876235"/>
    <w:rsid w:val="0089102E"/>
    <w:rsid w:val="008A3022"/>
    <w:rsid w:val="008C7989"/>
    <w:rsid w:val="008E40FB"/>
    <w:rsid w:val="00940A66"/>
    <w:rsid w:val="0094306B"/>
    <w:rsid w:val="009555E6"/>
    <w:rsid w:val="009711D3"/>
    <w:rsid w:val="009922FA"/>
    <w:rsid w:val="009C3EE6"/>
    <w:rsid w:val="009F3C69"/>
    <w:rsid w:val="00A014E4"/>
    <w:rsid w:val="00A16C3B"/>
    <w:rsid w:val="00A43CB3"/>
    <w:rsid w:val="00A5561D"/>
    <w:rsid w:val="00A56723"/>
    <w:rsid w:val="00A652C5"/>
    <w:rsid w:val="00AF4A03"/>
    <w:rsid w:val="00AF67D9"/>
    <w:rsid w:val="00B1110E"/>
    <w:rsid w:val="00B121B5"/>
    <w:rsid w:val="00BE6DE1"/>
    <w:rsid w:val="00C02E78"/>
    <w:rsid w:val="00C126B9"/>
    <w:rsid w:val="00C93699"/>
    <w:rsid w:val="00D32B2D"/>
    <w:rsid w:val="00D5211B"/>
    <w:rsid w:val="00D65125"/>
    <w:rsid w:val="00DA20C2"/>
    <w:rsid w:val="00DA2B1F"/>
    <w:rsid w:val="00DB21FA"/>
    <w:rsid w:val="00DF1CE6"/>
    <w:rsid w:val="00E06D16"/>
    <w:rsid w:val="00E12628"/>
    <w:rsid w:val="00E42354"/>
    <w:rsid w:val="00E46A6D"/>
    <w:rsid w:val="00EB51E1"/>
    <w:rsid w:val="00EC28E2"/>
    <w:rsid w:val="00F46D6E"/>
    <w:rsid w:val="00FA3944"/>
    <w:rsid w:val="00FB3C65"/>
    <w:rsid w:val="00FE2553"/>
    <w:rsid w:val="00FF3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E34A"/>
  <w15:docId w15:val="{A9F83383-E959-4C8C-92C7-3F05BA1D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D9"/>
    <w:pPr>
      <w:spacing w:after="200" w:line="276" w:lineRule="auto"/>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7D9"/>
    <w:rPr>
      <w:color w:val="0563C1" w:themeColor="hyperlink"/>
      <w:u w:val="single"/>
    </w:rPr>
  </w:style>
  <w:style w:type="table" w:styleId="TableGrid">
    <w:name w:val="Table Grid"/>
    <w:basedOn w:val="TableNormal"/>
    <w:uiPriority w:val="59"/>
    <w:rsid w:val="00AF67D9"/>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D9"/>
    <w:pPr>
      <w:ind w:left="720"/>
      <w:contextualSpacing/>
    </w:pPr>
  </w:style>
  <w:style w:type="character" w:styleId="CommentReference">
    <w:name w:val="annotation reference"/>
    <w:basedOn w:val="DefaultParagraphFont"/>
    <w:uiPriority w:val="99"/>
    <w:semiHidden/>
    <w:unhideWhenUsed/>
    <w:rsid w:val="00AF67D9"/>
    <w:rPr>
      <w:sz w:val="16"/>
      <w:szCs w:val="16"/>
    </w:rPr>
  </w:style>
  <w:style w:type="paragraph" w:styleId="CommentText">
    <w:name w:val="annotation text"/>
    <w:basedOn w:val="Normal"/>
    <w:link w:val="CommentTextChar"/>
    <w:uiPriority w:val="99"/>
    <w:semiHidden/>
    <w:unhideWhenUsed/>
    <w:rsid w:val="00AF67D9"/>
    <w:pPr>
      <w:spacing w:line="240" w:lineRule="auto"/>
    </w:pPr>
    <w:rPr>
      <w:sz w:val="20"/>
      <w:szCs w:val="20"/>
    </w:rPr>
  </w:style>
  <w:style w:type="character" w:customStyle="1" w:styleId="CommentTextChar">
    <w:name w:val="Comment Text Char"/>
    <w:basedOn w:val="DefaultParagraphFont"/>
    <w:link w:val="CommentText"/>
    <w:uiPriority w:val="99"/>
    <w:semiHidden/>
    <w:rsid w:val="00AF67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D9"/>
    <w:rPr>
      <w:b/>
      <w:bCs/>
    </w:rPr>
  </w:style>
  <w:style w:type="character" w:customStyle="1" w:styleId="CommentSubjectChar">
    <w:name w:val="Comment Subject Char"/>
    <w:basedOn w:val="CommentTextChar"/>
    <w:link w:val="CommentSubject"/>
    <w:uiPriority w:val="99"/>
    <w:semiHidden/>
    <w:rsid w:val="00AF67D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F6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D9"/>
    <w:rPr>
      <w:rFonts w:ascii="Tahoma" w:hAnsi="Tahoma" w:cs="Tahoma"/>
      <w:sz w:val="16"/>
      <w:szCs w:val="16"/>
    </w:rPr>
  </w:style>
  <w:style w:type="paragraph" w:customStyle="1" w:styleId="EndNoteBibliographyTitle">
    <w:name w:val="EndNote Bibliography Title"/>
    <w:basedOn w:val="Normal"/>
    <w:rsid w:val="00AF67D9"/>
    <w:pPr>
      <w:spacing w:after="0"/>
      <w:jc w:val="center"/>
    </w:pPr>
    <w:rPr>
      <w:lang w:val="en-US"/>
    </w:rPr>
  </w:style>
  <w:style w:type="paragraph" w:customStyle="1" w:styleId="EndNoteBibliography">
    <w:name w:val="EndNote Bibliography"/>
    <w:basedOn w:val="Normal"/>
    <w:link w:val="EndNoteBibliographyChar"/>
    <w:rsid w:val="00AF67D9"/>
    <w:pPr>
      <w:spacing w:line="240" w:lineRule="auto"/>
      <w:jc w:val="both"/>
    </w:pPr>
    <w:rPr>
      <w:lang w:val="en-US"/>
    </w:rPr>
  </w:style>
  <w:style w:type="table" w:customStyle="1" w:styleId="LightShading-Accent11">
    <w:name w:val="Light Shading - Accent 11"/>
    <w:basedOn w:val="TableNormal"/>
    <w:uiPriority w:val="60"/>
    <w:rsid w:val="00AF67D9"/>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EndNoteBibliographyChar">
    <w:name w:val="EndNote Bibliography Char"/>
    <w:basedOn w:val="DefaultParagraphFont"/>
    <w:link w:val="EndNoteBibliography"/>
    <w:rsid w:val="00AF67D9"/>
    <w:rPr>
      <w:rFonts w:ascii="Times New Roman" w:hAnsi="Times New Roman" w:cs="Times New Roman"/>
      <w:sz w:val="22"/>
      <w:szCs w:val="22"/>
      <w:lang w:val="en-US"/>
    </w:rPr>
  </w:style>
  <w:style w:type="paragraph" w:styleId="Header">
    <w:name w:val="header"/>
    <w:basedOn w:val="Normal"/>
    <w:link w:val="HeaderChar"/>
    <w:uiPriority w:val="99"/>
    <w:semiHidden/>
    <w:unhideWhenUsed/>
    <w:rsid w:val="00AF67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67D9"/>
    <w:rPr>
      <w:rFonts w:ascii="Times New Roman" w:hAnsi="Times New Roman" w:cs="Times New Roman"/>
      <w:sz w:val="22"/>
      <w:szCs w:val="22"/>
    </w:rPr>
  </w:style>
  <w:style w:type="paragraph" w:styleId="Footer">
    <w:name w:val="footer"/>
    <w:basedOn w:val="Normal"/>
    <w:link w:val="FooterChar"/>
    <w:uiPriority w:val="99"/>
    <w:unhideWhenUsed/>
    <w:rsid w:val="00AF6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7D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709">
      <w:bodyDiv w:val="1"/>
      <w:marLeft w:val="0"/>
      <w:marRight w:val="0"/>
      <w:marTop w:val="0"/>
      <w:marBottom w:val="0"/>
      <w:divBdr>
        <w:top w:val="none" w:sz="0" w:space="0" w:color="auto"/>
        <w:left w:val="none" w:sz="0" w:space="0" w:color="auto"/>
        <w:bottom w:val="none" w:sz="0" w:space="0" w:color="auto"/>
        <w:right w:val="none" w:sz="0" w:space="0" w:color="auto"/>
      </w:divBdr>
    </w:div>
    <w:div w:id="317418562">
      <w:bodyDiv w:val="1"/>
      <w:marLeft w:val="0"/>
      <w:marRight w:val="0"/>
      <w:marTop w:val="0"/>
      <w:marBottom w:val="0"/>
      <w:divBdr>
        <w:top w:val="none" w:sz="0" w:space="0" w:color="auto"/>
        <w:left w:val="none" w:sz="0" w:space="0" w:color="auto"/>
        <w:bottom w:val="none" w:sz="0" w:space="0" w:color="auto"/>
        <w:right w:val="none" w:sz="0" w:space="0" w:color="auto"/>
      </w:divBdr>
    </w:div>
    <w:div w:id="19704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reedhar.subramanian@rlbuht.n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2019-12-22T23:33:00Z</dcterms:created>
  <dcterms:modified xsi:type="dcterms:W3CDTF">2019-12-27T18:05:00Z</dcterms:modified>
</cp:coreProperties>
</file>