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F9D68" w14:textId="79FCB833" w:rsidR="001D2386" w:rsidRDefault="00DE49B6" w:rsidP="00693035">
      <w:pPr>
        <w:spacing w:line="480" w:lineRule="auto"/>
        <w:jc w:val="both"/>
        <w:rPr>
          <w:rFonts w:cstheme="minorHAnsi"/>
          <w:b/>
          <w:sz w:val="24"/>
          <w:szCs w:val="24"/>
        </w:rPr>
      </w:pPr>
      <w:r w:rsidRPr="00693035">
        <w:rPr>
          <w:rFonts w:cstheme="minorHAnsi"/>
          <w:b/>
          <w:sz w:val="24"/>
          <w:szCs w:val="24"/>
        </w:rPr>
        <w:t xml:space="preserve">Title: </w:t>
      </w:r>
      <w:bookmarkStart w:id="0" w:name="_Hlk528744414"/>
      <w:r w:rsidR="00754A67">
        <w:rPr>
          <w:rFonts w:cstheme="minorHAnsi"/>
          <w:b/>
          <w:sz w:val="24"/>
          <w:szCs w:val="24"/>
        </w:rPr>
        <w:t>A descriptive epidemiological study of t</w:t>
      </w:r>
      <w:r w:rsidR="00DD3BC0" w:rsidRPr="008E6688">
        <w:rPr>
          <w:rFonts w:cstheme="minorHAnsi"/>
          <w:b/>
          <w:sz w:val="24"/>
          <w:szCs w:val="24"/>
        </w:rPr>
        <w:t>he i</w:t>
      </w:r>
      <w:r w:rsidR="00782F8D" w:rsidRPr="008E6688">
        <w:rPr>
          <w:rFonts w:cstheme="minorHAnsi"/>
          <w:b/>
          <w:sz w:val="24"/>
          <w:szCs w:val="24"/>
        </w:rPr>
        <w:t>ncidence</w:t>
      </w:r>
      <w:r w:rsidR="001D2386" w:rsidRPr="008E6688">
        <w:rPr>
          <w:rFonts w:cstheme="minorHAnsi"/>
          <w:b/>
          <w:sz w:val="24"/>
          <w:szCs w:val="24"/>
        </w:rPr>
        <w:t xml:space="preserve"> of </w:t>
      </w:r>
      <w:r w:rsidR="002C5A28">
        <w:rPr>
          <w:rFonts w:cstheme="minorHAnsi"/>
          <w:b/>
          <w:sz w:val="24"/>
          <w:szCs w:val="24"/>
        </w:rPr>
        <w:t>new</w:t>
      </w:r>
      <w:r w:rsidR="005760FD">
        <w:rPr>
          <w:rFonts w:cstheme="minorHAnsi"/>
          <w:b/>
          <w:sz w:val="24"/>
          <w:szCs w:val="24"/>
        </w:rPr>
        <w:t>ly</w:t>
      </w:r>
      <w:r w:rsidR="002C5A28">
        <w:rPr>
          <w:rFonts w:cstheme="minorHAnsi"/>
          <w:b/>
          <w:sz w:val="24"/>
          <w:szCs w:val="24"/>
        </w:rPr>
        <w:t xml:space="preserve"> </w:t>
      </w:r>
      <w:r w:rsidR="005760FD">
        <w:rPr>
          <w:rFonts w:cstheme="minorHAnsi"/>
          <w:b/>
          <w:sz w:val="24"/>
          <w:szCs w:val="24"/>
        </w:rPr>
        <w:t>diagnosed</w:t>
      </w:r>
      <w:r w:rsidR="002C5A28">
        <w:rPr>
          <w:rFonts w:cstheme="minorHAnsi"/>
          <w:b/>
          <w:sz w:val="24"/>
          <w:szCs w:val="24"/>
        </w:rPr>
        <w:t xml:space="preserve"> </w:t>
      </w:r>
      <w:r w:rsidR="001D2386" w:rsidRPr="008E6688">
        <w:rPr>
          <w:rFonts w:cstheme="minorHAnsi"/>
          <w:b/>
          <w:sz w:val="24"/>
          <w:szCs w:val="24"/>
        </w:rPr>
        <w:t xml:space="preserve">Lyme disease </w:t>
      </w:r>
      <w:r w:rsidR="00C90C06" w:rsidRPr="008E6688">
        <w:rPr>
          <w:rFonts w:cstheme="minorHAnsi"/>
          <w:b/>
          <w:sz w:val="24"/>
          <w:szCs w:val="24"/>
        </w:rPr>
        <w:t xml:space="preserve">cases </w:t>
      </w:r>
      <w:r w:rsidR="001D2386" w:rsidRPr="008E6688">
        <w:rPr>
          <w:rFonts w:cstheme="minorHAnsi"/>
          <w:b/>
          <w:sz w:val="24"/>
          <w:szCs w:val="24"/>
        </w:rPr>
        <w:t xml:space="preserve">in </w:t>
      </w:r>
      <w:r w:rsidR="00693035" w:rsidRPr="008E6688">
        <w:rPr>
          <w:rFonts w:cstheme="minorHAnsi"/>
          <w:b/>
          <w:sz w:val="24"/>
          <w:szCs w:val="24"/>
        </w:rPr>
        <w:t xml:space="preserve">a </w:t>
      </w:r>
      <w:r w:rsidR="001D2386" w:rsidRPr="008E6688">
        <w:rPr>
          <w:rFonts w:cstheme="minorHAnsi"/>
          <w:b/>
          <w:sz w:val="24"/>
          <w:szCs w:val="24"/>
        </w:rPr>
        <w:t>UK primary care</w:t>
      </w:r>
      <w:r w:rsidR="00693035" w:rsidRPr="008E6688">
        <w:rPr>
          <w:rFonts w:cstheme="minorHAnsi"/>
          <w:b/>
          <w:sz w:val="24"/>
          <w:szCs w:val="24"/>
        </w:rPr>
        <w:t xml:space="preserve"> cohort</w:t>
      </w:r>
      <w:r w:rsidR="00782F8D" w:rsidRPr="008E6688">
        <w:rPr>
          <w:rFonts w:cstheme="minorHAnsi"/>
          <w:b/>
          <w:sz w:val="24"/>
          <w:szCs w:val="24"/>
        </w:rPr>
        <w:t>, 1998 - 201</w:t>
      </w:r>
      <w:r w:rsidR="00054BF8" w:rsidRPr="008E6688">
        <w:rPr>
          <w:rFonts w:cstheme="minorHAnsi"/>
          <w:b/>
          <w:sz w:val="24"/>
          <w:szCs w:val="24"/>
        </w:rPr>
        <w:t>6</w:t>
      </w:r>
      <w:r w:rsidR="001D2386" w:rsidRPr="00693035">
        <w:rPr>
          <w:rFonts w:cstheme="minorHAnsi"/>
          <w:b/>
          <w:sz w:val="24"/>
          <w:szCs w:val="24"/>
        </w:rPr>
        <w:t xml:space="preserve"> </w:t>
      </w:r>
      <w:bookmarkEnd w:id="0"/>
      <w:r w:rsidR="00A00744">
        <w:rPr>
          <w:rFonts w:cstheme="minorHAnsi"/>
          <w:b/>
          <w:sz w:val="24"/>
          <w:szCs w:val="24"/>
        </w:rPr>
        <w:t xml:space="preserve"> </w:t>
      </w:r>
    </w:p>
    <w:p w14:paraId="51D664EB" w14:textId="77777777" w:rsidR="0037567C" w:rsidRPr="002A788D" w:rsidRDefault="0037567C" w:rsidP="0037567C">
      <w:pPr>
        <w:spacing w:after="0" w:line="480" w:lineRule="auto"/>
        <w:jc w:val="both"/>
        <w:rPr>
          <w:rFonts w:cstheme="minorHAnsi"/>
          <w:sz w:val="20"/>
          <w:szCs w:val="20"/>
          <w:vertAlign w:val="superscript"/>
        </w:rPr>
      </w:pPr>
      <w:r>
        <w:rPr>
          <w:rFonts w:cstheme="minorHAnsi"/>
          <w:b/>
          <w:sz w:val="24"/>
          <w:szCs w:val="24"/>
        </w:rPr>
        <w:t xml:space="preserve">Authors: </w:t>
      </w:r>
      <w:r w:rsidRPr="002A788D">
        <w:rPr>
          <w:rFonts w:cstheme="minorHAnsi"/>
          <w:sz w:val="20"/>
          <w:szCs w:val="20"/>
        </w:rPr>
        <w:t>John Tulloch</w:t>
      </w:r>
      <w:r w:rsidRPr="002A788D">
        <w:rPr>
          <w:rFonts w:cs="Times New Roman"/>
          <w:sz w:val="20"/>
          <w:szCs w:val="20"/>
          <w:vertAlign w:val="superscript"/>
        </w:rPr>
        <w:t>1,2</w:t>
      </w:r>
      <w:r w:rsidRPr="002A788D">
        <w:rPr>
          <w:rFonts w:cstheme="minorHAnsi"/>
          <w:sz w:val="20"/>
          <w:szCs w:val="20"/>
        </w:rPr>
        <w:t>, Rob Christley</w:t>
      </w:r>
      <w:r w:rsidRPr="002A788D">
        <w:rPr>
          <w:rFonts w:cstheme="minorHAnsi"/>
          <w:sz w:val="20"/>
          <w:szCs w:val="20"/>
          <w:vertAlign w:val="superscript"/>
        </w:rPr>
        <w:t>1,3</w:t>
      </w:r>
      <w:r w:rsidRPr="002A788D">
        <w:rPr>
          <w:rFonts w:cstheme="minorHAnsi"/>
          <w:sz w:val="20"/>
          <w:szCs w:val="20"/>
        </w:rPr>
        <w:t>, Alan Radford</w:t>
      </w:r>
      <w:r w:rsidRPr="002A788D">
        <w:rPr>
          <w:rFonts w:cstheme="minorHAnsi"/>
          <w:sz w:val="20"/>
          <w:szCs w:val="20"/>
          <w:vertAlign w:val="superscript"/>
        </w:rPr>
        <w:t>1,3</w:t>
      </w:r>
      <w:r w:rsidRPr="002A788D">
        <w:rPr>
          <w:rFonts w:cstheme="minorHAnsi"/>
          <w:sz w:val="20"/>
          <w:szCs w:val="20"/>
        </w:rPr>
        <w:t>, Jenny Warner</w:t>
      </w:r>
      <w:r w:rsidRPr="002A788D">
        <w:rPr>
          <w:rFonts w:cstheme="minorHAnsi"/>
          <w:sz w:val="20"/>
          <w:szCs w:val="20"/>
          <w:vertAlign w:val="superscript"/>
        </w:rPr>
        <w:t>4,5</w:t>
      </w:r>
      <w:r w:rsidRPr="002A788D">
        <w:rPr>
          <w:rFonts w:cstheme="minorHAnsi"/>
          <w:sz w:val="20"/>
          <w:szCs w:val="20"/>
        </w:rPr>
        <w:t>, Mike Beadsworth</w:t>
      </w:r>
      <w:r w:rsidRPr="002A788D">
        <w:rPr>
          <w:rFonts w:cstheme="minorHAnsi"/>
          <w:sz w:val="20"/>
          <w:szCs w:val="20"/>
          <w:vertAlign w:val="superscript"/>
        </w:rPr>
        <w:t>6,7</w:t>
      </w:r>
      <w:r w:rsidRPr="002A788D">
        <w:rPr>
          <w:rFonts w:cstheme="minorHAnsi"/>
          <w:sz w:val="20"/>
          <w:szCs w:val="20"/>
        </w:rPr>
        <w:t>, Nick Beeching</w:t>
      </w:r>
      <w:r w:rsidRPr="002A788D">
        <w:rPr>
          <w:rFonts w:cstheme="minorHAnsi"/>
          <w:sz w:val="20"/>
          <w:szCs w:val="20"/>
          <w:vertAlign w:val="superscript"/>
        </w:rPr>
        <w:t>6,7</w:t>
      </w:r>
      <w:r w:rsidRPr="002A788D">
        <w:rPr>
          <w:rFonts w:cstheme="minorHAnsi"/>
          <w:sz w:val="20"/>
          <w:szCs w:val="20"/>
        </w:rPr>
        <w:t>, Roberto Vivancos</w:t>
      </w:r>
      <w:r w:rsidRPr="002A788D">
        <w:rPr>
          <w:rFonts w:cstheme="minorHAnsi"/>
          <w:sz w:val="20"/>
          <w:szCs w:val="20"/>
          <w:vertAlign w:val="superscript"/>
        </w:rPr>
        <w:t>2,8</w:t>
      </w:r>
    </w:p>
    <w:p w14:paraId="28EA6C41" w14:textId="77777777" w:rsidR="0037567C" w:rsidRPr="002A788D" w:rsidRDefault="0037567C" w:rsidP="0037567C">
      <w:pPr>
        <w:pStyle w:val="ListParagraph"/>
        <w:numPr>
          <w:ilvl w:val="0"/>
          <w:numId w:val="9"/>
        </w:numPr>
        <w:spacing w:after="0" w:line="480" w:lineRule="auto"/>
        <w:jc w:val="both"/>
        <w:rPr>
          <w:rFonts w:cstheme="minorHAnsi"/>
          <w:sz w:val="20"/>
          <w:szCs w:val="20"/>
        </w:rPr>
      </w:pPr>
      <w:r w:rsidRPr="002A788D">
        <w:rPr>
          <w:rFonts w:cstheme="minorHAnsi"/>
          <w:sz w:val="20"/>
          <w:szCs w:val="20"/>
        </w:rPr>
        <w:t xml:space="preserve">NIHR Health Protection Research Unit in Emerging and Zoonotic Infections, University of Liverpool, </w:t>
      </w:r>
      <w:r w:rsidRPr="002A788D">
        <w:rPr>
          <w:rFonts w:cstheme="minorHAnsi"/>
          <w:color w:val="212121"/>
          <w:sz w:val="20"/>
          <w:szCs w:val="20"/>
          <w:shd w:val="clear" w:color="auto" w:fill="FFFFFF"/>
        </w:rPr>
        <w:t xml:space="preserve">L69 3GL, </w:t>
      </w:r>
      <w:r w:rsidRPr="002A788D">
        <w:rPr>
          <w:rFonts w:cstheme="minorHAnsi"/>
          <w:sz w:val="20"/>
          <w:szCs w:val="20"/>
        </w:rPr>
        <w:t xml:space="preserve">UK. </w:t>
      </w:r>
    </w:p>
    <w:p w14:paraId="4447CE22" w14:textId="77777777" w:rsidR="0037567C" w:rsidRPr="002A788D" w:rsidRDefault="0037567C" w:rsidP="0037567C">
      <w:pPr>
        <w:pStyle w:val="ListParagraph"/>
        <w:numPr>
          <w:ilvl w:val="0"/>
          <w:numId w:val="9"/>
        </w:numPr>
        <w:spacing w:after="0" w:line="480" w:lineRule="auto"/>
        <w:jc w:val="both"/>
        <w:rPr>
          <w:rFonts w:cstheme="minorHAnsi"/>
          <w:sz w:val="20"/>
          <w:szCs w:val="20"/>
        </w:rPr>
      </w:pPr>
      <w:r w:rsidRPr="002A788D">
        <w:rPr>
          <w:rFonts w:cstheme="minorHAnsi"/>
          <w:sz w:val="20"/>
          <w:szCs w:val="20"/>
        </w:rPr>
        <w:t xml:space="preserve">Public Health England, Liverpool, L3 1DS, UK </w:t>
      </w:r>
    </w:p>
    <w:p w14:paraId="11BBC3FF" w14:textId="77777777" w:rsidR="0037567C" w:rsidRPr="002A788D" w:rsidRDefault="0037567C" w:rsidP="0037567C">
      <w:pPr>
        <w:pStyle w:val="ListParagraph"/>
        <w:numPr>
          <w:ilvl w:val="0"/>
          <w:numId w:val="9"/>
        </w:numPr>
        <w:spacing w:after="0" w:line="480" w:lineRule="auto"/>
        <w:jc w:val="both"/>
        <w:rPr>
          <w:rFonts w:cstheme="minorHAnsi"/>
          <w:sz w:val="20"/>
          <w:szCs w:val="20"/>
        </w:rPr>
      </w:pPr>
      <w:r w:rsidRPr="002A788D">
        <w:rPr>
          <w:rFonts w:cstheme="minorHAnsi"/>
          <w:sz w:val="20"/>
          <w:szCs w:val="20"/>
        </w:rPr>
        <w:t>Institute of Infection and Global Health, University of Liverpool, Liverpool, CH64 7TE, UK</w:t>
      </w:r>
    </w:p>
    <w:p w14:paraId="6B5AD8B6" w14:textId="77777777" w:rsidR="0037567C" w:rsidRPr="002A788D" w:rsidRDefault="0037567C" w:rsidP="0037567C">
      <w:pPr>
        <w:pStyle w:val="ListParagraph"/>
        <w:numPr>
          <w:ilvl w:val="0"/>
          <w:numId w:val="9"/>
        </w:numPr>
        <w:spacing w:after="0" w:line="480" w:lineRule="auto"/>
        <w:jc w:val="both"/>
        <w:rPr>
          <w:rFonts w:cstheme="minorHAnsi"/>
          <w:sz w:val="20"/>
          <w:szCs w:val="20"/>
        </w:rPr>
      </w:pPr>
      <w:r w:rsidRPr="002A788D">
        <w:rPr>
          <w:rFonts w:cstheme="minorHAnsi"/>
          <w:sz w:val="20"/>
          <w:szCs w:val="20"/>
        </w:rPr>
        <w:t xml:space="preserve">NIHR Health Protection Research Unit in Emerging and Zoonotic Infections, Public Health England, </w:t>
      </w:r>
      <w:proofErr w:type="spellStart"/>
      <w:r w:rsidRPr="002A788D">
        <w:rPr>
          <w:rFonts w:cstheme="minorHAnsi"/>
          <w:sz w:val="20"/>
          <w:szCs w:val="20"/>
        </w:rPr>
        <w:t>Porton</w:t>
      </w:r>
      <w:proofErr w:type="spellEnd"/>
      <w:r w:rsidRPr="002A788D">
        <w:rPr>
          <w:rFonts w:cstheme="minorHAnsi"/>
          <w:sz w:val="20"/>
          <w:szCs w:val="20"/>
        </w:rPr>
        <w:t xml:space="preserve"> Down, SP4 0JQ, UK. </w:t>
      </w:r>
    </w:p>
    <w:p w14:paraId="1738BE79" w14:textId="77777777" w:rsidR="0037567C" w:rsidRPr="002A788D" w:rsidRDefault="0037567C" w:rsidP="0037567C">
      <w:pPr>
        <w:pStyle w:val="ListParagraph"/>
        <w:numPr>
          <w:ilvl w:val="0"/>
          <w:numId w:val="9"/>
        </w:numPr>
        <w:spacing w:after="0" w:line="480" w:lineRule="auto"/>
        <w:jc w:val="both"/>
        <w:rPr>
          <w:rFonts w:cstheme="minorHAnsi"/>
          <w:sz w:val="20"/>
          <w:szCs w:val="20"/>
        </w:rPr>
      </w:pPr>
      <w:r w:rsidRPr="002A788D">
        <w:rPr>
          <w:rFonts w:cstheme="minorHAnsi"/>
          <w:sz w:val="20"/>
          <w:szCs w:val="20"/>
        </w:rPr>
        <w:t xml:space="preserve">Rare and Imported Pathogens Laboratory, Public Health England, </w:t>
      </w:r>
      <w:proofErr w:type="spellStart"/>
      <w:r w:rsidRPr="002A788D">
        <w:rPr>
          <w:rFonts w:cstheme="minorHAnsi"/>
          <w:sz w:val="20"/>
          <w:szCs w:val="20"/>
        </w:rPr>
        <w:t>Porton</w:t>
      </w:r>
      <w:proofErr w:type="spellEnd"/>
      <w:r w:rsidRPr="002A788D">
        <w:rPr>
          <w:rFonts w:cstheme="minorHAnsi"/>
          <w:sz w:val="20"/>
          <w:szCs w:val="20"/>
        </w:rPr>
        <w:t xml:space="preserve"> Down, SP4 0JQ, UK</w:t>
      </w:r>
    </w:p>
    <w:p w14:paraId="76EFE146" w14:textId="77777777" w:rsidR="0037567C" w:rsidRPr="002A788D" w:rsidRDefault="0037567C" w:rsidP="0037567C">
      <w:pPr>
        <w:pStyle w:val="ListParagraph"/>
        <w:numPr>
          <w:ilvl w:val="0"/>
          <w:numId w:val="9"/>
        </w:numPr>
        <w:spacing w:after="0" w:line="480" w:lineRule="auto"/>
        <w:jc w:val="both"/>
        <w:rPr>
          <w:rFonts w:cstheme="minorHAnsi"/>
          <w:color w:val="000000"/>
          <w:sz w:val="20"/>
          <w:szCs w:val="20"/>
          <w:shd w:val="clear" w:color="auto" w:fill="FFFFFF"/>
        </w:rPr>
      </w:pPr>
      <w:r w:rsidRPr="002A788D">
        <w:rPr>
          <w:rFonts w:cstheme="minorHAnsi"/>
          <w:color w:val="000000"/>
          <w:sz w:val="20"/>
          <w:szCs w:val="20"/>
          <w:shd w:val="clear" w:color="auto" w:fill="FFFFFF"/>
        </w:rPr>
        <w:t xml:space="preserve">Tropical and Infectious Disease Unit, Royal Liverpool University Hospital, Liverpool, </w:t>
      </w:r>
      <w:r w:rsidRPr="002A788D">
        <w:rPr>
          <w:rFonts w:cstheme="minorHAnsi"/>
          <w:color w:val="222222"/>
          <w:sz w:val="20"/>
          <w:szCs w:val="20"/>
          <w:shd w:val="clear" w:color="auto" w:fill="FFFFFF"/>
        </w:rPr>
        <w:t>L7 8XP</w:t>
      </w:r>
      <w:r w:rsidRPr="002A788D">
        <w:rPr>
          <w:rFonts w:cstheme="minorHAnsi"/>
          <w:color w:val="000000"/>
          <w:sz w:val="20"/>
          <w:szCs w:val="20"/>
          <w:shd w:val="clear" w:color="auto" w:fill="FFFFFF"/>
        </w:rPr>
        <w:t xml:space="preserve">, UK. </w:t>
      </w:r>
    </w:p>
    <w:p w14:paraId="6BA238E8" w14:textId="77777777" w:rsidR="0037567C" w:rsidRPr="002A788D" w:rsidRDefault="0037567C" w:rsidP="0037567C">
      <w:pPr>
        <w:pStyle w:val="ListParagraph"/>
        <w:numPr>
          <w:ilvl w:val="0"/>
          <w:numId w:val="9"/>
        </w:numPr>
        <w:spacing w:after="0" w:line="480" w:lineRule="auto"/>
        <w:jc w:val="both"/>
        <w:rPr>
          <w:rFonts w:cstheme="minorHAnsi"/>
          <w:color w:val="000000"/>
          <w:sz w:val="20"/>
          <w:szCs w:val="20"/>
          <w:shd w:val="clear" w:color="auto" w:fill="FFFFFF"/>
        </w:rPr>
      </w:pPr>
      <w:r w:rsidRPr="002A788D">
        <w:rPr>
          <w:rFonts w:cstheme="minorHAnsi"/>
          <w:sz w:val="20"/>
          <w:szCs w:val="20"/>
        </w:rPr>
        <w:t>NIHR Health Protection Research Unit in Emerging and Zoonotic Infections,</w:t>
      </w:r>
      <w:r w:rsidRPr="002A788D">
        <w:rPr>
          <w:rFonts w:cstheme="minorHAnsi"/>
          <w:color w:val="000000"/>
          <w:sz w:val="20"/>
          <w:szCs w:val="20"/>
          <w:shd w:val="clear" w:color="auto" w:fill="FFFFFF"/>
        </w:rPr>
        <w:t xml:space="preserve"> Clinical Sciences, Liverpool School of Tropical Medicine, Liverpool, L3 5QA, UK </w:t>
      </w:r>
    </w:p>
    <w:p w14:paraId="496E0D7F" w14:textId="77777777" w:rsidR="0037567C" w:rsidRPr="002A788D" w:rsidRDefault="0037567C" w:rsidP="0037567C">
      <w:pPr>
        <w:pStyle w:val="ListParagraph"/>
        <w:numPr>
          <w:ilvl w:val="0"/>
          <w:numId w:val="9"/>
        </w:numPr>
        <w:spacing w:after="0" w:line="480" w:lineRule="auto"/>
        <w:jc w:val="both"/>
        <w:rPr>
          <w:rFonts w:cstheme="minorHAnsi"/>
          <w:sz w:val="20"/>
          <w:szCs w:val="20"/>
        </w:rPr>
      </w:pPr>
      <w:r w:rsidRPr="002A788D">
        <w:rPr>
          <w:rFonts w:cstheme="minorHAnsi"/>
          <w:sz w:val="20"/>
          <w:szCs w:val="20"/>
        </w:rPr>
        <w:t xml:space="preserve">NIHR Health Protection Research Unit in Emerging and Zoonotic Infections, Public Health England, Liverpool, L3 1DS, UK. </w:t>
      </w:r>
    </w:p>
    <w:p w14:paraId="1E08ACA9" w14:textId="77777777" w:rsidR="0037567C" w:rsidRDefault="0037567C" w:rsidP="0037567C">
      <w:pPr>
        <w:jc w:val="both"/>
        <w:rPr>
          <w:rFonts w:cstheme="minorHAnsi"/>
          <w:sz w:val="24"/>
          <w:szCs w:val="24"/>
        </w:rPr>
      </w:pPr>
      <w:r>
        <w:rPr>
          <w:rFonts w:cstheme="minorHAnsi"/>
          <w:b/>
          <w:sz w:val="24"/>
          <w:szCs w:val="24"/>
        </w:rPr>
        <w:t xml:space="preserve">Corresponding author: </w:t>
      </w:r>
      <w:r w:rsidRPr="002A788D">
        <w:rPr>
          <w:rFonts w:cstheme="minorHAnsi"/>
          <w:sz w:val="20"/>
          <w:szCs w:val="20"/>
        </w:rPr>
        <w:t>John Tulloch</w:t>
      </w:r>
    </w:p>
    <w:p w14:paraId="4DD49BF9" w14:textId="77777777" w:rsidR="0037567C" w:rsidRDefault="0037567C" w:rsidP="0037567C">
      <w:pPr>
        <w:jc w:val="both"/>
        <w:rPr>
          <w:rFonts w:cstheme="minorHAnsi"/>
          <w:sz w:val="24"/>
          <w:szCs w:val="24"/>
        </w:rPr>
      </w:pPr>
      <w:r>
        <w:rPr>
          <w:rFonts w:cstheme="minorHAnsi"/>
          <w:b/>
          <w:sz w:val="24"/>
          <w:szCs w:val="24"/>
        </w:rPr>
        <w:t xml:space="preserve">Corresponding authors email: </w:t>
      </w:r>
      <w:hyperlink r:id="rId8" w:history="1">
        <w:r w:rsidRPr="002A788D">
          <w:rPr>
            <w:rStyle w:val="Hyperlink"/>
            <w:rFonts w:cstheme="minorHAnsi"/>
            <w:sz w:val="20"/>
            <w:szCs w:val="20"/>
          </w:rPr>
          <w:t>jtulloch@liverpool.ac.uk</w:t>
        </w:r>
      </w:hyperlink>
    </w:p>
    <w:p w14:paraId="3120FE6C" w14:textId="754E03B6" w:rsidR="005B5240" w:rsidRDefault="005B5240" w:rsidP="00693035">
      <w:pPr>
        <w:spacing w:line="480" w:lineRule="auto"/>
        <w:jc w:val="both"/>
        <w:rPr>
          <w:rFonts w:cstheme="minorHAnsi"/>
          <w:b/>
          <w:sz w:val="24"/>
          <w:szCs w:val="24"/>
        </w:rPr>
      </w:pPr>
    </w:p>
    <w:p w14:paraId="4CF14C03" w14:textId="782C79BF" w:rsidR="005B5240" w:rsidRDefault="005B5240" w:rsidP="00693035">
      <w:pPr>
        <w:spacing w:line="480" w:lineRule="auto"/>
        <w:jc w:val="both"/>
        <w:rPr>
          <w:rFonts w:cstheme="minorHAnsi"/>
          <w:b/>
          <w:sz w:val="24"/>
          <w:szCs w:val="24"/>
        </w:rPr>
      </w:pPr>
    </w:p>
    <w:p w14:paraId="5D479496" w14:textId="1B91535B" w:rsidR="002A788D" w:rsidRDefault="002A788D" w:rsidP="00693035">
      <w:pPr>
        <w:spacing w:line="480" w:lineRule="auto"/>
        <w:jc w:val="both"/>
        <w:rPr>
          <w:rFonts w:cstheme="minorHAnsi"/>
          <w:b/>
          <w:sz w:val="24"/>
          <w:szCs w:val="24"/>
        </w:rPr>
      </w:pPr>
    </w:p>
    <w:p w14:paraId="3137822E" w14:textId="244988B6" w:rsidR="002A788D" w:rsidRDefault="002A788D" w:rsidP="00693035">
      <w:pPr>
        <w:spacing w:line="480" w:lineRule="auto"/>
        <w:jc w:val="both"/>
        <w:rPr>
          <w:rFonts w:cstheme="minorHAnsi"/>
          <w:b/>
          <w:sz w:val="24"/>
          <w:szCs w:val="24"/>
        </w:rPr>
      </w:pPr>
    </w:p>
    <w:p w14:paraId="340E7334" w14:textId="3AE86F7B" w:rsidR="002A788D" w:rsidRDefault="002A788D" w:rsidP="00693035">
      <w:pPr>
        <w:spacing w:line="480" w:lineRule="auto"/>
        <w:jc w:val="both"/>
        <w:rPr>
          <w:rFonts w:cstheme="minorHAnsi"/>
          <w:b/>
          <w:sz w:val="24"/>
          <w:szCs w:val="24"/>
        </w:rPr>
      </w:pPr>
    </w:p>
    <w:p w14:paraId="02098CFE" w14:textId="77777777" w:rsidR="002A788D" w:rsidRDefault="002A788D" w:rsidP="00693035">
      <w:pPr>
        <w:spacing w:line="480" w:lineRule="auto"/>
        <w:jc w:val="both"/>
        <w:rPr>
          <w:rFonts w:cstheme="minorHAnsi"/>
          <w:b/>
          <w:sz w:val="24"/>
          <w:szCs w:val="24"/>
        </w:rPr>
      </w:pPr>
    </w:p>
    <w:p w14:paraId="168D0BCA" w14:textId="18150B88" w:rsidR="0037567C" w:rsidRDefault="0037567C" w:rsidP="00693035">
      <w:pPr>
        <w:spacing w:line="480" w:lineRule="auto"/>
        <w:jc w:val="both"/>
        <w:rPr>
          <w:rFonts w:cstheme="minorHAnsi"/>
          <w:b/>
          <w:sz w:val="24"/>
          <w:szCs w:val="24"/>
        </w:rPr>
      </w:pPr>
      <w:r>
        <w:rPr>
          <w:rFonts w:cstheme="minorHAnsi"/>
          <w:b/>
          <w:sz w:val="24"/>
          <w:szCs w:val="24"/>
        </w:rPr>
        <w:lastRenderedPageBreak/>
        <w:t>Abstract</w:t>
      </w:r>
    </w:p>
    <w:p w14:paraId="314C26DC" w14:textId="49A032B3" w:rsidR="00C030A9" w:rsidRPr="00693035" w:rsidRDefault="00532DC6" w:rsidP="00693035">
      <w:pPr>
        <w:spacing w:line="480" w:lineRule="auto"/>
        <w:jc w:val="both"/>
        <w:rPr>
          <w:rFonts w:cstheme="minorHAnsi"/>
          <w:b/>
          <w:sz w:val="20"/>
          <w:szCs w:val="20"/>
        </w:rPr>
      </w:pPr>
      <w:r w:rsidRPr="00693035">
        <w:rPr>
          <w:rFonts w:cstheme="minorHAnsi"/>
          <w:b/>
          <w:sz w:val="24"/>
          <w:szCs w:val="24"/>
        </w:rPr>
        <w:t>Background</w:t>
      </w:r>
      <w:r w:rsidR="00C030A9" w:rsidRPr="00693035">
        <w:rPr>
          <w:rFonts w:cstheme="minorHAnsi"/>
          <w:b/>
          <w:sz w:val="24"/>
          <w:szCs w:val="24"/>
        </w:rPr>
        <w:t>:</w:t>
      </w:r>
      <w:r w:rsidR="00C030A9" w:rsidRPr="00693035">
        <w:rPr>
          <w:rFonts w:cstheme="minorHAnsi"/>
          <w:b/>
          <w:sz w:val="20"/>
          <w:szCs w:val="20"/>
        </w:rPr>
        <w:t xml:space="preserve"> </w:t>
      </w:r>
      <w:r w:rsidR="00C030A9" w:rsidRPr="00693035">
        <w:rPr>
          <w:rFonts w:cstheme="minorHAnsi"/>
          <w:sz w:val="20"/>
          <w:szCs w:val="20"/>
        </w:rPr>
        <w:t xml:space="preserve">Primary care is likely to </w:t>
      </w:r>
      <w:r w:rsidR="00323312" w:rsidRPr="00693035">
        <w:rPr>
          <w:rFonts w:cstheme="minorHAnsi"/>
          <w:sz w:val="20"/>
          <w:szCs w:val="20"/>
        </w:rPr>
        <w:t>see</w:t>
      </w:r>
      <w:r w:rsidR="00C030A9" w:rsidRPr="00693035">
        <w:rPr>
          <w:rFonts w:cstheme="minorHAnsi"/>
          <w:sz w:val="20"/>
          <w:szCs w:val="20"/>
        </w:rPr>
        <w:t xml:space="preserve"> the highest </w:t>
      </w:r>
      <w:r w:rsidR="00AF394C" w:rsidRPr="00693035">
        <w:rPr>
          <w:rFonts w:cstheme="minorHAnsi"/>
          <w:sz w:val="20"/>
          <w:szCs w:val="20"/>
        </w:rPr>
        <w:t>number</w:t>
      </w:r>
      <w:r w:rsidR="007C44F4" w:rsidRPr="00693035">
        <w:rPr>
          <w:rFonts w:cstheme="minorHAnsi"/>
          <w:sz w:val="20"/>
          <w:szCs w:val="20"/>
        </w:rPr>
        <w:t xml:space="preserve"> of Lyme disease patients.</w:t>
      </w:r>
      <w:r w:rsidR="00C030A9" w:rsidRPr="00693035">
        <w:rPr>
          <w:rFonts w:cstheme="minorHAnsi"/>
          <w:sz w:val="20"/>
          <w:szCs w:val="20"/>
        </w:rPr>
        <w:t xml:space="preserve"> Despite this, </w:t>
      </w:r>
      <w:r w:rsidR="0037567C">
        <w:rPr>
          <w:rFonts w:cstheme="minorHAnsi"/>
          <w:sz w:val="20"/>
          <w:szCs w:val="20"/>
        </w:rPr>
        <w:t>there is limited</w:t>
      </w:r>
      <w:r w:rsidR="00C030A9" w:rsidRPr="00693035">
        <w:rPr>
          <w:rFonts w:cstheme="minorHAnsi"/>
          <w:sz w:val="20"/>
          <w:szCs w:val="20"/>
        </w:rPr>
        <w:t xml:space="preserve"> published data regarding Lyme disease patients accessing primary care in the UK. We aim to describe trends in</w:t>
      </w:r>
      <w:r w:rsidR="00BD5E80">
        <w:rPr>
          <w:rFonts w:cstheme="minorHAnsi"/>
          <w:sz w:val="20"/>
          <w:szCs w:val="20"/>
        </w:rPr>
        <w:t xml:space="preserve"> the</w:t>
      </w:r>
      <w:r w:rsidR="00C030A9" w:rsidRPr="00693035">
        <w:rPr>
          <w:rFonts w:cstheme="minorHAnsi"/>
          <w:sz w:val="20"/>
          <w:szCs w:val="20"/>
        </w:rPr>
        <w:t xml:space="preserve"> incidence</w:t>
      </w:r>
      <w:r w:rsidR="002C5A28">
        <w:rPr>
          <w:rFonts w:cstheme="minorHAnsi"/>
          <w:sz w:val="20"/>
          <w:szCs w:val="20"/>
        </w:rPr>
        <w:t xml:space="preserve"> of a new diagnosis</w:t>
      </w:r>
      <w:r w:rsidR="00BD5E80">
        <w:rPr>
          <w:rFonts w:cstheme="minorHAnsi"/>
          <w:sz w:val="20"/>
          <w:szCs w:val="20"/>
        </w:rPr>
        <w:t>,</w:t>
      </w:r>
      <w:r w:rsidR="00C030A9" w:rsidRPr="00693035">
        <w:rPr>
          <w:rFonts w:cstheme="minorHAnsi"/>
          <w:sz w:val="20"/>
          <w:szCs w:val="20"/>
        </w:rPr>
        <w:t xml:space="preserve"> </w:t>
      </w:r>
      <w:r w:rsidR="007149EA">
        <w:rPr>
          <w:rFonts w:cstheme="minorHAnsi"/>
          <w:sz w:val="20"/>
          <w:szCs w:val="20"/>
        </w:rPr>
        <w:t xml:space="preserve">and demographics </w:t>
      </w:r>
      <w:r w:rsidR="007149EA" w:rsidRPr="001467D7">
        <w:rPr>
          <w:rFonts w:cstheme="minorHAnsi"/>
          <w:sz w:val="20"/>
          <w:szCs w:val="20"/>
        </w:rPr>
        <w:t xml:space="preserve">of patients identified in a primary care </w:t>
      </w:r>
      <w:r w:rsidR="001467D7">
        <w:rPr>
          <w:rFonts w:cstheme="minorHAnsi"/>
          <w:sz w:val="20"/>
          <w:szCs w:val="20"/>
        </w:rPr>
        <w:t>electronic health database</w:t>
      </w:r>
      <w:r w:rsidR="00C030A9" w:rsidRPr="00693035">
        <w:rPr>
          <w:rFonts w:cstheme="minorHAnsi"/>
          <w:sz w:val="20"/>
          <w:szCs w:val="20"/>
        </w:rPr>
        <w:t>.</w:t>
      </w:r>
    </w:p>
    <w:p w14:paraId="517B8B88" w14:textId="308127F0" w:rsidR="00532DC6" w:rsidRPr="00693035" w:rsidRDefault="00532DC6" w:rsidP="00693035">
      <w:pPr>
        <w:spacing w:line="480" w:lineRule="auto"/>
        <w:jc w:val="both"/>
        <w:rPr>
          <w:rFonts w:cstheme="minorHAnsi"/>
          <w:sz w:val="20"/>
          <w:szCs w:val="20"/>
        </w:rPr>
      </w:pPr>
      <w:r w:rsidRPr="00693035">
        <w:rPr>
          <w:rFonts w:cstheme="minorHAnsi"/>
          <w:b/>
          <w:sz w:val="24"/>
          <w:szCs w:val="24"/>
        </w:rPr>
        <w:t>Methods:</w:t>
      </w:r>
      <w:r w:rsidRPr="00693035">
        <w:rPr>
          <w:rFonts w:cstheme="minorHAnsi"/>
          <w:b/>
          <w:sz w:val="20"/>
          <w:szCs w:val="20"/>
        </w:rPr>
        <w:t xml:space="preserve"> </w:t>
      </w:r>
      <w:r w:rsidR="003C6939">
        <w:rPr>
          <w:rFonts w:cstheme="minorHAnsi"/>
          <w:sz w:val="20"/>
          <w:szCs w:val="20"/>
        </w:rPr>
        <w:t>A descriptive epidemiological</w:t>
      </w:r>
      <w:r w:rsidR="0004197F">
        <w:rPr>
          <w:rFonts w:cstheme="minorHAnsi"/>
          <w:sz w:val="20"/>
          <w:szCs w:val="20"/>
        </w:rPr>
        <w:t xml:space="preserve"> </w:t>
      </w:r>
      <w:r w:rsidRPr="00693035">
        <w:rPr>
          <w:rFonts w:cstheme="minorHAnsi"/>
          <w:sz w:val="20"/>
          <w:szCs w:val="20"/>
        </w:rPr>
        <w:t>study of Lyme disease coded patients</w:t>
      </w:r>
      <w:r w:rsidR="00567921" w:rsidRPr="00693035">
        <w:rPr>
          <w:rFonts w:cstheme="minorHAnsi"/>
          <w:sz w:val="20"/>
          <w:szCs w:val="20"/>
        </w:rPr>
        <w:t xml:space="preserve"> in UK primary care. 3</w:t>
      </w:r>
      <w:r w:rsidR="00C16828" w:rsidRPr="00693035">
        <w:rPr>
          <w:rFonts w:cstheme="minorHAnsi"/>
          <w:sz w:val="20"/>
          <w:szCs w:val="20"/>
        </w:rPr>
        <w:t xml:space="preserve"> </w:t>
      </w:r>
      <w:r w:rsidR="001F0FE2" w:rsidRPr="00693035">
        <w:rPr>
          <w:rFonts w:cstheme="minorHAnsi"/>
          <w:sz w:val="20"/>
          <w:szCs w:val="20"/>
        </w:rPr>
        <w:t>7</w:t>
      </w:r>
      <w:r w:rsidR="004F01DA" w:rsidRPr="00693035">
        <w:rPr>
          <w:rFonts w:cstheme="minorHAnsi"/>
          <w:sz w:val="20"/>
          <w:szCs w:val="20"/>
        </w:rPr>
        <w:t>25</w:t>
      </w:r>
      <w:r w:rsidRPr="00693035">
        <w:rPr>
          <w:rFonts w:cstheme="minorHAnsi"/>
          <w:sz w:val="20"/>
          <w:szCs w:val="20"/>
        </w:rPr>
        <w:t xml:space="preserve"> patients coded for</w:t>
      </w:r>
      <w:r w:rsidR="001F0FE2" w:rsidRPr="00693035">
        <w:rPr>
          <w:rFonts w:cstheme="minorHAnsi"/>
          <w:sz w:val="20"/>
          <w:szCs w:val="20"/>
        </w:rPr>
        <w:t xml:space="preserve"> Lyme disease during 1998 – 2016</w:t>
      </w:r>
      <w:r w:rsidRPr="00693035">
        <w:rPr>
          <w:rFonts w:cstheme="minorHAnsi"/>
          <w:sz w:val="20"/>
          <w:szCs w:val="20"/>
        </w:rPr>
        <w:t xml:space="preserve"> were </w:t>
      </w:r>
      <w:r w:rsidR="00C030A9" w:rsidRPr="00693035">
        <w:rPr>
          <w:rFonts w:cstheme="minorHAnsi"/>
          <w:sz w:val="20"/>
          <w:szCs w:val="20"/>
        </w:rPr>
        <w:t>identified</w:t>
      </w:r>
      <w:r w:rsidRPr="00693035">
        <w:rPr>
          <w:rFonts w:cstheme="minorHAnsi"/>
          <w:sz w:val="20"/>
          <w:szCs w:val="20"/>
        </w:rPr>
        <w:t xml:space="preserve"> within The Health Improvement Network</w:t>
      </w:r>
      <w:r w:rsidR="00C030A9" w:rsidRPr="00693035">
        <w:rPr>
          <w:rFonts w:cstheme="minorHAnsi"/>
          <w:sz w:val="20"/>
          <w:szCs w:val="20"/>
        </w:rPr>
        <w:t xml:space="preserve"> (THIN). </w:t>
      </w:r>
      <w:r w:rsidR="00C030A9" w:rsidRPr="001467D7">
        <w:rPr>
          <w:rFonts w:cstheme="minorHAnsi"/>
          <w:sz w:val="20"/>
          <w:szCs w:val="20"/>
        </w:rPr>
        <w:t>I</w:t>
      </w:r>
      <w:r w:rsidRPr="001467D7">
        <w:rPr>
          <w:rFonts w:cstheme="minorHAnsi"/>
          <w:sz w:val="20"/>
          <w:szCs w:val="20"/>
        </w:rPr>
        <w:t xml:space="preserve">ncidence </w:t>
      </w:r>
      <w:r w:rsidR="00E561DA" w:rsidRPr="001467D7">
        <w:rPr>
          <w:rFonts w:cstheme="minorHAnsi"/>
          <w:sz w:val="20"/>
          <w:szCs w:val="20"/>
        </w:rPr>
        <w:t>rates</w:t>
      </w:r>
      <w:r w:rsidR="00C030A9" w:rsidRPr="001467D7">
        <w:rPr>
          <w:rFonts w:cstheme="minorHAnsi"/>
          <w:sz w:val="20"/>
          <w:szCs w:val="20"/>
        </w:rPr>
        <w:t xml:space="preserve"> and </w:t>
      </w:r>
      <w:r w:rsidR="007149EA" w:rsidRPr="001467D7">
        <w:rPr>
          <w:rFonts w:cstheme="minorHAnsi"/>
          <w:sz w:val="20"/>
          <w:szCs w:val="20"/>
        </w:rPr>
        <w:t>the demographics of cases identified were described</w:t>
      </w:r>
      <w:r w:rsidR="00C030A9" w:rsidRPr="001467D7">
        <w:rPr>
          <w:rFonts w:cstheme="minorHAnsi"/>
          <w:sz w:val="20"/>
          <w:szCs w:val="20"/>
        </w:rPr>
        <w:t>.</w:t>
      </w:r>
      <w:r w:rsidR="00C030A9" w:rsidRPr="00693035">
        <w:rPr>
          <w:rFonts w:cstheme="minorHAnsi"/>
          <w:sz w:val="20"/>
          <w:szCs w:val="20"/>
        </w:rPr>
        <w:t xml:space="preserve"> </w:t>
      </w:r>
      <w:r w:rsidR="00FA7721">
        <w:rPr>
          <w:rFonts w:cstheme="minorHAnsi"/>
          <w:sz w:val="20"/>
          <w:szCs w:val="20"/>
        </w:rPr>
        <w:t>Poisson regression was used to analyse socio-demographic characteristics of the cases.</w:t>
      </w:r>
    </w:p>
    <w:p w14:paraId="6DE93E1C" w14:textId="70D38FBF" w:rsidR="009A2EF8" w:rsidRPr="00FA7721" w:rsidRDefault="006651C0" w:rsidP="00693035">
      <w:pPr>
        <w:spacing w:line="480" w:lineRule="auto"/>
        <w:jc w:val="both"/>
        <w:rPr>
          <w:rFonts w:cstheme="minorHAnsi"/>
          <w:sz w:val="20"/>
          <w:szCs w:val="20"/>
        </w:rPr>
      </w:pPr>
      <w:r w:rsidRPr="00693035">
        <w:rPr>
          <w:rFonts w:cstheme="minorHAnsi"/>
          <w:b/>
          <w:sz w:val="24"/>
          <w:szCs w:val="24"/>
        </w:rPr>
        <w:t>Results</w:t>
      </w:r>
      <w:r w:rsidR="00532DC6" w:rsidRPr="00693035">
        <w:rPr>
          <w:rFonts w:cstheme="minorHAnsi"/>
          <w:b/>
          <w:sz w:val="24"/>
          <w:szCs w:val="24"/>
        </w:rPr>
        <w:t>:</w:t>
      </w:r>
      <w:r w:rsidR="00532DC6" w:rsidRPr="00693035">
        <w:rPr>
          <w:rFonts w:cstheme="minorHAnsi"/>
          <w:b/>
          <w:sz w:val="20"/>
          <w:szCs w:val="20"/>
        </w:rPr>
        <w:t xml:space="preserve"> </w:t>
      </w:r>
      <w:r w:rsidR="00FA7721">
        <w:rPr>
          <w:rFonts w:cstheme="minorHAnsi"/>
          <w:sz w:val="20"/>
          <w:szCs w:val="20"/>
        </w:rPr>
        <w:t xml:space="preserve">There was an </w:t>
      </w:r>
      <w:r w:rsidR="009A2EF8" w:rsidRPr="00693035">
        <w:rPr>
          <w:rFonts w:cstheme="minorHAnsi"/>
          <w:sz w:val="20"/>
          <w:szCs w:val="20"/>
        </w:rPr>
        <w:t xml:space="preserve">increase in </w:t>
      </w:r>
      <w:r w:rsidR="009563A6">
        <w:rPr>
          <w:rFonts w:cstheme="minorHAnsi"/>
          <w:sz w:val="20"/>
          <w:szCs w:val="20"/>
        </w:rPr>
        <w:t>annual crude</w:t>
      </w:r>
      <w:r w:rsidR="009A2EF8" w:rsidRPr="00693035">
        <w:rPr>
          <w:rFonts w:cstheme="minorHAnsi"/>
          <w:sz w:val="20"/>
          <w:szCs w:val="20"/>
        </w:rPr>
        <w:t xml:space="preserve"> incidence rates, peaking in 2015 at </w:t>
      </w:r>
      <w:r w:rsidR="003757F6" w:rsidRPr="00087BF7">
        <w:rPr>
          <w:rFonts w:cstheme="minorHAnsi"/>
          <w:sz w:val="20"/>
          <w:szCs w:val="20"/>
        </w:rPr>
        <w:t xml:space="preserve">5.47 (95% CI 4.85-6.14) </w:t>
      </w:r>
      <w:r w:rsidR="009A2EF8" w:rsidRPr="003757F6">
        <w:rPr>
          <w:rFonts w:cstheme="minorHAnsi"/>
          <w:sz w:val="20"/>
          <w:szCs w:val="20"/>
        </w:rPr>
        <w:t>cases per 100 000 population per year</w:t>
      </w:r>
      <w:r w:rsidR="009A2EF8" w:rsidRPr="00693035">
        <w:rPr>
          <w:rFonts w:cstheme="minorHAnsi"/>
          <w:sz w:val="20"/>
          <w:szCs w:val="20"/>
        </w:rPr>
        <w:t xml:space="preserve">. </w:t>
      </w:r>
      <w:r w:rsidR="00FA7721" w:rsidRPr="00CE530E">
        <w:rPr>
          <w:rFonts w:cstheme="minorHAnsi"/>
          <w:sz w:val="20"/>
          <w:szCs w:val="20"/>
        </w:rPr>
        <w:t xml:space="preserve">Multivariable analysis showed there were significant differences in the ages of those affected, incidence </w:t>
      </w:r>
      <w:r w:rsidR="002C5A28">
        <w:rPr>
          <w:rFonts w:cstheme="minorHAnsi"/>
          <w:sz w:val="20"/>
          <w:szCs w:val="20"/>
        </w:rPr>
        <w:t xml:space="preserve">of a new diagnosis </w:t>
      </w:r>
      <w:r w:rsidR="00FA7721" w:rsidRPr="00CE530E">
        <w:rPr>
          <w:rFonts w:cstheme="minorHAnsi"/>
          <w:sz w:val="20"/>
          <w:szCs w:val="20"/>
        </w:rPr>
        <w:t>rose as deprivation levels improved and that there was a higher incidence of cases living in rural areas compared to urban areas.</w:t>
      </w:r>
      <w:r w:rsidR="009A2EF8" w:rsidRPr="00CE530E">
        <w:rPr>
          <w:rFonts w:cstheme="minorHAnsi"/>
          <w:sz w:val="20"/>
          <w:szCs w:val="20"/>
        </w:rPr>
        <w:t xml:space="preserve"> </w:t>
      </w:r>
      <w:r w:rsidR="00FA7721" w:rsidRPr="0021361A">
        <w:rPr>
          <w:rFonts w:cstheme="minorHAnsi"/>
          <w:sz w:val="20"/>
          <w:szCs w:val="20"/>
        </w:rPr>
        <w:t>There was no significant difference between sexes</w:t>
      </w:r>
      <w:r w:rsidR="0021361A" w:rsidRPr="0021361A">
        <w:rPr>
          <w:rFonts w:cstheme="minorHAnsi"/>
          <w:sz w:val="20"/>
          <w:szCs w:val="20"/>
        </w:rPr>
        <w:t xml:space="preserve"> for the UK</w:t>
      </w:r>
      <w:r w:rsidR="00FA7721" w:rsidRPr="0021361A">
        <w:rPr>
          <w:rFonts w:cstheme="minorHAnsi"/>
          <w:sz w:val="20"/>
          <w:szCs w:val="20"/>
        </w:rPr>
        <w:t>.</w:t>
      </w:r>
      <w:r w:rsidR="00FA7721" w:rsidRPr="00CE530E">
        <w:rPr>
          <w:rFonts w:cstheme="minorHAnsi"/>
          <w:sz w:val="20"/>
          <w:szCs w:val="20"/>
        </w:rPr>
        <w:t xml:space="preserve"> </w:t>
      </w:r>
      <w:r w:rsidR="009A2EF8" w:rsidRPr="00CE530E">
        <w:rPr>
          <w:rFonts w:cstheme="minorHAnsi"/>
          <w:sz w:val="20"/>
          <w:szCs w:val="20"/>
        </w:rPr>
        <w:t>Cases were significantly more likely to identify with being white compared to the national population.</w:t>
      </w:r>
    </w:p>
    <w:p w14:paraId="48114580" w14:textId="2E7F3ACE" w:rsidR="00532DC6" w:rsidRPr="00FA7721" w:rsidRDefault="006651C0" w:rsidP="00693035">
      <w:pPr>
        <w:spacing w:line="480" w:lineRule="auto"/>
        <w:jc w:val="both"/>
        <w:rPr>
          <w:rFonts w:cstheme="minorHAnsi"/>
          <w:sz w:val="20"/>
          <w:szCs w:val="20"/>
          <w:highlight w:val="yellow"/>
        </w:rPr>
      </w:pPr>
      <w:r w:rsidRPr="00693035">
        <w:rPr>
          <w:rFonts w:cstheme="minorHAnsi"/>
          <w:b/>
          <w:sz w:val="24"/>
          <w:szCs w:val="24"/>
        </w:rPr>
        <w:t>Conclusions</w:t>
      </w:r>
      <w:r w:rsidR="00532DC6" w:rsidRPr="00693035">
        <w:rPr>
          <w:rFonts w:cstheme="minorHAnsi"/>
          <w:b/>
          <w:sz w:val="20"/>
          <w:szCs w:val="20"/>
        </w:rPr>
        <w:t xml:space="preserve">: </w:t>
      </w:r>
      <w:r w:rsidR="001A01FD" w:rsidRPr="001467D7">
        <w:rPr>
          <w:rFonts w:cstheme="minorHAnsi"/>
          <w:sz w:val="20"/>
          <w:szCs w:val="20"/>
        </w:rPr>
        <w:t xml:space="preserve">An increasing incidence of patients </w:t>
      </w:r>
      <w:r w:rsidR="002C5A28">
        <w:rPr>
          <w:rFonts w:cstheme="minorHAnsi"/>
          <w:sz w:val="20"/>
          <w:szCs w:val="20"/>
        </w:rPr>
        <w:t xml:space="preserve">newly </w:t>
      </w:r>
      <w:r w:rsidR="001A01FD" w:rsidRPr="001467D7">
        <w:rPr>
          <w:rFonts w:cstheme="minorHAnsi"/>
          <w:sz w:val="20"/>
          <w:szCs w:val="20"/>
        </w:rPr>
        <w:t xml:space="preserve">coded with Lyme disease related </w:t>
      </w:r>
      <w:r w:rsidR="00536CB9" w:rsidRPr="001467D7">
        <w:rPr>
          <w:rFonts w:cstheme="minorHAnsi"/>
          <w:sz w:val="20"/>
          <w:szCs w:val="20"/>
        </w:rPr>
        <w:t xml:space="preserve">Read </w:t>
      </w:r>
      <w:r w:rsidR="001A01FD" w:rsidRPr="001467D7">
        <w:rPr>
          <w:rFonts w:cstheme="minorHAnsi"/>
          <w:sz w:val="20"/>
          <w:szCs w:val="20"/>
        </w:rPr>
        <w:t xml:space="preserve">codes was identified using data from a </w:t>
      </w:r>
      <w:r w:rsidR="007149EA" w:rsidRPr="001467D7">
        <w:rPr>
          <w:rFonts w:cstheme="minorHAnsi"/>
          <w:sz w:val="20"/>
          <w:szCs w:val="20"/>
        </w:rPr>
        <w:t xml:space="preserve">UK national </w:t>
      </w:r>
      <w:r w:rsidR="00987A1A" w:rsidRPr="001467D7">
        <w:rPr>
          <w:rFonts w:cstheme="minorHAnsi"/>
          <w:sz w:val="20"/>
          <w:szCs w:val="20"/>
        </w:rPr>
        <w:t xml:space="preserve">primary care </w:t>
      </w:r>
      <w:r w:rsidR="007149EA" w:rsidRPr="001467D7">
        <w:rPr>
          <w:rFonts w:cstheme="minorHAnsi"/>
          <w:sz w:val="20"/>
          <w:szCs w:val="20"/>
        </w:rPr>
        <w:t>database</w:t>
      </w:r>
      <w:r w:rsidR="001A01FD" w:rsidRPr="001467D7">
        <w:rPr>
          <w:rFonts w:cstheme="minorHAnsi"/>
          <w:sz w:val="20"/>
          <w:szCs w:val="20"/>
        </w:rPr>
        <w:t>.</w:t>
      </w:r>
      <w:r w:rsidR="00532DC6" w:rsidRPr="001467D7">
        <w:rPr>
          <w:rFonts w:cstheme="minorHAnsi"/>
          <w:sz w:val="20"/>
          <w:szCs w:val="20"/>
        </w:rPr>
        <w:t xml:space="preserve"> </w:t>
      </w:r>
      <w:r w:rsidR="00371B7A" w:rsidRPr="00CE530E">
        <w:rPr>
          <w:rFonts w:cstheme="minorHAnsi"/>
          <w:sz w:val="20"/>
          <w:szCs w:val="20"/>
        </w:rPr>
        <w:t xml:space="preserve">By comparing these incidence figures with national </w:t>
      </w:r>
      <w:r w:rsidR="00987A1A" w:rsidRPr="00CE530E">
        <w:rPr>
          <w:rFonts w:cstheme="minorHAnsi"/>
          <w:sz w:val="20"/>
          <w:szCs w:val="20"/>
        </w:rPr>
        <w:t xml:space="preserve">laboratory-confirmed </w:t>
      </w:r>
      <w:r w:rsidR="00371B7A" w:rsidRPr="00CE530E">
        <w:rPr>
          <w:rFonts w:cstheme="minorHAnsi"/>
          <w:sz w:val="20"/>
          <w:szCs w:val="20"/>
        </w:rPr>
        <w:t xml:space="preserve">surveillance </w:t>
      </w:r>
      <w:r w:rsidR="00FA7721" w:rsidRPr="00CE530E">
        <w:rPr>
          <w:rFonts w:cstheme="minorHAnsi"/>
          <w:sz w:val="20"/>
          <w:szCs w:val="20"/>
        </w:rPr>
        <w:t>data,</w:t>
      </w:r>
      <w:r w:rsidR="00371B7A" w:rsidRPr="00CE530E">
        <w:rPr>
          <w:rFonts w:cstheme="minorHAnsi"/>
          <w:sz w:val="20"/>
          <w:szCs w:val="20"/>
        </w:rPr>
        <w:t xml:space="preserve"> a multiplication factor of </w:t>
      </w:r>
      <w:r w:rsidR="00220283" w:rsidRPr="00220283">
        <w:rPr>
          <w:rFonts w:cstheme="minorHAnsi"/>
          <w:sz w:val="20"/>
          <w:szCs w:val="20"/>
        </w:rPr>
        <w:t>2.35</w:t>
      </w:r>
      <w:r w:rsidR="003757F6" w:rsidRPr="00087BF7">
        <w:rPr>
          <w:rFonts w:cstheme="minorHAnsi"/>
          <w:sz w:val="20"/>
          <w:szCs w:val="20"/>
        </w:rPr>
        <w:t xml:space="preserve"> (95%CI 1.81-2.88)</w:t>
      </w:r>
      <w:r w:rsidR="00BD5E80">
        <w:rPr>
          <w:rFonts w:cstheme="minorHAnsi"/>
          <w:sz w:val="20"/>
          <w:szCs w:val="20"/>
        </w:rPr>
        <w:t xml:space="preserve"> </w:t>
      </w:r>
      <w:r w:rsidR="003757F6">
        <w:rPr>
          <w:rFonts w:cstheme="minorHAnsi"/>
          <w:sz w:val="20"/>
          <w:szCs w:val="20"/>
        </w:rPr>
        <w:t xml:space="preserve">can be </w:t>
      </w:r>
      <w:r w:rsidR="00371B7A" w:rsidRPr="00CE530E">
        <w:rPr>
          <w:rFonts w:cstheme="minorHAnsi"/>
          <w:sz w:val="20"/>
          <w:szCs w:val="20"/>
        </w:rPr>
        <w:t xml:space="preserve">calculated </w:t>
      </w:r>
      <w:proofErr w:type="gramStart"/>
      <w:r w:rsidR="00F62E11" w:rsidRPr="00CE530E">
        <w:rPr>
          <w:rFonts w:cstheme="minorHAnsi"/>
          <w:sz w:val="20"/>
          <w:szCs w:val="20"/>
        </w:rPr>
        <w:t xml:space="preserve">in order </w:t>
      </w:r>
      <w:r w:rsidR="00371B7A" w:rsidRPr="00CE530E">
        <w:rPr>
          <w:rFonts w:cstheme="minorHAnsi"/>
          <w:sz w:val="20"/>
          <w:szCs w:val="20"/>
        </w:rPr>
        <w:t>to</w:t>
      </w:r>
      <w:proofErr w:type="gramEnd"/>
      <w:r w:rsidR="00371B7A" w:rsidRPr="00CE530E">
        <w:rPr>
          <w:rFonts w:cstheme="minorHAnsi"/>
          <w:sz w:val="20"/>
          <w:szCs w:val="20"/>
        </w:rPr>
        <w:t xml:space="preserve"> estimate the annual number of cases seen in primary</w:t>
      </w:r>
      <w:r w:rsidR="00F62E11" w:rsidRPr="00CE530E">
        <w:rPr>
          <w:rFonts w:cstheme="minorHAnsi"/>
          <w:sz w:val="20"/>
          <w:szCs w:val="20"/>
        </w:rPr>
        <w:t xml:space="preserve"> care</w:t>
      </w:r>
      <w:r w:rsidR="00371B7A" w:rsidRPr="00CE530E">
        <w:rPr>
          <w:rFonts w:cstheme="minorHAnsi"/>
          <w:sz w:val="20"/>
          <w:szCs w:val="20"/>
        </w:rPr>
        <w:t xml:space="preserve">. </w:t>
      </w:r>
      <w:r w:rsidR="00532DC6" w:rsidRPr="00CE530E">
        <w:rPr>
          <w:rFonts w:cstheme="minorHAnsi"/>
          <w:sz w:val="20"/>
          <w:szCs w:val="20"/>
        </w:rPr>
        <w:t>Th</w:t>
      </w:r>
      <w:r w:rsidR="003E62B1" w:rsidRPr="00CE530E">
        <w:rPr>
          <w:rFonts w:cstheme="minorHAnsi"/>
          <w:sz w:val="20"/>
          <w:szCs w:val="20"/>
        </w:rPr>
        <w:t>e</w:t>
      </w:r>
      <w:r w:rsidR="00FA7721" w:rsidRPr="00CE530E">
        <w:rPr>
          <w:rFonts w:cstheme="minorHAnsi"/>
          <w:sz w:val="20"/>
          <w:szCs w:val="20"/>
        </w:rPr>
        <w:t xml:space="preserve"> significant socio-demographic variables associated with a Lyme disease diagnosis likely reflect </w:t>
      </w:r>
      <w:r w:rsidR="00532DC6" w:rsidRPr="00CE530E">
        <w:rPr>
          <w:rFonts w:cstheme="minorHAnsi"/>
          <w:sz w:val="20"/>
          <w:szCs w:val="20"/>
        </w:rPr>
        <w:t xml:space="preserve">a complex interplay of socio-economic issues, which needs to be further explored. Future work </w:t>
      </w:r>
      <w:r w:rsidR="001467D7" w:rsidRPr="00CE530E">
        <w:rPr>
          <w:rFonts w:cstheme="minorHAnsi"/>
          <w:sz w:val="20"/>
          <w:szCs w:val="20"/>
        </w:rPr>
        <w:t xml:space="preserve">is needed to </w:t>
      </w:r>
      <w:r w:rsidR="00532DC6" w:rsidRPr="00CE530E">
        <w:rPr>
          <w:rFonts w:cstheme="minorHAnsi"/>
          <w:sz w:val="20"/>
          <w:szCs w:val="20"/>
        </w:rPr>
        <w:t xml:space="preserve">examine the treatment and management of </w:t>
      </w:r>
      <w:r w:rsidR="007149EA" w:rsidRPr="00CE530E">
        <w:rPr>
          <w:rFonts w:cstheme="minorHAnsi"/>
          <w:sz w:val="20"/>
          <w:szCs w:val="20"/>
        </w:rPr>
        <w:t xml:space="preserve">patients within </w:t>
      </w:r>
      <w:r w:rsidR="00532DC6" w:rsidRPr="00CE530E">
        <w:rPr>
          <w:rFonts w:cstheme="minorHAnsi"/>
          <w:sz w:val="20"/>
          <w:szCs w:val="20"/>
        </w:rPr>
        <w:t xml:space="preserve">this </w:t>
      </w:r>
      <w:r w:rsidR="00A078A2" w:rsidRPr="00CE530E">
        <w:rPr>
          <w:rFonts w:cstheme="minorHAnsi"/>
          <w:sz w:val="20"/>
          <w:szCs w:val="20"/>
        </w:rPr>
        <w:t>database</w:t>
      </w:r>
      <w:r w:rsidR="00532DC6" w:rsidRPr="00CE530E">
        <w:rPr>
          <w:rFonts w:cstheme="minorHAnsi"/>
          <w:sz w:val="20"/>
          <w:szCs w:val="20"/>
        </w:rPr>
        <w:t>.</w:t>
      </w:r>
    </w:p>
    <w:p w14:paraId="59A41BA9" w14:textId="67FFF9C9" w:rsidR="00D14D69" w:rsidRPr="0037567C" w:rsidRDefault="0037567C" w:rsidP="00693035">
      <w:pPr>
        <w:spacing w:line="480" w:lineRule="auto"/>
        <w:jc w:val="both"/>
        <w:rPr>
          <w:rFonts w:cstheme="minorHAnsi"/>
          <w:b/>
        </w:rPr>
      </w:pPr>
      <w:r>
        <w:rPr>
          <w:rFonts w:cstheme="minorHAnsi"/>
          <w:b/>
        </w:rPr>
        <w:t>Keywords: Lyme disease, Lyme borreliosis, Primary Care, UK</w:t>
      </w:r>
      <w:r w:rsidR="009617B6">
        <w:rPr>
          <w:rFonts w:cstheme="minorHAnsi"/>
          <w:b/>
        </w:rPr>
        <w:t>, epidemiology, socio-demographics</w:t>
      </w:r>
      <w:r w:rsidR="001841E0">
        <w:rPr>
          <w:rFonts w:cstheme="minorHAnsi"/>
          <w:b/>
        </w:rPr>
        <w:t>, The Health Improvement Network</w:t>
      </w:r>
      <w:r w:rsidR="00E572AE">
        <w:rPr>
          <w:rFonts w:cstheme="minorHAnsi"/>
          <w:b/>
        </w:rPr>
        <w:t>, THIN</w:t>
      </w:r>
    </w:p>
    <w:p w14:paraId="07C60C46" w14:textId="15F19B22" w:rsidR="003818BD" w:rsidRDefault="003818BD" w:rsidP="00693035">
      <w:pPr>
        <w:spacing w:line="480" w:lineRule="auto"/>
        <w:jc w:val="both"/>
        <w:rPr>
          <w:rFonts w:cstheme="minorHAnsi"/>
        </w:rPr>
      </w:pPr>
    </w:p>
    <w:p w14:paraId="2159142B" w14:textId="26A8EA4E" w:rsidR="001E3763" w:rsidRPr="00693035" w:rsidRDefault="0037567C" w:rsidP="00693035">
      <w:pPr>
        <w:spacing w:line="480" w:lineRule="auto"/>
        <w:jc w:val="both"/>
        <w:rPr>
          <w:rFonts w:cstheme="minorHAnsi"/>
          <w:b/>
          <w:sz w:val="24"/>
          <w:szCs w:val="24"/>
        </w:rPr>
      </w:pPr>
      <w:r>
        <w:rPr>
          <w:rFonts w:cstheme="minorHAnsi"/>
          <w:b/>
          <w:sz w:val="24"/>
          <w:szCs w:val="24"/>
        </w:rPr>
        <w:lastRenderedPageBreak/>
        <w:t>Background</w:t>
      </w:r>
    </w:p>
    <w:p w14:paraId="716768A5" w14:textId="14AC300D" w:rsidR="001B233B" w:rsidRPr="00693035" w:rsidRDefault="00726504" w:rsidP="00693035">
      <w:pPr>
        <w:spacing w:line="480" w:lineRule="auto"/>
        <w:jc w:val="both"/>
        <w:rPr>
          <w:rFonts w:cstheme="minorHAnsi"/>
          <w:sz w:val="20"/>
          <w:szCs w:val="20"/>
        </w:rPr>
      </w:pPr>
      <w:r w:rsidRPr="00693035">
        <w:rPr>
          <w:rFonts w:cstheme="minorHAnsi"/>
          <w:sz w:val="20"/>
          <w:szCs w:val="20"/>
        </w:rPr>
        <w:t xml:space="preserve">Lyme disease, caused by </w:t>
      </w:r>
      <w:r w:rsidR="00F678BB" w:rsidRPr="00693035">
        <w:rPr>
          <w:rFonts w:cstheme="minorHAnsi"/>
          <w:sz w:val="20"/>
          <w:szCs w:val="20"/>
        </w:rPr>
        <w:t>some members of the</w:t>
      </w:r>
      <w:r w:rsidR="00693035">
        <w:rPr>
          <w:rFonts w:cstheme="minorHAnsi"/>
          <w:sz w:val="20"/>
          <w:szCs w:val="20"/>
        </w:rPr>
        <w:t xml:space="preserve"> spirochaetal </w:t>
      </w:r>
      <w:r w:rsidR="00693035" w:rsidRPr="001467D7">
        <w:rPr>
          <w:rFonts w:cstheme="minorHAnsi"/>
          <w:sz w:val="20"/>
          <w:szCs w:val="20"/>
        </w:rPr>
        <w:t>geno</w:t>
      </w:r>
      <w:r w:rsidRPr="001467D7">
        <w:rPr>
          <w:rFonts w:cstheme="minorHAnsi"/>
          <w:sz w:val="20"/>
          <w:szCs w:val="20"/>
        </w:rPr>
        <w:t>species</w:t>
      </w:r>
      <w:r w:rsidRPr="00693035">
        <w:rPr>
          <w:rFonts w:cstheme="minorHAnsi"/>
          <w:sz w:val="20"/>
          <w:szCs w:val="20"/>
        </w:rPr>
        <w:t xml:space="preserve"> complex </w:t>
      </w:r>
      <w:r w:rsidRPr="00693035">
        <w:rPr>
          <w:rFonts w:cstheme="minorHAnsi"/>
          <w:i/>
          <w:sz w:val="20"/>
          <w:szCs w:val="20"/>
        </w:rPr>
        <w:t xml:space="preserve">Borrelia burgdorferi </w:t>
      </w:r>
      <w:proofErr w:type="spellStart"/>
      <w:r w:rsidRPr="00693035">
        <w:rPr>
          <w:rFonts w:cstheme="minorHAnsi"/>
          <w:sz w:val="20"/>
          <w:szCs w:val="20"/>
        </w:rPr>
        <w:t>sensu</w:t>
      </w:r>
      <w:proofErr w:type="spellEnd"/>
      <w:r w:rsidRPr="00693035">
        <w:rPr>
          <w:rFonts w:cstheme="minorHAnsi"/>
          <w:sz w:val="20"/>
          <w:szCs w:val="20"/>
        </w:rPr>
        <w:t xml:space="preserve"> </w:t>
      </w:r>
      <w:proofErr w:type="spellStart"/>
      <w:r w:rsidRPr="00693035">
        <w:rPr>
          <w:rFonts w:cstheme="minorHAnsi"/>
          <w:sz w:val="20"/>
          <w:szCs w:val="20"/>
        </w:rPr>
        <w:t>lato</w:t>
      </w:r>
      <w:proofErr w:type="spellEnd"/>
      <w:r w:rsidRPr="00693035">
        <w:rPr>
          <w:rFonts w:cstheme="minorHAnsi"/>
          <w:sz w:val="20"/>
          <w:szCs w:val="20"/>
        </w:rPr>
        <w:t xml:space="preserve">, has </w:t>
      </w:r>
      <w:r w:rsidR="009F324F" w:rsidRPr="00693035">
        <w:rPr>
          <w:rFonts w:cstheme="minorHAnsi"/>
          <w:sz w:val="20"/>
          <w:szCs w:val="20"/>
        </w:rPr>
        <w:t xml:space="preserve">been the topic of </w:t>
      </w:r>
      <w:r w:rsidRPr="00693035">
        <w:rPr>
          <w:rFonts w:cstheme="minorHAnsi"/>
          <w:sz w:val="20"/>
          <w:szCs w:val="20"/>
        </w:rPr>
        <w:t>much debate and created many headlines</w:t>
      </w:r>
      <w:r w:rsidR="00D84DAA" w:rsidRPr="00693035">
        <w:rPr>
          <w:rFonts w:cstheme="minorHAnsi"/>
          <w:sz w:val="20"/>
          <w:szCs w:val="20"/>
        </w:rPr>
        <w:t xml:space="preserve"> in the United Kingdom (UK)</w:t>
      </w:r>
      <w:r w:rsidR="00164185" w:rsidRPr="00693035">
        <w:rPr>
          <w:rFonts w:cstheme="minorHAnsi"/>
          <w:sz w:val="20"/>
          <w:szCs w:val="20"/>
        </w:rPr>
        <w:t xml:space="preserve"> </w:t>
      </w:r>
      <w:r w:rsidRPr="00693035">
        <w:rPr>
          <w:rFonts w:cstheme="minorHAnsi"/>
          <w:sz w:val="20"/>
          <w:szCs w:val="20"/>
        </w:rPr>
        <w:fldChar w:fldCharType="begin" w:fldLock="1"/>
      </w:r>
      <w:r w:rsidR="006A4A4F">
        <w:rPr>
          <w:rFonts w:cstheme="minorHAnsi"/>
          <w:sz w:val="20"/>
          <w:szCs w:val="20"/>
        </w:rPr>
        <w:instrText>ADDIN CSL_CITATION {"citationItems":[{"id":"ITEM-1","itemData":{"DOI":"10.1016/j.amjmed.2017.11.050","ISSN":"00029343","author":[{"dropping-particle":"","family":"Baker","given":"Phillip J.","non-dropping-particle":"","parse-names":false,"suffix":""}],"container-title":"The American Journal of Medicine","id":"ITEM-1","issued":{"date-parts":[["2017"]]},"publisher":"Elsevier Inc.","title":"Straight Talk About the Diagnosis of Lyme Disease","type":"article-journal"},"uris":["http://www.mendeley.com/documents/?uuid=9b7c5ac4-517a-4f4a-ae6c-2fc795ef08a7"]},{"id":"ITEM-2","itemData":{"DOI":"10.1586/eri.11.63","ISBN":"1744-8336","ISSN":"1478-7210","PMID":"21810051","abstract":"The diagnosis of chronic Lyme disease has been embroiled in controversy for many years. This is exacerbated by the lack of a clinical or microbiologic definition, and the commonality of chronic symptoms in the general population. An accumulating body of evidence suggests that Lyme disease is the appropriate diagnosis for only a minority of patients in whom it is suspected. In prospective studies of Lyme disease, very few patients go on to have a chronic syndrome dominated by subjective complaints. There is no systematic evidence that Borrelia burgdorferi, the etiology of Lyme disease, can be identified in patients with chronic symptoms following treated Lyme disease. Multiple prospective trials have revealed that prolonged courses of antibiotics neither prevent nor alleviate such post-Lyme syndromes. Extended courses of intravenous antibiotics have resulted in severe adverse events, which in light of their lack of efficacy, make them contraindicated.","author":[{"dropping-particle":"","family":"Lantos","given":"Paul M","non-dropping-particle":"","parse-names":false,"suffix":""}],"container-title":"Expert review of anti-infective therapy","id":"ITEM-2","issue":"7","issued":{"date-parts":[["2011"]]},"page":"787-797","title":"Chronic Lyme disease: the controversies and the science.","type":"article-journal","volume":"9"},"uris":["http://www.mendeley.com/documents/?uuid=07b9a99d-e404-4832-862b-3feafc669f1c"]},{"id":"ITEM-3","itemData":{"author":[{"dropping-particle":"","family":"Usborne","given":"Simon","non-dropping-particle":"","parse-names":false,"suffix":""}],"container-title":"The Guardian","id":"ITEM-3","issued":{"date-parts":[["2017","8","22"]]},"title":"How afraid should we be of ticks and Lyme disease?","type":"article-newspaper"},"uris":["http://www.mendeley.com/documents/?uuid=f0ba32eb-bd7a-42d4-864f-c85adfb8452d"]}],"mendeley":{"formattedCitation":"(1–3)","plainTextFormattedCitation":"(1–3)","previouslyFormattedCitation":"(1–3)"},"properties":{"noteIndex":0},"schema":"https://github.com/citation-style-language/schema/raw/master/csl-citation.json"}</w:instrText>
      </w:r>
      <w:r w:rsidRPr="00693035">
        <w:rPr>
          <w:rFonts w:cstheme="minorHAnsi"/>
          <w:sz w:val="20"/>
          <w:szCs w:val="20"/>
        </w:rPr>
        <w:fldChar w:fldCharType="separate"/>
      </w:r>
      <w:r w:rsidR="006A4A4F" w:rsidRPr="006A4A4F">
        <w:rPr>
          <w:rFonts w:cstheme="minorHAnsi"/>
          <w:noProof/>
          <w:sz w:val="20"/>
          <w:szCs w:val="20"/>
        </w:rPr>
        <w:t>(1–3)</w:t>
      </w:r>
      <w:r w:rsidRPr="00693035">
        <w:rPr>
          <w:rFonts w:cstheme="minorHAnsi"/>
          <w:sz w:val="20"/>
          <w:szCs w:val="20"/>
        </w:rPr>
        <w:fldChar w:fldCharType="end"/>
      </w:r>
      <w:r w:rsidR="00164185" w:rsidRPr="00693035">
        <w:rPr>
          <w:rFonts w:cstheme="minorHAnsi"/>
          <w:sz w:val="20"/>
          <w:szCs w:val="20"/>
        </w:rPr>
        <w:t>.</w:t>
      </w:r>
      <w:r w:rsidR="00D84DAA" w:rsidRPr="00693035">
        <w:rPr>
          <w:rFonts w:cstheme="minorHAnsi"/>
          <w:sz w:val="20"/>
          <w:szCs w:val="20"/>
        </w:rPr>
        <w:t xml:space="preserve"> </w:t>
      </w:r>
      <w:r w:rsidR="001B233B" w:rsidRPr="00693035">
        <w:rPr>
          <w:rFonts w:cstheme="minorHAnsi"/>
          <w:sz w:val="20"/>
          <w:szCs w:val="20"/>
        </w:rPr>
        <w:t xml:space="preserve">It is transmitted by the bite of an infected </w:t>
      </w:r>
      <w:proofErr w:type="spellStart"/>
      <w:r w:rsidR="001B233B" w:rsidRPr="00693035">
        <w:rPr>
          <w:rFonts w:cstheme="minorHAnsi"/>
          <w:i/>
          <w:sz w:val="20"/>
          <w:szCs w:val="20"/>
        </w:rPr>
        <w:t>Ixodes</w:t>
      </w:r>
      <w:proofErr w:type="spellEnd"/>
      <w:r w:rsidR="001B233B" w:rsidRPr="00693035">
        <w:rPr>
          <w:rFonts w:cstheme="minorHAnsi"/>
          <w:i/>
          <w:sz w:val="20"/>
          <w:szCs w:val="20"/>
        </w:rPr>
        <w:t xml:space="preserve"> </w:t>
      </w:r>
      <w:proofErr w:type="spellStart"/>
      <w:r w:rsidR="001B233B" w:rsidRPr="00693035">
        <w:rPr>
          <w:rFonts w:cstheme="minorHAnsi"/>
          <w:sz w:val="20"/>
          <w:szCs w:val="20"/>
        </w:rPr>
        <w:t>spp</w:t>
      </w:r>
      <w:proofErr w:type="spellEnd"/>
      <w:r w:rsidR="001B233B" w:rsidRPr="00693035">
        <w:rPr>
          <w:rFonts w:cstheme="minorHAnsi"/>
          <w:sz w:val="20"/>
          <w:szCs w:val="20"/>
        </w:rPr>
        <w:t xml:space="preserve"> of tick</w:t>
      </w:r>
      <w:r w:rsidR="00EC5B47" w:rsidRPr="00693035">
        <w:rPr>
          <w:rFonts w:cstheme="minorHAnsi"/>
          <w:sz w:val="20"/>
          <w:szCs w:val="20"/>
        </w:rPr>
        <w:t>, and is the most common zoonotic disease transmitted by ticks in the Northern Hemisphere</w:t>
      </w:r>
      <w:r w:rsidR="00164185" w:rsidRPr="00693035">
        <w:rPr>
          <w:rFonts w:cstheme="minorHAnsi"/>
          <w:sz w:val="20"/>
          <w:szCs w:val="20"/>
        </w:rPr>
        <w:t xml:space="preserve"> </w:t>
      </w:r>
      <w:r w:rsidR="004C089C" w:rsidRPr="00693035">
        <w:rPr>
          <w:rFonts w:cstheme="minorHAnsi"/>
          <w:sz w:val="20"/>
          <w:szCs w:val="20"/>
        </w:rPr>
        <w:fldChar w:fldCharType="begin" w:fldLock="1"/>
      </w:r>
      <w:r w:rsidR="006A4A4F">
        <w:rPr>
          <w:rFonts w:cstheme="minorHAnsi"/>
          <w:sz w:val="20"/>
          <w:szCs w:val="20"/>
        </w:rPr>
        <w:instrText>ADDIN CSL_CITATION {"citationItems":[{"id":"ITEM-1","itemData":{"DOI":"10.1038/nrdp.2016.90","ISSN":"2056-676X","PMID":"27976670","author":[{"dropping-particle":"","family":"Steere","given":"Allen C.","non-dropping-particle":"","parse-names":false,"suffix":""},{"dropping-particle":"","family":"Strle","given":"Franc","non-dropping-particle":"","parse-names":false,"suffix":""},{"dropping-particle":"","family":"Wormser","given":"Gary P.","non-dropping-particle":"","parse-names":false,"suffix":""},{"dropping-particle":"","family":"Hu","given":"Linden T.","non-dropping-particle":"","parse-names":false,"suffix":""},{"dropping-particle":"","family":"Branda","given":"John A.","non-dropping-particle":"","parse-names":false,"suffix":""},{"dropping-particle":"","family":"Hovius","given":"Joppe W. R.","non-dropping-particle":"","parse-names":false,"suffix":""},{"dropping-particle":"","family":"Li","given":"Xin","non-dropping-particle":"","parse-names":false,"suffix":""},{"dropping-particle":"","family":"Mead","given":"Paul S.","non-dropping-particle":"","parse-names":false,"suffix":""}],"container-title":"Nature Reviews Disease Primers","id":"ITEM-1","issued":{"date-parts":[["2016"]]},"note":"NULL","page":"16090","publisher":"Macmillan Publishers Limited","title":"Lyme borreliosis","type":"article-journal","volume":"2"},"uris":["http://www.mendeley.com/documents/?uuid=597fd981-33c4-41af-b301-bd3fd480d68e"]}],"mendeley":{"formattedCitation":"(4)","plainTextFormattedCitation":"(4)","previouslyFormattedCitation":"(4)"},"properties":{"noteIndex":0},"schema":"https://github.com/citation-style-language/schema/raw/master/csl-citation.json"}</w:instrText>
      </w:r>
      <w:r w:rsidR="004C089C" w:rsidRPr="00693035">
        <w:rPr>
          <w:rFonts w:cstheme="minorHAnsi"/>
          <w:sz w:val="20"/>
          <w:szCs w:val="20"/>
        </w:rPr>
        <w:fldChar w:fldCharType="separate"/>
      </w:r>
      <w:r w:rsidR="006A4A4F" w:rsidRPr="006A4A4F">
        <w:rPr>
          <w:rFonts w:cstheme="minorHAnsi"/>
          <w:noProof/>
          <w:sz w:val="20"/>
          <w:szCs w:val="20"/>
        </w:rPr>
        <w:t>(4)</w:t>
      </w:r>
      <w:r w:rsidR="004C089C" w:rsidRPr="00693035">
        <w:rPr>
          <w:rFonts w:cstheme="minorHAnsi"/>
          <w:sz w:val="20"/>
          <w:szCs w:val="20"/>
        </w:rPr>
        <w:fldChar w:fldCharType="end"/>
      </w:r>
      <w:r w:rsidR="00164185" w:rsidRPr="00693035">
        <w:rPr>
          <w:rFonts w:cstheme="minorHAnsi"/>
          <w:sz w:val="20"/>
          <w:szCs w:val="20"/>
        </w:rPr>
        <w:t>.</w:t>
      </w:r>
      <w:r w:rsidR="001B233B" w:rsidRPr="00693035">
        <w:rPr>
          <w:rFonts w:cstheme="minorHAnsi"/>
          <w:sz w:val="20"/>
          <w:szCs w:val="20"/>
        </w:rPr>
        <w:t xml:space="preserve"> </w:t>
      </w:r>
      <w:r w:rsidR="00EC5B47" w:rsidRPr="00693035">
        <w:rPr>
          <w:rFonts w:cstheme="minorHAnsi"/>
          <w:sz w:val="20"/>
          <w:szCs w:val="20"/>
        </w:rPr>
        <w:t>It has</w:t>
      </w:r>
      <w:r w:rsidR="001B233B" w:rsidRPr="00693035">
        <w:rPr>
          <w:rFonts w:cstheme="minorHAnsi"/>
          <w:sz w:val="20"/>
          <w:szCs w:val="20"/>
        </w:rPr>
        <w:t xml:space="preserve"> a variety of clinical presentations, most </w:t>
      </w:r>
      <w:r w:rsidR="00852770" w:rsidRPr="00693035">
        <w:rPr>
          <w:rFonts w:cstheme="minorHAnsi"/>
          <w:sz w:val="20"/>
          <w:szCs w:val="20"/>
        </w:rPr>
        <w:t>usually</w:t>
      </w:r>
      <w:r w:rsidR="001B233B" w:rsidRPr="00693035">
        <w:rPr>
          <w:rFonts w:cstheme="minorHAnsi"/>
          <w:sz w:val="20"/>
          <w:szCs w:val="20"/>
        </w:rPr>
        <w:t xml:space="preserve"> </w:t>
      </w:r>
      <w:r w:rsidR="00F61E18" w:rsidRPr="00693035">
        <w:rPr>
          <w:rFonts w:cstheme="minorHAnsi"/>
          <w:sz w:val="20"/>
          <w:szCs w:val="20"/>
        </w:rPr>
        <w:t xml:space="preserve">including </w:t>
      </w:r>
      <w:r w:rsidR="001B233B" w:rsidRPr="00693035">
        <w:rPr>
          <w:rFonts w:cstheme="minorHAnsi"/>
          <w:sz w:val="20"/>
          <w:szCs w:val="20"/>
        </w:rPr>
        <w:t>erythema migrans, flu</w:t>
      </w:r>
      <w:r w:rsidR="009F324F" w:rsidRPr="00693035">
        <w:rPr>
          <w:rFonts w:cstheme="minorHAnsi"/>
          <w:sz w:val="20"/>
          <w:szCs w:val="20"/>
        </w:rPr>
        <w:t>-</w:t>
      </w:r>
      <w:r w:rsidR="001B233B" w:rsidRPr="00693035">
        <w:rPr>
          <w:rFonts w:cstheme="minorHAnsi"/>
          <w:sz w:val="20"/>
          <w:szCs w:val="20"/>
        </w:rPr>
        <w:t>like symptoms, and joint and muscle pain, or more uncommonly neurological and cardiac presentations</w:t>
      </w:r>
      <w:r w:rsidR="00164185" w:rsidRPr="00693035">
        <w:rPr>
          <w:rFonts w:cstheme="minorHAnsi"/>
          <w:sz w:val="20"/>
          <w:szCs w:val="20"/>
        </w:rPr>
        <w:t xml:space="preserve"> </w:t>
      </w:r>
      <w:r w:rsidR="001B233B" w:rsidRPr="00693035">
        <w:rPr>
          <w:rFonts w:cstheme="minorHAnsi"/>
          <w:sz w:val="20"/>
          <w:szCs w:val="20"/>
        </w:rPr>
        <w:fldChar w:fldCharType="begin" w:fldLock="1"/>
      </w:r>
      <w:r w:rsidR="006A4A4F">
        <w:rPr>
          <w:rFonts w:cstheme="minorHAnsi"/>
          <w:sz w:val="20"/>
          <w:szCs w:val="20"/>
        </w:rPr>
        <w:instrText>ADDIN CSL_CITATION {"citationItems":[{"id":"ITEM-1","itemData":{"DOI":"10.1038/nrdp.2016.90","ISSN":"2056-676X","PMID":"27976670","author":[{"dropping-particle":"","family":"Steere","given":"Allen C.","non-dropping-particle":"","parse-names":false,"suffix":""},{"dropping-particle":"","family":"Strle","given":"Franc","non-dropping-particle":"","parse-names":false,"suffix":""},{"dropping-particle":"","family":"Wormser","given":"Gary P.","non-dropping-particle":"","parse-names":false,"suffix":""},{"dropping-particle":"","family":"Hu","given":"Linden T.","non-dropping-particle":"","parse-names":false,"suffix":""},{"dropping-particle":"","family":"Branda","given":"John A.","non-dropping-particle":"","parse-names":false,"suffix":""},{"dropping-particle":"","family":"Hovius","given":"Joppe W. R.","non-dropping-particle":"","parse-names":false,"suffix":""},{"dropping-particle":"","family":"Li","given":"Xin","non-dropping-particle":"","parse-names":false,"suffix":""},{"dropping-particle":"","family":"Mead","given":"Paul S.","non-dropping-particle":"","parse-names":false,"suffix":""}],"container-title":"Nature Reviews Disease Primers","id":"ITEM-1","issued":{"date-parts":[["2016"]]},"note":"NULL","page":"16090","publisher":"Macmillan Publishers Limited","title":"Lyme borreliosis","type":"article-journal","volume":"2"},"uris":["http://www.mendeley.com/documents/?uuid=597fd981-33c4-41af-b301-bd3fd480d68e"]},{"id":"ITEM-2","itemData":{"DOI":"10.1001/jama.2016.2884","ISSN":"1538-3598","PMID":"27115378","abstract":"Importance: Lyme disease, human granulocytic anaplasmosis (HGA), and babesiosis are emerging tick-borne infections.\\n\\nObjective: To provide an update on diagnosis, treatment, and prevention of tick-borne infections.\\n\\nEvidence Review: Search of PubMed and Scopus for articles on diagnosis, treatment, and prevention of tick-borne infections published in English from January 2005 through December 2015.\\n\\nFindings: The search yielded 3550 articles for diagnosis and treatment and 752 articles for prevention. Of these articles, 361 were reviewed in depth. Evidence supports the use of US Food and Drug Administration-approved serologic tests, such as an enzyme immunoassay (EIA), followed by Western blot testing, to diagnose extracutaneous manifestations of Lyme disease. Microscopy and polymerase chain reaction assay of blood specimens are used to diagnose active HGA and babesiosis. The efficacy of oral doxycycline, amoxicillin, and cefuroxime axetil for treating Lyme disease has been established in multiple trials. Ceftriaxone is recommended when parenteral antibiotic therapy is recommended. Multiple trials have shown efficacy for a 10-day course of oral doxycycline for treatment of erythema migrans and for a 14-day course for treatment of early neurologic Lyme disease in ambulatory patients. Evidence indicates that a 10-day course of oral doxycycline is effective for HGA and that a 7- to 10-day course of azithromycin plus atovaquone is effective for mild babesiosis. Based on multiple case reports, a 7- to 10-day course of clindamycin plus quinine is often used to treat severe babesiosis. A recent study supports a minimum of 6 weeks of antibiotics for highly immunocompromised patients with babesiosis, with no parasites detected on blood smear for at least the final 2 weeks of treatment.\\n\\nConclusions and Relevance: Evidence is evolving regarding the diagnosis, treatment, and prevention of Lyme disease, HGA, and babesiosis. Recent evidence supports treating patients with erythema migrans for no longer than 10 days when doxycycline is used and prescription of a 14-day course of oral doxycycline for early neurologic Lyme disease in ambulatory patients. The duration of antimicrobial therapy for babesiosis in severely immunocompromised patients should be extended to 6 weeks or longer.","author":[{"dropping-particle":"","family":"Sanchez","given":"Edgar","non-dropping-particle":"","parse-names":false,"suffix":""},{"dropping-particle":"","family":"Vannier","given":"Edouard","non-dropping-particle":"","parse-names":false,"suffix":""},{"dropping-particle":"","family":"Wormser","given":"Gary P","non-dropping-particle":"","parse-names":false,"suffix":""},{"dropping-particle":"","family":"Hu","given":"Linden T","non-dropping-particle":"","parse-names":false,"suffix":""}],"container-title":"Jama","id":"ITEM-2","issue":"16","issued":{"date-parts":[["2016"]]},"page":"1767-1777","title":"Diagnosis, Treatment, and Prevention of Lyme Disease, Human Granulocytic Anaplasmosis, and Babesiosis: A Review.","type":"article-journal","volume":"315"},"uris":["http://www.mendeley.com/documents/?uuid=b16a1c81-979f-43ea-a3ce-7f73c78dc7a4"]},{"id":"ITEM-3","itemData":{"DOI":"10.1016/S0140-6736(11)60103-7","ISBN":"1474-547X (Electronic)\\n0140-6736 (Linking)","ISSN":"01406736","PMID":"21903253","abstract":"Lyme borreliosis (Lyme disease) is caused by spirochaetes of the Borrelia burgdorferi sensu lato species complex, which are transmitted by ticks. The most common clinical manifestation is erythema migrans, which eventually resolves, even without antibiotic treatment. However, the infecting pathogen can spread to other tissues and organs, causing more severe manifestations that can involve a patient's skin, nervous system, joints, or heart. The incidence of this disease is increasing in many countries. Laboratory evidence of infection, mainly serology, is essential for diagnosis, except in the case of typical erythema migrans. Diagnosed cases are usually treated with antibiotics for 2-4 weeks and most patients make an uneventful recovery. No convincing evidence exists to support the use of antibiotics for longer than 4 weeks, or for the persistence of spirochaetes in adequately treated patients. Prevention is mainly accomplished by protecting against tick bites. There is no vaccine available for human beings. © 2012 Elsevier Ltd.","author":[{"dropping-particle":"","family":"Stanek","given":"Gerold","non-dropping-particle":"","parse-names":false,"suffix":""},{"dropping-particle":"","family":"Wormser","given":"Gary P.","non-dropping-particle":"","parse-names":false,"suffix":""},{"dropping-particle":"","family":"Gray","given":"Jeremy","non-dropping-particle":"","parse-names":false,"suffix":""},{"dropping-particle":"","family":"Strle","given":"Franc","non-dropping-particle":"","parse-names":false,"suffix":""}],"container-title":"The Lancet","id":"ITEM-3","issue":"9814","issued":{"date-parts":[["2012"]]},"page":"461-473","publisher":"Elsevier Ltd","title":"Lyme borreliosis","type":"article-journal","volume":"379"},"uris":["http://www.mendeley.com/documents/?uuid=9f727da6-6d06-4da5-b62b-56822fb99ad5"]},{"id":"ITEM-4","itemData":{"URL":"https://www.nice.org.uk/guidance/ng95","accessed":{"date-parts":[["2017","10","23"]]},"author":[{"dropping-particle":"","family":"National Institute for Health and Care Excellence","given":"","non-dropping-particle":"","parse-names":false,"suffix":""}],"id":"ITEM-4","issued":{"date-parts":[["2018"]]},"title":"Lyme disease NICE guideline [NG95]","type":"webpage"},"uris":["http://www.mendeley.com/documents/?uuid=3c60817c-61d3-46a6-b42a-4baa11776ecd"]}],"mendeley":{"formattedCitation":"(4–7)","plainTextFormattedCitation":"(4–7)","previouslyFormattedCitation":"(4–7)"},"properties":{"noteIndex":0},"schema":"https://github.com/citation-style-language/schema/raw/master/csl-citation.json"}</w:instrText>
      </w:r>
      <w:r w:rsidR="001B233B" w:rsidRPr="00693035">
        <w:rPr>
          <w:rFonts w:cstheme="minorHAnsi"/>
          <w:sz w:val="20"/>
          <w:szCs w:val="20"/>
        </w:rPr>
        <w:fldChar w:fldCharType="separate"/>
      </w:r>
      <w:r w:rsidR="006A4A4F" w:rsidRPr="006A4A4F">
        <w:rPr>
          <w:rFonts w:cstheme="minorHAnsi"/>
          <w:noProof/>
          <w:sz w:val="20"/>
          <w:szCs w:val="20"/>
        </w:rPr>
        <w:t>(4–7)</w:t>
      </w:r>
      <w:r w:rsidR="001B233B" w:rsidRPr="00693035">
        <w:rPr>
          <w:rFonts w:cstheme="minorHAnsi"/>
          <w:sz w:val="20"/>
          <w:szCs w:val="20"/>
        </w:rPr>
        <w:fldChar w:fldCharType="end"/>
      </w:r>
      <w:r w:rsidR="00164185" w:rsidRPr="00693035">
        <w:rPr>
          <w:rFonts w:cstheme="minorHAnsi"/>
          <w:sz w:val="20"/>
          <w:szCs w:val="20"/>
        </w:rPr>
        <w:t>.</w:t>
      </w:r>
      <w:r w:rsidR="001B233B" w:rsidRPr="00693035">
        <w:rPr>
          <w:rFonts w:cstheme="minorHAnsi"/>
          <w:sz w:val="20"/>
          <w:szCs w:val="20"/>
        </w:rPr>
        <w:t xml:space="preserve"> </w:t>
      </w:r>
      <w:bookmarkStart w:id="1" w:name="_Hlk528758051"/>
      <w:r w:rsidR="001B233B" w:rsidRPr="001467D7">
        <w:rPr>
          <w:rFonts w:cstheme="minorHAnsi"/>
          <w:sz w:val="20"/>
          <w:szCs w:val="20"/>
        </w:rPr>
        <w:t>Current recommendations are to treat patients</w:t>
      </w:r>
      <w:r w:rsidR="00FF7DDA" w:rsidRPr="001467D7">
        <w:rPr>
          <w:rFonts w:cstheme="minorHAnsi"/>
          <w:sz w:val="20"/>
          <w:szCs w:val="20"/>
        </w:rPr>
        <w:t xml:space="preserve"> presenting with an erythema migrans rash</w:t>
      </w:r>
      <w:r w:rsidR="001B233B" w:rsidRPr="001467D7">
        <w:rPr>
          <w:rFonts w:cstheme="minorHAnsi"/>
          <w:sz w:val="20"/>
          <w:szCs w:val="20"/>
        </w:rPr>
        <w:t xml:space="preserve"> with antibiotics</w:t>
      </w:r>
      <w:r w:rsidR="00FF7DDA" w:rsidRPr="001467D7">
        <w:rPr>
          <w:rFonts w:cstheme="minorHAnsi"/>
          <w:sz w:val="20"/>
          <w:szCs w:val="20"/>
        </w:rPr>
        <w:t xml:space="preserve">. </w:t>
      </w:r>
      <w:r w:rsidR="003E62B1" w:rsidRPr="001467D7">
        <w:rPr>
          <w:rFonts w:cstheme="minorHAnsi"/>
          <w:sz w:val="20"/>
          <w:szCs w:val="20"/>
        </w:rPr>
        <w:t>L</w:t>
      </w:r>
      <w:r w:rsidR="00852770" w:rsidRPr="001467D7">
        <w:rPr>
          <w:rFonts w:cstheme="minorHAnsi"/>
          <w:sz w:val="20"/>
          <w:szCs w:val="20"/>
        </w:rPr>
        <w:t xml:space="preserve">aboratory </w:t>
      </w:r>
      <w:r w:rsidR="009F324F" w:rsidRPr="001467D7">
        <w:rPr>
          <w:rFonts w:cstheme="minorHAnsi"/>
          <w:sz w:val="20"/>
          <w:szCs w:val="20"/>
        </w:rPr>
        <w:t>diagnostic tests</w:t>
      </w:r>
      <w:r w:rsidR="00FF7DDA" w:rsidRPr="001467D7">
        <w:rPr>
          <w:rFonts w:cstheme="minorHAnsi"/>
          <w:sz w:val="20"/>
          <w:szCs w:val="20"/>
        </w:rPr>
        <w:t xml:space="preserve"> are recommended</w:t>
      </w:r>
      <w:r w:rsidR="009F324F" w:rsidRPr="001467D7">
        <w:rPr>
          <w:rFonts w:cstheme="minorHAnsi"/>
          <w:sz w:val="20"/>
          <w:szCs w:val="20"/>
        </w:rPr>
        <w:t xml:space="preserve"> </w:t>
      </w:r>
      <w:r w:rsidR="003E62B1" w:rsidRPr="001467D7">
        <w:rPr>
          <w:rFonts w:cstheme="minorHAnsi"/>
          <w:sz w:val="20"/>
          <w:szCs w:val="20"/>
        </w:rPr>
        <w:t xml:space="preserve">when erythema migrans is absent and </w:t>
      </w:r>
      <w:r w:rsidR="001B233B" w:rsidRPr="001467D7">
        <w:rPr>
          <w:rFonts w:cstheme="minorHAnsi"/>
          <w:sz w:val="20"/>
          <w:szCs w:val="20"/>
        </w:rPr>
        <w:t>if there is clinical suspicion</w:t>
      </w:r>
      <w:r w:rsidR="008573CA" w:rsidRPr="001467D7">
        <w:rPr>
          <w:rFonts w:cstheme="minorHAnsi"/>
          <w:sz w:val="20"/>
          <w:szCs w:val="20"/>
        </w:rPr>
        <w:t xml:space="preserve"> and a strong supportive history</w:t>
      </w:r>
      <w:r w:rsidR="001B233B" w:rsidRPr="001467D7">
        <w:rPr>
          <w:rFonts w:cstheme="minorHAnsi"/>
          <w:sz w:val="20"/>
          <w:szCs w:val="20"/>
        </w:rPr>
        <w:t xml:space="preserve"> of Lyme disease</w:t>
      </w:r>
      <w:r w:rsidR="00164185" w:rsidRPr="00693035">
        <w:rPr>
          <w:rFonts w:cstheme="minorHAnsi"/>
          <w:sz w:val="20"/>
          <w:szCs w:val="20"/>
        </w:rPr>
        <w:t xml:space="preserve"> </w:t>
      </w:r>
      <w:bookmarkEnd w:id="1"/>
      <w:r w:rsidR="00164185" w:rsidRPr="00693035">
        <w:rPr>
          <w:rFonts w:cstheme="minorHAnsi"/>
          <w:sz w:val="20"/>
          <w:szCs w:val="20"/>
        </w:rPr>
        <w:fldChar w:fldCharType="begin" w:fldLock="1"/>
      </w:r>
      <w:r w:rsidR="006A4A4F">
        <w:rPr>
          <w:rFonts w:cstheme="minorHAnsi"/>
          <w:sz w:val="20"/>
          <w:szCs w:val="20"/>
        </w:rPr>
        <w:instrText>ADDIN CSL_CITATION {"citationItems":[{"id":"ITEM-1","itemData":{"URL":"https://www.nice.org.uk/guidance/ng95","accessed":{"date-parts":[["2017","10","23"]]},"author":[{"dropping-particle":"","family":"National Institute for Health and Care Excellence","given":"","non-dropping-particle":"","parse-names":false,"suffix":""}],"id":"ITEM-1","issued":{"date-parts":[["2018"]]},"title":"Lyme disease NICE guideline [NG95]","type":"webpage"},"uris":["http://www.mendeley.com/documents/?uuid=3c60817c-61d3-46a6-b42a-4baa11776ecd"]}],"mendeley":{"formattedCitation":"(7)","plainTextFormattedCitation":"(7)","previouslyFormattedCitation":"(7)"},"properties":{"noteIndex":0},"schema":"https://github.com/citation-style-language/schema/raw/master/csl-citation.json"}</w:instrText>
      </w:r>
      <w:r w:rsidR="00164185" w:rsidRPr="00693035">
        <w:rPr>
          <w:rFonts w:cstheme="minorHAnsi"/>
          <w:sz w:val="20"/>
          <w:szCs w:val="20"/>
        </w:rPr>
        <w:fldChar w:fldCharType="separate"/>
      </w:r>
      <w:r w:rsidR="006A4A4F" w:rsidRPr="006A4A4F">
        <w:rPr>
          <w:rFonts w:cstheme="minorHAnsi"/>
          <w:noProof/>
          <w:sz w:val="20"/>
          <w:szCs w:val="20"/>
        </w:rPr>
        <w:t>(7)</w:t>
      </w:r>
      <w:r w:rsidR="00164185" w:rsidRPr="00693035">
        <w:rPr>
          <w:rFonts w:cstheme="minorHAnsi"/>
          <w:sz w:val="20"/>
          <w:szCs w:val="20"/>
        </w:rPr>
        <w:fldChar w:fldCharType="end"/>
      </w:r>
      <w:r w:rsidR="00875AF1" w:rsidRPr="00693035">
        <w:rPr>
          <w:rFonts w:cstheme="minorHAnsi"/>
          <w:sz w:val="20"/>
          <w:szCs w:val="20"/>
        </w:rPr>
        <w:t>.</w:t>
      </w:r>
      <w:r w:rsidR="00852770" w:rsidRPr="00693035">
        <w:rPr>
          <w:rFonts w:cstheme="minorHAnsi"/>
          <w:sz w:val="20"/>
          <w:szCs w:val="20"/>
        </w:rPr>
        <w:t xml:space="preserve"> However</w:t>
      </w:r>
      <w:r w:rsidR="007941CD" w:rsidRPr="00693035">
        <w:rPr>
          <w:rFonts w:cstheme="minorHAnsi"/>
          <w:sz w:val="20"/>
          <w:szCs w:val="20"/>
        </w:rPr>
        <w:t>,</w:t>
      </w:r>
      <w:r w:rsidR="00852770" w:rsidRPr="00693035">
        <w:rPr>
          <w:rFonts w:cstheme="minorHAnsi"/>
          <w:sz w:val="20"/>
          <w:szCs w:val="20"/>
        </w:rPr>
        <w:t xml:space="preserve"> as the</w:t>
      </w:r>
      <w:r w:rsidR="0026751F" w:rsidRPr="00693035">
        <w:rPr>
          <w:rFonts w:cstheme="minorHAnsi"/>
          <w:sz w:val="20"/>
          <w:szCs w:val="20"/>
        </w:rPr>
        <w:t xml:space="preserve"> </w:t>
      </w:r>
      <w:bookmarkStart w:id="2" w:name="_Hlk15374131"/>
      <w:r w:rsidR="0026751F" w:rsidRPr="00693035">
        <w:rPr>
          <w:rFonts w:cstheme="minorHAnsi"/>
          <w:sz w:val="20"/>
          <w:szCs w:val="20"/>
        </w:rPr>
        <w:t>(National Institute for Health and Care Excellence)</w:t>
      </w:r>
      <w:r w:rsidR="00852770" w:rsidRPr="00693035">
        <w:rPr>
          <w:rFonts w:cstheme="minorHAnsi"/>
          <w:sz w:val="20"/>
          <w:szCs w:val="20"/>
        </w:rPr>
        <w:t xml:space="preserve"> NICE guidelines </w:t>
      </w:r>
      <w:bookmarkEnd w:id="2"/>
      <w:r w:rsidR="00852770" w:rsidRPr="00693035">
        <w:rPr>
          <w:rFonts w:cstheme="minorHAnsi"/>
          <w:sz w:val="20"/>
          <w:szCs w:val="20"/>
        </w:rPr>
        <w:t>state, ‘there is a lack of robust epidemiological data on Lyme disease in the UK</w:t>
      </w:r>
      <w:r w:rsidR="00A37EDC" w:rsidRPr="00693035">
        <w:rPr>
          <w:rFonts w:cstheme="minorHAnsi"/>
          <w:sz w:val="20"/>
          <w:szCs w:val="20"/>
        </w:rPr>
        <w:t>’</w:t>
      </w:r>
      <w:r w:rsidR="00164185" w:rsidRPr="00693035">
        <w:rPr>
          <w:rFonts w:cstheme="minorHAnsi"/>
          <w:sz w:val="20"/>
          <w:szCs w:val="20"/>
        </w:rPr>
        <w:t xml:space="preserve"> </w:t>
      </w:r>
      <w:r w:rsidR="00852770" w:rsidRPr="00693035">
        <w:rPr>
          <w:rFonts w:cstheme="minorHAnsi"/>
          <w:sz w:val="20"/>
          <w:szCs w:val="20"/>
        </w:rPr>
        <w:fldChar w:fldCharType="begin" w:fldLock="1"/>
      </w:r>
      <w:r w:rsidR="006A4A4F">
        <w:rPr>
          <w:rFonts w:cstheme="minorHAnsi"/>
          <w:sz w:val="20"/>
          <w:szCs w:val="20"/>
        </w:rPr>
        <w:instrText>ADDIN CSL_CITATION {"citationItems":[{"id":"ITEM-1","itemData":{"URL":"https://www.nice.org.uk/guidance/ng95","accessed":{"date-parts":[["2017","10","23"]]},"author":[{"dropping-particle":"","family":"National Institute for Health and Care Excellence","given":"","non-dropping-particle":"","parse-names":false,"suffix":""}],"id":"ITEM-1","issued":{"date-parts":[["2018"]]},"title":"Lyme disease NICE guideline [NG95]","type":"webpage"},"uris":["http://www.mendeley.com/documents/?uuid=3c60817c-61d3-46a6-b42a-4baa11776ecd"]}],"mendeley":{"formattedCitation":"(7)","plainTextFormattedCitation":"(7)","previouslyFormattedCitation":"(7)"},"properties":{"noteIndex":0},"schema":"https://github.com/citation-style-language/schema/raw/master/csl-citation.json"}</w:instrText>
      </w:r>
      <w:r w:rsidR="00852770" w:rsidRPr="00693035">
        <w:rPr>
          <w:rFonts w:cstheme="minorHAnsi"/>
          <w:sz w:val="20"/>
          <w:szCs w:val="20"/>
        </w:rPr>
        <w:fldChar w:fldCharType="separate"/>
      </w:r>
      <w:r w:rsidR="006A4A4F" w:rsidRPr="006A4A4F">
        <w:rPr>
          <w:rFonts w:cstheme="minorHAnsi"/>
          <w:noProof/>
          <w:sz w:val="20"/>
          <w:szCs w:val="20"/>
        </w:rPr>
        <w:t>(7)</w:t>
      </w:r>
      <w:r w:rsidR="00852770" w:rsidRPr="00693035">
        <w:rPr>
          <w:rFonts w:cstheme="minorHAnsi"/>
          <w:sz w:val="20"/>
          <w:szCs w:val="20"/>
        </w:rPr>
        <w:fldChar w:fldCharType="end"/>
      </w:r>
      <w:r w:rsidR="00164185" w:rsidRPr="00693035">
        <w:rPr>
          <w:rFonts w:cstheme="minorHAnsi"/>
          <w:sz w:val="20"/>
          <w:szCs w:val="20"/>
        </w:rPr>
        <w:t>.</w:t>
      </w:r>
      <w:r w:rsidR="00852770" w:rsidRPr="00693035">
        <w:rPr>
          <w:rFonts w:cstheme="minorHAnsi"/>
          <w:sz w:val="20"/>
          <w:szCs w:val="20"/>
        </w:rPr>
        <w:t xml:space="preserve"> This lack of </w:t>
      </w:r>
      <w:r w:rsidR="008573CA" w:rsidRPr="00693035">
        <w:rPr>
          <w:rFonts w:cstheme="minorHAnsi"/>
          <w:sz w:val="20"/>
          <w:szCs w:val="20"/>
        </w:rPr>
        <w:t>knowledge</w:t>
      </w:r>
      <w:r w:rsidR="00852770" w:rsidRPr="00693035">
        <w:rPr>
          <w:rFonts w:cstheme="minorHAnsi"/>
          <w:sz w:val="20"/>
          <w:szCs w:val="20"/>
        </w:rPr>
        <w:t xml:space="preserve"> includes incidence data in differ</w:t>
      </w:r>
      <w:r w:rsidR="004B037F" w:rsidRPr="00693035">
        <w:rPr>
          <w:rFonts w:cstheme="minorHAnsi"/>
          <w:sz w:val="20"/>
          <w:szCs w:val="20"/>
        </w:rPr>
        <w:t>ent health care settings, basic</w:t>
      </w:r>
      <w:r w:rsidR="0026751F" w:rsidRPr="00693035">
        <w:rPr>
          <w:rFonts w:cstheme="minorHAnsi"/>
          <w:sz w:val="20"/>
          <w:szCs w:val="20"/>
        </w:rPr>
        <w:t xml:space="preserve"> patient </w:t>
      </w:r>
      <w:r w:rsidR="008573CA" w:rsidRPr="00693035">
        <w:rPr>
          <w:rFonts w:cstheme="minorHAnsi"/>
          <w:sz w:val="20"/>
          <w:szCs w:val="20"/>
        </w:rPr>
        <w:t>demographic information, and an</w:t>
      </w:r>
      <w:r w:rsidR="00852770" w:rsidRPr="00693035">
        <w:rPr>
          <w:rFonts w:cstheme="minorHAnsi"/>
          <w:sz w:val="20"/>
          <w:szCs w:val="20"/>
        </w:rPr>
        <w:t xml:space="preserve"> understanding of current</w:t>
      </w:r>
      <w:r w:rsidR="007941CD" w:rsidRPr="00693035">
        <w:rPr>
          <w:rFonts w:cstheme="minorHAnsi"/>
          <w:sz w:val="20"/>
          <w:szCs w:val="20"/>
        </w:rPr>
        <w:t xml:space="preserve"> case</w:t>
      </w:r>
      <w:r w:rsidR="00852770" w:rsidRPr="00693035">
        <w:rPr>
          <w:rFonts w:cstheme="minorHAnsi"/>
          <w:sz w:val="20"/>
          <w:szCs w:val="20"/>
        </w:rPr>
        <w:t xml:space="preserve"> management strategies by health care professionals.</w:t>
      </w:r>
    </w:p>
    <w:p w14:paraId="27267688" w14:textId="148670E7" w:rsidR="00322BBD" w:rsidRPr="00693035" w:rsidRDefault="001B233B" w:rsidP="00693035">
      <w:pPr>
        <w:spacing w:line="480" w:lineRule="auto"/>
        <w:jc w:val="both"/>
        <w:rPr>
          <w:rFonts w:cstheme="minorHAnsi"/>
          <w:sz w:val="20"/>
          <w:szCs w:val="20"/>
        </w:rPr>
      </w:pPr>
      <w:r w:rsidRPr="00693035">
        <w:rPr>
          <w:rFonts w:cstheme="minorHAnsi"/>
          <w:sz w:val="20"/>
          <w:szCs w:val="20"/>
        </w:rPr>
        <w:t>As notification</w:t>
      </w:r>
      <w:r w:rsidR="00E15E98" w:rsidRPr="00693035">
        <w:rPr>
          <w:rFonts w:cstheme="minorHAnsi"/>
          <w:sz w:val="20"/>
          <w:szCs w:val="20"/>
        </w:rPr>
        <w:t xml:space="preserve"> of clinical cases </w:t>
      </w:r>
      <w:r w:rsidR="00A37EDC" w:rsidRPr="00693035">
        <w:rPr>
          <w:rFonts w:cstheme="minorHAnsi"/>
          <w:sz w:val="20"/>
          <w:szCs w:val="20"/>
        </w:rPr>
        <w:t xml:space="preserve">is not </w:t>
      </w:r>
      <w:r w:rsidR="00E15E98" w:rsidRPr="00693035">
        <w:rPr>
          <w:rFonts w:cstheme="minorHAnsi"/>
          <w:sz w:val="20"/>
          <w:szCs w:val="20"/>
        </w:rPr>
        <w:t>required,</w:t>
      </w:r>
      <w:r w:rsidRPr="00693035">
        <w:rPr>
          <w:rFonts w:cstheme="minorHAnsi"/>
          <w:sz w:val="20"/>
          <w:szCs w:val="20"/>
        </w:rPr>
        <w:t xml:space="preserve"> national incide</w:t>
      </w:r>
      <w:r w:rsidR="00A078A2">
        <w:rPr>
          <w:rFonts w:cstheme="minorHAnsi"/>
          <w:sz w:val="20"/>
          <w:szCs w:val="20"/>
        </w:rPr>
        <w:t>nce figures in the UK are based</w:t>
      </w:r>
      <w:r w:rsidRPr="00693035">
        <w:rPr>
          <w:rFonts w:cstheme="minorHAnsi"/>
          <w:sz w:val="20"/>
          <w:szCs w:val="20"/>
        </w:rPr>
        <w:t xml:space="preserve"> </w:t>
      </w:r>
      <w:r w:rsidR="00B31162" w:rsidRPr="00693035">
        <w:rPr>
          <w:rFonts w:cstheme="minorHAnsi"/>
          <w:sz w:val="20"/>
          <w:szCs w:val="20"/>
        </w:rPr>
        <w:t xml:space="preserve">on </w:t>
      </w:r>
      <w:r w:rsidR="00EC5B47" w:rsidRPr="00693035">
        <w:rPr>
          <w:rFonts w:cstheme="minorHAnsi"/>
          <w:sz w:val="20"/>
          <w:szCs w:val="20"/>
        </w:rPr>
        <w:t>reports of laboratory confirmed cases from the reference laboratories of Public Health England and Health Protection Scotland</w:t>
      </w:r>
      <w:r w:rsidR="00164185" w:rsidRPr="00693035">
        <w:rPr>
          <w:rFonts w:cstheme="minorHAnsi"/>
          <w:sz w:val="20"/>
          <w:szCs w:val="20"/>
        </w:rPr>
        <w:t xml:space="preserve"> </w:t>
      </w:r>
      <w:r w:rsidR="00EC5B47" w:rsidRPr="00693035">
        <w:rPr>
          <w:rFonts w:cstheme="minorHAnsi"/>
          <w:sz w:val="20"/>
          <w:szCs w:val="20"/>
        </w:rPr>
        <w:fldChar w:fldCharType="begin" w:fldLock="1"/>
      </w:r>
      <w:r w:rsidR="006A4A4F">
        <w:rPr>
          <w:rFonts w:cstheme="minorHAnsi"/>
          <w:sz w:val="20"/>
          <w:szCs w:val="20"/>
        </w:rPr>
        <w:instrText>ADDIN CSL_CITATION {"citationItems":[{"id":"ITEM-1","itemData":{"URL":"https://www.gov.uk/government/publications/zoonoses-uk-annual-reports","accessed":{"date-parts":[["2017","11","3"]]},"author":[{"dropping-particle":"","family":"Public Health England","given":"","non-dropping-particle":"","parse-names":false,"suffix":""}],"id":"ITEM-1","issued":{"date-parts":[["2017"]]},"title":"Zoonoses: UK annual reports","type":"webpage"},"uris":["http://www.mendeley.com/documents/?uuid=bed4d186-34ed-46c8-a948-bab86db66acb"]},{"id":"ITEM-2","itemData":{"id":"ITEM-2","issued":{"date-parts":[["0"]]},"page":"http://www.hps.scot.nhs.uk/giz/lymedisease.aspx","title":"Health Protection Scotland - Lyme disease","type":"webpage"},"uris":["http://www.mendeley.com/documents/?uuid=0581f993-1eb0-4eaf-af92-820b28a979ef"]}],"mendeley":{"formattedCitation":"(8,9)","plainTextFormattedCitation":"(8,9)","previouslyFormattedCitation":"(8,9)"},"properties":{"noteIndex":0},"schema":"https://github.com/citation-style-language/schema/raw/master/csl-citation.json"}</w:instrText>
      </w:r>
      <w:r w:rsidR="00EC5B47" w:rsidRPr="00693035">
        <w:rPr>
          <w:rFonts w:cstheme="minorHAnsi"/>
          <w:sz w:val="20"/>
          <w:szCs w:val="20"/>
        </w:rPr>
        <w:fldChar w:fldCharType="separate"/>
      </w:r>
      <w:r w:rsidR="006A4A4F" w:rsidRPr="006A4A4F">
        <w:rPr>
          <w:rFonts w:cstheme="minorHAnsi"/>
          <w:noProof/>
          <w:sz w:val="20"/>
          <w:szCs w:val="20"/>
        </w:rPr>
        <w:t>(8,9)</w:t>
      </w:r>
      <w:r w:rsidR="00EC5B47" w:rsidRPr="00693035">
        <w:rPr>
          <w:rFonts w:cstheme="minorHAnsi"/>
          <w:sz w:val="20"/>
          <w:szCs w:val="20"/>
        </w:rPr>
        <w:fldChar w:fldCharType="end"/>
      </w:r>
      <w:r w:rsidR="00164185" w:rsidRPr="00693035">
        <w:rPr>
          <w:rFonts w:cstheme="minorHAnsi"/>
          <w:sz w:val="20"/>
          <w:szCs w:val="20"/>
        </w:rPr>
        <w:t>.</w:t>
      </w:r>
      <w:r w:rsidR="00EC5B47" w:rsidRPr="00693035">
        <w:rPr>
          <w:rFonts w:cstheme="minorHAnsi"/>
          <w:sz w:val="20"/>
          <w:szCs w:val="20"/>
        </w:rPr>
        <w:t xml:space="preserve"> In 201</w:t>
      </w:r>
      <w:r w:rsidR="000E014A" w:rsidRPr="00693035">
        <w:rPr>
          <w:rFonts w:cstheme="minorHAnsi"/>
          <w:sz w:val="20"/>
          <w:szCs w:val="20"/>
        </w:rPr>
        <w:t>6</w:t>
      </w:r>
      <w:r w:rsidR="00EC5B47" w:rsidRPr="00693035">
        <w:rPr>
          <w:rFonts w:cstheme="minorHAnsi"/>
          <w:sz w:val="20"/>
          <w:szCs w:val="20"/>
        </w:rPr>
        <w:t xml:space="preserve">, the national incidence </w:t>
      </w:r>
      <w:r w:rsidR="00B31162" w:rsidRPr="00693035">
        <w:rPr>
          <w:rFonts w:cstheme="minorHAnsi"/>
          <w:sz w:val="20"/>
          <w:szCs w:val="20"/>
        </w:rPr>
        <w:t xml:space="preserve">was </w:t>
      </w:r>
      <w:r w:rsidR="00EC5B47" w:rsidRPr="00693035">
        <w:rPr>
          <w:rFonts w:cstheme="minorHAnsi"/>
          <w:sz w:val="20"/>
          <w:szCs w:val="20"/>
        </w:rPr>
        <w:t>1</w:t>
      </w:r>
      <w:r w:rsidR="00567921" w:rsidRPr="00693035">
        <w:rPr>
          <w:rFonts w:cstheme="minorHAnsi"/>
          <w:sz w:val="20"/>
          <w:szCs w:val="20"/>
        </w:rPr>
        <w:t>.</w:t>
      </w:r>
      <w:r w:rsidR="000E014A" w:rsidRPr="00693035">
        <w:rPr>
          <w:rFonts w:cstheme="minorHAnsi"/>
          <w:sz w:val="20"/>
          <w:szCs w:val="20"/>
        </w:rPr>
        <w:t>95</w:t>
      </w:r>
      <w:r w:rsidR="00C16828" w:rsidRPr="00693035">
        <w:rPr>
          <w:rFonts w:cstheme="minorHAnsi"/>
          <w:sz w:val="20"/>
          <w:szCs w:val="20"/>
        </w:rPr>
        <w:t xml:space="preserve"> cases per 100 </w:t>
      </w:r>
      <w:r w:rsidR="00EC5B47" w:rsidRPr="00693035">
        <w:rPr>
          <w:rFonts w:cstheme="minorHAnsi"/>
          <w:sz w:val="20"/>
          <w:szCs w:val="20"/>
        </w:rPr>
        <w:t>000 population in England and Wales, and 3</w:t>
      </w:r>
      <w:r w:rsidR="00567921" w:rsidRPr="00693035">
        <w:rPr>
          <w:rFonts w:cstheme="minorHAnsi"/>
          <w:sz w:val="20"/>
          <w:szCs w:val="20"/>
        </w:rPr>
        <w:t>.</w:t>
      </w:r>
      <w:r w:rsidR="000E014A" w:rsidRPr="00693035">
        <w:rPr>
          <w:rFonts w:cstheme="minorHAnsi"/>
          <w:sz w:val="20"/>
          <w:szCs w:val="20"/>
        </w:rPr>
        <w:t>15</w:t>
      </w:r>
      <w:r w:rsidR="00EC5B47" w:rsidRPr="00693035">
        <w:rPr>
          <w:rFonts w:cstheme="minorHAnsi"/>
          <w:sz w:val="20"/>
          <w:szCs w:val="20"/>
        </w:rPr>
        <w:t xml:space="preserve"> cases per 100 000 in Scotland. Over the last decade</w:t>
      </w:r>
      <w:r w:rsidR="007941CD" w:rsidRPr="00693035">
        <w:rPr>
          <w:rFonts w:cstheme="minorHAnsi"/>
          <w:sz w:val="20"/>
          <w:szCs w:val="20"/>
        </w:rPr>
        <w:t>,</w:t>
      </w:r>
      <w:r w:rsidR="00EC5B47" w:rsidRPr="00693035">
        <w:rPr>
          <w:rFonts w:cstheme="minorHAnsi"/>
          <w:sz w:val="20"/>
          <w:szCs w:val="20"/>
        </w:rPr>
        <w:t xml:space="preserve"> cases in England appear to be rising, whilst the incidence in Sc</w:t>
      </w:r>
      <w:r w:rsidR="00875AF1" w:rsidRPr="00693035">
        <w:rPr>
          <w:rFonts w:cstheme="minorHAnsi"/>
          <w:sz w:val="20"/>
          <w:szCs w:val="20"/>
        </w:rPr>
        <w:t>otland is reported to be sta</w:t>
      </w:r>
      <w:r w:rsidR="00164185" w:rsidRPr="00693035">
        <w:rPr>
          <w:rFonts w:cstheme="minorHAnsi"/>
          <w:sz w:val="20"/>
          <w:szCs w:val="20"/>
        </w:rPr>
        <w:t xml:space="preserve">ble </w:t>
      </w:r>
      <w:r w:rsidR="00EC5B47" w:rsidRPr="00693035">
        <w:rPr>
          <w:rFonts w:cstheme="minorHAnsi"/>
          <w:sz w:val="20"/>
          <w:szCs w:val="20"/>
        </w:rPr>
        <w:fldChar w:fldCharType="begin" w:fldLock="1"/>
      </w:r>
      <w:r w:rsidR="006C64E3">
        <w:rPr>
          <w:rFonts w:cstheme="minorHAnsi"/>
          <w:sz w:val="20"/>
          <w:szCs w:val="20"/>
        </w:rPr>
        <w:instrText>ADDIN CSL_CITATION {"citationItems":[{"id":"ITEM-1","itemData":{"URL":"https://www.gov.uk/government/publications/zoonoses-uk-annual-reports","accessed":{"date-parts":[["2017","11","3"]]},"author":[{"dropping-particle":"","family":"Public Health England","given":"","non-dropping-particle":"","parse-names":false,"suffix":""}],"id":"ITEM-1","issued":{"date-parts":[["2017"]]},"title":"Zoonoses: UK annual reports","type":"webpage"},"uris":["http://www.mendeley.com/documents/?uuid=bed4d186-34ed-46c8-a948-bab86db66acb"]},{"id":"ITEM-2","itemData":{"author":[{"dropping-particle":"","family":"Mavin","given":"S","non-dropping-particle":"","parse-names":false,"suffix":""},{"dropping-particle":"","family":"Evans","given":"R","non-dropping-particle":"","parse-names":false,"suffix":""}],"id":"ITEM-2","issue":"January 2008","issued":{"date-parts":[["2015"]]},"page":"196-200","title":"clinical Distribution and presentation of Lyme borreliosis in Scotland – analysis of data from a national testing laboratory","type":"article-journal"},"uris":["http://www.mendeley.com/documents/?uuid=b50e2580-ae06-4a82-9ef5-ebfb7363d0a7"]},{"id":"ITEM-3","itemData":{"id":"ITEM-3","issued":{"date-parts":[["0"]]},"page":"http://www.hps.scot.nhs.uk/giz/lymedisease.aspx","title":"Health Protection Scotland - Lyme disease","type":"webpage"},"uris":["http://www.mendeley.com/documents/?uuid=0581f993-1eb0-4eaf-af92-820b28a979ef"]},{"id":"ITEM-4","itemData":{"author":[{"dropping-particle":"","family":"Tulloch","given":"J. S. P.","non-dropping-particle":"","parse-names":false,"suffix":""},{"dropping-particle":"","family":"Semper","given":"A","non-dropping-particle":"","parse-names":false,"suffix":""},{"dropping-particle":"","family":"Brooks","given":"T","non-dropping-particle":"","parse-names":false,"suffix":""},{"dropping-particle":"","family":"Russell","given":"K","non-dropping-particle":"","parse-names":false,"suffix":""},{"dropping-particle":"","family":"Halsby","given":"K","non-dropping-particle":"","parse-names":false,"suffix":""},{"dropping-particle":"","family":"Christley","given":"R","non-dropping-particle":"","parse-names":false,"suffix":""},{"dropping-particle":"","family":"Radford","given":"A","non-dropping-particle":"","parse-names":false,"suffix":""},{"dropping-particle":"","family":"Vivancos","given":"R","non-dropping-particle":"","parse-names":false,"suffix":""},{"dropping-particle":"","family":"Warner","given":"J","non-dropping-particle":"","parse-names":false,"suffix":""}],"container-title":"BMJ Open","id":"ITEM-4","issued":{"date-parts":[["2019"]]},"title":"The demographics and geographic distribution of laboratory-confirmed Lyme disease cases in England and Wales (2013-2016): an ecological study","type":"article-journal"},"uris":["http://www.mendeley.com/documents/?uuid=e4a3e3e9-ceb1-41a8-ae79-31e73bc578a3"]}],"mendeley":{"formattedCitation":"(8–11)","plainTextFormattedCitation":"(8–11)","previouslyFormattedCitation":"(8–11)"},"properties":{"noteIndex":0},"schema":"https://github.com/citation-style-language/schema/raw/master/csl-citation.json"}</w:instrText>
      </w:r>
      <w:r w:rsidR="00EC5B47" w:rsidRPr="00693035">
        <w:rPr>
          <w:rFonts w:cstheme="minorHAnsi"/>
          <w:sz w:val="20"/>
          <w:szCs w:val="20"/>
        </w:rPr>
        <w:fldChar w:fldCharType="separate"/>
      </w:r>
      <w:r w:rsidR="006A4A4F" w:rsidRPr="006A4A4F">
        <w:rPr>
          <w:rFonts w:cstheme="minorHAnsi"/>
          <w:noProof/>
          <w:sz w:val="20"/>
          <w:szCs w:val="20"/>
        </w:rPr>
        <w:t>(8–11)</w:t>
      </w:r>
      <w:r w:rsidR="00EC5B47" w:rsidRPr="00693035">
        <w:rPr>
          <w:rFonts w:cstheme="minorHAnsi"/>
          <w:sz w:val="20"/>
          <w:szCs w:val="20"/>
        </w:rPr>
        <w:fldChar w:fldCharType="end"/>
      </w:r>
      <w:r w:rsidR="00164185" w:rsidRPr="00693035">
        <w:rPr>
          <w:rFonts w:cstheme="minorHAnsi"/>
          <w:sz w:val="20"/>
          <w:szCs w:val="20"/>
        </w:rPr>
        <w:t>.</w:t>
      </w:r>
      <w:r w:rsidR="00EC5B47" w:rsidRPr="00693035">
        <w:rPr>
          <w:rFonts w:cstheme="minorHAnsi"/>
          <w:sz w:val="20"/>
          <w:szCs w:val="20"/>
        </w:rPr>
        <w:t xml:space="preserve"> A 2016 review compared reported incidence across Western Europe and calculated a population-weighted average incidence rate of 22</w:t>
      </w:r>
      <w:r w:rsidR="00567921" w:rsidRPr="00693035">
        <w:rPr>
          <w:rFonts w:cstheme="minorHAnsi"/>
          <w:sz w:val="20"/>
          <w:szCs w:val="20"/>
        </w:rPr>
        <w:t>.</w:t>
      </w:r>
      <w:r w:rsidR="00EC5B47" w:rsidRPr="00693035">
        <w:rPr>
          <w:rFonts w:cstheme="minorHAnsi"/>
          <w:sz w:val="20"/>
          <w:szCs w:val="20"/>
        </w:rPr>
        <w:t>05</w:t>
      </w:r>
      <w:r w:rsidR="00875AF1" w:rsidRPr="00693035">
        <w:rPr>
          <w:rFonts w:cstheme="minorHAnsi"/>
          <w:sz w:val="20"/>
          <w:szCs w:val="20"/>
        </w:rPr>
        <w:t xml:space="preserve"> cases </w:t>
      </w:r>
      <w:r w:rsidR="00164185" w:rsidRPr="00693035">
        <w:rPr>
          <w:rFonts w:cstheme="minorHAnsi"/>
          <w:sz w:val="20"/>
          <w:szCs w:val="20"/>
        </w:rPr>
        <w:t xml:space="preserve">per 100 000 person-years </w:t>
      </w:r>
      <w:r w:rsidR="00EC5B47" w:rsidRPr="00693035">
        <w:rPr>
          <w:rFonts w:cstheme="minorHAnsi"/>
          <w:sz w:val="20"/>
          <w:szCs w:val="20"/>
        </w:rPr>
        <w:fldChar w:fldCharType="begin" w:fldLock="1"/>
      </w:r>
      <w:r w:rsidR="006A4A4F">
        <w:rPr>
          <w:rFonts w:cstheme="minorHAnsi"/>
          <w:sz w:val="20"/>
          <w:szCs w:val="20"/>
        </w:rPr>
        <w:instrText>ADDIN CSL_CITATION {"citationItems":[{"id":"ITEM-1","itemData":{"DOI":"10.2218/resmedica.v22i1.743","ISSN":"2051-7580","abstract":"Background: Lyme borreliosis (LB) is the most common zoonotic disease transmitted by ticks in the USA and Europe. This review aims to estimate the regional burden of LB in Western Europe. Data from previous publications were used to calculate the mean incidence. The mean incidence rates were then combined to estimate the regional burden and a population-weighted regional burden of disease based on the standardized incidence from the included studies and the total population at risk. Methods: Reviews and surveillance reports identified by the initial database search were first assessed for eligibility by their title and abstract, and subsequently by a more detailed review of the source for the most recent data regarding LB. 11 sources of incidence data were included in the review, representing 17 countries in total. Incidence estimates were calculated from reported values and population data. Results: Countries in Western Europe have a large variance in the incidence rates. The highest reported incidences for LB were reported in southern Sweden with 464 per 100 000 and the lowest in Italy of 0.001 per 100 000. The unweighted mean for the included data provided an incidence of 56.3 per 100 000 persons per year, equating to approximately 232 125 cases in one year throughout the region. The calculated population-weighted average incidence for the regional burden of LB in Western Europe was 22.05 cases per 100 000 person-years. Conclusions: LB is an emerging disease and the most common zoonotic infection in Western Europe approaching endemic proportions in many European countries. The population-weighted incidence has been estimated by this study to be 22.04 per 100 000 person-years. Concordant and well-conducted surveillance and disease awareness should continue to be encouraged to monitor LB as tick numbers and activity increases.","author":[{"dropping-particle":"","family":"Sykes","given":"Robert Alexander;","non-dropping-particle":"","parse-names":false,"suffix":""},{"dropping-particle":"","family":"Makiello","given":"Phoebe","non-dropping-particle":"","parse-names":false,"suffix":""}],"container-title":"Journal of Public Health","id":"ITEM-1","issued":{"date-parts":[["2016"]]},"page":"1-8","title":"An Estimate of Lyme Borreliosis Incidence in Western Europe","type":"article-journal"},"uris":["http://www.mendeley.com/documents/?uuid=3faa1a96-35c5-428a-8fbf-fc0995189404"]}],"mendeley":{"formattedCitation":"(12)","plainTextFormattedCitation":"(12)","previouslyFormattedCitation":"(12)"},"properties":{"noteIndex":0},"schema":"https://github.com/citation-style-language/schema/raw/master/csl-citation.json"}</w:instrText>
      </w:r>
      <w:r w:rsidR="00EC5B47" w:rsidRPr="00693035">
        <w:rPr>
          <w:rFonts w:cstheme="minorHAnsi"/>
          <w:sz w:val="20"/>
          <w:szCs w:val="20"/>
        </w:rPr>
        <w:fldChar w:fldCharType="separate"/>
      </w:r>
      <w:r w:rsidR="006A4A4F" w:rsidRPr="006A4A4F">
        <w:rPr>
          <w:rFonts w:cstheme="minorHAnsi"/>
          <w:noProof/>
          <w:sz w:val="20"/>
          <w:szCs w:val="20"/>
        </w:rPr>
        <w:t>(12)</w:t>
      </w:r>
      <w:r w:rsidR="00EC5B47" w:rsidRPr="00693035">
        <w:rPr>
          <w:rFonts w:cstheme="minorHAnsi"/>
          <w:sz w:val="20"/>
          <w:szCs w:val="20"/>
        </w:rPr>
        <w:fldChar w:fldCharType="end"/>
      </w:r>
      <w:r w:rsidR="00164185" w:rsidRPr="00693035">
        <w:rPr>
          <w:rFonts w:cstheme="minorHAnsi"/>
          <w:sz w:val="20"/>
          <w:szCs w:val="20"/>
        </w:rPr>
        <w:t>.</w:t>
      </w:r>
      <w:r w:rsidR="00EC5B47" w:rsidRPr="00693035">
        <w:rPr>
          <w:rFonts w:cstheme="minorHAnsi"/>
          <w:sz w:val="20"/>
          <w:szCs w:val="20"/>
        </w:rPr>
        <w:t xml:space="preserve"> </w:t>
      </w:r>
      <w:r w:rsidR="00C878B4" w:rsidRPr="00693035">
        <w:rPr>
          <w:rFonts w:cstheme="minorHAnsi"/>
          <w:sz w:val="20"/>
          <w:szCs w:val="20"/>
        </w:rPr>
        <w:t xml:space="preserve">In </w:t>
      </w:r>
      <w:r w:rsidR="007941CD" w:rsidRPr="00693035">
        <w:rPr>
          <w:rFonts w:cstheme="minorHAnsi"/>
          <w:sz w:val="20"/>
          <w:szCs w:val="20"/>
        </w:rPr>
        <w:t>the United States of America, a study of the</w:t>
      </w:r>
      <w:r w:rsidR="00C878B4" w:rsidRPr="00693035">
        <w:rPr>
          <w:rFonts w:cstheme="minorHAnsi"/>
          <w:sz w:val="20"/>
          <w:szCs w:val="20"/>
        </w:rPr>
        <w:t xml:space="preserve"> incidence of clinician-diagnosed Lyme disease calculated an annual incidence o</w:t>
      </w:r>
      <w:r w:rsidR="00A736E6" w:rsidRPr="00693035">
        <w:rPr>
          <w:rFonts w:cstheme="minorHAnsi"/>
          <w:sz w:val="20"/>
          <w:szCs w:val="20"/>
        </w:rPr>
        <w:t>f 106</w:t>
      </w:r>
      <w:r w:rsidR="00567921" w:rsidRPr="00693035">
        <w:rPr>
          <w:rFonts w:cstheme="minorHAnsi"/>
          <w:sz w:val="20"/>
          <w:szCs w:val="20"/>
        </w:rPr>
        <w:t>.</w:t>
      </w:r>
      <w:r w:rsidR="00875AF1" w:rsidRPr="00693035">
        <w:rPr>
          <w:rFonts w:cstheme="minorHAnsi"/>
          <w:sz w:val="20"/>
          <w:szCs w:val="20"/>
        </w:rPr>
        <w:t xml:space="preserve">6 cases </w:t>
      </w:r>
      <w:r w:rsidR="00C16828" w:rsidRPr="00693035">
        <w:rPr>
          <w:rFonts w:cstheme="minorHAnsi"/>
          <w:sz w:val="20"/>
          <w:szCs w:val="20"/>
        </w:rPr>
        <w:t>per</w:t>
      </w:r>
      <w:r w:rsidR="00875AF1" w:rsidRPr="00693035">
        <w:rPr>
          <w:rFonts w:cstheme="minorHAnsi"/>
          <w:sz w:val="20"/>
          <w:szCs w:val="20"/>
        </w:rPr>
        <w:t xml:space="preserve"> 100 000 persons</w:t>
      </w:r>
      <w:r w:rsidR="00164185" w:rsidRPr="00693035">
        <w:rPr>
          <w:rFonts w:cstheme="minorHAnsi"/>
          <w:sz w:val="20"/>
          <w:szCs w:val="20"/>
        </w:rPr>
        <w:t xml:space="preserve"> </w:t>
      </w:r>
      <w:r w:rsidR="00C878B4" w:rsidRPr="00693035">
        <w:rPr>
          <w:rFonts w:cstheme="minorHAnsi"/>
          <w:sz w:val="20"/>
          <w:szCs w:val="20"/>
        </w:rPr>
        <w:fldChar w:fldCharType="begin" w:fldLock="1"/>
      </w:r>
      <w:r w:rsidR="006A4A4F">
        <w:rPr>
          <w:rFonts w:cstheme="minorHAnsi"/>
          <w:sz w:val="20"/>
          <w:szCs w:val="20"/>
        </w:rPr>
        <w:instrText>ADDIN CSL_CITATION {"citationItems":[{"id":"ITEM-1","itemData":{"author":[{"dropping-particle":"","family":"States","given":"United","non-dropping-particle":"","parse-names":false,"suffix":""},{"dropping-particle":"","family":"Nelson","given":"Christina A","non-dropping-particle":"","parse-names":false,"suffix":""},{"dropping-particle":"","family":"Saha","given":"Shubhayu","non-dropping-particle":"","parse-names":false,"suffix":""},{"dropping-particle":"","family":"Kugeler","given":"Kiersten J","non-dropping-particle":"","parse-names":false,"suffix":""},{"dropping-particle":"","family":"Delorey","given":"Mark J","non-dropping-particle":"","parse-names":false,"suffix":""},{"dropping-particle":"","family":"Shankar","given":"Manjunath B","non-dropping-particle":"","parse-names":false,"suffix":""},{"dropping-particle":"","family":"Hinckley","given":"Alison F","non-dropping-particle":"","parse-names":false,"suffix":""},{"dropping-particle":"","family":"Mead","given":"Paul S","non-dropping-particle":"","parse-names":false,"suffix":""}],"id":"ITEM-1","issue":"9","issued":{"date-parts":[["2015"]]},"page":"2005-2010","title":"Incidence of Clinician-Diagnosed Lyme Disease ,","type":"article-journal","volume":"21"},"uris":["http://www.mendeley.com/documents/?uuid=f36ff322-e815-44f0-b2ce-3ef98ff2a77c"]}],"mendeley":{"formattedCitation":"(13)","plainTextFormattedCitation":"(13)","previouslyFormattedCitation":"(13)"},"properties":{"noteIndex":0},"schema":"https://github.com/citation-style-language/schema/raw/master/csl-citation.json"}</w:instrText>
      </w:r>
      <w:r w:rsidR="00C878B4" w:rsidRPr="00693035">
        <w:rPr>
          <w:rFonts w:cstheme="minorHAnsi"/>
          <w:sz w:val="20"/>
          <w:szCs w:val="20"/>
        </w:rPr>
        <w:fldChar w:fldCharType="separate"/>
      </w:r>
      <w:r w:rsidR="006A4A4F" w:rsidRPr="006A4A4F">
        <w:rPr>
          <w:rFonts w:cstheme="minorHAnsi"/>
          <w:noProof/>
          <w:sz w:val="20"/>
          <w:szCs w:val="20"/>
        </w:rPr>
        <w:t>(13)</w:t>
      </w:r>
      <w:r w:rsidR="00C878B4" w:rsidRPr="00693035">
        <w:rPr>
          <w:rFonts w:cstheme="minorHAnsi"/>
          <w:sz w:val="20"/>
          <w:szCs w:val="20"/>
        </w:rPr>
        <w:fldChar w:fldCharType="end"/>
      </w:r>
      <w:r w:rsidR="00164185" w:rsidRPr="00693035">
        <w:rPr>
          <w:rFonts w:cstheme="minorHAnsi"/>
          <w:sz w:val="20"/>
          <w:szCs w:val="20"/>
        </w:rPr>
        <w:t>.</w:t>
      </w:r>
      <w:r w:rsidR="002C0AF4" w:rsidRPr="00693035">
        <w:rPr>
          <w:rFonts w:cstheme="minorHAnsi"/>
          <w:sz w:val="20"/>
          <w:szCs w:val="20"/>
        </w:rPr>
        <w:t xml:space="preserve"> These differenc</w:t>
      </w:r>
      <w:r w:rsidR="007941CD" w:rsidRPr="00693035">
        <w:rPr>
          <w:rFonts w:cstheme="minorHAnsi"/>
          <w:sz w:val="20"/>
          <w:szCs w:val="20"/>
        </w:rPr>
        <w:t xml:space="preserve">es in incidence are likely due to </w:t>
      </w:r>
      <w:r w:rsidR="006A5445" w:rsidRPr="00693035">
        <w:rPr>
          <w:rFonts w:cstheme="minorHAnsi"/>
          <w:sz w:val="20"/>
          <w:szCs w:val="20"/>
        </w:rPr>
        <w:t xml:space="preserve">a combination of </w:t>
      </w:r>
      <w:r w:rsidR="007941CD" w:rsidRPr="00693035">
        <w:rPr>
          <w:rFonts w:cstheme="minorHAnsi"/>
          <w:sz w:val="20"/>
          <w:szCs w:val="20"/>
        </w:rPr>
        <w:t>differing</w:t>
      </w:r>
      <w:r w:rsidR="002C0AF4" w:rsidRPr="00693035">
        <w:rPr>
          <w:rFonts w:cstheme="minorHAnsi"/>
          <w:sz w:val="20"/>
          <w:szCs w:val="20"/>
        </w:rPr>
        <w:t xml:space="preserve"> surveillance methods and differences in </w:t>
      </w:r>
      <w:r w:rsidR="00E15E98" w:rsidRPr="00693035">
        <w:rPr>
          <w:rFonts w:cstheme="minorHAnsi"/>
          <w:sz w:val="20"/>
          <w:szCs w:val="20"/>
        </w:rPr>
        <w:t xml:space="preserve">true </w:t>
      </w:r>
      <w:r w:rsidR="002C0AF4" w:rsidRPr="00693035">
        <w:rPr>
          <w:rFonts w:cstheme="minorHAnsi"/>
          <w:sz w:val="20"/>
          <w:szCs w:val="20"/>
        </w:rPr>
        <w:t xml:space="preserve">incidence. </w:t>
      </w:r>
      <w:r w:rsidR="00322BBD" w:rsidRPr="00693035">
        <w:rPr>
          <w:rFonts w:cstheme="minorHAnsi"/>
          <w:sz w:val="20"/>
          <w:szCs w:val="20"/>
        </w:rPr>
        <w:t xml:space="preserve">Without a comprehensive surveillance system and an internationally </w:t>
      </w:r>
      <w:r w:rsidR="00C549D3" w:rsidRPr="00693035">
        <w:rPr>
          <w:rFonts w:cstheme="minorHAnsi"/>
          <w:sz w:val="20"/>
          <w:szCs w:val="20"/>
        </w:rPr>
        <w:t>standardis</w:t>
      </w:r>
      <w:r w:rsidR="00322BBD" w:rsidRPr="00693035">
        <w:rPr>
          <w:rFonts w:cstheme="minorHAnsi"/>
          <w:sz w:val="20"/>
          <w:szCs w:val="20"/>
        </w:rPr>
        <w:t>ed case definition</w:t>
      </w:r>
      <w:r w:rsidR="009F324F" w:rsidRPr="00693035">
        <w:rPr>
          <w:rFonts w:cstheme="minorHAnsi"/>
          <w:sz w:val="20"/>
          <w:szCs w:val="20"/>
        </w:rPr>
        <w:t>,</w:t>
      </w:r>
      <w:r w:rsidR="00322BBD" w:rsidRPr="00693035">
        <w:rPr>
          <w:rFonts w:cstheme="minorHAnsi"/>
          <w:sz w:val="20"/>
          <w:szCs w:val="20"/>
        </w:rPr>
        <w:t xml:space="preserve"> </w:t>
      </w:r>
      <w:r w:rsidR="00C549D3" w:rsidRPr="00693035">
        <w:rPr>
          <w:rFonts w:cstheme="minorHAnsi"/>
          <w:sz w:val="20"/>
          <w:szCs w:val="20"/>
        </w:rPr>
        <w:t>comparisons between nations proves challenging.</w:t>
      </w:r>
      <w:r w:rsidR="00322BBD" w:rsidRPr="00693035">
        <w:rPr>
          <w:rFonts w:cstheme="minorHAnsi"/>
          <w:sz w:val="20"/>
          <w:szCs w:val="20"/>
        </w:rPr>
        <w:t xml:space="preserve"> </w:t>
      </w:r>
    </w:p>
    <w:p w14:paraId="099E0B2A" w14:textId="5FC31F48" w:rsidR="00C06727" w:rsidRPr="00693035" w:rsidRDefault="00AF394C" w:rsidP="00693035">
      <w:pPr>
        <w:spacing w:line="480" w:lineRule="auto"/>
        <w:jc w:val="both"/>
        <w:rPr>
          <w:rFonts w:cstheme="minorHAnsi"/>
          <w:sz w:val="20"/>
          <w:szCs w:val="20"/>
        </w:rPr>
      </w:pPr>
      <w:r w:rsidRPr="00693035">
        <w:rPr>
          <w:rFonts w:cstheme="minorHAnsi"/>
          <w:sz w:val="20"/>
          <w:szCs w:val="20"/>
        </w:rPr>
        <w:t>W</w:t>
      </w:r>
      <w:r w:rsidR="002C0AF4" w:rsidRPr="00693035">
        <w:rPr>
          <w:rFonts w:cstheme="minorHAnsi"/>
          <w:sz w:val="20"/>
          <w:szCs w:val="20"/>
        </w:rPr>
        <w:t xml:space="preserve">ithin a health </w:t>
      </w:r>
      <w:r w:rsidR="00E2516C" w:rsidRPr="00693035">
        <w:rPr>
          <w:rFonts w:cstheme="minorHAnsi"/>
          <w:sz w:val="20"/>
          <w:szCs w:val="20"/>
        </w:rPr>
        <w:t xml:space="preserve">care </w:t>
      </w:r>
      <w:r w:rsidRPr="00693035">
        <w:rPr>
          <w:rFonts w:cstheme="minorHAnsi"/>
          <w:sz w:val="20"/>
          <w:szCs w:val="20"/>
        </w:rPr>
        <w:t xml:space="preserve">system, primary care </w:t>
      </w:r>
      <w:r w:rsidR="002C0AF4" w:rsidRPr="00693035">
        <w:rPr>
          <w:rFonts w:cstheme="minorHAnsi"/>
          <w:sz w:val="20"/>
          <w:szCs w:val="20"/>
        </w:rPr>
        <w:t>manages</w:t>
      </w:r>
      <w:r w:rsidR="00641618">
        <w:rPr>
          <w:rFonts w:cstheme="minorHAnsi"/>
          <w:sz w:val="20"/>
          <w:szCs w:val="20"/>
        </w:rPr>
        <w:t xml:space="preserve"> the greatest number of</w:t>
      </w:r>
      <w:r w:rsidR="002C0AF4" w:rsidRPr="00693035">
        <w:rPr>
          <w:rFonts w:cstheme="minorHAnsi"/>
          <w:sz w:val="20"/>
          <w:szCs w:val="20"/>
        </w:rPr>
        <w:t xml:space="preserve"> Lyme disease patients</w:t>
      </w:r>
      <w:r w:rsidR="00164185" w:rsidRPr="00693035">
        <w:rPr>
          <w:rFonts w:cstheme="minorHAnsi"/>
          <w:sz w:val="20"/>
          <w:szCs w:val="20"/>
        </w:rPr>
        <w:t xml:space="preserve"> </w:t>
      </w:r>
      <w:r w:rsidR="002C0AF4" w:rsidRPr="00693035">
        <w:rPr>
          <w:rFonts w:cstheme="minorHAnsi"/>
          <w:sz w:val="20"/>
          <w:szCs w:val="20"/>
        </w:rPr>
        <w:fldChar w:fldCharType="begin" w:fldLock="1"/>
      </w:r>
      <w:r w:rsidR="006A4A4F">
        <w:rPr>
          <w:rFonts w:cstheme="minorHAnsi"/>
          <w:sz w:val="20"/>
          <w:szCs w:val="20"/>
        </w:rPr>
        <w:instrText>ADDIN CSL_CITATION {"citationItems":[{"id":"ITEM-1","itemData":{"DOI":"10.2807/1560-7917.ES2014.19.34.20883","ISSN":"15607917","PMID":"25188613","abstract":"Lyme borreliosis (LB) has become a major concern recently, as trends in several epidemiological studies indicate that there has been an increase in this disease in Europe and America over the last decade. This work provides estimates of LB incidence and hospitalisation rates in France. LB data was obtained from the Sentinelles general practitioner surveillance network (2009–2012) and from the Programme de Médicalisation des Systèmes d’Information (PMSI) data processing centre for hospital discharges (2004–09). The yearly LB incidence rate averaged 42 per 100,000 inhabitants (95% confidence interval (CI): 37–48), ranging from 0 to 184 per 100,000 depending on the region. The annual hospitalisation rate due to LB averaged 1.55 per 100,000 inhabitants (95% CI: 1.42–1.70). Both rates peaked during the summer and fall and had a bimodal age distribution (5–10 years and 50–70 years). Healthcare providers should continue to invest attention to prompt recognition and early therapy for LB, whereas public health strategies should keep promoting use of repellent, daily checks for ticks and their prompt removal.","author":[{"dropping-particle":"","family":"Vandenesch","given":"A.","non-dropping-particle":"","parse-names":false,"suffix":""},{"dropping-particle":"","family":"Turbelin","given":"C.","non-dropping-particle":"","parse-names":false,"suffix":""},{"dropping-particle":"","family":"Couturier","given":"E.","non-dropping-particle":"","parse-names":false,"suffix":""},{"dropping-particle":"","family":"Arena","given":"C.","non-dropping-particle":"","parse-names":false,"suffix":""},{"dropping-particle":"","family":"Jaulhac","given":"B.","non-dropping-particle":"","parse-names":false,"suffix":""},{"dropping-particle":"","family":"Ferquel","given":"E.","non-dropping-particle":"","parse-names":false,"suffix":""},{"dropping-particle":"","family":"Choumet","given":"V.","non-dropping-particle":"","parse-names":false,"suffix":""},{"dropping-particle":"","family":"Saugeon","given":"C.","non-dropping-particle":"","parse-names":false,"suffix":""},{"dropping-particle":"","family":"Coffinieres","given":"E.","non-dropping-particle":"","parse-names":false,"suffix":""},{"dropping-particle":"","family":"Blanchon","given":"T.","non-dropping-particle":"","parse-names":false,"suffix":""},{"dropping-particle":"","family":"Vaillant","given":"V.","non-dropping-particle":"","parse-names":false,"suffix":""},{"dropping-particle":"","family":"Hanslik","given":"T.","non-dropping-particle":"","parse-names":false,"suffix":""}],"container-title":"Euro surveillance : bulletin Europ??en sur les maladies transmissibles = European communicable disease bulletin","id":"ITEM-1","issue":"34","issued":{"date-parts":[["2014"]]},"title":"Incidence and hospitalisation rates of Lyme borreliosis, France, 2004 to 2012","type":"article-journal","volume":"19"},"uris":["http://www.mendeley.com/documents/?uuid=369745cd-9a8d-4f41-b835-f48202372a48"]},{"id":"ITEM-2","itemData":{"DOI":"https://dx.doi.org/10.3201/eid2308.161273","ISBN":"0753-3322 (Print)\\r0753-3322 (Linking)","ISSN":"07533322","PMID":"2686770","abstract":"In 1986-1988 there were 123 patients with positive serology for Lyme borreliosis out of 4000 sera referred to the Department of Bacteriology and Immunology, University of Helsinki. Of the 63 patients with positive serology in 1986-1987 20 showed a predominant involvement of the nervous system, 18 complained of joint symptoms and 11 patients merely showed a skin involvement including 8 patients with erythema chronicum migrans (ECM) and 3 patients with acrodermatitis chronica atrophicans (ACA). Two of the patients had unspedfic general symptoms and in 5 patients the type of involvement remained unknown. The serology was considered to be falsely positive in 2 patients with tuberculous meningitis, in one with syphilis and in another with recurrent fever. ?? 1988.","author":[{"dropping-particle":"","family":"Sajanti","given":"Eeva","non-dropping-particle":"","parse-names":false,"suffix":""},{"dropping-particle":"","family":"Virtanen","given":"Mikko","non-dropping-particle":"","parse-names":false,"suffix":""},{"dropping-particle":"","family":"Helve","given":"Otto","non-dropping-particle":"","parse-names":false,"suffix":""},{"dropping-particle":"","family":"Kussi","given":"Markku","non-dropping-particle":"","parse-names":false,"suffix":""},{"dropping-particle":"","family":"Lyytikainen","given":"Outi","non-dropping-particle":"","parse-names":false,"suffix":""},{"dropping-particle":"","family":"Hytonen","given":"Jukka","non-dropping-particle":"","parse-names":false,"suffix":""},{"dropping-particle":"","family":"Sane","given":"Jussi","non-dropping-particle":"","parse-names":false,"suffix":""}],"container-title":"Emerging infectious diseases","id":"ITEM-2","issue":"8","issued":{"date-parts":[["2017"]]},"page":"128-1288","title":"Lyme borreliosis in Finland in 1995-2014","type":"article-journal","volume":"23"},"uris":["http://www.mendeley.com/documents/?uuid=b12af0ee-1c00-41c2-9567-0c7ec4d4d748"]},{"id":"ITEM-3","itemData":{"DOI":"10.1016/j.ttbdis.2016.06.006","ISSN":"1877959X","PMID":"27475874","author":[{"dropping-particle":"","family":"Eliassen","given":"Knut Eirik","non-dropping-particle":"","parse-names":false,"suffix":""},{"dropping-particle":"","family":"Berild","given":"Dag","non-dropping-particle":"","parse-names":false,"suffix":""},{"dropping-particle":"","family":"Reiso","given":"Harald","non-dropping-particle":"","parse-names":false,"suffix":""},{"dropping-particle":"","family":"Grude","given":"Nils","non-dropping-particle":"","parse-names":false,"suffix":""},{"dropping-particle":"","family":"Christophersen","given":"Karen Sofie","non-dropping-particle":"","parse-names":false,"suffix":""},{"dropping-particle":"","family":"Finckenhagen","given":"Cecilie","non-dropping-particle":"","parse-names":false,"suffix":""},{"dropping-particle":"","family":"Lindbæk","given":"Morten","non-dropping-particle":"","parse-names":false,"suffix":""}],"container-title":"Ticks and Tick-borne Diseases","id":"ITEM-3","issued":{"date-parts":[["2016"]]},"page":"2-9","publisher":"Elsevier GmbH.","title":"Incidence and antibiotic treatment of erythema migrans in Norway 2005–2009","type":"article-journal"},"uris":["http://www.mendeley.com/documents/?uuid=5a8e5c68-e20a-4904-9875-ac593d57da84"]},{"id":"ITEM-4","itemData":{"author":[{"dropping-particle":"","family":"States","given":"United","non-dropping-particle":"","parse-names":false,"suffix":""},{"dropping-particle":"","family":"Nelson","given":"Christina A","non-dropping-particle":"","parse-names":false,"suffix":""},{"dropping-particle":"","family":"Saha","given":"Shubhayu","non-dropping-particle":"","parse-names":false,"suffix":""},{"dropping-particle":"","family":"Kugeler","given":"Kiersten J","non-dropping-particle":"","parse-names":false,"suffix":""},{"dropping-particle":"","family":"Delorey","given":"Mark J","non-dropping-particle":"","parse-names":false,"suffix":""},{"dropping-particle":"","family":"Shankar","given":"Manjunath B","non-dropping-particle":"","parse-names":false,"suffix":""},{"dropping-particle":"","family":"Hinckley","given":"Alison F","non-dropping-particle":"","parse-names":false,"suffix":""},{"dropping-particle":"","family":"Mead","given":"Paul S","non-dropping-particle":"","parse-names":false,"suffix":""}],"id":"ITEM-4","issue":"9","issued":{"date-parts":[["2015"]]},"page":"2005-2010","title":"Incidence of Clinician-Diagnosed Lyme Disease ,","type":"article-journal","volume":"21"},"uris":["http://www.mendeley.com/documents/?uuid=f36ff322-e815-44f0-b2ce-3ef98ff2a77c"]},{"id":"ITEM-5","itemData":{"DOI":"10.1038/nrdp.2016.90","ISSN":"2056-676X","PMID":"27976670","author":[{"dropping-particle":"","family":"Steere","given":"Allen C.","non-dropping-particle":"","parse-names":false,"suffix":""},{"dropping-particle":"","family":"Strle","given":"Franc","non-dropping-particle":"","parse-names":false,"suffix":""},{"dropping-particle":"","family":"Wormser","given":"Gary P.","non-dropping-particle":"","parse-names":false,"suffix":""},{"dropping-particle":"","family":"Hu","given":"Linden T.","non-dropping-particle":"","parse-names":false,"suffix":""},{"dropping-particle":"","family":"Branda","given":"John A.","non-dropping-particle":"","parse-names":false,"suffix":""},{"dropping-particle":"","family":"Hovius","given":"Joppe W. R.","non-dropping-particle":"","parse-names":false,"suffix":""},{"dropping-particle":"","family":"Li","given":"Xin","non-dropping-particle":"","parse-names":false,"suffix":""},{"dropping-particle":"","family":"Mead","given":"Paul S.","non-dropping-particle":"","parse-names":false,"suffix":""}],"container-title":"Nature Reviews Disease Primers","id":"ITEM-5","issued":{"date-parts":[["2016"]]},"note":"NULL","page":"16090","publisher":"Macmillan Publishers Limited","title":"Lyme borreliosis","type":"article-journal","volume":"2"},"uris":["http://www.mendeley.com/documents/?uuid=597fd981-33c4-41af-b301-bd3fd480d68e"]},{"id":"ITEM-6","itemData":{"URL":"https://www.nice.org.uk/guidance/ng95","accessed":{"date-parts":[["2017","10","23"]]},"author":[{"dropping-particle":"","family":"National Institute for Health and Care Excellence","given":"","non-dropping-particle":"","parse-names":false,"suffix":""}],"id":"ITEM-6","issued":{"date-parts":[["2018"]]},"title":"Lyme disease NICE guideline [NG95]","type":"webpage"},"uris":["http://www.mendeley.com/documents/?uuid=3c60817c-61d3-46a6-b42a-4baa11776ecd"]},{"id":"ITEM-7","itemData":{"DOI":"10.1093/eurpub/ckw269","ISBN":"2076792171","ISSN":"1464360X","PMID":"27899565","abstract":"Background: Lyme borreliosis (LB) is the most frequently reported tick-borne infection in Europe and North America. The aim of this study was to estimate the cost-of-illness of LB in the Netherlands. Methods: We used available incidence estimates from 2010 for tick bite consultations and three symptomatic LB outcomes: erythema migrans (EM), disseminated LB and Lyme-related persisting symptoms. The cost was estimated using these incidences and the average cost per patient as derived from a patient questionnaire. We estimated the cost from a societal perspective, including healthcare cost, patient cost and production loss, using the friction cost method and a 4% annual discount rate. Results: Tick bites and LB in 2010 led to a societal cost of €19.3 million (95% CI 15.6–23.4; 16.6 million population) for the Netherlands. Healthcare cost and production loss each constituted 48% of the total cost (€9.3 and €9.2 million/year), and patient cost 4% (€0.8 million/year). Of the total cost, 37% was related to disseminated LB, followed by 27% for persisting symptoms, 22% for tick bites and 14% for EM. Per outcome, for an individual case the mean cost of disseminated LB and Lyme-related persisting symptoms was both around €5700; for EM and GP consultations for tick bites this was €122 and €53. As an alternative to the friction cost method, the human capital method resulted in a total cost of €23.5 million/year. Conclusion: LB leads to a substantial societal cost. Further research should therefore focus on additional preventive interventions.","author":[{"dropping-particle":"","family":"Wijngaard","given":"Cees C.","non-dropping-particle":"Van Den","parse-names":false,"suffix":""},{"dropping-particle":"","family":"Hofhuis","given":"Agnetha","non-dropping-particle":"","parse-names":false,"suffix":""},{"dropping-particle":"","family":"Wong","given":"Albert","non-dropping-particle":"","parse-names":false,"suffix":""},{"dropping-particle":"","family":"Harms","given":"Margriet G.","non-dropping-particle":"","parse-names":false,"suffix":""},{"dropping-particle":"","family":"Wit","given":"G. Ardine","non-dropping-particle":"De","parse-names":false,"suffix":""},{"dropping-particle":"","family":"Lugnér","given":"Anna K.","non-dropping-particle":"","parse-names":false,"suffix":""},{"dropping-particle":"","family":"Suijkerbuijk","given":"Anita W.M.","non-dropping-particle":"","parse-names":false,"suffix":""},{"dropping-particle":"","family":"Mangen","given":"Marie Josée J.","non-dropping-particle":"","parse-names":false,"suffix":""},{"dropping-particle":"","family":"Pelt","given":"Wilfrid","non-dropping-particle":"Van","parse-names":false,"suffix":""}],"container-title":"European Journal of Public Health","id":"ITEM-7","issue":"3","issued":{"date-parts":[["2017"]]},"page":"538-547","title":"The cost of Lyme borreliosis","type":"article-journal","volume":"27"},"uris":["http://www.mendeley.com/documents/?uuid=8af8b608-7cf7-44ab-8087-b74a26c94c1e"]}],"mendeley":{"formattedCitation":"(4,7,13–17)","plainTextFormattedCitation":"(4,7,13–17)","previouslyFormattedCitation":"(4,7,13–17)"},"properties":{"noteIndex":0},"schema":"https://github.com/citation-style-language/schema/raw/master/csl-citation.json"}</w:instrText>
      </w:r>
      <w:r w:rsidR="002C0AF4" w:rsidRPr="00693035">
        <w:rPr>
          <w:rFonts w:cstheme="minorHAnsi"/>
          <w:sz w:val="20"/>
          <w:szCs w:val="20"/>
        </w:rPr>
        <w:fldChar w:fldCharType="separate"/>
      </w:r>
      <w:r w:rsidR="006A4A4F" w:rsidRPr="006A4A4F">
        <w:rPr>
          <w:rFonts w:cstheme="minorHAnsi"/>
          <w:noProof/>
          <w:sz w:val="20"/>
          <w:szCs w:val="20"/>
        </w:rPr>
        <w:t>(4,7,13–17)</w:t>
      </w:r>
      <w:r w:rsidR="002C0AF4" w:rsidRPr="00693035">
        <w:rPr>
          <w:rFonts w:cstheme="minorHAnsi"/>
          <w:sz w:val="20"/>
          <w:szCs w:val="20"/>
        </w:rPr>
        <w:fldChar w:fldCharType="end"/>
      </w:r>
      <w:r w:rsidR="00164185" w:rsidRPr="00693035">
        <w:rPr>
          <w:rFonts w:cstheme="minorHAnsi"/>
          <w:sz w:val="20"/>
          <w:szCs w:val="20"/>
        </w:rPr>
        <w:t>.</w:t>
      </w:r>
      <w:r w:rsidR="002C0AF4" w:rsidRPr="00693035">
        <w:rPr>
          <w:rFonts w:cstheme="minorHAnsi"/>
          <w:sz w:val="20"/>
          <w:szCs w:val="20"/>
        </w:rPr>
        <w:t xml:space="preserve"> Without understanding the potential burden </w:t>
      </w:r>
      <w:r w:rsidR="009F324F" w:rsidRPr="00693035">
        <w:rPr>
          <w:rFonts w:cstheme="minorHAnsi"/>
          <w:sz w:val="20"/>
          <w:szCs w:val="20"/>
        </w:rPr>
        <w:t>for</w:t>
      </w:r>
      <w:r w:rsidR="002C0AF4" w:rsidRPr="00693035">
        <w:rPr>
          <w:rFonts w:cstheme="minorHAnsi"/>
          <w:sz w:val="20"/>
          <w:szCs w:val="20"/>
        </w:rPr>
        <w:t xml:space="preserve"> </w:t>
      </w:r>
      <w:bookmarkStart w:id="3" w:name="_Hlk15374150"/>
      <w:r w:rsidR="002C0AF4" w:rsidRPr="00693035">
        <w:rPr>
          <w:rFonts w:cstheme="minorHAnsi"/>
          <w:sz w:val="20"/>
          <w:szCs w:val="20"/>
        </w:rPr>
        <w:t>general practitioners (GPs</w:t>
      </w:r>
      <w:r w:rsidR="009F324F" w:rsidRPr="00693035">
        <w:rPr>
          <w:rFonts w:cstheme="minorHAnsi"/>
          <w:sz w:val="20"/>
          <w:szCs w:val="20"/>
        </w:rPr>
        <w:t>)</w:t>
      </w:r>
      <w:r w:rsidR="002C0AF4" w:rsidRPr="00693035">
        <w:rPr>
          <w:rFonts w:cstheme="minorHAnsi"/>
          <w:sz w:val="20"/>
          <w:szCs w:val="20"/>
        </w:rPr>
        <w:t xml:space="preserve"> </w:t>
      </w:r>
      <w:bookmarkEnd w:id="3"/>
      <w:r w:rsidR="002C0AF4" w:rsidRPr="00693035">
        <w:rPr>
          <w:rFonts w:cstheme="minorHAnsi"/>
          <w:sz w:val="20"/>
          <w:szCs w:val="20"/>
        </w:rPr>
        <w:t>and the demographics of the</w:t>
      </w:r>
      <w:r w:rsidR="00C549D3" w:rsidRPr="00693035">
        <w:rPr>
          <w:rFonts w:cstheme="minorHAnsi"/>
          <w:sz w:val="20"/>
          <w:szCs w:val="20"/>
        </w:rPr>
        <w:t>se</w:t>
      </w:r>
      <w:r w:rsidR="002C0AF4" w:rsidRPr="00693035">
        <w:rPr>
          <w:rFonts w:cstheme="minorHAnsi"/>
          <w:sz w:val="20"/>
          <w:szCs w:val="20"/>
        </w:rPr>
        <w:t xml:space="preserve"> patients, </w:t>
      </w:r>
      <w:r w:rsidR="009F324F" w:rsidRPr="00693035">
        <w:rPr>
          <w:rFonts w:cstheme="minorHAnsi"/>
          <w:sz w:val="20"/>
          <w:szCs w:val="20"/>
        </w:rPr>
        <w:t>it is difficult</w:t>
      </w:r>
      <w:r w:rsidR="00C06727" w:rsidRPr="00693035">
        <w:rPr>
          <w:rFonts w:cstheme="minorHAnsi"/>
          <w:sz w:val="20"/>
          <w:szCs w:val="20"/>
        </w:rPr>
        <w:t xml:space="preserve"> to shape policy, deliver targeted </w:t>
      </w:r>
      <w:r w:rsidR="00C549D3" w:rsidRPr="00693035">
        <w:rPr>
          <w:rFonts w:cstheme="minorHAnsi"/>
          <w:sz w:val="20"/>
          <w:szCs w:val="20"/>
        </w:rPr>
        <w:t xml:space="preserve">education to the </w:t>
      </w:r>
      <w:proofErr w:type="gramStart"/>
      <w:r w:rsidR="00C06727" w:rsidRPr="00693035">
        <w:rPr>
          <w:rFonts w:cstheme="minorHAnsi"/>
          <w:sz w:val="20"/>
          <w:szCs w:val="20"/>
        </w:rPr>
        <w:t>general public</w:t>
      </w:r>
      <w:proofErr w:type="gramEnd"/>
      <w:r w:rsidR="00C06727" w:rsidRPr="00693035">
        <w:rPr>
          <w:rFonts w:cstheme="minorHAnsi"/>
          <w:sz w:val="20"/>
          <w:szCs w:val="20"/>
        </w:rPr>
        <w:t xml:space="preserve"> and </w:t>
      </w:r>
      <w:r w:rsidR="00C549D3" w:rsidRPr="00693035">
        <w:rPr>
          <w:rFonts w:cstheme="minorHAnsi"/>
          <w:sz w:val="20"/>
          <w:szCs w:val="20"/>
        </w:rPr>
        <w:t>clinicians</w:t>
      </w:r>
      <w:r w:rsidR="00C06727" w:rsidRPr="00693035">
        <w:rPr>
          <w:rFonts w:cstheme="minorHAnsi"/>
          <w:sz w:val="20"/>
          <w:szCs w:val="20"/>
        </w:rPr>
        <w:t xml:space="preserve">, perform </w:t>
      </w:r>
      <w:r w:rsidR="00C06727" w:rsidRPr="00693035">
        <w:rPr>
          <w:rFonts w:cstheme="minorHAnsi"/>
          <w:sz w:val="20"/>
          <w:szCs w:val="20"/>
        </w:rPr>
        <w:lastRenderedPageBreak/>
        <w:t xml:space="preserve">financial assessments, </w:t>
      </w:r>
      <w:r w:rsidR="009F324F" w:rsidRPr="00693035">
        <w:rPr>
          <w:rFonts w:cstheme="minorHAnsi"/>
          <w:sz w:val="20"/>
          <w:szCs w:val="20"/>
        </w:rPr>
        <w:t xml:space="preserve">or </w:t>
      </w:r>
      <w:r w:rsidR="00C06727" w:rsidRPr="00693035">
        <w:rPr>
          <w:rFonts w:cstheme="minorHAnsi"/>
          <w:sz w:val="20"/>
          <w:szCs w:val="20"/>
        </w:rPr>
        <w:t xml:space="preserve">understand case management strategies. </w:t>
      </w:r>
      <w:r w:rsidR="00AC586B" w:rsidRPr="00693035">
        <w:rPr>
          <w:rFonts w:cstheme="minorHAnsi"/>
          <w:sz w:val="20"/>
          <w:szCs w:val="20"/>
        </w:rPr>
        <w:t xml:space="preserve">The incidence of Lyme disease identified within primary care in the UK </w:t>
      </w:r>
      <w:r w:rsidR="001467D7">
        <w:rPr>
          <w:rFonts w:cstheme="minorHAnsi"/>
          <w:sz w:val="20"/>
          <w:szCs w:val="20"/>
        </w:rPr>
        <w:t>is poorly understood</w:t>
      </w:r>
      <w:r w:rsidR="00AC586B" w:rsidRPr="00693035">
        <w:rPr>
          <w:rFonts w:cstheme="minorHAnsi"/>
          <w:sz w:val="20"/>
          <w:szCs w:val="20"/>
        </w:rPr>
        <w:t xml:space="preserve">. </w:t>
      </w:r>
      <w:r w:rsidR="005F5E33" w:rsidRPr="00693035">
        <w:rPr>
          <w:rFonts w:cstheme="minorHAnsi"/>
          <w:sz w:val="20"/>
          <w:szCs w:val="20"/>
        </w:rPr>
        <w:t>There are two methods</w:t>
      </w:r>
      <w:r w:rsidR="00D47930">
        <w:rPr>
          <w:rFonts w:cstheme="minorHAnsi"/>
          <w:sz w:val="20"/>
          <w:szCs w:val="20"/>
        </w:rPr>
        <w:t xml:space="preserve"> of recording primary care data;</w:t>
      </w:r>
      <w:r w:rsidR="005F5E33" w:rsidRPr="00693035">
        <w:rPr>
          <w:rFonts w:cstheme="minorHAnsi"/>
          <w:sz w:val="20"/>
          <w:szCs w:val="20"/>
        </w:rPr>
        <w:t xml:space="preserve"> Read codes representing presenting symptoms or diseases, and free-text narrative</w:t>
      </w:r>
      <w:r w:rsidR="005F5E33" w:rsidRPr="001467D7">
        <w:rPr>
          <w:rFonts w:cstheme="minorHAnsi"/>
          <w:sz w:val="20"/>
          <w:szCs w:val="20"/>
        </w:rPr>
        <w:t xml:space="preserve">. </w:t>
      </w:r>
      <w:bookmarkStart w:id="4" w:name="_Hlk529030203"/>
      <w:r w:rsidR="003E62B1" w:rsidRPr="001467D7">
        <w:rPr>
          <w:rFonts w:cstheme="minorHAnsi"/>
          <w:sz w:val="20"/>
          <w:szCs w:val="20"/>
        </w:rPr>
        <w:t>Read codes are a coded thesaurus of clinical terms that are used in primary care electronic health records in the UK</w:t>
      </w:r>
      <w:bookmarkEnd w:id="4"/>
      <w:r w:rsidR="003E62B1" w:rsidRPr="001467D7">
        <w:rPr>
          <w:rFonts w:cstheme="minorHAnsi"/>
          <w:sz w:val="20"/>
          <w:szCs w:val="20"/>
        </w:rPr>
        <w:t xml:space="preserve"> and New Zealand </w:t>
      </w:r>
      <w:r w:rsidR="003E62B1" w:rsidRPr="001467D7">
        <w:rPr>
          <w:rFonts w:cstheme="minorHAnsi"/>
          <w:sz w:val="20"/>
          <w:szCs w:val="20"/>
        </w:rPr>
        <w:fldChar w:fldCharType="begin" w:fldLock="1"/>
      </w:r>
      <w:r w:rsidR="006A4A4F">
        <w:rPr>
          <w:rFonts w:cstheme="minorHAnsi"/>
          <w:sz w:val="20"/>
          <w:szCs w:val="20"/>
        </w:rPr>
        <w:instrText>ADDIN CSL_CITATION {"citationItems":[{"id":"ITEM-1","itemData":{"DOI":"10.14236/jhi.v19i3.811","ISBN":"1476-0320","ISSN":"14760320","PMID":"22688227","abstract":"General practitioner (GP) computing has its origins in the 1970s when the benefits of clinical coding and prescribing were demonstrated. During the early 1980s Dr James Read, working with Abies Informatics Ltd, developed the eponymous Read Codes, which were broader and more comprehensive than other schemes, yet intuitive and easy to use. In 1988 a joint working party of the Royal College of General Practitioners (RCGP) and the British Medical Association (BMA) recommended that the Read Codes be adopted nationally. The Read Codes have been used by almost all GPs in the UK since the mid-1990s. Many developments in general practice, including GP fundholding (where GPs held the budgets to commission elective care for their patients), the Quality and Outcomes Framework (QOF - pay for performance for improving chronic disease management) and GP commissioning (the current NHS reform in which primary care leads commissioning of services for their patients) would have been impossible without all GPs using a common clinical coding scheme. Systematized Nomenclature For Medicine - Clinical Terms (SNOMED CT) is a merger of the Read Codes with SNOMED RT - the original SNOMED reference terminology developed by the American College of Pathologists.","author":[{"dropping-particle":"","family":"Benson","given":"Tim","non-dropping-particle":"","parse-names":false,"suffix":""}],"container-title":"Informatics in Primary Care","id":"ITEM-1","issue":"3","issued":{"date-parts":[["2012"]]},"page":"173-182","title":"The history of the Read Codes: The inaugural James Read memorial lecture 2011","type":"article-journal","volume":"19"},"uris":["http://www.mendeley.com/documents/?uuid=94d49d68-fc4c-4013-8f5f-bcda23cf3f07"]}],"mendeley":{"formattedCitation":"(18)","plainTextFormattedCitation":"(18)","previouslyFormattedCitation":"(18)"},"properties":{"noteIndex":0},"schema":"https://github.com/citation-style-language/schema/raw/master/csl-citation.json"}</w:instrText>
      </w:r>
      <w:r w:rsidR="003E62B1" w:rsidRPr="001467D7">
        <w:rPr>
          <w:rFonts w:cstheme="minorHAnsi"/>
          <w:sz w:val="20"/>
          <w:szCs w:val="20"/>
        </w:rPr>
        <w:fldChar w:fldCharType="separate"/>
      </w:r>
      <w:r w:rsidR="006A4A4F" w:rsidRPr="006A4A4F">
        <w:rPr>
          <w:rFonts w:cstheme="minorHAnsi"/>
          <w:noProof/>
          <w:sz w:val="20"/>
          <w:szCs w:val="20"/>
        </w:rPr>
        <w:t>(18)</w:t>
      </w:r>
      <w:r w:rsidR="003E62B1" w:rsidRPr="001467D7">
        <w:rPr>
          <w:rFonts w:cstheme="minorHAnsi"/>
          <w:sz w:val="20"/>
          <w:szCs w:val="20"/>
        </w:rPr>
        <w:fldChar w:fldCharType="end"/>
      </w:r>
      <w:r w:rsidR="003E62B1" w:rsidRPr="001467D7">
        <w:rPr>
          <w:rFonts w:cstheme="minorHAnsi"/>
          <w:sz w:val="20"/>
          <w:szCs w:val="20"/>
        </w:rPr>
        <w:t>.</w:t>
      </w:r>
      <w:r w:rsidR="003E62B1">
        <w:rPr>
          <w:rFonts w:cstheme="minorHAnsi"/>
          <w:sz w:val="20"/>
          <w:szCs w:val="20"/>
        </w:rPr>
        <w:t xml:space="preserve"> </w:t>
      </w:r>
      <w:r w:rsidR="005F5E33" w:rsidRPr="00693035">
        <w:rPr>
          <w:rFonts w:cstheme="minorHAnsi"/>
          <w:sz w:val="20"/>
          <w:szCs w:val="20"/>
        </w:rPr>
        <w:t>A narrative analysis</w:t>
      </w:r>
      <w:r w:rsidR="003E62B1">
        <w:rPr>
          <w:rFonts w:cstheme="minorHAnsi"/>
          <w:sz w:val="20"/>
          <w:szCs w:val="20"/>
        </w:rPr>
        <w:t xml:space="preserve"> of </w:t>
      </w:r>
      <w:r w:rsidR="003E62B1" w:rsidRPr="001467D7">
        <w:rPr>
          <w:rFonts w:cstheme="minorHAnsi"/>
          <w:sz w:val="20"/>
          <w:szCs w:val="20"/>
        </w:rPr>
        <w:t>health record free text</w:t>
      </w:r>
      <w:r w:rsidR="003E62B1">
        <w:rPr>
          <w:rFonts w:cstheme="minorHAnsi"/>
          <w:sz w:val="20"/>
          <w:szCs w:val="20"/>
        </w:rPr>
        <w:t>,</w:t>
      </w:r>
      <w:r w:rsidR="005F5E33" w:rsidRPr="00693035">
        <w:rPr>
          <w:rFonts w:cstheme="minorHAnsi"/>
          <w:sz w:val="20"/>
          <w:szCs w:val="20"/>
        </w:rPr>
        <w:t xml:space="preserve"> on a national scale</w:t>
      </w:r>
      <w:r w:rsidR="003E62B1">
        <w:rPr>
          <w:rFonts w:cstheme="minorHAnsi"/>
          <w:sz w:val="20"/>
          <w:szCs w:val="20"/>
        </w:rPr>
        <w:t>,</w:t>
      </w:r>
      <w:r w:rsidR="005F5E33" w:rsidRPr="00693035">
        <w:rPr>
          <w:rFonts w:cstheme="minorHAnsi"/>
          <w:sz w:val="20"/>
          <w:szCs w:val="20"/>
        </w:rPr>
        <w:t xml:space="preserve"> would prove</w:t>
      </w:r>
      <w:r w:rsidR="00E2516C" w:rsidRPr="00693035">
        <w:rPr>
          <w:rFonts w:cstheme="minorHAnsi"/>
          <w:sz w:val="20"/>
          <w:szCs w:val="20"/>
        </w:rPr>
        <w:t xml:space="preserve"> ethically</w:t>
      </w:r>
      <w:r w:rsidR="005F5E33" w:rsidRPr="00693035">
        <w:rPr>
          <w:rFonts w:cstheme="minorHAnsi"/>
          <w:sz w:val="20"/>
          <w:szCs w:val="20"/>
        </w:rPr>
        <w:t xml:space="preserve"> challenging due to difficulties in </w:t>
      </w:r>
      <w:r w:rsidR="003E62B1">
        <w:rPr>
          <w:rFonts w:cstheme="minorHAnsi"/>
          <w:sz w:val="20"/>
          <w:szCs w:val="20"/>
        </w:rPr>
        <w:t xml:space="preserve">data </w:t>
      </w:r>
      <w:proofErr w:type="spellStart"/>
      <w:r w:rsidR="003E62B1">
        <w:rPr>
          <w:rFonts w:cstheme="minorHAnsi"/>
          <w:sz w:val="20"/>
          <w:szCs w:val="20"/>
        </w:rPr>
        <w:t>anonymis</w:t>
      </w:r>
      <w:r w:rsidR="00164185" w:rsidRPr="00693035">
        <w:rPr>
          <w:rFonts w:cstheme="minorHAnsi"/>
          <w:sz w:val="20"/>
          <w:szCs w:val="20"/>
        </w:rPr>
        <w:t>ation</w:t>
      </w:r>
      <w:proofErr w:type="spellEnd"/>
      <w:r w:rsidR="005F5E33" w:rsidRPr="00693035">
        <w:rPr>
          <w:rFonts w:cstheme="minorHAnsi"/>
          <w:sz w:val="20"/>
          <w:szCs w:val="20"/>
        </w:rPr>
        <w:t>. On the contrary, primary care data</w:t>
      </w:r>
      <w:r w:rsidR="00164185" w:rsidRPr="00693035">
        <w:rPr>
          <w:rFonts w:cstheme="minorHAnsi"/>
          <w:sz w:val="20"/>
          <w:szCs w:val="20"/>
        </w:rPr>
        <w:t>bases</w:t>
      </w:r>
      <w:r w:rsidR="005F5E33" w:rsidRPr="00693035">
        <w:rPr>
          <w:rFonts w:cstheme="minorHAnsi"/>
          <w:sz w:val="20"/>
          <w:szCs w:val="20"/>
        </w:rPr>
        <w:t xml:space="preserve"> coded via Read codes are pseudo-</w:t>
      </w:r>
      <w:proofErr w:type="spellStart"/>
      <w:r w:rsidR="005F5E33" w:rsidRPr="00693035">
        <w:rPr>
          <w:rFonts w:cstheme="minorHAnsi"/>
          <w:sz w:val="20"/>
          <w:szCs w:val="20"/>
        </w:rPr>
        <w:t>anonymi</w:t>
      </w:r>
      <w:r w:rsidR="00A0044C">
        <w:rPr>
          <w:rFonts w:cstheme="minorHAnsi"/>
          <w:sz w:val="20"/>
          <w:szCs w:val="20"/>
        </w:rPr>
        <w:t>s</w:t>
      </w:r>
      <w:r w:rsidR="005F5E33" w:rsidRPr="00693035">
        <w:rPr>
          <w:rFonts w:cstheme="minorHAnsi"/>
          <w:sz w:val="20"/>
          <w:szCs w:val="20"/>
        </w:rPr>
        <w:t>ed</w:t>
      </w:r>
      <w:proofErr w:type="spellEnd"/>
      <w:r w:rsidR="005F5E33" w:rsidRPr="00693035">
        <w:rPr>
          <w:rFonts w:cstheme="minorHAnsi"/>
          <w:sz w:val="20"/>
          <w:szCs w:val="20"/>
        </w:rPr>
        <w:t xml:space="preserve"> and capture </w:t>
      </w:r>
      <w:r w:rsidR="00E2516C" w:rsidRPr="00693035">
        <w:rPr>
          <w:rFonts w:cstheme="minorHAnsi"/>
          <w:sz w:val="20"/>
          <w:szCs w:val="20"/>
        </w:rPr>
        <w:t>a large</w:t>
      </w:r>
      <w:r w:rsidR="005F5E33" w:rsidRPr="00693035">
        <w:rPr>
          <w:rFonts w:cstheme="minorHAnsi"/>
          <w:sz w:val="20"/>
          <w:szCs w:val="20"/>
        </w:rPr>
        <w:t xml:space="preserve"> </w:t>
      </w:r>
      <w:r w:rsidR="00164185" w:rsidRPr="00693035">
        <w:rPr>
          <w:rFonts w:cstheme="minorHAnsi"/>
          <w:sz w:val="20"/>
          <w:szCs w:val="20"/>
        </w:rPr>
        <w:t>sample</w:t>
      </w:r>
      <w:r w:rsidR="005F5E33" w:rsidRPr="00693035">
        <w:rPr>
          <w:rFonts w:cstheme="minorHAnsi"/>
          <w:sz w:val="20"/>
          <w:szCs w:val="20"/>
        </w:rPr>
        <w:t xml:space="preserve"> of the UK population. </w:t>
      </w:r>
      <w:r w:rsidR="00AC586B" w:rsidRPr="00693035">
        <w:rPr>
          <w:rFonts w:cstheme="minorHAnsi"/>
          <w:sz w:val="20"/>
          <w:szCs w:val="20"/>
        </w:rPr>
        <w:t>The aim of this</w:t>
      </w:r>
      <w:r w:rsidR="001467D7">
        <w:rPr>
          <w:rFonts w:cstheme="minorHAnsi"/>
          <w:sz w:val="20"/>
          <w:szCs w:val="20"/>
        </w:rPr>
        <w:t xml:space="preserve"> </w:t>
      </w:r>
      <w:r w:rsidR="00AC586B" w:rsidRPr="00693035">
        <w:rPr>
          <w:rFonts w:cstheme="minorHAnsi"/>
          <w:sz w:val="20"/>
          <w:szCs w:val="20"/>
        </w:rPr>
        <w:t xml:space="preserve">study was to </w:t>
      </w:r>
      <w:r w:rsidR="00E16576" w:rsidRPr="001467D7">
        <w:rPr>
          <w:rFonts w:cstheme="minorHAnsi"/>
          <w:sz w:val="20"/>
          <w:szCs w:val="20"/>
        </w:rPr>
        <w:t>describe</w:t>
      </w:r>
      <w:r w:rsidR="00AC586B" w:rsidRPr="00693035">
        <w:rPr>
          <w:rFonts w:cstheme="minorHAnsi"/>
          <w:sz w:val="20"/>
          <w:szCs w:val="20"/>
        </w:rPr>
        <w:t xml:space="preserve"> the incidence</w:t>
      </w:r>
      <w:r w:rsidR="002C5A28">
        <w:rPr>
          <w:rFonts w:cstheme="minorHAnsi"/>
          <w:sz w:val="20"/>
          <w:szCs w:val="20"/>
        </w:rPr>
        <w:t xml:space="preserve"> of a new diagnosis</w:t>
      </w:r>
      <w:r w:rsidR="007034E3">
        <w:rPr>
          <w:rFonts w:cstheme="minorHAnsi"/>
          <w:sz w:val="20"/>
          <w:szCs w:val="20"/>
        </w:rPr>
        <w:t>,</w:t>
      </w:r>
      <w:r w:rsidR="00AC586B" w:rsidRPr="00693035">
        <w:rPr>
          <w:rFonts w:cstheme="minorHAnsi"/>
          <w:sz w:val="20"/>
          <w:szCs w:val="20"/>
        </w:rPr>
        <w:t xml:space="preserve"> and demographics of Lyme disease as recorded in primary care be</w:t>
      </w:r>
      <w:r w:rsidR="00A27DF9" w:rsidRPr="00693035">
        <w:rPr>
          <w:rFonts w:cstheme="minorHAnsi"/>
          <w:sz w:val="20"/>
          <w:szCs w:val="20"/>
        </w:rPr>
        <w:t>tween 1998 and 2016</w:t>
      </w:r>
      <w:r w:rsidR="00252812" w:rsidRPr="00693035">
        <w:rPr>
          <w:rFonts w:cstheme="minorHAnsi"/>
          <w:sz w:val="20"/>
          <w:szCs w:val="20"/>
        </w:rPr>
        <w:t xml:space="preserve"> in the UK</w:t>
      </w:r>
      <w:r w:rsidR="005F5E33" w:rsidRPr="00693035">
        <w:rPr>
          <w:rFonts w:cstheme="minorHAnsi"/>
          <w:sz w:val="20"/>
          <w:szCs w:val="20"/>
        </w:rPr>
        <w:t xml:space="preserve"> using Read code analysis.</w:t>
      </w:r>
    </w:p>
    <w:p w14:paraId="0F1EEFE0" w14:textId="77777777" w:rsidR="001E3763" w:rsidRPr="00693035" w:rsidRDefault="001E3763" w:rsidP="00693035">
      <w:pPr>
        <w:spacing w:line="480" w:lineRule="auto"/>
        <w:jc w:val="both"/>
        <w:rPr>
          <w:rFonts w:cstheme="minorHAnsi"/>
          <w:b/>
          <w:sz w:val="24"/>
          <w:szCs w:val="24"/>
        </w:rPr>
      </w:pPr>
      <w:r w:rsidRPr="00693035">
        <w:rPr>
          <w:rFonts w:cstheme="minorHAnsi"/>
          <w:b/>
          <w:sz w:val="24"/>
          <w:szCs w:val="24"/>
        </w:rPr>
        <w:t>Method</w:t>
      </w:r>
      <w:r w:rsidR="0068683C" w:rsidRPr="00693035">
        <w:rPr>
          <w:rFonts w:cstheme="minorHAnsi"/>
          <w:b/>
          <w:sz w:val="24"/>
          <w:szCs w:val="24"/>
        </w:rPr>
        <w:t>s</w:t>
      </w:r>
    </w:p>
    <w:p w14:paraId="30E51EE5" w14:textId="77777777" w:rsidR="0068683C" w:rsidRPr="00693035" w:rsidRDefault="0068683C" w:rsidP="00693035">
      <w:pPr>
        <w:spacing w:line="480" w:lineRule="auto"/>
        <w:jc w:val="both"/>
        <w:rPr>
          <w:rFonts w:cstheme="minorHAnsi"/>
          <w:b/>
          <w:sz w:val="24"/>
          <w:szCs w:val="24"/>
        </w:rPr>
      </w:pPr>
      <w:r w:rsidRPr="00693035">
        <w:rPr>
          <w:rFonts w:cstheme="minorHAnsi"/>
          <w:b/>
          <w:sz w:val="24"/>
          <w:szCs w:val="24"/>
        </w:rPr>
        <w:t>Data Source</w:t>
      </w:r>
    </w:p>
    <w:p w14:paraId="60DF0BB5" w14:textId="77777777" w:rsidR="0068683C" w:rsidRPr="00693035" w:rsidRDefault="0068683C" w:rsidP="00693035">
      <w:pPr>
        <w:spacing w:line="480" w:lineRule="auto"/>
        <w:jc w:val="both"/>
        <w:rPr>
          <w:rFonts w:cstheme="minorHAnsi"/>
          <w:sz w:val="20"/>
          <w:szCs w:val="20"/>
        </w:rPr>
      </w:pPr>
      <w:r w:rsidRPr="00693035">
        <w:rPr>
          <w:rFonts w:cstheme="minorHAnsi"/>
          <w:sz w:val="20"/>
          <w:szCs w:val="20"/>
        </w:rPr>
        <w:t xml:space="preserve">Population-based primary care data from </w:t>
      </w:r>
      <w:bookmarkStart w:id="5" w:name="_Hlk15374162"/>
      <w:r w:rsidRPr="00693035">
        <w:rPr>
          <w:rFonts w:cstheme="minorHAnsi"/>
          <w:sz w:val="20"/>
          <w:szCs w:val="20"/>
        </w:rPr>
        <w:t xml:space="preserve">The Health Improvement Network (THIN) </w:t>
      </w:r>
      <w:bookmarkEnd w:id="5"/>
      <w:r w:rsidRPr="00693035">
        <w:rPr>
          <w:rFonts w:cstheme="minorHAnsi"/>
          <w:sz w:val="20"/>
          <w:szCs w:val="20"/>
        </w:rPr>
        <w:t>were used to identify patients with Lyme disease</w:t>
      </w:r>
      <w:r w:rsidR="00A33CEF" w:rsidRPr="00693035">
        <w:rPr>
          <w:rFonts w:cstheme="minorHAnsi"/>
          <w:sz w:val="20"/>
          <w:szCs w:val="20"/>
        </w:rPr>
        <w:t>,</w:t>
      </w:r>
      <w:r w:rsidRPr="00693035">
        <w:rPr>
          <w:rFonts w:cstheme="minorHAnsi"/>
          <w:sz w:val="20"/>
          <w:szCs w:val="20"/>
        </w:rPr>
        <w:t xml:space="preserve"> suspect</w:t>
      </w:r>
      <w:r w:rsidR="009F324F" w:rsidRPr="00693035">
        <w:rPr>
          <w:rFonts w:cstheme="minorHAnsi"/>
          <w:sz w:val="20"/>
          <w:szCs w:val="20"/>
        </w:rPr>
        <w:t>ed</w:t>
      </w:r>
      <w:r w:rsidRPr="00693035">
        <w:rPr>
          <w:rFonts w:cstheme="minorHAnsi"/>
          <w:sz w:val="20"/>
          <w:szCs w:val="20"/>
        </w:rPr>
        <w:t xml:space="preserve"> Lyme disease</w:t>
      </w:r>
      <w:r w:rsidR="00A33CEF" w:rsidRPr="00693035">
        <w:rPr>
          <w:rFonts w:cstheme="minorHAnsi"/>
          <w:sz w:val="20"/>
          <w:szCs w:val="20"/>
        </w:rPr>
        <w:t xml:space="preserve"> or Lyme disease related conditions</w:t>
      </w:r>
      <w:r w:rsidRPr="00693035">
        <w:rPr>
          <w:rFonts w:cstheme="minorHAnsi"/>
          <w:sz w:val="20"/>
          <w:szCs w:val="20"/>
        </w:rPr>
        <w:t>. The design of this study was approved by the THIN Scientific Revie</w:t>
      </w:r>
      <w:r w:rsidR="00EE658E" w:rsidRPr="00693035">
        <w:rPr>
          <w:rFonts w:cstheme="minorHAnsi"/>
          <w:sz w:val="20"/>
          <w:szCs w:val="20"/>
        </w:rPr>
        <w:t>w</w:t>
      </w:r>
      <w:r w:rsidRPr="00693035">
        <w:rPr>
          <w:rFonts w:cstheme="minorHAnsi"/>
          <w:sz w:val="20"/>
          <w:szCs w:val="20"/>
        </w:rPr>
        <w:t xml:space="preserve"> Committee (16THIN103). </w:t>
      </w:r>
    </w:p>
    <w:p w14:paraId="225AE501" w14:textId="255E4224" w:rsidR="005A0275" w:rsidRDefault="008A24A3" w:rsidP="00693035">
      <w:pPr>
        <w:spacing w:line="480" w:lineRule="auto"/>
        <w:jc w:val="both"/>
        <w:rPr>
          <w:rFonts w:cstheme="minorHAnsi"/>
          <w:sz w:val="20"/>
          <w:szCs w:val="20"/>
        </w:rPr>
      </w:pPr>
      <w:bookmarkStart w:id="6" w:name="_Hlk32408663"/>
      <w:r>
        <w:rPr>
          <w:rFonts w:cstheme="minorHAnsi"/>
          <w:sz w:val="20"/>
          <w:szCs w:val="20"/>
        </w:rPr>
        <w:t xml:space="preserve">THIN collects </w:t>
      </w:r>
      <w:proofErr w:type="spellStart"/>
      <w:r>
        <w:rPr>
          <w:rFonts w:cstheme="minorHAnsi"/>
          <w:sz w:val="20"/>
          <w:szCs w:val="20"/>
        </w:rPr>
        <w:t>anonymised</w:t>
      </w:r>
      <w:proofErr w:type="spellEnd"/>
      <w:r>
        <w:rPr>
          <w:rFonts w:cstheme="minorHAnsi"/>
          <w:sz w:val="20"/>
          <w:szCs w:val="20"/>
        </w:rPr>
        <w:t xml:space="preserve"> patient data from general practices that use the VISION practice management software</w:t>
      </w:r>
      <w:r w:rsidR="00087BF7">
        <w:rPr>
          <w:rFonts w:cstheme="minorHAnsi"/>
          <w:sz w:val="20"/>
          <w:szCs w:val="20"/>
        </w:rPr>
        <w:t xml:space="preserve"> </w:t>
      </w:r>
      <w:r w:rsidR="00087BF7">
        <w:rPr>
          <w:rFonts w:cstheme="minorHAnsi"/>
          <w:sz w:val="20"/>
          <w:szCs w:val="20"/>
        </w:rPr>
        <w:fldChar w:fldCharType="begin" w:fldLock="1"/>
      </w:r>
      <w:r w:rsidR="00087BF7">
        <w:rPr>
          <w:rFonts w:cstheme="minorHAnsi"/>
          <w:sz w:val="20"/>
          <w:szCs w:val="20"/>
        </w:rPr>
        <w:instrText>ADDIN CSL_CITATION {"citationItems":[{"id":"ITEM-1","itemData":{"URL":"https://www.the-health-improvement-network.com/","author":[{"dropping-particle":"","family":"Vision","given":"","non-dropping-particle":"","parse-names":false,"suffix":""}],"id":"ITEM-1","issued":{"date-parts":[["0"]]},"title":"The Health Improvement Network (THIN)","type":"webpage"},"uris":["http://www.mendeley.com/documents/?uuid=cad4a8d3-0d66-407c-be89-4c94b947f3ce"]}],"mendeley":{"formattedCitation":"(19)","plainTextFormattedCitation":"(19)","previouslyFormattedCitation":"(19)"},"properties":{"noteIndex":0},"schema":"https://github.com/citation-style-language/schema/raw/master/csl-citation.json"}</w:instrText>
      </w:r>
      <w:r w:rsidR="00087BF7">
        <w:rPr>
          <w:rFonts w:cstheme="minorHAnsi"/>
          <w:sz w:val="20"/>
          <w:szCs w:val="20"/>
        </w:rPr>
        <w:fldChar w:fldCharType="separate"/>
      </w:r>
      <w:r w:rsidR="00087BF7" w:rsidRPr="00087BF7">
        <w:rPr>
          <w:rFonts w:cstheme="minorHAnsi"/>
          <w:noProof/>
          <w:sz w:val="20"/>
          <w:szCs w:val="20"/>
        </w:rPr>
        <w:t>(19)</w:t>
      </w:r>
      <w:r w:rsidR="00087BF7">
        <w:rPr>
          <w:rFonts w:cstheme="minorHAnsi"/>
          <w:sz w:val="20"/>
          <w:szCs w:val="20"/>
        </w:rPr>
        <w:fldChar w:fldCharType="end"/>
      </w:r>
      <w:r>
        <w:rPr>
          <w:rFonts w:cstheme="minorHAnsi"/>
          <w:sz w:val="20"/>
          <w:szCs w:val="20"/>
        </w:rPr>
        <w:t xml:space="preserve">. In 2016, this software </w:t>
      </w:r>
      <w:r w:rsidR="0049576D">
        <w:rPr>
          <w:rFonts w:cstheme="minorHAnsi"/>
          <w:sz w:val="20"/>
          <w:szCs w:val="20"/>
        </w:rPr>
        <w:t>was</w:t>
      </w:r>
      <w:r w:rsidR="002C1DC1">
        <w:rPr>
          <w:rFonts w:cstheme="minorHAnsi"/>
          <w:sz w:val="20"/>
          <w:szCs w:val="20"/>
        </w:rPr>
        <w:t xml:space="preserve"> used by </w:t>
      </w:r>
      <w:r w:rsidR="0049576D">
        <w:rPr>
          <w:rFonts w:cstheme="minorHAnsi"/>
          <w:sz w:val="20"/>
          <w:szCs w:val="20"/>
        </w:rPr>
        <w:t xml:space="preserve">nine percent of all GP practices in England (this information is unavailable for the other </w:t>
      </w:r>
      <w:r w:rsidR="0021361A">
        <w:rPr>
          <w:rFonts w:cstheme="minorHAnsi"/>
          <w:sz w:val="20"/>
          <w:szCs w:val="20"/>
        </w:rPr>
        <w:t>UK</w:t>
      </w:r>
      <w:r w:rsidR="0049576D">
        <w:rPr>
          <w:rFonts w:cstheme="minorHAnsi"/>
          <w:sz w:val="20"/>
          <w:szCs w:val="20"/>
        </w:rPr>
        <w:t xml:space="preserve"> nations; Northern Ireland, Scotland and Wales</w:t>
      </w:r>
      <w:r w:rsidR="0021361A">
        <w:rPr>
          <w:rFonts w:cstheme="minorHAnsi"/>
          <w:sz w:val="20"/>
          <w:szCs w:val="20"/>
        </w:rPr>
        <w:t>)</w:t>
      </w:r>
      <w:r w:rsidR="0049576D">
        <w:rPr>
          <w:rFonts w:cstheme="minorHAnsi"/>
          <w:sz w:val="20"/>
          <w:szCs w:val="20"/>
        </w:rPr>
        <w:t xml:space="preserve">. These practices opt-in </w:t>
      </w:r>
      <w:r w:rsidR="0025349E">
        <w:rPr>
          <w:rFonts w:cstheme="minorHAnsi"/>
          <w:sz w:val="20"/>
          <w:szCs w:val="20"/>
        </w:rPr>
        <w:t xml:space="preserve">for their data to be </w:t>
      </w:r>
      <w:r w:rsidR="005A0275">
        <w:rPr>
          <w:rFonts w:cstheme="minorHAnsi"/>
          <w:sz w:val="20"/>
          <w:szCs w:val="20"/>
        </w:rPr>
        <w:t xml:space="preserve">made </w:t>
      </w:r>
      <w:r w:rsidR="0025349E">
        <w:rPr>
          <w:rFonts w:cstheme="minorHAnsi"/>
          <w:sz w:val="20"/>
          <w:szCs w:val="20"/>
        </w:rPr>
        <w:t>available in the</w:t>
      </w:r>
      <w:r w:rsidR="0049576D">
        <w:rPr>
          <w:rFonts w:cstheme="minorHAnsi"/>
          <w:sz w:val="20"/>
          <w:szCs w:val="20"/>
        </w:rPr>
        <w:t xml:space="preserve"> THIN</w:t>
      </w:r>
      <w:r w:rsidR="0025349E">
        <w:rPr>
          <w:rFonts w:cstheme="minorHAnsi"/>
          <w:sz w:val="20"/>
          <w:szCs w:val="20"/>
        </w:rPr>
        <w:t xml:space="preserve"> database. </w:t>
      </w:r>
      <w:bookmarkEnd w:id="6"/>
      <w:r w:rsidR="0068683C" w:rsidRPr="00693035">
        <w:rPr>
          <w:rFonts w:cstheme="minorHAnsi"/>
          <w:sz w:val="20"/>
          <w:szCs w:val="20"/>
        </w:rPr>
        <w:t>THIN represents 11</w:t>
      </w:r>
      <w:r w:rsidR="00567921" w:rsidRPr="00693035">
        <w:rPr>
          <w:rFonts w:cstheme="minorHAnsi"/>
          <w:sz w:val="20"/>
          <w:szCs w:val="20"/>
        </w:rPr>
        <w:t>.</w:t>
      </w:r>
      <w:r w:rsidR="0068683C" w:rsidRPr="00693035">
        <w:rPr>
          <w:rFonts w:cstheme="minorHAnsi"/>
          <w:sz w:val="20"/>
          <w:szCs w:val="20"/>
        </w:rPr>
        <w:t xml:space="preserve">1 million </w:t>
      </w:r>
      <w:r w:rsidR="00F17969" w:rsidRPr="00693035">
        <w:rPr>
          <w:rFonts w:cstheme="minorHAnsi"/>
          <w:sz w:val="20"/>
          <w:szCs w:val="20"/>
        </w:rPr>
        <w:t xml:space="preserve">patients with </w:t>
      </w:r>
      <w:r w:rsidR="00EE658E" w:rsidRPr="00693035">
        <w:rPr>
          <w:rFonts w:cstheme="minorHAnsi"/>
          <w:sz w:val="20"/>
          <w:szCs w:val="20"/>
        </w:rPr>
        <w:t xml:space="preserve">around </w:t>
      </w:r>
      <w:r w:rsidR="00F17969" w:rsidRPr="00693035">
        <w:rPr>
          <w:rFonts w:cstheme="minorHAnsi"/>
          <w:sz w:val="20"/>
          <w:szCs w:val="20"/>
        </w:rPr>
        <w:t>4</w:t>
      </w:r>
      <w:r w:rsidR="00567921" w:rsidRPr="00693035">
        <w:rPr>
          <w:rFonts w:cstheme="minorHAnsi"/>
          <w:sz w:val="20"/>
          <w:szCs w:val="20"/>
        </w:rPr>
        <w:t>.</w:t>
      </w:r>
      <w:r w:rsidR="00F17969" w:rsidRPr="00693035">
        <w:rPr>
          <w:rFonts w:cstheme="minorHAnsi"/>
          <w:sz w:val="20"/>
          <w:szCs w:val="20"/>
        </w:rPr>
        <w:t>0 million</w:t>
      </w:r>
      <w:r w:rsidR="001467D7">
        <w:rPr>
          <w:rFonts w:cstheme="minorHAnsi"/>
          <w:sz w:val="20"/>
          <w:szCs w:val="20"/>
        </w:rPr>
        <w:t xml:space="preserve"> annually</w:t>
      </w:r>
      <w:r w:rsidR="00F17969" w:rsidRPr="00693035">
        <w:rPr>
          <w:rFonts w:cstheme="minorHAnsi"/>
          <w:sz w:val="20"/>
          <w:szCs w:val="20"/>
        </w:rPr>
        <w:t xml:space="preserve"> active patients, collected from over 700 </w:t>
      </w:r>
      <w:r w:rsidR="00700260" w:rsidRPr="00693035">
        <w:rPr>
          <w:rFonts w:cstheme="minorHAnsi"/>
          <w:sz w:val="20"/>
          <w:szCs w:val="20"/>
        </w:rPr>
        <w:t xml:space="preserve">general </w:t>
      </w:r>
      <w:r w:rsidR="00F17969" w:rsidRPr="00693035">
        <w:rPr>
          <w:rFonts w:cstheme="minorHAnsi"/>
          <w:sz w:val="20"/>
          <w:szCs w:val="20"/>
        </w:rPr>
        <w:t>practices</w:t>
      </w:r>
      <w:r w:rsidR="00B04E41">
        <w:rPr>
          <w:rFonts w:cstheme="minorHAnsi"/>
          <w:sz w:val="20"/>
          <w:szCs w:val="20"/>
        </w:rPr>
        <w:t xml:space="preserve"> in the </w:t>
      </w:r>
      <w:r w:rsidR="0049576D">
        <w:rPr>
          <w:rFonts w:cstheme="minorHAnsi"/>
          <w:sz w:val="20"/>
          <w:szCs w:val="20"/>
        </w:rPr>
        <w:t>UK</w:t>
      </w:r>
      <w:r w:rsidR="00E572AE">
        <w:rPr>
          <w:rFonts w:cstheme="minorHAnsi"/>
          <w:sz w:val="20"/>
          <w:szCs w:val="20"/>
        </w:rPr>
        <w:t>.</w:t>
      </w:r>
      <w:r w:rsidR="00F17969" w:rsidRPr="00693035">
        <w:rPr>
          <w:rFonts w:cstheme="minorHAnsi"/>
          <w:sz w:val="20"/>
          <w:szCs w:val="20"/>
        </w:rPr>
        <w:t xml:space="preserve"> </w:t>
      </w:r>
      <w:bookmarkStart w:id="7" w:name="_Hlk529029946"/>
      <w:r w:rsidR="00E63924" w:rsidRPr="001467D7">
        <w:rPr>
          <w:rFonts w:cstheme="minorHAnsi"/>
          <w:sz w:val="20"/>
          <w:szCs w:val="20"/>
        </w:rPr>
        <w:t>A</w:t>
      </w:r>
      <w:r w:rsidR="003E62B1" w:rsidRPr="001467D7">
        <w:rPr>
          <w:rFonts w:cstheme="minorHAnsi"/>
          <w:sz w:val="20"/>
          <w:szCs w:val="20"/>
        </w:rPr>
        <w:t>n active</w:t>
      </w:r>
      <w:r w:rsidR="00E63924" w:rsidRPr="001467D7">
        <w:rPr>
          <w:rFonts w:cstheme="minorHAnsi"/>
          <w:sz w:val="20"/>
          <w:szCs w:val="20"/>
        </w:rPr>
        <w:t xml:space="preserve"> pat</w:t>
      </w:r>
      <w:r w:rsidR="003E62B1" w:rsidRPr="001467D7">
        <w:rPr>
          <w:rFonts w:cstheme="minorHAnsi"/>
          <w:sz w:val="20"/>
          <w:szCs w:val="20"/>
        </w:rPr>
        <w:t xml:space="preserve">ient is defined as </w:t>
      </w:r>
      <w:r w:rsidR="00DF4650" w:rsidRPr="001467D7">
        <w:rPr>
          <w:rFonts w:cstheme="minorHAnsi"/>
          <w:sz w:val="20"/>
          <w:szCs w:val="20"/>
        </w:rPr>
        <w:t xml:space="preserve">one </w:t>
      </w:r>
      <w:r w:rsidR="003E62B1" w:rsidRPr="001467D7">
        <w:rPr>
          <w:rFonts w:cstheme="minorHAnsi"/>
          <w:sz w:val="20"/>
          <w:szCs w:val="20"/>
        </w:rPr>
        <w:t>being</w:t>
      </w:r>
      <w:r w:rsidR="00E63924" w:rsidRPr="001467D7">
        <w:rPr>
          <w:rFonts w:cstheme="minorHAnsi"/>
          <w:sz w:val="20"/>
          <w:szCs w:val="20"/>
        </w:rPr>
        <w:t xml:space="preserve"> registered to a general practice curren</w:t>
      </w:r>
      <w:r w:rsidR="003E62B1" w:rsidRPr="001467D7">
        <w:rPr>
          <w:rFonts w:cstheme="minorHAnsi"/>
          <w:sz w:val="20"/>
          <w:szCs w:val="20"/>
        </w:rPr>
        <w:t xml:space="preserve">tly supplying data to THIN, who is </w:t>
      </w:r>
      <w:r w:rsidR="00E63924" w:rsidRPr="001467D7">
        <w:rPr>
          <w:rFonts w:cstheme="minorHAnsi"/>
          <w:sz w:val="20"/>
          <w:szCs w:val="20"/>
        </w:rPr>
        <w:t>not d</w:t>
      </w:r>
      <w:r w:rsidR="003E62B1" w:rsidRPr="001467D7">
        <w:rPr>
          <w:rFonts w:cstheme="minorHAnsi"/>
          <w:sz w:val="20"/>
          <w:szCs w:val="20"/>
        </w:rPr>
        <w:t>ea</w:t>
      </w:r>
      <w:r w:rsidR="00E63924" w:rsidRPr="001467D7">
        <w:rPr>
          <w:rFonts w:cstheme="minorHAnsi"/>
          <w:sz w:val="20"/>
          <w:szCs w:val="20"/>
        </w:rPr>
        <w:t xml:space="preserve">d </w:t>
      </w:r>
      <w:r w:rsidR="00E473AD" w:rsidRPr="001467D7">
        <w:rPr>
          <w:rFonts w:cstheme="minorHAnsi"/>
          <w:sz w:val="20"/>
          <w:szCs w:val="20"/>
        </w:rPr>
        <w:t xml:space="preserve">and has not </w:t>
      </w:r>
      <w:r w:rsidR="00E63924" w:rsidRPr="001467D7">
        <w:rPr>
          <w:rFonts w:cstheme="minorHAnsi"/>
          <w:sz w:val="20"/>
          <w:szCs w:val="20"/>
        </w:rPr>
        <w:t>left the practice since the last data collection point</w:t>
      </w:r>
      <w:bookmarkEnd w:id="7"/>
      <w:r w:rsidR="00E63924" w:rsidRPr="001467D7">
        <w:rPr>
          <w:rFonts w:cstheme="minorHAnsi"/>
          <w:sz w:val="20"/>
          <w:szCs w:val="20"/>
        </w:rPr>
        <w:t>. THIN</w:t>
      </w:r>
      <w:r w:rsidR="004B59C5" w:rsidRPr="00693035">
        <w:rPr>
          <w:rFonts w:cstheme="minorHAnsi"/>
          <w:sz w:val="20"/>
          <w:szCs w:val="20"/>
        </w:rPr>
        <w:t xml:space="preserve"> has representative coverage of</w:t>
      </w:r>
      <w:r w:rsidR="00F17969" w:rsidRPr="00693035">
        <w:rPr>
          <w:rFonts w:cstheme="minorHAnsi"/>
          <w:sz w:val="20"/>
          <w:szCs w:val="20"/>
        </w:rPr>
        <w:t xml:space="preserve"> 6</w:t>
      </w:r>
      <w:r w:rsidR="00567921" w:rsidRPr="00693035">
        <w:rPr>
          <w:rFonts w:cstheme="minorHAnsi"/>
          <w:sz w:val="20"/>
          <w:szCs w:val="20"/>
        </w:rPr>
        <w:t>.</w:t>
      </w:r>
      <w:r w:rsidR="00F17969" w:rsidRPr="00693035">
        <w:rPr>
          <w:rFonts w:cstheme="minorHAnsi"/>
          <w:sz w:val="20"/>
          <w:szCs w:val="20"/>
        </w:rPr>
        <w:t>1% of the UK population</w:t>
      </w:r>
      <w:r w:rsidR="00EC2EA0" w:rsidRPr="00693035">
        <w:rPr>
          <w:rFonts w:cstheme="minorHAnsi"/>
          <w:sz w:val="20"/>
          <w:szCs w:val="20"/>
        </w:rPr>
        <w:t>,</w:t>
      </w:r>
      <w:r w:rsidR="004B59C5" w:rsidRPr="00693035">
        <w:rPr>
          <w:rFonts w:cstheme="minorHAnsi"/>
          <w:sz w:val="20"/>
          <w:szCs w:val="20"/>
        </w:rPr>
        <w:t xml:space="preserve"> </w:t>
      </w:r>
      <w:r w:rsidR="00EC2EA0" w:rsidRPr="00693035">
        <w:rPr>
          <w:rFonts w:cstheme="minorHAnsi"/>
          <w:sz w:val="20"/>
          <w:szCs w:val="20"/>
        </w:rPr>
        <w:t xml:space="preserve">and </w:t>
      </w:r>
      <w:r w:rsidR="004B59C5" w:rsidRPr="00693035">
        <w:rPr>
          <w:rFonts w:cstheme="minorHAnsi"/>
          <w:sz w:val="20"/>
          <w:szCs w:val="20"/>
        </w:rPr>
        <w:t>is representative in terms of demographics, major condition prevalence and adjusted death rates</w:t>
      </w:r>
      <w:r w:rsidR="00164185" w:rsidRPr="00693035">
        <w:rPr>
          <w:rFonts w:cstheme="minorHAnsi"/>
          <w:sz w:val="20"/>
          <w:szCs w:val="20"/>
        </w:rPr>
        <w:t xml:space="preserve"> </w:t>
      </w:r>
      <w:r w:rsidR="00D81ABC" w:rsidRPr="00693035">
        <w:rPr>
          <w:rFonts w:cstheme="minorHAnsi"/>
          <w:sz w:val="20"/>
          <w:szCs w:val="20"/>
        </w:rPr>
        <w:fldChar w:fldCharType="begin" w:fldLock="1"/>
      </w:r>
      <w:r w:rsidR="00087BF7">
        <w:rPr>
          <w:rFonts w:cstheme="minorHAnsi"/>
          <w:sz w:val="20"/>
          <w:szCs w:val="20"/>
        </w:rPr>
        <w:instrText>ADDIN CSL_CITATION {"citationItems":[{"id":"ITEM-1","itemData":{"DOI":"10.14236/jhi.v19i4.820","ISBN":"1476-0320","ISSN":"14760320","PMID":"22828580","abstract":"The degree of generalisability of patient databases to the general population is important for interpreting database research. This report describes the representativeness of The Health Improvement Network (THIN), a UK primary care database, of the UK population.","author":[{"dropping-particle":"","family":"Blak","given":"Betina T.","non-dropping-particle":"","parse-names":false,"suffix":""},{"dropping-particle":"","family":"Thompson","given":"Mary","non-dropping-particle":"","parse-names":false,"suffix":""},{"dropping-particle":"","family":"Dattani","given":"Hassy","non-dropping-particle":"","parse-names":false,"suffix":""},{"dropping-particle":"","family":"Bourke","given":"Alison","non-dropping-particle":"","parse-names":false,"suffix":""}],"container-title":"Informatics in Primary Care","id":"ITEM-1","issue":"4","issued":{"date-parts":[["2011"]]},"page":"251-255","title":"Generalisability of the Health Improvement Network (THIN) database: Demographics, chronic disease prevalence and mortality rates","type":"article-journal","volume":"19"},"uris":["http://www.mendeley.com/documents/?uuid=8c8cc0e3-5922-4d11-8ad5-397e60dc3252"]}],"mendeley":{"formattedCitation":"(20)","plainTextFormattedCitation":"(20)","previouslyFormattedCitation":"(20)"},"properties":{"noteIndex":0},"schema":"https://github.com/citation-style-language/schema/raw/master/csl-citation.json"}</w:instrText>
      </w:r>
      <w:r w:rsidR="00D81ABC" w:rsidRPr="00693035">
        <w:rPr>
          <w:rFonts w:cstheme="minorHAnsi"/>
          <w:sz w:val="20"/>
          <w:szCs w:val="20"/>
        </w:rPr>
        <w:fldChar w:fldCharType="separate"/>
      </w:r>
      <w:r w:rsidR="00087BF7" w:rsidRPr="00087BF7">
        <w:rPr>
          <w:rFonts w:cstheme="minorHAnsi"/>
          <w:noProof/>
          <w:sz w:val="20"/>
          <w:szCs w:val="20"/>
        </w:rPr>
        <w:t>(20)</w:t>
      </w:r>
      <w:r w:rsidR="00D81ABC" w:rsidRPr="00693035">
        <w:rPr>
          <w:rFonts w:cstheme="minorHAnsi"/>
          <w:sz w:val="20"/>
          <w:szCs w:val="20"/>
        </w:rPr>
        <w:fldChar w:fldCharType="end"/>
      </w:r>
      <w:r w:rsidR="00164185" w:rsidRPr="00693035">
        <w:rPr>
          <w:rFonts w:cstheme="minorHAnsi"/>
          <w:sz w:val="20"/>
          <w:szCs w:val="20"/>
        </w:rPr>
        <w:t>.</w:t>
      </w:r>
      <w:r w:rsidR="004B59C5" w:rsidRPr="00693035">
        <w:rPr>
          <w:rFonts w:cstheme="minorHAnsi"/>
          <w:sz w:val="20"/>
          <w:szCs w:val="20"/>
        </w:rPr>
        <w:t xml:space="preserve"> All patients and general practices are pseudo</w:t>
      </w:r>
      <w:r w:rsidR="00853F7F">
        <w:rPr>
          <w:rFonts w:cstheme="minorHAnsi"/>
          <w:sz w:val="20"/>
          <w:szCs w:val="20"/>
        </w:rPr>
        <w:t>-</w:t>
      </w:r>
      <w:proofErr w:type="spellStart"/>
      <w:r w:rsidR="004B59C5" w:rsidRPr="00693035">
        <w:rPr>
          <w:rFonts w:cstheme="minorHAnsi"/>
          <w:sz w:val="20"/>
          <w:szCs w:val="20"/>
        </w:rPr>
        <w:t>anonymised</w:t>
      </w:r>
      <w:proofErr w:type="spellEnd"/>
      <w:r w:rsidR="009F324F" w:rsidRPr="00693035">
        <w:rPr>
          <w:rFonts w:cstheme="minorHAnsi"/>
          <w:sz w:val="20"/>
          <w:szCs w:val="20"/>
        </w:rPr>
        <w:t xml:space="preserve"> and</w:t>
      </w:r>
      <w:r w:rsidR="00D11403" w:rsidRPr="00693035">
        <w:rPr>
          <w:rFonts w:cstheme="minorHAnsi"/>
          <w:sz w:val="20"/>
          <w:szCs w:val="20"/>
        </w:rPr>
        <w:t xml:space="preserve"> demographic information </w:t>
      </w:r>
      <w:r w:rsidR="00D26FF3" w:rsidRPr="00693035">
        <w:rPr>
          <w:rFonts w:cstheme="minorHAnsi"/>
          <w:sz w:val="20"/>
          <w:szCs w:val="20"/>
        </w:rPr>
        <w:t>is</w:t>
      </w:r>
      <w:r w:rsidR="009F324F" w:rsidRPr="00693035">
        <w:rPr>
          <w:rFonts w:cstheme="minorHAnsi"/>
          <w:sz w:val="20"/>
          <w:szCs w:val="20"/>
        </w:rPr>
        <w:t xml:space="preserve"> available at patient level for:</w:t>
      </w:r>
      <w:r w:rsidR="004B59C5" w:rsidRPr="00693035">
        <w:rPr>
          <w:rFonts w:cstheme="minorHAnsi"/>
          <w:sz w:val="20"/>
          <w:szCs w:val="20"/>
        </w:rPr>
        <w:t xml:space="preserve"> age, sex, ethnicity,</w:t>
      </w:r>
      <w:r w:rsidR="00971BBB">
        <w:rPr>
          <w:rFonts w:cstheme="minorHAnsi"/>
          <w:sz w:val="20"/>
          <w:szCs w:val="20"/>
        </w:rPr>
        <w:t xml:space="preserve"> and</w:t>
      </w:r>
      <w:r w:rsidR="004B59C5" w:rsidRPr="00693035">
        <w:rPr>
          <w:rFonts w:cstheme="minorHAnsi"/>
          <w:sz w:val="20"/>
          <w:szCs w:val="20"/>
        </w:rPr>
        <w:t xml:space="preserve"> </w:t>
      </w:r>
      <w:r w:rsidR="00030B06" w:rsidRPr="00693035">
        <w:rPr>
          <w:rFonts w:cstheme="minorHAnsi"/>
          <w:sz w:val="20"/>
          <w:szCs w:val="20"/>
        </w:rPr>
        <w:t>nation of residence</w:t>
      </w:r>
      <w:r w:rsidR="00971BBB">
        <w:rPr>
          <w:rFonts w:cstheme="minorHAnsi"/>
          <w:sz w:val="20"/>
          <w:szCs w:val="20"/>
        </w:rPr>
        <w:t xml:space="preserve">. </w:t>
      </w:r>
      <w:bookmarkStart w:id="8" w:name="_Hlk32844893"/>
      <w:r w:rsidR="005A0275">
        <w:rPr>
          <w:rFonts w:cstheme="minorHAnsi"/>
          <w:sz w:val="20"/>
          <w:szCs w:val="20"/>
        </w:rPr>
        <w:t>There</w:t>
      </w:r>
      <w:r w:rsidR="008B4ECF">
        <w:rPr>
          <w:rFonts w:cstheme="minorHAnsi"/>
          <w:sz w:val="20"/>
          <w:szCs w:val="20"/>
        </w:rPr>
        <w:t xml:space="preserve"> was</w:t>
      </w:r>
      <w:r w:rsidR="005A0275">
        <w:rPr>
          <w:rFonts w:cstheme="minorHAnsi"/>
          <w:sz w:val="20"/>
          <w:szCs w:val="20"/>
        </w:rPr>
        <w:t xml:space="preserve"> no</w:t>
      </w:r>
      <w:r w:rsidR="00D3007B">
        <w:rPr>
          <w:rFonts w:cstheme="minorHAnsi"/>
          <w:sz w:val="20"/>
          <w:szCs w:val="20"/>
        </w:rPr>
        <w:t xml:space="preserve"> available</w:t>
      </w:r>
      <w:r w:rsidR="005A0275">
        <w:rPr>
          <w:rFonts w:cstheme="minorHAnsi"/>
          <w:sz w:val="20"/>
          <w:szCs w:val="20"/>
        </w:rPr>
        <w:t xml:space="preserve"> information about the geographic distribution of THIN</w:t>
      </w:r>
      <w:r w:rsidR="00D3007B">
        <w:rPr>
          <w:rFonts w:cstheme="minorHAnsi"/>
          <w:sz w:val="20"/>
          <w:szCs w:val="20"/>
        </w:rPr>
        <w:t xml:space="preserve"> reporting practice</w:t>
      </w:r>
      <w:r w:rsidR="00F86328">
        <w:rPr>
          <w:rFonts w:cstheme="minorHAnsi"/>
          <w:sz w:val="20"/>
          <w:szCs w:val="20"/>
        </w:rPr>
        <w:t>s</w:t>
      </w:r>
      <w:r w:rsidR="00D3007B">
        <w:rPr>
          <w:rFonts w:cstheme="minorHAnsi"/>
          <w:sz w:val="20"/>
          <w:szCs w:val="20"/>
        </w:rPr>
        <w:t xml:space="preserve">. </w:t>
      </w:r>
      <w:r w:rsidR="006C64E3">
        <w:rPr>
          <w:rFonts w:cstheme="minorHAnsi"/>
          <w:sz w:val="20"/>
          <w:szCs w:val="20"/>
        </w:rPr>
        <w:t xml:space="preserve">However, the distribution of </w:t>
      </w:r>
      <w:r w:rsidR="007034E3">
        <w:rPr>
          <w:rFonts w:cstheme="minorHAnsi"/>
          <w:sz w:val="20"/>
          <w:szCs w:val="20"/>
        </w:rPr>
        <w:t>practice management software</w:t>
      </w:r>
      <w:r w:rsidR="006C64E3">
        <w:rPr>
          <w:rFonts w:cstheme="minorHAnsi"/>
          <w:sz w:val="20"/>
          <w:szCs w:val="20"/>
        </w:rPr>
        <w:t xml:space="preserve"> in English primary care in 2016 </w:t>
      </w:r>
      <w:r w:rsidR="008B4ECF">
        <w:rPr>
          <w:rFonts w:cstheme="minorHAnsi"/>
          <w:sz w:val="20"/>
          <w:szCs w:val="20"/>
        </w:rPr>
        <w:t>was</w:t>
      </w:r>
      <w:r w:rsidR="006C64E3">
        <w:rPr>
          <w:rFonts w:cstheme="minorHAnsi"/>
          <w:sz w:val="20"/>
          <w:szCs w:val="20"/>
        </w:rPr>
        <w:t xml:space="preserve"> known </w:t>
      </w:r>
      <w:r w:rsidR="006C64E3">
        <w:rPr>
          <w:rFonts w:cstheme="minorHAnsi"/>
          <w:sz w:val="20"/>
          <w:szCs w:val="20"/>
        </w:rPr>
        <w:fldChar w:fldCharType="begin" w:fldLock="1"/>
      </w:r>
      <w:r w:rsidR="00087BF7">
        <w:rPr>
          <w:rFonts w:cstheme="minorHAnsi"/>
          <w:sz w:val="20"/>
          <w:szCs w:val="20"/>
        </w:rPr>
        <w:instrText>ADDIN CSL_CITATION {"citationItems":[{"id":"ITEM-1","itemData":{"DOI":"10.1136/bmjopen-2017-020738","ISSN":"2044-6055","author":[{"dropping-particle":"","family":"Kontopantelis","given":"Evangelos","non-dropping-particle":"","parse-names":false,"suffix":""},{"dropping-particle":"","family":"Ashcroft","given":"Darren M","non-dropping-particle":"","parse-names":false,"suffix":""},{"dropping-particle":"","family":"Stevens","given":"Richard","non-dropping-particle":"","parse-names":false,"suffix":""},{"dropping-particle":"","family":"Helms","given":"Peter","non-dropping-particle":"","parse-names":false,"suffix":""},{"dropping-particle":"","family":"Edwards","given":"Duncan","non-dropping-particle":"","parse-names":false,"suffix":""},{"dropping-particle":"","family":"Doran","given":"Tim","non-dropping-particle":"","parse-names":false,"suffix":""}],"container-title":"BMJ Open (In press)","id":"ITEM-1","issued":{"date-parts":[["2018"]]},"page":"1-8","title":"Spatial distribution of clinical computer systems in primary care in England in 2016 and implications for primary care electronic medical record databases: a cross sectional population study","type":"article-journal","volume":"3"},"uris":["http://www.mendeley.com/documents/?uuid=300dbe17-2103-435f-aee3-57244772ef00"]}],"mendeley":{"formattedCitation":"(21)","plainTextFormattedCitation":"(21)","previouslyFormattedCitation":"(21)"},"properties":{"noteIndex":0},"schema":"https://github.com/citation-style-language/schema/raw/master/csl-citation.json"}</w:instrText>
      </w:r>
      <w:r w:rsidR="006C64E3">
        <w:rPr>
          <w:rFonts w:cstheme="minorHAnsi"/>
          <w:sz w:val="20"/>
          <w:szCs w:val="20"/>
        </w:rPr>
        <w:fldChar w:fldCharType="separate"/>
      </w:r>
      <w:r w:rsidR="00087BF7" w:rsidRPr="00087BF7">
        <w:rPr>
          <w:rFonts w:cstheme="minorHAnsi"/>
          <w:noProof/>
          <w:sz w:val="20"/>
          <w:szCs w:val="20"/>
        </w:rPr>
        <w:t>(21)</w:t>
      </w:r>
      <w:r w:rsidR="006C64E3">
        <w:rPr>
          <w:rFonts w:cstheme="minorHAnsi"/>
          <w:sz w:val="20"/>
          <w:szCs w:val="20"/>
        </w:rPr>
        <w:fldChar w:fldCharType="end"/>
      </w:r>
      <w:r w:rsidR="008B4ECF">
        <w:rPr>
          <w:rFonts w:cstheme="minorHAnsi"/>
          <w:sz w:val="20"/>
          <w:szCs w:val="20"/>
        </w:rPr>
        <w:t>. All</w:t>
      </w:r>
      <w:r w:rsidR="006C64E3">
        <w:rPr>
          <w:rFonts w:cstheme="minorHAnsi"/>
          <w:sz w:val="20"/>
          <w:szCs w:val="20"/>
        </w:rPr>
        <w:t xml:space="preserve"> the</w:t>
      </w:r>
      <w:r w:rsidR="007034E3">
        <w:rPr>
          <w:rFonts w:cstheme="minorHAnsi"/>
          <w:sz w:val="20"/>
          <w:szCs w:val="20"/>
        </w:rPr>
        <w:t>se</w:t>
      </w:r>
      <w:r w:rsidR="006C64E3">
        <w:rPr>
          <w:rFonts w:cstheme="minorHAnsi"/>
          <w:sz w:val="20"/>
          <w:szCs w:val="20"/>
        </w:rPr>
        <w:t xml:space="preserve"> systems have high regional variability. VISION </w:t>
      </w:r>
      <w:r w:rsidR="00616B04">
        <w:rPr>
          <w:rFonts w:cstheme="minorHAnsi"/>
          <w:sz w:val="20"/>
          <w:szCs w:val="20"/>
        </w:rPr>
        <w:t>was the most geographica</w:t>
      </w:r>
      <w:r w:rsidR="00260472">
        <w:rPr>
          <w:rFonts w:cstheme="minorHAnsi"/>
          <w:sz w:val="20"/>
          <w:szCs w:val="20"/>
        </w:rPr>
        <w:t xml:space="preserve">lly restricted, with coverage significantly lacking in the North and East of England. It is unknown </w:t>
      </w:r>
      <w:r w:rsidR="00260472">
        <w:rPr>
          <w:rFonts w:cstheme="minorHAnsi"/>
          <w:sz w:val="20"/>
          <w:szCs w:val="20"/>
        </w:rPr>
        <w:lastRenderedPageBreak/>
        <w:t>which of the VISION practices are part of THIN, and what the geographic coverage is in other nations</w:t>
      </w:r>
      <w:r w:rsidR="007034E3">
        <w:rPr>
          <w:rFonts w:cstheme="minorHAnsi"/>
          <w:sz w:val="20"/>
          <w:szCs w:val="20"/>
        </w:rPr>
        <w:t>.</w:t>
      </w:r>
      <w:r w:rsidR="00260472">
        <w:rPr>
          <w:rFonts w:cstheme="minorHAnsi"/>
          <w:sz w:val="20"/>
          <w:szCs w:val="20"/>
        </w:rPr>
        <w:t xml:space="preserve"> </w:t>
      </w:r>
      <w:r w:rsidR="007034E3">
        <w:rPr>
          <w:rFonts w:cstheme="minorHAnsi"/>
          <w:sz w:val="20"/>
          <w:szCs w:val="20"/>
        </w:rPr>
        <w:t>W</w:t>
      </w:r>
      <w:r w:rsidR="00BF0EE5">
        <w:rPr>
          <w:rFonts w:cstheme="minorHAnsi"/>
          <w:sz w:val="20"/>
          <w:szCs w:val="20"/>
        </w:rPr>
        <w:t xml:space="preserve">e </w:t>
      </w:r>
      <w:r w:rsidR="00260472">
        <w:rPr>
          <w:rFonts w:cstheme="minorHAnsi"/>
          <w:sz w:val="20"/>
          <w:szCs w:val="20"/>
        </w:rPr>
        <w:t>cannot conclude how geographically representative the THIN database is for the UK.</w:t>
      </w:r>
      <w:r w:rsidR="00616B04">
        <w:rPr>
          <w:rFonts w:cstheme="minorHAnsi"/>
          <w:sz w:val="20"/>
          <w:szCs w:val="20"/>
        </w:rPr>
        <w:t xml:space="preserve"> </w:t>
      </w:r>
      <w:r w:rsidR="006C64E3">
        <w:rPr>
          <w:rFonts w:cstheme="minorHAnsi"/>
          <w:sz w:val="20"/>
          <w:szCs w:val="20"/>
        </w:rPr>
        <w:t xml:space="preserve"> </w:t>
      </w:r>
      <w:bookmarkEnd w:id="8"/>
    </w:p>
    <w:p w14:paraId="67D11AC2" w14:textId="6ECEA71D" w:rsidR="00971BBB" w:rsidRDefault="003E62B1" w:rsidP="00693035">
      <w:pPr>
        <w:spacing w:line="480" w:lineRule="auto"/>
        <w:jc w:val="both"/>
        <w:rPr>
          <w:rFonts w:cstheme="minorHAnsi"/>
          <w:sz w:val="20"/>
          <w:szCs w:val="20"/>
        </w:rPr>
      </w:pPr>
      <w:r w:rsidRPr="001467D7">
        <w:rPr>
          <w:rFonts w:cstheme="minorHAnsi"/>
          <w:sz w:val="20"/>
          <w:szCs w:val="20"/>
        </w:rPr>
        <w:t>T</w:t>
      </w:r>
      <w:r w:rsidR="00971BBB" w:rsidRPr="001467D7">
        <w:rPr>
          <w:rFonts w:cstheme="minorHAnsi"/>
          <w:sz w:val="20"/>
          <w:szCs w:val="20"/>
        </w:rPr>
        <w:t>he representativeness of ethnicity</w:t>
      </w:r>
      <w:r w:rsidR="00E17F6E" w:rsidRPr="001467D7">
        <w:rPr>
          <w:rFonts w:cstheme="minorHAnsi"/>
          <w:sz w:val="20"/>
          <w:szCs w:val="20"/>
        </w:rPr>
        <w:t xml:space="preserve"> data within THIN</w:t>
      </w:r>
      <w:r w:rsidR="00971BBB" w:rsidRPr="001467D7">
        <w:rPr>
          <w:rFonts w:cstheme="minorHAnsi"/>
          <w:sz w:val="20"/>
          <w:szCs w:val="20"/>
        </w:rPr>
        <w:t xml:space="preserve"> has been questioned</w:t>
      </w:r>
      <w:r w:rsidRPr="001467D7">
        <w:rPr>
          <w:rFonts w:cstheme="minorHAnsi"/>
          <w:sz w:val="20"/>
          <w:szCs w:val="20"/>
        </w:rPr>
        <w:t>,</w:t>
      </w:r>
      <w:r w:rsidR="00971BBB" w:rsidRPr="001467D7">
        <w:rPr>
          <w:rFonts w:cstheme="minorHAnsi"/>
          <w:sz w:val="20"/>
          <w:szCs w:val="20"/>
        </w:rPr>
        <w:t xml:space="preserve"> as the level of missingness at case-level </w:t>
      </w:r>
      <w:r w:rsidR="00E17F6E" w:rsidRPr="001467D7">
        <w:rPr>
          <w:rFonts w:cstheme="minorHAnsi"/>
          <w:sz w:val="20"/>
          <w:szCs w:val="20"/>
        </w:rPr>
        <w:t>is high. Between 2000 and 2013,</w:t>
      </w:r>
      <w:r w:rsidR="00971BBB" w:rsidRPr="001467D7">
        <w:rPr>
          <w:rFonts w:cstheme="minorHAnsi"/>
          <w:sz w:val="20"/>
          <w:szCs w:val="20"/>
        </w:rPr>
        <w:t xml:space="preserve"> 60% of </w:t>
      </w:r>
      <w:r w:rsidR="00E17F6E" w:rsidRPr="001467D7">
        <w:rPr>
          <w:rFonts w:cstheme="minorHAnsi"/>
          <w:sz w:val="20"/>
          <w:szCs w:val="20"/>
        </w:rPr>
        <w:t xml:space="preserve">THIN </w:t>
      </w:r>
      <w:r w:rsidR="00971BBB" w:rsidRPr="001467D7">
        <w:rPr>
          <w:rFonts w:cstheme="minorHAnsi"/>
          <w:sz w:val="20"/>
          <w:szCs w:val="20"/>
        </w:rPr>
        <w:t>patient records ha</w:t>
      </w:r>
      <w:r w:rsidR="00E17F6E" w:rsidRPr="001467D7">
        <w:rPr>
          <w:rFonts w:cstheme="minorHAnsi"/>
          <w:sz w:val="20"/>
          <w:szCs w:val="20"/>
        </w:rPr>
        <w:t>d</w:t>
      </w:r>
      <w:r w:rsidR="00971BBB" w:rsidRPr="001467D7">
        <w:rPr>
          <w:rFonts w:cstheme="minorHAnsi"/>
          <w:sz w:val="20"/>
          <w:szCs w:val="20"/>
        </w:rPr>
        <w:t xml:space="preserve"> missing ethnicity </w:t>
      </w:r>
      <w:r w:rsidR="00E17F6E" w:rsidRPr="001467D7">
        <w:rPr>
          <w:rFonts w:cstheme="minorHAnsi"/>
          <w:sz w:val="20"/>
          <w:szCs w:val="20"/>
        </w:rPr>
        <w:t xml:space="preserve">information </w:t>
      </w:r>
      <w:r w:rsidR="00E17F6E" w:rsidRPr="001467D7">
        <w:rPr>
          <w:rFonts w:cstheme="minorHAnsi"/>
          <w:sz w:val="20"/>
          <w:szCs w:val="20"/>
        </w:rPr>
        <w:fldChar w:fldCharType="begin" w:fldLock="1"/>
      </w:r>
      <w:r w:rsidR="00087BF7">
        <w:rPr>
          <w:rFonts w:cstheme="minorHAnsi"/>
          <w:sz w:val="20"/>
          <w:szCs w:val="20"/>
        </w:rPr>
        <w:instrText>ADDIN CSL_CITATION {"citationItems":[{"id":"ITEM-1","itemData":{"abstract":"Tra Pham &amp; Tim P. Morris &amp; Irene Petersen, 2015. \"Ethnicity recording in primary care: multiple imputation of missing data in ethnicity recording using The Health Improvement Network (THIN) database,\" United Kingdom Stata Users' Group Meetings 2015 07, Stata Users Group.","author":[{"dropping-particle":"","family":"Pham","given":"Tra","non-dropping-particle":"","parse-names":false,"suffix":""},{"dropping-particle":"","family":"Tim","given":"Morris","non-dropping-particle":"","parse-names":false,"suffix":""},{"dropping-particle":"","family":"Petersen","given":"Irene","non-dropping-particle":"","parse-names":false,"suffix":""}],"id":"ITEM-1","issued":{"date-parts":[["2015"]]},"title":"EEthnicity recording in primary care: multiple imputation of missing data in ethnicity recording using The Health Improvement Network (THIN) database","type":"paper-conference"},"uris":["http://www.mendeley.com/documents/?uuid=dab82e6e-d937-4a78-9f86-cf964eaddcdd"]}],"mendeley":{"formattedCitation":"(22)","plainTextFormattedCitation":"(22)","previouslyFormattedCitation":"(22)"},"properties":{"noteIndex":0},"schema":"https://github.com/citation-style-language/schema/raw/master/csl-citation.json"}</w:instrText>
      </w:r>
      <w:r w:rsidR="00E17F6E" w:rsidRPr="001467D7">
        <w:rPr>
          <w:rFonts w:cstheme="minorHAnsi"/>
          <w:sz w:val="20"/>
          <w:szCs w:val="20"/>
        </w:rPr>
        <w:fldChar w:fldCharType="separate"/>
      </w:r>
      <w:r w:rsidR="00087BF7" w:rsidRPr="00087BF7">
        <w:rPr>
          <w:rFonts w:cstheme="minorHAnsi"/>
          <w:noProof/>
          <w:sz w:val="20"/>
          <w:szCs w:val="20"/>
        </w:rPr>
        <w:t>(22)</w:t>
      </w:r>
      <w:r w:rsidR="00E17F6E" w:rsidRPr="001467D7">
        <w:rPr>
          <w:rFonts w:cstheme="minorHAnsi"/>
          <w:sz w:val="20"/>
          <w:szCs w:val="20"/>
        </w:rPr>
        <w:fldChar w:fldCharType="end"/>
      </w:r>
      <w:r w:rsidR="00E17F6E" w:rsidRPr="001467D7">
        <w:rPr>
          <w:rFonts w:cstheme="minorHAnsi"/>
          <w:sz w:val="20"/>
          <w:szCs w:val="20"/>
        </w:rPr>
        <w:t xml:space="preserve">. </w:t>
      </w:r>
      <w:bookmarkStart w:id="9" w:name="_Hlk529174642"/>
      <w:r w:rsidR="00E17F6E" w:rsidRPr="001467D7">
        <w:rPr>
          <w:rFonts w:cstheme="minorHAnsi"/>
          <w:sz w:val="20"/>
          <w:szCs w:val="20"/>
        </w:rPr>
        <w:t xml:space="preserve">Ethnicity data </w:t>
      </w:r>
      <w:r w:rsidR="00DF4650" w:rsidRPr="001467D7">
        <w:rPr>
          <w:rFonts w:cstheme="minorHAnsi"/>
          <w:sz w:val="20"/>
          <w:szCs w:val="20"/>
        </w:rPr>
        <w:t xml:space="preserve">are </w:t>
      </w:r>
      <w:r w:rsidR="00E17F6E" w:rsidRPr="001467D7">
        <w:rPr>
          <w:rFonts w:cstheme="minorHAnsi"/>
          <w:sz w:val="20"/>
          <w:szCs w:val="20"/>
        </w:rPr>
        <w:t xml:space="preserve">based upon patient-provided information </w:t>
      </w:r>
      <w:proofErr w:type="spellStart"/>
      <w:r w:rsidR="00E17F6E" w:rsidRPr="001467D7">
        <w:rPr>
          <w:rFonts w:cstheme="minorHAnsi"/>
          <w:sz w:val="20"/>
          <w:szCs w:val="20"/>
        </w:rPr>
        <w:t>categorised</w:t>
      </w:r>
      <w:proofErr w:type="spellEnd"/>
      <w:r w:rsidR="00E17F6E" w:rsidRPr="001467D7">
        <w:rPr>
          <w:rFonts w:cstheme="minorHAnsi"/>
          <w:sz w:val="20"/>
          <w:szCs w:val="20"/>
        </w:rPr>
        <w:t xml:space="preserve"> into the </w:t>
      </w:r>
      <w:r w:rsidR="00D21417" w:rsidRPr="001467D7">
        <w:rPr>
          <w:rFonts w:cstheme="minorHAnsi"/>
          <w:sz w:val="20"/>
          <w:szCs w:val="20"/>
        </w:rPr>
        <w:t xml:space="preserve">following </w:t>
      </w:r>
      <w:r w:rsidR="00E17F6E" w:rsidRPr="001467D7">
        <w:rPr>
          <w:rFonts w:cstheme="minorHAnsi"/>
          <w:sz w:val="20"/>
          <w:szCs w:val="20"/>
        </w:rPr>
        <w:t xml:space="preserve">2011 census groups; ‘White’, ‘Mixed’, ‘Asian’, ‘Black’, and ‘Other’ </w:t>
      </w:r>
      <w:r w:rsidR="00E17F6E" w:rsidRPr="001467D7">
        <w:rPr>
          <w:rFonts w:cstheme="minorHAnsi"/>
          <w:sz w:val="20"/>
          <w:szCs w:val="20"/>
        </w:rPr>
        <w:fldChar w:fldCharType="begin" w:fldLock="1"/>
      </w:r>
      <w:r w:rsidR="00087BF7">
        <w:rPr>
          <w:rFonts w:cstheme="minorHAnsi"/>
          <w:sz w:val="20"/>
          <w:szCs w:val="20"/>
        </w:rPr>
        <w:instrText>ADDIN CSL_CITATION {"citationItems":[{"id":"ITEM-1","itemData":{"URL":"https://www.ons.gov.uk/peoplepopulationandcommunity/culturalidentity/ethnicity/articles/ethnicityandnationalidentityinenglandandwales/2012-12-11","accessed":{"date-parts":[["2017","12","15"]]},"author":[{"dropping-particle":"","family":"Office for National Statistics","given":"","non-dropping-particle":"","parse-names":false,"suffix":""}],"id":"ITEM-1","issued":{"date-parts":[["0"]]},"title":"Ethnicity and national identity in England and Wales: 2011","type":"webpage"},"uris":["http://www.mendeley.com/documents/?uuid=b622530d-ea48-4be7-a899-c92233b2fb1c"]},{"id":"ITEM-2","itemData":{"URL":"https://www.ons.gov.uk/census/2011census/2011ukcensuses/ukcensusesdata","accessed":{"date-parts":[["2017","12","20"]]},"author":[{"dropping-particle":"","family":"Office for National Statistics","given":"","non-dropping-particle":"","parse-names":false,"suffix":""}],"id":"ITEM-2","issued":{"date-parts":[["0"]]},"title":"UK censuses data","type":"webpage"},"uris":["http://www.mendeley.com/documents/?uuid=a5992e57-8b81-401b-8040-a489bc7e64ce"]}],"mendeley":{"formattedCitation":"(23,24)","plainTextFormattedCitation":"(23,24)","previouslyFormattedCitation":"(23,24)"},"properties":{"noteIndex":0},"schema":"https://github.com/citation-style-language/schema/raw/master/csl-citation.json"}</w:instrText>
      </w:r>
      <w:r w:rsidR="00E17F6E" w:rsidRPr="001467D7">
        <w:rPr>
          <w:rFonts w:cstheme="minorHAnsi"/>
          <w:sz w:val="20"/>
          <w:szCs w:val="20"/>
        </w:rPr>
        <w:fldChar w:fldCharType="separate"/>
      </w:r>
      <w:r w:rsidR="00087BF7" w:rsidRPr="00087BF7">
        <w:rPr>
          <w:rFonts w:cstheme="minorHAnsi"/>
          <w:noProof/>
          <w:sz w:val="20"/>
          <w:szCs w:val="20"/>
        </w:rPr>
        <w:t>(23,24)</w:t>
      </w:r>
      <w:r w:rsidR="00E17F6E" w:rsidRPr="001467D7">
        <w:rPr>
          <w:rFonts w:cstheme="minorHAnsi"/>
          <w:sz w:val="20"/>
          <w:szCs w:val="20"/>
        </w:rPr>
        <w:fldChar w:fldCharType="end"/>
      </w:r>
      <w:r w:rsidR="00E17F6E" w:rsidRPr="001467D7">
        <w:rPr>
          <w:rFonts w:cstheme="minorHAnsi"/>
          <w:sz w:val="20"/>
          <w:szCs w:val="20"/>
        </w:rPr>
        <w:t>.</w:t>
      </w:r>
      <w:bookmarkEnd w:id="9"/>
    </w:p>
    <w:p w14:paraId="5BFC75EB" w14:textId="3FB86341" w:rsidR="0068683C" w:rsidRPr="00265D38" w:rsidRDefault="00DF66C0" w:rsidP="00693035">
      <w:pPr>
        <w:spacing w:line="480" w:lineRule="auto"/>
        <w:jc w:val="both"/>
        <w:rPr>
          <w:rFonts w:cstheme="minorHAnsi"/>
          <w:sz w:val="20"/>
          <w:szCs w:val="20"/>
          <w:highlight w:val="yellow"/>
        </w:rPr>
      </w:pPr>
      <w:r w:rsidRPr="001467D7">
        <w:rPr>
          <w:rFonts w:cstheme="minorHAnsi"/>
          <w:sz w:val="20"/>
          <w:szCs w:val="20"/>
        </w:rPr>
        <w:t xml:space="preserve">The remaining sociodemographic variables under assessment </w:t>
      </w:r>
      <w:r w:rsidR="00794010" w:rsidRPr="001467D7">
        <w:rPr>
          <w:rFonts w:cstheme="minorHAnsi"/>
          <w:sz w:val="20"/>
          <w:szCs w:val="20"/>
        </w:rPr>
        <w:t xml:space="preserve">were </w:t>
      </w:r>
      <w:r w:rsidR="004B59C5" w:rsidRPr="001467D7">
        <w:rPr>
          <w:rFonts w:cstheme="minorHAnsi"/>
          <w:sz w:val="20"/>
          <w:szCs w:val="20"/>
        </w:rPr>
        <w:t>Townsend score</w:t>
      </w:r>
      <w:r w:rsidR="00D1405F" w:rsidRPr="001467D7">
        <w:rPr>
          <w:rFonts w:cstheme="minorHAnsi"/>
          <w:sz w:val="20"/>
          <w:szCs w:val="20"/>
        </w:rPr>
        <w:t>s</w:t>
      </w:r>
      <w:r w:rsidR="0026751F" w:rsidRPr="001467D7">
        <w:rPr>
          <w:rFonts w:cstheme="minorHAnsi"/>
          <w:sz w:val="20"/>
          <w:szCs w:val="20"/>
        </w:rPr>
        <w:t xml:space="preserve"> (an indicator of material deprivation)</w:t>
      </w:r>
      <w:r w:rsidR="00B26A56" w:rsidRPr="001467D7">
        <w:rPr>
          <w:rFonts w:cstheme="minorHAnsi"/>
          <w:sz w:val="20"/>
          <w:szCs w:val="20"/>
        </w:rPr>
        <w:t xml:space="preserve"> </w:t>
      </w:r>
      <w:r w:rsidR="00B26A56" w:rsidRPr="001467D7">
        <w:rPr>
          <w:rFonts w:cstheme="minorHAnsi"/>
          <w:sz w:val="20"/>
          <w:szCs w:val="20"/>
        </w:rPr>
        <w:fldChar w:fldCharType="begin" w:fldLock="1"/>
      </w:r>
      <w:r w:rsidR="00087BF7">
        <w:rPr>
          <w:rFonts w:cstheme="minorHAnsi"/>
          <w:sz w:val="20"/>
          <w:szCs w:val="20"/>
        </w:rPr>
        <w:instrText>ADDIN CSL_CITATION {"citationItems":[{"id":"ITEM-1","itemData":{"ISBN":"0047279400","author":[{"dropping-particle":"","family":"Townsendj","given":"Peter","non-dropping-particle":"","parse-names":false,"suffix":""}],"id":"ITEM-1","issued":{"date-parts":[["2018"]]},"page":"125-146","title":"Deprivation *","type":"article-journal"},"uris":["http://www.mendeley.com/documents/?uuid=6f0b8f94-e00b-4df7-9bcc-d58afebe5b77"]}],"mendeley":{"formattedCitation":"(25)","plainTextFormattedCitation":"(25)","previouslyFormattedCitation":"(25)"},"properties":{"noteIndex":0},"schema":"https://github.com/citation-style-language/schema/raw/master/csl-citation.json"}</w:instrText>
      </w:r>
      <w:r w:rsidR="00B26A56" w:rsidRPr="001467D7">
        <w:rPr>
          <w:rFonts w:cstheme="minorHAnsi"/>
          <w:sz w:val="20"/>
          <w:szCs w:val="20"/>
        </w:rPr>
        <w:fldChar w:fldCharType="separate"/>
      </w:r>
      <w:r w:rsidR="00087BF7" w:rsidRPr="00087BF7">
        <w:rPr>
          <w:rFonts w:cstheme="minorHAnsi"/>
          <w:noProof/>
          <w:sz w:val="20"/>
          <w:szCs w:val="20"/>
        </w:rPr>
        <w:t>(25)</w:t>
      </w:r>
      <w:r w:rsidR="00B26A56" w:rsidRPr="001467D7">
        <w:rPr>
          <w:rFonts w:cstheme="minorHAnsi"/>
          <w:sz w:val="20"/>
          <w:szCs w:val="20"/>
        </w:rPr>
        <w:fldChar w:fldCharType="end"/>
      </w:r>
      <w:r w:rsidR="004B59C5" w:rsidRPr="001467D7">
        <w:rPr>
          <w:rFonts w:cstheme="minorHAnsi"/>
          <w:sz w:val="20"/>
          <w:szCs w:val="20"/>
        </w:rPr>
        <w:t>, an</w:t>
      </w:r>
      <w:r w:rsidR="00030B06" w:rsidRPr="001467D7">
        <w:rPr>
          <w:rFonts w:cstheme="minorHAnsi"/>
          <w:sz w:val="20"/>
          <w:szCs w:val="20"/>
        </w:rPr>
        <w:t>d rural urban c</w:t>
      </w:r>
      <w:r w:rsidR="004B59C5" w:rsidRPr="001467D7">
        <w:rPr>
          <w:rFonts w:cstheme="minorHAnsi"/>
          <w:sz w:val="20"/>
          <w:szCs w:val="20"/>
        </w:rPr>
        <w:t>las</w:t>
      </w:r>
      <w:r w:rsidR="00BF23D2" w:rsidRPr="001467D7">
        <w:rPr>
          <w:rFonts w:cstheme="minorHAnsi"/>
          <w:sz w:val="20"/>
          <w:szCs w:val="20"/>
        </w:rPr>
        <w:t>sification.</w:t>
      </w:r>
      <w:r w:rsidR="00F17969" w:rsidRPr="001467D7">
        <w:rPr>
          <w:rFonts w:cstheme="minorHAnsi"/>
          <w:sz w:val="20"/>
          <w:szCs w:val="20"/>
        </w:rPr>
        <w:t xml:space="preserve"> </w:t>
      </w:r>
      <w:r w:rsidRPr="001467D7">
        <w:rPr>
          <w:rFonts w:cstheme="minorHAnsi"/>
          <w:sz w:val="20"/>
          <w:szCs w:val="20"/>
        </w:rPr>
        <w:t>Within THIN these data are not related directly to the case but are</w:t>
      </w:r>
      <w:r w:rsidR="003E62B1" w:rsidRPr="001467D7">
        <w:rPr>
          <w:rFonts w:cstheme="minorHAnsi"/>
          <w:sz w:val="20"/>
          <w:szCs w:val="20"/>
        </w:rPr>
        <w:t xml:space="preserve"> based upon the case’s resident</w:t>
      </w:r>
      <w:r w:rsidRPr="001467D7">
        <w:rPr>
          <w:rFonts w:cstheme="minorHAnsi"/>
          <w:sz w:val="20"/>
          <w:szCs w:val="20"/>
        </w:rPr>
        <w:t xml:space="preserve"> postcode</w:t>
      </w:r>
      <w:r w:rsidR="00265D38" w:rsidRPr="001467D7">
        <w:rPr>
          <w:rFonts w:cstheme="minorHAnsi"/>
          <w:sz w:val="20"/>
          <w:szCs w:val="20"/>
        </w:rPr>
        <w:t xml:space="preserve">, and then linked to 2001 census data </w:t>
      </w:r>
      <w:r w:rsidR="00452F62" w:rsidRPr="001467D7">
        <w:rPr>
          <w:rFonts w:cstheme="minorHAnsi"/>
          <w:sz w:val="20"/>
          <w:szCs w:val="20"/>
        </w:rPr>
        <w:fldChar w:fldCharType="begin" w:fldLock="1"/>
      </w:r>
      <w:r w:rsidR="00087BF7">
        <w:rPr>
          <w:rFonts w:cstheme="minorHAnsi"/>
          <w:sz w:val="20"/>
          <w:szCs w:val="20"/>
        </w:rPr>
        <w:instrText>ADDIN CSL_CITATION {"citationItems":[{"id":"ITEM-1","itemData":{"id":"ITEM-1","issued":{"date-parts":[["0"]]},"note":"NULL","title":"Office for National Statistics - People, population and community","type":"article-journal"},"uris":["http://www.mendeley.com/documents/?uuid=3bb6334c-2e45-4411-84c9-636cbeafc6bd"]}],"mendeley":{"formattedCitation":"(26)","plainTextFormattedCitation":"(26)","previouslyFormattedCitation":"(26)"},"properties":{"noteIndex":0},"schema":"https://github.com/citation-style-language/schema/raw/master/csl-citation.json"}</w:instrText>
      </w:r>
      <w:r w:rsidR="00452F62" w:rsidRPr="001467D7">
        <w:rPr>
          <w:rFonts w:cstheme="minorHAnsi"/>
          <w:sz w:val="20"/>
          <w:szCs w:val="20"/>
        </w:rPr>
        <w:fldChar w:fldCharType="separate"/>
      </w:r>
      <w:r w:rsidR="00087BF7" w:rsidRPr="00087BF7">
        <w:rPr>
          <w:rFonts w:cstheme="minorHAnsi"/>
          <w:noProof/>
          <w:sz w:val="20"/>
          <w:szCs w:val="20"/>
        </w:rPr>
        <w:t>(26)</w:t>
      </w:r>
      <w:r w:rsidR="00452F62" w:rsidRPr="001467D7">
        <w:rPr>
          <w:rFonts w:cstheme="minorHAnsi"/>
          <w:sz w:val="20"/>
          <w:szCs w:val="20"/>
        </w:rPr>
        <w:fldChar w:fldCharType="end"/>
      </w:r>
      <w:r w:rsidR="00164185" w:rsidRPr="001467D7">
        <w:rPr>
          <w:rFonts w:cstheme="minorHAnsi"/>
          <w:sz w:val="20"/>
          <w:szCs w:val="20"/>
        </w:rPr>
        <w:t>.</w:t>
      </w:r>
      <w:r w:rsidR="00265D38" w:rsidRPr="001467D7">
        <w:rPr>
          <w:rFonts w:cstheme="minorHAnsi"/>
          <w:sz w:val="20"/>
          <w:szCs w:val="20"/>
        </w:rPr>
        <w:t xml:space="preserve"> These data are therefore not a direct measure of the case</w:t>
      </w:r>
      <w:r w:rsidR="00104D94" w:rsidRPr="001467D7">
        <w:rPr>
          <w:rFonts w:cstheme="minorHAnsi"/>
          <w:sz w:val="20"/>
          <w:szCs w:val="20"/>
        </w:rPr>
        <w:t>’</w:t>
      </w:r>
      <w:r w:rsidR="00265D38" w:rsidRPr="001467D7">
        <w:rPr>
          <w:rFonts w:cstheme="minorHAnsi"/>
          <w:sz w:val="20"/>
          <w:szCs w:val="20"/>
        </w:rPr>
        <w:t>s sociodemographics, but rather a proxy, and reflect the area that cases reside in.</w:t>
      </w:r>
      <w:r w:rsidR="00D11403" w:rsidRPr="00265D38">
        <w:rPr>
          <w:rFonts w:cstheme="minorHAnsi"/>
          <w:sz w:val="20"/>
          <w:szCs w:val="20"/>
        </w:rPr>
        <w:t xml:space="preserve"> Townsend scores were</w:t>
      </w:r>
      <w:r w:rsidR="00030B06" w:rsidRPr="00265D38">
        <w:rPr>
          <w:rFonts w:cstheme="minorHAnsi"/>
          <w:sz w:val="20"/>
          <w:szCs w:val="20"/>
        </w:rPr>
        <w:t xml:space="preserve"> converted</w:t>
      </w:r>
      <w:r w:rsidR="00104D94">
        <w:rPr>
          <w:rFonts w:cstheme="minorHAnsi"/>
          <w:sz w:val="20"/>
          <w:szCs w:val="20"/>
        </w:rPr>
        <w:t>, by THIN,</w:t>
      </w:r>
      <w:r w:rsidR="00030B06" w:rsidRPr="00265D38">
        <w:rPr>
          <w:rFonts w:cstheme="minorHAnsi"/>
          <w:sz w:val="20"/>
          <w:szCs w:val="20"/>
        </w:rPr>
        <w:t xml:space="preserve"> from exact scores to quintiles of equal si</w:t>
      </w:r>
      <w:r w:rsidR="009F324F" w:rsidRPr="00265D38">
        <w:rPr>
          <w:rFonts w:cstheme="minorHAnsi"/>
          <w:sz w:val="20"/>
          <w:szCs w:val="20"/>
        </w:rPr>
        <w:t>ze. The quintile of 1 includes</w:t>
      </w:r>
      <w:r w:rsidR="00030B06" w:rsidRPr="00265D38">
        <w:rPr>
          <w:rFonts w:cstheme="minorHAnsi"/>
          <w:sz w:val="20"/>
          <w:szCs w:val="20"/>
        </w:rPr>
        <w:t xml:space="preserve"> patients living in the lowest 20% of Townsend scores (i.e. the least deprived areas), whereas the quintile of 5 </w:t>
      </w:r>
      <w:r w:rsidR="009F324F" w:rsidRPr="00265D38">
        <w:rPr>
          <w:rFonts w:cstheme="minorHAnsi"/>
          <w:sz w:val="20"/>
          <w:szCs w:val="20"/>
        </w:rPr>
        <w:t>includes</w:t>
      </w:r>
      <w:r w:rsidR="00030B06" w:rsidRPr="00265D38">
        <w:rPr>
          <w:rFonts w:cstheme="minorHAnsi"/>
          <w:sz w:val="20"/>
          <w:szCs w:val="20"/>
        </w:rPr>
        <w:t xml:space="preserve"> the highest 20% and the most deprived areas.</w:t>
      </w:r>
      <w:r w:rsidR="00030B06" w:rsidRPr="00693035">
        <w:rPr>
          <w:rFonts w:cstheme="minorHAnsi"/>
          <w:sz w:val="20"/>
          <w:szCs w:val="20"/>
        </w:rPr>
        <w:t xml:space="preserve"> </w:t>
      </w:r>
    </w:p>
    <w:p w14:paraId="7F44925B" w14:textId="77777777" w:rsidR="00D11403" w:rsidRPr="00693035" w:rsidRDefault="00D11403" w:rsidP="00693035">
      <w:pPr>
        <w:spacing w:line="480" w:lineRule="auto"/>
        <w:jc w:val="both"/>
        <w:rPr>
          <w:rFonts w:cstheme="minorHAnsi"/>
          <w:sz w:val="24"/>
          <w:szCs w:val="24"/>
        </w:rPr>
      </w:pPr>
      <w:r w:rsidRPr="00693035">
        <w:rPr>
          <w:rFonts w:cstheme="minorHAnsi"/>
          <w:b/>
          <w:sz w:val="24"/>
          <w:szCs w:val="24"/>
        </w:rPr>
        <w:t>Participants</w:t>
      </w:r>
      <w:r w:rsidR="004E6DFA" w:rsidRPr="00693035">
        <w:rPr>
          <w:rFonts w:cstheme="minorHAnsi"/>
          <w:b/>
          <w:sz w:val="24"/>
          <w:szCs w:val="24"/>
        </w:rPr>
        <w:t xml:space="preserve"> and statistical analysis of the data.</w:t>
      </w:r>
    </w:p>
    <w:p w14:paraId="12A9B5FF" w14:textId="6C4B9BB7" w:rsidR="00F8033F" w:rsidRDefault="003919EA" w:rsidP="00693035">
      <w:pPr>
        <w:spacing w:line="480" w:lineRule="auto"/>
        <w:jc w:val="both"/>
        <w:rPr>
          <w:rFonts w:cstheme="minorHAnsi"/>
          <w:sz w:val="20"/>
          <w:szCs w:val="20"/>
        </w:rPr>
      </w:pPr>
      <w:r w:rsidRPr="00693035">
        <w:rPr>
          <w:rFonts w:cstheme="minorHAnsi"/>
          <w:sz w:val="20"/>
          <w:szCs w:val="20"/>
        </w:rPr>
        <w:t>In p</w:t>
      </w:r>
      <w:r w:rsidR="003A0BDE" w:rsidRPr="00693035">
        <w:rPr>
          <w:rFonts w:cstheme="minorHAnsi"/>
          <w:sz w:val="20"/>
          <w:szCs w:val="20"/>
        </w:rPr>
        <w:t xml:space="preserve">rimary care the presenting symptoms of a patient </w:t>
      </w:r>
      <w:r w:rsidRPr="00693035">
        <w:rPr>
          <w:rFonts w:cstheme="minorHAnsi"/>
          <w:sz w:val="20"/>
          <w:szCs w:val="20"/>
        </w:rPr>
        <w:t xml:space="preserve">are coded </w:t>
      </w:r>
      <w:r w:rsidR="003A0BDE" w:rsidRPr="00693035">
        <w:rPr>
          <w:rFonts w:cstheme="minorHAnsi"/>
          <w:sz w:val="20"/>
          <w:szCs w:val="20"/>
        </w:rPr>
        <w:t xml:space="preserve">with Read codes. Currently we do not know which set of symptoms clinicians </w:t>
      </w:r>
      <w:r w:rsidR="00CC3D65">
        <w:rPr>
          <w:rFonts w:cstheme="minorHAnsi"/>
          <w:sz w:val="20"/>
          <w:szCs w:val="20"/>
        </w:rPr>
        <w:t>use</w:t>
      </w:r>
      <w:r w:rsidR="003A0BDE" w:rsidRPr="00693035">
        <w:rPr>
          <w:rFonts w:cstheme="minorHAnsi"/>
          <w:sz w:val="20"/>
          <w:szCs w:val="20"/>
        </w:rPr>
        <w:t xml:space="preserve"> to code the patient </w:t>
      </w:r>
      <w:r w:rsidR="00CC3D65">
        <w:rPr>
          <w:rFonts w:cstheme="minorHAnsi"/>
          <w:sz w:val="20"/>
          <w:szCs w:val="20"/>
        </w:rPr>
        <w:t>with</w:t>
      </w:r>
      <w:r w:rsidR="003A0BDE" w:rsidRPr="00693035">
        <w:rPr>
          <w:rFonts w:cstheme="minorHAnsi"/>
          <w:sz w:val="20"/>
          <w:szCs w:val="20"/>
        </w:rPr>
        <w:t xml:space="preserve"> ‘Lyme disease’.</w:t>
      </w:r>
      <w:r w:rsidR="00D11403" w:rsidRPr="00693035">
        <w:rPr>
          <w:rFonts w:cstheme="minorHAnsi"/>
          <w:sz w:val="20"/>
          <w:szCs w:val="20"/>
        </w:rPr>
        <w:t xml:space="preserve"> </w:t>
      </w:r>
      <w:r w:rsidR="003A0BDE" w:rsidRPr="00693035">
        <w:rPr>
          <w:rFonts w:cstheme="minorHAnsi"/>
          <w:sz w:val="20"/>
          <w:szCs w:val="20"/>
        </w:rPr>
        <w:t>Our case definition was therefore restricted to Read codes specific to Lyme disease and suspect Lyme disease (Table 1).</w:t>
      </w:r>
      <w:r w:rsidR="002C0F47">
        <w:rPr>
          <w:rFonts w:cstheme="minorHAnsi"/>
          <w:sz w:val="20"/>
          <w:szCs w:val="20"/>
        </w:rPr>
        <w:t xml:space="preserve"> </w:t>
      </w:r>
      <w:bookmarkStart w:id="10" w:name="_Hlk529172747"/>
    </w:p>
    <w:p w14:paraId="73663323" w14:textId="2B3947FB" w:rsidR="00F8033F" w:rsidRPr="00487A0C" w:rsidRDefault="00F8033F" w:rsidP="00F8033F">
      <w:pPr>
        <w:spacing w:line="480" w:lineRule="auto"/>
        <w:jc w:val="both"/>
        <w:rPr>
          <w:rFonts w:cstheme="minorHAnsi"/>
          <w:b/>
          <w:sz w:val="20"/>
          <w:szCs w:val="20"/>
        </w:rPr>
      </w:pPr>
      <w:r w:rsidRPr="00487A0C">
        <w:rPr>
          <w:rFonts w:cstheme="minorHAnsi"/>
          <w:b/>
          <w:sz w:val="20"/>
          <w:szCs w:val="20"/>
        </w:rPr>
        <w:t xml:space="preserve">Table 1: Read codes </w:t>
      </w:r>
      <w:r>
        <w:rPr>
          <w:rFonts w:cstheme="minorHAnsi"/>
          <w:b/>
          <w:sz w:val="20"/>
          <w:szCs w:val="20"/>
        </w:rPr>
        <w:t>identifying</w:t>
      </w:r>
      <w:r w:rsidRPr="00487A0C">
        <w:rPr>
          <w:rFonts w:cstheme="minorHAnsi"/>
          <w:b/>
          <w:sz w:val="20"/>
          <w:szCs w:val="20"/>
        </w:rPr>
        <w:t xml:space="preserve"> Lyme disease patients</w:t>
      </w:r>
      <w:r>
        <w:rPr>
          <w:rFonts w:cstheme="minorHAnsi"/>
          <w:b/>
          <w:sz w:val="20"/>
          <w:szCs w:val="20"/>
        </w:rPr>
        <w:t xml:space="preserve"> in </w:t>
      </w:r>
      <w:r w:rsidRPr="00487A0C">
        <w:rPr>
          <w:rFonts w:cstheme="minorHAnsi"/>
          <w:b/>
          <w:sz w:val="20"/>
          <w:szCs w:val="20"/>
        </w:rPr>
        <w:t>The Health Improvement Network (THIN)</w:t>
      </w:r>
      <w:r>
        <w:rPr>
          <w:rFonts w:cstheme="minorHAnsi"/>
          <w:b/>
          <w:sz w:val="20"/>
          <w:szCs w:val="20"/>
        </w:rPr>
        <w:t>,</w:t>
      </w:r>
      <w:r w:rsidRPr="00487A0C">
        <w:rPr>
          <w:rFonts w:cstheme="minorHAnsi"/>
          <w:b/>
          <w:sz w:val="20"/>
          <w:szCs w:val="20"/>
        </w:rPr>
        <w:t xml:space="preserve"> 1998 - 2016</w:t>
      </w:r>
    </w:p>
    <w:tbl>
      <w:tblPr>
        <w:tblStyle w:val="TableGrid"/>
        <w:tblW w:w="6237" w:type="dxa"/>
        <w:tblBorders>
          <w:top w:val="none" w:sz="0" w:space="0" w:color="auto"/>
          <w:left w:val="none" w:sz="0" w:space="0" w:color="auto"/>
          <w:bottom w:val="none" w:sz="0" w:space="0" w:color="auto"/>
          <w:right w:val="none" w:sz="0" w:space="0" w:color="auto"/>
          <w:insideV w:val="none" w:sz="0" w:space="0" w:color="auto"/>
        </w:tblBorders>
        <w:tblLook w:val="00A0" w:firstRow="1" w:lastRow="0" w:firstColumn="1" w:lastColumn="0" w:noHBand="0" w:noVBand="0"/>
      </w:tblPr>
      <w:tblGrid>
        <w:gridCol w:w="2579"/>
        <w:gridCol w:w="1532"/>
        <w:gridCol w:w="2126"/>
      </w:tblGrid>
      <w:tr w:rsidR="00F8033F" w:rsidRPr="00487A0C" w14:paraId="39A8F5BC" w14:textId="77777777" w:rsidTr="00453770">
        <w:trPr>
          <w:trHeight w:val="270"/>
        </w:trPr>
        <w:tc>
          <w:tcPr>
            <w:tcW w:w="0" w:type="auto"/>
            <w:noWrap/>
            <w:vAlign w:val="center"/>
            <w:hideMark/>
          </w:tcPr>
          <w:p w14:paraId="32C4AC4B" w14:textId="77777777" w:rsidR="00F8033F" w:rsidRPr="00487A0C" w:rsidRDefault="00F8033F" w:rsidP="00453770">
            <w:pPr>
              <w:spacing w:line="360" w:lineRule="auto"/>
              <w:rPr>
                <w:rFonts w:cstheme="minorHAnsi"/>
                <w:b/>
                <w:color w:val="000000"/>
                <w:sz w:val="16"/>
                <w:szCs w:val="16"/>
              </w:rPr>
            </w:pPr>
            <w:r w:rsidRPr="00487A0C">
              <w:rPr>
                <w:rFonts w:cstheme="minorHAnsi"/>
                <w:b/>
                <w:color w:val="000000"/>
                <w:sz w:val="16"/>
                <w:szCs w:val="16"/>
              </w:rPr>
              <w:t>Description</w:t>
            </w:r>
          </w:p>
        </w:tc>
        <w:tc>
          <w:tcPr>
            <w:tcW w:w="1532" w:type="dxa"/>
            <w:noWrap/>
            <w:vAlign w:val="center"/>
            <w:hideMark/>
          </w:tcPr>
          <w:p w14:paraId="3E128659" w14:textId="77777777" w:rsidR="00F8033F" w:rsidRPr="00487A0C" w:rsidRDefault="00F8033F" w:rsidP="00453770">
            <w:pPr>
              <w:spacing w:line="360" w:lineRule="auto"/>
              <w:rPr>
                <w:rFonts w:cstheme="minorHAnsi"/>
                <w:b/>
                <w:color w:val="000000"/>
                <w:sz w:val="16"/>
                <w:szCs w:val="16"/>
              </w:rPr>
            </w:pPr>
            <w:r w:rsidRPr="00487A0C">
              <w:rPr>
                <w:rFonts w:cstheme="minorHAnsi"/>
                <w:b/>
                <w:color w:val="000000"/>
                <w:sz w:val="16"/>
                <w:szCs w:val="16"/>
              </w:rPr>
              <w:t>THIN Read Code</w:t>
            </w:r>
          </w:p>
        </w:tc>
        <w:tc>
          <w:tcPr>
            <w:tcW w:w="2126" w:type="dxa"/>
            <w:vAlign w:val="center"/>
          </w:tcPr>
          <w:p w14:paraId="67B8DAA6" w14:textId="77777777" w:rsidR="00F8033F" w:rsidRPr="00487A0C" w:rsidRDefault="00F8033F" w:rsidP="00453770">
            <w:pPr>
              <w:spacing w:line="360" w:lineRule="auto"/>
              <w:rPr>
                <w:rFonts w:cstheme="minorHAnsi"/>
                <w:b/>
                <w:color w:val="000000"/>
                <w:sz w:val="16"/>
                <w:szCs w:val="16"/>
              </w:rPr>
            </w:pPr>
            <w:r w:rsidRPr="00487A0C">
              <w:rPr>
                <w:rFonts w:cstheme="minorHAnsi"/>
                <w:b/>
                <w:color w:val="000000"/>
                <w:sz w:val="16"/>
                <w:szCs w:val="16"/>
              </w:rPr>
              <w:t>Number of patients</w:t>
            </w:r>
          </w:p>
        </w:tc>
      </w:tr>
      <w:tr w:rsidR="00F8033F" w:rsidRPr="00487A0C" w14:paraId="0E714BB0" w14:textId="77777777" w:rsidTr="00453770">
        <w:trPr>
          <w:trHeight w:val="2628"/>
        </w:trPr>
        <w:tc>
          <w:tcPr>
            <w:tcW w:w="0" w:type="auto"/>
            <w:noWrap/>
            <w:vAlign w:val="center"/>
            <w:hideMark/>
          </w:tcPr>
          <w:p w14:paraId="21E80890" w14:textId="77777777" w:rsidR="00F8033F" w:rsidRPr="00487A0C" w:rsidRDefault="00F8033F" w:rsidP="00453770">
            <w:pPr>
              <w:spacing w:line="360" w:lineRule="auto"/>
              <w:rPr>
                <w:rFonts w:cstheme="minorHAnsi"/>
                <w:color w:val="000000"/>
                <w:sz w:val="16"/>
                <w:szCs w:val="16"/>
              </w:rPr>
            </w:pPr>
            <w:r w:rsidRPr="00487A0C">
              <w:rPr>
                <w:rFonts w:cstheme="minorHAnsi"/>
                <w:color w:val="000000"/>
                <w:sz w:val="16"/>
                <w:szCs w:val="16"/>
              </w:rPr>
              <w:t>Lyme disease</w:t>
            </w:r>
          </w:p>
          <w:p w14:paraId="5D9D38EE" w14:textId="77777777" w:rsidR="00F8033F" w:rsidRPr="00487A0C" w:rsidRDefault="00F8033F" w:rsidP="00453770">
            <w:pPr>
              <w:spacing w:line="360" w:lineRule="auto"/>
              <w:rPr>
                <w:rFonts w:cstheme="minorHAnsi"/>
                <w:color w:val="000000"/>
                <w:sz w:val="16"/>
                <w:szCs w:val="16"/>
              </w:rPr>
            </w:pPr>
            <w:r w:rsidRPr="00487A0C">
              <w:rPr>
                <w:rFonts w:cstheme="minorHAnsi"/>
                <w:color w:val="000000"/>
                <w:sz w:val="16"/>
                <w:szCs w:val="16"/>
              </w:rPr>
              <w:t>Erythema migrans</w:t>
            </w:r>
          </w:p>
          <w:p w14:paraId="739DDA46" w14:textId="77777777" w:rsidR="00F8033F" w:rsidRPr="00487A0C" w:rsidRDefault="00F8033F" w:rsidP="00453770">
            <w:pPr>
              <w:spacing w:line="360" w:lineRule="auto"/>
              <w:rPr>
                <w:rFonts w:cstheme="minorHAnsi"/>
                <w:color w:val="000000"/>
                <w:sz w:val="16"/>
                <w:szCs w:val="16"/>
              </w:rPr>
            </w:pPr>
            <w:r w:rsidRPr="00487A0C">
              <w:rPr>
                <w:rFonts w:cstheme="minorHAnsi"/>
                <w:color w:val="000000"/>
                <w:sz w:val="16"/>
                <w:szCs w:val="16"/>
              </w:rPr>
              <w:t>Suspected Lyme disease</w:t>
            </w:r>
          </w:p>
          <w:p w14:paraId="09CBAB24" w14:textId="77777777" w:rsidR="00F8033F" w:rsidRPr="00487A0C" w:rsidRDefault="00F8033F" w:rsidP="00453770">
            <w:pPr>
              <w:spacing w:line="360" w:lineRule="auto"/>
              <w:rPr>
                <w:rFonts w:cstheme="minorHAnsi"/>
                <w:color w:val="000000"/>
                <w:sz w:val="16"/>
                <w:szCs w:val="16"/>
              </w:rPr>
            </w:pPr>
            <w:r w:rsidRPr="00487A0C">
              <w:rPr>
                <w:rFonts w:cstheme="minorHAnsi"/>
                <w:color w:val="000000"/>
                <w:sz w:val="16"/>
                <w:szCs w:val="16"/>
              </w:rPr>
              <w:t>Suspected erythema migrans</w:t>
            </w:r>
          </w:p>
          <w:p w14:paraId="6571335B" w14:textId="77777777" w:rsidR="00F8033F" w:rsidRPr="00487A0C" w:rsidRDefault="00F8033F" w:rsidP="00453770">
            <w:pPr>
              <w:spacing w:line="360" w:lineRule="auto"/>
              <w:rPr>
                <w:rFonts w:cstheme="minorHAnsi"/>
                <w:color w:val="000000"/>
                <w:sz w:val="16"/>
                <w:szCs w:val="16"/>
              </w:rPr>
            </w:pPr>
            <w:r w:rsidRPr="00487A0C">
              <w:rPr>
                <w:rFonts w:cstheme="minorHAnsi"/>
                <w:color w:val="000000"/>
                <w:sz w:val="16"/>
                <w:szCs w:val="16"/>
              </w:rPr>
              <w:t xml:space="preserve">Acrodermatitis </w:t>
            </w:r>
            <w:proofErr w:type="spellStart"/>
            <w:r w:rsidRPr="00487A0C">
              <w:rPr>
                <w:rFonts w:cstheme="minorHAnsi"/>
                <w:color w:val="000000"/>
                <w:sz w:val="16"/>
                <w:szCs w:val="16"/>
              </w:rPr>
              <w:t>atrophicans</w:t>
            </w:r>
            <w:proofErr w:type="spellEnd"/>
            <w:r w:rsidRPr="00487A0C">
              <w:rPr>
                <w:rFonts w:cstheme="minorHAnsi"/>
                <w:color w:val="000000"/>
                <w:sz w:val="16"/>
                <w:szCs w:val="16"/>
              </w:rPr>
              <w:t xml:space="preserve"> </w:t>
            </w:r>
            <w:proofErr w:type="spellStart"/>
            <w:r w:rsidRPr="00487A0C">
              <w:rPr>
                <w:rFonts w:cstheme="minorHAnsi"/>
                <w:color w:val="000000"/>
                <w:sz w:val="16"/>
                <w:szCs w:val="16"/>
              </w:rPr>
              <w:t>chronica</w:t>
            </w:r>
            <w:proofErr w:type="spellEnd"/>
          </w:p>
          <w:p w14:paraId="42CC1B80" w14:textId="77777777" w:rsidR="00F8033F" w:rsidRPr="00487A0C" w:rsidRDefault="00F8033F" w:rsidP="00453770">
            <w:pPr>
              <w:spacing w:line="360" w:lineRule="auto"/>
              <w:rPr>
                <w:rFonts w:cstheme="minorHAnsi"/>
                <w:color w:val="000000"/>
                <w:sz w:val="16"/>
                <w:szCs w:val="16"/>
              </w:rPr>
            </w:pPr>
            <w:r w:rsidRPr="00487A0C">
              <w:rPr>
                <w:rFonts w:cstheme="minorHAnsi"/>
                <w:color w:val="000000"/>
                <w:sz w:val="16"/>
                <w:szCs w:val="16"/>
              </w:rPr>
              <w:t>Lyme arthritis</w:t>
            </w:r>
          </w:p>
          <w:p w14:paraId="2B47D77E" w14:textId="77777777" w:rsidR="00F8033F" w:rsidRPr="00487A0C" w:rsidRDefault="00F8033F" w:rsidP="00453770">
            <w:pPr>
              <w:spacing w:line="360" w:lineRule="auto"/>
              <w:rPr>
                <w:rFonts w:cstheme="minorHAnsi"/>
                <w:color w:val="000000"/>
                <w:sz w:val="16"/>
                <w:szCs w:val="16"/>
              </w:rPr>
            </w:pPr>
            <w:r w:rsidRPr="00487A0C">
              <w:rPr>
                <w:rFonts w:cstheme="minorHAnsi"/>
                <w:color w:val="000000"/>
                <w:sz w:val="16"/>
                <w:szCs w:val="16"/>
              </w:rPr>
              <w:t>Lyme neuroborreliosis</w:t>
            </w:r>
          </w:p>
          <w:p w14:paraId="7E22B604" w14:textId="77777777" w:rsidR="00F8033F" w:rsidRPr="00487A0C" w:rsidRDefault="00F8033F" w:rsidP="00453770">
            <w:pPr>
              <w:spacing w:line="360" w:lineRule="auto"/>
              <w:rPr>
                <w:rFonts w:cstheme="minorHAnsi"/>
                <w:color w:val="000000"/>
                <w:sz w:val="16"/>
                <w:szCs w:val="16"/>
              </w:rPr>
            </w:pPr>
            <w:r w:rsidRPr="00487A0C">
              <w:rPr>
                <w:rFonts w:cstheme="minorHAnsi"/>
                <w:color w:val="000000"/>
                <w:sz w:val="16"/>
                <w:szCs w:val="16"/>
              </w:rPr>
              <w:t>Borrelial lymphocytoma</w:t>
            </w:r>
          </w:p>
          <w:p w14:paraId="14ADAEF7" w14:textId="77777777" w:rsidR="00F8033F" w:rsidRPr="00487A0C" w:rsidRDefault="00F8033F" w:rsidP="00453770">
            <w:pPr>
              <w:spacing w:line="360" w:lineRule="auto"/>
              <w:rPr>
                <w:rFonts w:cstheme="minorHAnsi"/>
                <w:color w:val="000000"/>
                <w:sz w:val="16"/>
                <w:szCs w:val="16"/>
              </w:rPr>
            </w:pPr>
            <w:r w:rsidRPr="00487A0C">
              <w:rPr>
                <w:rFonts w:cstheme="minorHAnsi"/>
                <w:color w:val="000000"/>
                <w:sz w:val="16"/>
                <w:szCs w:val="16"/>
              </w:rPr>
              <w:t>Lyme carditis</w:t>
            </w:r>
          </w:p>
        </w:tc>
        <w:tc>
          <w:tcPr>
            <w:tcW w:w="1532" w:type="dxa"/>
            <w:noWrap/>
            <w:vAlign w:val="center"/>
            <w:hideMark/>
          </w:tcPr>
          <w:p w14:paraId="661E08C7" w14:textId="77777777" w:rsidR="00F8033F" w:rsidRPr="00853EB0" w:rsidRDefault="00F8033F" w:rsidP="00453770">
            <w:pPr>
              <w:spacing w:line="360" w:lineRule="auto"/>
              <w:rPr>
                <w:rFonts w:cstheme="minorHAnsi"/>
                <w:color w:val="000000"/>
                <w:sz w:val="16"/>
                <w:szCs w:val="16"/>
                <w:lang w:val="es-ES"/>
              </w:rPr>
            </w:pPr>
            <w:r w:rsidRPr="00853EB0">
              <w:rPr>
                <w:rFonts w:cstheme="minorHAnsi"/>
                <w:color w:val="000000"/>
                <w:sz w:val="16"/>
                <w:szCs w:val="16"/>
                <w:lang w:val="es-ES"/>
              </w:rPr>
              <w:t>A871000</w:t>
            </w:r>
          </w:p>
          <w:p w14:paraId="2943AC56" w14:textId="77777777" w:rsidR="00F8033F" w:rsidRPr="00853EB0" w:rsidRDefault="00F8033F" w:rsidP="00453770">
            <w:pPr>
              <w:spacing w:line="360" w:lineRule="auto"/>
              <w:rPr>
                <w:rFonts w:cstheme="minorHAnsi"/>
                <w:color w:val="000000"/>
                <w:sz w:val="16"/>
                <w:szCs w:val="16"/>
                <w:lang w:val="es-ES"/>
              </w:rPr>
            </w:pPr>
            <w:r w:rsidRPr="00853EB0">
              <w:rPr>
                <w:rFonts w:cstheme="minorHAnsi"/>
                <w:color w:val="000000"/>
                <w:sz w:val="16"/>
                <w:szCs w:val="16"/>
                <w:lang w:val="es-ES"/>
              </w:rPr>
              <w:t>AA41.00</w:t>
            </w:r>
          </w:p>
          <w:p w14:paraId="24372441" w14:textId="77777777" w:rsidR="00F8033F" w:rsidRPr="00853EB0" w:rsidRDefault="00F8033F" w:rsidP="00453770">
            <w:pPr>
              <w:spacing w:line="360" w:lineRule="auto"/>
              <w:rPr>
                <w:rFonts w:cstheme="minorHAnsi"/>
                <w:color w:val="000000"/>
                <w:sz w:val="16"/>
                <w:szCs w:val="16"/>
                <w:lang w:val="es-ES"/>
              </w:rPr>
            </w:pPr>
            <w:r w:rsidRPr="00853EB0">
              <w:rPr>
                <w:rFonts w:cstheme="minorHAnsi"/>
                <w:color w:val="000000"/>
                <w:sz w:val="16"/>
                <w:szCs w:val="16"/>
                <w:lang w:val="es-ES"/>
              </w:rPr>
              <w:t>1JN1.00</w:t>
            </w:r>
          </w:p>
          <w:p w14:paraId="72769040" w14:textId="77777777" w:rsidR="00F8033F" w:rsidRPr="00853EB0" w:rsidRDefault="00F8033F" w:rsidP="00453770">
            <w:pPr>
              <w:spacing w:line="360" w:lineRule="auto"/>
              <w:rPr>
                <w:rFonts w:cstheme="minorHAnsi"/>
                <w:color w:val="000000"/>
                <w:sz w:val="16"/>
                <w:szCs w:val="16"/>
                <w:lang w:val="es-ES"/>
              </w:rPr>
            </w:pPr>
            <w:r w:rsidRPr="00853EB0">
              <w:rPr>
                <w:rFonts w:cstheme="minorHAnsi"/>
                <w:color w:val="000000"/>
                <w:sz w:val="16"/>
                <w:szCs w:val="16"/>
                <w:lang w:val="es-ES"/>
              </w:rPr>
              <w:t>1JN2.00</w:t>
            </w:r>
          </w:p>
          <w:p w14:paraId="4988E1C2" w14:textId="77777777" w:rsidR="00F8033F" w:rsidRPr="00853EB0" w:rsidRDefault="00F8033F" w:rsidP="00453770">
            <w:pPr>
              <w:spacing w:line="360" w:lineRule="auto"/>
              <w:rPr>
                <w:rFonts w:cstheme="minorHAnsi"/>
                <w:color w:val="000000"/>
                <w:sz w:val="16"/>
                <w:szCs w:val="16"/>
                <w:lang w:val="es-ES"/>
              </w:rPr>
            </w:pPr>
            <w:r w:rsidRPr="00853EB0">
              <w:rPr>
                <w:rFonts w:cstheme="minorHAnsi"/>
                <w:color w:val="000000"/>
                <w:sz w:val="16"/>
                <w:szCs w:val="16"/>
                <w:lang w:val="es-ES"/>
              </w:rPr>
              <w:t>M21y000</w:t>
            </w:r>
          </w:p>
          <w:p w14:paraId="2349A8B8" w14:textId="77777777" w:rsidR="00F8033F" w:rsidRPr="00853EB0" w:rsidRDefault="00F8033F" w:rsidP="00453770">
            <w:pPr>
              <w:spacing w:line="360" w:lineRule="auto"/>
              <w:rPr>
                <w:rFonts w:cstheme="minorHAnsi"/>
                <w:color w:val="000000"/>
                <w:sz w:val="16"/>
                <w:szCs w:val="16"/>
                <w:lang w:val="es-ES"/>
              </w:rPr>
            </w:pPr>
            <w:r w:rsidRPr="00853EB0">
              <w:rPr>
                <w:rFonts w:cstheme="minorHAnsi"/>
                <w:color w:val="000000"/>
                <w:sz w:val="16"/>
                <w:szCs w:val="16"/>
                <w:lang w:val="es-ES"/>
              </w:rPr>
              <w:t>N010A00</w:t>
            </w:r>
          </w:p>
          <w:p w14:paraId="5BDA5B21" w14:textId="77777777" w:rsidR="00F8033F" w:rsidRPr="00487A0C" w:rsidRDefault="00F8033F" w:rsidP="00453770">
            <w:pPr>
              <w:spacing w:line="360" w:lineRule="auto"/>
              <w:rPr>
                <w:rFonts w:cstheme="minorHAnsi"/>
                <w:color w:val="000000"/>
                <w:sz w:val="16"/>
                <w:szCs w:val="16"/>
              </w:rPr>
            </w:pPr>
            <w:r w:rsidRPr="00487A0C">
              <w:rPr>
                <w:rFonts w:cstheme="minorHAnsi"/>
                <w:color w:val="000000"/>
                <w:sz w:val="16"/>
                <w:szCs w:val="16"/>
              </w:rPr>
              <w:t>A871100</w:t>
            </w:r>
          </w:p>
          <w:p w14:paraId="62E6FB58" w14:textId="77777777" w:rsidR="00F8033F" w:rsidRPr="00487A0C" w:rsidRDefault="00F8033F" w:rsidP="00453770">
            <w:pPr>
              <w:spacing w:line="360" w:lineRule="auto"/>
              <w:rPr>
                <w:rFonts w:cstheme="minorHAnsi"/>
                <w:color w:val="000000"/>
                <w:sz w:val="16"/>
                <w:szCs w:val="16"/>
              </w:rPr>
            </w:pPr>
            <w:r w:rsidRPr="00487A0C">
              <w:rPr>
                <w:rFonts w:cstheme="minorHAnsi"/>
                <w:color w:val="000000"/>
                <w:sz w:val="16"/>
                <w:szCs w:val="16"/>
              </w:rPr>
              <w:t>A871300</w:t>
            </w:r>
          </w:p>
          <w:p w14:paraId="5245508F" w14:textId="77777777" w:rsidR="00F8033F" w:rsidRPr="00487A0C" w:rsidRDefault="00F8033F" w:rsidP="00453770">
            <w:pPr>
              <w:spacing w:line="360" w:lineRule="auto"/>
              <w:rPr>
                <w:rFonts w:cstheme="minorHAnsi"/>
                <w:color w:val="000000"/>
                <w:sz w:val="16"/>
                <w:szCs w:val="16"/>
              </w:rPr>
            </w:pPr>
            <w:r w:rsidRPr="00487A0C">
              <w:rPr>
                <w:rFonts w:cstheme="minorHAnsi"/>
                <w:color w:val="000000"/>
                <w:sz w:val="16"/>
                <w:szCs w:val="16"/>
              </w:rPr>
              <w:t>A871200</w:t>
            </w:r>
          </w:p>
        </w:tc>
        <w:tc>
          <w:tcPr>
            <w:tcW w:w="2126" w:type="dxa"/>
            <w:vAlign w:val="center"/>
          </w:tcPr>
          <w:p w14:paraId="483065E0" w14:textId="77777777" w:rsidR="00F8033F" w:rsidRPr="00487A0C" w:rsidRDefault="00F8033F" w:rsidP="00453770">
            <w:pPr>
              <w:spacing w:line="360" w:lineRule="auto"/>
              <w:rPr>
                <w:rFonts w:cstheme="minorHAnsi"/>
                <w:color w:val="000000"/>
                <w:sz w:val="16"/>
                <w:szCs w:val="16"/>
              </w:rPr>
            </w:pPr>
            <w:r w:rsidRPr="00487A0C">
              <w:rPr>
                <w:rFonts w:cstheme="minorHAnsi"/>
                <w:color w:val="000000"/>
                <w:sz w:val="16"/>
                <w:szCs w:val="16"/>
              </w:rPr>
              <w:t>2 386</w:t>
            </w:r>
          </w:p>
          <w:p w14:paraId="03C119BF" w14:textId="77777777" w:rsidR="00F8033F" w:rsidRPr="00487A0C" w:rsidRDefault="00F8033F" w:rsidP="00453770">
            <w:pPr>
              <w:spacing w:line="360" w:lineRule="auto"/>
              <w:rPr>
                <w:rFonts w:cstheme="minorHAnsi"/>
                <w:color w:val="000000"/>
                <w:sz w:val="16"/>
                <w:szCs w:val="16"/>
              </w:rPr>
            </w:pPr>
            <w:r w:rsidRPr="00487A0C">
              <w:rPr>
                <w:rFonts w:cstheme="minorHAnsi"/>
                <w:color w:val="000000"/>
                <w:sz w:val="16"/>
                <w:szCs w:val="16"/>
              </w:rPr>
              <w:t>992</w:t>
            </w:r>
          </w:p>
          <w:p w14:paraId="22055FEC" w14:textId="77777777" w:rsidR="00F8033F" w:rsidRPr="00487A0C" w:rsidRDefault="00F8033F" w:rsidP="00453770">
            <w:pPr>
              <w:spacing w:line="360" w:lineRule="auto"/>
              <w:rPr>
                <w:rFonts w:cstheme="minorHAnsi"/>
                <w:color w:val="000000"/>
                <w:sz w:val="16"/>
                <w:szCs w:val="16"/>
              </w:rPr>
            </w:pPr>
            <w:r w:rsidRPr="00487A0C">
              <w:rPr>
                <w:rFonts w:cstheme="minorHAnsi"/>
                <w:color w:val="000000"/>
                <w:sz w:val="16"/>
                <w:szCs w:val="16"/>
              </w:rPr>
              <w:t>233</w:t>
            </w:r>
          </w:p>
          <w:p w14:paraId="433DA8AA" w14:textId="77777777" w:rsidR="00F8033F" w:rsidRPr="00487A0C" w:rsidRDefault="00F8033F" w:rsidP="00453770">
            <w:pPr>
              <w:spacing w:line="360" w:lineRule="auto"/>
              <w:rPr>
                <w:rFonts w:cstheme="minorHAnsi"/>
                <w:color w:val="000000"/>
                <w:sz w:val="16"/>
                <w:szCs w:val="16"/>
              </w:rPr>
            </w:pPr>
            <w:r w:rsidRPr="00487A0C">
              <w:rPr>
                <w:rFonts w:cstheme="minorHAnsi"/>
                <w:color w:val="000000"/>
                <w:sz w:val="16"/>
                <w:szCs w:val="16"/>
              </w:rPr>
              <w:t>50</w:t>
            </w:r>
          </w:p>
          <w:p w14:paraId="2F7C69FC" w14:textId="77777777" w:rsidR="00F8033F" w:rsidRPr="00487A0C" w:rsidRDefault="00F8033F" w:rsidP="00453770">
            <w:pPr>
              <w:spacing w:line="360" w:lineRule="auto"/>
              <w:rPr>
                <w:rFonts w:cstheme="minorHAnsi"/>
                <w:color w:val="000000"/>
                <w:sz w:val="16"/>
                <w:szCs w:val="16"/>
              </w:rPr>
            </w:pPr>
            <w:r w:rsidRPr="00487A0C">
              <w:rPr>
                <w:rFonts w:cstheme="minorHAnsi"/>
                <w:color w:val="000000"/>
                <w:sz w:val="16"/>
                <w:szCs w:val="16"/>
              </w:rPr>
              <w:t>30</w:t>
            </w:r>
          </w:p>
          <w:p w14:paraId="52FAB56C" w14:textId="77777777" w:rsidR="00F8033F" w:rsidRPr="00487A0C" w:rsidRDefault="00F8033F" w:rsidP="00453770">
            <w:pPr>
              <w:spacing w:line="360" w:lineRule="auto"/>
              <w:rPr>
                <w:rFonts w:cstheme="minorHAnsi"/>
                <w:color w:val="000000"/>
                <w:sz w:val="16"/>
                <w:szCs w:val="16"/>
              </w:rPr>
            </w:pPr>
            <w:r w:rsidRPr="00487A0C">
              <w:rPr>
                <w:rFonts w:cstheme="minorHAnsi"/>
                <w:color w:val="000000"/>
                <w:sz w:val="16"/>
                <w:szCs w:val="16"/>
              </w:rPr>
              <w:t>21</w:t>
            </w:r>
          </w:p>
          <w:p w14:paraId="770ED802" w14:textId="77777777" w:rsidR="00F8033F" w:rsidRPr="00487A0C" w:rsidRDefault="00F8033F" w:rsidP="00453770">
            <w:pPr>
              <w:spacing w:line="360" w:lineRule="auto"/>
              <w:rPr>
                <w:rFonts w:cstheme="minorHAnsi"/>
                <w:color w:val="000000"/>
                <w:sz w:val="16"/>
                <w:szCs w:val="16"/>
              </w:rPr>
            </w:pPr>
            <w:r w:rsidRPr="00487A0C">
              <w:rPr>
                <w:rFonts w:cstheme="minorHAnsi"/>
                <w:color w:val="000000"/>
                <w:sz w:val="16"/>
                <w:szCs w:val="16"/>
              </w:rPr>
              <w:t>8</w:t>
            </w:r>
          </w:p>
          <w:p w14:paraId="0F81B486" w14:textId="77777777" w:rsidR="00F8033F" w:rsidRPr="00487A0C" w:rsidRDefault="00F8033F" w:rsidP="00453770">
            <w:pPr>
              <w:spacing w:line="360" w:lineRule="auto"/>
              <w:rPr>
                <w:rFonts w:cstheme="minorHAnsi"/>
                <w:color w:val="000000"/>
                <w:sz w:val="16"/>
                <w:szCs w:val="16"/>
              </w:rPr>
            </w:pPr>
            <w:r w:rsidRPr="00487A0C">
              <w:rPr>
                <w:rFonts w:cstheme="minorHAnsi"/>
                <w:color w:val="000000"/>
                <w:sz w:val="16"/>
                <w:szCs w:val="16"/>
              </w:rPr>
              <w:t>5</w:t>
            </w:r>
          </w:p>
          <w:p w14:paraId="7DF72C74" w14:textId="77777777" w:rsidR="00F8033F" w:rsidRPr="00487A0C" w:rsidRDefault="00F8033F" w:rsidP="00453770">
            <w:pPr>
              <w:spacing w:line="360" w:lineRule="auto"/>
              <w:rPr>
                <w:rFonts w:cstheme="minorHAnsi"/>
                <w:color w:val="000000"/>
                <w:sz w:val="16"/>
                <w:szCs w:val="16"/>
              </w:rPr>
            </w:pPr>
            <w:r w:rsidRPr="00487A0C">
              <w:rPr>
                <w:rFonts w:cstheme="minorHAnsi"/>
                <w:color w:val="000000"/>
                <w:sz w:val="16"/>
                <w:szCs w:val="16"/>
              </w:rPr>
              <w:t>0</w:t>
            </w:r>
          </w:p>
        </w:tc>
      </w:tr>
      <w:tr w:rsidR="00F8033F" w:rsidRPr="00487A0C" w14:paraId="52FEE211" w14:textId="77777777" w:rsidTr="00453770">
        <w:trPr>
          <w:trHeight w:val="270"/>
        </w:trPr>
        <w:tc>
          <w:tcPr>
            <w:tcW w:w="0" w:type="auto"/>
            <w:noWrap/>
            <w:vAlign w:val="center"/>
          </w:tcPr>
          <w:p w14:paraId="2B7167FF" w14:textId="77777777" w:rsidR="00F8033F" w:rsidRPr="00487A0C" w:rsidRDefault="00F8033F" w:rsidP="00453770">
            <w:pPr>
              <w:spacing w:line="360" w:lineRule="auto"/>
              <w:rPr>
                <w:rFonts w:cstheme="minorHAnsi"/>
                <w:color w:val="000000"/>
                <w:sz w:val="16"/>
                <w:szCs w:val="16"/>
              </w:rPr>
            </w:pPr>
            <w:r w:rsidRPr="00487A0C">
              <w:rPr>
                <w:rFonts w:cstheme="minorHAnsi"/>
                <w:color w:val="000000"/>
                <w:sz w:val="16"/>
                <w:szCs w:val="16"/>
              </w:rPr>
              <w:t>Total</w:t>
            </w:r>
          </w:p>
        </w:tc>
        <w:tc>
          <w:tcPr>
            <w:tcW w:w="1532" w:type="dxa"/>
            <w:noWrap/>
            <w:vAlign w:val="center"/>
          </w:tcPr>
          <w:p w14:paraId="38AF58EF" w14:textId="77777777" w:rsidR="00F8033F" w:rsidRPr="00487A0C" w:rsidRDefault="00F8033F" w:rsidP="00453770">
            <w:pPr>
              <w:spacing w:line="360" w:lineRule="auto"/>
              <w:rPr>
                <w:rFonts w:cstheme="minorHAnsi"/>
                <w:color w:val="000000"/>
                <w:sz w:val="16"/>
                <w:szCs w:val="16"/>
              </w:rPr>
            </w:pPr>
          </w:p>
        </w:tc>
        <w:tc>
          <w:tcPr>
            <w:tcW w:w="2126" w:type="dxa"/>
            <w:vAlign w:val="center"/>
          </w:tcPr>
          <w:p w14:paraId="39F3A49D" w14:textId="77777777" w:rsidR="00F8033F" w:rsidRPr="00487A0C" w:rsidRDefault="00F8033F" w:rsidP="00453770">
            <w:pPr>
              <w:spacing w:line="360" w:lineRule="auto"/>
              <w:rPr>
                <w:rFonts w:cstheme="minorHAnsi"/>
                <w:color w:val="000000"/>
                <w:sz w:val="16"/>
                <w:szCs w:val="16"/>
              </w:rPr>
            </w:pPr>
            <w:r w:rsidRPr="00487A0C">
              <w:rPr>
                <w:rFonts w:cstheme="minorHAnsi"/>
                <w:color w:val="000000"/>
                <w:sz w:val="16"/>
                <w:szCs w:val="16"/>
              </w:rPr>
              <w:t>3 725</w:t>
            </w:r>
          </w:p>
        </w:tc>
      </w:tr>
    </w:tbl>
    <w:p w14:paraId="5A9F932B" w14:textId="15F6BE25" w:rsidR="00087BF7" w:rsidRDefault="002C0F47" w:rsidP="00693035">
      <w:pPr>
        <w:spacing w:line="480" w:lineRule="auto"/>
        <w:jc w:val="both"/>
        <w:rPr>
          <w:rFonts w:cstheme="minorHAnsi"/>
          <w:sz w:val="20"/>
          <w:szCs w:val="20"/>
        </w:rPr>
      </w:pPr>
      <w:r w:rsidRPr="001467D7">
        <w:rPr>
          <w:rFonts w:cstheme="minorHAnsi"/>
          <w:sz w:val="20"/>
          <w:szCs w:val="20"/>
        </w:rPr>
        <w:lastRenderedPageBreak/>
        <w:t xml:space="preserve">The ‘Suspected Lyme disease’ and ‘Suspected erythema migrans’ codes were only introduced as Read codes in 2014 </w:t>
      </w:r>
      <w:r w:rsidRPr="001467D7">
        <w:rPr>
          <w:rFonts w:cstheme="minorHAnsi"/>
          <w:sz w:val="20"/>
          <w:szCs w:val="20"/>
        </w:rPr>
        <w:fldChar w:fldCharType="begin" w:fldLock="1"/>
      </w:r>
      <w:r w:rsidR="00087BF7">
        <w:rPr>
          <w:rFonts w:cstheme="minorHAnsi"/>
          <w:sz w:val="20"/>
          <w:szCs w:val="20"/>
        </w:rPr>
        <w:instrText>ADDIN CSL_CITATION {"citationItems":[{"id":"ITEM-1","itemData":{"URL":"http://www.inps.co.uk/sites/default/files/Read Q3 2014 Changes.pdf","author":[{"dropping-particle":"","family":"INPS","given":"","non-dropping-particle":"","parse-names":false,"suffix":""}],"id":"ITEM-1","issued":{"date-parts":[["2014"]]},"title":"Read Dictionary Changes Q3 2014","type":"webpage"},"uris":["http://www.mendeley.com/documents/?uuid=0dcbdbcd-9473-4438-a92b-8f9be088f726"]}],"mendeley":{"formattedCitation":"(27)","plainTextFormattedCitation":"(27)","previouslyFormattedCitation":"(27)"},"properties":{"noteIndex":0},"schema":"https://github.com/citation-style-language/schema/raw/master/csl-citation.json"}</w:instrText>
      </w:r>
      <w:r w:rsidRPr="001467D7">
        <w:rPr>
          <w:rFonts w:cstheme="minorHAnsi"/>
          <w:sz w:val="20"/>
          <w:szCs w:val="20"/>
        </w:rPr>
        <w:fldChar w:fldCharType="separate"/>
      </w:r>
      <w:r w:rsidR="00087BF7" w:rsidRPr="00087BF7">
        <w:rPr>
          <w:rFonts w:cstheme="minorHAnsi"/>
          <w:noProof/>
          <w:sz w:val="20"/>
          <w:szCs w:val="20"/>
        </w:rPr>
        <w:t>(27)</w:t>
      </w:r>
      <w:r w:rsidRPr="001467D7">
        <w:rPr>
          <w:rFonts w:cstheme="minorHAnsi"/>
          <w:sz w:val="20"/>
          <w:szCs w:val="20"/>
        </w:rPr>
        <w:fldChar w:fldCharType="end"/>
      </w:r>
      <w:r>
        <w:rPr>
          <w:rFonts w:cstheme="minorHAnsi"/>
          <w:sz w:val="20"/>
          <w:szCs w:val="20"/>
        </w:rPr>
        <w:t xml:space="preserve">. </w:t>
      </w:r>
      <w:bookmarkEnd w:id="10"/>
      <w:r w:rsidR="005F5E33" w:rsidRPr="00693035">
        <w:rPr>
          <w:rFonts w:cstheme="minorHAnsi"/>
          <w:sz w:val="20"/>
          <w:szCs w:val="20"/>
        </w:rPr>
        <w:t xml:space="preserve">Conditions </w:t>
      </w:r>
      <w:r w:rsidR="00551C59" w:rsidRPr="00693035">
        <w:rPr>
          <w:rFonts w:cstheme="minorHAnsi"/>
          <w:sz w:val="20"/>
          <w:szCs w:val="20"/>
        </w:rPr>
        <w:t xml:space="preserve">with multiple </w:t>
      </w:r>
      <w:proofErr w:type="spellStart"/>
      <w:r w:rsidR="00E2516C" w:rsidRPr="00693035">
        <w:rPr>
          <w:rFonts w:cstheme="minorHAnsi"/>
          <w:color w:val="222222"/>
          <w:sz w:val="20"/>
          <w:szCs w:val="20"/>
          <w:shd w:val="clear" w:color="auto" w:fill="FFFFFF"/>
        </w:rPr>
        <w:t>aetiology</w:t>
      </w:r>
      <w:proofErr w:type="spellEnd"/>
      <w:r w:rsidR="00551C59" w:rsidRPr="00693035">
        <w:rPr>
          <w:rFonts w:cstheme="minorHAnsi"/>
          <w:sz w:val="20"/>
          <w:szCs w:val="20"/>
        </w:rPr>
        <w:t xml:space="preserve">, </w:t>
      </w:r>
      <w:r w:rsidR="005F5E33" w:rsidRPr="00693035">
        <w:rPr>
          <w:rFonts w:cstheme="minorHAnsi"/>
          <w:sz w:val="20"/>
          <w:szCs w:val="20"/>
        </w:rPr>
        <w:t>such as Bell’s palsy</w:t>
      </w:r>
      <w:r w:rsidR="00551C59" w:rsidRPr="00693035">
        <w:rPr>
          <w:rFonts w:cstheme="minorHAnsi"/>
          <w:sz w:val="20"/>
          <w:szCs w:val="20"/>
        </w:rPr>
        <w:t>,</w:t>
      </w:r>
      <w:r w:rsidR="005F5E33" w:rsidRPr="00693035">
        <w:rPr>
          <w:rFonts w:cstheme="minorHAnsi"/>
          <w:sz w:val="20"/>
          <w:szCs w:val="20"/>
        </w:rPr>
        <w:t xml:space="preserve"> were not included.</w:t>
      </w:r>
      <w:r w:rsidR="00551C59" w:rsidRPr="00693035">
        <w:rPr>
          <w:rFonts w:cstheme="minorHAnsi"/>
          <w:sz w:val="20"/>
          <w:szCs w:val="20"/>
        </w:rPr>
        <w:t xml:space="preserve"> This strict definition was chosen to minimise the number of false positives identified.</w:t>
      </w:r>
      <w:r w:rsidR="005F5E33" w:rsidRPr="00693035">
        <w:rPr>
          <w:rFonts w:cstheme="minorHAnsi"/>
          <w:sz w:val="20"/>
          <w:szCs w:val="20"/>
        </w:rPr>
        <w:t xml:space="preserve"> </w:t>
      </w:r>
      <w:r w:rsidR="003919EA" w:rsidRPr="00693035">
        <w:rPr>
          <w:rFonts w:cstheme="minorHAnsi"/>
          <w:sz w:val="20"/>
          <w:szCs w:val="20"/>
        </w:rPr>
        <w:t>C</w:t>
      </w:r>
      <w:r w:rsidR="005F5E33" w:rsidRPr="00693035">
        <w:rPr>
          <w:rFonts w:cstheme="minorHAnsi"/>
          <w:sz w:val="20"/>
          <w:szCs w:val="20"/>
        </w:rPr>
        <w:t xml:space="preserve">hoosing </w:t>
      </w:r>
      <w:r w:rsidR="004C206E" w:rsidRPr="00693035">
        <w:rPr>
          <w:rFonts w:cstheme="minorHAnsi"/>
          <w:sz w:val="20"/>
          <w:szCs w:val="20"/>
        </w:rPr>
        <w:t>strict case definitions</w:t>
      </w:r>
      <w:r w:rsidR="00551C59" w:rsidRPr="00693035">
        <w:rPr>
          <w:rFonts w:cstheme="minorHAnsi"/>
          <w:sz w:val="20"/>
          <w:szCs w:val="20"/>
        </w:rPr>
        <w:t xml:space="preserve"> </w:t>
      </w:r>
      <w:r w:rsidR="003919EA" w:rsidRPr="00693035">
        <w:rPr>
          <w:rFonts w:cstheme="minorHAnsi"/>
          <w:sz w:val="20"/>
          <w:szCs w:val="20"/>
        </w:rPr>
        <w:t>will</w:t>
      </w:r>
      <w:r w:rsidR="003A0BDE" w:rsidRPr="00693035">
        <w:rPr>
          <w:rFonts w:cstheme="minorHAnsi"/>
          <w:sz w:val="20"/>
          <w:szCs w:val="20"/>
        </w:rPr>
        <w:t xml:space="preserve"> </w:t>
      </w:r>
      <w:r w:rsidR="003919EA" w:rsidRPr="00693035">
        <w:rPr>
          <w:rFonts w:cstheme="minorHAnsi"/>
          <w:sz w:val="20"/>
          <w:szCs w:val="20"/>
        </w:rPr>
        <w:t xml:space="preserve">likely </w:t>
      </w:r>
      <w:r w:rsidR="005F5E33" w:rsidRPr="00693035">
        <w:rPr>
          <w:rFonts w:cstheme="minorHAnsi"/>
          <w:sz w:val="20"/>
          <w:szCs w:val="20"/>
        </w:rPr>
        <w:t>underestimate the number of cases</w:t>
      </w:r>
      <w:r w:rsidR="00551C59" w:rsidRPr="00693035">
        <w:rPr>
          <w:rFonts w:cstheme="minorHAnsi"/>
          <w:sz w:val="20"/>
          <w:szCs w:val="20"/>
        </w:rPr>
        <w:t xml:space="preserve"> and sensitivity</w:t>
      </w:r>
      <w:r w:rsidR="003919EA" w:rsidRPr="00693035">
        <w:rPr>
          <w:rFonts w:cstheme="minorHAnsi"/>
          <w:sz w:val="20"/>
          <w:szCs w:val="20"/>
        </w:rPr>
        <w:t xml:space="preserve"> may be lost</w:t>
      </w:r>
      <w:r w:rsidR="005F5E33" w:rsidRPr="00693035">
        <w:rPr>
          <w:rFonts w:cstheme="minorHAnsi"/>
          <w:sz w:val="20"/>
          <w:szCs w:val="20"/>
        </w:rPr>
        <w:t>, as cases of mixed non-specific clinical signs</w:t>
      </w:r>
      <w:r w:rsidR="00E2516C" w:rsidRPr="00693035">
        <w:rPr>
          <w:rFonts w:cstheme="minorHAnsi"/>
          <w:sz w:val="20"/>
          <w:szCs w:val="20"/>
        </w:rPr>
        <w:t xml:space="preserve"> c</w:t>
      </w:r>
      <w:r w:rsidR="003919EA" w:rsidRPr="00693035">
        <w:rPr>
          <w:rFonts w:cstheme="minorHAnsi"/>
          <w:sz w:val="20"/>
          <w:szCs w:val="20"/>
        </w:rPr>
        <w:t>ould be missed</w:t>
      </w:r>
      <w:r w:rsidR="005F5E33" w:rsidRPr="00693035">
        <w:rPr>
          <w:rFonts w:cstheme="minorHAnsi"/>
          <w:sz w:val="20"/>
          <w:szCs w:val="20"/>
        </w:rPr>
        <w:t xml:space="preserve">. </w:t>
      </w:r>
      <w:r w:rsidR="004E6DFA" w:rsidRPr="00693035">
        <w:rPr>
          <w:rFonts w:cstheme="minorHAnsi"/>
          <w:sz w:val="20"/>
          <w:szCs w:val="20"/>
        </w:rPr>
        <w:t>These</w:t>
      </w:r>
      <w:r w:rsidR="00551C59" w:rsidRPr="00693035">
        <w:rPr>
          <w:rFonts w:cstheme="minorHAnsi"/>
          <w:sz w:val="20"/>
          <w:szCs w:val="20"/>
        </w:rPr>
        <w:t xml:space="preserve"> codes</w:t>
      </w:r>
      <w:r w:rsidR="004E6DFA" w:rsidRPr="00693035">
        <w:rPr>
          <w:rFonts w:cstheme="minorHAnsi"/>
          <w:sz w:val="20"/>
          <w:szCs w:val="20"/>
        </w:rPr>
        <w:t xml:space="preserve"> were used to identify patients </w:t>
      </w:r>
      <w:r w:rsidR="0026751F" w:rsidRPr="00693035">
        <w:rPr>
          <w:rFonts w:cstheme="minorHAnsi"/>
          <w:sz w:val="20"/>
          <w:szCs w:val="20"/>
        </w:rPr>
        <w:t xml:space="preserve">accessing </w:t>
      </w:r>
      <w:r w:rsidR="00D05F75" w:rsidRPr="00693035">
        <w:rPr>
          <w:rFonts w:cstheme="minorHAnsi"/>
          <w:sz w:val="20"/>
          <w:szCs w:val="20"/>
        </w:rPr>
        <w:t xml:space="preserve">primary care </w:t>
      </w:r>
      <w:r w:rsidR="004E6DFA" w:rsidRPr="00693035">
        <w:rPr>
          <w:rFonts w:cstheme="minorHAnsi"/>
          <w:sz w:val="20"/>
          <w:szCs w:val="20"/>
        </w:rPr>
        <w:t>between 1</w:t>
      </w:r>
      <w:r w:rsidR="004E6DFA" w:rsidRPr="00693035">
        <w:rPr>
          <w:rFonts w:cstheme="minorHAnsi"/>
          <w:sz w:val="20"/>
          <w:szCs w:val="20"/>
          <w:vertAlign w:val="superscript"/>
        </w:rPr>
        <w:t>st</w:t>
      </w:r>
      <w:r w:rsidR="004E6DFA" w:rsidRPr="00693035">
        <w:rPr>
          <w:rFonts w:cstheme="minorHAnsi"/>
          <w:sz w:val="20"/>
          <w:szCs w:val="20"/>
        </w:rPr>
        <w:t xml:space="preserve"> January 1998 and 31</w:t>
      </w:r>
      <w:r w:rsidR="004E6DFA" w:rsidRPr="00693035">
        <w:rPr>
          <w:rFonts w:cstheme="minorHAnsi"/>
          <w:sz w:val="20"/>
          <w:szCs w:val="20"/>
          <w:vertAlign w:val="superscript"/>
        </w:rPr>
        <w:t>st</w:t>
      </w:r>
      <w:r w:rsidR="001F0FE2" w:rsidRPr="00693035">
        <w:rPr>
          <w:rFonts w:cstheme="minorHAnsi"/>
          <w:sz w:val="20"/>
          <w:szCs w:val="20"/>
        </w:rPr>
        <w:t xml:space="preserve"> December 2016</w:t>
      </w:r>
      <w:r w:rsidR="009F324F" w:rsidRPr="00693035">
        <w:rPr>
          <w:rFonts w:cstheme="minorHAnsi"/>
          <w:sz w:val="20"/>
          <w:szCs w:val="20"/>
        </w:rPr>
        <w:t>. N</w:t>
      </w:r>
      <w:r w:rsidR="004E6DFA" w:rsidRPr="00693035">
        <w:rPr>
          <w:rFonts w:cstheme="minorHAnsi"/>
          <w:sz w:val="20"/>
          <w:szCs w:val="20"/>
        </w:rPr>
        <w:t>o other exclusions were placed on the patien</w:t>
      </w:r>
      <w:r w:rsidR="00AC586B" w:rsidRPr="00693035">
        <w:rPr>
          <w:rFonts w:cstheme="minorHAnsi"/>
          <w:sz w:val="20"/>
          <w:szCs w:val="20"/>
        </w:rPr>
        <w:t xml:space="preserve">ts. </w:t>
      </w:r>
      <w:bookmarkStart w:id="11" w:name="_Hlk32482378"/>
      <w:r w:rsidR="00BC353C" w:rsidRPr="00693035">
        <w:rPr>
          <w:rFonts w:cstheme="minorHAnsi"/>
          <w:sz w:val="20"/>
          <w:szCs w:val="20"/>
        </w:rPr>
        <w:t>The index episode was taken as the first occurrence of any one of the R</w:t>
      </w:r>
      <w:r w:rsidR="00E15E98" w:rsidRPr="00693035">
        <w:rPr>
          <w:rFonts w:cstheme="minorHAnsi"/>
          <w:sz w:val="20"/>
          <w:szCs w:val="20"/>
        </w:rPr>
        <w:t>ead</w:t>
      </w:r>
      <w:r w:rsidR="00BC353C" w:rsidRPr="00693035">
        <w:rPr>
          <w:rFonts w:cstheme="minorHAnsi"/>
          <w:sz w:val="20"/>
          <w:szCs w:val="20"/>
        </w:rPr>
        <w:t xml:space="preserve"> codes identified in a patient’s record</w:t>
      </w:r>
      <w:r w:rsidR="00AC586B" w:rsidRPr="00693035">
        <w:rPr>
          <w:rFonts w:cstheme="minorHAnsi"/>
          <w:sz w:val="20"/>
          <w:szCs w:val="20"/>
        </w:rPr>
        <w:t>.</w:t>
      </w:r>
      <w:r w:rsidR="00BC353C" w:rsidRPr="00693035">
        <w:rPr>
          <w:rFonts w:cstheme="minorHAnsi"/>
          <w:sz w:val="20"/>
          <w:szCs w:val="20"/>
        </w:rPr>
        <w:t xml:space="preserve"> All calculations and demographic information w</w:t>
      </w:r>
      <w:r w:rsidR="00EE658E" w:rsidRPr="00693035">
        <w:rPr>
          <w:rFonts w:cstheme="minorHAnsi"/>
          <w:sz w:val="20"/>
          <w:szCs w:val="20"/>
        </w:rPr>
        <w:t>ere</w:t>
      </w:r>
      <w:r w:rsidR="00BC353C" w:rsidRPr="00693035">
        <w:rPr>
          <w:rFonts w:cstheme="minorHAnsi"/>
          <w:sz w:val="20"/>
          <w:szCs w:val="20"/>
        </w:rPr>
        <w:t xml:space="preserve"> derived from this date.</w:t>
      </w:r>
      <w:r w:rsidR="00AC586B" w:rsidRPr="00693035">
        <w:rPr>
          <w:rFonts w:cstheme="minorHAnsi"/>
          <w:sz w:val="20"/>
          <w:szCs w:val="20"/>
        </w:rPr>
        <w:t xml:space="preserve"> </w:t>
      </w:r>
      <w:bookmarkStart w:id="12" w:name="_Hlk32484928"/>
      <w:bookmarkEnd w:id="11"/>
      <w:r w:rsidR="000506B5">
        <w:rPr>
          <w:rFonts w:cstheme="minorHAnsi"/>
          <w:sz w:val="20"/>
          <w:szCs w:val="20"/>
        </w:rPr>
        <w:t xml:space="preserve">There is scant information on how to define a reinfection or </w:t>
      </w:r>
      <w:r w:rsidR="00E26A33">
        <w:rPr>
          <w:rFonts w:cstheme="minorHAnsi"/>
          <w:sz w:val="20"/>
          <w:szCs w:val="20"/>
        </w:rPr>
        <w:t>r</w:t>
      </w:r>
      <w:r w:rsidR="000506B5">
        <w:rPr>
          <w:rFonts w:cstheme="minorHAnsi"/>
          <w:sz w:val="20"/>
          <w:szCs w:val="20"/>
        </w:rPr>
        <w:t xml:space="preserve">elapse of Lyme disease, with no standard time period to differentiate between the two </w:t>
      </w:r>
      <w:r w:rsidR="000506B5">
        <w:rPr>
          <w:rFonts w:cstheme="minorHAnsi"/>
          <w:sz w:val="20"/>
          <w:szCs w:val="20"/>
        </w:rPr>
        <w:fldChar w:fldCharType="begin" w:fldLock="1"/>
      </w:r>
      <w:r w:rsidR="00087BF7">
        <w:rPr>
          <w:rFonts w:cstheme="minorHAnsi"/>
          <w:sz w:val="20"/>
          <w:szCs w:val="20"/>
        </w:rPr>
        <w:instrText>ADDIN CSL_CITATION {"citationItems":[{"id":"ITEM-1","itemData":{"DOI":"10.1086/521256","ISSN":"1058-4838","abstract":"Lyme disease is the most common tick-borne infection in the United States and Europe. A surprising number of patients experience a subsequent episode of Lyme disease after the first episode has resolved. Reinfection has been well-documented only after successfully treated early infection (nearly always erythema migrans) and can often be recognized clinically by the development of a repeat episode of erythema migrans occurring at a different location on the skin during months when the principal tick vectors are abundant in the environment. Limited data suggest that the clinical and laboratory manifestations of reinfection in patients with Lyme disease with erythema migrans are not very different from those of initial infection. Patients with recurrent infections afford an opportunity to study the role of the immune response in this illness. Because patients with early Lyme disease continue to remain at high risk for reinfection, this population should be targeted for education about prevention of Lyme disease.","author":[{"dropping-particle":"","family":"Nadelman","given":"R. B.","non-dropping-particle":"","parse-names":false,"suffix":""},{"dropping-particle":"","family":"Wormser","given":"G. P.","non-dropping-particle":"","parse-names":false,"suffix":""}],"container-title":"Clinical Infectious Diseases","id":"ITEM-1","issue":"8","issued":{"date-parts":[["2007"]]},"page":"1032-1038","title":"Reinfection in Patients with Lyme Disease","type":"article-journal","volume":"45"},"uris":["http://www.mendeley.com/documents/?uuid=935a4e69-2296-4ac2-a325-a6cd3a36bd81"]}],"mendeley":{"formattedCitation":"(28)","plainTextFormattedCitation":"(28)","previouslyFormattedCitation":"(28)"},"properties":{"noteIndex":0},"schema":"https://github.com/citation-style-language/schema/raw/master/csl-citation.json"}</w:instrText>
      </w:r>
      <w:r w:rsidR="000506B5">
        <w:rPr>
          <w:rFonts w:cstheme="minorHAnsi"/>
          <w:sz w:val="20"/>
          <w:szCs w:val="20"/>
        </w:rPr>
        <w:fldChar w:fldCharType="separate"/>
      </w:r>
      <w:r w:rsidR="00087BF7" w:rsidRPr="00087BF7">
        <w:rPr>
          <w:rFonts w:cstheme="minorHAnsi"/>
          <w:noProof/>
          <w:sz w:val="20"/>
          <w:szCs w:val="20"/>
        </w:rPr>
        <w:t>(28)</w:t>
      </w:r>
      <w:r w:rsidR="000506B5">
        <w:rPr>
          <w:rFonts w:cstheme="minorHAnsi"/>
          <w:sz w:val="20"/>
          <w:szCs w:val="20"/>
        </w:rPr>
        <w:fldChar w:fldCharType="end"/>
      </w:r>
      <w:r w:rsidR="000506B5">
        <w:rPr>
          <w:rFonts w:cstheme="minorHAnsi"/>
          <w:sz w:val="20"/>
          <w:szCs w:val="20"/>
        </w:rPr>
        <w:t xml:space="preserve">. </w:t>
      </w:r>
      <w:r w:rsidR="00E26A33">
        <w:rPr>
          <w:rFonts w:cstheme="minorHAnsi"/>
          <w:sz w:val="20"/>
          <w:szCs w:val="20"/>
        </w:rPr>
        <w:t>It was therefore decided that any subsequent Lyme disease Read codes associated with an ide</w:t>
      </w:r>
      <w:r w:rsidR="00641618">
        <w:rPr>
          <w:rFonts w:cstheme="minorHAnsi"/>
          <w:sz w:val="20"/>
          <w:szCs w:val="20"/>
        </w:rPr>
        <w:t>ntified case were not analysed.</w:t>
      </w:r>
      <w:r w:rsidR="00B70FFD">
        <w:rPr>
          <w:rFonts w:cstheme="minorHAnsi"/>
          <w:sz w:val="20"/>
          <w:szCs w:val="20"/>
        </w:rPr>
        <w:t xml:space="preserve"> </w:t>
      </w:r>
      <w:bookmarkStart w:id="13" w:name="_Hlk32485715"/>
      <w:bookmarkEnd w:id="12"/>
      <w:r w:rsidR="00C97D20">
        <w:rPr>
          <w:rFonts w:cstheme="minorHAnsi"/>
          <w:sz w:val="20"/>
          <w:szCs w:val="20"/>
        </w:rPr>
        <w:t xml:space="preserve">Identified cases were excluded from denominator calculations. </w:t>
      </w:r>
      <w:bookmarkEnd w:id="13"/>
      <w:r w:rsidR="00FF3850" w:rsidRPr="00693035">
        <w:rPr>
          <w:rFonts w:cstheme="minorHAnsi"/>
          <w:sz w:val="20"/>
          <w:szCs w:val="20"/>
        </w:rPr>
        <w:t xml:space="preserve">Denominators were calculated as </w:t>
      </w:r>
      <w:r w:rsidR="00FF3850">
        <w:rPr>
          <w:rFonts w:cstheme="minorHAnsi"/>
          <w:sz w:val="20"/>
          <w:szCs w:val="20"/>
        </w:rPr>
        <w:t>the total annual number of unique active patients in</w:t>
      </w:r>
      <w:r w:rsidR="00FF3850" w:rsidRPr="00693035">
        <w:rPr>
          <w:rFonts w:cstheme="minorHAnsi"/>
          <w:sz w:val="20"/>
          <w:szCs w:val="20"/>
        </w:rPr>
        <w:t xml:space="preserve"> </w:t>
      </w:r>
      <w:r w:rsidR="00FF3850">
        <w:rPr>
          <w:rFonts w:cstheme="minorHAnsi"/>
          <w:sz w:val="20"/>
          <w:szCs w:val="20"/>
        </w:rPr>
        <w:t xml:space="preserve">the </w:t>
      </w:r>
      <w:r w:rsidR="00FF3850" w:rsidRPr="00693035">
        <w:rPr>
          <w:rFonts w:cstheme="minorHAnsi"/>
          <w:sz w:val="20"/>
          <w:szCs w:val="20"/>
        </w:rPr>
        <w:t>THIN database.</w:t>
      </w:r>
      <w:r w:rsidR="00FF3850">
        <w:rPr>
          <w:rFonts w:cstheme="minorHAnsi"/>
          <w:sz w:val="20"/>
          <w:szCs w:val="20"/>
        </w:rPr>
        <w:t xml:space="preserve"> </w:t>
      </w:r>
      <w:r w:rsidR="00DC6A32">
        <w:rPr>
          <w:rFonts w:cstheme="minorHAnsi"/>
          <w:sz w:val="20"/>
          <w:szCs w:val="20"/>
        </w:rPr>
        <w:t>Crude annual</w:t>
      </w:r>
      <w:r w:rsidR="00BC353C" w:rsidRPr="00693035">
        <w:rPr>
          <w:rFonts w:cstheme="minorHAnsi"/>
          <w:sz w:val="20"/>
          <w:szCs w:val="20"/>
        </w:rPr>
        <w:t xml:space="preserve"> incidence </w:t>
      </w:r>
      <w:r w:rsidR="002C5A28">
        <w:rPr>
          <w:rFonts w:cstheme="minorHAnsi"/>
          <w:sz w:val="20"/>
          <w:szCs w:val="20"/>
        </w:rPr>
        <w:t xml:space="preserve">of new diagnosis </w:t>
      </w:r>
      <w:r w:rsidR="00BC353C" w:rsidRPr="00693035">
        <w:rPr>
          <w:rFonts w:cstheme="minorHAnsi"/>
          <w:sz w:val="20"/>
          <w:szCs w:val="20"/>
        </w:rPr>
        <w:t xml:space="preserve">rates </w:t>
      </w:r>
      <w:proofErr w:type="gramStart"/>
      <w:r w:rsidR="00BC353C" w:rsidRPr="00693035">
        <w:rPr>
          <w:rFonts w:cstheme="minorHAnsi"/>
          <w:sz w:val="20"/>
          <w:szCs w:val="20"/>
        </w:rPr>
        <w:t>were</w:t>
      </w:r>
      <w:proofErr w:type="gramEnd"/>
      <w:r w:rsidR="00BC353C" w:rsidRPr="00693035">
        <w:rPr>
          <w:rFonts w:cstheme="minorHAnsi"/>
          <w:sz w:val="20"/>
          <w:szCs w:val="20"/>
        </w:rPr>
        <w:t xml:space="preserve"> calculated for the whole </w:t>
      </w:r>
      <w:r w:rsidR="00B07BB2" w:rsidRPr="00693035">
        <w:rPr>
          <w:rFonts w:cstheme="minorHAnsi"/>
          <w:sz w:val="20"/>
          <w:szCs w:val="20"/>
        </w:rPr>
        <w:t>dataset and</w:t>
      </w:r>
      <w:r w:rsidR="00BC353C" w:rsidRPr="00693035">
        <w:rPr>
          <w:rFonts w:cstheme="minorHAnsi"/>
          <w:sz w:val="20"/>
          <w:szCs w:val="20"/>
        </w:rPr>
        <w:t xml:space="preserve"> </w:t>
      </w:r>
      <w:r w:rsidR="009F324F" w:rsidRPr="00693035">
        <w:rPr>
          <w:rFonts w:cstheme="minorHAnsi"/>
          <w:sz w:val="20"/>
          <w:szCs w:val="20"/>
        </w:rPr>
        <w:t xml:space="preserve">were </w:t>
      </w:r>
      <w:r w:rsidR="00BC353C" w:rsidRPr="00693035">
        <w:rPr>
          <w:rFonts w:cstheme="minorHAnsi"/>
          <w:sz w:val="20"/>
          <w:szCs w:val="20"/>
        </w:rPr>
        <w:t>stratified by</w:t>
      </w:r>
      <w:r w:rsidR="00B07BB2">
        <w:rPr>
          <w:rFonts w:cstheme="minorHAnsi"/>
          <w:sz w:val="20"/>
          <w:szCs w:val="20"/>
        </w:rPr>
        <w:t xml:space="preserve"> </w:t>
      </w:r>
      <w:r w:rsidR="009201CC">
        <w:rPr>
          <w:rFonts w:cstheme="minorHAnsi"/>
          <w:sz w:val="20"/>
          <w:szCs w:val="20"/>
        </w:rPr>
        <w:t>UK nation</w:t>
      </w:r>
      <w:r w:rsidR="00F1396A">
        <w:rPr>
          <w:rFonts w:cstheme="minorHAnsi"/>
          <w:sz w:val="20"/>
          <w:szCs w:val="20"/>
        </w:rPr>
        <w:t>, month of diagnosis</w:t>
      </w:r>
      <w:r w:rsidR="005C3780">
        <w:rPr>
          <w:rFonts w:cstheme="minorHAnsi"/>
          <w:sz w:val="20"/>
          <w:szCs w:val="20"/>
        </w:rPr>
        <w:t>, and</w:t>
      </w:r>
      <w:r w:rsidR="00BC353C" w:rsidRPr="00693035">
        <w:rPr>
          <w:rFonts w:cstheme="minorHAnsi"/>
          <w:sz w:val="20"/>
          <w:szCs w:val="20"/>
        </w:rPr>
        <w:t xml:space="preserve"> R</w:t>
      </w:r>
      <w:r w:rsidR="00E15E98" w:rsidRPr="00693035">
        <w:rPr>
          <w:rFonts w:cstheme="minorHAnsi"/>
          <w:sz w:val="20"/>
          <w:szCs w:val="20"/>
        </w:rPr>
        <w:t>ead</w:t>
      </w:r>
      <w:r w:rsidR="00BC353C" w:rsidRPr="00693035">
        <w:rPr>
          <w:rFonts w:cstheme="minorHAnsi"/>
          <w:sz w:val="20"/>
          <w:szCs w:val="20"/>
        </w:rPr>
        <w:t xml:space="preserve"> code. </w:t>
      </w:r>
      <w:bookmarkStart w:id="14" w:name="_Hlk32487886"/>
      <w:r w:rsidR="00DC6A32">
        <w:rPr>
          <w:rFonts w:cstheme="minorHAnsi"/>
          <w:sz w:val="20"/>
          <w:szCs w:val="20"/>
        </w:rPr>
        <w:t xml:space="preserve">Confidence intervals of the incidence were calculated using </w:t>
      </w:r>
      <w:proofErr w:type="spellStart"/>
      <w:r w:rsidR="00DC6A32">
        <w:rPr>
          <w:rFonts w:cstheme="minorHAnsi"/>
          <w:sz w:val="20"/>
          <w:szCs w:val="20"/>
        </w:rPr>
        <w:t>Byar’s</w:t>
      </w:r>
      <w:proofErr w:type="spellEnd"/>
      <w:r w:rsidR="00DC6A32">
        <w:rPr>
          <w:rFonts w:cstheme="minorHAnsi"/>
          <w:sz w:val="20"/>
          <w:szCs w:val="20"/>
        </w:rPr>
        <w:t xml:space="preserve"> method. </w:t>
      </w:r>
      <w:bookmarkEnd w:id="14"/>
      <w:r w:rsidR="00CF36AC">
        <w:rPr>
          <w:rFonts w:cstheme="minorHAnsi"/>
          <w:sz w:val="20"/>
          <w:szCs w:val="20"/>
        </w:rPr>
        <w:t>Using the Office for National Statistics</w:t>
      </w:r>
      <w:r w:rsidR="005777CC">
        <w:rPr>
          <w:rFonts w:cstheme="minorHAnsi"/>
          <w:sz w:val="20"/>
          <w:szCs w:val="20"/>
        </w:rPr>
        <w:t xml:space="preserve"> (ONS)</w:t>
      </w:r>
      <w:r w:rsidR="00CF36AC">
        <w:rPr>
          <w:rFonts w:cstheme="minorHAnsi"/>
          <w:sz w:val="20"/>
          <w:szCs w:val="20"/>
        </w:rPr>
        <w:t xml:space="preserve"> mid-year population estimates</w:t>
      </w:r>
      <w:r w:rsidR="006A4A4F">
        <w:rPr>
          <w:rFonts w:cstheme="minorHAnsi"/>
          <w:sz w:val="20"/>
          <w:szCs w:val="20"/>
        </w:rPr>
        <w:t xml:space="preserve"> </w:t>
      </w:r>
      <w:r w:rsidR="006A4A4F">
        <w:rPr>
          <w:rFonts w:cstheme="minorHAnsi"/>
          <w:sz w:val="20"/>
          <w:szCs w:val="20"/>
        </w:rPr>
        <w:fldChar w:fldCharType="begin" w:fldLock="1"/>
      </w:r>
      <w:r w:rsidR="00087BF7">
        <w:rPr>
          <w:rFonts w:cstheme="minorHAnsi"/>
          <w:sz w:val="20"/>
          <w:szCs w:val="20"/>
        </w:rPr>
        <w:instrText>ADDIN CSL_CITATION {"citationItems":[{"id":"ITEM-1","itemData":{"id":"ITEM-1","issued":{"date-parts":[["0"]]},"note":"NULL","title":"Office for National Statistics - People, population and community","type":"article-journal"},"uris":["http://www.mendeley.com/documents/?uuid=3bb6334c-2e45-4411-84c9-636cbeafc6bd"]}],"mendeley":{"formattedCitation":"(26)","plainTextFormattedCitation":"(26)","previouslyFormattedCitation":"(26)"},"properties":{"noteIndex":0},"schema":"https://github.com/citation-style-language/schema/raw/master/csl-citation.json"}</w:instrText>
      </w:r>
      <w:r w:rsidR="006A4A4F">
        <w:rPr>
          <w:rFonts w:cstheme="minorHAnsi"/>
          <w:sz w:val="20"/>
          <w:szCs w:val="20"/>
        </w:rPr>
        <w:fldChar w:fldCharType="separate"/>
      </w:r>
      <w:r w:rsidR="00087BF7" w:rsidRPr="00087BF7">
        <w:rPr>
          <w:rFonts w:cstheme="minorHAnsi"/>
          <w:noProof/>
          <w:sz w:val="20"/>
          <w:szCs w:val="20"/>
        </w:rPr>
        <w:t>(26)</w:t>
      </w:r>
      <w:r w:rsidR="006A4A4F">
        <w:rPr>
          <w:rFonts w:cstheme="minorHAnsi"/>
          <w:sz w:val="20"/>
          <w:szCs w:val="20"/>
        </w:rPr>
        <w:fldChar w:fldCharType="end"/>
      </w:r>
      <w:r w:rsidR="00CF36AC">
        <w:rPr>
          <w:rFonts w:cstheme="minorHAnsi"/>
          <w:sz w:val="20"/>
          <w:szCs w:val="20"/>
        </w:rPr>
        <w:t xml:space="preserve"> and </w:t>
      </w:r>
      <w:r w:rsidR="00FF3850">
        <w:rPr>
          <w:rFonts w:cstheme="minorHAnsi"/>
          <w:sz w:val="20"/>
          <w:szCs w:val="20"/>
        </w:rPr>
        <w:t xml:space="preserve">our calculated </w:t>
      </w:r>
      <w:r w:rsidR="00DC6A32">
        <w:rPr>
          <w:rFonts w:cstheme="minorHAnsi"/>
          <w:sz w:val="20"/>
          <w:szCs w:val="20"/>
        </w:rPr>
        <w:t>crude</w:t>
      </w:r>
      <w:r w:rsidR="00CF36AC">
        <w:rPr>
          <w:rFonts w:cstheme="minorHAnsi"/>
          <w:sz w:val="20"/>
          <w:szCs w:val="20"/>
        </w:rPr>
        <w:t xml:space="preserve"> incidence figures, national case number estimates were calculated. </w:t>
      </w:r>
    </w:p>
    <w:p w14:paraId="6C4CE4E5" w14:textId="7D8E7A6F" w:rsidR="00B07BB2" w:rsidRDefault="00FF3850" w:rsidP="00693035">
      <w:pPr>
        <w:spacing w:line="480" w:lineRule="auto"/>
        <w:jc w:val="both"/>
        <w:rPr>
          <w:rFonts w:cstheme="minorHAnsi"/>
          <w:sz w:val="20"/>
          <w:szCs w:val="20"/>
        </w:rPr>
      </w:pPr>
      <w:bookmarkStart w:id="15" w:name="_Hlk32926209"/>
      <w:r>
        <w:rPr>
          <w:rFonts w:cstheme="minorHAnsi"/>
          <w:sz w:val="20"/>
          <w:szCs w:val="20"/>
        </w:rPr>
        <w:t>Using the cases identified within THIN and the THIN denominator population, we assessed the</w:t>
      </w:r>
      <w:r w:rsidR="00B07BB2">
        <w:rPr>
          <w:rFonts w:cstheme="minorHAnsi"/>
          <w:sz w:val="20"/>
          <w:szCs w:val="20"/>
        </w:rPr>
        <w:t xml:space="preserve"> following variables univariably </w:t>
      </w:r>
      <w:r w:rsidR="001027A7">
        <w:rPr>
          <w:rFonts w:cstheme="minorHAnsi"/>
          <w:sz w:val="20"/>
          <w:szCs w:val="20"/>
        </w:rPr>
        <w:t xml:space="preserve">with </w:t>
      </w:r>
      <w:r w:rsidR="00E572AE">
        <w:rPr>
          <w:rFonts w:cstheme="minorHAnsi"/>
          <w:sz w:val="20"/>
          <w:szCs w:val="20"/>
        </w:rPr>
        <w:t>P</w:t>
      </w:r>
      <w:r w:rsidR="00B07BB2">
        <w:rPr>
          <w:rFonts w:cstheme="minorHAnsi"/>
          <w:sz w:val="20"/>
          <w:szCs w:val="20"/>
        </w:rPr>
        <w:t>oisson regression</w:t>
      </w:r>
      <w:r w:rsidR="001027A7">
        <w:rPr>
          <w:rFonts w:cstheme="minorHAnsi"/>
          <w:sz w:val="20"/>
          <w:szCs w:val="20"/>
        </w:rPr>
        <w:t>; year as a linear term, sex, age, nation, Townsend quintile, and rural-urban status.</w:t>
      </w:r>
      <w:r w:rsidR="00B07BB2">
        <w:rPr>
          <w:rFonts w:cstheme="minorHAnsi"/>
          <w:sz w:val="20"/>
          <w:szCs w:val="20"/>
        </w:rPr>
        <w:t xml:space="preserve"> </w:t>
      </w:r>
      <w:bookmarkEnd w:id="15"/>
      <w:r w:rsidR="001027A7">
        <w:rPr>
          <w:rFonts w:cstheme="minorHAnsi"/>
          <w:sz w:val="20"/>
          <w:szCs w:val="20"/>
        </w:rPr>
        <w:t>S</w:t>
      </w:r>
      <w:r w:rsidR="00B07BB2">
        <w:rPr>
          <w:rFonts w:cstheme="minorHAnsi"/>
          <w:sz w:val="20"/>
          <w:szCs w:val="20"/>
        </w:rPr>
        <w:t>ignificant variables</w:t>
      </w:r>
      <w:r w:rsidR="00CF36AC">
        <w:rPr>
          <w:rFonts w:cstheme="minorHAnsi"/>
          <w:sz w:val="20"/>
          <w:szCs w:val="20"/>
        </w:rPr>
        <w:t xml:space="preserve"> were</w:t>
      </w:r>
      <w:r w:rsidR="00B07BB2">
        <w:rPr>
          <w:rFonts w:cstheme="minorHAnsi"/>
          <w:sz w:val="20"/>
          <w:szCs w:val="20"/>
        </w:rPr>
        <w:t xml:space="preserve"> taken forward </w:t>
      </w:r>
      <w:r w:rsidR="00CF36AC">
        <w:rPr>
          <w:rFonts w:cstheme="minorHAnsi"/>
          <w:sz w:val="20"/>
          <w:szCs w:val="20"/>
        </w:rPr>
        <w:t>for multivariable analysis</w:t>
      </w:r>
      <w:r w:rsidR="00B07BB2">
        <w:rPr>
          <w:rFonts w:cstheme="minorHAnsi"/>
          <w:sz w:val="20"/>
          <w:szCs w:val="20"/>
        </w:rPr>
        <w:t xml:space="preserve">. </w:t>
      </w:r>
    </w:p>
    <w:p w14:paraId="1D251586" w14:textId="5962970E" w:rsidR="00046AE8" w:rsidRDefault="00265D38" w:rsidP="00693035">
      <w:pPr>
        <w:spacing w:line="480" w:lineRule="auto"/>
        <w:jc w:val="both"/>
        <w:rPr>
          <w:rFonts w:cstheme="minorHAnsi"/>
          <w:sz w:val="20"/>
          <w:szCs w:val="20"/>
        </w:rPr>
      </w:pPr>
      <w:r w:rsidRPr="001467D7">
        <w:rPr>
          <w:rFonts w:cs="Times New Roman"/>
          <w:sz w:val="20"/>
          <w:szCs w:val="20"/>
        </w:rPr>
        <w:t xml:space="preserve">Due to </w:t>
      </w:r>
      <w:r w:rsidR="006C11CE" w:rsidRPr="001467D7">
        <w:rPr>
          <w:rFonts w:cs="Times New Roman"/>
          <w:sz w:val="20"/>
          <w:szCs w:val="20"/>
        </w:rPr>
        <w:t xml:space="preserve">the </w:t>
      </w:r>
      <w:r w:rsidRPr="001467D7">
        <w:rPr>
          <w:rFonts w:cs="Times New Roman"/>
          <w:sz w:val="20"/>
          <w:szCs w:val="20"/>
        </w:rPr>
        <w:t xml:space="preserve">poor recording of ethnicity within THIN, the </w:t>
      </w:r>
      <w:r w:rsidR="003E62B1" w:rsidRPr="001467D7">
        <w:rPr>
          <w:rFonts w:cs="Times New Roman"/>
          <w:sz w:val="20"/>
          <w:szCs w:val="20"/>
        </w:rPr>
        <w:t xml:space="preserve">complete </w:t>
      </w:r>
      <w:r w:rsidRPr="001467D7">
        <w:rPr>
          <w:rFonts w:cs="Times New Roman"/>
          <w:sz w:val="20"/>
          <w:szCs w:val="20"/>
        </w:rPr>
        <w:t xml:space="preserve">electronic health record of each </w:t>
      </w:r>
      <w:r w:rsidR="006C11CE" w:rsidRPr="001467D7">
        <w:rPr>
          <w:rFonts w:cs="Times New Roman"/>
          <w:sz w:val="20"/>
          <w:szCs w:val="20"/>
        </w:rPr>
        <w:t>identified</w:t>
      </w:r>
      <w:r w:rsidRPr="001467D7">
        <w:rPr>
          <w:rFonts w:cs="Times New Roman"/>
          <w:sz w:val="20"/>
          <w:szCs w:val="20"/>
        </w:rPr>
        <w:t xml:space="preserve"> case was read</w:t>
      </w:r>
      <w:r w:rsidR="00627275" w:rsidRPr="001467D7">
        <w:rPr>
          <w:rFonts w:cs="Times New Roman"/>
          <w:sz w:val="20"/>
          <w:szCs w:val="20"/>
        </w:rPr>
        <w:t xml:space="preserve"> </w:t>
      </w:r>
      <w:r w:rsidR="006C11CE" w:rsidRPr="001467D7">
        <w:rPr>
          <w:rFonts w:cs="Times New Roman"/>
          <w:sz w:val="20"/>
          <w:szCs w:val="20"/>
        </w:rPr>
        <w:t>to confirm ethnicity</w:t>
      </w:r>
      <w:r w:rsidRPr="001467D7">
        <w:rPr>
          <w:rFonts w:cs="Times New Roman"/>
          <w:sz w:val="20"/>
          <w:szCs w:val="20"/>
        </w:rPr>
        <w:t xml:space="preserve"> status</w:t>
      </w:r>
      <w:r w:rsidR="00627275" w:rsidRPr="001467D7">
        <w:rPr>
          <w:rFonts w:cs="Times New Roman"/>
          <w:sz w:val="20"/>
          <w:szCs w:val="20"/>
        </w:rPr>
        <w:t xml:space="preserve">, rather than constructing a </w:t>
      </w:r>
      <w:r w:rsidR="003E62B1" w:rsidRPr="001467D7">
        <w:rPr>
          <w:rFonts w:cs="Times New Roman"/>
          <w:sz w:val="20"/>
          <w:szCs w:val="20"/>
        </w:rPr>
        <w:t>Read code search</w:t>
      </w:r>
      <w:r w:rsidR="006C11CE" w:rsidRPr="001467D7">
        <w:rPr>
          <w:rFonts w:cs="Times New Roman"/>
          <w:sz w:val="20"/>
          <w:szCs w:val="20"/>
        </w:rPr>
        <w:t>.</w:t>
      </w:r>
      <w:r w:rsidR="005777CC">
        <w:rPr>
          <w:rFonts w:cs="Times New Roman"/>
          <w:sz w:val="20"/>
          <w:szCs w:val="20"/>
        </w:rPr>
        <w:t xml:space="preserve"> </w:t>
      </w:r>
      <w:bookmarkStart w:id="16" w:name="_Hlk32492692"/>
      <w:r w:rsidR="005777CC">
        <w:rPr>
          <w:rFonts w:cs="Times New Roman"/>
          <w:sz w:val="20"/>
          <w:szCs w:val="20"/>
        </w:rPr>
        <w:t>It was not feasible to read and confirm the denominator population and</w:t>
      </w:r>
      <w:r w:rsidR="006C11CE" w:rsidRPr="001467D7">
        <w:rPr>
          <w:rFonts w:cs="Times New Roman"/>
          <w:sz w:val="20"/>
          <w:szCs w:val="20"/>
        </w:rPr>
        <w:t xml:space="preserve"> </w:t>
      </w:r>
      <w:r w:rsidR="005777CC">
        <w:rPr>
          <w:rFonts w:cs="Times New Roman"/>
          <w:sz w:val="20"/>
          <w:szCs w:val="20"/>
        </w:rPr>
        <w:t>therefore</w:t>
      </w:r>
      <w:r w:rsidR="006C11CE" w:rsidRPr="001467D7">
        <w:rPr>
          <w:rFonts w:cs="Times New Roman"/>
          <w:sz w:val="20"/>
          <w:szCs w:val="20"/>
        </w:rPr>
        <w:t xml:space="preserve"> incidence could not be </w:t>
      </w:r>
      <w:r w:rsidR="003E62B1" w:rsidRPr="001467D7">
        <w:rPr>
          <w:rFonts w:cs="Times New Roman"/>
          <w:sz w:val="20"/>
          <w:szCs w:val="20"/>
        </w:rPr>
        <w:t>calculated</w:t>
      </w:r>
      <w:r w:rsidR="005777CC">
        <w:rPr>
          <w:rFonts w:cs="Times New Roman"/>
          <w:sz w:val="20"/>
          <w:szCs w:val="20"/>
        </w:rPr>
        <w:t>. Instead,</w:t>
      </w:r>
      <w:r w:rsidR="006C11CE" w:rsidRPr="001467D7">
        <w:rPr>
          <w:rFonts w:cs="Times New Roman"/>
          <w:sz w:val="20"/>
          <w:szCs w:val="20"/>
        </w:rPr>
        <w:t xml:space="preserve"> proportions of ethnicity classification</w:t>
      </w:r>
      <w:r w:rsidR="005777CC">
        <w:rPr>
          <w:rFonts w:cs="Times New Roman"/>
          <w:sz w:val="20"/>
          <w:szCs w:val="20"/>
        </w:rPr>
        <w:t xml:space="preserve"> for cases</w:t>
      </w:r>
      <w:r w:rsidR="006C11CE" w:rsidRPr="001467D7">
        <w:rPr>
          <w:rFonts w:cs="Times New Roman"/>
          <w:sz w:val="20"/>
          <w:szCs w:val="20"/>
        </w:rPr>
        <w:t xml:space="preserve"> were</w:t>
      </w:r>
      <w:r w:rsidR="005777CC">
        <w:rPr>
          <w:rFonts w:cs="Times New Roman"/>
          <w:sz w:val="20"/>
          <w:szCs w:val="20"/>
        </w:rPr>
        <w:t xml:space="preserve"> calculated and</w:t>
      </w:r>
      <w:r w:rsidR="006C11CE" w:rsidRPr="001467D7">
        <w:rPr>
          <w:rFonts w:cs="Times New Roman"/>
          <w:sz w:val="20"/>
          <w:szCs w:val="20"/>
        </w:rPr>
        <w:t xml:space="preserve"> compare</w:t>
      </w:r>
      <w:r w:rsidR="00627275" w:rsidRPr="001467D7">
        <w:rPr>
          <w:rFonts w:cs="Times New Roman"/>
          <w:sz w:val="20"/>
          <w:szCs w:val="20"/>
        </w:rPr>
        <w:t>d</w:t>
      </w:r>
      <w:r w:rsidR="006C11CE" w:rsidRPr="001467D7">
        <w:rPr>
          <w:rFonts w:cs="Times New Roman"/>
          <w:sz w:val="20"/>
          <w:szCs w:val="20"/>
        </w:rPr>
        <w:t xml:space="preserve"> </w:t>
      </w:r>
      <w:r w:rsidR="005777CC">
        <w:rPr>
          <w:rFonts w:cs="Times New Roman"/>
          <w:sz w:val="20"/>
          <w:szCs w:val="20"/>
        </w:rPr>
        <w:t>to</w:t>
      </w:r>
      <w:r w:rsidR="005777CC" w:rsidRPr="001467D7">
        <w:rPr>
          <w:rFonts w:cs="Times New Roman"/>
          <w:sz w:val="20"/>
          <w:szCs w:val="20"/>
        </w:rPr>
        <w:t xml:space="preserve"> </w:t>
      </w:r>
      <w:r w:rsidR="006C11CE" w:rsidRPr="001467D7">
        <w:rPr>
          <w:rFonts w:cs="Times New Roman"/>
          <w:sz w:val="20"/>
          <w:szCs w:val="20"/>
        </w:rPr>
        <w:t xml:space="preserve">the </w:t>
      </w:r>
      <w:r w:rsidR="005777CC">
        <w:rPr>
          <w:rFonts w:cs="Times New Roman"/>
          <w:sz w:val="20"/>
          <w:szCs w:val="20"/>
        </w:rPr>
        <w:t xml:space="preserve">ONS </w:t>
      </w:r>
      <w:r w:rsidR="006C11CE" w:rsidRPr="001467D7">
        <w:rPr>
          <w:rFonts w:cs="Times New Roman"/>
          <w:sz w:val="20"/>
          <w:szCs w:val="20"/>
        </w:rPr>
        <w:t>national population</w:t>
      </w:r>
      <w:r w:rsidR="005777CC">
        <w:rPr>
          <w:rFonts w:cs="Times New Roman"/>
          <w:sz w:val="20"/>
          <w:szCs w:val="20"/>
        </w:rPr>
        <w:t xml:space="preserve"> ethnicity </w:t>
      </w:r>
      <w:r w:rsidR="000A3DCC">
        <w:rPr>
          <w:rFonts w:cs="Times New Roman"/>
          <w:sz w:val="20"/>
          <w:szCs w:val="20"/>
        </w:rPr>
        <w:t>data</w:t>
      </w:r>
      <w:r w:rsidR="005777CC">
        <w:rPr>
          <w:rFonts w:cs="Times New Roman"/>
          <w:sz w:val="20"/>
          <w:szCs w:val="20"/>
        </w:rPr>
        <w:t>, using a Chi-squared test</w:t>
      </w:r>
      <w:r w:rsidR="006C11CE" w:rsidRPr="001467D7">
        <w:rPr>
          <w:rFonts w:cs="Times New Roman"/>
          <w:sz w:val="20"/>
          <w:szCs w:val="20"/>
        </w:rPr>
        <w:t xml:space="preserve">. </w:t>
      </w:r>
      <w:bookmarkEnd w:id="16"/>
    </w:p>
    <w:p w14:paraId="39149993" w14:textId="1FA8877A" w:rsidR="00E40347" w:rsidRPr="00693035" w:rsidRDefault="00653109" w:rsidP="00693035">
      <w:pPr>
        <w:spacing w:line="480" w:lineRule="auto"/>
        <w:jc w:val="both"/>
        <w:rPr>
          <w:rFonts w:cstheme="minorHAnsi"/>
          <w:sz w:val="20"/>
          <w:szCs w:val="20"/>
        </w:rPr>
      </w:pPr>
      <w:bookmarkStart w:id="17" w:name="_Hlk32914248"/>
      <w:r w:rsidRPr="00653109">
        <w:rPr>
          <w:rFonts w:cstheme="minorHAnsi"/>
          <w:sz w:val="20"/>
          <w:szCs w:val="20"/>
        </w:rPr>
        <w:t xml:space="preserve">A ratio between the incidence of new diagnosed cases in primary care and the incidence of laboratory-confirmed cases was created. National laboratory data for the UK is available </w:t>
      </w:r>
      <w:r w:rsidR="00220283">
        <w:rPr>
          <w:rFonts w:cstheme="minorHAnsi"/>
          <w:sz w:val="20"/>
          <w:szCs w:val="20"/>
        </w:rPr>
        <w:t xml:space="preserve">between 2007 and 2016 and released in the </w:t>
      </w:r>
      <w:r w:rsidR="00087BF7">
        <w:rPr>
          <w:rFonts w:cstheme="minorHAnsi"/>
          <w:sz w:val="20"/>
          <w:szCs w:val="20"/>
        </w:rPr>
        <w:t xml:space="preserve">UK government’s </w:t>
      </w:r>
      <w:r w:rsidR="00FF3850">
        <w:rPr>
          <w:rFonts w:cstheme="minorHAnsi"/>
          <w:sz w:val="20"/>
          <w:szCs w:val="20"/>
        </w:rPr>
        <w:t xml:space="preserve">annual </w:t>
      </w:r>
      <w:r w:rsidR="00220283">
        <w:rPr>
          <w:rFonts w:cstheme="minorHAnsi"/>
          <w:sz w:val="20"/>
          <w:szCs w:val="20"/>
        </w:rPr>
        <w:t>Zoonoses report</w:t>
      </w:r>
      <w:r w:rsidR="00087BF7">
        <w:rPr>
          <w:rFonts w:cstheme="minorHAnsi"/>
          <w:sz w:val="20"/>
          <w:szCs w:val="20"/>
        </w:rPr>
        <w:t xml:space="preserve"> </w:t>
      </w:r>
      <w:r w:rsidR="00087BF7">
        <w:rPr>
          <w:rFonts w:cstheme="minorHAnsi"/>
          <w:sz w:val="20"/>
          <w:szCs w:val="20"/>
        </w:rPr>
        <w:fldChar w:fldCharType="begin" w:fldLock="1"/>
      </w:r>
      <w:r w:rsidR="006C51B9">
        <w:rPr>
          <w:rFonts w:cstheme="minorHAnsi"/>
          <w:sz w:val="20"/>
          <w:szCs w:val="20"/>
        </w:rPr>
        <w:instrText>ADDIN CSL_CITATION {"citationItems":[{"id":"ITEM-1","itemData":{"URL":"https://www.gov.uk/government/publications/zoonoses-uk-annual-reports","accessed":{"date-parts":[["2017","11","3"]]},"author":[{"dropping-particle":"","family":"Public Health England","given":"","non-dropping-particle":"","parse-names":false,"suffix":""}],"id":"ITEM-1","issued":{"date-parts":[["2017"]]},"title":"Zoonoses: UK annual reports","type":"webpage"},"uris":["http://www.mendeley.com/documents/?uuid=bed4d186-34ed-46c8-a948-bab86db66acb"]}],"mendeley":{"formattedCitation":"(8)","plainTextFormattedCitation":"(8)","previouslyFormattedCitation":"(8)"},"properties":{"noteIndex":0},"schema":"https://github.com/citation-style-language/schema/raw/master/csl-citation.json"}</w:instrText>
      </w:r>
      <w:r w:rsidR="00087BF7">
        <w:rPr>
          <w:rFonts w:cstheme="minorHAnsi"/>
          <w:sz w:val="20"/>
          <w:szCs w:val="20"/>
        </w:rPr>
        <w:fldChar w:fldCharType="separate"/>
      </w:r>
      <w:r w:rsidR="00087BF7" w:rsidRPr="00087BF7">
        <w:rPr>
          <w:rFonts w:cstheme="minorHAnsi"/>
          <w:noProof/>
          <w:sz w:val="20"/>
          <w:szCs w:val="20"/>
        </w:rPr>
        <w:t>(8)</w:t>
      </w:r>
      <w:r w:rsidR="00087BF7">
        <w:rPr>
          <w:rFonts w:cstheme="minorHAnsi"/>
          <w:sz w:val="20"/>
          <w:szCs w:val="20"/>
        </w:rPr>
        <w:fldChar w:fldCharType="end"/>
      </w:r>
      <w:r w:rsidR="00220283">
        <w:rPr>
          <w:rFonts w:cstheme="minorHAnsi"/>
          <w:sz w:val="20"/>
          <w:szCs w:val="20"/>
        </w:rPr>
        <w:t>. A</w:t>
      </w:r>
      <w:r w:rsidR="00FF3850">
        <w:rPr>
          <w:rFonts w:cstheme="minorHAnsi"/>
          <w:sz w:val="20"/>
          <w:szCs w:val="20"/>
        </w:rPr>
        <w:t>n annual</w:t>
      </w:r>
      <w:r w:rsidR="00220283">
        <w:rPr>
          <w:rFonts w:cstheme="minorHAnsi"/>
          <w:sz w:val="20"/>
          <w:szCs w:val="20"/>
        </w:rPr>
        <w:t xml:space="preserve"> ratio was calculated by dividing the crude annual </w:t>
      </w:r>
      <w:r w:rsidR="00220283">
        <w:rPr>
          <w:rFonts w:cstheme="minorHAnsi"/>
          <w:sz w:val="20"/>
          <w:szCs w:val="20"/>
        </w:rPr>
        <w:lastRenderedPageBreak/>
        <w:t xml:space="preserve">incidence of new diagnosis for the THIN dataset by the </w:t>
      </w:r>
      <w:r w:rsidR="00FF3850">
        <w:rPr>
          <w:rFonts w:cstheme="minorHAnsi"/>
          <w:sz w:val="20"/>
          <w:szCs w:val="20"/>
        </w:rPr>
        <w:t xml:space="preserve">annual </w:t>
      </w:r>
      <w:r w:rsidR="00220283">
        <w:rPr>
          <w:rFonts w:cstheme="minorHAnsi"/>
          <w:sz w:val="20"/>
          <w:szCs w:val="20"/>
        </w:rPr>
        <w:t xml:space="preserve">incidence published in the Zoonoses report. The mean annual ratio, with associated confidence intervals, was calculated. </w:t>
      </w:r>
      <w:bookmarkEnd w:id="17"/>
      <w:r w:rsidR="00477D0E" w:rsidRPr="00693035">
        <w:rPr>
          <w:rFonts w:cstheme="minorHAnsi"/>
          <w:sz w:val="20"/>
          <w:szCs w:val="20"/>
        </w:rPr>
        <w:t>All statistical analyses were carried out using R language (version 3</w:t>
      </w:r>
      <w:r w:rsidR="00567921" w:rsidRPr="00693035">
        <w:rPr>
          <w:rFonts w:cstheme="minorHAnsi"/>
          <w:sz w:val="20"/>
          <w:szCs w:val="20"/>
        </w:rPr>
        <w:t>.</w:t>
      </w:r>
      <w:r w:rsidR="00477D0E" w:rsidRPr="00693035">
        <w:rPr>
          <w:rFonts w:cstheme="minorHAnsi"/>
          <w:sz w:val="20"/>
          <w:szCs w:val="20"/>
        </w:rPr>
        <w:t>2</w:t>
      </w:r>
      <w:r w:rsidR="00567921" w:rsidRPr="00693035">
        <w:rPr>
          <w:rFonts w:cstheme="minorHAnsi"/>
          <w:sz w:val="20"/>
          <w:szCs w:val="20"/>
        </w:rPr>
        <w:t>.</w:t>
      </w:r>
      <w:r w:rsidR="00477D0E" w:rsidRPr="00693035">
        <w:rPr>
          <w:rFonts w:cstheme="minorHAnsi"/>
          <w:sz w:val="20"/>
          <w:szCs w:val="20"/>
        </w:rPr>
        <w:t>0) (R Core Team 2015), and results were deemed significant where p&lt;0</w:t>
      </w:r>
      <w:r w:rsidR="00567921" w:rsidRPr="00693035">
        <w:rPr>
          <w:rFonts w:cstheme="minorHAnsi"/>
          <w:sz w:val="20"/>
          <w:szCs w:val="20"/>
        </w:rPr>
        <w:t>.</w:t>
      </w:r>
      <w:r w:rsidR="00477D0E" w:rsidRPr="00693035">
        <w:rPr>
          <w:rFonts w:cstheme="minorHAnsi"/>
          <w:sz w:val="20"/>
          <w:szCs w:val="20"/>
        </w:rPr>
        <w:t>05.</w:t>
      </w:r>
    </w:p>
    <w:p w14:paraId="6654642E" w14:textId="77777777" w:rsidR="001E3763" w:rsidRPr="00693035" w:rsidRDefault="001E3763" w:rsidP="00693035">
      <w:pPr>
        <w:spacing w:line="480" w:lineRule="auto"/>
        <w:jc w:val="both"/>
        <w:rPr>
          <w:rFonts w:cstheme="minorHAnsi"/>
          <w:b/>
          <w:sz w:val="24"/>
          <w:szCs w:val="24"/>
        </w:rPr>
      </w:pPr>
      <w:r w:rsidRPr="00693035">
        <w:rPr>
          <w:rFonts w:cstheme="minorHAnsi"/>
          <w:b/>
          <w:sz w:val="24"/>
          <w:szCs w:val="24"/>
        </w:rPr>
        <w:t>Results</w:t>
      </w:r>
    </w:p>
    <w:p w14:paraId="4E94395D" w14:textId="77777777" w:rsidR="009F324F" w:rsidRPr="00693035" w:rsidRDefault="00F06C07" w:rsidP="00693035">
      <w:pPr>
        <w:spacing w:line="480" w:lineRule="auto"/>
        <w:jc w:val="both"/>
        <w:rPr>
          <w:rFonts w:cstheme="minorHAnsi"/>
          <w:sz w:val="20"/>
          <w:szCs w:val="20"/>
        </w:rPr>
      </w:pPr>
      <w:r w:rsidRPr="00693035">
        <w:rPr>
          <w:rFonts w:cstheme="minorHAnsi"/>
          <w:sz w:val="20"/>
          <w:szCs w:val="20"/>
        </w:rPr>
        <w:t xml:space="preserve">In total </w:t>
      </w:r>
      <w:r w:rsidR="00D26FF3" w:rsidRPr="00693035">
        <w:rPr>
          <w:rFonts w:cstheme="minorHAnsi"/>
          <w:sz w:val="20"/>
          <w:szCs w:val="20"/>
        </w:rPr>
        <w:t xml:space="preserve">3 </w:t>
      </w:r>
      <w:r w:rsidR="001F0FE2" w:rsidRPr="00693035">
        <w:rPr>
          <w:rFonts w:cstheme="minorHAnsi"/>
          <w:sz w:val="20"/>
          <w:szCs w:val="20"/>
        </w:rPr>
        <w:t>7</w:t>
      </w:r>
      <w:r w:rsidR="004F01DA" w:rsidRPr="00693035">
        <w:rPr>
          <w:rFonts w:cstheme="minorHAnsi"/>
          <w:sz w:val="20"/>
          <w:szCs w:val="20"/>
        </w:rPr>
        <w:t>25</w:t>
      </w:r>
      <w:r w:rsidR="00EB2910" w:rsidRPr="00693035">
        <w:rPr>
          <w:rFonts w:cstheme="minorHAnsi"/>
          <w:sz w:val="20"/>
          <w:szCs w:val="20"/>
        </w:rPr>
        <w:t xml:space="preserve"> unique patients were identified with a </w:t>
      </w:r>
      <w:r w:rsidR="009F324F" w:rsidRPr="00693035">
        <w:rPr>
          <w:rFonts w:cstheme="minorHAnsi"/>
          <w:sz w:val="20"/>
          <w:szCs w:val="20"/>
        </w:rPr>
        <w:t xml:space="preserve">Read code for </w:t>
      </w:r>
      <w:r w:rsidR="009434E4" w:rsidRPr="00693035">
        <w:rPr>
          <w:rFonts w:cstheme="minorHAnsi"/>
          <w:sz w:val="20"/>
          <w:szCs w:val="20"/>
        </w:rPr>
        <w:t>Lyme, suspected</w:t>
      </w:r>
      <w:r w:rsidR="00EB2910" w:rsidRPr="00693035">
        <w:rPr>
          <w:rFonts w:cstheme="minorHAnsi"/>
          <w:sz w:val="20"/>
          <w:szCs w:val="20"/>
        </w:rPr>
        <w:t xml:space="preserve"> Lyme disease</w:t>
      </w:r>
      <w:r w:rsidR="00A33CEF" w:rsidRPr="00693035">
        <w:rPr>
          <w:rFonts w:cstheme="minorHAnsi"/>
          <w:sz w:val="20"/>
          <w:szCs w:val="20"/>
        </w:rPr>
        <w:t xml:space="preserve">, </w:t>
      </w:r>
      <w:r w:rsidR="009F324F" w:rsidRPr="00693035">
        <w:rPr>
          <w:rFonts w:cstheme="minorHAnsi"/>
          <w:sz w:val="20"/>
          <w:szCs w:val="20"/>
        </w:rPr>
        <w:t>or</w:t>
      </w:r>
      <w:r w:rsidR="00A33CEF" w:rsidRPr="00693035">
        <w:rPr>
          <w:rFonts w:cstheme="minorHAnsi"/>
          <w:sz w:val="20"/>
          <w:szCs w:val="20"/>
        </w:rPr>
        <w:t xml:space="preserve"> related conditions</w:t>
      </w:r>
      <w:r w:rsidR="00EB2910" w:rsidRPr="00693035">
        <w:rPr>
          <w:rFonts w:cstheme="minorHAnsi"/>
          <w:sz w:val="20"/>
          <w:szCs w:val="20"/>
        </w:rPr>
        <w:t xml:space="preserve"> R</w:t>
      </w:r>
      <w:r w:rsidR="00E15E98" w:rsidRPr="00693035">
        <w:rPr>
          <w:rFonts w:cstheme="minorHAnsi"/>
          <w:sz w:val="20"/>
          <w:szCs w:val="20"/>
        </w:rPr>
        <w:t>ead</w:t>
      </w:r>
      <w:r w:rsidR="00EB2910" w:rsidRPr="00693035">
        <w:rPr>
          <w:rFonts w:cstheme="minorHAnsi"/>
          <w:sz w:val="20"/>
          <w:szCs w:val="20"/>
        </w:rPr>
        <w:t xml:space="preserve"> code between 1</w:t>
      </w:r>
      <w:r w:rsidR="00EB2910" w:rsidRPr="00693035">
        <w:rPr>
          <w:rFonts w:cstheme="minorHAnsi"/>
          <w:sz w:val="20"/>
          <w:szCs w:val="20"/>
          <w:vertAlign w:val="superscript"/>
        </w:rPr>
        <w:t>st</w:t>
      </w:r>
      <w:r w:rsidR="00EB2910" w:rsidRPr="00693035">
        <w:rPr>
          <w:rFonts w:cstheme="minorHAnsi"/>
          <w:sz w:val="20"/>
          <w:szCs w:val="20"/>
        </w:rPr>
        <w:t xml:space="preserve"> January 1998 and 31</w:t>
      </w:r>
      <w:r w:rsidR="00EB2910" w:rsidRPr="00693035">
        <w:rPr>
          <w:rFonts w:cstheme="minorHAnsi"/>
          <w:sz w:val="20"/>
          <w:szCs w:val="20"/>
          <w:vertAlign w:val="superscript"/>
        </w:rPr>
        <w:t>st</w:t>
      </w:r>
      <w:r w:rsidR="00EB2910" w:rsidRPr="00693035">
        <w:rPr>
          <w:rFonts w:cstheme="minorHAnsi"/>
          <w:sz w:val="20"/>
          <w:szCs w:val="20"/>
        </w:rPr>
        <w:t xml:space="preserve"> December 201</w:t>
      </w:r>
      <w:r w:rsidR="001F0FE2" w:rsidRPr="00693035">
        <w:rPr>
          <w:rFonts w:cstheme="minorHAnsi"/>
          <w:sz w:val="20"/>
          <w:szCs w:val="20"/>
        </w:rPr>
        <w:t>6</w:t>
      </w:r>
      <w:r w:rsidR="00A33CEF" w:rsidRPr="00693035">
        <w:rPr>
          <w:rFonts w:cstheme="minorHAnsi"/>
          <w:sz w:val="20"/>
          <w:szCs w:val="20"/>
        </w:rPr>
        <w:t xml:space="preserve"> (Table 1)</w:t>
      </w:r>
      <w:r w:rsidR="00EB2910" w:rsidRPr="00693035">
        <w:rPr>
          <w:rFonts w:cstheme="minorHAnsi"/>
          <w:sz w:val="20"/>
          <w:szCs w:val="20"/>
        </w:rPr>
        <w:t>.</w:t>
      </w:r>
      <w:r w:rsidR="006C02DE" w:rsidRPr="00693035">
        <w:rPr>
          <w:rFonts w:cstheme="minorHAnsi"/>
          <w:sz w:val="20"/>
          <w:szCs w:val="20"/>
        </w:rPr>
        <w:t xml:space="preserve"> </w:t>
      </w:r>
      <w:r w:rsidR="009F324F" w:rsidRPr="00693035">
        <w:rPr>
          <w:rFonts w:cstheme="minorHAnsi"/>
          <w:sz w:val="20"/>
          <w:szCs w:val="20"/>
        </w:rPr>
        <w:t>The most frequently used Read codes (</w:t>
      </w:r>
      <w:r w:rsidR="00627275">
        <w:rPr>
          <w:rFonts w:cstheme="minorHAnsi"/>
          <w:sz w:val="20"/>
          <w:szCs w:val="20"/>
        </w:rPr>
        <w:t>‘</w:t>
      </w:r>
      <w:r w:rsidR="009F324F" w:rsidRPr="00693035">
        <w:rPr>
          <w:rFonts w:cstheme="minorHAnsi"/>
          <w:sz w:val="20"/>
          <w:szCs w:val="20"/>
        </w:rPr>
        <w:t>Lyme disease</w:t>
      </w:r>
      <w:r w:rsidR="00627275">
        <w:rPr>
          <w:rFonts w:cstheme="minorHAnsi"/>
          <w:sz w:val="20"/>
          <w:szCs w:val="20"/>
        </w:rPr>
        <w:t>’</w:t>
      </w:r>
      <w:r w:rsidR="009F324F" w:rsidRPr="00693035">
        <w:rPr>
          <w:rFonts w:cstheme="minorHAnsi"/>
          <w:sz w:val="20"/>
          <w:szCs w:val="20"/>
        </w:rPr>
        <w:t xml:space="preserve"> and </w:t>
      </w:r>
      <w:r w:rsidR="00627275">
        <w:rPr>
          <w:rFonts w:cstheme="minorHAnsi"/>
          <w:sz w:val="20"/>
          <w:szCs w:val="20"/>
        </w:rPr>
        <w:t>‘</w:t>
      </w:r>
      <w:r w:rsidR="009F324F" w:rsidRPr="00693035">
        <w:rPr>
          <w:rFonts w:cstheme="minorHAnsi"/>
          <w:sz w:val="20"/>
          <w:szCs w:val="20"/>
        </w:rPr>
        <w:t>Erythema migrans</w:t>
      </w:r>
      <w:r w:rsidR="00627275">
        <w:rPr>
          <w:rFonts w:cstheme="minorHAnsi"/>
          <w:sz w:val="20"/>
          <w:szCs w:val="20"/>
        </w:rPr>
        <w:t>’</w:t>
      </w:r>
      <w:r w:rsidR="009F324F" w:rsidRPr="00693035">
        <w:rPr>
          <w:rFonts w:cstheme="minorHAnsi"/>
          <w:sz w:val="20"/>
          <w:szCs w:val="20"/>
        </w:rPr>
        <w:t xml:space="preserve">) represented </w:t>
      </w:r>
      <w:r w:rsidR="0038500D" w:rsidRPr="00693035">
        <w:rPr>
          <w:rFonts w:cstheme="minorHAnsi"/>
          <w:sz w:val="20"/>
          <w:szCs w:val="20"/>
        </w:rPr>
        <w:t>89.1</w:t>
      </w:r>
      <w:r w:rsidR="009F324F" w:rsidRPr="00693035">
        <w:rPr>
          <w:rFonts w:cstheme="minorHAnsi"/>
          <w:sz w:val="20"/>
          <w:szCs w:val="20"/>
        </w:rPr>
        <w:t xml:space="preserve">% (n =3 </w:t>
      </w:r>
      <w:r w:rsidR="0038500D" w:rsidRPr="00693035">
        <w:rPr>
          <w:rFonts w:cstheme="minorHAnsi"/>
          <w:sz w:val="20"/>
          <w:szCs w:val="20"/>
        </w:rPr>
        <w:t>318</w:t>
      </w:r>
      <w:r w:rsidR="009F324F" w:rsidRPr="00693035">
        <w:rPr>
          <w:rFonts w:cstheme="minorHAnsi"/>
          <w:sz w:val="20"/>
          <w:szCs w:val="20"/>
        </w:rPr>
        <w:t xml:space="preserve">) of all Read codes identified with Lyme disease. The suspected Lyme disease codes only represented </w:t>
      </w:r>
      <w:r w:rsidR="0038500D" w:rsidRPr="00693035">
        <w:rPr>
          <w:rFonts w:cstheme="minorHAnsi"/>
          <w:sz w:val="20"/>
          <w:szCs w:val="20"/>
        </w:rPr>
        <w:t>7.6</w:t>
      </w:r>
      <w:r w:rsidR="00C16828" w:rsidRPr="00693035">
        <w:rPr>
          <w:rFonts w:cstheme="minorHAnsi"/>
          <w:sz w:val="20"/>
          <w:szCs w:val="20"/>
        </w:rPr>
        <w:t>% (n</w:t>
      </w:r>
      <w:r w:rsidR="009F324F" w:rsidRPr="00693035">
        <w:rPr>
          <w:rFonts w:cstheme="minorHAnsi"/>
          <w:sz w:val="20"/>
          <w:szCs w:val="20"/>
        </w:rPr>
        <w:t>=</w:t>
      </w:r>
      <w:r w:rsidR="0038500D" w:rsidRPr="00693035">
        <w:rPr>
          <w:rFonts w:cstheme="minorHAnsi"/>
          <w:sz w:val="20"/>
          <w:szCs w:val="20"/>
        </w:rPr>
        <w:t>283</w:t>
      </w:r>
      <w:r w:rsidR="009F324F" w:rsidRPr="00693035">
        <w:rPr>
          <w:rFonts w:cstheme="minorHAnsi"/>
          <w:sz w:val="20"/>
          <w:szCs w:val="20"/>
        </w:rPr>
        <w:t xml:space="preserve">) of all codes.  </w:t>
      </w:r>
    </w:p>
    <w:p w14:paraId="6752698C" w14:textId="72774662" w:rsidR="00F8033F" w:rsidRDefault="00394FC5" w:rsidP="00693035">
      <w:pPr>
        <w:spacing w:line="480" w:lineRule="auto"/>
        <w:jc w:val="both"/>
        <w:rPr>
          <w:rFonts w:cstheme="minorHAnsi"/>
          <w:sz w:val="20"/>
          <w:szCs w:val="20"/>
        </w:rPr>
      </w:pPr>
      <w:r w:rsidRPr="00693035">
        <w:rPr>
          <w:rFonts w:cstheme="minorHAnsi"/>
          <w:sz w:val="20"/>
          <w:szCs w:val="20"/>
        </w:rPr>
        <w:t>There was</w:t>
      </w:r>
      <w:r w:rsidR="007E3AC7" w:rsidRPr="00693035">
        <w:rPr>
          <w:rFonts w:cstheme="minorHAnsi"/>
          <w:sz w:val="20"/>
          <w:szCs w:val="20"/>
        </w:rPr>
        <w:t xml:space="preserve"> a</w:t>
      </w:r>
      <w:r w:rsidR="00013CA7">
        <w:rPr>
          <w:rFonts w:cstheme="minorHAnsi"/>
          <w:sz w:val="20"/>
          <w:szCs w:val="20"/>
        </w:rPr>
        <w:t>n</w:t>
      </w:r>
      <w:r w:rsidR="007E3AC7" w:rsidRPr="00693035">
        <w:rPr>
          <w:rFonts w:cstheme="minorHAnsi"/>
          <w:sz w:val="20"/>
          <w:szCs w:val="20"/>
        </w:rPr>
        <w:t xml:space="preserve"> increase in</w:t>
      </w:r>
      <w:r w:rsidR="00DE613E">
        <w:rPr>
          <w:rFonts w:cstheme="minorHAnsi"/>
          <w:sz w:val="20"/>
          <w:szCs w:val="20"/>
        </w:rPr>
        <w:t xml:space="preserve"> the </w:t>
      </w:r>
      <w:r w:rsidR="009563A6">
        <w:rPr>
          <w:rFonts w:cstheme="minorHAnsi"/>
          <w:sz w:val="20"/>
          <w:szCs w:val="20"/>
        </w:rPr>
        <w:t>crude</w:t>
      </w:r>
      <w:r w:rsidR="00DE613E">
        <w:rPr>
          <w:rFonts w:cstheme="minorHAnsi"/>
          <w:sz w:val="20"/>
          <w:szCs w:val="20"/>
        </w:rPr>
        <w:t xml:space="preserve"> incidence of</w:t>
      </w:r>
      <w:r w:rsidR="002C5A28">
        <w:rPr>
          <w:rFonts w:cstheme="minorHAnsi"/>
          <w:sz w:val="20"/>
          <w:szCs w:val="20"/>
        </w:rPr>
        <w:t xml:space="preserve"> a new diagnosis of</w:t>
      </w:r>
      <w:r w:rsidR="007E3AC7" w:rsidRPr="00693035">
        <w:rPr>
          <w:rFonts w:cstheme="minorHAnsi"/>
          <w:sz w:val="20"/>
          <w:szCs w:val="20"/>
        </w:rPr>
        <w:t xml:space="preserve"> Lyme disease in </w:t>
      </w:r>
      <w:r w:rsidR="00FF3850">
        <w:rPr>
          <w:rFonts w:cstheme="minorHAnsi"/>
          <w:sz w:val="20"/>
          <w:szCs w:val="20"/>
        </w:rPr>
        <w:t xml:space="preserve">UK </w:t>
      </w:r>
      <w:r w:rsidR="007E3AC7" w:rsidRPr="00693035">
        <w:rPr>
          <w:rFonts w:cstheme="minorHAnsi"/>
          <w:sz w:val="20"/>
          <w:szCs w:val="20"/>
        </w:rPr>
        <w:t>primary care</w:t>
      </w:r>
      <w:r w:rsidRPr="00693035">
        <w:rPr>
          <w:rFonts w:cstheme="minorHAnsi"/>
          <w:sz w:val="20"/>
          <w:szCs w:val="20"/>
        </w:rPr>
        <w:t xml:space="preserve"> </w:t>
      </w:r>
      <w:r w:rsidR="007E3AC7" w:rsidRPr="00693035">
        <w:rPr>
          <w:rFonts w:cstheme="minorHAnsi"/>
          <w:sz w:val="20"/>
          <w:szCs w:val="20"/>
        </w:rPr>
        <w:t>between 1998</w:t>
      </w:r>
      <w:r w:rsidR="00463F7D">
        <w:rPr>
          <w:rFonts w:cstheme="minorHAnsi"/>
          <w:sz w:val="20"/>
          <w:szCs w:val="20"/>
        </w:rPr>
        <w:t xml:space="preserve">, </w:t>
      </w:r>
      <w:r w:rsidR="003757F6" w:rsidRPr="005760FD">
        <w:rPr>
          <w:rFonts w:cstheme="minorHAnsi"/>
          <w:sz w:val="20"/>
          <w:szCs w:val="20"/>
        </w:rPr>
        <w:t>1.77 (95% CI 1.35-2.26)</w:t>
      </w:r>
      <w:r w:rsidR="00463F7D" w:rsidRPr="003757F6">
        <w:rPr>
          <w:rFonts w:cstheme="minorHAnsi"/>
          <w:sz w:val="20"/>
          <w:szCs w:val="20"/>
        </w:rPr>
        <w:t xml:space="preserve"> cases per 100,000,</w:t>
      </w:r>
      <w:r w:rsidR="007E3AC7" w:rsidRPr="003757F6">
        <w:rPr>
          <w:rFonts w:cstheme="minorHAnsi"/>
          <w:sz w:val="20"/>
          <w:szCs w:val="20"/>
        </w:rPr>
        <w:t xml:space="preserve"> and 201</w:t>
      </w:r>
      <w:r w:rsidR="00363C35" w:rsidRPr="00311402">
        <w:rPr>
          <w:rFonts w:cstheme="minorHAnsi"/>
          <w:sz w:val="20"/>
          <w:szCs w:val="20"/>
        </w:rPr>
        <w:t>6</w:t>
      </w:r>
      <w:r w:rsidR="00463F7D" w:rsidRPr="00311402">
        <w:rPr>
          <w:rFonts w:cstheme="minorHAnsi"/>
          <w:sz w:val="20"/>
          <w:szCs w:val="20"/>
        </w:rPr>
        <w:t xml:space="preserve">, </w:t>
      </w:r>
      <w:r w:rsidR="003757F6" w:rsidRPr="005760FD">
        <w:rPr>
          <w:rFonts w:cstheme="minorHAnsi"/>
          <w:sz w:val="20"/>
          <w:szCs w:val="20"/>
        </w:rPr>
        <w:t>4.89 (95% CI 4.26-5.59)</w:t>
      </w:r>
      <w:r w:rsidR="00463F7D" w:rsidRPr="003757F6">
        <w:rPr>
          <w:rFonts w:cstheme="minorHAnsi"/>
          <w:sz w:val="20"/>
          <w:szCs w:val="20"/>
        </w:rPr>
        <w:t xml:space="preserve"> cases per 100,000</w:t>
      </w:r>
      <w:r w:rsidR="00DE613E">
        <w:rPr>
          <w:rFonts w:cstheme="minorHAnsi"/>
          <w:sz w:val="20"/>
          <w:szCs w:val="20"/>
        </w:rPr>
        <w:t xml:space="preserve"> (Fig 1</w:t>
      </w:r>
      <w:r w:rsidR="003E77B7">
        <w:rPr>
          <w:rFonts w:cstheme="minorHAnsi"/>
          <w:sz w:val="20"/>
          <w:szCs w:val="20"/>
        </w:rPr>
        <w:t>, Table 2</w:t>
      </w:r>
      <w:r w:rsidR="00DE613E">
        <w:rPr>
          <w:rFonts w:cstheme="minorHAnsi"/>
          <w:sz w:val="20"/>
          <w:szCs w:val="20"/>
        </w:rPr>
        <w:t>)</w:t>
      </w:r>
      <w:r w:rsidR="007E3AC7" w:rsidRPr="00693035">
        <w:rPr>
          <w:rFonts w:cstheme="minorHAnsi"/>
          <w:sz w:val="20"/>
          <w:szCs w:val="20"/>
        </w:rPr>
        <w:t xml:space="preserve">. </w:t>
      </w:r>
    </w:p>
    <w:p w14:paraId="1EE76058" w14:textId="67582D0F" w:rsidR="00F8033F" w:rsidRDefault="00F8033F" w:rsidP="00F8033F">
      <w:pPr>
        <w:spacing w:line="480" w:lineRule="auto"/>
        <w:rPr>
          <w:sz w:val="16"/>
          <w:szCs w:val="16"/>
        </w:rPr>
      </w:pPr>
      <w:r w:rsidRPr="000049C7">
        <w:rPr>
          <w:rFonts w:cstheme="minorHAnsi"/>
          <w:b/>
          <w:sz w:val="20"/>
          <w:szCs w:val="20"/>
        </w:rPr>
        <w:t xml:space="preserve">Table 2 – </w:t>
      </w:r>
      <w:r>
        <w:rPr>
          <w:rFonts w:cstheme="minorHAnsi"/>
          <w:b/>
          <w:sz w:val="20"/>
          <w:szCs w:val="20"/>
        </w:rPr>
        <w:t xml:space="preserve">Incidence of </w:t>
      </w:r>
      <w:r w:rsidR="002C5A28">
        <w:rPr>
          <w:rFonts w:cstheme="minorHAnsi"/>
          <w:b/>
          <w:sz w:val="20"/>
          <w:szCs w:val="20"/>
        </w:rPr>
        <w:t xml:space="preserve">a new diagnosis of </w:t>
      </w:r>
      <w:r>
        <w:rPr>
          <w:rFonts w:cstheme="minorHAnsi"/>
          <w:b/>
          <w:sz w:val="20"/>
          <w:szCs w:val="20"/>
        </w:rPr>
        <w:t>Lyme disease in UK primary care and estimated number of cases.</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276"/>
        <w:gridCol w:w="1418"/>
        <w:gridCol w:w="1559"/>
        <w:gridCol w:w="1417"/>
        <w:gridCol w:w="1418"/>
        <w:gridCol w:w="1134"/>
      </w:tblGrid>
      <w:tr w:rsidR="00BA4EAF" w:rsidRPr="00BA4EAF" w14:paraId="6A596467" w14:textId="77777777" w:rsidTr="00F85C19">
        <w:trPr>
          <w:trHeight w:val="300"/>
        </w:trPr>
        <w:tc>
          <w:tcPr>
            <w:tcW w:w="567" w:type="dxa"/>
            <w:tcBorders>
              <w:bottom w:val="single" w:sz="4" w:space="0" w:color="auto"/>
            </w:tcBorders>
            <w:noWrap/>
            <w:vAlign w:val="center"/>
            <w:hideMark/>
          </w:tcPr>
          <w:p w14:paraId="07CFE213" w14:textId="77777777" w:rsidR="00BA4EAF" w:rsidRPr="00BA4EAF" w:rsidRDefault="00BA4EAF" w:rsidP="000801A0">
            <w:pPr>
              <w:jc w:val="center"/>
              <w:rPr>
                <w:rFonts w:eastAsia="Times New Roman" w:cstheme="minorHAnsi"/>
                <w:color w:val="000000"/>
                <w:sz w:val="16"/>
                <w:szCs w:val="16"/>
                <w:lang w:val="en-GB" w:eastAsia="en-GB"/>
              </w:rPr>
            </w:pPr>
            <w:bookmarkStart w:id="18" w:name="_Hlk32488830"/>
            <w:r w:rsidRPr="00BA4EAF">
              <w:rPr>
                <w:rFonts w:eastAsia="Times New Roman" w:cstheme="minorHAnsi"/>
                <w:color w:val="000000"/>
                <w:sz w:val="16"/>
                <w:szCs w:val="16"/>
                <w:lang w:val="en-GB" w:eastAsia="en-GB"/>
              </w:rPr>
              <w:t>Year</w:t>
            </w:r>
          </w:p>
        </w:tc>
        <w:tc>
          <w:tcPr>
            <w:tcW w:w="1276" w:type="dxa"/>
            <w:tcBorders>
              <w:bottom w:val="single" w:sz="4" w:space="0" w:color="auto"/>
            </w:tcBorders>
            <w:noWrap/>
            <w:vAlign w:val="center"/>
            <w:hideMark/>
          </w:tcPr>
          <w:p w14:paraId="4D20A601" w14:textId="7777777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UK incidence</w:t>
            </w:r>
          </w:p>
        </w:tc>
        <w:tc>
          <w:tcPr>
            <w:tcW w:w="1418" w:type="dxa"/>
            <w:tcBorders>
              <w:bottom w:val="single" w:sz="4" w:space="0" w:color="auto"/>
            </w:tcBorders>
            <w:vAlign w:val="center"/>
          </w:tcPr>
          <w:p w14:paraId="788D498E" w14:textId="7777777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UK cases</w:t>
            </w:r>
          </w:p>
        </w:tc>
        <w:tc>
          <w:tcPr>
            <w:tcW w:w="1559" w:type="dxa"/>
            <w:tcBorders>
              <w:bottom w:val="single" w:sz="4" w:space="0" w:color="auto"/>
            </w:tcBorders>
            <w:noWrap/>
            <w:vAlign w:val="center"/>
            <w:hideMark/>
          </w:tcPr>
          <w:p w14:paraId="5F4BBA94" w14:textId="7777777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England incidence</w:t>
            </w:r>
          </w:p>
        </w:tc>
        <w:tc>
          <w:tcPr>
            <w:tcW w:w="1417" w:type="dxa"/>
            <w:tcBorders>
              <w:bottom w:val="single" w:sz="4" w:space="0" w:color="auto"/>
            </w:tcBorders>
            <w:vAlign w:val="center"/>
          </w:tcPr>
          <w:p w14:paraId="7741B27A" w14:textId="77777777" w:rsidR="00BA4EAF" w:rsidRPr="00BA4EAF" w:rsidRDefault="00BA4EAF" w:rsidP="00BA4EAF">
            <w:pPr>
              <w:ind w:hanging="38"/>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England cases</w:t>
            </w:r>
          </w:p>
        </w:tc>
        <w:tc>
          <w:tcPr>
            <w:tcW w:w="1418" w:type="dxa"/>
            <w:tcBorders>
              <w:bottom w:val="single" w:sz="4" w:space="0" w:color="auto"/>
            </w:tcBorders>
            <w:noWrap/>
            <w:vAlign w:val="center"/>
            <w:hideMark/>
          </w:tcPr>
          <w:p w14:paraId="2E68F60C" w14:textId="7777777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N.I. incidence</w:t>
            </w:r>
          </w:p>
        </w:tc>
        <w:tc>
          <w:tcPr>
            <w:tcW w:w="1134" w:type="dxa"/>
            <w:tcBorders>
              <w:bottom w:val="single" w:sz="4" w:space="0" w:color="auto"/>
            </w:tcBorders>
            <w:vAlign w:val="center"/>
          </w:tcPr>
          <w:p w14:paraId="0BB3EA6D" w14:textId="1B150899" w:rsidR="00BA4EAF" w:rsidRPr="00BA4EAF" w:rsidRDefault="00641618" w:rsidP="000801A0">
            <w:pPr>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N.I. c</w:t>
            </w:r>
            <w:r w:rsidR="00BA4EAF" w:rsidRPr="00BA4EAF">
              <w:rPr>
                <w:rFonts w:eastAsia="Times New Roman" w:cstheme="minorHAnsi"/>
                <w:color w:val="000000"/>
                <w:sz w:val="16"/>
                <w:szCs w:val="16"/>
                <w:lang w:val="en-GB" w:eastAsia="en-GB"/>
              </w:rPr>
              <w:t>ases</w:t>
            </w:r>
          </w:p>
        </w:tc>
      </w:tr>
      <w:tr w:rsidR="00BA4EAF" w:rsidRPr="00BA4EAF" w14:paraId="5E15FB61" w14:textId="77777777" w:rsidTr="00F85C19">
        <w:trPr>
          <w:trHeight w:val="300"/>
        </w:trPr>
        <w:tc>
          <w:tcPr>
            <w:tcW w:w="567" w:type="dxa"/>
            <w:tcBorders>
              <w:top w:val="single" w:sz="4" w:space="0" w:color="auto"/>
            </w:tcBorders>
            <w:noWrap/>
            <w:vAlign w:val="center"/>
            <w:hideMark/>
          </w:tcPr>
          <w:p w14:paraId="026DAC19" w14:textId="7777777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1998</w:t>
            </w:r>
          </w:p>
        </w:tc>
        <w:tc>
          <w:tcPr>
            <w:tcW w:w="1276" w:type="dxa"/>
            <w:tcBorders>
              <w:top w:val="single" w:sz="4" w:space="0" w:color="auto"/>
            </w:tcBorders>
            <w:noWrap/>
            <w:vAlign w:val="center"/>
          </w:tcPr>
          <w:p w14:paraId="446FE50B" w14:textId="56BD628F"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1.77 (1.35-2.26)</w:t>
            </w:r>
          </w:p>
        </w:tc>
        <w:tc>
          <w:tcPr>
            <w:tcW w:w="1418" w:type="dxa"/>
            <w:tcBorders>
              <w:top w:val="single" w:sz="4" w:space="0" w:color="auto"/>
            </w:tcBorders>
            <w:vAlign w:val="center"/>
          </w:tcPr>
          <w:p w14:paraId="13B2A60D" w14:textId="16E81FA2"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1035 (789-1321)</w:t>
            </w:r>
          </w:p>
        </w:tc>
        <w:tc>
          <w:tcPr>
            <w:tcW w:w="1559" w:type="dxa"/>
            <w:tcBorders>
              <w:top w:val="single" w:sz="4" w:space="0" w:color="auto"/>
            </w:tcBorders>
            <w:noWrap/>
            <w:vAlign w:val="center"/>
          </w:tcPr>
          <w:p w14:paraId="4798FD0A" w14:textId="59A66EA3"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1.56 (1.14-2.09)</w:t>
            </w:r>
          </w:p>
        </w:tc>
        <w:tc>
          <w:tcPr>
            <w:tcW w:w="1417" w:type="dxa"/>
            <w:tcBorders>
              <w:top w:val="single" w:sz="4" w:space="0" w:color="auto"/>
            </w:tcBorders>
            <w:vAlign w:val="center"/>
          </w:tcPr>
          <w:p w14:paraId="53304AF0" w14:textId="0D725AC8"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762 (557-1020)</w:t>
            </w:r>
          </w:p>
        </w:tc>
        <w:tc>
          <w:tcPr>
            <w:tcW w:w="1418" w:type="dxa"/>
            <w:tcBorders>
              <w:top w:val="single" w:sz="4" w:space="0" w:color="auto"/>
            </w:tcBorders>
            <w:noWrap/>
            <w:vAlign w:val="center"/>
          </w:tcPr>
          <w:p w14:paraId="7EB7BF03" w14:textId="34F7C0E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0 (0-1.62)</w:t>
            </w:r>
          </w:p>
        </w:tc>
        <w:tc>
          <w:tcPr>
            <w:tcW w:w="1134" w:type="dxa"/>
            <w:tcBorders>
              <w:top w:val="single" w:sz="4" w:space="0" w:color="auto"/>
            </w:tcBorders>
            <w:vAlign w:val="center"/>
          </w:tcPr>
          <w:p w14:paraId="6A27D085" w14:textId="611C454D"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0 (0-27)</w:t>
            </w:r>
          </w:p>
        </w:tc>
      </w:tr>
      <w:tr w:rsidR="00BA4EAF" w:rsidRPr="00BA4EAF" w14:paraId="4DF7C808" w14:textId="77777777" w:rsidTr="00F85C19">
        <w:trPr>
          <w:trHeight w:val="300"/>
        </w:trPr>
        <w:tc>
          <w:tcPr>
            <w:tcW w:w="567" w:type="dxa"/>
            <w:noWrap/>
            <w:vAlign w:val="center"/>
            <w:hideMark/>
          </w:tcPr>
          <w:p w14:paraId="0C599F7E" w14:textId="7777777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1999</w:t>
            </w:r>
          </w:p>
        </w:tc>
        <w:tc>
          <w:tcPr>
            <w:tcW w:w="1276" w:type="dxa"/>
            <w:noWrap/>
            <w:vAlign w:val="center"/>
          </w:tcPr>
          <w:p w14:paraId="654863C9" w14:textId="22AF80CE"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1.73 (1.35-2.19)</w:t>
            </w:r>
          </w:p>
        </w:tc>
        <w:tc>
          <w:tcPr>
            <w:tcW w:w="1418" w:type="dxa"/>
            <w:vAlign w:val="center"/>
          </w:tcPr>
          <w:p w14:paraId="25290D02" w14:textId="5D23BD6B"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1015 (792-1285)</w:t>
            </w:r>
          </w:p>
        </w:tc>
        <w:tc>
          <w:tcPr>
            <w:tcW w:w="1559" w:type="dxa"/>
            <w:noWrap/>
            <w:vAlign w:val="center"/>
          </w:tcPr>
          <w:p w14:paraId="32E4CA49" w14:textId="789052F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1.52 (1.13-2.01)</w:t>
            </w:r>
          </w:p>
        </w:tc>
        <w:tc>
          <w:tcPr>
            <w:tcW w:w="1417" w:type="dxa"/>
            <w:vAlign w:val="center"/>
          </w:tcPr>
          <w:p w14:paraId="0E313414" w14:textId="6D7AADAD"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745 (554-986)</w:t>
            </w:r>
          </w:p>
        </w:tc>
        <w:tc>
          <w:tcPr>
            <w:tcW w:w="1418" w:type="dxa"/>
            <w:noWrap/>
            <w:vAlign w:val="center"/>
          </w:tcPr>
          <w:p w14:paraId="10A7A9C7" w14:textId="1F6267E0"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0.58 (0.05-2.68)</w:t>
            </w:r>
          </w:p>
        </w:tc>
        <w:tc>
          <w:tcPr>
            <w:tcW w:w="1134" w:type="dxa"/>
            <w:vAlign w:val="center"/>
          </w:tcPr>
          <w:p w14:paraId="0B28E7DA" w14:textId="5130AB02"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10 (1-45)</w:t>
            </w:r>
          </w:p>
        </w:tc>
      </w:tr>
      <w:tr w:rsidR="00BA4EAF" w:rsidRPr="00BA4EAF" w14:paraId="2653DCA3" w14:textId="77777777" w:rsidTr="00F85C19">
        <w:trPr>
          <w:trHeight w:val="300"/>
        </w:trPr>
        <w:tc>
          <w:tcPr>
            <w:tcW w:w="567" w:type="dxa"/>
            <w:noWrap/>
            <w:vAlign w:val="center"/>
            <w:hideMark/>
          </w:tcPr>
          <w:p w14:paraId="35C1BF76" w14:textId="7777777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2000</w:t>
            </w:r>
          </w:p>
        </w:tc>
        <w:tc>
          <w:tcPr>
            <w:tcW w:w="1276" w:type="dxa"/>
            <w:noWrap/>
            <w:vAlign w:val="center"/>
          </w:tcPr>
          <w:p w14:paraId="64DAE290" w14:textId="0F172273"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2.03 (1.65-2.48)</w:t>
            </w:r>
          </w:p>
        </w:tc>
        <w:tc>
          <w:tcPr>
            <w:tcW w:w="1418" w:type="dxa"/>
            <w:vAlign w:val="center"/>
          </w:tcPr>
          <w:p w14:paraId="3C32A034" w14:textId="0C2202FB"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1195 (972-1460)</w:t>
            </w:r>
          </w:p>
        </w:tc>
        <w:tc>
          <w:tcPr>
            <w:tcW w:w="1559" w:type="dxa"/>
            <w:noWrap/>
            <w:vAlign w:val="center"/>
          </w:tcPr>
          <w:p w14:paraId="7D38C853" w14:textId="438105FB"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1.85 (1.43-2.36)</w:t>
            </w:r>
          </w:p>
        </w:tc>
        <w:tc>
          <w:tcPr>
            <w:tcW w:w="1417" w:type="dxa"/>
            <w:vAlign w:val="center"/>
          </w:tcPr>
          <w:p w14:paraId="066A0567" w14:textId="68B8F393"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911 (704-1162)</w:t>
            </w:r>
          </w:p>
        </w:tc>
        <w:tc>
          <w:tcPr>
            <w:tcW w:w="1418" w:type="dxa"/>
            <w:noWrap/>
            <w:vAlign w:val="center"/>
          </w:tcPr>
          <w:p w14:paraId="2C5DED9A" w14:textId="1BC8A9B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0 (0-1.22)</w:t>
            </w:r>
          </w:p>
        </w:tc>
        <w:tc>
          <w:tcPr>
            <w:tcW w:w="1134" w:type="dxa"/>
            <w:vAlign w:val="center"/>
          </w:tcPr>
          <w:p w14:paraId="2A70F4BA" w14:textId="1DCD56E9"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0 (0-21)</w:t>
            </w:r>
          </w:p>
        </w:tc>
      </w:tr>
      <w:tr w:rsidR="00BA4EAF" w:rsidRPr="00BA4EAF" w14:paraId="3F571164" w14:textId="77777777" w:rsidTr="00F85C19">
        <w:trPr>
          <w:trHeight w:val="300"/>
        </w:trPr>
        <w:tc>
          <w:tcPr>
            <w:tcW w:w="567" w:type="dxa"/>
            <w:noWrap/>
            <w:vAlign w:val="center"/>
            <w:hideMark/>
          </w:tcPr>
          <w:p w14:paraId="7A441CA6" w14:textId="7777777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2001</w:t>
            </w:r>
          </w:p>
        </w:tc>
        <w:tc>
          <w:tcPr>
            <w:tcW w:w="1276" w:type="dxa"/>
            <w:noWrap/>
            <w:vAlign w:val="center"/>
          </w:tcPr>
          <w:p w14:paraId="220BF86E" w14:textId="35797526"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1.93 (1.58-2.35)</w:t>
            </w:r>
          </w:p>
        </w:tc>
        <w:tc>
          <w:tcPr>
            <w:tcW w:w="1418" w:type="dxa"/>
            <w:vAlign w:val="center"/>
          </w:tcPr>
          <w:p w14:paraId="40464BA2" w14:textId="2232B21B"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1141 (934-1389)</w:t>
            </w:r>
          </w:p>
        </w:tc>
        <w:tc>
          <w:tcPr>
            <w:tcW w:w="1559" w:type="dxa"/>
            <w:noWrap/>
            <w:vAlign w:val="center"/>
          </w:tcPr>
          <w:p w14:paraId="63D05E1D" w14:textId="19866A1E"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1.83 (1.43-2.32)</w:t>
            </w:r>
          </w:p>
        </w:tc>
        <w:tc>
          <w:tcPr>
            <w:tcW w:w="1417" w:type="dxa"/>
            <w:vAlign w:val="center"/>
          </w:tcPr>
          <w:p w14:paraId="4BB77DB0" w14:textId="7BF0A082"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905 (707-1147)</w:t>
            </w:r>
          </w:p>
        </w:tc>
        <w:tc>
          <w:tcPr>
            <w:tcW w:w="1418" w:type="dxa"/>
            <w:noWrap/>
            <w:vAlign w:val="center"/>
          </w:tcPr>
          <w:p w14:paraId="595DAC24" w14:textId="7D7E79E3"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0.48 (0.04-2.22)</w:t>
            </w:r>
          </w:p>
        </w:tc>
        <w:tc>
          <w:tcPr>
            <w:tcW w:w="1134" w:type="dxa"/>
            <w:vAlign w:val="center"/>
          </w:tcPr>
          <w:p w14:paraId="79A1CDCC" w14:textId="56E5E041"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8 (1-37)</w:t>
            </w:r>
          </w:p>
        </w:tc>
      </w:tr>
      <w:tr w:rsidR="00BA4EAF" w:rsidRPr="00BA4EAF" w14:paraId="311E5710" w14:textId="77777777" w:rsidTr="00F85C19">
        <w:trPr>
          <w:trHeight w:val="300"/>
        </w:trPr>
        <w:tc>
          <w:tcPr>
            <w:tcW w:w="567" w:type="dxa"/>
            <w:noWrap/>
            <w:vAlign w:val="center"/>
            <w:hideMark/>
          </w:tcPr>
          <w:p w14:paraId="0A430EDC" w14:textId="7777777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2002</w:t>
            </w:r>
          </w:p>
        </w:tc>
        <w:tc>
          <w:tcPr>
            <w:tcW w:w="1276" w:type="dxa"/>
            <w:noWrap/>
            <w:vAlign w:val="center"/>
          </w:tcPr>
          <w:p w14:paraId="499DC61E" w14:textId="0DE5F91B"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2.86 (2.43-3.35)</w:t>
            </w:r>
          </w:p>
        </w:tc>
        <w:tc>
          <w:tcPr>
            <w:tcW w:w="1418" w:type="dxa"/>
            <w:vAlign w:val="center"/>
          </w:tcPr>
          <w:p w14:paraId="44C64F94" w14:textId="4654EFD3"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1698 (1443-1989)</w:t>
            </w:r>
          </w:p>
        </w:tc>
        <w:tc>
          <w:tcPr>
            <w:tcW w:w="1559" w:type="dxa"/>
            <w:noWrap/>
            <w:vAlign w:val="center"/>
          </w:tcPr>
          <w:p w14:paraId="06E7C313" w14:textId="1EBDB14B"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2.34 (1.89-2.87)</w:t>
            </w:r>
          </w:p>
        </w:tc>
        <w:tc>
          <w:tcPr>
            <w:tcW w:w="1417" w:type="dxa"/>
            <w:vAlign w:val="center"/>
          </w:tcPr>
          <w:p w14:paraId="04336F5F" w14:textId="7205EA11"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1162 (939-1426)</w:t>
            </w:r>
          </w:p>
        </w:tc>
        <w:tc>
          <w:tcPr>
            <w:tcW w:w="1418" w:type="dxa"/>
            <w:noWrap/>
            <w:vAlign w:val="center"/>
          </w:tcPr>
          <w:p w14:paraId="44443D38" w14:textId="0AC7FC75"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0.89 (0.18-2.86)</w:t>
            </w:r>
          </w:p>
        </w:tc>
        <w:tc>
          <w:tcPr>
            <w:tcW w:w="1134" w:type="dxa"/>
            <w:vAlign w:val="center"/>
          </w:tcPr>
          <w:p w14:paraId="08ED5F8B" w14:textId="270CCBC5"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15 (3-49)</w:t>
            </w:r>
          </w:p>
        </w:tc>
      </w:tr>
      <w:tr w:rsidR="00BA4EAF" w:rsidRPr="00BA4EAF" w14:paraId="4A57CEF2" w14:textId="77777777" w:rsidTr="00F85C19">
        <w:trPr>
          <w:trHeight w:val="300"/>
        </w:trPr>
        <w:tc>
          <w:tcPr>
            <w:tcW w:w="567" w:type="dxa"/>
            <w:noWrap/>
            <w:vAlign w:val="center"/>
            <w:hideMark/>
          </w:tcPr>
          <w:p w14:paraId="73FEBC14" w14:textId="7777777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2003</w:t>
            </w:r>
          </w:p>
        </w:tc>
        <w:tc>
          <w:tcPr>
            <w:tcW w:w="1276" w:type="dxa"/>
            <w:noWrap/>
            <w:vAlign w:val="center"/>
          </w:tcPr>
          <w:p w14:paraId="0E823F1C" w14:textId="5100963F"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2.18 (1.82-2.60)</w:t>
            </w:r>
          </w:p>
        </w:tc>
        <w:tc>
          <w:tcPr>
            <w:tcW w:w="1418" w:type="dxa"/>
            <w:vAlign w:val="center"/>
          </w:tcPr>
          <w:p w14:paraId="35BBC1C1" w14:textId="40266F61"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1300 (1085-1551)</w:t>
            </w:r>
          </w:p>
        </w:tc>
        <w:tc>
          <w:tcPr>
            <w:tcW w:w="1559" w:type="dxa"/>
            <w:noWrap/>
            <w:vAlign w:val="center"/>
          </w:tcPr>
          <w:p w14:paraId="7F04E5DF" w14:textId="62060975"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2.08 (1.67-2.57)</w:t>
            </w:r>
          </w:p>
        </w:tc>
        <w:tc>
          <w:tcPr>
            <w:tcW w:w="1417" w:type="dxa"/>
            <w:vAlign w:val="center"/>
          </w:tcPr>
          <w:p w14:paraId="79F39744" w14:textId="228BB282"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1038 (834-1283)</w:t>
            </w:r>
          </w:p>
        </w:tc>
        <w:tc>
          <w:tcPr>
            <w:tcW w:w="1418" w:type="dxa"/>
            <w:noWrap/>
            <w:vAlign w:val="center"/>
          </w:tcPr>
          <w:p w14:paraId="10FF0444" w14:textId="6697E266"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0 (0-1.08)</w:t>
            </w:r>
          </w:p>
        </w:tc>
        <w:tc>
          <w:tcPr>
            <w:tcW w:w="1134" w:type="dxa"/>
            <w:vAlign w:val="center"/>
          </w:tcPr>
          <w:p w14:paraId="22536239" w14:textId="0D8F901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0 (0-18)</w:t>
            </w:r>
          </w:p>
        </w:tc>
      </w:tr>
      <w:tr w:rsidR="00BA4EAF" w:rsidRPr="00BA4EAF" w14:paraId="5B65AF90" w14:textId="77777777" w:rsidTr="00F85C19">
        <w:trPr>
          <w:trHeight w:val="300"/>
        </w:trPr>
        <w:tc>
          <w:tcPr>
            <w:tcW w:w="567" w:type="dxa"/>
            <w:noWrap/>
            <w:vAlign w:val="center"/>
            <w:hideMark/>
          </w:tcPr>
          <w:p w14:paraId="25AAE9A4" w14:textId="7777777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2004</w:t>
            </w:r>
          </w:p>
        </w:tc>
        <w:tc>
          <w:tcPr>
            <w:tcW w:w="1276" w:type="dxa"/>
            <w:noWrap/>
            <w:vAlign w:val="center"/>
          </w:tcPr>
          <w:p w14:paraId="28D1F63F" w14:textId="024D6934"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2.89 (2.48-3.36)</w:t>
            </w:r>
          </w:p>
        </w:tc>
        <w:tc>
          <w:tcPr>
            <w:tcW w:w="1418" w:type="dxa"/>
            <w:vAlign w:val="center"/>
          </w:tcPr>
          <w:p w14:paraId="19E0952C" w14:textId="30CE51B8"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1733 (1487-2014)</w:t>
            </w:r>
          </w:p>
        </w:tc>
        <w:tc>
          <w:tcPr>
            <w:tcW w:w="1559" w:type="dxa"/>
            <w:noWrap/>
            <w:vAlign w:val="center"/>
          </w:tcPr>
          <w:p w14:paraId="57C77AFF" w14:textId="7D8CBD09"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2.72 (2.25-3.26)</w:t>
            </w:r>
          </w:p>
        </w:tc>
        <w:tc>
          <w:tcPr>
            <w:tcW w:w="1417" w:type="dxa"/>
            <w:vAlign w:val="center"/>
          </w:tcPr>
          <w:p w14:paraId="1AC66374" w14:textId="0CB8D020"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1365 (1129-1636)</w:t>
            </w:r>
          </w:p>
        </w:tc>
        <w:tc>
          <w:tcPr>
            <w:tcW w:w="1418" w:type="dxa"/>
            <w:noWrap/>
            <w:vAlign w:val="center"/>
          </w:tcPr>
          <w:p w14:paraId="47E21250" w14:textId="66788EE2"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0.42 (0.04-1.94)</w:t>
            </w:r>
          </w:p>
        </w:tc>
        <w:tc>
          <w:tcPr>
            <w:tcW w:w="1134" w:type="dxa"/>
            <w:vAlign w:val="center"/>
          </w:tcPr>
          <w:p w14:paraId="46E5513E" w14:textId="1B674948"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7 (1-33)</w:t>
            </w:r>
          </w:p>
        </w:tc>
      </w:tr>
      <w:tr w:rsidR="00BA4EAF" w:rsidRPr="00BA4EAF" w14:paraId="3A837D29" w14:textId="77777777" w:rsidTr="00F85C19">
        <w:trPr>
          <w:trHeight w:val="300"/>
        </w:trPr>
        <w:tc>
          <w:tcPr>
            <w:tcW w:w="567" w:type="dxa"/>
            <w:noWrap/>
            <w:vAlign w:val="center"/>
            <w:hideMark/>
          </w:tcPr>
          <w:p w14:paraId="670D0E43" w14:textId="7777777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2005</w:t>
            </w:r>
          </w:p>
        </w:tc>
        <w:tc>
          <w:tcPr>
            <w:tcW w:w="1276" w:type="dxa"/>
            <w:noWrap/>
            <w:vAlign w:val="center"/>
          </w:tcPr>
          <w:p w14:paraId="7AE91034" w14:textId="48698920"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3.23 (2.80-3.71)</w:t>
            </w:r>
          </w:p>
        </w:tc>
        <w:tc>
          <w:tcPr>
            <w:tcW w:w="1418" w:type="dxa"/>
            <w:vAlign w:val="center"/>
          </w:tcPr>
          <w:p w14:paraId="5A1FA25C" w14:textId="41CF40F0"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1951 (1692-2241)</w:t>
            </w:r>
          </w:p>
        </w:tc>
        <w:tc>
          <w:tcPr>
            <w:tcW w:w="1559" w:type="dxa"/>
            <w:noWrap/>
            <w:vAlign w:val="center"/>
          </w:tcPr>
          <w:p w14:paraId="0AA48CD9" w14:textId="4B350D8B"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2.46 (2.02-2.97)</w:t>
            </w:r>
          </w:p>
        </w:tc>
        <w:tc>
          <w:tcPr>
            <w:tcW w:w="1417" w:type="dxa"/>
            <w:vAlign w:val="center"/>
          </w:tcPr>
          <w:p w14:paraId="65BC2A1C" w14:textId="7F2F182A"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1245 (1022-1503)</w:t>
            </w:r>
          </w:p>
        </w:tc>
        <w:tc>
          <w:tcPr>
            <w:tcW w:w="1418" w:type="dxa"/>
            <w:noWrap/>
            <w:vAlign w:val="center"/>
          </w:tcPr>
          <w:p w14:paraId="7EA866BC" w14:textId="3B92C561"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0.78 (0.15-2.48)</w:t>
            </w:r>
          </w:p>
        </w:tc>
        <w:tc>
          <w:tcPr>
            <w:tcW w:w="1134" w:type="dxa"/>
            <w:vAlign w:val="center"/>
          </w:tcPr>
          <w:p w14:paraId="1D7A3016" w14:textId="3965CDCA"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13 (3-43)</w:t>
            </w:r>
          </w:p>
        </w:tc>
      </w:tr>
      <w:tr w:rsidR="00BA4EAF" w:rsidRPr="00BA4EAF" w14:paraId="7FFF60CC" w14:textId="77777777" w:rsidTr="00F85C19">
        <w:trPr>
          <w:trHeight w:val="300"/>
        </w:trPr>
        <w:tc>
          <w:tcPr>
            <w:tcW w:w="567" w:type="dxa"/>
            <w:noWrap/>
            <w:vAlign w:val="center"/>
            <w:hideMark/>
          </w:tcPr>
          <w:p w14:paraId="61657392" w14:textId="7777777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2006</w:t>
            </w:r>
          </w:p>
        </w:tc>
        <w:tc>
          <w:tcPr>
            <w:tcW w:w="1276" w:type="dxa"/>
            <w:noWrap/>
            <w:vAlign w:val="center"/>
          </w:tcPr>
          <w:p w14:paraId="0C0F948A" w14:textId="6AFF9485"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3.53 (3.08-4.02)</w:t>
            </w:r>
          </w:p>
        </w:tc>
        <w:tc>
          <w:tcPr>
            <w:tcW w:w="1418" w:type="dxa"/>
            <w:vAlign w:val="center"/>
          </w:tcPr>
          <w:p w14:paraId="4CC22635" w14:textId="09543A7F"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2147 (1873-2445)</w:t>
            </w:r>
          </w:p>
        </w:tc>
        <w:tc>
          <w:tcPr>
            <w:tcW w:w="1559" w:type="dxa"/>
            <w:noWrap/>
            <w:vAlign w:val="center"/>
          </w:tcPr>
          <w:p w14:paraId="4F40A24F" w14:textId="306CDEE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2.96 (2.49-3.51)</w:t>
            </w:r>
          </w:p>
        </w:tc>
        <w:tc>
          <w:tcPr>
            <w:tcW w:w="1417" w:type="dxa"/>
            <w:vAlign w:val="center"/>
          </w:tcPr>
          <w:p w14:paraId="7D9F8F7B" w14:textId="6AC49A5D"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1509 (1269-1789)</w:t>
            </w:r>
          </w:p>
        </w:tc>
        <w:tc>
          <w:tcPr>
            <w:tcW w:w="1418" w:type="dxa"/>
            <w:noWrap/>
            <w:vAlign w:val="center"/>
          </w:tcPr>
          <w:p w14:paraId="6D505944" w14:textId="13635B33"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1.11 (0.31-2.97)</w:t>
            </w:r>
          </w:p>
        </w:tc>
        <w:tc>
          <w:tcPr>
            <w:tcW w:w="1134" w:type="dxa"/>
            <w:vAlign w:val="center"/>
          </w:tcPr>
          <w:p w14:paraId="3E7D8202" w14:textId="75D54CFE"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19 (5-52)</w:t>
            </w:r>
          </w:p>
        </w:tc>
      </w:tr>
      <w:tr w:rsidR="00BA4EAF" w:rsidRPr="00BA4EAF" w14:paraId="19560BBE" w14:textId="77777777" w:rsidTr="00F85C19">
        <w:trPr>
          <w:trHeight w:val="300"/>
        </w:trPr>
        <w:tc>
          <w:tcPr>
            <w:tcW w:w="567" w:type="dxa"/>
            <w:noWrap/>
            <w:vAlign w:val="center"/>
            <w:hideMark/>
          </w:tcPr>
          <w:p w14:paraId="03317730" w14:textId="7777777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2007</w:t>
            </w:r>
          </w:p>
        </w:tc>
        <w:tc>
          <w:tcPr>
            <w:tcW w:w="1276" w:type="dxa"/>
            <w:noWrap/>
            <w:vAlign w:val="center"/>
          </w:tcPr>
          <w:p w14:paraId="1BB61055" w14:textId="3EB22832"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3.92 (3.46-4.43)</w:t>
            </w:r>
          </w:p>
        </w:tc>
        <w:tc>
          <w:tcPr>
            <w:tcW w:w="1418" w:type="dxa"/>
            <w:vAlign w:val="center"/>
          </w:tcPr>
          <w:p w14:paraId="329D4095" w14:textId="50816701"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2404 (2122-2716)</w:t>
            </w:r>
          </w:p>
        </w:tc>
        <w:tc>
          <w:tcPr>
            <w:tcW w:w="1559" w:type="dxa"/>
            <w:noWrap/>
            <w:vAlign w:val="center"/>
          </w:tcPr>
          <w:p w14:paraId="55C36B58" w14:textId="4621ED59"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3.29 (2.79-3.86)</w:t>
            </w:r>
          </w:p>
        </w:tc>
        <w:tc>
          <w:tcPr>
            <w:tcW w:w="1417" w:type="dxa"/>
            <w:vAlign w:val="center"/>
          </w:tcPr>
          <w:p w14:paraId="44F9F94B" w14:textId="24889A7C"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1690 (1434-1983)</w:t>
            </w:r>
          </w:p>
        </w:tc>
        <w:tc>
          <w:tcPr>
            <w:tcW w:w="1418" w:type="dxa"/>
            <w:noWrap/>
            <w:vAlign w:val="center"/>
          </w:tcPr>
          <w:p w14:paraId="44DD826B" w14:textId="60F77CBF"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1.74 (0.66-3.82)</w:t>
            </w:r>
          </w:p>
        </w:tc>
        <w:tc>
          <w:tcPr>
            <w:tcW w:w="1134" w:type="dxa"/>
            <w:vAlign w:val="center"/>
          </w:tcPr>
          <w:p w14:paraId="00E12A5A" w14:textId="2CEAE56A"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31 (12-67)</w:t>
            </w:r>
          </w:p>
        </w:tc>
      </w:tr>
      <w:tr w:rsidR="00BA4EAF" w:rsidRPr="00BA4EAF" w14:paraId="4A51F9BE" w14:textId="77777777" w:rsidTr="00F85C19">
        <w:trPr>
          <w:trHeight w:val="300"/>
        </w:trPr>
        <w:tc>
          <w:tcPr>
            <w:tcW w:w="567" w:type="dxa"/>
            <w:noWrap/>
            <w:vAlign w:val="center"/>
            <w:hideMark/>
          </w:tcPr>
          <w:p w14:paraId="150D4128" w14:textId="7777777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2008</w:t>
            </w:r>
          </w:p>
        </w:tc>
        <w:tc>
          <w:tcPr>
            <w:tcW w:w="1276" w:type="dxa"/>
            <w:noWrap/>
            <w:vAlign w:val="center"/>
          </w:tcPr>
          <w:p w14:paraId="388959CC" w14:textId="72D4E085"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4.26 (3.78-4.79)</w:t>
            </w:r>
          </w:p>
        </w:tc>
        <w:tc>
          <w:tcPr>
            <w:tcW w:w="1418" w:type="dxa"/>
            <w:vAlign w:val="center"/>
          </w:tcPr>
          <w:p w14:paraId="0846BEC7" w14:textId="62EF2030"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2634 (2337-2961)</w:t>
            </w:r>
          </w:p>
        </w:tc>
        <w:tc>
          <w:tcPr>
            <w:tcW w:w="1559" w:type="dxa"/>
            <w:noWrap/>
            <w:vAlign w:val="center"/>
          </w:tcPr>
          <w:p w14:paraId="1D119FB4" w14:textId="4EBDE8D2"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3.60 (3.08-4.19)</w:t>
            </w:r>
          </w:p>
        </w:tc>
        <w:tc>
          <w:tcPr>
            <w:tcW w:w="1417" w:type="dxa"/>
            <w:vAlign w:val="center"/>
          </w:tcPr>
          <w:p w14:paraId="482873D6" w14:textId="10111E53"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1865 (1596-2171)</w:t>
            </w:r>
          </w:p>
        </w:tc>
        <w:tc>
          <w:tcPr>
            <w:tcW w:w="1418" w:type="dxa"/>
            <w:noWrap/>
            <w:vAlign w:val="center"/>
          </w:tcPr>
          <w:p w14:paraId="52F0C277" w14:textId="1E5F74B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1.43 (0.48-3.40)</w:t>
            </w:r>
          </w:p>
        </w:tc>
        <w:tc>
          <w:tcPr>
            <w:tcW w:w="1134" w:type="dxa"/>
            <w:vAlign w:val="center"/>
          </w:tcPr>
          <w:p w14:paraId="79613461" w14:textId="257B3B53"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25 (9-60)</w:t>
            </w:r>
          </w:p>
        </w:tc>
      </w:tr>
      <w:tr w:rsidR="00BA4EAF" w:rsidRPr="00BA4EAF" w14:paraId="2C6823B0" w14:textId="77777777" w:rsidTr="00F85C19">
        <w:trPr>
          <w:trHeight w:val="300"/>
        </w:trPr>
        <w:tc>
          <w:tcPr>
            <w:tcW w:w="567" w:type="dxa"/>
            <w:noWrap/>
            <w:vAlign w:val="center"/>
            <w:hideMark/>
          </w:tcPr>
          <w:p w14:paraId="45E6D9B3" w14:textId="7777777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2009</w:t>
            </w:r>
          </w:p>
        </w:tc>
        <w:tc>
          <w:tcPr>
            <w:tcW w:w="1276" w:type="dxa"/>
            <w:noWrap/>
            <w:vAlign w:val="center"/>
          </w:tcPr>
          <w:p w14:paraId="443A732E" w14:textId="2F332FAD"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4.50 (4.00-5.03)</w:t>
            </w:r>
          </w:p>
        </w:tc>
        <w:tc>
          <w:tcPr>
            <w:tcW w:w="1418" w:type="dxa"/>
            <w:vAlign w:val="center"/>
          </w:tcPr>
          <w:p w14:paraId="11618CAC" w14:textId="34F96A63"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2802 (2490-3132)</w:t>
            </w:r>
          </w:p>
        </w:tc>
        <w:tc>
          <w:tcPr>
            <w:tcW w:w="1559" w:type="dxa"/>
            <w:noWrap/>
            <w:vAlign w:val="center"/>
          </w:tcPr>
          <w:p w14:paraId="665E579B" w14:textId="5848A3D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3.68 (3.15-4.27)</w:t>
            </w:r>
          </w:p>
        </w:tc>
        <w:tc>
          <w:tcPr>
            <w:tcW w:w="1417" w:type="dxa"/>
            <w:vAlign w:val="center"/>
          </w:tcPr>
          <w:p w14:paraId="4C53CD32" w14:textId="5C03F7FD"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1921 (1644-2229)</w:t>
            </w:r>
          </w:p>
        </w:tc>
        <w:tc>
          <w:tcPr>
            <w:tcW w:w="1418" w:type="dxa"/>
            <w:noWrap/>
            <w:vAlign w:val="center"/>
          </w:tcPr>
          <w:p w14:paraId="45F3C29E" w14:textId="3F62A503"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1.05 (0.29-2.81)</w:t>
            </w:r>
          </w:p>
        </w:tc>
        <w:tc>
          <w:tcPr>
            <w:tcW w:w="1134" w:type="dxa"/>
            <w:vAlign w:val="center"/>
          </w:tcPr>
          <w:p w14:paraId="337DFDDE" w14:textId="407036C4"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19 (5-50)</w:t>
            </w:r>
          </w:p>
        </w:tc>
      </w:tr>
      <w:tr w:rsidR="00BA4EAF" w:rsidRPr="00BA4EAF" w14:paraId="743FFBE3" w14:textId="77777777" w:rsidTr="00F85C19">
        <w:trPr>
          <w:trHeight w:val="300"/>
        </w:trPr>
        <w:tc>
          <w:tcPr>
            <w:tcW w:w="567" w:type="dxa"/>
            <w:noWrap/>
            <w:vAlign w:val="center"/>
            <w:hideMark/>
          </w:tcPr>
          <w:p w14:paraId="322DF041" w14:textId="7777777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2010</w:t>
            </w:r>
          </w:p>
        </w:tc>
        <w:tc>
          <w:tcPr>
            <w:tcW w:w="1276" w:type="dxa"/>
            <w:noWrap/>
            <w:vAlign w:val="center"/>
          </w:tcPr>
          <w:p w14:paraId="2766B4DF" w14:textId="62EB532E"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4.23 (3.75-4.76)</w:t>
            </w:r>
          </w:p>
        </w:tc>
        <w:tc>
          <w:tcPr>
            <w:tcW w:w="1418" w:type="dxa"/>
            <w:vAlign w:val="center"/>
          </w:tcPr>
          <w:p w14:paraId="2A359EE3" w14:textId="7E831870"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2655 (2353-2987)</w:t>
            </w:r>
          </w:p>
        </w:tc>
        <w:tc>
          <w:tcPr>
            <w:tcW w:w="1559" w:type="dxa"/>
            <w:noWrap/>
            <w:vAlign w:val="center"/>
          </w:tcPr>
          <w:p w14:paraId="661D3611" w14:textId="1C60223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3.36 (2.84-3.94)</w:t>
            </w:r>
          </w:p>
        </w:tc>
        <w:tc>
          <w:tcPr>
            <w:tcW w:w="1417" w:type="dxa"/>
            <w:vAlign w:val="center"/>
          </w:tcPr>
          <w:p w14:paraId="09B00E95" w14:textId="00A0B068"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1769 (1495-2074)</w:t>
            </w:r>
          </w:p>
        </w:tc>
        <w:tc>
          <w:tcPr>
            <w:tcW w:w="1418" w:type="dxa"/>
            <w:noWrap/>
            <w:vAlign w:val="center"/>
          </w:tcPr>
          <w:p w14:paraId="422C2CE4" w14:textId="13529996"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0.69 (0.14-2.22)</w:t>
            </w:r>
          </w:p>
        </w:tc>
        <w:tc>
          <w:tcPr>
            <w:tcW w:w="1134" w:type="dxa"/>
            <w:vAlign w:val="center"/>
          </w:tcPr>
          <w:p w14:paraId="33C2FA99" w14:textId="4C35C280"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12 (3-40)</w:t>
            </w:r>
          </w:p>
        </w:tc>
      </w:tr>
      <w:tr w:rsidR="00BA4EAF" w:rsidRPr="00BA4EAF" w14:paraId="1B25A465" w14:textId="77777777" w:rsidTr="00F85C19">
        <w:trPr>
          <w:trHeight w:val="300"/>
        </w:trPr>
        <w:tc>
          <w:tcPr>
            <w:tcW w:w="567" w:type="dxa"/>
            <w:noWrap/>
            <w:vAlign w:val="center"/>
            <w:hideMark/>
          </w:tcPr>
          <w:p w14:paraId="55AF3C6F" w14:textId="7777777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2011</w:t>
            </w:r>
          </w:p>
        </w:tc>
        <w:tc>
          <w:tcPr>
            <w:tcW w:w="1276" w:type="dxa"/>
            <w:noWrap/>
            <w:vAlign w:val="center"/>
          </w:tcPr>
          <w:p w14:paraId="3EAE49AA" w14:textId="19249B36"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4.17 (3.69-4.69)</w:t>
            </w:r>
          </w:p>
        </w:tc>
        <w:tc>
          <w:tcPr>
            <w:tcW w:w="1418" w:type="dxa"/>
            <w:vAlign w:val="center"/>
          </w:tcPr>
          <w:p w14:paraId="3F4CC258" w14:textId="5A1B7581"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2639 (2335-2968)</w:t>
            </w:r>
          </w:p>
        </w:tc>
        <w:tc>
          <w:tcPr>
            <w:tcW w:w="1559" w:type="dxa"/>
            <w:noWrap/>
            <w:vAlign w:val="center"/>
          </w:tcPr>
          <w:p w14:paraId="7EC87DA9" w14:textId="3ED83A11"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3.15 (2.66-3.71)</w:t>
            </w:r>
          </w:p>
        </w:tc>
        <w:tc>
          <w:tcPr>
            <w:tcW w:w="1417" w:type="dxa"/>
            <w:vAlign w:val="center"/>
          </w:tcPr>
          <w:p w14:paraId="6C89B879" w14:textId="7F81023F"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1673 (1413-1970)</w:t>
            </w:r>
          </w:p>
        </w:tc>
        <w:tc>
          <w:tcPr>
            <w:tcW w:w="1418" w:type="dxa"/>
            <w:noWrap/>
            <w:vAlign w:val="center"/>
          </w:tcPr>
          <w:p w14:paraId="7A76F25D" w14:textId="1F5F15E3"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1.02 (0.28-2.73)</w:t>
            </w:r>
          </w:p>
        </w:tc>
        <w:tc>
          <w:tcPr>
            <w:tcW w:w="1134" w:type="dxa"/>
            <w:vAlign w:val="center"/>
          </w:tcPr>
          <w:p w14:paraId="403CD617" w14:textId="3F69796E"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19 (5-50)</w:t>
            </w:r>
          </w:p>
        </w:tc>
      </w:tr>
      <w:tr w:rsidR="00BA4EAF" w:rsidRPr="00BA4EAF" w14:paraId="6FD87766" w14:textId="77777777" w:rsidTr="00F85C19">
        <w:trPr>
          <w:trHeight w:val="300"/>
        </w:trPr>
        <w:tc>
          <w:tcPr>
            <w:tcW w:w="567" w:type="dxa"/>
            <w:noWrap/>
            <w:vAlign w:val="center"/>
            <w:hideMark/>
          </w:tcPr>
          <w:p w14:paraId="0E207CFA" w14:textId="7777777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2012</w:t>
            </w:r>
          </w:p>
        </w:tc>
        <w:tc>
          <w:tcPr>
            <w:tcW w:w="1276" w:type="dxa"/>
            <w:noWrap/>
            <w:vAlign w:val="center"/>
          </w:tcPr>
          <w:p w14:paraId="0F6744D6" w14:textId="67BE78A5"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3.75 (3.29-4.24)</w:t>
            </w:r>
          </w:p>
        </w:tc>
        <w:tc>
          <w:tcPr>
            <w:tcW w:w="1418" w:type="dxa"/>
            <w:vAlign w:val="center"/>
          </w:tcPr>
          <w:p w14:paraId="07C87A32" w14:textId="745FF113"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2389 (2096-2701)</w:t>
            </w:r>
          </w:p>
        </w:tc>
        <w:tc>
          <w:tcPr>
            <w:tcW w:w="1559" w:type="dxa"/>
            <w:noWrap/>
            <w:vAlign w:val="center"/>
          </w:tcPr>
          <w:p w14:paraId="31048956" w14:textId="70456840"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3.18 (2.68-3.74)</w:t>
            </w:r>
          </w:p>
        </w:tc>
        <w:tc>
          <w:tcPr>
            <w:tcW w:w="1417" w:type="dxa"/>
            <w:vAlign w:val="center"/>
          </w:tcPr>
          <w:p w14:paraId="1615726D" w14:textId="2714CC40"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1701 (1434-2001)</w:t>
            </w:r>
          </w:p>
        </w:tc>
        <w:tc>
          <w:tcPr>
            <w:tcW w:w="1418" w:type="dxa"/>
            <w:noWrap/>
            <w:vAlign w:val="center"/>
          </w:tcPr>
          <w:p w14:paraId="4FD36C54" w14:textId="13192C7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2.02 (0.84-4.16)</w:t>
            </w:r>
          </w:p>
        </w:tc>
        <w:tc>
          <w:tcPr>
            <w:tcW w:w="1134" w:type="dxa"/>
            <w:vAlign w:val="center"/>
          </w:tcPr>
          <w:p w14:paraId="7CEFBD36" w14:textId="4E9B9AD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37 (15-76)</w:t>
            </w:r>
          </w:p>
        </w:tc>
      </w:tr>
      <w:tr w:rsidR="00BA4EAF" w:rsidRPr="00BA4EAF" w14:paraId="504A14CA" w14:textId="77777777" w:rsidTr="00F85C19">
        <w:trPr>
          <w:trHeight w:val="300"/>
        </w:trPr>
        <w:tc>
          <w:tcPr>
            <w:tcW w:w="567" w:type="dxa"/>
            <w:noWrap/>
            <w:vAlign w:val="center"/>
            <w:hideMark/>
          </w:tcPr>
          <w:p w14:paraId="5E698741" w14:textId="7777777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2013</w:t>
            </w:r>
          </w:p>
        </w:tc>
        <w:tc>
          <w:tcPr>
            <w:tcW w:w="1276" w:type="dxa"/>
            <w:noWrap/>
            <w:vAlign w:val="center"/>
          </w:tcPr>
          <w:p w14:paraId="1176A48E" w14:textId="193F56D3"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4.46 (3.96-5.01)</w:t>
            </w:r>
          </w:p>
        </w:tc>
        <w:tc>
          <w:tcPr>
            <w:tcW w:w="1418" w:type="dxa"/>
            <w:vAlign w:val="center"/>
          </w:tcPr>
          <w:p w14:paraId="0F938A32" w14:textId="49ADEFE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2859 (2539-3212)</w:t>
            </w:r>
          </w:p>
        </w:tc>
        <w:tc>
          <w:tcPr>
            <w:tcW w:w="1559" w:type="dxa"/>
            <w:noWrap/>
            <w:vAlign w:val="center"/>
          </w:tcPr>
          <w:p w14:paraId="2A2952E4" w14:textId="5CF0DAF9"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3.42 (2.89-4.02)</w:t>
            </w:r>
          </w:p>
        </w:tc>
        <w:tc>
          <w:tcPr>
            <w:tcW w:w="1417" w:type="dxa"/>
            <w:vAlign w:val="center"/>
          </w:tcPr>
          <w:p w14:paraId="0E5DCD8C" w14:textId="45D2C39A"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1842 (1557-2165)</w:t>
            </w:r>
          </w:p>
        </w:tc>
        <w:tc>
          <w:tcPr>
            <w:tcW w:w="1418" w:type="dxa"/>
            <w:noWrap/>
            <w:vAlign w:val="center"/>
          </w:tcPr>
          <w:p w14:paraId="3FA329BC" w14:textId="3E5104EF"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1.33 (0.44-3.16)</w:t>
            </w:r>
          </w:p>
        </w:tc>
        <w:tc>
          <w:tcPr>
            <w:tcW w:w="1134" w:type="dxa"/>
            <w:vAlign w:val="center"/>
          </w:tcPr>
          <w:p w14:paraId="7184DBC6" w14:textId="6068BB89"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24 (8-58)</w:t>
            </w:r>
          </w:p>
        </w:tc>
      </w:tr>
      <w:tr w:rsidR="00BA4EAF" w:rsidRPr="00BA4EAF" w14:paraId="7AF8A99F" w14:textId="77777777" w:rsidTr="00F85C19">
        <w:trPr>
          <w:trHeight w:val="300"/>
        </w:trPr>
        <w:tc>
          <w:tcPr>
            <w:tcW w:w="567" w:type="dxa"/>
            <w:noWrap/>
            <w:vAlign w:val="center"/>
            <w:hideMark/>
          </w:tcPr>
          <w:p w14:paraId="450C665E" w14:textId="7777777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2014</w:t>
            </w:r>
          </w:p>
        </w:tc>
        <w:tc>
          <w:tcPr>
            <w:tcW w:w="1276" w:type="dxa"/>
            <w:noWrap/>
            <w:vAlign w:val="center"/>
          </w:tcPr>
          <w:p w14:paraId="07C00DF3" w14:textId="17DBBD6C"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3.36 (2.91-3.85)</w:t>
            </w:r>
          </w:p>
        </w:tc>
        <w:tc>
          <w:tcPr>
            <w:tcW w:w="1418" w:type="dxa"/>
            <w:vAlign w:val="center"/>
          </w:tcPr>
          <w:p w14:paraId="6DE3E908" w14:textId="6AF52BBC"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2170 (1880-2487)</w:t>
            </w:r>
          </w:p>
        </w:tc>
        <w:tc>
          <w:tcPr>
            <w:tcW w:w="1559" w:type="dxa"/>
            <w:noWrap/>
            <w:vAlign w:val="center"/>
          </w:tcPr>
          <w:p w14:paraId="5B6FDC3A" w14:textId="58861E7C"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2.66 (2.17-3.22)</w:t>
            </w:r>
          </w:p>
        </w:tc>
        <w:tc>
          <w:tcPr>
            <w:tcW w:w="1417" w:type="dxa"/>
            <w:vAlign w:val="center"/>
          </w:tcPr>
          <w:p w14:paraId="6D6094E1" w14:textId="0C489F04"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1445 (1179-1749)</w:t>
            </w:r>
          </w:p>
        </w:tc>
        <w:tc>
          <w:tcPr>
            <w:tcW w:w="1418" w:type="dxa"/>
            <w:noWrap/>
            <w:vAlign w:val="center"/>
          </w:tcPr>
          <w:p w14:paraId="2D3C6696" w14:textId="23CF5674"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0.98 (0.27-2.63)</w:t>
            </w:r>
          </w:p>
        </w:tc>
        <w:tc>
          <w:tcPr>
            <w:tcW w:w="1134" w:type="dxa"/>
            <w:vAlign w:val="center"/>
          </w:tcPr>
          <w:p w14:paraId="0138633C" w14:textId="5470563D"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18 (5-48)</w:t>
            </w:r>
          </w:p>
        </w:tc>
      </w:tr>
      <w:tr w:rsidR="00BA4EAF" w:rsidRPr="00BA4EAF" w14:paraId="543B430E" w14:textId="77777777" w:rsidTr="00F85C19">
        <w:trPr>
          <w:trHeight w:val="300"/>
        </w:trPr>
        <w:tc>
          <w:tcPr>
            <w:tcW w:w="567" w:type="dxa"/>
            <w:noWrap/>
            <w:vAlign w:val="center"/>
            <w:hideMark/>
          </w:tcPr>
          <w:p w14:paraId="309043D4" w14:textId="7777777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2015</w:t>
            </w:r>
          </w:p>
        </w:tc>
        <w:tc>
          <w:tcPr>
            <w:tcW w:w="1276" w:type="dxa"/>
            <w:noWrap/>
            <w:vAlign w:val="center"/>
          </w:tcPr>
          <w:p w14:paraId="2986FAA7" w14:textId="67AFCB6B"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5.47 (4.85-6.14)</w:t>
            </w:r>
          </w:p>
        </w:tc>
        <w:tc>
          <w:tcPr>
            <w:tcW w:w="1418" w:type="dxa"/>
            <w:vAlign w:val="center"/>
          </w:tcPr>
          <w:p w14:paraId="3A4A9BF4" w14:textId="16A23A4F"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3562 (3158-3998)</w:t>
            </w:r>
          </w:p>
        </w:tc>
        <w:tc>
          <w:tcPr>
            <w:tcW w:w="1559" w:type="dxa"/>
            <w:noWrap/>
            <w:vAlign w:val="center"/>
          </w:tcPr>
          <w:p w14:paraId="5B4DBDD3" w14:textId="4E91A94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4.06 (3.38-4.84)</w:t>
            </w:r>
          </w:p>
        </w:tc>
        <w:tc>
          <w:tcPr>
            <w:tcW w:w="1417" w:type="dxa"/>
            <w:vAlign w:val="center"/>
          </w:tcPr>
          <w:p w14:paraId="50782DDB" w14:textId="6B6D7351"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2224 (1852-2652)</w:t>
            </w:r>
          </w:p>
        </w:tc>
        <w:tc>
          <w:tcPr>
            <w:tcW w:w="1418" w:type="dxa"/>
            <w:noWrap/>
            <w:vAlign w:val="center"/>
          </w:tcPr>
          <w:p w14:paraId="2D83FB1C" w14:textId="01A3AAC0"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2.30 (1.03-4.52)</w:t>
            </w:r>
          </w:p>
        </w:tc>
        <w:tc>
          <w:tcPr>
            <w:tcW w:w="1134" w:type="dxa"/>
            <w:vAlign w:val="center"/>
          </w:tcPr>
          <w:p w14:paraId="3B451EC3" w14:textId="21E1129E"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43 (19-84)</w:t>
            </w:r>
          </w:p>
        </w:tc>
      </w:tr>
      <w:tr w:rsidR="00BA4EAF" w:rsidRPr="00BA4EAF" w14:paraId="22FCC573" w14:textId="77777777" w:rsidTr="00F85C19">
        <w:trPr>
          <w:trHeight w:val="300"/>
        </w:trPr>
        <w:tc>
          <w:tcPr>
            <w:tcW w:w="567" w:type="dxa"/>
            <w:tcBorders>
              <w:bottom w:val="double" w:sz="4" w:space="0" w:color="auto"/>
            </w:tcBorders>
            <w:noWrap/>
            <w:vAlign w:val="center"/>
            <w:hideMark/>
          </w:tcPr>
          <w:p w14:paraId="00884CC7" w14:textId="77777777"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2016</w:t>
            </w:r>
          </w:p>
        </w:tc>
        <w:tc>
          <w:tcPr>
            <w:tcW w:w="1276" w:type="dxa"/>
            <w:tcBorders>
              <w:bottom w:val="double" w:sz="4" w:space="0" w:color="auto"/>
            </w:tcBorders>
            <w:noWrap/>
            <w:vAlign w:val="center"/>
          </w:tcPr>
          <w:p w14:paraId="07F615DC" w14:textId="06B3F5A9"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4.89 (4.26-5.59)</w:t>
            </w:r>
          </w:p>
        </w:tc>
        <w:tc>
          <w:tcPr>
            <w:tcW w:w="1418" w:type="dxa"/>
            <w:tcBorders>
              <w:bottom w:val="double" w:sz="4" w:space="0" w:color="auto"/>
            </w:tcBorders>
            <w:vAlign w:val="center"/>
          </w:tcPr>
          <w:p w14:paraId="06B148CE" w14:textId="4C36067F"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3210 (2797-3670)</w:t>
            </w:r>
          </w:p>
        </w:tc>
        <w:tc>
          <w:tcPr>
            <w:tcW w:w="1559" w:type="dxa"/>
            <w:tcBorders>
              <w:bottom w:val="double" w:sz="4" w:space="0" w:color="auto"/>
            </w:tcBorders>
            <w:noWrap/>
            <w:vAlign w:val="center"/>
          </w:tcPr>
          <w:p w14:paraId="5A42C86F" w14:textId="3B611E9D"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3.25 (2.55-4.10)</w:t>
            </w:r>
          </w:p>
        </w:tc>
        <w:tc>
          <w:tcPr>
            <w:tcW w:w="1417" w:type="dxa"/>
            <w:tcBorders>
              <w:bottom w:val="double" w:sz="4" w:space="0" w:color="auto"/>
            </w:tcBorders>
            <w:vAlign w:val="center"/>
          </w:tcPr>
          <w:p w14:paraId="4F10385B" w14:textId="1CCE7EC3"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1796 (1409-2266)</w:t>
            </w:r>
          </w:p>
        </w:tc>
        <w:tc>
          <w:tcPr>
            <w:tcW w:w="1418" w:type="dxa"/>
            <w:tcBorders>
              <w:bottom w:val="double" w:sz="4" w:space="0" w:color="auto"/>
            </w:tcBorders>
            <w:noWrap/>
            <w:vAlign w:val="center"/>
          </w:tcPr>
          <w:p w14:paraId="3C4EDE1D" w14:textId="696A6588"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0.98 (0.27-2.60)</w:t>
            </w:r>
          </w:p>
        </w:tc>
        <w:tc>
          <w:tcPr>
            <w:tcW w:w="1134" w:type="dxa"/>
            <w:tcBorders>
              <w:bottom w:val="double" w:sz="4" w:space="0" w:color="auto"/>
            </w:tcBorders>
            <w:vAlign w:val="center"/>
          </w:tcPr>
          <w:p w14:paraId="38ABDD52" w14:textId="11429594" w:rsidR="00BA4EAF" w:rsidRPr="00BA4EAF" w:rsidRDefault="00BA4EAF" w:rsidP="000801A0">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18 (5-48)</w:t>
            </w:r>
          </w:p>
        </w:tc>
      </w:tr>
      <w:tr w:rsidR="00BA4EAF" w:rsidRPr="00BA4EAF" w14:paraId="7F00E818" w14:textId="77777777" w:rsidTr="00F85C19">
        <w:trPr>
          <w:trHeight w:val="300"/>
        </w:trPr>
        <w:tc>
          <w:tcPr>
            <w:tcW w:w="567" w:type="dxa"/>
            <w:tcBorders>
              <w:top w:val="double" w:sz="4" w:space="0" w:color="auto"/>
              <w:bottom w:val="single" w:sz="4" w:space="0" w:color="auto"/>
            </w:tcBorders>
            <w:noWrap/>
            <w:vAlign w:val="center"/>
          </w:tcPr>
          <w:p w14:paraId="5F9C4338" w14:textId="46D8BF32"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Year</w:t>
            </w:r>
          </w:p>
        </w:tc>
        <w:tc>
          <w:tcPr>
            <w:tcW w:w="1276" w:type="dxa"/>
            <w:tcBorders>
              <w:top w:val="double" w:sz="4" w:space="0" w:color="auto"/>
              <w:bottom w:val="single" w:sz="4" w:space="0" w:color="auto"/>
            </w:tcBorders>
            <w:noWrap/>
            <w:vAlign w:val="center"/>
          </w:tcPr>
          <w:p w14:paraId="08CBAC44" w14:textId="77777777" w:rsidR="00BA4EAF" w:rsidRPr="00BA4EAF" w:rsidRDefault="00BA4EAF" w:rsidP="00BA4EAF">
            <w:pPr>
              <w:jc w:val="center"/>
              <w:rPr>
                <w:rFonts w:eastAsia="Times New Roman" w:cstheme="minorHAnsi"/>
                <w:color w:val="000000"/>
                <w:sz w:val="16"/>
                <w:szCs w:val="16"/>
                <w:lang w:val="en-GB" w:eastAsia="en-GB"/>
              </w:rPr>
            </w:pPr>
          </w:p>
        </w:tc>
        <w:tc>
          <w:tcPr>
            <w:tcW w:w="1418" w:type="dxa"/>
            <w:tcBorders>
              <w:top w:val="double" w:sz="4" w:space="0" w:color="auto"/>
              <w:bottom w:val="single" w:sz="4" w:space="0" w:color="auto"/>
            </w:tcBorders>
            <w:vAlign w:val="center"/>
          </w:tcPr>
          <w:p w14:paraId="089C55EB" w14:textId="77777777" w:rsidR="00BA4EAF" w:rsidRPr="00BA4EAF" w:rsidRDefault="00BA4EAF" w:rsidP="00BA4EAF">
            <w:pPr>
              <w:jc w:val="center"/>
              <w:rPr>
                <w:rFonts w:eastAsia="Times New Roman" w:cstheme="minorHAnsi"/>
                <w:color w:val="000000"/>
                <w:sz w:val="16"/>
                <w:szCs w:val="16"/>
                <w:lang w:val="en-GB" w:eastAsia="en-GB"/>
              </w:rPr>
            </w:pPr>
          </w:p>
        </w:tc>
        <w:tc>
          <w:tcPr>
            <w:tcW w:w="1559" w:type="dxa"/>
            <w:tcBorders>
              <w:top w:val="double" w:sz="4" w:space="0" w:color="auto"/>
              <w:bottom w:val="single" w:sz="4" w:space="0" w:color="auto"/>
            </w:tcBorders>
            <w:noWrap/>
            <w:vAlign w:val="center"/>
          </w:tcPr>
          <w:p w14:paraId="7098C819" w14:textId="58CE4FE4"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Scotland incidence</w:t>
            </w:r>
          </w:p>
        </w:tc>
        <w:tc>
          <w:tcPr>
            <w:tcW w:w="1417" w:type="dxa"/>
            <w:tcBorders>
              <w:top w:val="double" w:sz="4" w:space="0" w:color="auto"/>
              <w:bottom w:val="single" w:sz="4" w:space="0" w:color="auto"/>
            </w:tcBorders>
            <w:vAlign w:val="center"/>
          </w:tcPr>
          <w:p w14:paraId="30415BF9" w14:textId="16CD1499" w:rsidR="00BA4EAF" w:rsidRPr="00BA4EAF" w:rsidRDefault="00641618" w:rsidP="00BA4EAF">
            <w:pPr>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Scotland c</w:t>
            </w:r>
            <w:r w:rsidR="00BA4EAF" w:rsidRPr="00BA4EAF">
              <w:rPr>
                <w:rFonts w:eastAsia="Times New Roman" w:cstheme="minorHAnsi"/>
                <w:color w:val="000000"/>
                <w:sz w:val="16"/>
                <w:szCs w:val="16"/>
                <w:lang w:val="en-GB" w:eastAsia="en-GB"/>
              </w:rPr>
              <w:t>ases</w:t>
            </w:r>
          </w:p>
        </w:tc>
        <w:tc>
          <w:tcPr>
            <w:tcW w:w="1418" w:type="dxa"/>
            <w:tcBorders>
              <w:top w:val="double" w:sz="4" w:space="0" w:color="auto"/>
              <w:bottom w:val="single" w:sz="4" w:space="0" w:color="auto"/>
            </w:tcBorders>
            <w:noWrap/>
            <w:vAlign w:val="center"/>
          </w:tcPr>
          <w:p w14:paraId="567220B8" w14:textId="7050163B"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Wales incidence</w:t>
            </w:r>
          </w:p>
        </w:tc>
        <w:tc>
          <w:tcPr>
            <w:tcW w:w="1134" w:type="dxa"/>
            <w:tcBorders>
              <w:top w:val="double" w:sz="4" w:space="0" w:color="auto"/>
              <w:bottom w:val="single" w:sz="4" w:space="0" w:color="auto"/>
            </w:tcBorders>
            <w:vAlign w:val="center"/>
          </w:tcPr>
          <w:p w14:paraId="735E14B3" w14:textId="6BBDF648" w:rsidR="00BA4EAF" w:rsidRPr="00BA4EAF" w:rsidRDefault="00641618" w:rsidP="00BA4EAF">
            <w:pPr>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Wales c</w:t>
            </w:r>
            <w:r w:rsidR="00BA4EAF" w:rsidRPr="00BA4EAF">
              <w:rPr>
                <w:rFonts w:eastAsia="Times New Roman" w:cstheme="minorHAnsi"/>
                <w:color w:val="000000"/>
                <w:sz w:val="16"/>
                <w:szCs w:val="16"/>
                <w:lang w:val="en-GB" w:eastAsia="en-GB"/>
              </w:rPr>
              <w:t>ases</w:t>
            </w:r>
          </w:p>
        </w:tc>
      </w:tr>
      <w:tr w:rsidR="00BA4EAF" w:rsidRPr="00BA4EAF" w14:paraId="4014E599" w14:textId="77777777" w:rsidTr="00F85C19">
        <w:trPr>
          <w:trHeight w:val="300"/>
        </w:trPr>
        <w:tc>
          <w:tcPr>
            <w:tcW w:w="567" w:type="dxa"/>
            <w:tcBorders>
              <w:top w:val="single" w:sz="4" w:space="0" w:color="auto"/>
            </w:tcBorders>
            <w:noWrap/>
            <w:vAlign w:val="center"/>
          </w:tcPr>
          <w:p w14:paraId="3B653690" w14:textId="7CB8EDED"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1998</w:t>
            </w:r>
          </w:p>
        </w:tc>
        <w:tc>
          <w:tcPr>
            <w:tcW w:w="1276" w:type="dxa"/>
            <w:tcBorders>
              <w:top w:val="single" w:sz="4" w:space="0" w:color="auto"/>
            </w:tcBorders>
            <w:noWrap/>
            <w:vAlign w:val="center"/>
          </w:tcPr>
          <w:p w14:paraId="34EAF779" w14:textId="77777777" w:rsidR="00BA4EAF" w:rsidRPr="00BA4EAF" w:rsidRDefault="00BA4EAF" w:rsidP="00BA4EAF">
            <w:pPr>
              <w:jc w:val="center"/>
              <w:rPr>
                <w:rFonts w:eastAsia="Times New Roman" w:cstheme="minorHAnsi"/>
                <w:color w:val="000000"/>
                <w:sz w:val="16"/>
                <w:szCs w:val="16"/>
                <w:lang w:val="en-GB" w:eastAsia="en-GB"/>
              </w:rPr>
            </w:pPr>
          </w:p>
        </w:tc>
        <w:tc>
          <w:tcPr>
            <w:tcW w:w="1418" w:type="dxa"/>
            <w:tcBorders>
              <w:top w:val="single" w:sz="4" w:space="0" w:color="auto"/>
            </w:tcBorders>
            <w:vAlign w:val="center"/>
          </w:tcPr>
          <w:p w14:paraId="3524A989" w14:textId="77777777" w:rsidR="00BA4EAF" w:rsidRPr="00BA4EAF" w:rsidRDefault="00BA4EAF" w:rsidP="00BA4EAF">
            <w:pPr>
              <w:jc w:val="center"/>
              <w:rPr>
                <w:rFonts w:eastAsia="Times New Roman" w:cstheme="minorHAnsi"/>
                <w:color w:val="000000"/>
                <w:sz w:val="16"/>
                <w:szCs w:val="16"/>
                <w:lang w:val="en-GB" w:eastAsia="en-GB"/>
              </w:rPr>
            </w:pPr>
          </w:p>
        </w:tc>
        <w:tc>
          <w:tcPr>
            <w:tcW w:w="1559" w:type="dxa"/>
            <w:tcBorders>
              <w:top w:val="single" w:sz="4" w:space="0" w:color="auto"/>
            </w:tcBorders>
            <w:noWrap/>
            <w:vAlign w:val="center"/>
          </w:tcPr>
          <w:p w14:paraId="5A88B8AC" w14:textId="68266B15"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5.21 (2.92-8.66)</w:t>
            </w:r>
          </w:p>
        </w:tc>
        <w:tc>
          <w:tcPr>
            <w:tcW w:w="1417" w:type="dxa"/>
            <w:tcBorders>
              <w:top w:val="single" w:sz="4" w:space="0" w:color="auto"/>
            </w:tcBorders>
            <w:vAlign w:val="center"/>
          </w:tcPr>
          <w:p w14:paraId="4A217866" w14:textId="24E6EE21"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265 (148-440)</w:t>
            </w:r>
          </w:p>
        </w:tc>
        <w:tc>
          <w:tcPr>
            <w:tcW w:w="1418" w:type="dxa"/>
            <w:tcBorders>
              <w:top w:val="single" w:sz="4" w:space="0" w:color="auto"/>
            </w:tcBorders>
            <w:noWrap/>
            <w:vAlign w:val="center"/>
          </w:tcPr>
          <w:p w14:paraId="0114B9B3" w14:textId="4A4A383C"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1.61 (0.53-3.82)</w:t>
            </w:r>
          </w:p>
        </w:tc>
        <w:tc>
          <w:tcPr>
            <w:tcW w:w="1134" w:type="dxa"/>
            <w:tcBorders>
              <w:top w:val="single" w:sz="4" w:space="0" w:color="auto"/>
            </w:tcBorders>
            <w:vAlign w:val="center"/>
          </w:tcPr>
          <w:p w14:paraId="1324B6EF" w14:textId="1C5C443E"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47 (15-111)</w:t>
            </w:r>
          </w:p>
        </w:tc>
      </w:tr>
      <w:tr w:rsidR="00BA4EAF" w:rsidRPr="00BA4EAF" w14:paraId="54E91F39" w14:textId="77777777" w:rsidTr="00F85C19">
        <w:trPr>
          <w:trHeight w:val="300"/>
        </w:trPr>
        <w:tc>
          <w:tcPr>
            <w:tcW w:w="567" w:type="dxa"/>
            <w:noWrap/>
            <w:vAlign w:val="center"/>
          </w:tcPr>
          <w:p w14:paraId="0FDC6C76" w14:textId="0E5FA560"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1999</w:t>
            </w:r>
          </w:p>
        </w:tc>
        <w:tc>
          <w:tcPr>
            <w:tcW w:w="1276" w:type="dxa"/>
            <w:noWrap/>
            <w:vAlign w:val="center"/>
          </w:tcPr>
          <w:p w14:paraId="1639B6EC" w14:textId="77777777" w:rsidR="00BA4EAF" w:rsidRPr="00BA4EAF" w:rsidRDefault="00BA4EAF" w:rsidP="00BA4EAF">
            <w:pPr>
              <w:jc w:val="center"/>
              <w:rPr>
                <w:rFonts w:eastAsia="Times New Roman" w:cstheme="minorHAnsi"/>
                <w:color w:val="000000"/>
                <w:sz w:val="16"/>
                <w:szCs w:val="16"/>
                <w:lang w:val="en-GB" w:eastAsia="en-GB"/>
              </w:rPr>
            </w:pPr>
          </w:p>
        </w:tc>
        <w:tc>
          <w:tcPr>
            <w:tcW w:w="1418" w:type="dxa"/>
            <w:vAlign w:val="center"/>
          </w:tcPr>
          <w:p w14:paraId="3F2B3D39" w14:textId="77777777" w:rsidR="00BA4EAF" w:rsidRPr="00BA4EAF" w:rsidRDefault="00BA4EAF" w:rsidP="00BA4EAF">
            <w:pPr>
              <w:jc w:val="center"/>
              <w:rPr>
                <w:rFonts w:eastAsia="Times New Roman" w:cstheme="minorHAnsi"/>
                <w:color w:val="000000"/>
                <w:sz w:val="16"/>
                <w:szCs w:val="16"/>
                <w:lang w:val="en-GB" w:eastAsia="en-GB"/>
              </w:rPr>
            </w:pPr>
          </w:p>
        </w:tc>
        <w:tc>
          <w:tcPr>
            <w:tcW w:w="1559" w:type="dxa"/>
            <w:noWrap/>
            <w:vAlign w:val="center"/>
          </w:tcPr>
          <w:p w14:paraId="78D8841A" w14:textId="1AB2CE53"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4.68 (2.78-7.42)</w:t>
            </w:r>
          </w:p>
        </w:tc>
        <w:tc>
          <w:tcPr>
            <w:tcW w:w="1417" w:type="dxa"/>
            <w:vAlign w:val="center"/>
          </w:tcPr>
          <w:p w14:paraId="2550D5D4" w14:textId="58A20AC9"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237 (141-376)</w:t>
            </w:r>
          </w:p>
        </w:tc>
        <w:tc>
          <w:tcPr>
            <w:tcW w:w="1418" w:type="dxa"/>
            <w:noWrap/>
            <w:vAlign w:val="center"/>
          </w:tcPr>
          <w:p w14:paraId="2927ED93" w14:textId="5B84A98B"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1.07 (0.30-2.85)</w:t>
            </w:r>
          </w:p>
        </w:tc>
        <w:tc>
          <w:tcPr>
            <w:tcW w:w="1134" w:type="dxa"/>
            <w:vAlign w:val="center"/>
          </w:tcPr>
          <w:p w14:paraId="7BD1E5C8" w14:textId="0B692240"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31 (9-83)</w:t>
            </w:r>
          </w:p>
        </w:tc>
      </w:tr>
      <w:tr w:rsidR="00BA4EAF" w:rsidRPr="00BA4EAF" w14:paraId="19714119" w14:textId="77777777" w:rsidTr="00F85C19">
        <w:trPr>
          <w:trHeight w:val="300"/>
        </w:trPr>
        <w:tc>
          <w:tcPr>
            <w:tcW w:w="567" w:type="dxa"/>
            <w:noWrap/>
            <w:vAlign w:val="center"/>
          </w:tcPr>
          <w:p w14:paraId="7B0FCE27" w14:textId="28DB0D76"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lastRenderedPageBreak/>
              <w:t>2000</w:t>
            </w:r>
          </w:p>
        </w:tc>
        <w:tc>
          <w:tcPr>
            <w:tcW w:w="1276" w:type="dxa"/>
            <w:noWrap/>
            <w:vAlign w:val="center"/>
          </w:tcPr>
          <w:p w14:paraId="2864A7C7" w14:textId="77777777" w:rsidR="00BA4EAF" w:rsidRPr="00BA4EAF" w:rsidRDefault="00BA4EAF" w:rsidP="00BA4EAF">
            <w:pPr>
              <w:jc w:val="center"/>
              <w:rPr>
                <w:rFonts w:eastAsia="Times New Roman" w:cstheme="minorHAnsi"/>
                <w:color w:val="000000"/>
                <w:sz w:val="16"/>
                <w:szCs w:val="16"/>
                <w:lang w:val="en-GB" w:eastAsia="en-GB"/>
              </w:rPr>
            </w:pPr>
          </w:p>
        </w:tc>
        <w:tc>
          <w:tcPr>
            <w:tcW w:w="1418" w:type="dxa"/>
            <w:vAlign w:val="center"/>
          </w:tcPr>
          <w:p w14:paraId="38854FA4" w14:textId="77777777" w:rsidR="00BA4EAF" w:rsidRPr="00BA4EAF" w:rsidRDefault="00BA4EAF" w:rsidP="00BA4EAF">
            <w:pPr>
              <w:jc w:val="center"/>
              <w:rPr>
                <w:rFonts w:eastAsia="Times New Roman" w:cstheme="minorHAnsi"/>
                <w:color w:val="000000"/>
                <w:sz w:val="16"/>
                <w:szCs w:val="16"/>
                <w:lang w:val="en-GB" w:eastAsia="en-GB"/>
              </w:rPr>
            </w:pPr>
          </w:p>
        </w:tc>
        <w:tc>
          <w:tcPr>
            <w:tcW w:w="1559" w:type="dxa"/>
            <w:noWrap/>
            <w:vAlign w:val="center"/>
          </w:tcPr>
          <w:p w14:paraId="6D4D11F4" w14:textId="5B53A22D"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4.17 (2.83-5.93)</w:t>
            </w:r>
          </w:p>
        </w:tc>
        <w:tc>
          <w:tcPr>
            <w:tcW w:w="1417" w:type="dxa"/>
            <w:vAlign w:val="center"/>
          </w:tcPr>
          <w:p w14:paraId="40B6B381" w14:textId="328189A4"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211 (143-300)</w:t>
            </w:r>
          </w:p>
        </w:tc>
        <w:tc>
          <w:tcPr>
            <w:tcW w:w="1418" w:type="dxa"/>
            <w:noWrap/>
            <w:vAlign w:val="center"/>
          </w:tcPr>
          <w:p w14:paraId="3C112B10" w14:textId="2E8A24A2"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0.85 (0.23-2.26)</w:t>
            </w:r>
          </w:p>
        </w:tc>
        <w:tc>
          <w:tcPr>
            <w:tcW w:w="1134" w:type="dxa"/>
            <w:vAlign w:val="center"/>
          </w:tcPr>
          <w:p w14:paraId="79ADDE6C" w14:textId="04AC1C58"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25 (7-66)</w:t>
            </w:r>
          </w:p>
        </w:tc>
      </w:tr>
      <w:tr w:rsidR="00BA4EAF" w:rsidRPr="00BA4EAF" w14:paraId="693449F2" w14:textId="77777777" w:rsidTr="00F85C19">
        <w:trPr>
          <w:trHeight w:val="300"/>
        </w:trPr>
        <w:tc>
          <w:tcPr>
            <w:tcW w:w="567" w:type="dxa"/>
            <w:noWrap/>
            <w:vAlign w:val="center"/>
          </w:tcPr>
          <w:p w14:paraId="5A1FF72A" w14:textId="1605C00E"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2001</w:t>
            </w:r>
          </w:p>
        </w:tc>
        <w:tc>
          <w:tcPr>
            <w:tcW w:w="1276" w:type="dxa"/>
            <w:noWrap/>
            <w:vAlign w:val="center"/>
          </w:tcPr>
          <w:p w14:paraId="1759EA97" w14:textId="77777777" w:rsidR="00BA4EAF" w:rsidRPr="00BA4EAF" w:rsidRDefault="00BA4EAF" w:rsidP="00BA4EAF">
            <w:pPr>
              <w:jc w:val="center"/>
              <w:rPr>
                <w:rFonts w:eastAsia="Times New Roman" w:cstheme="minorHAnsi"/>
                <w:color w:val="000000"/>
                <w:sz w:val="16"/>
                <w:szCs w:val="16"/>
                <w:lang w:val="en-GB" w:eastAsia="en-GB"/>
              </w:rPr>
            </w:pPr>
          </w:p>
        </w:tc>
        <w:tc>
          <w:tcPr>
            <w:tcW w:w="1418" w:type="dxa"/>
            <w:vAlign w:val="center"/>
          </w:tcPr>
          <w:p w14:paraId="6F895EA5" w14:textId="77777777" w:rsidR="00BA4EAF" w:rsidRPr="00BA4EAF" w:rsidRDefault="00BA4EAF" w:rsidP="00BA4EAF">
            <w:pPr>
              <w:jc w:val="center"/>
              <w:rPr>
                <w:rFonts w:eastAsia="Times New Roman" w:cstheme="minorHAnsi"/>
                <w:color w:val="000000"/>
                <w:sz w:val="16"/>
                <w:szCs w:val="16"/>
                <w:lang w:val="en-GB" w:eastAsia="en-GB"/>
              </w:rPr>
            </w:pPr>
          </w:p>
        </w:tc>
        <w:tc>
          <w:tcPr>
            <w:tcW w:w="1559" w:type="dxa"/>
            <w:noWrap/>
            <w:vAlign w:val="center"/>
          </w:tcPr>
          <w:p w14:paraId="0400DE33" w14:textId="59C80601"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3.09 (2.23-4.51)</w:t>
            </w:r>
          </w:p>
        </w:tc>
        <w:tc>
          <w:tcPr>
            <w:tcW w:w="1417" w:type="dxa"/>
            <w:vAlign w:val="center"/>
          </w:tcPr>
          <w:p w14:paraId="3059008D" w14:textId="699B2A61"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156 (113-228)</w:t>
            </w:r>
          </w:p>
        </w:tc>
        <w:tc>
          <w:tcPr>
            <w:tcW w:w="1418" w:type="dxa"/>
            <w:noWrap/>
            <w:vAlign w:val="center"/>
          </w:tcPr>
          <w:p w14:paraId="6176F9A3" w14:textId="00B5B92A"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1.33 (0.50-2.91)</w:t>
            </w:r>
          </w:p>
        </w:tc>
        <w:tc>
          <w:tcPr>
            <w:tcW w:w="1134" w:type="dxa"/>
            <w:vAlign w:val="center"/>
          </w:tcPr>
          <w:p w14:paraId="2C53C8F1" w14:textId="568D1F47"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39 (15-85)</w:t>
            </w:r>
          </w:p>
        </w:tc>
      </w:tr>
      <w:tr w:rsidR="00BA4EAF" w:rsidRPr="00BA4EAF" w14:paraId="63B2A72A" w14:textId="77777777" w:rsidTr="00F85C19">
        <w:trPr>
          <w:trHeight w:val="300"/>
        </w:trPr>
        <w:tc>
          <w:tcPr>
            <w:tcW w:w="567" w:type="dxa"/>
            <w:noWrap/>
            <w:vAlign w:val="center"/>
          </w:tcPr>
          <w:p w14:paraId="005C3313" w14:textId="57C3E048"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2002</w:t>
            </w:r>
          </w:p>
        </w:tc>
        <w:tc>
          <w:tcPr>
            <w:tcW w:w="1276" w:type="dxa"/>
            <w:noWrap/>
            <w:vAlign w:val="center"/>
          </w:tcPr>
          <w:p w14:paraId="6C2018EC" w14:textId="77777777" w:rsidR="00BA4EAF" w:rsidRPr="00BA4EAF" w:rsidRDefault="00BA4EAF" w:rsidP="00BA4EAF">
            <w:pPr>
              <w:jc w:val="center"/>
              <w:rPr>
                <w:rFonts w:eastAsia="Times New Roman" w:cstheme="minorHAnsi"/>
                <w:color w:val="000000"/>
                <w:sz w:val="16"/>
                <w:szCs w:val="16"/>
                <w:lang w:val="en-GB" w:eastAsia="en-GB"/>
              </w:rPr>
            </w:pPr>
          </w:p>
        </w:tc>
        <w:tc>
          <w:tcPr>
            <w:tcW w:w="1418" w:type="dxa"/>
            <w:vAlign w:val="center"/>
          </w:tcPr>
          <w:p w14:paraId="2668F858" w14:textId="77777777" w:rsidR="00BA4EAF" w:rsidRPr="00BA4EAF" w:rsidRDefault="00BA4EAF" w:rsidP="00BA4EAF">
            <w:pPr>
              <w:jc w:val="center"/>
              <w:rPr>
                <w:rFonts w:eastAsia="Times New Roman" w:cstheme="minorHAnsi"/>
                <w:color w:val="000000"/>
                <w:sz w:val="16"/>
                <w:szCs w:val="16"/>
                <w:lang w:val="en-GB" w:eastAsia="en-GB"/>
              </w:rPr>
            </w:pPr>
          </w:p>
        </w:tc>
        <w:tc>
          <w:tcPr>
            <w:tcW w:w="1559" w:type="dxa"/>
            <w:noWrap/>
            <w:vAlign w:val="center"/>
          </w:tcPr>
          <w:p w14:paraId="240C0B55" w14:textId="7EF5C846"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5.70 (4.24-7.51)</w:t>
            </w:r>
          </w:p>
        </w:tc>
        <w:tc>
          <w:tcPr>
            <w:tcW w:w="1417" w:type="dxa"/>
            <w:vAlign w:val="center"/>
          </w:tcPr>
          <w:p w14:paraId="7D1B7AAA" w14:textId="361116CC"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289 (215-381)</w:t>
            </w:r>
          </w:p>
        </w:tc>
        <w:tc>
          <w:tcPr>
            <w:tcW w:w="1418" w:type="dxa"/>
            <w:noWrap/>
            <w:vAlign w:val="center"/>
          </w:tcPr>
          <w:p w14:paraId="223DD434" w14:textId="48A46334"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3.01 (1.65-5.10)</w:t>
            </w:r>
          </w:p>
        </w:tc>
        <w:tc>
          <w:tcPr>
            <w:tcW w:w="1134" w:type="dxa"/>
            <w:vAlign w:val="center"/>
          </w:tcPr>
          <w:p w14:paraId="39029FE4" w14:textId="657EAC96"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88 (48-149)</w:t>
            </w:r>
          </w:p>
        </w:tc>
      </w:tr>
      <w:tr w:rsidR="00BA4EAF" w:rsidRPr="00BA4EAF" w14:paraId="0721093D" w14:textId="77777777" w:rsidTr="00F85C19">
        <w:trPr>
          <w:trHeight w:val="300"/>
        </w:trPr>
        <w:tc>
          <w:tcPr>
            <w:tcW w:w="567" w:type="dxa"/>
            <w:noWrap/>
            <w:vAlign w:val="center"/>
          </w:tcPr>
          <w:p w14:paraId="31FEFBDC" w14:textId="196C1B5D"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2003</w:t>
            </w:r>
          </w:p>
        </w:tc>
        <w:tc>
          <w:tcPr>
            <w:tcW w:w="1276" w:type="dxa"/>
            <w:noWrap/>
            <w:vAlign w:val="center"/>
          </w:tcPr>
          <w:p w14:paraId="1E10F7FF" w14:textId="77777777" w:rsidR="00BA4EAF" w:rsidRPr="00BA4EAF" w:rsidRDefault="00BA4EAF" w:rsidP="00BA4EAF">
            <w:pPr>
              <w:jc w:val="center"/>
              <w:rPr>
                <w:rFonts w:eastAsia="Times New Roman" w:cstheme="minorHAnsi"/>
                <w:color w:val="000000"/>
                <w:sz w:val="16"/>
                <w:szCs w:val="16"/>
                <w:lang w:val="en-GB" w:eastAsia="en-GB"/>
              </w:rPr>
            </w:pPr>
          </w:p>
        </w:tc>
        <w:tc>
          <w:tcPr>
            <w:tcW w:w="1418" w:type="dxa"/>
            <w:vAlign w:val="center"/>
          </w:tcPr>
          <w:p w14:paraId="0C06B9A5" w14:textId="77777777" w:rsidR="00BA4EAF" w:rsidRPr="00BA4EAF" w:rsidRDefault="00BA4EAF" w:rsidP="00BA4EAF">
            <w:pPr>
              <w:jc w:val="center"/>
              <w:rPr>
                <w:rFonts w:eastAsia="Times New Roman" w:cstheme="minorHAnsi"/>
                <w:color w:val="000000"/>
                <w:sz w:val="16"/>
                <w:szCs w:val="16"/>
                <w:lang w:val="en-GB" w:eastAsia="en-GB"/>
              </w:rPr>
            </w:pPr>
          </w:p>
        </w:tc>
        <w:tc>
          <w:tcPr>
            <w:tcW w:w="1559" w:type="dxa"/>
            <w:noWrap/>
            <w:vAlign w:val="center"/>
          </w:tcPr>
          <w:p w14:paraId="790CB7C5" w14:textId="47AFE982"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4.17 (2.96-5.73)</w:t>
            </w:r>
          </w:p>
        </w:tc>
        <w:tc>
          <w:tcPr>
            <w:tcW w:w="1417" w:type="dxa"/>
            <w:vAlign w:val="center"/>
          </w:tcPr>
          <w:p w14:paraId="77F2EFAF" w14:textId="429DF319"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211 (150-290)</w:t>
            </w:r>
          </w:p>
        </w:tc>
        <w:tc>
          <w:tcPr>
            <w:tcW w:w="1418" w:type="dxa"/>
            <w:noWrap/>
            <w:vAlign w:val="center"/>
          </w:tcPr>
          <w:p w14:paraId="3DE1F4CD" w14:textId="4083DBE0"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0.61 (0.17-1.64)</w:t>
            </w:r>
          </w:p>
        </w:tc>
        <w:tc>
          <w:tcPr>
            <w:tcW w:w="1134" w:type="dxa"/>
            <w:vAlign w:val="center"/>
          </w:tcPr>
          <w:p w14:paraId="2079296D" w14:textId="1D96F964"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18 (5-48)</w:t>
            </w:r>
          </w:p>
        </w:tc>
      </w:tr>
      <w:tr w:rsidR="00BA4EAF" w:rsidRPr="00BA4EAF" w14:paraId="650DAB2D" w14:textId="77777777" w:rsidTr="00F85C19">
        <w:trPr>
          <w:trHeight w:val="300"/>
        </w:trPr>
        <w:tc>
          <w:tcPr>
            <w:tcW w:w="567" w:type="dxa"/>
            <w:noWrap/>
            <w:vAlign w:val="center"/>
          </w:tcPr>
          <w:p w14:paraId="067B579F" w14:textId="586CD1EF"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2004</w:t>
            </w:r>
          </w:p>
        </w:tc>
        <w:tc>
          <w:tcPr>
            <w:tcW w:w="1276" w:type="dxa"/>
            <w:noWrap/>
            <w:vAlign w:val="center"/>
          </w:tcPr>
          <w:p w14:paraId="44DD19FF" w14:textId="77777777" w:rsidR="00BA4EAF" w:rsidRPr="00BA4EAF" w:rsidRDefault="00BA4EAF" w:rsidP="00BA4EAF">
            <w:pPr>
              <w:jc w:val="center"/>
              <w:rPr>
                <w:rFonts w:eastAsia="Times New Roman" w:cstheme="minorHAnsi"/>
                <w:color w:val="000000"/>
                <w:sz w:val="16"/>
                <w:szCs w:val="16"/>
                <w:lang w:val="en-GB" w:eastAsia="en-GB"/>
              </w:rPr>
            </w:pPr>
          </w:p>
        </w:tc>
        <w:tc>
          <w:tcPr>
            <w:tcW w:w="1418" w:type="dxa"/>
            <w:vAlign w:val="center"/>
          </w:tcPr>
          <w:p w14:paraId="713B1E0E" w14:textId="77777777" w:rsidR="00BA4EAF" w:rsidRPr="00BA4EAF" w:rsidRDefault="00BA4EAF" w:rsidP="00BA4EAF">
            <w:pPr>
              <w:jc w:val="center"/>
              <w:rPr>
                <w:rFonts w:eastAsia="Times New Roman" w:cstheme="minorHAnsi"/>
                <w:color w:val="000000"/>
                <w:sz w:val="16"/>
                <w:szCs w:val="16"/>
                <w:lang w:val="en-GB" w:eastAsia="en-GB"/>
              </w:rPr>
            </w:pPr>
          </w:p>
        </w:tc>
        <w:tc>
          <w:tcPr>
            <w:tcW w:w="1559" w:type="dxa"/>
            <w:noWrap/>
            <w:vAlign w:val="center"/>
          </w:tcPr>
          <w:p w14:paraId="03FCF7CD" w14:textId="43EA4313"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5.59 (4.20-7.31)</w:t>
            </w:r>
          </w:p>
        </w:tc>
        <w:tc>
          <w:tcPr>
            <w:tcW w:w="1417" w:type="dxa"/>
            <w:vAlign w:val="center"/>
          </w:tcPr>
          <w:p w14:paraId="1ABB1891" w14:textId="0D1C1043"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284 (214-372)</w:t>
            </w:r>
          </w:p>
        </w:tc>
        <w:tc>
          <w:tcPr>
            <w:tcW w:w="1418" w:type="dxa"/>
            <w:noWrap/>
            <w:vAlign w:val="center"/>
          </w:tcPr>
          <w:p w14:paraId="16AA22C8" w14:textId="08A8A473"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0.90 (0.34-1.97)</w:t>
            </w:r>
          </w:p>
        </w:tc>
        <w:tc>
          <w:tcPr>
            <w:tcW w:w="1134" w:type="dxa"/>
            <w:vAlign w:val="center"/>
          </w:tcPr>
          <w:p w14:paraId="18051DAA" w14:textId="48B9758A"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27 (10-58)</w:t>
            </w:r>
          </w:p>
        </w:tc>
      </w:tr>
      <w:tr w:rsidR="00BA4EAF" w:rsidRPr="00BA4EAF" w14:paraId="6CFA729B" w14:textId="77777777" w:rsidTr="00F85C19">
        <w:trPr>
          <w:trHeight w:val="300"/>
        </w:trPr>
        <w:tc>
          <w:tcPr>
            <w:tcW w:w="567" w:type="dxa"/>
            <w:noWrap/>
            <w:vAlign w:val="center"/>
          </w:tcPr>
          <w:p w14:paraId="2CCA8D84" w14:textId="5F0B8770"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2005</w:t>
            </w:r>
          </w:p>
        </w:tc>
        <w:tc>
          <w:tcPr>
            <w:tcW w:w="1276" w:type="dxa"/>
            <w:noWrap/>
            <w:vAlign w:val="center"/>
          </w:tcPr>
          <w:p w14:paraId="71A3C895" w14:textId="77777777" w:rsidR="00BA4EAF" w:rsidRPr="00BA4EAF" w:rsidRDefault="00BA4EAF" w:rsidP="00BA4EAF">
            <w:pPr>
              <w:jc w:val="center"/>
              <w:rPr>
                <w:rFonts w:eastAsia="Times New Roman" w:cstheme="minorHAnsi"/>
                <w:color w:val="000000"/>
                <w:sz w:val="16"/>
                <w:szCs w:val="16"/>
                <w:lang w:val="en-GB" w:eastAsia="en-GB"/>
              </w:rPr>
            </w:pPr>
          </w:p>
        </w:tc>
        <w:tc>
          <w:tcPr>
            <w:tcW w:w="1418" w:type="dxa"/>
            <w:vAlign w:val="center"/>
          </w:tcPr>
          <w:p w14:paraId="3352EED8" w14:textId="77777777" w:rsidR="00BA4EAF" w:rsidRPr="00BA4EAF" w:rsidRDefault="00BA4EAF" w:rsidP="00BA4EAF">
            <w:pPr>
              <w:jc w:val="center"/>
              <w:rPr>
                <w:rFonts w:eastAsia="Times New Roman" w:cstheme="minorHAnsi"/>
                <w:color w:val="000000"/>
                <w:sz w:val="16"/>
                <w:szCs w:val="16"/>
                <w:lang w:val="en-GB" w:eastAsia="en-GB"/>
              </w:rPr>
            </w:pPr>
          </w:p>
        </w:tc>
        <w:tc>
          <w:tcPr>
            <w:tcW w:w="1559" w:type="dxa"/>
            <w:noWrap/>
            <w:vAlign w:val="center"/>
          </w:tcPr>
          <w:p w14:paraId="0FA1B1E8" w14:textId="0DDF1DF5"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8.62 (6.87-10.68)</w:t>
            </w:r>
          </w:p>
        </w:tc>
        <w:tc>
          <w:tcPr>
            <w:tcW w:w="1417" w:type="dxa"/>
            <w:vAlign w:val="center"/>
          </w:tcPr>
          <w:p w14:paraId="4932D82A" w14:textId="438CE5EB"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440 (351-546)</w:t>
            </w:r>
          </w:p>
        </w:tc>
        <w:tc>
          <w:tcPr>
            <w:tcW w:w="1418" w:type="dxa"/>
            <w:noWrap/>
            <w:vAlign w:val="center"/>
          </w:tcPr>
          <w:p w14:paraId="3E9B96A7" w14:textId="0F5D3EC4"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1.40 (0.66-2.64)</w:t>
            </w:r>
          </w:p>
        </w:tc>
        <w:tc>
          <w:tcPr>
            <w:tcW w:w="1134" w:type="dxa"/>
            <w:vAlign w:val="center"/>
          </w:tcPr>
          <w:p w14:paraId="71EF64E0" w14:textId="073DA93E"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42 (20-78)</w:t>
            </w:r>
          </w:p>
        </w:tc>
      </w:tr>
      <w:tr w:rsidR="00BA4EAF" w:rsidRPr="00BA4EAF" w14:paraId="3D569BC0" w14:textId="77777777" w:rsidTr="00F85C19">
        <w:trPr>
          <w:trHeight w:val="300"/>
        </w:trPr>
        <w:tc>
          <w:tcPr>
            <w:tcW w:w="567" w:type="dxa"/>
            <w:noWrap/>
            <w:vAlign w:val="center"/>
          </w:tcPr>
          <w:p w14:paraId="37213E1B" w14:textId="3EA1E8BF"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2006</w:t>
            </w:r>
          </w:p>
        </w:tc>
        <w:tc>
          <w:tcPr>
            <w:tcW w:w="1276" w:type="dxa"/>
            <w:noWrap/>
            <w:vAlign w:val="center"/>
          </w:tcPr>
          <w:p w14:paraId="11585D57" w14:textId="77777777" w:rsidR="00BA4EAF" w:rsidRPr="00BA4EAF" w:rsidRDefault="00BA4EAF" w:rsidP="00BA4EAF">
            <w:pPr>
              <w:jc w:val="center"/>
              <w:rPr>
                <w:rFonts w:eastAsia="Times New Roman" w:cstheme="minorHAnsi"/>
                <w:color w:val="000000"/>
                <w:sz w:val="16"/>
                <w:szCs w:val="16"/>
                <w:lang w:val="en-GB" w:eastAsia="en-GB"/>
              </w:rPr>
            </w:pPr>
          </w:p>
        </w:tc>
        <w:tc>
          <w:tcPr>
            <w:tcW w:w="1418" w:type="dxa"/>
            <w:vAlign w:val="center"/>
          </w:tcPr>
          <w:p w14:paraId="060189AE" w14:textId="77777777" w:rsidR="00BA4EAF" w:rsidRPr="00BA4EAF" w:rsidRDefault="00BA4EAF" w:rsidP="00BA4EAF">
            <w:pPr>
              <w:jc w:val="center"/>
              <w:rPr>
                <w:rFonts w:eastAsia="Times New Roman" w:cstheme="minorHAnsi"/>
                <w:color w:val="000000"/>
                <w:sz w:val="16"/>
                <w:szCs w:val="16"/>
                <w:lang w:val="en-GB" w:eastAsia="en-GB"/>
              </w:rPr>
            </w:pPr>
          </w:p>
        </w:tc>
        <w:tc>
          <w:tcPr>
            <w:tcW w:w="1559" w:type="dxa"/>
            <w:noWrap/>
            <w:vAlign w:val="center"/>
          </w:tcPr>
          <w:p w14:paraId="040B9F19" w14:textId="6392604D"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8.22 (6.54-10.22)</w:t>
            </w:r>
          </w:p>
        </w:tc>
        <w:tc>
          <w:tcPr>
            <w:tcW w:w="1417" w:type="dxa"/>
            <w:vAlign w:val="center"/>
          </w:tcPr>
          <w:p w14:paraId="4CE32F1D" w14:textId="01854D55"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422 (336-525)</w:t>
            </w:r>
          </w:p>
        </w:tc>
        <w:tc>
          <w:tcPr>
            <w:tcW w:w="1418" w:type="dxa"/>
            <w:noWrap/>
            <w:vAlign w:val="center"/>
          </w:tcPr>
          <w:p w14:paraId="42934BBE" w14:textId="71F463CF"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1.34 (0.63-2.53)</w:t>
            </w:r>
          </w:p>
        </w:tc>
        <w:tc>
          <w:tcPr>
            <w:tcW w:w="1134" w:type="dxa"/>
            <w:vAlign w:val="center"/>
          </w:tcPr>
          <w:p w14:paraId="27CD9A8E" w14:textId="47A5E34D"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40 (19-76)</w:t>
            </w:r>
          </w:p>
        </w:tc>
      </w:tr>
      <w:tr w:rsidR="00BA4EAF" w:rsidRPr="00BA4EAF" w14:paraId="184499F5" w14:textId="77777777" w:rsidTr="00F85C19">
        <w:trPr>
          <w:trHeight w:val="300"/>
        </w:trPr>
        <w:tc>
          <w:tcPr>
            <w:tcW w:w="567" w:type="dxa"/>
            <w:noWrap/>
            <w:vAlign w:val="center"/>
          </w:tcPr>
          <w:p w14:paraId="216F36D1" w14:textId="1AD30C12"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2007</w:t>
            </w:r>
          </w:p>
        </w:tc>
        <w:tc>
          <w:tcPr>
            <w:tcW w:w="1276" w:type="dxa"/>
            <w:noWrap/>
            <w:vAlign w:val="center"/>
          </w:tcPr>
          <w:p w14:paraId="4296BB61" w14:textId="77777777" w:rsidR="00BA4EAF" w:rsidRPr="00BA4EAF" w:rsidRDefault="00BA4EAF" w:rsidP="00BA4EAF">
            <w:pPr>
              <w:jc w:val="center"/>
              <w:rPr>
                <w:rFonts w:eastAsia="Times New Roman" w:cstheme="minorHAnsi"/>
                <w:color w:val="000000"/>
                <w:sz w:val="16"/>
                <w:szCs w:val="16"/>
                <w:lang w:val="en-GB" w:eastAsia="en-GB"/>
              </w:rPr>
            </w:pPr>
          </w:p>
        </w:tc>
        <w:tc>
          <w:tcPr>
            <w:tcW w:w="1418" w:type="dxa"/>
            <w:vAlign w:val="center"/>
          </w:tcPr>
          <w:p w14:paraId="2B9F4EB5" w14:textId="77777777" w:rsidR="00BA4EAF" w:rsidRPr="00BA4EAF" w:rsidRDefault="00BA4EAF" w:rsidP="00BA4EAF">
            <w:pPr>
              <w:jc w:val="center"/>
              <w:rPr>
                <w:rFonts w:eastAsia="Times New Roman" w:cstheme="minorHAnsi"/>
                <w:color w:val="000000"/>
                <w:sz w:val="16"/>
                <w:szCs w:val="16"/>
                <w:lang w:val="en-GB" w:eastAsia="en-GB"/>
              </w:rPr>
            </w:pPr>
          </w:p>
        </w:tc>
        <w:tc>
          <w:tcPr>
            <w:tcW w:w="1559" w:type="dxa"/>
            <w:noWrap/>
            <w:vAlign w:val="center"/>
          </w:tcPr>
          <w:p w14:paraId="199B40C3" w14:textId="420DE3F4"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9.03 (7.30-11.06)</w:t>
            </w:r>
          </w:p>
        </w:tc>
        <w:tc>
          <w:tcPr>
            <w:tcW w:w="1417" w:type="dxa"/>
            <w:vAlign w:val="center"/>
          </w:tcPr>
          <w:p w14:paraId="7410257F" w14:textId="29EEDF75"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467 (377-572)</w:t>
            </w:r>
          </w:p>
        </w:tc>
        <w:tc>
          <w:tcPr>
            <w:tcW w:w="1418" w:type="dxa"/>
            <w:noWrap/>
            <w:vAlign w:val="center"/>
          </w:tcPr>
          <w:p w14:paraId="2A7B5CDE" w14:textId="4BFF60D9"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1.42 (0.70-2.58)</w:t>
            </w:r>
          </w:p>
        </w:tc>
        <w:tc>
          <w:tcPr>
            <w:tcW w:w="1134" w:type="dxa"/>
            <w:vAlign w:val="center"/>
          </w:tcPr>
          <w:p w14:paraId="59A6817F" w14:textId="1F333A67"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43 (21-78)</w:t>
            </w:r>
          </w:p>
        </w:tc>
      </w:tr>
      <w:tr w:rsidR="00BA4EAF" w:rsidRPr="00BA4EAF" w14:paraId="29E47249" w14:textId="77777777" w:rsidTr="00F85C19">
        <w:trPr>
          <w:trHeight w:val="300"/>
        </w:trPr>
        <w:tc>
          <w:tcPr>
            <w:tcW w:w="567" w:type="dxa"/>
            <w:noWrap/>
            <w:vAlign w:val="center"/>
          </w:tcPr>
          <w:p w14:paraId="4ABF666A" w14:textId="3C0121A1"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2008</w:t>
            </w:r>
          </w:p>
        </w:tc>
        <w:tc>
          <w:tcPr>
            <w:tcW w:w="1276" w:type="dxa"/>
            <w:noWrap/>
            <w:vAlign w:val="center"/>
          </w:tcPr>
          <w:p w14:paraId="2BC8CCD2" w14:textId="77777777" w:rsidR="00BA4EAF" w:rsidRPr="00BA4EAF" w:rsidRDefault="00BA4EAF" w:rsidP="00BA4EAF">
            <w:pPr>
              <w:jc w:val="center"/>
              <w:rPr>
                <w:rFonts w:eastAsia="Times New Roman" w:cstheme="minorHAnsi"/>
                <w:color w:val="000000"/>
                <w:sz w:val="16"/>
                <w:szCs w:val="16"/>
                <w:lang w:val="en-GB" w:eastAsia="en-GB"/>
              </w:rPr>
            </w:pPr>
          </w:p>
        </w:tc>
        <w:tc>
          <w:tcPr>
            <w:tcW w:w="1418" w:type="dxa"/>
            <w:vAlign w:val="center"/>
          </w:tcPr>
          <w:p w14:paraId="51667133" w14:textId="77777777" w:rsidR="00BA4EAF" w:rsidRPr="00BA4EAF" w:rsidRDefault="00BA4EAF" w:rsidP="00BA4EAF">
            <w:pPr>
              <w:jc w:val="center"/>
              <w:rPr>
                <w:rFonts w:eastAsia="Times New Roman" w:cstheme="minorHAnsi"/>
                <w:color w:val="000000"/>
                <w:sz w:val="16"/>
                <w:szCs w:val="16"/>
                <w:lang w:val="en-GB" w:eastAsia="en-GB"/>
              </w:rPr>
            </w:pPr>
          </w:p>
        </w:tc>
        <w:tc>
          <w:tcPr>
            <w:tcW w:w="1559" w:type="dxa"/>
            <w:noWrap/>
            <w:vAlign w:val="center"/>
          </w:tcPr>
          <w:p w14:paraId="6211945B" w14:textId="0B544588"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10.13 (8.31-12.23)</w:t>
            </w:r>
          </w:p>
        </w:tc>
        <w:tc>
          <w:tcPr>
            <w:tcW w:w="1417" w:type="dxa"/>
            <w:vAlign w:val="center"/>
          </w:tcPr>
          <w:p w14:paraId="5775574D" w14:textId="3AFC2A27"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527 (432-636)</w:t>
            </w:r>
          </w:p>
        </w:tc>
        <w:tc>
          <w:tcPr>
            <w:tcW w:w="1418" w:type="dxa"/>
            <w:noWrap/>
            <w:vAlign w:val="center"/>
          </w:tcPr>
          <w:p w14:paraId="4BA3028F" w14:textId="76E9F966"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0.91 (0.38-1.87)</w:t>
            </w:r>
          </w:p>
        </w:tc>
        <w:tc>
          <w:tcPr>
            <w:tcW w:w="1134" w:type="dxa"/>
            <w:vAlign w:val="center"/>
          </w:tcPr>
          <w:p w14:paraId="47A5FCC5" w14:textId="0911B917"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28 (11-57)</w:t>
            </w:r>
          </w:p>
        </w:tc>
      </w:tr>
      <w:tr w:rsidR="00BA4EAF" w:rsidRPr="00BA4EAF" w14:paraId="6737A771" w14:textId="77777777" w:rsidTr="00F85C19">
        <w:trPr>
          <w:trHeight w:val="300"/>
        </w:trPr>
        <w:tc>
          <w:tcPr>
            <w:tcW w:w="567" w:type="dxa"/>
            <w:noWrap/>
            <w:vAlign w:val="center"/>
          </w:tcPr>
          <w:p w14:paraId="722404D6" w14:textId="5D1F9A67"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2009</w:t>
            </w:r>
          </w:p>
        </w:tc>
        <w:tc>
          <w:tcPr>
            <w:tcW w:w="1276" w:type="dxa"/>
            <w:noWrap/>
            <w:vAlign w:val="center"/>
          </w:tcPr>
          <w:p w14:paraId="6ADA6C04" w14:textId="77777777" w:rsidR="00BA4EAF" w:rsidRPr="00BA4EAF" w:rsidRDefault="00BA4EAF" w:rsidP="00BA4EAF">
            <w:pPr>
              <w:jc w:val="center"/>
              <w:rPr>
                <w:rFonts w:eastAsia="Times New Roman" w:cstheme="minorHAnsi"/>
                <w:color w:val="000000"/>
                <w:sz w:val="16"/>
                <w:szCs w:val="16"/>
                <w:lang w:val="en-GB" w:eastAsia="en-GB"/>
              </w:rPr>
            </w:pPr>
          </w:p>
        </w:tc>
        <w:tc>
          <w:tcPr>
            <w:tcW w:w="1418" w:type="dxa"/>
            <w:vAlign w:val="center"/>
          </w:tcPr>
          <w:p w14:paraId="586ED368" w14:textId="77777777" w:rsidR="00BA4EAF" w:rsidRPr="00BA4EAF" w:rsidRDefault="00BA4EAF" w:rsidP="00BA4EAF">
            <w:pPr>
              <w:jc w:val="center"/>
              <w:rPr>
                <w:rFonts w:eastAsia="Times New Roman" w:cstheme="minorHAnsi"/>
                <w:color w:val="000000"/>
                <w:sz w:val="16"/>
                <w:szCs w:val="16"/>
                <w:lang w:val="en-GB" w:eastAsia="en-GB"/>
              </w:rPr>
            </w:pPr>
          </w:p>
        </w:tc>
        <w:tc>
          <w:tcPr>
            <w:tcW w:w="1559" w:type="dxa"/>
            <w:noWrap/>
            <w:vAlign w:val="center"/>
          </w:tcPr>
          <w:p w14:paraId="2EB123A9" w14:textId="07F664BA"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11.00 (9.11-13.16)</w:t>
            </w:r>
          </w:p>
        </w:tc>
        <w:tc>
          <w:tcPr>
            <w:tcW w:w="1417" w:type="dxa"/>
            <w:vAlign w:val="center"/>
          </w:tcPr>
          <w:p w14:paraId="5CB1CCEE" w14:textId="1282DDFC"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576 (477-689)</w:t>
            </w:r>
          </w:p>
        </w:tc>
        <w:tc>
          <w:tcPr>
            <w:tcW w:w="1418" w:type="dxa"/>
            <w:noWrap/>
            <w:vAlign w:val="center"/>
          </w:tcPr>
          <w:p w14:paraId="2C0FABB1" w14:textId="418AB8AE"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1.47 (0.76-2.62)</w:t>
            </w:r>
          </w:p>
        </w:tc>
        <w:tc>
          <w:tcPr>
            <w:tcW w:w="1134" w:type="dxa"/>
            <w:vAlign w:val="center"/>
          </w:tcPr>
          <w:p w14:paraId="703A67FC" w14:textId="01DBC488"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45 (23-80)</w:t>
            </w:r>
          </w:p>
        </w:tc>
      </w:tr>
      <w:tr w:rsidR="00BA4EAF" w:rsidRPr="00BA4EAF" w14:paraId="5BB94CA8" w14:textId="77777777" w:rsidTr="00F85C19">
        <w:trPr>
          <w:trHeight w:val="300"/>
        </w:trPr>
        <w:tc>
          <w:tcPr>
            <w:tcW w:w="567" w:type="dxa"/>
            <w:noWrap/>
            <w:vAlign w:val="center"/>
          </w:tcPr>
          <w:p w14:paraId="7B19BF4B" w14:textId="6EBEB586"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2010</w:t>
            </w:r>
          </w:p>
        </w:tc>
        <w:tc>
          <w:tcPr>
            <w:tcW w:w="1276" w:type="dxa"/>
            <w:noWrap/>
            <w:vAlign w:val="center"/>
          </w:tcPr>
          <w:p w14:paraId="25CC9583" w14:textId="77777777" w:rsidR="00BA4EAF" w:rsidRPr="00BA4EAF" w:rsidRDefault="00BA4EAF" w:rsidP="00BA4EAF">
            <w:pPr>
              <w:jc w:val="center"/>
              <w:rPr>
                <w:rFonts w:eastAsia="Times New Roman" w:cstheme="minorHAnsi"/>
                <w:color w:val="000000"/>
                <w:sz w:val="16"/>
                <w:szCs w:val="16"/>
                <w:lang w:val="en-GB" w:eastAsia="en-GB"/>
              </w:rPr>
            </w:pPr>
          </w:p>
        </w:tc>
        <w:tc>
          <w:tcPr>
            <w:tcW w:w="1418" w:type="dxa"/>
            <w:vAlign w:val="center"/>
          </w:tcPr>
          <w:p w14:paraId="34908068" w14:textId="77777777" w:rsidR="00BA4EAF" w:rsidRPr="00BA4EAF" w:rsidRDefault="00BA4EAF" w:rsidP="00BA4EAF">
            <w:pPr>
              <w:jc w:val="center"/>
              <w:rPr>
                <w:rFonts w:eastAsia="Times New Roman" w:cstheme="minorHAnsi"/>
                <w:color w:val="000000"/>
                <w:sz w:val="16"/>
                <w:szCs w:val="16"/>
                <w:lang w:val="en-GB" w:eastAsia="en-GB"/>
              </w:rPr>
            </w:pPr>
          </w:p>
        </w:tc>
        <w:tc>
          <w:tcPr>
            <w:tcW w:w="1559" w:type="dxa"/>
            <w:noWrap/>
            <w:vAlign w:val="center"/>
          </w:tcPr>
          <w:p w14:paraId="269AEA01" w14:textId="670F364C"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10.06 (8.27-12.13)</w:t>
            </w:r>
          </w:p>
        </w:tc>
        <w:tc>
          <w:tcPr>
            <w:tcW w:w="1417" w:type="dxa"/>
            <w:vAlign w:val="center"/>
          </w:tcPr>
          <w:p w14:paraId="200FE223" w14:textId="4DA2F7D9"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529 (435-638)</w:t>
            </w:r>
          </w:p>
        </w:tc>
        <w:tc>
          <w:tcPr>
            <w:tcW w:w="1418" w:type="dxa"/>
            <w:noWrap/>
            <w:vAlign w:val="center"/>
          </w:tcPr>
          <w:p w14:paraId="1C630DEB" w14:textId="000B2271"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2.43 (1.47-3.80)</w:t>
            </w:r>
          </w:p>
        </w:tc>
        <w:tc>
          <w:tcPr>
            <w:tcW w:w="1134" w:type="dxa"/>
            <w:vAlign w:val="center"/>
          </w:tcPr>
          <w:p w14:paraId="1F19A280" w14:textId="4634FE06"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74 (45-116)</w:t>
            </w:r>
          </w:p>
        </w:tc>
      </w:tr>
      <w:tr w:rsidR="00BA4EAF" w:rsidRPr="00BA4EAF" w14:paraId="5504767A" w14:textId="77777777" w:rsidTr="00F85C19">
        <w:trPr>
          <w:trHeight w:val="300"/>
        </w:trPr>
        <w:tc>
          <w:tcPr>
            <w:tcW w:w="567" w:type="dxa"/>
            <w:noWrap/>
            <w:vAlign w:val="center"/>
          </w:tcPr>
          <w:p w14:paraId="15C1D53F" w14:textId="27420E66"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2011</w:t>
            </w:r>
          </w:p>
        </w:tc>
        <w:tc>
          <w:tcPr>
            <w:tcW w:w="1276" w:type="dxa"/>
            <w:noWrap/>
            <w:vAlign w:val="center"/>
          </w:tcPr>
          <w:p w14:paraId="481E89A2" w14:textId="77777777" w:rsidR="00BA4EAF" w:rsidRPr="00BA4EAF" w:rsidRDefault="00BA4EAF" w:rsidP="00BA4EAF">
            <w:pPr>
              <w:jc w:val="center"/>
              <w:rPr>
                <w:rFonts w:eastAsia="Times New Roman" w:cstheme="minorHAnsi"/>
                <w:color w:val="000000"/>
                <w:sz w:val="16"/>
                <w:szCs w:val="16"/>
                <w:lang w:val="en-GB" w:eastAsia="en-GB"/>
              </w:rPr>
            </w:pPr>
          </w:p>
        </w:tc>
        <w:tc>
          <w:tcPr>
            <w:tcW w:w="1418" w:type="dxa"/>
            <w:vAlign w:val="center"/>
          </w:tcPr>
          <w:p w14:paraId="5692EB16" w14:textId="77777777" w:rsidR="00BA4EAF" w:rsidRPr="00BA4EAF" w:rsidRDefault="00BA4EAF" w:rsidP="00BA4EAF">
            <w:pPr>
              <w:jc w:val="center"/>
              <w:rPr>
                <w:rFonts w:eastAsia="Times New Roman" w:cstheme="minorHAnsi"/>
                <w:color w:val="000000"/>
                <w:sz w:val="16"/>
                <w:szCs w:val="16"/>
                <w:lang w:val="en-GB" w:eastAsia="en-GB"/>
              </w:rPr>
            </w:pPr>
          </w:p>
        </w:tc>
        <w:tc>
          <w:tcPr>
            <w:tcW w:w="1559" w:type="dxa"/>
            <w:noWrap/>
            <w:vAlign w:val="center"/>
          </w:tcPr>
          <w:p w14:paraId="5D517FA9" w14:textId="7A021620"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11.37 (9.46-13.55)</w:t>
            </w:r>
          </w:p>
        </w:tc>
        <w:tc>
          <w:tcPr>
            <w:tcW w:w="1417" w:type="dxa"/>
            <w:vAlign w:val="center"/>
          </w:tcPr>
          <w:p w14:paraId="1A9B59FA" w14:textId="3D17D152"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603 (501-718)</w:t>
            </w:r>
          </w:p>
        </w:tc>
        <w:tc>
          <w:tcPr>
            <w:tcW w:w="1418" w:type="dxa"/>
            <w:noWrap/>
            <w:vAlign w:val="center"/>
          </w:tcPr>
          <w:p w14:paraId="54D78EA8" w14:textId="55C60ED4"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1.13 (0.53-2.13)</w:t>
            </w:r>
          </w:p>
        </w:tc>
        <w:tc>
          <w:tcPr>
            <w:tcW w:w="1134" w:type="dxa"/>
            <w:vAlign w:val="center"/>
          </w:tcPr>
          <w:p w14:paraId="6C889DC4" w14:textId="2A33C544"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35 (16-65)</w:t>
            </w:r>
          </w:p>
        </w:tc>
      </w:tr>
      <w:tr w:rsidR="00BA4EAF" w:rsidRPr="00BA4EAF" w14:paraId="4AE4CEA4" w14:textId="77777777" w:rsidTr="00F85C19">
        <w:trPr>
          <w:trHeight w:val="300"/>
        </w:trPr>
        <w:tc>
          <w:tcPr>
            <w:tcW w:w="567" w:type="dxa"/>
            <w:noWrap/>
            <w:vAlign w:val="center"/>
          </w:tcPr>
          <w:p w14:paraId="4AE23575" w14:textId="46D84271"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2012</w:t>
            </w:r>
          </w:p>
        </w:tc>
        <w:tc>
          <w:tcPr>
            <w:tcW w:w="1276" w:type="dxa"/>
            <w:noWrap/>
            <w:vAlign w:val="center"/>
          </w:tcPr>
          <w:p w14:paraId="6329939B" w14:textId="77777777" w:rsidR="00BA4EAF" w:rsidRPr="00BA4EAF" w:rsidRDefault="00BA4EAF" w:rsidP="00BA4EAF">
            <w:pPr>
              <w:jc w:val="center"/>
              <w:rPr>
                <w:rFonts w:eastAsia="Times New Roman" w:cstheme="minorHAnsi"/>
                <w:color w:val="000000"/>
                <w:sz w:val="16"/>
                <w:szCs w:val="16"/>
                <w:lang w:val="en-GB" w:eastAsia="en-GB"/>
              </w:rPr>
            </w:pPr>
          </w:p>
        </w:tc>
        <w:tc>
          <w:tcPr>
            <w:tcW w:w="1418" w:type="dxa"/>
            <w:vAlign w:val="center"/>
          </w:tcPr>
          <w:p w14:paraId="4D1093CC" w14:textId="77777777" w:rsidR="00BA4EAF" w:rsidRPr="00BA4EAF" w:rsidRDefault="00BA4EAF" w:rsidP="00BA4EAF">
            <w:pPr>
              <w:jc w:val="center"/>
              <w:rPr>
                <w:rFonts w:eastAsia="Times New Roman" w:cstheme="minorHAnsi"/>
                <w:color w:val="000000"/>
                <w:sz w:val="16"/>
                <w:szCs w:val="16"/>
                <w:lang w:val="en-GB" w:eastAsia="en-GB"/>
              </w:rPr>
            </w:pPr>
          </w:p>
        </w:tc>
        <w:tc>
          <w:tcPr>
            <w:tcW w:w="1559" w:type="dxa"/>
            <w:noWrap/>
            <w:vAlign w:val="center"/>
          </w:tcPr>
          <w:p w14:paraId="1002E7EE" w14:textId="1F238AE9"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8.18 (6.59-10.03)</w:t>
            </w:r>
          </w:p>
        </w:tc>
        <w:tc>
          <w:tcPr>
            <w:tcW w:w="1417" w:type="dxa"/>
            <w:vAlign w:val="center"/>
          </w:tcPr>
          <w:p w14:paraId="5A8861BD" w14:textId="3194D1E1"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435 (350-533)</w:t>
            </w:r>
          </w:p>
        </w:tc>
        <w:tc>
          <w:tcPr>
            <w:tcW w:w="1418" w:type="dxa"/>
            <w:noWrap/>
            <w:vAlign w:val="center"/>
          </w:tcPr>
          <w:p w14:paraId="3D1A660E" w14:textId="35447849"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1.37 (0.71-2.44)</w:t>
            </w:r>
          </w:p>
        </w:tc>
        <w:tc>
          <w:tcPr>
            <w:tcW w:w="1134" w:type="dxa"/>
            <w:vAlign w:val="center"/>
          </w:tcPr>
          <w:p w14:paraId="38C9EB1F" w14:textId="1EC7504E"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42 (22-75)</w:t>
            </w:r>
          </w:p>
        </w:tc>
      </w:tr>
      <w:tr w:rsidR="00BA4EAF" w:rsidRPr="00BA4EAF" w14:paraId="610EEA25" w14:textId="77777777" w:rsidTr="00F85C19">
        <w:trPr>
          <w:trHeight w:val="300"/>
        </w:trPr>
        <w:tc>
          <w:tcPr>
            <w:tcW w:w="567" w:type="dxa"/>
            <w:noWrap/>
            <w:vAlign w:val="center"/>
          </w:tcPr>
          <w:p w14:paraId="492B09E0" w14:textId="14397FB6"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2013</w:t>
            </w:r>
          </w:p>
        </w:tc>
        <w:tc>
          <w:tcPr>
            <w:tcW w:w="1276" w:type="dxa"/>
            <w:noWrap/>
            <w:vAlign w:val="center"/>
          </w:tcPr>
          <w:p w14:paraId="1326A4D4" w14:textId="77777777" w:rsidR="00BA4EAF" w:rsidRPr="00BA4EAF" w:rsidRDefault="00BA4EAF" w:rsidP="00BA4EAF">
            <w:pPr>
              <w:jc w:val="center"/>
              <w:rPr>
                <w:rFonts w:eastAsia="Times New Roman" w:cstheme="minorHAnsi"/>
                <w:color w:val="000000"/>
                <w:sz w:val="16"/>
                <w:szCs w:val="16"/>
                <w:lang w:val="en-GB" w:eastAsia="en-GB"/>
              </w:rPr>
            </w:pPr>
          </w:p>
        </w:tc>
        <w:tc>
          <w:tcPr>
            <w:tcW w:w="1418" w:type="dxa"/>
            <w:vAlign w:val="center"/>
          </w:tcPr>
          <w:p w14:paraId="4C8E134F" w14:textId="77777777" w:rsidR="00BA4EAF" w:rsidRPr="00BA4EAF" w:rsidRDefault="00BA4EAF" w:rsidP="00BA4EAF">
            <w:pPr>
              <w:jc w:val="center"/>
              <w:rPr>
                <w:rFonts w:eastAsia="Times New Roman" w:cstheme="minorHAnsi"/>
                <w:color w:val="000000"/>
                <w:sz w:val="16"/>
                <w:szCs w:val="16"/>
                <w:lang w:val="en-GB" w:eastAsia="en-GB"/>
              </w:rPr>
            </w:pPr>
          </w:p>
        </w:tc>
        <w:tc>
          <w:tcPr>
            <w:tcW w:w="1559" w:type="dxa"/>
            <w:noWrap/>
            <w:vAlign w:val="center"/>
          </w:tcPr>
          <w:p w14:paraId="0187A3AE" w14:textId="5F607442"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11.02 (9.17-13.13)</w:t>
            </w:r>
          </w:p>
        </w:tc>
        <w:tc>
          <w:tcPr>
            <w:tcW w:w="1417" w:type="dxa"/>
            <w:vAlign w:val="center"/>
          </w:tcPr>
          <w:p w14:paraId="4B9F05DA" w14:textId="12590376"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587 (489-700)</w:t>
            </w:r>
          </w:p>
        </w:tc>
        <w:tc>
          <w:tcPr>
            <w:tcW w:w="1418" w:type="dxa"/>
            <w:noWrap/>
            <w:vAlign w:val="center"/>
          </w:tcPr>
          <w:p w14:paraId="2EB06C84" w14:textId="7BE68687"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2.01 (1.17-3.23)</w:t>
            </w:r>
          </w:p>
        </w:tc>
        <w:tc>
          <w:tcPr>
            <w:tcW w:w="1134" w:type="dxa"/>
            <w:vAlign w:val="center"/>
          </w:tcPr>
          <w:p w14:paraId="413FCD9C" w14:textId="55C3DFE1"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62 (36-100)</w:t>
            </w:r>
          </w:p>
        </w:tc>
      </w:tr>
      <w:tr w:rsidR="00BA4EAF" w:rsidRPr="00BA4EAF" w14:paraId="66BFD55A" w14:textId="77777777" w:rsidTr="00F85C19">
        <w:trPr>
          <w:trHeight w:val="300"/>
        </w:trPr>
        <w:tc>
          <w:tcPr>
            <w:tcW w:w="567" w:type="dxa"/>
            <w:noWrap/>
            <w:vAlign w:val="center"/>
          </w:tcPr>
          <w:p w14:paraId="4A1F2FF5" w14:textId="6868B882"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2014</w:t>
            </w:r>
          </w:p>
        </w:tc>
        <w:tc>
          <w:tcPr>
            <w:tcW w:w="1276" w:type="dxa"/>
            <w:noWrap/>
            <w:vAlign w:val="center"/>
          </w:tcPr>
          <w:p w14:paraId="297FA1F9" w14:textId="77777777" w:rsidR="00BA4EAF" w:rsidRPr="00BA4EAF" w:rsidRDefault="00BA4EAF" w:rsidP="00BA4EAF">
            <w:pPr>
              <w:jc w:val="center"/>
              <w:rPr>
                <w:rFonts w:eastAsia="Times New Roman" w:cstheme="minorHAnsi"/>
                <w:color w:val="000000"/>
                <w:sz w:val="16"/>
                <w:szCs w:val="16"/>
                <w:lang w:val="en-GB" w:eastAsia="en-GB"/>
              </w:rPr>
            </w:pPr>
          </w:p>
        </w:tc>
        <w:tc>
          <w:tcPr>
            <w:tcW w:w="1418" w:type="dxa"/>
            <w:vAlign w:val="center"/>
          </w:tcPr>
          <w:p w14:paraId="20758A60" w14:textId="77777777" w:rsidR="00BA4EAF" w:rsidRPr="00BA4EAF" w:rsidRDefault="00BA4EAF" w:rsidP="00BA4EAF">
            <w:pPr>
              <w:jc w:val="center"/>
              <w:rPr>
                <w:rFonts w:eastAsia="Times New Roman" w:cstheme="minorHAnsi"/>
                <w:color w:val="000000"/>
                <w:sz w:val="16"/>
                <w:szCs w:val="16"/>
                <w:lang w:val="en-GB" w:eastAsia="en-GB"/>
              </w:rPr>
            </w:pPr>
          </w:p>
        </w:tc>
        <w:tc>
          <w:tcPr>
            <w:tcW w:w="1559" w:type="dxa"/>
            <w:noWrap/>
            <w:vAlign w:val="center"/>
          </w:tcPr>
          <w:p w14:paraId="584A5233" w14:textId="567097E0"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8.29 (6.72-10.13)</w:t>
            </w:r>
          </w:p>
        </w:tc>
        <w:tc>
          <w:tcPr>
            <w:tcW w:w="1417" w:type="dxa"/>
            <w:vAlign w:val="center"/>
          </w:tcPr>
          <w:p w14:paraId="364059C0" w14:textId="387F3DBF"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443 (359-542)</w:t>
            </w:r>
          </w:p>
        </w:tc>
        <w:tc>
          <w:tcPr>
            <w:tcW w:w="1418" w:type="dxa"/>
            <w:noWrap/>
            <w:vAlign w:val="center"/>
          </w:tcPr>
          <w:p w14:paraId="5DBFF1D1" w14:textId="0470AC45"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0.65 (0.24-1.41)</w:t>
            </w:r>
          </w:p>
        </w:tc>
        <w:tc>
          <w:tcPr>
            <w:tcW w:w="1134" w:type="dxa"/>
            <w:vAlign w:val="center"/>
          </w:tcPr>
          <w:p w14:paraId="27ACBB50" w14:textId="718D8B69"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 (7-44)</w:t>
            </w:r>
          </w:p>
        </w:tc>
      </w:tr>
      <w:tr w:rsidR="00BA4EAF" w:rsidRPr="00BA4EAF" w14:paraId="3B23A206" w14:textId="77777777" w:rsidTr="00F85C19">
        <w:trPr>
          <w:trHeight w:val="300"/>
        </w:trPr>
        <w:tc>
          <w:tcPr>
            <w:tcW w:w="567" w:type="dxa"/>
            <w:noWrap/>
            <w:vAlign w:val="center"/>
          </w:tcPr>
          <w:p w14:paraId="1468ADFF" w14:textId="610B9166"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2015</w:t>
            </w:r>
          </w:p>
        </w:tc>
        <w:tc>
          <w:tcPr>
            <w:tcW w:w="1276" w:type="dxa"/>
            <w:noWrap/>
            <w:vAlign w:val="center"/>
          </w:tcPr>
          <w:p w14:paraId="0EE7DF10" w14:textId="77777777" w:rsidR="00BA4EAF" w:rsidRPr="00BA4EAF" w:rsidRDefault="00BA4EAF" w:rsidP="00BA4EAF">
            <w:pPr>
              <w:jc w:val="center"/>
              <w:rPr>
                <w:rFonts w:eastAsia="Times New Roman" w:cstheme="minorHAnsi"/>
                <w:color w:val="000000"/>
                <w:sz w:val="16"/>
                <w:szCs w:val="16"/>
                <w:lang w:val="en-GB" w:eastAsia="en-GB"/>
              </w:rPr>
            </w:pPr>
          </w:p>
        </w:tc>
        <w:tc>
          <w:tcPr>
            <w:tcW w:w="1418" w:type="dxa"/>
            <w:vAlign w:val="center"/>
          </w:tcPr>
          <w:p w14:paraId="706530F7" w14:textId="77777777" w:rsidR="00BA4EAF" w:rsidRPr="00BA4EAF" w:rsidRDefault="00BA4EAF" w:rsidP="00BA4EAF">
            <w:pPr>
              <w:jc w:val="center"/>
              <w:rPr>
                <w:rFonts w:eastAsia="Times New Roman" w:cstheme="minorHAnsi"/>
                <w:color w:val="000000"/>
                <w:sz w:val="16"/>
                <w:szCs w:val="16"/>
                <w:lang w:val="en-GB" w:eastAsia="en-GB"/>
              </w:rPr>
            </w:pPr>
          </w:p>
        </w:tc>
        <w:tc>
          <w:tcPr>
            <w:tcW w:w="1559" w:type="dxa"/>
            <w:noWrap/>
            <w:vAlign w:val="center"/>
          </w:tcPr>
          <w:p w14:paraId="751470DC" w14:textId="5E2A2BC3"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12.71 (10.73-14.94)</w:t>
            </w:r>
          </w:p>
        </w:tc>
        <w:tc>
          <w:tcPr>
            <w:tcW w:w="1417" w:type="dxa"/>
            <w:vAlign w:val="center"/>
          </w:tcPr>
          <w:p w14:paraId="2C3A8EF3" w14:textId="12DDB1FB"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683 (577-803)</w:t>
            </w:r>
          </w:p>
        </w:tc>
        <w:tc>
          <w:tcPr>
            <w:tcW w:w="1418" w:type="dxa"/>
            <w:noWrap/>
            <w:vAlign w:val="center"/>
          </w:tcPr>
          <w:p w14:paraId="5D8AD0D3" w14:textId="5E01B15D"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1.79 (1.03-2.92)</w:t>
            </w:r>
          </w:p>
        </w:tc>
        <w:tc>
          <w:tcPr>
            <w:tcW w:w="1134" w:type="dxa"/>
            <w:vAlign w:val="center"/>
          </w:tcPr>
          <w:p w14:paraId="317A129C" w14:textId="01FE2C0F"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55 (32-90)</w:t>
            </w:r>
          </w:p>
        </w:tc>
      </w:tr>
      <w:tr w:rsidR="00BA4EAF" w:rsidRPr="00BA4EAF" w14:paraId="6768BF89" w14:textId="77777777" w:rsidTr="00F85C19">
        <w:trPr>
          <w:trHeight w:val="300"/>
        </w:trPr>
        <w:tc>
          <w:tcPr>
            <w:tcW w:w="567" w:type="dxa"/>
            <w:noWrap/>
            <w:vAlign w:val="center"/>
          </w:tcPr>
          <w:p w14:paraId="76731648" w14:textId="3888DB8A"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2016</w:t>
            </w:r>
          </w:p>
        </w:tc>
        <w:tc>
          <w:tcPr>
            <w:tcW w:w="1276" w:type="dxa"/>
            <w:noWrap/>
            <w:vAlign w:val="center"/>
          </w:tcPr>
          <w:p w14:paraId="382AADC3" w14:textId="77777777" w:rsidR="00BA4EAF" w:rsidRPr="00BA4EAF" w:rsidRDefault="00BA4EAF" w:rsidP="00BA4EAF">
            <w:pPr>
              <w:jc w:val="center"/>
              <w:rPr>
                <w:rFonts w:eastAsia="Times New Roman" w:cstheme="minorHAnsi"/>
                <w:color w:val="000000"/>
                <w:sz w:val="16"/>
                <w:szCs w:val="16"/>
                <w:lang w:val="en-GB" w:eastAsia="en-GB"/>
              </w:rPr>
            </w:pPr>
          </w:p>
        </w:tc>
        <w:tc>
          <w:tcPr>
            <w:tcW w:w="1418" w:type="dxa"/>
            <w:vAlign w:val="center"/>
          </w:tcPr>
          <w:p w14:paraId="5858D101" w14:textId="77777777" w:rsidR="00BA4EAF" w:rsidRPr="00BA4EAF" w:rsidRDefault="00BA4EAF" w:rsidP="00BA4EAF">
            <w:pPr>
              <w:jc w:val="center"/>
              <w:rPr>
                <w:rFonts w:eastAsia="Times New Roman" w:cstheme="minorHAnsi"/>
                <w:color w:val="000000"/>
                <w:sz w:val="16"/>
                <w:szCs w:val="16"/>
                <w:lang w:val="en-GB" w:eastAsia="en-GB"/>
              </w:rPr>
            </w:pPr>
          </w:p>
        </w:tc>
        <w:tc>
          <w:tcPr>
            <w:tcW w:w="1559" w:type="dxa"/>
            <w:noWrap/>
            <w:vAlign w:val="center"/>
          </w:tcPr>
          <w:p w14:paraId="6256F1EC" w14:textId="0EECE4D0"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10.74 (8.94-12.80)</w:t>
            </w:r>
          </w:p>
        </w:tc>
        <w:tc>
          <w:tcPr>
            <w:tcW w:w="1417" w:type="dxa"/>
            <w:vAlign w:val="center"/>
          </w:tcPr>
          <w:p w14:paraId="3C8BCD6A" w14:textId="3112BD3B"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580 (483-692)</w:t>
            </w:r>
          </w:p>
        </w:tc>
        <w:tc>
          <w:tcPr>
            <w:tcW w:w="1418" w:type="dxa"/>
            <w:noWrap/>
            <w:vAlign w:val="center"/>
          </w:tcPr>
          <w:p w14:paraId="5A543DD0" w14:textId="36F25DB8"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2.54 (1.60-3.85)</w:t>
            </w:r>
          </w:p>
        </w:tc>
        <w:tc>
          <w:tcPr>
            <w:tcW w:w="1134" w:type="dxa"/>
            <w:vAlign w:val="center"/>
          </w:tcPr>
          <w:p w14:paraId="6CD43A63" w14:textId="0B023B28" w:rsidR="00BA4EAF" w:rsidRPr="00BA4EAF" w:rsidRDefault="00BA4EAF" w:rsidP="00BA4EAF">
            <w:pPr>
              <w:jc w:val="center"/>
              <w:rPr>
                <w:rFonts w:eastAsia="Times New Roman" w:cstheme="minorHAnsi"/>
                <w:color w:val="000000"/>
                <w:sz w:val="16"/>
                <w:szCs w:val="16"/>
                <w:lang w:val="en-GB" w:eastAsia="en-GB"/>
              </w:rPr>
            </w:pPr>
            <w:r w:rsidRPr="00BA4EAF">
              <w:rPr>
                <w:rFonts w:eastAsia="Times New Roman" w:cstheme="minorHAnsi"/>
                <w:color w:val="000000"/>
                <w:sz w:val="16"/>
                <w:szCs w:val="16"/>
                <w:lang w:val="en-GB" w:eastAsia="en-GB"/>
              </w:rPr>
              <w:t>79 (50-120)</w:t>
            </w:r>
          </w:p>
        </w:tc>
      </w:tr>
    </w:tbl>
    <w:bookmarkEnd w:id="18"/>
    <w:p w14:paraId="5F445370" w14:textId="724FD535" w:rsidR="00D431DF" w:rsidRPr="00F8033F" w:rsidRDefault="002C5A28" w:rsidP="00F8033F">
      <w:pPr>
        <w:spacing w:line="480" w:lineRule="auto"/>
        <w:rPr>
          <w:sz w:val="16"/>
          <w:szCs w:val="16"/>
        </w:rPr>
      </w:pPr>
      <w:r w:rsidRPr="00EE7DCD">
        <w:rPr>
          <w:sz w:val="16"/>
          <w:szCs w:val="16"/>
        </w:rPr>
        <w:t>*</w:t>
      </w:r>
      <w:r>
        <w:rPr>
          <w:sz w:val="16"/>
          <w:szCs w:val="16"/>
        </w:rPr>
        <w:t>NI = Northern Ireland.</w:t>
      </w:r>
    </w:p>
    <w:p w14:paraId="147679F3" w14:textId="41F1D2C2" w:rsidR="006A2780" w:rsidRDefault="007E3AC7" w:rsidP="00693035">
      <w:pPr>
        <w:spacing w:line="480" w:lineRule="auto"/>
        <w:jc w:val="both"/>
        <w:rPr>
          <w:rFonts w:cstheme="minorHAnsi"/>
          <w:sz w:val="20"/>
          <w:szCs w:val="20"/>
        </w:rPr>
      </w:pPr>
      <w:r w:rsidRPr="00693035">
        <w:rPr>
          <w:rFonts w:cstheme="minorHAnsi"/>
          <w:sz w:val="20"/>
          <w:szCs w:val="20"/>
        </w:rPr>
        <w:t xml:space="preserve">This </w:t>
      </w:r>
      <w:r w:rsidR="00587CAC" w:rsidRPr="00693035">
        <w:rPr>
          <w:rFonts w:cstheme="minorHAnsi"/>
          <w:sz w:val="20"/>
          <w:szCs w:val="20"/>
        </w:rPr>
        <w:t>rise</w:t>
      </w:r>
      <w:r w:rsidR="00394FC5" w:rsidRPr="00693035">
        <w:rPr>
          <w:rFonts w:cstheme="minorHAnsi"/>
          <w:sz w:val="20"/>
          <w:szCs w:val="20"/>
        </w:rPr>
        <w:t xml:space="preserve"> </w:t>
      </w:r>
      <w:r w:rsidRPr="00693035">
        <w:rPr>
          <w:rFonts w:cstheme="minorHAnsi"/>
          <w:sz w:val="20"/>
          <w:szCs w:val="20"/>
        </w:rPr>
        <w:t>was se</w:t>
      </w:r>
      <w:r w:rsidR="00EB1179">
        <w:rPr>
          <w:rFonts w:cstheme="minorHAnsi"/>
          <w:sz w:val="20"/>
          <w:szCs w:val="20"/>
        </w:rPr>
        <w:t>en in all nations except Wales.</w:t>
      </w:r>
      <w:r w:rsidR="00F1396A">
        <w:rPr>
          <w:rFonts w:cstheme="minorHAnsi"/>
          <w:sz w:val="20"/>
          <w:szCs w:val="20"/>
        </w:rPr>
        <w:t xml:space="preserve"> </w:t>
      </w:r>
      <w:r w:rsidR="00276DC2" w:rsidRPr="00693035">
        <w:rPr>
          <w:rFonts w:cstheme="minorHAnsi"/>
          <w:sz w:val="20"/>
          <w:szCs w:val="20"/>
        </w:rPr>
        <w:t>Across the UK</w:t>
      </w:r>
      <w:r w:rsidR="00E15E98" w:rsidRPr="00693035">
        <w:rPr>
          <w:rFonts w:cstheme="minorHAnsi"/>
          <w:sz w:val="20"/>
          <w:szCs w:val="20"/>
        </w:rPr>
        <w:t>,</w:t>
      </w:r>
      <w:r w:rsidR="00276DC2" w:rsidRPr="00693035">
        <w:rPr>
          <w:rFonts w:cstheme="minorHAnsi"/>
          <w:sz w:val="20"/>
          <w:szCs w:val="20"/>
        </w:rPr>
        <w:t xml:space="preserve"> cases displayed a seasonal pattern, with the highest </w:t>
      </w:r>
      <w:r w:rsidR="00DE613E">
        <w:rPr>
          <w:rFonts w:cstheme="minorHAnsi"/>
          <w:sz w:val="20"/>
          <w:szCs w:val="20"/>
        </w:rPr>
        <w:t>incidence</w:t>
      </w:r>
      <w:r w:rsidR="002C5A28">
        <w:rPr>
          <w:rFonts w:cstheme="minorHAnsi"/>
          <w:sz w:val="20"/>
          <w:szCs w:val="20"/>
        </w:rPr>
        <w:t xml:space="preserve"> of a new diagnosis</w:t>
      </w:r>
      <w:r w:rsidR="00276DC2" w:rsidRPr="00693035">
        <w:rPr>
          <w:rFonts w:cstheme="minorHAnsi"/>
          <w:sz w:val="20"/>
          <w:szCs w:val="20"/>
        </w:rPr>
        <w:t xml:space="preserve"> in the summer</w:t>
      </w:r>
      <w:r w:rsidR="00FF3850">
        <w:rPr>
          <w:rFonts w:cstheme="minorHAnsi"/>
          <w:sz w:val="20"/>
          <w:szCs w:val="20"/>
        </w:rPr>
        <w:t>,</w:t>
      </w:r>
      <w:r w:rsidR="00276DC2" w:rsidRPr="00693035">
        <w:rPr>
          <w:rFonts w:cstheme="minorHAnsi"/>
          <w:sz w:val="20"/>
          <w:szCs w:val="20"/>
        </w:rPr>
        <w:t xml:space="preserve"> peaking in July</w:t>
      </w:r>
      <w:r w:rsidR="0038500D" w:rsidRPr="00693035">
        <w:rPr>
          <w:rFonts w:cstheme="minorHAnsi"/>
          <w:sz w:val="20"/>
          <w:szCs w:val="20"/>
        </w:rPr>
        <w:t xml:space="preserve"> and August</w:t>
      </w:r>
      <w:r w:rsidR="00276DC2" w:rsidRPr="00693035">
        <w:rPr>
          <w:rFonts w:cstheme="minorHAnsi"/>
          <w:sz w:val="20"/>
          <w:szCs w:val="20"/>
        </w:rPr>
        <w:t xml:space="preserve"> (Fig 2).</w:t>
      </w:r>
      <w:r w:rsidR="00D05F75" w:rsidRPr="00693035">
        <w:rPr>
          <w:rFonts w:cstheme="minorHAnsi"/>
          <w:sz w:val="20"/>
          <w:szCs w:val="20"/>
        </w:rPr>
        <w:t xml:space="preserve"> This seasonality was seen in England and Scotland with </w:t>
      </w:r>
      <w:r w:rsidR="00DE613E">
        <w:rPr>
          <w:rFonts w:cstheme="minorHAnsi"/>
          <w:sz w:val="20"/>
          <w:szCs w:val="20"/>
        </w:rPr>
        <w:t>incidence</w:t>
      </w:r>
      <w:r w:rsidR="00D05F75" w:rsidRPr="00693035">
        <w:rPr>
          <w:rFonts w:cstheme="minorHAnsi"/>
          <w:sz w:val="20"/>
          <w:szCs w:val="20"/>
        </w:rPr>
        <w:t xml:space="preserve"> peaking in July and August respectively.</w:t>
      </w:r>
      <w:r w:rsidR="00276DC2" w:rsidRPr="00693035">
        <w:rPr>
          <w:rFonts w:cstheme="minorHAnsi"/>
          <w:sz w:val="20"/>
          <w:szCs w:val="20"/>
        </w:rPr>
        <w:t xml:space="preserve"> In Northern Ireland and Wales no obvious trends were seen. </w:t>
      </w:r>
    </w:p>
    <w:p w14:paraId="3DA41272" w14:textId="3B0B6EB5" w:rsidR="00CF36AC" w:rsidRDefault="00CF36AC" w:rsidP="00693035">
      <w:pPr>
        <w:spacing w:line="480" w:lineRule="auto"/>
        <w:jc w:val="both"/>
        <w:rPr>
          <w:rFonts w:cstheme="minorHAnsi"/>
          <w:sz w:val="20"/>
          <w:szCs w:val="20"/>
        </w:rPr>
      </w:pPr>
      <w:r w:rsidRPr="003757F6">
        <w:rPr>
          <w:rFonts w:cstheme="minorHAnsi"/>
          <w:sz w:val="20"/>
          <w:szCs w:val="20"/>
        </w:rPr>
        <w:t>The ‘Lyme disease code’ rose until a peak in 2009 before steadily declining (Fig 3). ‘Erythema migrans’ had a lower i</w:t>
      </w:r>
      <w:r w:rsidRPr="00311402">
        <w:rPr>
          <w:rFonts w:cstheme="minorHAnsi"/>
          <w:sz w:val="20"/>
          <w:szCs w:val="20"/>
        </w:rPr>
        <w:t>ncidence and peaked in 2011 before declining. Both ‘Suspected Lyme disease’ and ‘Suspected erythema migrans’ showed a sharp increase in incidence in 2015. In 2016 ‘Suspected Lyme disease’ was the most prevalent Read code in use.</w:t>
      </w:r>
      <w:r>
        <w:rPr>
          <w:rFonts w:cstheme="minorHAnsi"/>
          <w:sz w:val="20"/>
          <w:szCs w:val="20"/>
        </w:rPr>
        <w:t xml:space="preserve"> </w:t>
      </w:r>
    </w:p>
    <w:p w14:paraId="15E390CF" w14:textId="4CDCE2A5" w:rsidR="00F8033F" w:rsidRDefault="00F939DA" w:rsidP="00DE6E4F">
      <w:pPr>
        <w:spacing w:line="480" w:lineRule="auto"/>
        <w:jc w:val="both"/>
        <w:rPr>
          <w:rFonts w:cstheme="minorHAnsi"/>
          <w:sz w:val="20"/>
          <w:szCs w:val="20"/>
        </w:rPr>
      </w:pPr>
      <w:r w:rsidRPr="00F939DA">
        <w:rPr>
          <w:rFonts w:cstheme="minorHAnsi"/>
          <w:sz w:val="20"/>
          <w:szCs w:val="20"/>
        </w:rPr>
        <w:t xml:space="preserve">All variables examined were statistically significant in the univariable </w:t>
      </w:r>
      <w:r w:rsidR="00E572AE">
        <w:rPr>
          <w:rFonts w:cstheme="minorHAnsi"/>
          <w:sz w:val="20"/>
          <w:szCs w:val="20"/>
        </w:rPr>
        <w:t>P</w:t>
      </w:r>
      <w:r w:rsidRPr="00F939DA">
        <w:rPr>
          <w:rFonts w:cstheme="minorHAnsi"/>
          <w:sz w:val="20"/>
          <w:szCs w:val="20"/>
        </w:rPr>
        <w:t xml:space="preserve">oisson analysis and were taken forward for multivariable analysis (Table 3). </w:t>
      </w:r>
    </w:p>
    <w:p w14:paraId="0B979A6D" w14:textId="58ACFBAE" w:rsidR="00F8033F" w:rsidRPr="00EE7DCD" w:rsidRDefault="00F8033F" w:rsidP="00FE29E1">
      <w:pPr>
        <w:spacing w:line="480" w:lineRule="auto"/>
        <w:rPr>
          <w:sz w:val="16"/>
          <w:szCs w:val="16"/>
        </w:rPr>
      </w:pPr>
      <w:r>
        <w:rPr>
          <w:rFonts w:cstheme="minorHAnsi"/>
          <w:b/>
          <w:sz w:val="20"/>
          <w:szCs w:val="20"/>
        </w:rPr>
        <w:t>Table 3: Univariable and multivariable Poisson regression analyse for Lyme disease incidence</w:t>
      </w:r>
      <w:r w:rsidR="002C5A28">
        <w:rPr>
          <w:rFonts w:cstheme="minorHAnsi"/>
          <w:b/>
          <w:sz w:val="20"/>
          <w:szCs w:val="20"/>
        </w:rPr>
        <w:t xml:space="preserve"> of a new diagnosis</w:t>
      </w:r>
      <w:r>
        <w:rPr>
          <w:rFonts w:cstheme="minorHAnsi"/>
          <w:b/>
          <w:sz w:val="20"/>
          <w:szCs w:val="20"/>
        </w:rPr>
        <w:t xml:space="preserve"> in the UK</w:t>
      </w:r>
    </w:p>
    <w:tbl>
      <w:tblPr>
        <w:tblStyle w:val="TableGrid"/>
        <w:tblW w:w="10058" w:type="dxa"/>
        <w:tblLook w:val="04A0" w:firstRow="1" w:lastRow="0" w:firstColumn="1" w:lastColumn="0" w:noHBand="0" w:noVBand="1"/>
      </w:tblPr>
      <w:tblGrid>
        <w:gridCol w:w="1560"/>
        <w:gridCol w:w="1560"/>
        <w:gridCol w:w="770"/>
        <w:gridCol w:w="1498"/>
        <w:gridCol w:w="1329"/>
        <w:gridCol w:w="1647"/>
        <w:gridCol w:w="1694"/>
      </w:tblGrid>
      <w:tr w:rsidR="00F939DA" w:rsidRPr="00EE7DCD" w14:paraId="049E9232" w14:textId="4DD3DB97" w:rsidTr="005760FD">
        <w:tc>
          <w:tcPr>
            <w:tcW w:w="1560" w:type="dxa"/>
            <w:tcBorders>
              <w:top w:val="nil"/>
              <w:left w:val="nil"/>
              <w:bottom w:val="single" w:sz="4" w:space="0" w:color="auto"/>
              <w:right w:val="nil"/>
            </w:tcBorders>
          </w:tcPr>
          <w:p w14:paraId="51A53515" w14:textId="77777777" w:rsidR="00F939DA" w:rsidRPr="00EE7DCD" w:rsidRDefault="00F939DA" w:rsidP="00087A09">
            <w:pPr>
              <w:rPr>
                <w:rFonts w:cstheme="minorHAnsi"/>
                <w:b/>
                <w:sz w:val="16"/>
                <w:szCs w:val="16"/>
              </w:rPr>
            </w:pPr>
            <w:bookmarkStart w:id="19" w:name="_Hlk32839759"/>
          </w:p>
        </w:tc>
        <w:tc>
          <w:tcPr>
            <w:tcW w:w="2330" w:type="dxa"/>
            <w:gridSpan w:val="2"/>
            <w:tcBorders>
              <w:top w:val="nil"/>
              <w:left w:val="nil"/>
              <w:bottom w:val="single" w:sz="4" w:space="0" w:color="auto"/>
              <w:right w:val="nil"/>
            </w:tcBorders>
          </w:tcPr>
          <w:p w14:paraId="49F2494F" w14:textId="77777777" w:rsidR="00F939DA" w:rsidRPr="00EE7DCD" w:rsidRDefault="00F939DA" w:rsidP="00087A09">
            <w:pPr>
              <w:jc w:val="center"/>
              <w:rPr>
                <w:rFonts w:cstheme="minorHAnsi"/>
                <w:b/>
                <w:sz w:val="16"/>
                <w:szCs w:val="16"/>
              </w:rPr>
            </w:pPr>
            <w:r w:rsidRPr="00EE7DCD">
              <w:rPr>
                <w:rFonts w:cstheme="minorHAnsi"/>
                <w:b/>
                <w:sz w:val="16"/>
                <w:szCs w:val="16"/>
              </w:rPr>
              <w:t>Univariable Analysis</w:t>
            </w:r>
          </w:p>
        </w:tc>
        <w:tc>
          <w:tcPr>
            <w:tcW w:w="2827" w:type="dxa"/>
            <w:gridSpan w:val="2"/>
            <w:tcBorders>
              <w:top w:val="nil"/>
              <w:left w:val="nil"/>
              <w:bottom w:val="single" w:sz="4" w:space="0" w:color="auto"/>
              <w:right w:val="nil"/>
            </w:tcBorders>
          </w:tcPr>
          <w:p w14:paraId="6EF33E01" w14:textId="63688DF7" w:rsidR="00F939DA" w:rsidRPr="00EE7DCD" w:rsidRDefault="00F939DA" w:rsidP="00087A09">
            <w:pPr>
              <w:jc w:val="center"/>
              <w:rPr>
                <w:rFonts w:cstheme="minorHAnsi"/>
                <w:b/>
                <w:sz w:val="16"/>
                <w:szCs w:val="16"/>
              </w:rPr>
            </w:pPr>
            <w:r w:rsidRPr="00EE7DCD">
              <w:rPr>
                <w:rFonts w:cstheme="minorHAnsi"/>
                <w:b/>
                <w:sz w:val="16"/>
                <w:szCs w:val="16"/>
              </w:rPr>
              <w:t>Multivariable Analysis</w:t>
            </w:r>
            <w:r>
              <w:rPr>
                <w:rFonts w:cstheme="minorHAnsi"/>
                <w:b/>
                <w:sz w:val="16"/>
                <w:szCs w:val="16"/>
              </w:rPr>
              <w:t xml:space="preserve"> Model 1</w:t>
            </w:r>
          </w:p>
        </w:tc>
        <w:tc>
          <w:tcPr>
            <w:tcW w:w="3341" w:type="dxa"/>
            <w:gridSpan w:val="2"/>
            <w:tcBorders>
              <w:top w:val="nil"/>
              <w:left w:val="nil"/>
              <w:bottom w:val="single" w:sz="4" w:space="0" w:color="auto"/>
              <w:right w:val="nil"/>
            </w:tcBorders>
          </w:tcPr>
          <w:p w14:paraId="539C1143" w14:textId="33F791A5" w:rsidR="00F939DA" w:rsidRPr="00EE7DCD" w:rsidRDefault="00F939DA" w:rsidP="00087A09">
            <w:pPr>
              <w:jc w:val="center"/>
              <w:rPr>
                <w:rFonts w:cstheme="minorHAnsi"/>
                <w:b/>
                <w:sz w:val="16"/>
                <w:szCs w:val="16"/>
              </w:rPr>
            </w:pPr>
            <w:r w:rsidRPr="00EE7DCD">
              <w:rPr>
                <w:rFonts w:cstheme="minorHAnsi"/>
                <w:b/>
                <w:sz w:val="16"/>
                <w:szCs w:val="16"/>
              </w:rPr>
              <w:t>Multivariable Analysis</w:t>
            </w:r>
            <w:r>
              <w:rPr>
                <w:rFonts w:cstheme="minorHAnsi"/>
                <w:b/>
                <w:sz w:val="16"/>
                <w:szCs w:val="16"/>
              </w:rPr>
              <w:t xml:space="preserve"> Model 2</w:t>
            </w:r>
          </w:p>
        </w:tc>
      </w:tr>
      <w:tr w:rsidR="00DF57A4" w:rsidRPr="00EE7DCD" w14:paraId="4ABABEF1" w14:textId="254F1647" w:rsidTr="005760FD">
        <w:tc>
          <w:tcPr>
            <w:tcW w:w="1560" w:type="dxa"/>
            <w:tcBorders>
              <w:left w:val="nil"/>
              <w:bottom w:val="single" w:sz="4" w:space="0" w:color="auto"/>
              <w:right w:val="nil"/>
            </w:tcBorders>
          </w:tcPr>
          <w:p w14:paraId="525B35F2" w14:textId="77777777" w:rsidR="00DF57A4" w:rsidRPr="00EE7DCD" w:rsidRDefault="00DF57A4" w:rsidP="00DF57A4">
            <w:pPr>
              <w:jc w:val="center"/>
              <w:rPr>
                <w:rFonts w:cstheme="minorHAnsi"/>
                <w:b/>
                <w:sz w:val="16"/>
                <w:szCs w:val="16"/>
              </w:rPr>
            </w:pPr>
            <w:r w:rsidRPr="00EE7DCD">
              <w:rPr>
                <w:rFonts w:cstheme="minorHAnsi"/>
                <w:b/>
                <w:sz w:val="16"/>
                <w:szCs w:val="16"/>
              </w:rPr>
              <w:t>Independent Variable</w:t>
            </w:r>
          </w:p>
        </w:tc>
        <w:tc>
          <w:tcPr>
            <w:tcW w:w="1560" w:type="dxa"/>
            <w:tcBorders>
              <w:left w:val="nil"/>
              <w:bottom w:val="single" w:sz="4" w:space="0" w:color="auto"/>
              <w:right w:val="nil"/>
            </w:tcBorders>
          </w:tcPr>
          <w:p w14:paraId="10315E15" w14:textId="77777777" w:rsidR="00DF57A4" w:rsidRPr="00EE7DCD" w:rsidRDefault="00DF57A4" w:rsidP="00DF57A4">
            <w:pPr>
              <w:jc w:val="center"/>
              <w:rPr>
                <w:rFonts w:cstheme="minorHAnsi"/>
                <w:b/>
                <w:sz w:val="16"/>
                <w:szCs w:val="16"/>
              </w:rPr>
            </w:pPr>
            <w:r w:rsidRPr="00EE7DCD">
              <w:rPr>
                <w:rFonts w:cstheme="minorHAnsi"/>
                <w:b/>
                <w:sz w:val="16"/>
                <w:szCs w:val="16"/>
              </w:rPr>
              <w:t>IRR (95% CI)</w:t>
            </w:r>
          </w:p>
        </w:tc>
        <w:tc>
          <w:tcPr>
            <w:tcW w:w="770" w:type="dxa"/>
            <w:tcBorders>
              <w:left w:val="nil"/>
              <w:bottom w:val="single" w:sz="4" w:space="0" w:color="auto"/>
              <w:right w:val="nil"/>
            </w:tcBorders>
          </w:tcPr>
          <w:p w14:paraId="50F304F3" w14:textId="77777777" w:rsidR="00DF57A4" w:rsidRPr="00EE7DCD" w:rsidRDefault="00DF57A4" w:rsidP="00DF57A4">
            <w:pPr>
              <w:jc w:val="center"/>
              <w:rPr>
                <w:rFonts w:cstheme="minorHAnsi"/>
                <w:b/>
                <w:sz w:val="16"/>
                <w:szCs w:val="16"/>
              </w:rPr>
            </w:pPr>
            <w:r w:rsidRPr="00EE7DCD">
              <w:rPr>
                <w:rFonts w:cstheme="minorHAnsi"/>
                <w:b/>
                <w:sz w:val="16"/>
                <w:szCs w:val="16"/>
              </w:rPr>
              <w:t>p-value</w:t>
            </w:r>
          </w:p>
        </w:tc>
        <w:tc>
          <w:tcPr>
            <w:tcW w:w="1498" w:type="dxa"/>
            <w:tcBorders>
              <w:left w:val="nil"/>
              <w:bottom w:val="single" w:sz="4" w:space="0" w:color="auto"/>
              <w:right w:val="nil"/>
            </w:tcBorders>
          </w:tcPr>
          <w:p w14:paraId="1611B665" w14:textId="77777777" w:rsidR="00DF57A4" w:rsidRPr="00EE7DCD" w:rsidRDefault="00DF57A4" w:rsidP="00DF57A4">
            <w:pPr>
              <w:jc w:val="center"/>
              <w:rPr>
                <w:rFonts w:cstheme="minorHAnsi"/>
                <w:b/>
                <w:sz w:val="16"/>
                <w:szCs w:val="16"/>
              </w:rPr>
            </w:pPr>
            <w:r w:rsidRPr="00EE7DCD">
              <w:rPr>
                <w:rFonts w:cstheme="minorHAnsi"/>
                <w:b/>
                <w:sz w:val="16"/>
                <w:szCs w:val="16"/>
              </w:rPr>
              <w:t>IRR (95% CI)</w:t>
            </w:r>
          </w:p>
        </w:tc>
        <w:tc>
          <w:tcPr>
            <w:tcW w:w="1329" w:type="dxa"/>
            <w:tcBorders>
              <w:left w:val="nil"/>
              <w:bottom w:val="single" w:sz="4" w:space="0" w:color="auto"/>
              <w:right w:val="nil"/>
            </w:tcBorders>
          </w:tcPr>
          <w:p w14:paraId="408F0B8C" w14:textId="77777777" w:rsidR="00DF57A4" w:rsidRPr="00EE7DCD" w:rsidRDefault="00DF57A4" w:rsidP="00DF57A4">
            <w:pPr>
              <w:jc w:val="center"/>
              <w:rPr>
                <w:rFonts w:cstheme="minorHAnsi"/>
                <w:b/>
                <w:sz w:val="16"/>
                <w:szCs w:val="16"/>
              </w:rPr>
            </w:pPr>
            <w:r w:rsidRPr="00EE7DCD">
              <w:rPr>
                <w:rFonts w:cstheme="minorHAnsi"/>
                <w:b/>
                <w:sz w:val="16"/>
                <w:szCs w:val="16"/>
              </w:rPr>
              <w:t>p-value</w:t>
            </w:r>
          </w:p>
        </w:tc>
        <w:tc>
          <w:tcPr>
            <w:tcW w:w="1647" w:type="dxa"/>
            <w:tcBorders>
              <w:left w:val="nil"/>
              <w:bottom w:val="single" w:sz="4" w:space="0" w:color="auto"/>
              <w:right w:val="nil"/>
            </w:tcBorders>
          </w:tcPr>
          <w:p w14:paraId="60FF4987" w14:textId="7160975D" w:rsidR="00DF57A4" w:rsidRPr="00EE7DCD" w:rsidRDefault="00DF57A4" w:rsidP="005760FD">
            <w:pPr>
              <w:ind w:left="-309" w:firstLine="309"/>
              <w:jc w:val="center"/>
              <w:rPr>
                <w:rFonts w:cstheme="minorHAnsi"/>
                <w:b/>
                <w:sz w:val="16"/>
                <w:szCs w:val="16"/>
              </w:rPr>
            </w:pPr>
            <w:r w:rsidRPr="00EE7DCD">
              <w:rPr>
                <w:rFonts w:cstheme="minorHAnsi"/>
                <w:b/>
                <w:sz w:val="16"/>
                <w:szCs w:val="16"/>
              </w:rPr>
              <w:t>IRR (95% CI)</w:t>
            </w:r>
          </w:p>
        </w:tc>
        <w:tc>
          <w:tcPr>
            <w:tcW w:w="1694" w:type="dxa"/>
            <w:tcBorders>
              <w:left w:val="nil"/>
              <w:bottom w:val="single" w:sz="4" w:space="0" w:color="auto"/>
              <w:right w:val="nil"/>
            </w:tcBorders>
          </w:tcPr>
          <w:p w14:paraId="66165A96" w14:textId="219BC6F2" w:rsidR="00DF57A4" w:rsidRPr="00EE7DCD" w:rsidRDefault="00DF57A4" w:rsidP="00DF57A4">
            <w:pPr>
              <w:jc w:val="center"/>
              <w:rPr>
                <w:rFonts w:cstheme="minorHAnsi"/>
                <w:b/>
                <w:sz w:val="16"/>
                <w:szCs w:val="16"/>
              </w:rPr>
            </w:pPr>
            <w:r w:rsidRPr="00EE7DCD">
              <w:rPr>
                <w:rFonts w:cstheme="minorHAnsi"/>
                <w:b/>
                <w:sz w:val="16"/>
                <w:szCs w:val="16"/>
              </w:rPr>
              <w:t>p-value</w:t>
            </w:r>
          </w:p>
        </w:tc>
      </w:tr>
      <w:tr w:rsidR="00DF57A4" w:rsidRPr="00EE7DCD" w14:paraId="56B3DC9A" w14:textId="029E208F" w:rsidTr="005760FD">
        <w:tc>
          <w:tcPr>
            <w:tcW w:w="1560" w:type="dxa"/>
            <w:tcBorders>
              <w:left w:val="nil"/>
              <w:bottom w:val="single" w:sz="4" w:space="0" w:color="auto"/>
              <w:right w:val="nil"/>
            </w:tcBorders>
          </w:tcPr>
          <w:p w14:paraId="22A5B045" w14:textId="3B8CEAED" w:rsidR="00DF57A4" w:rsidRPr="005760FD" w:rsidRDefault="00DF57A4" w:rsidP="005760FD">
            <w:pPr>
              <w:rPr>
                <w:rFonts w:cstheme="minorHAnsi"/>
                <w:sz w:val="16"/>
                <w:szCs w:val="16"/>
              </w:rPr>
            </w:pPr>
            <w:r w:rsidRPr="005760FD">
              <w:rPr>
                <w:rFonts w:cstheme="minorHAnsi"/>
                <w:sz w:val="16"/>
                <w:szCs w:val="16"/>
              </w:rPr>
              <w:t>Year</w:t>
            </w:r>
            <w:r>
              <w:rPr>
                <w:rFonts w:cstheme="minorHAnsi"/>
                <w:sz w:val="16"/>
                <w:szCs w:val="16"/>
              </w:rPr>
              <w:t xml:space="preserve"> (linear)</w:t>
            </w:r>
          </w:p>
        </w:tc>
        <w:tc>
          <w:tcPr>
            <w:tcW w:w="1560" w:type="dxa"/>
            <w:tcBorders>
              <w:left w:val="nil"/>
              <w:bottom w:val="single" w:sz="4" w:space="0" w:color="auto"/>
              <w:right w:val="nil"/>
            </w:tcBorders>
          </w:tcPr>
          <w:p w14:paraId="49680FBF" w14:textId="370E4931" w:rsidR="00DF57A4" w:rsidRPr="005760FD" w:rsidRDefault="00DF57A4" w:rsidP="00DF57A4">
            <w:pPr>
              <w:jc w:val="center"/>
              <w:rPr>
                <w:rFonts w:cstheme="minorHAnsi"/>
                <w:sz w:val="16"/>
                <w:szCs w:val="16"/>
              </w:rPr>
            </w:pPr>
            <w:r>
              <w:rPr>
                <w:rFonts w:cstheme="minorHAnsi"/>
                <w:sz w:val="16"/>
                <w:szCs w:val="16"/>
              </w:rPr>
              <w:t>1.05 (1.05-1.06)</w:t>
            </w:r>
          </w:p>
        </w:tc>
        <w:tc>
          <w:tcPr>
            <w:tcW w:w="770" w:type="dxa"/>
            <w:tcBorders>
              <w:left w:val="nil"/>
              <w:bottom w:val="single" w:sz="4" w:space="0" w:color="auto"/>
              <w:right w:val="nil"/>
            </w:tcBorders>
          </w:tcPr>
          <w:p w14:paraId="3830F392" w14:textId="542C98C9" w:rsidR="00DF57A4" w:rsidRPr="005760FD" w:rsidRDefault="00DF57A4" w:rsidP="00DF57A4">
            <w:pPr>
              <w:jc w:val="center"/>
              <w:rPr>
                <w:rFonts w:cstheme="minorHAnsi"/>
                <w:sz w:val="16"/>
                <w:szCs w:val="16"/>
              </w:rPr>
            </w:pPr>
            <w:r>
              <w:rPr>
                <w:rFonts w:cstheme="minorHAnsi"/>
                <w:sz w:val="16"/>
                <w:szCs w:val="16"/>
              </w:rPr>
              <w:t>&lt;0.001</w:t>
            </w:r>
          </w:p>
        </w:tc>
        <w:tc>
          <w:tcPr>
            <w:tcW w:w="1498" w:type="dxa"/>
            <w:tcBorders>
              <w:left w:val="nil"/>
              <w:bottom w:val="single" w:sz="4" w:space="0" w:color="auto"/>
              <w:right w:val="nil"/>
            </w:tcBorders>
          </w:tcPr>
          <w:p w14:paraId="48FCF211" w14:textId="47C16F93" w:rsidR="00DF57A4" w:rsidRPr="005760FD" w:rsidRDefault="00DF57A4" w:rsidP="00DF57A4">
            <w:pPr>
              <w:jc w:val="center"/>
              <w:rPr>
                <w:rFonts w:cstheme="minorHAnsi"/>
                <w:sz w:val="16"/>
                <w:szCs w:val="16"/>
              </w:rPr>
            </w:pPr>
            <w:r>
              <w:rPr>
                <w:rFonts w:cstheme="minorHAnsi"/>
                <w:sz w:val="16"/>
                <w:szCs w:val="16"/>
              </w:rPr>
              <w:t>1.05 (1.04-1.06)</w:t>
            </w:r>
          </w:p>
        </w:tc>
        <w:tc>
          <w:tcPr>
            <w:tcW w:w="1329" w:type="dxa"/>
            <w:tcBorders>
              <w:left w:val="nil"/>
              <w:bottom w:val="single" w:sz="4" w:space="0" w:color="auto"/>
              <w:right w:val="nil"/>
            </w:tcBorders>
          </w:tcPr>
          <w:p w14:paraId="2ADF61B3" w14:textId="62E3F4E9" w:rsidR="00DF57A4" w:rsidRPr="005760FD" w:rsidRDefault="00DF57A4" w:rsidP="00DF57A4">
            <w:pPr>
              <w:jc w:val="center"/>
              <w:rPr>
                <w:rFonts w:cstheme="minorHAnsi"/>
                <w:sz w:val="16"/>
                <w:szCs w:val="16"/>
              </w:rPr>
            </w:pPr>
            <w:r>
              <w:rPr>
                <w:rFonts w:cstheme="minorHAnsi"/>
                <w:sz w:val="16"/>
                <w:szCs w:val="16"/>
              </w:rPr>
              <w:t>&lt;0.001</w:t>
            </w:r>
          </w:p>
        </w:tc>
        <w:tc>
          <w:tcPr>
            <w:tcW w:w="1647" w:type="dxa"/>
            <w:tcBorders>
              <w:left w:val="nil"/>
              <w:bottom w:val="single" w:sz="4" w:space="0" w:color="auto"/>
              <w:right w:val="nil"/>
            </w:tcBorders>
          </w:tcPr>
          <w:p w14:paraId="7C3A6E53" w14:textId="7B98B932" w:rsidR="00DF57A4" w:rsidRDefault="006848BB" w:rsidP="00DF57A4">
            <w:pPr>
              <w:jc w:val="center"/>
              <w:rPr>
                <w:rFonts w:cstheme="minorHAnsi"/>
                <w:sz w:val="16"/>
                <w:szCs w:val="16"/>
              </w:rPr>
            </w:pPr>
            <w:r>
              <w:rPr>
                <w:rFonts w:cstheme="minorHAnsi"/>
                <w:sz w:val="16"/>
                <w:szCs w:val="16"/>
              </w:rPr>
              <w:t>1.04 (1.03-1.05)</w:t>
            </w:r>
          </w:p>
        </w:tc>
        <w:tc>
          <w:tcPr>
            <w:tcW w:w="1694" w:type="dxa"/>
            <w:tcBorders>
              <w:left w:val="nil"/>
              <w:bottom w:val="single" w:sz="4" w:space="0" w:color="auto"/>
              <w:right w:val="nil"/>
            </w:tcBorders>
          </w:tcPr>
          <w:p w14:paraId="0753CF4A" w14:textId="5B34AC97" w:rsidR="00DF57A4" w:rsidRDefault="00D431DF" w:rsidP="00DF57A4">
            <w:pPr>
              <w:jc w:val="center"/>
              <w:rPr>
                <w:rFonts w:cstheme="minorHAnsi"/>
                <w:sz w:val="16"/>
                <w:szCs w:val="16"/>
              </w:rPr>
            </w:pPr>
            <w:r>
              <w:rPr>
                <w:rFonts w:cstheme="minorHAnsi"/>
                <w:sz w:val="16"/>
                <w:szCs w:val="16"/>
              </w:rPr>
              <w:t>&lt;0.001</w:t>
            </w:r>
          </w:p>
        </w:tc>
      </w:tr>
      <w:tr w:rsidR="00DF57A4" w:rsidRPr="00EE7DCD" w14:paraId="369E39F1" w14:textId="35440C59" w:rsidTr="005760FD">
        <w:tc>
          <w:tcPr>
            <w:tcW w:w="1560" w:type="dxa"/>
            <w:tcBorders>
              <w:left w:val="nil"/>
              <w:bottom w:val="nil"/>
              <w:right w:val="nil"/>
            </w:tcBorders>
          </w:tcPr>
          <w:p w14:paraId="793C0F85" w14:textId="77777777" w:rsidR="00DF57A4" w:rsidRPr="00EE7DCD" w:rsidRDefault="00DF57A4" w:rsidP="00DF57A4">
            <w:pPr>
              <w:rPr>
                <w:rFonts w:cstheme="minorHAnsi"/>
                <w:sz w:val="16"/>
                <w:szCs w:val="16"/>
              </w:rPr>
            </w:pPr>
            <w:r w:rsidRPr="00EE7DCD">
              <w:rPr>
                <w:rFonts w:cstheme="minorHAnsi"/>
                <w:sz w:val="16"/>
                <w:szCs w:val="16"/>
              </w:rPr>
              <w:t>Sex</w:t>
            </w:r>
          </w:p>
        </w:tc>
        <w:tc>
          <w:tcPr>
            <w:tcW w:w="1560" w:type="dxa"/>
            <w:tcBorders>
              <w:left w:val="nil"/>
              <w:bottom w:val="nil"/>
              <w:right w:val="nil"/>
            </w:tcBorders>
          </w:tcPr>
          <w:p w14:paraId="102C57B5" w14:textId="77777777" w:rsidR="00DF57A4" w:rsidRPr="00EE7DCD" w:rsidRDefault="00DF57A4" w:rsidP="00DF57A4">
            <w:pPr>
              <w:jc w:val="center"/>
              <w:rPr>
                <w:rFonts w:cstheme="minorHAnsi"/>
                <w:sz w:val="16"/>
                <w:szCs w:val="16"/>
              </w:rPr>
            </w:pPr>
          </w:p>
        </w:tc>
        <w:tc>
          <w:tcPr>
            <w:tcW w:w="770" w:type="dxa"/>
            <w:tcBorders>
              <w:left w:val="nil"/>
              <w:bottom w:val="nil"/>
              <w:right w:val="nil"/>
            </w:tcBorders>
          </w:tcPr>
          <w:p w14:paraId="102D6DEF" w14:textId="77777777" w:rsidR="00DF57A4" w:rsidRPr="00EE7DCD" w:rsidRDefault="00DF57A4" w:rsidP="00DF57A4">
            <w:pPr>
              <w:jc w:val="center"/>
              <w:rPr>
                <w:rFonts w:cstheme="minorHAnsi"/>
                <w:sz w:val="16"/>
                <w:szCs w:val="16"/>
              </w:rPr>
            </w:pPr>
          </w:p>
        </w:tc>
        <w:tc>
          <w:tcPr>
            <w:tcW w:w="1498" w:type="dxa"/>
            <w:tcBorders>
              <w:left w:val="nil"/>
              <w:bottom w:val="nil"/>
              <w:right w:val="nil"/>
            </w:tcBorders>
          </w:tcPr>
          <w:p w14:paraId="39DF1FA0" w14:textId="77777777" w:rsidR="00DF57A4" w:rsidRPr="00EE7DCD" w:rsidRDefault="00DF57A4" w:rsidP="00DF57A4">
            <w:pPr>
              <w:jc w:val="center"/>
              <w:rPr>
                <w:rFonts w:cstheme="minorHAnsi"/>
                <w:sz w:val="16"/>
                <w:szCs w:val="16"/>
              </w:rPr>
            </w:pPr>
          </w:p>
        </w:tc>
        <w:tc>
          <w:tcPr>
            <w:tcW w:w="1329" w:type="dxa"/>
            <w:tcBorders>
              <w:left w:val="nil"/>
              <w:bottom w:val="nil"/>
              <w:right w:val="nil"/>
            </w:tcBorders>
          </w:tcPr>
          <w:p w14:paraId="3FCD00A3" w14:textId="77777777" w:rsidR="00DF57A4" w:rsidRPr="00EE7DCD" w:rsidRDefault="00DF57A4" w:rsidP="00DF57A4">
            <w:pPr>
              <w:jc w:val="center"/>
              <w:rPr>
                <w:rFonts w:cstheme="minorHAnsi"/>
                <w:sz w:val="16"/>
                <w:szCs w:val="16"/>
              </w:rPr>
            </w:pPr>
          </w:p>
        </w:tc>
        <w:tc>
          <w:tcPr>
            <w:tcW w:w="1647" w:type="dxa"/>
            <w:tcBorders>
              <w:left w:val="nil"/>
              <w:bottom w:val="nil"/>
              <w:right w:val="nil"/>
            </w:tcBorders>
          </w:tcPr>
          <w:p w14:paraId="77B2B287" w14:textId="77777777" w:rsidR="00DF57A4" w:rsidRPr="00EE7DCD" w:rsidRDefault="00DF57A4" w:rsidP="00DF57A4">
            <w:pPr>
              <w:jc w:val="center"/>
              <w:rPr>
                <w:rFonts w:cstheme="minorHAnsi"/>
                <w:sz w:val="16"/>
                <w:szCs w:val="16"/>
              </w:rPr>
            </w:pPr>
          </w:p>
        </w:tc>
        <w:tc>
          <w:tcPr>
            <w:tcW w:w="1694" w:type="dxa"/>
            <w:tcBorders>
              <w:left w:val="nil"/>
              <w:bottom w:val="nil"/>
              <w:right w:val="nil"/>
            </w:tcBorders>
          </w:tcPr>
          <w:p w14:paraId="0E9A813A" w14:textId="77777777" w:rsidR="00DF57A4" w:rsidRPr="00EE7DCD" w:rsidRDefault="00DF57A4" w:rsidP="00DF57A4">
            <w:pPr>
              <w:jc w:val="center"/>
              <w:rPr>
                <w:rFonts w:cstheme="minorHAnsi"/>
                <w:sz w:val="16"/>
                <w:szCs w:val="16"/>
              </w:rPr>
            </w:pPr>
          </w:p>
        </w:tc>
      </w:tr>
      <w:tr w:rsidR="00DF57A4" w:rsidRPr="00EE7DCD" w14:paraId="7EF907E0" w14:textId="585C3C90" w:rsidTr="005760FD">
        <w:tc>
          <w:tcPr>
            <w:tcW w:w="1560" w:type="dxa"/>
            <w:tcBorders>
              <w:top w:val="nil"/>
              <w:left w:val="nil"/>
              <w:bottom w:val="nil"/>
              <w:right w:val="nil"/>
            </w:tcBorders>
          </w:tcPr>
          <w:p w14:paraId="6F21AC63" w14:textId="77777777" w:rsidR="00DF57A4" w:rsidRPr="00EE7DCD" w:rsidRDefault="00DF57A4" w:rsidP="00DF57A4">
            <w:pPr>
              <w:jc w:val="right"/>
              <w:rPr>
                <w:rFonts w:cstheme="minorHAnsi"/>
                <w:sz w:val="16"/>
                <w:szCs w:val="16"/>
              </w:rPr>
            </w:pPr>
            <w:r w:rsidRPr="00EE7DCD">
              <w:rPr>
                <w:rFonts w:cstheme="minorHAnsi"/>
                <w:sz w:val="16"/>
                <w:szCs w:val="16"/>
              </w:rPr>
              <w:t>Male</w:t>
            </w:r>
          </w:p>
        </w:tc>
        <w:tc>
          <w:tcPr>
            <w:tcW w:w="1560" w:type="dxa"/>
            <w:tcBorders>
              <w:top w:val="nil"/>
              <w:left w:val="nil"/>
              <w:bottom w:val="nil"/>
              <w:right w:val="nil"/>
            </w:tcBorders>
          </w:tcPr>
          <w:p w14:paraId="79DF49FF" w14:textId="4DEE283E" w:rsidR="00DF57A4" w:rsidRPr="00EE7DCD" w:rsidRDefault="00DF57A4" w:rsidP="00DF57A4">
            <w:pPr>
              <w:jc w:val="center"/>
              <w:rPr>
                <w:rFonts w:cstheme="minorHAnsi"/>
                <w:sz w:val="16"/>
                <w:szCs w:val="16"/>
              </w:rPr>
            </w:pPr>
            <w:r>
              <w:rPr>
                <w:rFonts w:cstheme="minorHAnsi"/>
                <w:sz w:val="16"/>
                <w:szCs w:val="16"/>
              </w:rPr>
              <w:t>1</w:t>
            </w:r>
          </w:p>
        </w:tc>
        <w:tc>
          <w:tcPr>
            <w:tcW w:w="770" w:type="dxa"/>
            <w:tcBorders>
              <w:top w:val="nil"/>
              <w:left w:val="nil"/>
              <w:bottom w:val="nil"/>
              <w:right w:val="nil"/>
            </w:tcBorders>
          </w:tcPr>
          <w:p w14:paraId="0626BB8B" w14:textId="4E60D7E3" w:rsidR="00DF57A4" w:rsidRPr="00EE7DCD" w:rsidRDefault="00DF57A4" w:rsidP="00DF57A4">
            <w:pPr>
              <w:jc w:val="center"/>
              <w:rPr>
                <w:rFonts w:cstheme="minorHAnsi"/>
                <w:sz w:val="16"/>
                <w:szCs w:val="16"/>
              </w:rPr>
            </w:pPr>
          </w:p>
        </w:tc>
        <w:tc>
          <w:tcPr>
            <w:tcW w:w="1498" w:type="dxa"/>
            <w:tcBorders>
              <w:top w:val="nil"/>
              <w:left w:val="nil"/>
              <w:bottom w:val="nil"/>
              <w:right w:val="nil"/>
            </w:tcBorders>
          </w:tcPr>
          <w:p w14:paraId="16F5795F" w14:textId="6E18E36F" w:rsidR="00DF57A4" w:rsidRPr="00EE7DCD" w:rsidRDefault="00DF57A4" w:rsidP="00DF57A4">
            <w:pPr>
              <w:jc w:val="center"/>
              <w:rPr>
                <w:rFonts w:cstheme="minorHAnsi"/>
                <w:sz w:val="16"/>
                <w:szCs w:val="16"/>
              </w:rPr>
            </w:pPr>
            <w:r>
              <w:rPr>
                <w:rFonts w:cstheme="minorHAnsi"/>
                <w:sz w:val="16"/>
                <w:szCs w:val="16"/>
              </w:rPr>
              <w:t>1</w:t>
            </w:r>
          </w:p>
        </w:tc>
        <w:tc>
          <w:tcPr>
            <w:tcW w:w="1329" w:type="dxa"/>
            <w:tcBorders>
              <w:top w:val="nil"/>
              <w:left w:val="nil"/>
              <w:bottom w:val="nil"/>
              <w:right w:val="nil"/>
            </w:tcBorders>
          </w:tcPr>
          <w:p w14:paraId="623DFBFD" w14:textId="77777777" w:rsidR="00DF57A4" w:rsidRPr="00EE7DCD" w:rsidRDefault="00DF57A4" w:rsidP="00DF57A4">
            <w:pPr>
              <w:jc w:val="center"/>
              <w:rPr>
                <w:rFonts w:cstheme="minorHAnsi"/>
                <w:sz w:val="16"/>
                <w:szCs w:val="16"/>
              </w:rPr>
            </w:pPr>
          </w:p>
        </w:tc>
        <w:tc>
          <w:tcPr>
            <w:tcW w:w="1647" w:type="dxa"/>
            <w:tcBorders>
              <w:top w:val="nil"/>
              <w:left w:val="nil"/>
              <w:bottom w:val="nil"/>
              <w:right w:val="nil"/>
            </w:tcBorders>
          </w:tcPr>
          <w:p w14:paraId="17E53EC7" w14:textId="77B51D42" w:rsidR="00DF57A4" w:rsidRPr="00EE7DCD" w:rsidRDefault="006848BB" w:rsidP="00DF57A4">
            <w:pPr>
              <w:jc w:val="center"/>
              <w:rPr>
                <w:rFonts w:cstheme="minorHAnsi"/>
                <w:sz w:val="16"/>
                <w:szCs w:val="16"/>
              </w:rPr>
            </w:pPr>
            <w:r>
              <w:rPr>
                <w:rFonts w:cstheme="minorHAnsi"/>
                <w:sz w:val="16"/>
                <w:szCs w:val="16"/>
              </w:rPr>
              <w:t>1</w:t>
            </w:r>
          </w:p>
        </w:tc>
        <w:tc>
          <w:tcPr>
            <w:tcW w:w="1694" w:type="dxa"/>
            <w:tcBorders>
              <w:top w:val="nil"/>
              <w:left w:val="nil"/>
              <w:bottom w:val="nil"/>
              <w:right w:val="nil"/>
            </w:tcBorders>
          </w:tcPr>
          <w:p w14:paraId="658C4221" w14:textId="77777777" w:rsidR="00DF57A4" w:rsidRPr="00EE7DCD" w:rsidRDefault="00DF57A4" w:rsidP="00DF57A4">
            <w:pPr>
              <w:jc w:val="center"/>
              <w:rPr>
                <w:rFonts w:cstheme="minorHAnsi"/>
                <w:sz w:val="16"/>
                <w:szCs w:val="16"/>
              </w:rPr>
            </w:pPr>
          </w:p>
        </w:tc>
      </w:tr>
      <w:tr w:rsidR="00DF57A4" w:rsidRPr="00EE7DCD" w14:paraId="09FA688E" w14:textId="50D1DE07" w:rsidTr="005760FD">
        <w:trPr>
          <w:trHeight w:val="347"/>
        </w:trPr>
        <w:tc>
          <w:tcPr>
            <w:tcW w:w="1560" w:type="dxa"/>
            <w:tcBorders>
              <w:top w:val="nil"/>
              <w:left w:val="nil"/>
              <w:bottom w:val="single" w:sz="4" w:space="0" w:color="auto"/>
              <w:right w:val="nil"/>
            </w:tcBorders>
          </w:tcPr>
          <w:p w14:paraId="32B01CF4" w14:textId="77777777" w:rsidR="00DF57A4" w:rsidRPr="00EE7DCD" w:rsidRDefault="00DF57A4" w:rsidP="00DF57A4">
            <w:pPr>
              <w:jc w:val="right"/>
              <w:rPr>
                <w:rFonts w:cstheme="minorHAnsi"/>
                <w:sz w:val="16"/>
                <w:szCs w:val="16"/>
              </w:rPr>
            </w:pPr>
            <w:r w:rsidRPr="00EE7DCD">
              <w:rPr>
                <w:rFonts w:cstheme="minorHAnsi"/>
                <w:sz w:val="16"/>
                <w:szCs w:val="16"/>
              </w:rPr>
              <w:t>Female</w:t>
            </w:r>
          </w:p>
        </w:tc>
        <w:tc>
          <w:tcPr>
            <w:tcW w:w="1560" w:type="dxa"/>
            <w:tcBorders>
              <w:top w:val="nil"/>
              <w:left w:val="nil"/>
              <w:bottom w:val="single" w:sz="4" w:space="0" w:color="auto"/>
              <w:right w:val="nil"/>
            </w:tcBorders>
          </w:tcPr>
          <w:p w14:paraId="29538ACB" w14:textId="730E04AC" w:rsidR="00DF57A4" w:rsidRPr="00EE7DCD" w:rsidRDefault="00DF57A4" w:rsidP="00DF57A4">
            <w:pPr>
              <w:jc w:val="center"/>
              <w:rPr>
                <w:rFonts w:cstheme="minorHAnsi"/>
                <w:sz w:val="16"/>
                <w:szCs w:val="16"/>
              </w:rPr>
            </w:pPr>
            <w:r>
              <w:rPr>
                <w:rFonts w:cstheme="minorHAnsi"/>
                <w:sz w:val="16"/>
                <w:szCs w:val="16"/>
              </w:rPr>
              <w:t>1.08 (1.01-1.15)</w:t>
            </w:r>
          </w:p>
        </w:tc>
        <w:tc>
          <w:tcPr>
            <w:tcW w:w="770" w:type="dxa"/>
            <w:tcBorders>
              <w:top w:val="nil"/>
              <w:left w:val="nil"/>
              <w:bottom w:val="single" w:sz="4" w:space="0" w:color="auto"/>
              <w:right w:val="nil"/>
            </w:tcBorders>
          </w:tcPr>
          <w:p w14:paraId="05005289" w14:textId="155860AA" w:rsidR="00DF57A4" w:rsidRPr="00EE7DCD" w:rsidRDefault="00DF57A4" w:rsidP="00DF57A4">
            <w:pPr>
              <w:jc w:val="center"/>
              <w:rPr>
                <w:rFonts w:cstheme="minorHAnsi"/>
                <w:sz w:val="16"/>
                <w:szCs w:val="16"/>
              </w:rPr>
            </w:pPr>
            <w:r>
              <w:rPr>
                <w:rFonts w:cstheme="minorHAnsi"/>
                <w:sz w:val="16"/>
                <w:szCs w:val="16"/>
              </w:rPr>
              <w:t>0.02</w:t>
            </w:r>
          </w:p>
        </w:tc>
        <w:tc>
          <w:tcPr>
            <w:tcW w:w="1498" w:type="dxa"/>
            <w:tcBorders>
              <w:top w:val="nil"/>
              <w:left w:val="nil"/>
              <w:bottom w:val="single" w:sz="4" w:space="0" w:color="auto"/>
              <w:right w:val="nil"/>
            </w:tcBorders>
          </w:tcPr>
          <w:p w14:paraId="786AFB80" w14:textId="4F614F11" w:rsidR="00DF57A4" w:rsidRPr="00EE7DCD" w:rsidRDefault="00DF57A4" w:rsidP="00DF57A4">
            <w:pPr>
              <w:jc w:val="center"/>
              <w:rPr>
                <w:rFonts w:cstheme="minorHAnsi"/>
                <w:sz w:val="16"/>
                <w:szCs w:val="16"/>
              </w:rPr>
            </w:pPr>
            <w:r>
              <w:rPr>
                <w:rFonts w:cstheme="minorHAnsi"/>
                <w:sz w:val="16"/>
                <w:szCs w:val="16"/>
              </w:rPr>
              <w:t>1.06 (0.99-1.13)</w:t>
            </w:r>
          </w:p>
        </w:tc>
        <w:tc>
          <w:tcPr>
            <w:tcW w:w="1329" w:type="dxa"/>
            <w:tcBorders>
              <w:top w:val="nil"/>
              <w:left w:val="nil"/>
              <w:bottom w:val="single" w:sz="4" w:space="0" w:color="auto"/>
              <w:right w:val="nil"/>
            </w:tcBorders>
          </w:tcPr>
          <w:p w14:paraId="3B3F645F" w14:textId="56967DE4" w:rsidR="00DF57A4" w:rsidRPr="00EE7DCD" w:rsidRDefault="00DF57A4" w:rsidP="00DF57A4">
            <w:pPr>
              <w:jc w:val="center"/>
              <w:rPr>
                <w:rFonts w:cstheme="minorHAnsi"/>
                <w:sz w:val="16"/>
                <w:szCs w:val="16"/>
              </w:rPr>
            </w:pPr>
            <w:r>
              <w:rPr>
                <w:rFonts w:cstheme="minorHAnsi"/>
                <w:sz w:val="16"/>
                <w:szCs w:val="16"/>
              </w:rPr>
              <w:t>0.08</w:t>
            </w:r>
          </w:p>
        </w:tc>
        <w:tc>
          <w:tcPr>
            <w:tcW w:w="1647" w:type="dxa"/>
            <w:tcBorders>
              <w:top w:val="nil"/>
              <w:left w:val="nil"/>
              <w:bottom w:val="single" w:sz="4" w:space="0" w:color="auto"/>
              <w:right w:val="nil"/>
            </w:tcBorders>
          </w:tcPr>
          <w:p w14:paraId="0DD36E18" w14:textId="3364FA48" w:rsidR="00DF57A4" w:rsidRDefault="006848BB" w:rsidP="00DF57A4">
            <w:pPr>
              <w:jc w:val="center"/>
              <w:rPr>
                <w:rFonts w:cstheme="minorHAnsi"/>
                <w:sz w:val="16"/>
                <w:szCs w:val="16"/>
              </w:rPr>
            </w:pPr>
            <w:r>
              <w:rPr>
                <w:rFonts w:cstheme="minorHAnsi"/>
                <w:sz w:val="16"/>
                <w:szCs w:val="16"/>
              </w:rPr>
              <w:t>1.20 (1.10-1.30)</w:t>
            </w:r>
          </w:p>
        </w:tc>
        <w:tc>
          <w:tcPr>
            <w:tcW w:w="1694" w:type="dxa"/>
            <w:tcBorders>
              <w:top w:val="nil"/>
              <w:left w:val="nil"/>
              <w:bottom w:val="single" w:sz="4" w:space="0" w:color="auto"/>
              <w:right w:val="nil"/>
            </w:tcBorders>
          </w:tcPr>
          <w:p w14:paraId="1E3F9DEB" w14:textId="4956FCB5" w:rsidR="00DF57A4" w:rsidRDefault="00D431DF" w:rsidP="00DF57A4">
            <w:pPr>
              <w:jc w:val="center"/>
              <w:rPr>
                <w:rFonts w:cstheme="minorHAnsi"/>
                <w:sz w:val="16"/>
                <w:szCs w:val="16"/>
              </w:rPr>
            </w:pPr>
            <w:r>
              <w:rPr>
                <w:rFonts w:cstheme="minorHAnsi"/>
                <w:sz w:val="16"/>
                <w:szCs w:val="16"/>
              </w:rPr>
              <w:t>&lt;0.001</w:t>
            </w:r>
          </w:p>
        </w:tc>
      </w:tr>
      <w:tr w:rsidR="00DF57A4" w:rsidRPr="00EE7DCD" w14:paraId="0A808755" w14:textId="0999FF04" w:rsidTr="005760FD">
        <w:tc>
          <w:tcPr>
            <w:tcW w:w="1560" w:type="dxa"/>
            <w:tcBorders>
              <w:left w:val="nil"/>
              <w:bottom w:val="nil"/>
              <w:right w:val="nil"/>
            </w:tcBorders>
          </w:tcPr>
          <w:p w14:paraId="6689D378" w14:textId="77777777" w:rsidR="00DF57A4" w:rsidRPr="00EE7DCD" w:rsidRDefault="00DF57A4" w:rsidP="00DF57A4">
            <w:pPr>
              <w:rPr>
                <w:rFonts w:cstheme="minorHAnsi"/>
                <w:sz w:val="16"/>
                <w:szCs w:val="16"/>
              </w:rPr>
            </w:pPr>
            <w:r w:rsidRPr="00EE7DCD">
              <w:rPr>
                <w:rFonts w:cstheme="minorHAnsi"/>
                <w:sz w:val="16"/>
                <w:szCs w:val="16"/>
              </w:rPr>
              <w:lastRenderedPageBreak/>
              <w:t xml:space="preserve">Age </w:t>
            </w:r>
            <w:r>
              <w:rPr>
                <w:rFonts w:cstheme="minorHAnsi"/>
                <w:sz w:val="16"/>
                <w:szCs w:val="16"/>
              </w:rPr>
              <w:t>(Years)</w:t>
            </w:r>
          </w:p>
        </w:tc>
        <w:tc>
          <w:tcPr>
            <w:tcW w:w="1560" w:type="dxa"/>
            <w:tcBorders>
              <w:left w:val="nil"/>
              <w:bottom w:val="nil"/>
              <w:right w:val="nil"/>
            </w:tcBorders>
          </w:tcPr>
          <w:p w14:paraId="50829229" w14:textId="77777777" w:rsidR="00DF57A4" w:rsidRPr="00EE7DCD" w:rsidRDefault="00DF57A4" w:rsidP="00DF57A4">
            <w:pPr>
              <w:jc w:val="center"/>
              <w:rPr>
                <w:rFonts w:cstheme="minorHAnsi"/>
                <w:sz w:val="16"/>
                <w:szCs w:val="16"/>
              </w:rPr>
            </w:pPr>
          </w:p>
        </w:tc>
        <w:tc>
          <w:tcPr>
            <w:tcW w:w="770" w:type="dxa"/>
            <w:tcBorders>
              <w:left w:val="nil"/>
              <w:bottom w:val="nil"/>
              <w:right w:val="nil"/>
            </w:tcBorders>
          </w:tcPr>
          <w:p w14:paraId="3C2E1A7E" w14:textId="77777777" w:rsidR="00DF57A4" w:rsidRPr="00EE7DCD" w:rsidRDefault="00DF57A4" w:rsidP="00DF57A4">
            <w:pPr>
              <w:jc w:val="center"/>
              <w:rPr>
                <w:rFonts w:cstheme="minorHAnsi"/>
                <w:sz w:val="16"/>
                <w:szCs w:val="16"/>
              </w:rPr>
            </w:pPr>
          </w:p>
        </w:tc>
        <w:tc>
          <w:tcPr>
            <w:tcW w:w="1498" w:type="dxa"/>
            <w:tcBorders>
              <w:left w:val="nil"/>
              <w:bottom w:val="nil"/>
              <w:right w:val="nil"/>
            </w:tcBorders>
          </w:tcPr>
          <w:p w14:paraId="4FBB2751" w14:textId="77777777" w:rsidR="00DF57A4" w:rsidRPr="00EE7DCD" w:rsidRDefault="00DF57A4" w:rsidP="00DF57A4">
            <w:pPr>
              <w:jc w:val="center"/>
              <w:rPr>
                <w:rFonts w:cstheme="minorHAnsi"/>
                <w:sz w:val="16"/>
                <w:szCs w:val="16"/>
              </w:rPr>
            </w:pPr>
          </w:p>
        </w:tc>
        <w:tc>
          <w:tcPr>
            <w:tcW w:w="1329" w:type="dxa"/>
            <w:tcBorders>
              <w:left w:val="nil"/>
              <w:bottom w:val="nil"/>
              <w:right w:val="nil"/>
            </w:tcBorders>
          </w:tcPr>
          <w:p w14:paraId="59E03C92" w14:textId="77777777" w:rsidR="00DF57A4" w:rsidRPr="00EE7DCD" w:rsidRDefault="00DF57A4" w:rsidP="00DF57A4">
            <w:pPr>
              <w:jc w:val="center"/>
              <w:rPr>
                <w:rFonts w:cstheme="minorHAnsi"/>
                <w:sz w:val="16"/>
                <w:szCs w:val="16"/>
              </w:rPr>
            </w:pPr>
          </w:p>
        </w:tc>
        <w:tc>
          <w:tcPr>
            <w:tcW w:w="1647" w:type="dxa"/>
            <w:tcBorders>
              <w:left w:val="nil"/>
              <w:bottom w:val="nil"/>
              <w:right w:val="nil"/>
            </w:tcBorders>
          </w:tcPr>
          <w:p w14:paraId="61C41B38" w14:textId="77777777" w:rsidR="00DF57A4" w:rsidRPr="00EE7DCD" w:rsidRDefault="00DF57A4" w:rsidP="00DF57A4">
            <w:pPr>
              <w:jc w:val="center"/>
              <w:rPr>
                <w:rFonts w:cstheme="minorHAnsi"/>
                <w:sz w:val="16"/>
                <w:szCs w:val="16"/>
              </w:rPr>
            </w:pPr>
          </w:p>
        </w:tc>
        <w:tc>
          <w:tcPr>
            <w:tcW w:w="1694" w:type="dxa"/>
            <w:tcBorders>
              <w:left w:val="nil"/>
              <w:bottom w:val="nil"/>
              <w:right w:val="nil"/>
            </w:tcBorders>
          </w:tcPr>
          <w:p w14:paraId="73D8EA3B" w14:textId="77777777" w:rsidR="00DF57A4" w:rsidRPr="00EE7DCD" w:rsidRDefault="00DF57A4" w:rsidP="00DF57A4">
            <w:pPr>
              <w:jc w:val="center"/>
              <w:rPr>
                <w:rFonts w:cstheme="minorHAnsi"/>
                <w:sz w:val="16"/>
                <w:szCs w:val="16"/>
              </w:rPr>
            </w:pPr>
          </w:p>
        </w:tc>
      </w:tr>
      <w:tr w:rsidR="00DF57A4" w:rsidRPr="00EE7DCD" w14:paraId="64A4D56C" w14:textId="639ED8F6" w:rsidTr="005760FD">
        <w:tc>
          <w:tcPr>
            <w:tcW w:w="1560" w:type="dxa"/>
            <w:tcBorders>
              <w:top w:val="nil"/>
              <w:left w:val="nil"/>
              <w:bottom w:val="nil"/>
              <w:right w:val="nil"/>
            </w:tcBorders>
          </w:tcPr>
          <w:p w14:paraId="7FD476A1" w14:textId="77777777" w:rsidR="00DF57A4" w:rsidRPr="00223E16" w:rsidRDefault="00DF57A4" w:rsidP="00DF57A4">
            <w:pPr>
              <w:jc w:val="right"/>
              <w:rPr>
                <w:rFonts w:cstheme="minorHAnsi"/>
                <w:sz w:val="16"/>
                <w:szCs w:val="16"/>
              </w:rPr>
            </w:pPr>
            <w:r w:rsidRPr="00223E16">
              <w:rPr>
                <w:rFonts w:cstheme="minorHAnsi"/>
                <w:sz w:val="16"/>
                <w:szCs w:val="16"/>
              </w:rPr>
              <w:t>&lt;1</w:t>
            </w:r>
          </w:p>
        </w:tc>
        <w:tc>
          <w:tcPr>
            <w:tcW w:w="1560" w:type="dxa"/>
            <w:tcBorders>
              <w:top w:val="nil"/>
              <w:left w:val="nil"/>
              <w:bottom w:val="nil"/>
              <w:right w:val="nil"/>
            </w:tcBorders>
          </w:tcPr>
          <w:p w14:paraId="14D80BE2" w14:textId="2FCD0BC4" w:rsidR="00DF57A4" w:rsidRPr="00EE7DCD" w:rsidRDefault="00DF57A4" w:rsidP="00DF57A4">
            <w:pPr>
              <w:jc w:val="center"/>
              <w:rPr>
                <w:rFonts w:cstheme="minorHAnsi"/>
                <w:sz w:val="16"/>
                <w:szCs w:val="16"/>
              </w:rPr>
            </w:pPr>
            <w:r>
              <w:rPr>
                <w:rFonts w:cstheme="minorHAnsi"/>
                <w:sz w:val="16"/>
                <w:szCs w:val="16"/>
              </w:rPr>
              <w:t>0.04 (0.002-0.18)</w:t>
            </w:r>
          </w:p>
        </w:tc>
        <w:tc>
          <w:tcPr>
            <w:tcW w:w="770" w:type="dxa"/>
            <w:tcBorders>
              <w:top w:val="nil"/>
              <w:left w:val="nil"/>
              <w:bottom w:val="nil"/>
              <w:right w:val="nil"/>
            </w:tcBorders>
          </w:tcPr>
          <w:p w14:paraId="3F4C8749" w14:textId="7207BD50" w:rsidR="00DF57A4" w:rsidRPr="00EE7DCD" w:rsidRDefault="00DF57A4" w:rsidP="00DF57A4">
            <w:pPr>
              <w:jc w:val="center"/>
              <w:rPr>
                <w:rFonts w:cstheme="minorHAnsi"/>
                <w:sz w:val="16"/>
                <w:szCs w:val="16"/>
              </w:rPr>
            </w:pPr>
            <w:r>
              <w:rPr>
                <w:rFonts w:cstheme="minorHAnsi"/>
                <w:sz w:val="16"/>
                <w:szCs w:val="16"/>
              </w:rPr>
              <w:t>0.001</w:t>
            </w:r>
          </w:p>
        </w:tc>
        <w:tc>
          <w:tcPr>
            <w:tcW w:w="1498" w:type="dxa"/>
            <w:tcBorders>
              <w:top w:val="nil"/>
              <w:left w:val="nil"/>
              <w:bottom w:val="nil"/>
              <w:right w:val="nil"/>
            </w:tcBorders>
          </w:tcPr>
          <w:p w14:paraId="75EEDF79" w14:textId="6DA7EFE4" w:rsidR="00DF57A4" w:rsidRPr="00EE7DCD" w:rsidRDefault="00DF57A4" w:rsidP="00DF57A4">
            <w:pPr>
              <w:jc w:val="center"/>
              <w:rPr>
                <w:rFonts w:cstheme="minorHAnsi"/>
                <w:sz w:val="16"/>
                <w:szCs w:val="16"/>
              </w:rPr>
            </w:pPr>
            <w:r>
              <w:rPr>
                <w:rFonts w:cstheme="minorHAnsi"/>
                <w:sz w:val="16"/>
                <w:szCs w:val="16"/>
              </w:rPr>
              <w:t>0.04 (0.003-0.20)</w:t>
            </w:r>
          </w:p>
        </w:tc>
        <w:tc>
          <w:tcPr>
            <w:tcW w:w="1329" w:type="dxa"/>
            <w:tcBorders>
              <w:top w:val="nil"/>
              <w:left w:val="nil"/>
              <w:bottom w:val="nil"/>
              <w:right w:val="nil"/>
            </w:tcBorders>
          </w:tcPr>
          <w:p w14:paraId="68000AA2" w14:textId="4E1116A9" w:rsidR="00DF57A4" w:rsidRPr="00EE7DCD" w:rsidRDefault="00DF57A4" w:rsidP="00DF57A4">
            <w:pPr>
              <w:jc w:val="center"/>
              <w:rPr>
                <w:rFonts w:cstheme="minorHAnsi"/>
                <w:sz w:val="16"/>
                <w:szCs w:val="16"/>
              </w:rPr>
            </w:pPr>
            <w:r>
              <w:rPr>
                <w:rFonts w:cstheme="minorHAnsi"/>
                <w:sz w:val="16"/>
                <w:szCs w:val="16"/>
              </w:rPr>
              <w:t>0.002</w:t>
            </w:r>
          </w:p>
        </w:tc>
        <w:tc>
          <w:tcPr>
            <w:tcW w:w="1647" w:type="dxa"/>
            <w:tcBorders>
              <w:top w:val="nil"/>
              <w:left w:val="nil"/>
              <w:bottom w:val="nil"/>
              <w:right w:val="nil"/>
            </w:tcBorders>
          </w:tcPr>
          <w:p w14:paraId="4DCA147E" w14:textId="0B3BC082" w:rsidR="00DF57A4" w:rsidRDefault="006848BB" w:rsidP="00DF57A4">
            <w:pPr>
              <w:jc w:val="center"/>
              <w:rPr>
                <w:rFonts w:cstheme="minorHAnsi"/>
                <w:sz w:val="16"/>
                <w:szCs w:val="16"/>
              </w:rPr>
            </w:pPr>
            <w:r>
              <w:rPr>
                <w:rFonts w:cstheme="minorHAnsi"/>
                <w:sz w:val="16"/>
                <w:szCs w:val="16"/>
              </w:rPr>
              <w:t>0.07 (0.004-0.31)</w:t>
            </w:r>
          </w:p>
        </w:tc>
        <w:tc>
          <w:tcPr>
            <w:tcW w:w="1694" w:type="dxa"/>
            <w:tcBorders>
              <w:top w:val="nil"/>
              <w:left w:val="nil"/>
              <w:bottom w:val="nil"/>
              <w:right w:val="nil"/>
            </w:tcBorders>
          </w:tcPr>
          <w:p w14:paraId="5FF63533" w14:textId="3EA88C1E" w:rsidR="00DF57A4" w:rsidRDefault="00D431DF" w:rsidP="00DF57A4">
            <w:pPr>
              <w:jc w:val="center"/>
              <w:rPr>
                <w:rFonts w:cstheme="minorHAnsi"/>
                <w:sz w:val="16"/>
                <w:szCs w:val="16"/>
              </w:rPr>
            </w:pPr>
            <w:r>
              <w:rPr>
                <w:rFonts w:cstheme="minorHAnsi"/>
                <w:sz w:val="16"/>
                <w:szCs w:val="16"/>
              </w:rPr>
              <w:t>0.008</w:t>
            </w:r>
          </w:p>
        </w:tc>
      </w:tr>
      <w:tr w:rsidR="00DF57A4" w:rsidRPr="00EE7DCD" w14:paraId="42529926" w14:textId="0363CB95" w:rsidTr="005760FD">
        <w:tc>
          <w:tcPr>
            <w:tcW w:w="1560" w:type="dxa"/>
            <w:tcBorders>
              <w:top w:val="nil"/>
              <w:left w:val="nil"/>
              <w:bottom w:val="nil"/>
              <w:right w:val="nil"/>
            </w:tcBorders>
          </w:tcPr>
          <w:p w14:paraId="229C71A5" w14:textId="77777777" w:rsidR="00DF57A4" w:rsidRPr="00223E16" w:rsidRDefault="00DF57A4" w:rsidP="00DF57A4">
            <w:pPr>
              <w:jc w:val="right"/>
              <w:rPr>
                <w:rFonts w:cstheme="minorHAnsi"/>
                <w:sz w:val="16"/>
                <w:szCs w:val="16"/>
              </w:rPr>
            </w:pPr>
            <w:r w:rsidRPr="00223E16">
              <w:rPr>
                <w:rFonts w:cstheme="minorHAnsi"/>
                <w:sz w:val="16"/>
                <w:szCs w:val="16"/>
              </w:rPr>
              <w:t>1-5</w:t>
            </w:r>
          </w:p>
        </w:tc>
        <w:tc>
          <w:tcPr>
            <w:tcW w:w="1560" w:type="dxa"/>
            <w:tcBorders>
              <w:top w:val="nil"/>
              <w:left w:val="nil"/>
              <w:bottom w:val="nil"/>
              <w:right w:val="nil"/>
            </w:tcBorders>
          </w:tcPr>
          <w:p w14:paraId="66C07F83" w14:textId="33215A34" w:rsidR="00DF57A4" w:rsidRPr="00EE7DCD" w:rsidRDefault="00DF57A4" w:rsidP="00DF57A4">
            <w:pPr>
              <w:jc w:val="center"/>
              <w:rPr>
                <w:rFonts w:cstheme="minorHAnsi"/>
                <w:sz w:val="16"/>
                <w:szCs w:val="16"/>
              </w:rPr>
            </w:pPr>
            <w:r>
              <w:rPr>
                <w:rFonts w:cstheme="minorHAnsi"/>
                <w:sz w:val="16"/>
                <w:szCs w:val="16"/>
              </w:rPr>
              <w:t>0.55 (0.42-0.69)</w:t>
            </w:r>
          </w:p>
        </w:tc>
        <w:tc>
          <w:tcPr>
            <w:tcW w:w="770" w:type="dxa"/>
            <w:tcBorders>
              <w:top w:val="nil"/>
              <w:left w:val="nil"/>
              <w:bottom w:val="nil"/>
              <w:right w:val="nil"/>
            </w:tcBorders>
          </w:tcPr>
          <w:p w14:paraId="01E8A3C1" w14:textId="6628008F" w:rsidR="00DF57A4" w:rsidRPr="00EE7DCD" w:rsidRDefault="00DF57A4" w:rsidP="00DF57A4">
            <w:pPr>
              <w:jc w:val="center"/>
              <w:rPr>
                <w:rFonts w:cstheme="minorHAnsi"/>
                <w:sz w:val="16"/>
                <w:szCs w:val="16"/>
              </w:rPr>
            </w:pPr>
            <w:r>
              <w:rPr>
                <w:rFonts w:cstheme="minorHAnsi"/>
                <w:sz w:val="16"/>
                <w:szCs w:val="16"/>
              </w:rPr>
              <w:t>&lt;0.001</w:t>
            </w:r>
          </w:p>
        </w:tc>
        <w:tc>
          <w:tcPr>
            <w:tcW w:w="1498" w:type="dxa"/>
            <w:tcBorders>
              <w:top w:val="nil"/>
              <w:left w:val="nil"/>
              <w:bottom w:val="nil"/>
              <w:right w:val="nil"/>
            </w:tcBorders>
          </w:tcPr>
          <w:p w14:paraId="54DECA73" w14:textId="09267D66" w:rsidR="00DF57A4" w:rsidRPr="00EE7DCD" w:rsidRDefault="00DF57A4" w:rsidP="00DF57A4">
            <w:pPr>
              <w:jc w:val="center"/>
              <w:rPr>
                <w:rFonts w:cstheme="minorHAnsi"/>
                <w:sz w:val="16"/>
                <w:szCs w:val="16"/>
              </w:rPr>
            </w:pPr>
            <w:r>
              <w:rPr>
                <w:rFonts w:cstheme="minorHAnsi"/>
                <w:sz w:val="16"/>
                <w:szCs w:val="16"/>
              </w:rPr>
              <w:t>0.52 (0.40-0.67)</w:t>
            </w:r>
          </w:p>
        </w:tc>
        <w:tc>
          <w:tcPr>
            <w:tcW w:w="1329" w:type="dxa"/>
            <w:tcBorders>
              <w:top w:val="nil"/>
              <w:left w:val="nil"/>
              <w:bottom w:val="nil"/>
              <w:right w:val="nil"/>
            </w:tcBorders>
          </w:tcPr>
          <w:p w14:paraId="0209857C" w14:textId="761F24E5" w:rsidR="00DF57A4" w:rsidRPr="00EE7DCD" w:rsidRDefault="00DF57A4" w:rsidP="00DF57A4">
            <w:pPr>
              <w:jc w:val="center"/>
              <w:rPr>
                <w:rFonts w:cstheme="minorHAnsi"/>
                <w:sz w:val="16"/>
                <w:szCs w:val="16"/>
              </w:rPr>
            </w:pPr>
            <w:r>
              <w:rPr>
                <w:rFonts w:cstheme="minorHAnsi"/>
                <w:sz w:val="16"/>
                <w:szCs w:val="16"/>
              </w:rPr>
              <w:t>&lt;0.001</w:t>
            </w:r>
          </w:p>
        </w:tc>
        <w:tc>
          <w:tcPr>
            <w:tcW w:w="1647" w:type="dxa"/>
            <w:tcBorders>
              <w:top w:val="nil"/>
              <w:left w:val="nil"/>
              <w:bottom w:val="nil"/>
              <w:right w:val="nil"/>
            </w:tcBorders>
          </w:tcPr>
          <w:p w14:paraId="5BFD7A27" w14:textId="63FC0AF7" w:rsidR="00DF57A4" w:rsidRDefault="006848BB" w:rsidP="00DF57A4">
            <w:pPr>
              <w:jc w:val="center"/>
              <w:rPr>
                <w:rFonts w:cstheme="minorHAnsi"/>
                <w:sz w:val="16"/>
                <w:szCs w:val="16"/>
              </w:rPr>
            </w:pPr>
            <w:r>
              <w:rPr>
                <w:rFonts w:cstheme="minorHAnsi"/>
                <w:sz w:val="16"/>
                <w:szCs w:val="16"/>
              </w:rPr>
              <w:t>0.65 (0.48-0.88)</w:t>
            </w:r>
          </w:p>
        </w:tc>
        <w:tc>
          <w:tcPr>
            <w:tcW w:w="1694" w:type="dxa"/>
            <w:tcBorders>
              <w:top w:val="nil"/>
              <w:left w:val="nil"/>
              <w:bottom w:val="nil"/>
              <w:right w:val="nil"/>
            </w:tcBorders>
          </w:tcPr>
          <w:p w14:paraId="2685D5BE" w14:textId="5E870C72" w:rsidR="00DF57A4" w:rsidRDefault="00D431DF" w:rsidP="00DF57A4">
            <w:pPr>
              <w:jc w:val="center"/>
              <w:rPr>
                <w:rFonts w:cstheme="minorHAnsi"/>
                <w:sz w:val="16"/>
                <w:szCs w:val="16"/>
              </w:rPr>
            </w:pPr>
            <w:r>
              <w:rPr>
                <w:rFonts w:cstheme="minorHAnsi"/>
                <w:sz w:val="16"/>
                <w:szCs w:val="16"/>
              </w:rPr>
              <w:t>0.006</w:t>
            </w:r>
          </w:p>
        </w:tc>
      </w:tr>
      <w:tr w:rsidR="00DF57A4" w:rsidRPr="00EE7DCD" w14:paraId="5C0B7BC9" w14:textId="77659FDB" w:rsidTr="005760FD">
        <w:tc>
          <w:tcPr>
            <w:tcW w:w="1560" w:type="dxa"/>
            <w:tcBorders>
              <w:top w:val="nil"/>
              <w:left w:val="nil"/>
              <w:bottom w:val="nil"/>
              <w:right w:val="nil"/>
            </w:tcBorders>
          </w:tcPr>
          <w:p w14:paraId="75CA1BFF" w14:textId="77777777" w:rsidR="00DF57A4" w:rsidRPr="00223E16" w:rsidRDefault="00DF57A4" w:rsidP="00DF57A4">
            <w:pPr>
              <w:jc w:val="right"/>
              <w:rPr>
                <w:rFonts w:cstheme="minorHAnsi"/>
                <w:sz w:val="16"/>
                <w:szCs w:val="16"/>
              </w:rPr>
            </w:pPr>
            <w:r w:rsidRPr="00223E16">
              <w:rPr>
                <w:rFonts w:cstheme="minorHAnsi"/>
                <w:sz w:val="16"/>
                <w:szCs w:val="16"/>
              </w:rPr>
              <w:t>6-10</w:t>
            </w:r>
          </w:p>
        </w:tc>
        <w:tc>
          <w:tcPr>
            <w:tcW w:w="1560" w:type="dxa"/>
            <w:tcBorders>
              <w:top w:val="nil"/>
              <w:left w:val="nil"/>
              <w:bottom w:val="nil"/>
              <w:right w:val="nil"/>
            </w:tcBorders>
          </w:tcPr>
          <w:p w14:paraId="65A10AA2" w14:textId="68733085" w:rsidR="00DF57A4" w:rsidRPr="00EE7DCD" w:rsidRDefault="00DF57A4" w:rsidP="00DF57A4">
            <w:pPr>
              <w:jc w:val="center"/>
              <w:rPr>
                <w:rFonts w:cstheme="minorHAnsi"/>
                <w:sz w:val="16"/>
                <w:szCs w:val="16"/>
              </w:rPr>
            </w:pPr>
            <w:r>
              <w:rPr>
                <w:rFonts w:cstheme="minorHAnsi"/>
                <w:sz w:val="16"/>
                <w:szCs w:val="16"/>
              </w:rPr>
              <w:t>0.76 (0.63-0.91)</w:t>
            </w:r>
          </w:p>
        </w:tc>
        <w:tc>
          <w:tcPr>
            <w:tcW w:w="770" w:type="dxa"/>
            <w:tcBorders>
              <w:top w:val="nil"/>
              <w:left w:val="nil"/>
              <w:bottom w:val="nil"/>
              <w:right w:val="nil"/>
            </w:tcBorders>
          </w:tcPr>
          <w:p w14:paraId="6E21D293" w14:textId="27AA4CCF" w:rsidR="00DF57A4" w:rsidRPr="00EE7DCD" w:rsidRDefault="00DF57A4" w:rsidP="00DF57A4">
            <w:pPr>
              <w:jc w:val="center"/>
              <w:rPr>
                <w:rFonts w:cstheme="minorHAnsi"/>
                <w:sz w:val="16"/>
                <w:szCs w:val="16"/>
              </w:rPr>
            </w:pPr>
            <w:r>
              <w:rPr>
                <w:rFonts w:cstheme="minorHAnsi"/>
                <w:sz w:val="16"/>
                <w:szCs w:val="16"/>
              </w:rPr>
              <w:t>&lt;0.001</w:t>
            </w:r>
          </w:p>
        </w:tc>
        <w:tc>
          <w:tcPr>
            <w:tcW w:w="1498" w:type="dxa"/>
            <w:tcBorders>
              <w:top w:val="nil"/>
              <w:left w:val="nil"/>
              <w:bottom w:val="nil"/>
              <w:right w:val="nil"/>
            </w:tcBorders>
          </w:tcPr>
          <w:p w14:paraId="2298368F" w14:textId="32E6D2A1" w:rsidR="00DF57A4" w:rsidRPr="00EE7DCD" w:rsidRDefault="00DF57A4" w:rsidP="00DF57A4">
            <w:pPr>
              <w:jc w:val="center"/>
              <w:rPr>
                <w:rFonts w:cstheme="minorHAnsi"/>
                <w:sz w:val="16"/>
                <w:szCs w:val="16"/>
              </w:rPr>
            </w:pPr>
            <w:r>
              <w:rPr>
                <w:rFonts w:cstheme="minorHAnsi"/>
                <w:sz w:val="16"/>
                <w:szCs w:val="16"/>
              </w:rPr>
              <w:t>0.72 (0.59-0.87)</w:t>
            </w:r>
          </w:p>
        </w:tc>
        <w:tc>
          <w:tcPr>
            <w:tcW w:w="1329" w:type="dxa"/>
            <w:tcBorders>
              <w:top w:val="nil"/>
              <w:left w:val="nil"/>
              <w:bottom w:val="nil"/>
              <w:right w:val="nil"/>
            </w:tcBorders>
          </w:tcPr>
          <w:p w14:paraId="4471C7D1" w14:textId="23D766E5" w:rsidR="00DF57A4" w:rsidRPr="00EE7DCD" w:rsidRDefault="00DF57A4" w:rsidP="00DF57A4">
            <w:pPr>
              <w:jc w:val="center"/>
              <w:rPr>
                <w:rFonts w:cstheme="minorHAnsi"/>
                <w:sz w:val="16"/>
                <w:szCs w:val="16"/>
              </w:rPr>
            </w:pPr>
            <w:r>
              <w:rPr>
                <w:rFonts w:cstheme="minorHAnsi"/>
                <w:sz w:val="16"/>
                <w:szCs w:val="16"/>
              </w:rPr>
              <w:t>&lt;0.001</w:t>
            </w:r>
          </w:p>
        </w:tc>
        <w:tc>
          <w:tcPr>
            <w:tcW w:w="1647" w:type="dxa"/>
            <w:tcBorders>
              <w:top w:val="nil"/>
              <w:left w:val="nil"/>
              <w:bottom w:val="nil"/>
              <w:right w:val="nil"/>
            </w:tcBorders>
          </w:tcPr>
          <w:p w14:paraId="1E5FA41A" w14:textId="628B3345" w:rsidR="00DF57A4" w:rsidRDefault="006848BB" w:rsidP="00DF57A4">
            <w:pPr>
              <w:jc w:val="center"/>
              <w:rPr>
                <w:rFonts w:cstheme="minorHAnsi"/>
                <w:sz w:val="16"/>
                <w:szCs w:val="16"/>
              </w:rPr>
            </w:pPr>
            <w:r>
              <w:rPr>
                <w:rFonts w:cstheme="minorHAnsi"/>
                <w:sz w:val="16"/>
                <w:szCs w:val="16"/>
              </w:rPr>
              <w:t>0.95</w:t>
            </w:r>
            <w:r w:rsidR="00D431DF">
              <w:rPr>
                <w:rFonts w:cstheme="minorHAnsi"/>
                <w:sz w:val="16"/>
                <w:szCs w:val="16"/>
              </w:rPr>
              <w:t xml:space="preserve"> (0.75-1.20)</w:t>
            </w:r>
          </w:p>
        </w:tc>
        <w:tc>
          <w:tcPr>
            <w:tcW w:w="1694" w:type="dxa"/>
            <w:tcBorders>
              <w:top w:val="nil"/>
              <w:left w:val="nil"/>
              <w:bottom w:val="nil"/>
              <w:right w:val="nil"/>
            </w:tcBorders>
          </w:tcPr>
          <w:p w14:paraId="10B2797D" w14:textId="776042BA" w:rsidR="00DF57A4" w:rsidRDefault="00D431DF" w:rsidP="00DF57A4">
            <w:pPr>
              <w:jc w:val="center"/>
              <w:rPr>
                <w:rFonts w:cstheme="minorHAnsi"/>
                <w:sz w:val="16"/>
                <w:szCs w:val="16"/>
              </w:rPr>
            </w:pPr>
            <w:r>
              <w:rPr>
                <w:rFonts w:cstheme="minorHAnsi"/>
                <w:sz w:val="16"/>
                <w:szCs w:val="16"/>
              </w:rPr>
              <w:t>0.67</w:t>
            </w:r>
          </w:p>
        </w:tc>
      </w:tr>
      <w:tr w:rsidR="00DF57A4" w:rsidRPr="00EE7DCD" w14:paraId="13B32BBD" w14:textId="29EB7DAA" w:rsidTr="005760FD">
        <w:tc>
          <w:tcPr>
            <w:tcW w:w="1560" w:type="dxa"/>
            <w:tcBorders>
              <w:top w:val="nil"/>
              <w:left w:val="nil"/>
              <w:bottom w:val="nil"/>
              <w:right w:val="nil"/>
            </w:tcBorders>
          </w:tcPr>
          <w:p w14:paraId="3F98A636" w14:textId="77777777" w:rsidR="00DF57A4" w:rsidRPr="00223E16" w:rsidRDefault="00DF57A4" w:rsidP="00DF57A4">
            <w:pPr>
              <w:jc w:val="right"/>
              <w:rPr>
                <w:rFonts w:cstheme="minorHAnsi"/>
                <w:sz w:val="16"/>
                <w:szCs w:val="16"/>
              </w:rPr>
            </w:pPr>
            <w:r w:rsidRPr="00223E16">
              <w:rPr>
                <w:rFonts w:cstheme="minorHAnsi"/>
                <w:sz w:val="16"/>
                <w:szCs w:val="16"/>
              </w:rPr>
              <w:t>11-15</w:t>
            </w:r>
          </w:p>
        </w:tc>
        <w:tc>
          <w:tcPr>
            <w:tcW w:w="1560" w:type="dxa"/>
            <w:tcBorders>
              <w:top w:val="nil"/>
              <w:left w:val="nil"/>
              <w:bottom w:val="nil"/>
              <w:right w:val="nil"/>
            </w:tcBorders>
          </w:tcPr>
          <w:p w14:paraId="5E2D3770" w14:textId="4BF435B8" w:rsidR="00DF57A4" w:rsidRPr="00EE7DCD" w:rsidRDefault="00DF57A4" w:rsidP="00DF57A4">
            <w:pPr>
              <w:jc w:val="center"/>
              <w:rPr>
                <w:rFonts w:cstheme="minorHAnsi"/>
                <w:sz w:val="16"/>
                <w:szCs w:val="16"/>
              </w:rPr>
            </w:pPr>
            <w:r>
              <w:rPr>
                <w:rFonts w:cstheme="minorHAnsi"/>
                <w:sz w:val="16"/>
                <w:szCs w:val="16"/>
              </w:rPr>
              <w:t>0.66 (0.55-0.80)</w:t>
            </w:r>
          </w:p>
        </w:tc>
        <w:tc>
          <w:tcPr>
            <w:tcW w:w="770" w:type="dxa"/>
            <w:tcBorders>
              <w:top w:val="nil"/>
              <w:left w:val="nil"/>
              <w:bottom w:val="nil"/>
              <w:right w:val="nil"/>
            </w:tcBorders>
          </w:tcPr>
          <w:p w14:paraId="07B4AB04" w14:textId="4B517964" w:rsidR="00DF57A4" w:rsidRPr="00EE7DCD" w:rsidRDefault="00DF57A4" w:rsidP="00DF57A4">
            <w:pPr>
              <w:jc w:val="center"/>
              <w:rPr>
                <w:rFonts w:cstheme="minorHAnsi"/>
                <w:sz w:val="16"/>
                <w:szCs w:val="16"/>
              </w:rPr>
            </w:pPr>
            <w:r>
              <w:rPr>
                <w:rFonts w:cstheme="minorHAnsi"/>
                <w:sz w:val="16"/>
                <w:szCs w:val="16"/>
              </w:rPr>
              <w:t>&lt;0.001</w:t>
            </w:r>
          </w:p>
        </w:tc>
        <w:tc>
          <w:tcPr>
            <w:tcW w:w="1498" w:type="dxa"/>
            <w:tcBorders>
              <w:top w:val="nil"/>
              <w:left w:val="nil"/>
              <w:bottom w:val="nil"/>
              <w:right w:val="nil"/>
            </w:tcBorders>
          </w:tcPr>
          <w:p w14:paraId="39117E70" w14:textId="122A71BF" w:rsidR="00DF57A4" w:rsidRPr="00EE7DCD" w:rsidRDefault="00DF57A4" w:rsidP="00DF57A4">
            <w:pPr>
              <w:jc w:val="center"/>
              <w:rPr>
                <w:rFonts w:cstheme="minorHAnsi"/>
                <w:sz w:val="16"/>
                <w:szCs w:val="16"/>
              </w:rPr>
            </w:pPr>
            <w:r>
              <w:rPr>
                <w:rFonts w:cstheme="minorHAnsi"/>
                <w:sz w:val="16"/>
                <w:szCs w:val="16"/>
              </w:rPr>
              <w:t>0.67 (0.55-0.81)</w:t>
            </w:r>
          </w:p>
        </w:tc>
        <w:tc>
          <w:tcPr>
            <w:tcW w:w="1329" w:type="dxa"/>
            <w:tcBorders>
              <w:top w:val="nil"/>
              <w:left w:val="nil"/>
              <w:bottom w:val="nil"/>
              <w:right w:val="nil"/>
            </w:tcBorders>
          </w:tcPr>
          <w:p w14:paraId="6F2C5B30" w14:textId="19932E65" w:rsidR="00DF57A4" w:rsidRPr="00EE7DCD" w:rsidRDefault="00DF57A4" w:rsidP="00DF57A4">
            <w:pPr>
              <w:jc w:val="center"/>
              <w:rPr>
                <w:rFonts w:cstheme="minorHAnsi"/>
                <w:sz w:val="16"/>
                <w:szCs w:val="16"/>
              </w:rPr>
            </w:pPr>
            <w:r>
              <w:rPr>
                <w:rFonts w:cstheme="minorHAnsi"/>
                <w:sz w:val="16"/>
                <w:szCs w:val="16"/>
              </w:rPr>
              <w:t>&lt;0.001</w:t>
            </w:r>
          </w:p>
        </w:tc>
        <w:tc>
          <w:tcPr>
            <w:tcW w:w="1647" w:type="dxa"/>
            <w:tcBorders>
              <w:top w:val="nil"/>
              <w:left w:val="nil"/>
              <w:bottom w:val="nil"/>
              <w:right w:val="nil"/>
            </w:tcBorders>
          </w:tcPr>
          <w:p w14:paraId="3B01083B" w14:textId="1391CCA1" w:rsidR="00DF57A4" w:rsidRDefault="006848BB" w:rsidP="00DF57A4">
            <w:pPr>
              <w:jc w:val="center"/>
              <w:rPr>
                <w:rFonts w:cstheme="minorHAnsi"/>
                <w:sz w:val="16"/>
                <w:szCs w:val="16"/>
              </w:rPr>
            </w:pPr>
            <w:r>
              <w:rPr>
                <w:rFonts w:cstheme="minorHAnsi"/>
                <w:sz w:val="16"/>
                <w:szCs w:val="16"/>
              </w:rPr>
              <w:t>0.88</w:t>
            </w:r>
            <w:r w:rsidR="00D431DF">
              <w:rPr>
                <w:rFonts w:cstheme="minorHAnsi"/>
                <w:sz w:val="16"/>
                <w:szCs w:val="16"/>
              </w:rPr>
              <w:t xml:space="preserve"> (0.70</w:t>
            </w:r>
            <w:r>
              <w:rPr>
                <w:rFonts w:cstheme="minorHAnsi"/>
                <w:sz w:val="16"/>
                <w:szCs w:val="16"/>
              </w:rPr>
              <w:t>-1.11)</w:t>
            </w:r>
          </w:p>
        </w:tc>
        <w:tc>
          <w:tcPr>
            <w:tcW w:w="1694" w:type="dxa"/>
            <w:tcBorders>
              <w:top w:val="nil"/>
              <w:left w:val="nil"/>
              <w:bottom w:val="nil"/>
              <w:right w:val="nil"/>
            </w:tcBorders>
          </w:tcPr>
          <w:p w14:paraId="4A40A0A6" w14:textId="29B1AB69" w:rsidR="00DF57A4" w:rsidRDefault="00D431DF" w:rsidP="00DF57A4">
            <w:pPr>
              <w:jc w:val="center"/>
              <w:rPr>
                <w:rFonts w:cstheme="minorHAnsi"/>
                <w:sz w:val="16"/>
                <w:szCs w:val="16"/>
              </w:rPr>
            </w:pPr>
            <w:r>
              <w:rPr>
                <w:rFonts w:cstheme="minorHAnsi"/>
                <w:sz w:val="16"/>
                <w:szCs w:val="16"/>
              </w:rPr>
              <w:t>0.29</w:t>
            </w:r>
          </w:p>
        </w:tc>
      </w:tr>
      <w:tr w:rsidR="00DF57A4" w:rsidRPr="00EE7DCD" w14:paraId="5E702D2B" w14:textId="2C5FDB7E" w:rsidTr="005760FD">
        <w:tc>
          <w:tcPr>
            <w:tcW w:w="1560" w:type="dxa"/>
            <w:tcBorders>
              <w:top w:val="nil"/>
              <w:left w:val="nil"/>
              <w:bottom w:val="nil"/>
              <w:right w:val="nil"/>
            </w:tcBorders>
          </w:tcPr>
          <w:p w14:paraId="5BA1A955" w14:textId="77777777" w:rsidR="00DF57A4" w:rsidRPr="00223E16" w:rsidRDefault="00DF57A4" w:rsidP="00DF57A4">
            <w:pPr>
              <w:jc w:val="right"/>
              <w:rPr>
                <w:rFonts w:cstheme="minorHAnsi"/>
                <w:sz w:val="16"/>
                <w:szCs w:val="16"/>
              </w:rPr>
            </w:pPr>
            <w:r w:rsidRPr="00223E16">
              <w:rPr>
                <w:rFonts w:cstheme="minorHAnsi"/>
                <w:sz w:val="16"/>
                <w:szCs w:val="16"/>
              </w:rPr>
              <w:t>16-20</w:t>
            </w:r>
          </w:p>
        </w:tc>
        <w:tc>
          <w:tcPr>
            <w:tcW w:w="1560" w:type="dxa"/>
            <w:tcBorders>
              <w:top w:val="nil"/>
              <w:left w:val="nil"/>
              <w:bottom w:val="nil"/>
              <w:right w:val="nil"/>
            </w:tcBorders>
          </w:tcPr>
          <w:p w14:paraId="63E9FA24" w14:textId="71592BDC" w:rsidR="00DF57A4" w:rsidRPr="00EE7DCD" w:rsidRDefault="00DF57A4" w:rsidP="00DF57A4">
            <w:pPr>
              <w:jc w:val="center"/>
              <w:rPr>
                <w:rFonts w:cstheme="minorHAnsi"/>
                <w:sz w:val="16"/>
                <w:szCs w:val="16"/>
              </w:rPr>
            </w:pPr>
            <w:r>
              <w:rPr>
                <w:rFonts w:cstheme="minorHAnsi"/>
                <w:sz w:val="16"/>
                <w:szCs w:val="16"/>
              </w:rPr>
              <w:t>0.63 (0.52-0.75)</w:t>
            </w:r>
          </w:p>
        </w:tc>
        <w:tc>
          <w:tcPr>
            <w:tcW w:w="770" w:type="dxa"/>
            <w:tcBorders>
              <w:top w:val="nil"/>
              <w:left w:val="nil"/>
              <w:bottom w:val="nil"/>
              <w:right w:val="nil"/>
            </w:tcBorders>
          </w:tcPr>
          <w:p w14:paraId="222E363C" w14:textId="0FAAC327" w:rsidR="00DF57A4" w:rsidRPr="00EE7DCD" w:rsidRDefault="00DF57A4" w:rsidP="00DF57A4">
            <w:pPr>
              <w:jc w:val="center"/>
              <w:rPr>
                <w:rFonts w:cstheme="minorHAnsi"/>
                <w:sz w:val="16"/>
                <w:szCs w:val="16"/>
              </w:rPr>
            </w:pPr>
            <w:r>
              <w:rPr>
                <w:rFonts w:cstheme="minorHAnsi"/>
                <w:sz w:val="16"/>
                <w:szCs w:val="16"/>
              </w:rPr>
              <w:t>&lt;0.001</w:t>
            </w:r>
          </w:p>
        </w:tc>
        <w:tc>
          <w:tcPr>
            <w:tcW w:w="1498" w:type="dxa"/>
            <w:tcBorders>
              <w:top w:val="nil"/>
              <w:left w:val="nil"/>
              <w:bottom w:val="nil"/>
              <w:right w:val="nil"/>
            </w:tcBorders>
          </w:tcPr>
          <w:p w14:paraId="61E358A3" w14:textId="4DBD8D55" w:rsidR="00DF57A4" w:rsidRPr="00EE7DCD" w:rsidRDefault="00DF57A4" w:rsidP="00DF57A4">
            <w:pPr>
              <w:jc w:val="center"/>
              <w:rPr>
                <w:rFonts w:cstheme="minorHAnsi"/>
                <w:sz w:val="16"/>
                <w:szCs w:val="16"/>
              </w:rPr>
            </w:pPr>
            <w:r>
              <w:rPr>
                <w:rFonts w:cstheme="minorHAnsi"/>
                <w:sz w:val="16"/>
                <w:szCs w:val="16"/>
              </w:rPr>
              <w:t>0.64 (0.53-0.78)</w:t>
            </w:r>
          </w:p>
        </w:tc>
        <w:tc>
          <w:tcPr>
            <w:tcW w:w="1329" w:type="dxa"/>
            <w:tcBorders>
              <w:top w:val="nil"/>
              <w:left w:val="nil"/>
              <w:bottom w:val="nil"/>
              <w:right w:val="nil"/>
            </w:tcBorders>
          </w:tcPr>
          <w:p w14:paraId="69CC51EF" w14:textId="3E678BF1" w:rsidR="00DF57A4" w:rsidRPr="00EE7DCD" w:rsidRDefault="00DF57A4" w:rsidP="00DF57A4">
            <w:pPr>
              <w:jc w:val="center"/>
              <w:rPr>
                <w:rFonts w:cstheme="minorHAnsi"/>
                <w:sz w:val="16"/>
                <w:szCs w:val="16"/>
              </w:rPr>
            </w:pPr>
            <w:r>
              <w:rPr>
                <w:rFonts w:cstheme="minorHAnsi"/>
                <w:sz w:val="16"/>
                <w:szCs w:val="16"/>
              </w:rPr>
              <w:t>&lt;0.001</w:t>
            </w:r>
          </w:p>
        </w:tc>
        <w:tc>
          <w:tcPr>
            <w:tcW w:w="1647" w:type="dxa"/>
            <w:tcBorders>
              <w:top w:val="nil"/>
              <w:left w:val="nil"/>
              <w:bottom w:val="nil"/>
              <w:right w:val="nil"/>
            </w:tcBorders>
          </w:tcPr>
          <w:p w14:paraId="37A2B35D" w14:textId="3557D14E" w:rsidR="00DF57A4" w:rsidRDefault="006848BB" w:rsidP="00DF57A4">
            <w:pPr>
              <w:jc w:val="center"/>
              <w:rPr>
                <w:rFonts w:cstheme="minorHAnsi"/>
                <w:sz w:val="16"/>
                <w:szCs w:val="16"/>
              </w:rPr>
            </w:pPr>
            <w:r>
              <w:rPr>
                <w:rFonts w:cstheme="minorHAnsi"/>
                <w:sz w:val="16"/>
                <w:szCs w:val="16"/>
              </w:rPr>
              <w:t>0.87</w:t>
            </w:r>
            <w:r w:rsidR="00D431DF">
              <w:rPr>
                <w:rFonts w:cstheme="minorHAnsi"/>
                <w:sz w:val="16"/>
                <w:szCs w:val="16"/>
              </w:rPr>
              <w:t xml:space="preserve"> (0.69</w:t>
            </w:r>
            <w:r>
              <w:rPr>
                <w:rFonts w:cstheme="minorHAnsi"/>
                <w:sz w:val="16"/>
                <w:szCs w:val="16"/>
              </w:rPr>
              <w:t>-1.10)</w:t>
            </w:r>
          </w:p>
        </w:tc>
        <w:tc>
          <w:tcPr>
            <w:tcW w:w="1694" w:type="dxa"/>
            <w:tcBorders>
              <w:top w:val="nil"/>
              <w:left w:val="nil"/>
              <w:bottom w:val="nil"/>
              <w:right w:val="nil"/>
            </w:tcBorders>
          </w:tcPr>
          <w:p w14:paraId="74744CC8" w14:textId="5D2FDF60" w:rsidR="00DF57A4" w:rsidRDefault="00D431DF" w:rsidP="00DF57A4">
            <w:pPr>
              <w:jc w:val="center"/>
              <w:rPr>
                <w:rFonts w:cstheme="minorHAnsi"/>
                <w:sz w:val="16"/>
                <w:szCs w:val="16"/>
              </w:rPr>
            </w:pPr>
            <w:r>
              <w:rPr>
                <w:rFonts w:cstheme="minorHAnsi"/>
                <w:sz w:val="16"/>
                <w:szCs w:val="16"/>
              </w:rPr>
              <w:t>0.25</w:t>
            </w:r>
          </w:p>
        </w:tc>
      </w:tr>
      <w:tr w:rsidR="00DF57A4" w:rsidRPr="00EE7DCD" w14:paraId="379AA3FE" w14:textId="2CB296F5" w:rsidTr="005760FD">
        <w:tc>
          <w:tcPr>
            <w:tcW w:w="1560" w:type="dxa"/>
            <w:tcBorders>
              <w:top w:val="nil"/>
              <w:left w:val="nil"/>
              <w:bottom w:val="nil"/>
              <w:right w:val="nil"/>
            </w:tcBorders>
          </w:tcPr>
          <w:p w14:paraId="1081A151" w14:textId="77777777" w:rsidR="00DF57A4" w:rsidRPr="00223E16" w:rsidRDefault="00DF57A4" w:rsidP="00DF57A4">
            <w:pPr>
              <w:jc w:val="right"/>
              <w:rPr>
                <w:rFonts w:cstheme="minorHAnsi"/>
                <w:sz w:val="16"/>
                <w:szCs w:val="16"/>
              </w:rPr>
            </w:pPr>
            <w:r w:rsidRPr="00223E16">
              <w:rPr>
                <w:rFonts w:cstheme="minorHAnsi"/>
                <w:sz w:val="16"/>
                <w:szCs w:val="16"/>
              </w:rPr>
              <w:t>21-25</w:t>
            </w:r>
          </w:p>
        </w:tc>
        <w:tc>
          <w:tcPr>
            <w:tcW w:w="1560" w:type="dxa"/>
            <w:tcBorders>
              <w:top w:val="nil"/>
              <w:left w:val="nil"/>
              <w:bottom w:val="nil"/>
              <w:right w:val="nil"/>
            </w:tcBorders>
          </w:tcPr>
          <w:p w14:paraId="581659F8" w14:textId="0B1283BB" w:rsidR="00DF57A4" w:rsidRPr="00EE7DCD" w:rsidRDefault="00DF57A4" w:rsidP="00DF57A4">
            <w:pPr>
              <w:jc w:val="center"/>
              <w:rPr>
                <w:rFonts w:cstheme="minorHAnsi"/>
                <w:sz w:val="16"/>
                <w:szCs w:val="16"/>
              </w:rPr>
            </w:pPr>
            <w:r>
              <w:rPr>
                <w:rFonts w:cstheme="minorHAnsi"/>
                <w:sz w:val="16"/>
                <w:szCs w:val="16"/>
              </w:rPr>
              <w:t>0.64 (0.54-0.77)</w:t>
            </w:r>
          </w:p>
        </w:tc>
        <w:tc>
          <w:tcPr>
            <w:tcW w:w="770" w:type="dxa"/>
            <w:tcBorders>
              <w:top w:val="nil"/>
              <w:left w:val="nil"/>
              <w:bottom w:val="nil"/>
              <w:right w:val="nil"/>
            </w:tcBorders>
          </w:tcPr>
          <w:p w14:paraId="6C866C1D" w14:textId="250D7022" w:rsidR="00DF57A4" w:rsidRPr="00EE7DCD" w:rsidRDefault="00DF57A4" w:rsidP="00DF57A4">
            <w:pPr>
              <w:jc w:val="center"/>
              <w:rPr>
                <w:rFonts w:cstheme="minorHAnsi"/>
                <w:sz w:val="16"/>
                <w:szCs w:val="16"/>
              </w:rPr>
            </w:pPr>
            <w:r>
              <w:rPr>
                <w:rFonts w:cstheme="minorHAnsi"/>
                <w:sz w:val="16"/>
                <w:szCs w:val="16"/>
              </w:rPr>
              <w:t>&lt;0.001</w:t>
            </w:r>
          </w:p>
        </w:tc>
        <w:tc>
          <w:tcPr>
            <w:tcW w:w="1498" w:type="dxa"/>
            <w:tcBorders>
              <w:top w:val="nil"/>
              <w:left w:val="nil"/>
              <w:bottom w:val="nil"/>
              <w:right w:val="nil"/>
            </w:tcBorders>
          </w:tcPr>
          <w:p w14:paraId="7BEE7963" w14:textId="1D4B437C" w:rsidR="00DF57A4" w:rsidRPr="00EE7DCD" w:rsidRDefault="00DF57A4" w:rsidP="00DF57A4">
            <w:pPr>
              <w:jc w:val="center"/>
              <w:rPr>
                <w:rFonts w:cstheme="minorHAnsi"/>
                <w:sz w:val="16"/>
                <w:szCs w:val="16"/>
              </w:rPr>
            </w:pPr>
            <w:r>
              <w:rPr>
                <w:rFonts w:cstheme="minorHAnsi"/>
                <w:sz w:val="16"/>
                <w:szCs w:val="16"/>
              </w:rPr>
              <w:t>0.68 (0.56-0.81)</w:t>
            </w:r>
          </w:p>
        </w:tc>
        <w:tc>
          <w:tcPr>
            <w:tcW w:w="1329" w:type="dxa"/>
            <w:tcBorders>
              <w:top w:val="nil"/>
              <w:left w:val="nil"/>
              <w:bottom w:val="nil"/>
              <w:right w:val="nil"/>
            </w:tcBorders>
          </w:tcPr>
          <w:p w14:paraId="06B3B7B1" w14:textId="25707FAF" w:rsidR="00DF57A4" w:rsidRPr="00EE7DCD" w:rsidRDefault="00DF57A4" w:rsidP="00DF57A4">
            <w:pPr>
              <w:jc w:val="center"/>
              <w:rPr>
                <w:rFonts w:cstheme="minorHAnsi"/>
                <w:sz w:val="16"/>
                <w:szCs w:val="16"/>
              </w:rPr>
            </w:pPr>
            <w:r>
              <w:rPr>
                <w:rFonts w:cstheme="minorHAnsi"/>
                <w:sz w:val="16"/>
                <w:szCs w:val="16"/>
              </w:rPr>
              <w:t>&lt;0.001</w:t>
            </w:r>
          </w:p>
        </w:tc>
        <w:tc>
          <w:tcPr>
            <w:tcW w:w="1647" w:type="dxa"/>
            <w:tcBorders>
              <w:top w:val="nil"/>
              <w:left w:val="nil"/>
              <w:bottom w:val="nil"/>
              <w:right w:val="nil"/>
            </w:tcBorders>
          </w:tcPr>
          <w:p w14:paraId="45ACF20A" w14:textId="129CE2C8" w:rsidR="00DF57A4" w:rsidRDefault="006848BB" w:rsidP="00DF57A4">
            <w:pPr>
              <w:jc w:val="center"/>
              <w:rPr>
                <w:rFonts w:cstheme="minorHAnsi"/>
                <w:sz w:val="16"/>
                <w:szCs w:val="16"/>
              </w:rPr>
            </w:pPr>
            <w:r>
              <w:rPr>
                <w:rFonts w:cstheme="minorHAnsi"/>
                <w:sz w:val="16"/>
                <w:szCs w:val="16"/>
              </w:rPr>
              <w:t>0.85 (0.68-1.07)</w:t>
            </w:r>
          </w:p>
        </w:tc>
        <w:tc>
          <w:tcPr>
            <w:tcW w:w="1694" w:type="dxa"/>
            <w:tcBorders>
              <w:top w:val="nil"/>
              <w:left w:val="nil"/>
              <w:bottom w:val="nil"/>
              <w:right w:val="nil"/>
            </w:tcBorders>
          </w:tcPr>
          <w:p w14:paraId="5A560A0C" w14:textId="45D73644" w:rsidR="00DF57A4" w:rsidRDefault="00D431DF" w:rsidP="00DF57A4">
            <w:pPr>
              <w:jc w:val="center"/>
              <w:rPr>
                <w:rFonts w:cstheme="minorHAnsi"/>
                <w:sz w:val="16"/>
                <w:szCs w:val="16"/>
              </w:rPr>
            </w:pPr>
            <w:r>
              <w:rPr>
                <w:rFonts w:cstheme="minorHAnsi"/>
                <w:sz w:val="16"/>
                <w:szCs w:val="16"/>
              </w:rPr>
              <w:t>0.18</w:t>
            </w:r>
          </w:p>
        </w:tc>
      </w:tr>
      <w:tr w:rsidR="00DF57A4" w:rsidRPr="00EE7DCD" w14:paraId="1A0B3D15" w14:textId="31CC4E6B" w:rsidTr="005760FD">
        <w:tc>
          <w:tcPr>
            <w:tcW w:w="1560" w:type="dxa"/>
            <w:tcBorders>
              <w:top w:val="nil"/>
              <w:left w:val="nil"/>
              <w:bottom w:val="nil"/>
              <w:right w:val="nil"/>
            </w:tcBorders>
          </w:tcPr>
          <w:p w14:paraId="429224EF" w14:textId="77777777" w:rsidR="00DF57A4" w:rsidRPr="00223E16" w:rsidRDefault="00DF57A4" w:rsidP="00DF57A4">
            <w:pPr>
              <w:jc w:val="right"/>
              <w:rPr>
                <w:rFonts w:cstheme="minorHAnsi"/>
                <w:sz w:val="16"/>
                <w:szCs w:val="16"/>
              </w:rPr>
            </w:pPr>
            <w:r w:rsidRPr="00223E16">
              <w:rPr>
                <w:rFonts w:cstheme="minorHAnsi"/>
                <w:sz w:val="16"/>
                <w:szCs w:val="16"/>
              </w:rPr>
              <w:t>26-30</w:t>
            </w:r>
          </w:p>
        </w:tc>
        <w:tc>
          <w:tcPr>
            <w:tcW w:w="1560" w:type="dxa"/>
            <w:tcBorders>
              <w:top w:val="nil"/>
              <w:left w:val="nil"/>
              <w:bottom w:val="nil"/>
              <w:right w:val="nil"/>
            </w:tcBorders>
          </w:tcPr>
          <w:p w14:paraId="7B9FC09C" w14:textId="0195C2C4" w:rsidR="00DF57A4" w:rsidRPr="00EE7DCD" w:rsidRDefault="00DF57A4" w:rsidP="00DF57A4">
            <w:pPr>
              <w:jc w:val="center"/>
              <w:rPr>
                <w:rFonts w:cstheme="minorHAnsi"/>
                <w:sz w:val="16"/>
                <w:szCs w:val="16"/>
              </w:rPr>
            </w:pPr>
            <w:r>
              <w:rPr>
                <w:rFonts w:cstheme="minorHAnsi"/>
                <w:sz w:val="16"/>
                <w:szCs w:val="16"/>
              </w:rPr>
              <w:t>0.78 (0.66-0.92)</w:t>
            </w:r>
          </w:p>
        </w:tc>
        <w:tc>
          <w:tcPr>
            <w:tcW w:w="770" w:type="dxa"/>
            <w:tcBorders>
              <w:top w:val="nil"/>
              <w:left w:val="nil"/>
              <w:bottom w:val="nil"/>
              <w:right w:val="nil"/>
            </w:tcBorders>
          </w:tcPr>
          <w:p w14:paraId="3AAD0E11" w14:textId="583E7EEB" w:rsidR="00DF57A4" w:rsidRPr="00EE7DCD" w:rsidRDefault="00DF57A4" w:rsidP="00DF57A4">
            <w:pPr>
              <w:jc w:val="center"/>
              <w:rPr>
                <w:rFonts w:cstheme="minorHAnsi"/>
                <w:sz w:val="16"/>
                <w:szCs w:val="16"/>
              </w:rPr>
            </w:pPr>
            <w:r>
              <w:rPr>
                <w:rFonts w:cstheme="minorHAnsi"/>
                <w:sz w:val="16"/>
                <w:szCs w:val="16"/>
              </w:rPr>
              <w:t>0.004</w:t>
            </w:r>
          </w:p>
        </w:tc>
        <w:tc>
          <w:tcPr>
            <w:tcW w:w="1498" w:type="dxa"/>
            <w:tcBorders>
              <w:top w:val="nil"/>
              <w:left w:val="nil"/>
              <w:bottom w:val="nil"/>
              <w:right w:val="nil"/>
            </w:tcBorders>
          </w:tcPr>
          <w:p w14:paraId="1C018383" w14:textId="49A1E629" w:rsidR="00DF57A4" w:rsidRPr="00EE7DCD" w:rsidRDefault="00DF57A4" w:rsidP="00DF57A4">
            <w:pPr>
              <w:jc w:val="center"/>
              <w:rPr>
                <w:rFonts w:cstheme="minorHAnsi"/>
                <w:sz w:val="16"/>
                <w:szCs w:val="16"/>
              </w:rPr>
            </w:pPr>
            <w:r>
              <w:rPr>
                <w:rFonts w:cstheme="minorHAnsi"/>
                <w:sz w:val="16"/>
                <w:szCs w:val="16"/>
              </w:rPr>
              <w:t>0.81 (0.68-0.96)</w:t>
            </w:r>
          </w:p>
        </w:tc>
        <w:tc>
          <w:tcPr>
            <w:tcW w:w="1329" w:type="dxa"/>
            <w:tcBorders>
              <w:top w:val="nil"/>
              <w:left w:val="nil"/>
              <w:bottom w:val="nil"/>
              <w:right w:val="nil"/>
            </w:tcBorders>
          </w:tcPr>
          <w:p w14:paraId="011EEA32" w14:textId="052F8419" w:rsidR="00DF57A4" w:rsidRPr="00EE7DCD" w:rsidRDefault="00DF57A4" w:rsidP="00DF57A4">
            <w:pPr>
              <w:jc w:val="center"/>
              <w:rPr>
                <w:rFonts w:cstheme="minorHAnsi"/>
                <w:sz w:val="16"/>
                <w:szCs w:val="16"/>
              </w:rPr>
            </w:pPr>
            <w:r>
              <w:rPr>
                <w:rFonts w:cstheme="minorHAnsi"/>
                <w:sz w:val="16"/>
                <w:szCs w:val="16"/>
              </w:rPr>
              <w:t>0.02</w:t>
            </w:r>
          </w:p>
        </w:tc>
        <w:tc>
          <w:tcPr>
            <w:tcW w:w="1647" w:type="dxa"/>
            <w:tcBorders>
              <w:top w:val="nil"/>
              <w:left w:val="nil"/>
              <w:bottom w:val="nil"/>
              <w:right w:val="nil"/>
            </w:tcBorders>
          </w:tcPr>
          <w:p w14:paraId="04B12B98" w14:textId="1C09676E" w:rsidR="00DF57A4" w:rsidRDefault="006848BB" w:rsidP="00DF57A4">
            <w:pPr>
              <w:jc w:val="center"/>
              <w:rPr>
                <w:rFonts w:cstheme="minorHAnsi"/>
                <w:sz w:val="16"/>
                <w:szCs w:val="16"/>
              </w:rPr>
            </w:pPr>
            <w:r>
              <w:rPr>
                <w:rFonts w:cstheme="minorHAnsi"/>
                <w:sz w:val="16"/>
                <w:szCs w:val="16"/>
              </w:rPr>
              <w:t>0.96 (</w:t>
            </w:r>
            <w:r w:rsidR="00D431DF">
              <w:rPr>
                <w:rFonts w:cstheme="minorHAnsi"/>
                <w:sz w:val="16"/>
                <w:szCs w:val="16"/>
              </w:rPr>
              <w:t>0.77-1.20)</w:t>
            </w:r>
          </w:p>
        </w:tc>
        <w:tc>
          <w:tcPr>
            <w:tcW w:w="1694" w:type="dxa"/>
            <w:tcBorders>
              <w:top w:val="nil"/>
              <w:left w:val="nil"/>
              <w:bottom w:val="nil"/>
              <w:right w:val="nil"/>
            </w:tcBorders>
          </w:tcPr>
          <w:p w14:paraId="05E93378" w14:textId="547161E6" w:rsidR="00DF57A4" w:rsidRDefault="00D431DF" w:rsidP="00DF57A4">
            <w:pPr>
              <w:jc w:val="center"/>
              <w:rPr>
                <w:rFonts w:cstheme="minorHAnsi"/>
                <w:sz w:val="16"/>
                <w:szCs w:val="16"/>
              </w:rPr>
            </w:pPr>
            <w:r>
              <w:rPr>
                <w:rFonts w:cstheme="minorHAnsi"/>
                <w:sz w:val="16"/>
                <w:szCs w:val="16"/>
              </w:rPr>
              <w:t>0.74</w:t>
            </w:r>
          </w:p>
        </w:tc>
      </w:tr>
      <w:tr w:rsidR="00DF57A4" w:rsidRPr="00EE7DCD" w14:paraId="246511EA" w14:textId="5E6838D7" w:rsidTr="005760FD">
        <w:tc>
          <w:tcPr>
            <w:tcW w:w="1560" w:type="dxa"/>
            <w:tcBorders>
              <w:top w:val="nil"/>
              <w:left w:val="nil"/>
              <w:bottom w:val="nil"/>
              <w:right w:val="nil"/>
            </w:tcBorders>
          </w:tcPr>
          <w:p w14:paraId="3C331BF5" w14:textId="77777777" w:rsidR="00DF57A4" w:rsidRPr="00223E16" w:rsidRDefault="00DF57A4" w:rsidP="00DF57A4">
            <w:pPr>
              <w:jc w:val="right"/>
              <w:rPr>
                <w:rFonts w:cstheme="minorHAnsi"/>
                <w:sz w:val="16"/>
                <w:szCs w:val="16"/>
              </w:rPr>
            </w:pPr>
            <w:r w:rsidRPr="00223E16">
              <w:rPr>
                <w:rFonts w:cstheme="minorHAnsi"/>
                <w:sz w:val="16"/>
                <w:szCs w:val="16"/>
              </w:rPr>
              <w:t>31-35</w:t>
            </w:r>
          </w:p>
        </w:tc>
        <w:tc>
          <w:tcPr>
            <w:tcW w:w="1560" w:type="dxa"/>
            <w:tcBorders>
              <w:top w:val="nil"/>
              <w:left w:val="nil"/>
              <w:bottom w:val="nil"/>
              <w:right w:val="nil"/>
            </w:tcBorders>
          </w:tcPr>
          <w:p w14:paraId="0FC4565E" w14:textId="3324BC69" w:rsidR="00DF57A4" w:rsidRPr="00EE7DCD" w:rsidRDefault="00DF57A4" w:rsidP="00DF57A4">
            <w:pPr>
              <w:jc w:val="center"/>
              <w:rPr>
                <w:rFonts w:cstheme="minorHAnsi"/>
                <w:sz w:val="16"/>
                <w:szCs w:val="16"/>
              </w:rPr>
            </w:pPr>
            <w:r>
              <w:rPr>
                <w:rFonts w:cstheme="minorHAnsi"/>
                <w:sz w:val="16"/>
                <w:szCs w:val="16"/>
              </w:rPr>
              <w:t>0.80 (0.68-0.94)</w:t>
            </w:r>
          </w:p>
        </w:tc>
        <w:tc>
          <w:tcPr>
            <w:tcW w:w="770" w:type="dxa"/>
            <w:tcBorders>
              <w:top w:val="nil"/>
              <w:left w:val="nil"/>
              <w:bottom w:val="nil"/>
              <w:right w:val="nil"/>
            </w:tcBorders>
          </w:tcPr>
          <w:p w14:paraId="7A321389" w14:textId="58D5F4C4" w:rsidR="00DF57A4" w:rsidRPr="00EE7DCD" w:rsidRDefault="00DF57A4" w:rsidP="00DF57A4">
            <w:pPr>
              <w:jc w:val="center"/>
              <w:rPr>
                <w:rFonts w:cstheme="minorHAnsi"/>
                <w:sz w:val="16"/>
                <w:szCs w:val="16"/>
              </w:rPr>
            </w:pPr>
            <w:r>
              <w:rPr>
                <w:rFonts w:cstheme="minorHAnsi"/>
                <w:sz w:val="16"/>
                <w:szCs w:val="16"/>
              </w:rPr>
              <w:t>0.006</w:t>
            </w:r>
          </w:p>
        </w:tc>
        <w:tc>
          <w:tcPr>
            <w:tcW w:w="1498" w:type="dxa"/>
            <w:tcBorders>
              <w:top w:val="nil"/>
              <w:left w:val="nil"/>
              <w:bottom w:val="nil"/>
              <w:right w:val="nil"/>
            </w:tcBorders>
          </w:tcPr>
          <w:p w14:paraId="6E24623B" w14:textId="0A579952" w:rsidR="00DF57A4" w:rsidRPr="00EE7DCD" w:rsidRDefault="00DF57A4" w:rsidP="00DF57A4">
            <w:pPr>
              <w:jc w:val="center"/>
              <w:rPr>
                <w:rFonts w:cstheme="minorHAnsi"/>
                <w:sz w:val="16"/>
                <w:szCs w:val="16"/>
              </w:rPr>
            </w:pPr>
            <w:r>
              <w:rPr>
                <w:rFonts w:cstheme="minorHAnsi"/>
                <w:sz w:val="16"/>
                <w:szCs w:val="16"/>
              </w:rPr>
              <w:t>0.85 (0.72-1.01)</w:t>
            </w:r>
          </w:p>
        </w:tc>
        <w:tc>
          <w:tcPr>
            <w:tcW w:w="1329" w:type="dxa"/>
            <w:tcBorders>
              <w:top w:val="nil"/>
              <w:left w:val="nil"/>
              <w:bottom w:val="nil"/>
              <w:right w:val="nil"/>
            </w:tcBorders>
          </w:tcPr>
          <w:p w14:paraId="04D96E31" w14:textId="3C63E2C4" w:rsidR="00DF57A4" w:rsidRPr="00EE7DCD" w:rsidRDefault="00DF57A4" w:rsidP="00DF57A4">
            <w:pPr>
              <w:jc w:val="center"/>
              <w:rPr>
                <w:rFonts w:cstheme="minorHAnsi"/>
                <w:sz w:val="16"/>
                <w:szCs w:val="16"/>
              </w:rPr>
            </w:pPr>
            <w:r>
              <w:rPr>
                <w:rFonts w:cstheme="minorHAnsi"/>
                <w:sz w:val="16"/>
                <w:szCs w:val="16"/>
              </w:rPr>
              <w:t>0.06</w:t>
            </w:r>
          </w:p>
        </w:tc>
        <w:tc>
          <w:tcPr>
            <w:tcW w:w="1647" w:type="dxa"/>
            <w:tcBorders>
              <w:top w:val="nil"/>
              <w:left w:val="nil"/>
              <w:bottom w:val="nil"/>
              <w:right w:val="nil"/>
            </w:tcBorders>
          </w:tcPr>
          <w:p w14:paraId="4D3145A0" w14:textId="2A21BF18" w:rsidR="00DF57A4" w:rsidRDefault="006848BB" w:rsidP="00DF57A4">
            <w:pPr>
              <w:jc w:val="center"/>
              <w:rPr>
                <w:rFonts w:cstheme="minorHAnsi"/>
                <w:sz w:val="16"/>
                <w:szCs w:val="16"/>
              </w:rPr>
            </w:pPr>
            <w:r>
              <w:rPr>
                <w:rFonts w:cstheme="minorHAnsi"/>
                <w:sz w:val="16"/>
                <w:szCs w:val="16"/>
              </w:rPr>
              <w:t>0.86</w:t>
            </w:r>
            <w:r w:rsidR="00D431DF">
              <w:rPr>
                <w:rFonts w:cstheme="minorHAnsi"/>
                <w:sz w:val="16"/>
                <w:szCs w:val="16"/>
              </w:rPr>
              <w:t xml:space="preserve"> (0.68-1.07)</w:t>
            </w:r>
          </w:p>
        </w:tc>
        <w:tc>
          <w:tcPr>
            <w:tcW w:w="1694" w:type="dxa"/>
            <w:tcBorders>
              <w:top w:val="nil"/>
              <w:left w:val="nil"/>
              <w:bottom w:val="nil"/>
              <w:right w:val="nil"/>
            </w:tcBorders>
          </w:tcPr>
          <w:p w14:paraId="5F597D6D" w14:textId="602D89BF" w:rsidR="00DF57A4" w:rsidRDefault="00D431DF" w:rsidP="00DF57A4">
            <w:pPr>
              <w:jc w:val="center"/>
              <w:rPr>
                <w:rFonts w:cstheme="minorHAnsi"/>
                <w:sz w:val="16"/>
                <w:szCs w:val="16"/>
              </w:rPr>
            </w:pPr>
            <w:r>
              <w:rPr>
                <w:rFonts w:cstheme="minorHAnsi"/>
                <w:sz w:val="16"/>
                <w:szCs w:val="16"/>
              </w:rPr>
              <w:t>0.17</w:t>
            </w:r>
          </w:p>
        </w:tc>
      </w:tr>
      <w:tr w:rsidR="00DF57A4" w:rsidRPr="00EE7DCD" w14:paraId="21284E41" w14:textId="072D98F7" w:rsidTr="005760FD">
        <w:tc>
          <w:tcPr>
            <w:tcW w:w="1560" w:type="dxa"/>
            <w:tcBorders>
              <w:top w:val="nil"/>
              <w:left w:val="nil"/>
              <w:bottom w:val="nil"/>
              <w:right w:val="nil"/>
            </w:tcBorders>
          </w:tcPr>
          <w:p w14:paraId="546CF5C1" w14:textId="77777777" w:rsidR="00DF57A4" w:rsidRPr="00223E16" w:rsidRDefault="00DF57A4" w:rsidP="00DF57A4">
            <w:pPr>
              <w:jc w:val="right"/>
              <w:rPr>
                <w:rFonts w:cstheme="minorHAnsi"/>
                <w:sz w:val="16"/>
                <w:szCs w:val="16"/>
              </w:rPr>
            </w:pPr>
            <w:r w:rsidRPr="00223E16">
              <w:rPr>
                <w:rFonts w:cstheme="minorHAnsi"/>
                <w:sz w:val="16"/>
                <w:szCs w:val="16"/>
              </w:rPr>
              <w:t>36-40</w:t>
            </w:r>
          </w:p>
        </w:tc>
        <w:tc>
          <w:tcPr>
            <w:tcW w:w="1560" w:type="dxa"/>
            <w:tcBorders>
              <w:top w:val="nil"/>
              <w:left w:val="nil"/>
              <w:bottom w:val="nil"/>
              <w:right w:val="nil"/>
            </w:tcBorders>
          </w:tcPr>
          <w:p w14:paraId="731CCC58" w14:textId="187F0EE9" w:rsidR="00DF57A4" w:rsidRPr="00EE7DCD" w:rsidRDefault="00DF57A4" w:rsidP="00DF57A4">
            <w:pPr>
              <w:jc w:val="center"/>
              <w:rPr>
                <w:rFonts w:cstheme="minorHAnsi"/>
                <w:sz w:val="16"/>
                <w:szCs w:val="16"/>
              </w:rPr>
            </w:pPr>
            <w:r>
              <w:rPr>
                <w:rFonts w:cstheme="minorHAnsi"/>
                <w:sz w:val="16"/>
                <w:szCs w:val="16"/>
              </w:rPr>
              <w:t>0.82 (0.70-0.96)</w:t>
            </w:r>
          </w:p>
        </w:tc>
        <w:tc>
          <w:tcPr>
            <w:tcW w:w="770" w:type="dxa"/>
            <w:tcBorders>
              <w:top w:val="nil"/>
              <w:left w:val="nil"/>
              <w:bottom w:val="nil"/>
              <w:right w:val="nil"/>
            </w:tcBorders>
          </w:tcPr>
          <w:p w14:paraId="32D84701" w14:textId="18A3E835" w:rsidR="00DF57A4" w:rsidRPr="00EE7DCD" w:rsidRDefault="00DF57A4" w:rsidP="00DF57A4">
            <w:pPr>
              <w:jc w:val="center"/>
              <w:rPr>
                <w:rFonts w:cstheme="minorHAnsi"/>
                <w:sz w:val="16"/>
                <w:szCs w:val="16"/>
              </w:rPr>
            </w:pPr>
            <w:r>
              <w:rPr>
                <w:rFonts w:cstheme="minorHAnsi"/>
                <w:sz w:val="16"/>
                <w:szCs w:val="16"/>
              </w:rPr>
              <w:t>0.012</w:t>
            </w:r>
          </w:p>
        </w:tc>
        <w:tc>
          <w:tcPr>
            <w:tcW w:w="1498" w:type="dxa"/>
            <w:tcBorders>
              <w:top w:val="nil"/>
              <w:left w:val="nil"/>
              <w:bottom w:val="nil"/>
              <w:right w:val="nil"/>
            </w:tcBorders>
          </w:tcPr>
          <w:p w14:paraId="2E28AEBB" w14:textId="026D7584" w:rsidR="00DF57A4" w:rsidRPr="00EE7DCD" w:rsidRDefault="00DF57A4" w:rsidP="00DF57A4">
            <w:pPr>
              <w:jc w:val="center"/>
              <w:rPr>
                <w:rFonts w:cstheme="minorHAnsi"/>
                <w:sz w:val="16"/>
                <w:szCs w:val="16"/>
              </w:rPr>
            </w:pPr>
            <w:r>
              <w:rPr>
                <w:rFonts w:cstheme="minorHAnsi"/>
                <w:sz w:val="16"/>
                <w:szCs w:val="16"/>
              </w:rPr>
              <w:t>0.83 (0.70-0.98)</w:t>
            </w:r>
          </w:p>
        </w:tc>
        <w:tc>
          <w:tcPr>
            <w:tcW w:w="1329" w:type="dxa"/>
            <w:tcBorders>
              <w:top w:val="nil"/>
              <w:left w:val="nil"/>
              <w:bottom w:val="nil"/>
              <w:right w:val="nil"/>
            </w:tcBorders>
          </w:tcPr>
          <w:p w14:paraId="69C40CB4" w14:textId="28EB2C46" w:rsidR="00DF57A4" w:rsidRPr="00EE7DCD" w:rsidRDefault="00DF57A4" w:rsidP="00DF57A4">
            <w:pPr>
              <w:jc w:val="center"/>
              <w:rPr>
                <w:rFonts w:cstheme="minorHAnsi"/>
                <w:sz w:val="16"/>
                <w:szCs w:val="16"/>
              </w:rPr>
            </w:pPr>
            <w:r>
              <w:rPr>
                <w:rFonts w:cstheme="minorHAnsi"/>
                <w:sz w:val="16"/>
                <w:szCs w:val="16"/>
              </w:rPr>
              <w:t>0.02</w:t>
            </w:r>
          </w:p>
        </w:tc>
        <w:tc>
          <w:tcPr>
            <w:tcW w:w="1647" w:type="dxa"/>
            <w:tcBorders>
              <w:top w:val="nil"/>
              <w:left w:val="nil"/>
              <w:bottom w:val="nil"/>
              <w:right w:val="nil"/>
            </w:tcBorders>
          </w:tcPr>
          <w:p w14:paraId="68FA0191" w14:textId="0D3EA6B6" w:rsidR="00DF57A4" w:rsidRDefault="006848BB" w:rsidP="00DF57A4">
            <w:pPr>
              <w:jc w:val="center"/>
              <w:rPr>
                <w:rFonts w:cstheme="minorHAnsi"/>
                <w:sz w:val="16"/>
                <w:szCs w:val="16"/>
              </w:rPr>
            </w:pPr>
            <w:r>
              <w:rPr>
                <w:rFonts w:cstheme="minorHAnsi"/>
                <w:sz w:val="16"/>
                <w:szCs w:val="16"/>
              </w:rPr>
              <w:t>0.89</w:t>
            </w:r>
            <w:r w:rsidR="00D431DF">
              <w:rPr>
                <w:rFonts w:cstheme="minorHAnsi"/>
                <w:sz w:val="16"/>
                <w:szCs w:val="16"/>
              </w:rPr>
              <w:t xml:space="preserve"> (0.72-1.11)</w:t>
            </w:r>
          </w:p>
        </w:tc>
        <w:tc>
          <w:tcPr>
            <w:tcW w:w="1694" w:type="dxa"/>
            <w:tcBorders>
              <w:top w:val="nil"/>
              <w:left w:val="nil"/>
              <w:bottom w:val="nil"/>
              <w:right w:val="nil"/>
            </w:tcBorders>
          </w:tcPr>
          <w:p w14:paraId="7B51F173" w14:textId="480A4687" w:rsidR="00DF57A4" w:rsidRDefault="00D431DF" w:rsidP="00DF57A4">
            <w:pPr>
              <w:jc w:val="center"/>
              <w:rPr>
                <w:rFonts w:cstheme="minorHAnsi"/>
                <w:sz w:val="16"/>
                <w:szCs w:val="16"/>
              </w:rPr>
            </w:pPr>
            <w:r>
              <w:rPr>
                <w:rFonts w:cstheme="minorHAnsi"/>
                <w:sz w:val="16"/>
                <w:szCs w:val="16"/>
              </w:rPr>
              <w:t>0.30</w:t>
            </w:r>
          </w:p>
        </w:tc>
      </w:tr>
      <w:tr w:rsidR="00DF57A4" w:rsidRPr="00EE7DCD" w14:paraId="285554F4" w14:textId="11A8D20D" w:rsidTr="005760FD">
        <w:tc>
          <w:tcPr>
            <w:tcW w:w="1560" w:type="dxa"/>
            <w:tcBorders>
              <w:top w:val="nil"/>
              <w:left w:val="nil"/>
              <w:bottom w:val="nil"/>
              <w:right w:val="nil"/>
            </w:tcBorders>
          </w:tcPr>
          <w:p w14:paraId="224EC691" w14:textId="77777777" w:rsidR="00DF57A4" w:rsidRPr="00223E16" w:rsidRDefault="00DF57A4" w:rsidP="00DF57A4">
            <w:pPr>
              <w:jc w:val="right"/>
              <w:rPr>
                <w:rFonts w:cstheme="minorHAnsi"/>
                <w:sz w:val="16"/>
                <w:szCs w:val="16"/>
              </w:rPr>
            </w:pPr>
            <w:r w:rsidRPr="00223E16">
              <w:rPr>
                <w:rFonts w:cstheme="minorHAnsi"/>
                <w:color w:val="000000"/>
                <w:sz w:val="16"/>
                <w:szCs w:val="16"/>
              </w:rPr>
              <w:t>41-45</w:t>
            </w:r>
          </w:p>
        </w:tc>
        <w:tc>
          <w:tcPr>
            <w:tcW w:w="1560" w:type="dxa"/>
            <w:tcBorders>
              <w:top w:val="nil"/>
              <w:left w:val="nil"/>
              <w:bottom w:val="nil"/>
              <w:right w:val="nil"/>
            </w:tcBorders>
          </w:tcPr>
          <w:p w14:paraId="43246FEF" w14:textId="091096F2" w:rsidR="00DF57A4" w:rsidRPr="00EE7DCD" w:rsidRDefault="00DF57A4" w:rsidP="00DF57A4">
            <w:pPr>
              <w:jc w:val="center"/>
              <w:rPr>
                <w:rFonts w:cstheme="minorHAnsi"/>
                <w:sz w:val="16"/>
                <w:szCs w:val="16"/>
              </w:rPr>
            </w:pPr>
            <w:r>
              <w:rPr>
                <w:rFonts w:cstheme="minorHAnsi"/>
                <w:sz w:val="16"/>
                <w:szCs w:val="16"/>
              </w:rPr>
              <w:t>1</w:t>
            </w:r>
          </w:p>
        </w:tc>
        <w:tc>
          <w:tcPr>
            <w:tcW w:w="770" w:type="dxa"/>
            <w:tcBorders>
              <w:top w:val="nil"/>
              <w:left w:val="nil"/>
              <w:bottom w:val="nil"/>
              <w:right w:val="nil"/>
            </w:tcBorders>
          </w:tcPr>
          <w:p w14:paraId="67E6F3B2" w14:textId="77777777" w:rsidR="00DF57A4" w:rsidRPr="00EE7DCD" w:rsidRDefault="00DF57A4" w:rsidP="00DF57A4">
            <w:pPr>
              <w:jc w:val="center"/>
              <w:rPr>
                <w:rFonts w:cstheme="minorHAnsi"/>
                <w:sz w:val="16"/>
                <w:szCs w:val="16"/>
              </w:rPr>
            </w:pPr>
          </w:p>
        </w:tc>
        <w:tc>
          <w:tcPr>
            <w:tcW w:w="1498" w:type="dxa"/>
            <w:tcBorders>
              <w:top w:val="nil"/>
              <w:left w:val="nil"/>
              <w:bottom w:val="nil"/>
              <w:right w:val="nil"/>
            </w:tcBorders>
          </w:tcPr>
          <w:p w14:paraId="221FE5A2" w14:textId="074AEB48" w:rsidR="00DF57A4" w:rsidRPr="00EE7DCD" w:rsidRDefault="00DF57A4" w:rsidP="00DF57A4">
            <w:pPr>
              <w:jc w:val="center"/>
              <w:rPr>
                <w:rFonts w:cstheme="minorHAnsi"/>
                <w:sz w:val="16"/>
                <w:szCs w:val="16"/>
              </w:rPr>
            </w:pPr>
            <w:r>
              <w:rPr>
                <w:rFonts w:cstheme="minorHAnsi"/>
                <w:sz w:val="16"/>
                <w:szCs w:val="16"/>
              </w:rPr>
              <w:t>1</w:t>
            </w:r>
          </w:p>
        </w:tc>
        <w:tc>
          <w:tcPr>
            <w:tcW w:w="1329" w:type="dxa"/>
            <w:tcBorders>
              <w:top w:val="nil"/>
              <w:left w:val="nil"/>
              <w:bottom w:val="nil"/>
              <w:right w:val="nil"/>
            </w:tcBorders>
          </w:tcPr>
          <w:p w14:paraId="3CB935E5" w14:textId="77777777" w:rsidR="00DF57A4" w:rsidRPr="00EE7DCD" w:rsidRDefault="00DF57A4" w:rsidP="00DF57A4">
            <w:pPr>
              <w:jc w:val="center"/>
              <w:rPr>
                <w:rFonts w:cstheme="minorHAnsi"/>
                <w:sz w:val="16"/>
                <w:szCs w:val="16"/>
              </w:rPr>
            </w:pPr>
          </w:p>
        </w:tc>
        <w:tc>
          <w:tcPr>
            <w:tcW w:w="1647" w:type="dxa"/>
            <w:tcBorders>
              <w:top w:val="nil"/>
              <w:left w:val="nil"/>
              <w:bottom w:val="nil"/>
              <w:right w:val="nil"/>
            </w:tcBorders>
          </w:tcPr>
          <w:p w14:paraId="5BE5EA9E" w14:textId="7A53C6A7" w:rsidR="00DF57A4" w:rsidRPr="00EE7DCD" w:rsidRDefault="006848BB" w:rsidP="00DF57A4">
            <w:pPr>
              <w:jc w:val="center"/>
              <w:rPr>
                <w:rFonts w:cstheme="minorHAnsi"/>
                <w:sz w:val="16"/>
                <w:szCs w:val="16"/>
              </w:rPr>
            </w:pPr>
            <w:r>
              <w:rPr>
                <w:rFonts w:cstheme="minorHAnsi"/>
                <w:sz w:val="16"/>
                <w:szCs w:val="16"/>
              </w:rPr>
              <w:t>1</w:t>
            </w:r>
          </w:p>
        </w:tc>
        <w:tc>
          <w:tcPr>
            <w:tcW w:w="1694" w:type="dxa"/>
            <w:tcBorders>
              <w:top w:val="nil"/>
              <w:left w:val="nil"/>
              <w:bottom w:val="nil"/>
              <w:right w:val="nil"/>
            </w:tcBorders>
          </w:tcPr>
          <w:p w14:paraId="148EE736" w14:textId="3A130DEA" w:rsidR="00DF57A4" w:rsidRPr="00EE7DCD" w:rsidRDefault="00D431DF" w:rsidP="00DF57A4">
            <w:pPr>
              <w:jc w:val="center"/>
              <w:rPr>
                <w:rFonts w:cstheme="minorHAnsi"/>
                <w:sz w:val="16"/>
                <w:szCs w:val="16"/>
              </w:rPr>
            </w:pPr>
            <w:r>
              <w:rPr>
                <w:rFonts w:cstheme="minorHAnsi"/>
                <w:sz w:val="16"/>
                <w:szCs w:val="16"/>
              </w:rPr>
              <w:t>1</w:t>
            </w:r>
          </w:p>
        </w:tc>
      </w:tr>
      <w:tr w:rsidR="00DF57A4" w:rsidRPr="00EE7DCD" w14:paraId="726E35A7" w14:textId="4948B5B8" w:rsidTr="005760FD">
        <w:tc>
          <w:tcPr>
            <w:tcW w:w="1560" w:type="dxa"/>
            <w:tcBorders>
              <w:top w:val="nil"/>
              <w:left w:val="nil"/>
              <w:bottom w:val="nil"/>
              <w:right w:val="nil"/>
            </w:tcBorders>
          </w:tcPr>
          <w:p w14:paraId="6CA8E868" w14:textId="77777777" w:rsidR="00DF57A4" w:rsidRPr="00223E16" w:rsidRDefault="00DF57A4" w:rsidP="00DF57A4">
            <w:pPr>
              <w:jc w:val="right"/>
              <w:rPr>
                <w:rFonts w:cstheme="minorHAnsi"/>
                <w:sz w:val="16"/>
                <w:szCs w:val="16"/>
              </w:rPr>
            </w:pPr>
            <w:r w:rsidRPr="00223E16">
              <w:rPr>
                <w:rFonts w:cstheme="minorHAnsi"/>
                <w:color w:val="000000"/>
                <w:sz w:val="16"/>
                <w:szCs w:val="16"/>
              </w:rPr>
              <w:t>46-50</w:t>
            </w:r>
          </w:p>
        </w:tc>
        <w:tc>
          <w:tcPr>
            <w:tcW w:w="1560" w:type="dxa"/>
            <w:tcBorders>
              <w:top w:val="nil"/>
              <w:left w:val="nil"/>
              <w:bottom w:val="nil"/>
              <w:right w:val="nil"/>
            </w:tcBorders>
          </w:tcPr>
          <w:p w14:paraId="26E8E0D5" w14:textId="79DECAD5" w:rsidR="00DF57A4" w:rsidRPr="00EE7DCD" w:rsidRDefault="00DF57A4" w:rsidP="00DF57A4">
            <w:pPr>
              <w:jc w:val="center"/>
              <w:rPr>
                <w:rFonts w:cstheme="minorHAnsi"/>
                <w:sz w:val="16"/>
                <w:szCs w:val="16"/>
              </w:rPr>
            </w:pPr>
            <w:r>
              <w:rPr>
                <w:rFonts w:cstheme="minorHAnsi"/>
                <w:sz w:val="16"/>
                <w:szCs w:val="16"/>
              </w:rPr>
              <w:t>0.98 (0.85-1.14)</w:t>
            </w:r>
          </w:p>
        </w:tc>
        <w:tc>
          <w:tcPr>
            <w:tcW w:w="770" w:type="dxa"/>
            <w:tcBorders>
              <w:top w:val="nil"/>
              <w:left w:val="nil"/>
              <w:bottom w:val="nil"/>
              <w:right w:val="nil"/>
            </w:tcBorders>
          </w:tcPr>
          <w:p w14:paraId="4F061961" w14:textId="4B7668F0" w:rsidR="00DF57A4" w:rsidRPr="00EE7DCD" w:rsidRDefault="00DF57A4" w:rsidP="00DF57A4">
            <w:pPr>
              <w:jc w:val="center"/>
              <w:rPr>
                <w:rFonts w:cstheme="minorHAnsi"/>
                <w:sz w:val="16"/>
                <w:szCs w:val="16"/>
              </w:rPr>
            </w:pPr>
            <w:r>
              <w:rPr>
                <w:rFonts w:cstheme="minorHAnsi"/>
                <w:sz w:val="16"/>
                <w:szCs w:val="16"/>
              </w:rPr>
              <w:t>0.83</w:t>
            </w:r>
          </w:p>
        </w:tc>
        <w:tc>
          <w:tcPr>
            <w:tcW w:w="1498" w:type="dxa"/>
            <w:tcBorders>
              <w:top w:val="nil"/>
              <w:left w:val="nil"/>
              <w:bottom w:val="nil"/>
              <w:right w:val="nil"/>
            </w:tcBorders>
          </w:tcPr>
          <w:p w14:paraId="38087B73" w14:textId="79EF6A97" w:rsidR="00DF57A4" w:rsidRPr="00EE7DCD" w:rsidRDefault="00DF57A4" w:rsidP="00DF57A4">
            <w:pPr>
              <w:jc w:val="center"/>
              <w:rPr>
                <w:rFonts w:cstheme="minorHAnsi"/>
                <w:sz w:val="16"/>
                <w:szCs w:val="16"/>
              </w:rPr>
            </w:pPr>
            <w:r>
              <w:rPr>
                <w:rFonts w:cstheme="minorHAnsi"/>
                <w:sz w:val="16"/>
                <w:szCs w:val="16"/>
              </w:rPr>
              <w:t>0.97 (0.83-1.13)</w:t>
            </w:r>
          </w:p>
        </w:tc>
        <w:tc>
          <w:tcPr>
            <w:tcW w:w="1329" w:type="dxa"/>
            <w:tcBorders>
              <w:top w:val="nil"/>
              <w:left w:val="nil"/>
              <w:bottom w:val="nil"/>
              <w:right w:val="nil"/>
            </w:tcBorders>
          </w:tcPr>
          <w:p w14:paraId="3874C31E" w14:textId="51259D17" w:rsidR="00DF57A4" w:rsidRPr="00EE7DCD" w:rsidRDefault="00DF57A4" w:rsidP="00DF57A4">
            <w:pPr>
              <w:jc w:val="center"/>
              <w:rPr>
                <w:rFonts w:cstheme="minorHAnsi"/>
                <w:sz w:val="16"/>
                <w:szCs w:val="16"/>
              </w:rPr>
            </w:pPr>
            <w:r>
              <w:rPr>
                <w:rFonts w:cstheme="minorHAnsi"/>
                <w:sz w:val="16"/>
                <w:szCs w:val="16"/>
              </w:rPr>
              <w:t>0.72</w:t>
            </w:r>
          </w:p>
        </w:tc>
        <w:tc>
          <w:tcPr>
            <w:tcW w:w="1647" w:type="dxa"/>
            <w:tcBorders>
              <w:top w:val="nil"/>
              <w:left w:val="nil"/>
              <w:bottom w:val="nil"/>
              <w:right w:val="nil"/>
            </w:tcBorders>
          </w:tcPr>
          <w:p w14:paraId="5F807143" w14:textId="295A80E9" w:rsidR="00DF57A4" w:rsidRDefault="006848BB" w:rsidP="00DF57A4">
            <w:pPr>
              <w:jc w:val="center"/>
              <w:rPr>
                <w:rFonts w:cstheme="minorHAnsi"/>
                <w:sz w:val="16"/>
                <w:szCs w:val="16"/>
              </w:rPr>
            </w:pPr>
            <w:r>
              <w:rPr>
                <w:rFonts w:cstheme="minorHAnsi"/>
                <w:sz w:val="16"/>
                <w:szCs w:val="16"/>
              </w:rPr>
              <w:t>0.94</w:t>
            </w:r>
            <w:r w:rsidR="00D431DF">
              <w:rPr>
                <w:rFonts w:cstheme="minorHAnsi"/>
                <w:sz w:val="16"/>
                <w:szCs w:val="16"/>
              </w:rPr>
              <w:t xml:space="preserve"> (0.77-1.17)</w:t>
            </w:r>
          </w:p>
        </w:tc>
        <w:tc>
          <w:tcPr>
            <w:tcW w:w="1694" w:type="dxa"/>
            <w:tcBorders>
              <w:top w:val="nil"/>
              <w:left w:val="nil"/>
              <w:bottom w:val="nil"/>
              <w:right w:val="nil"/>
            </w:tcBorders>
          </w:tcPr>
          <w:p w14:paraId="0570290B" w14:textId="4ABC8E30" w:rsidR="00DF57A4" w:rsidRDefault="00D431DF" w:rsidP="00DF57A4">
            <w:pPr>
              <w:jc w:val="center"/>
              <w:rPr>
                <w:rFonts w:cstheme="minorHAnsi"/>
                <w:sz w:val="16"/>
                <w:szCs w:val="16"/>
              </w:rPr>
            </w:pPr>
            <w:r>
              <w:rPr>
                <w:rFonts w:cstheme="minorHAnsi"/>
                <w:sz w:val="16"/>
                <w:szCs w:val="16"/>
              </w:rPr>
              <w:t>0.60</w:t>
            </w:r>
          </w:p>
        </w:tc>
      </w:tr>
      <w:tr w:rsidR="00DF57A4" w:rsidRPr="00EE7DCD" w14:paraId="4A986546" w14:textId="3AE32C44" w:rsidTr="005760FD">
        <w:tc>
          <w:tcPr>
            <w:tcW w:w="1560" w:type="dxa"/>
            <w:tcBorders>
              <w:top w:val="nil"/>
              <w:left w:val="nil"/>
              <w:bottom w:val="nil"/>
              <w:right w:val="nil"/>
            </w:tcBorders>
          </w:tcPr>
          <w:p w14:paraId="090D4D1E" w14:textId="77777777" w:rsidR="00DF57A4" w:rsidRPr="00223E16" w:rsidRDefault="00DF57A4" w:rsidP="00DF57A4">
            <w:pPr>
              <w:jc w:val="right"/>
              <w:rPr>
                <w:rFonts w:cstheme="minorHAnsi"/>
                <w:sz w:val="16"/>
                <w:szCs w:val="16"/>
              </w:rPr>
            </w:pPr>
            <w:r w:rsidRPr="00223E16">
              <w:rPr>
                <w:rFonts w:cstheme="minorHAnsi"/>
                <w:color w:val="000000"/>
                <w:sz w:val="16"/>
                <w:szCs w:val="16"/>
              </w:rPr>
              <w:t>51-55</w:t>
            </w:r>
          </w:p>
        </w:tc>
        <w:tc>
          <w:tcPr>
            <w:tcW w:w="1560" w:type="dxa"/>
            <w:tcBorders>
              <w:top w:val="nil"/>
              <w:left w:val="nil"/>
              <w:bottom w:val="nil"/>
              <w:right w:val="nil"/>
            </w:tcBorders>
          </w:tcPr>
          <w:p w14:paraId="5E543EB4" w14:textId="1BD2DAC6" w:rsidR="00DF57A4" w:rsidRPr="00EE7DCD" w:rsidRDefault="00DF57A4" w:rsidP="00DF57A4">
            <w:pPr>
              <w:jc w:val="center"/>
              <w:rPr>
                <w:rFonts w:cstheme="minorHAnsi"/>
                <w:sz w:val="16"/>
                <w:szCs w:val="16"/>
              </w:rPr>
            </w:pPr>
            <w:r>
              <w:rPr>
                <w:rFonts w:cstheme="minorHAnsi"/>
                <w:sz w:val="16"/>
                <w:szCs w:val="16"/>
              </w:rPr>
              <w:t>0.98 (0.84-1.14)</w:t>
            </w:r>
          </w:p>
        </w:tc>
        <w:tc>
          <w:tcPr>
            <w:tcW w:w="770" w:type="dxa"/>
            <w:tcBorders>
              <w:top w:val="nil"/>
              <w:left w:val="nil"/>
              <w:bottom w:val="nil"/>
              <w:right w:val="nil"/>
            </w:tcBorders>
          </w:tcPr>
          <w:p w14:paraId="60F6722E" w14:textId="0CF84ABC" w:rsidR="00DF57A4" w:rsidRPr="00EE7DCD" w:rsidRDefault="00DF57A4" w:rsidP="00DF57A4">
            <w:pPr>
              <w:jc w:val="center"/>
              <w:rPr>
                <w:rFonts w:cstheme="minorHAnsi"/>
                <w:sz w:val="16"/>
                <w:szCs w:val="16"/>
              </w:rPr>
            </w:pPr>
            <w:r>
              <w:rPr>
                <w:rFonts w:cstheme="minorHAnsi"/>
                <w:sz w:val="16"/>
                <w:szCs w:val="16"/>
              </w:rPr>
              <w:t>0.80</w:t>
            </w:r>
          </w:p>
        </w:tc>
        <w:tc>
          <w:tcPr>
            <w:tcW w:w="1498" w:type="dxa"/>
            <w:tcBorders>
              <w:top w:val="nil"/>
              <w:left w:val="nil"/>
              <w:bottom w:val="nil"/>
              <w:right w:val="nil"/>
            </w:tcBorders>
          </w:tcPr>
          <w:p w14:paraId="6987330A" w14:textId="19C6D141" w:rsidR="00DF57A4" w:rsidRPr="00EE7DCD" w:rsidRDefault="00DF57A4" w:rsidP="00DF57A4">
            <w:pPr>
              <w:jc w:val="center"/>
              <w:rPr>
                <w:rFonts w:cstheme="minorHAnsi"/>
                <w:sz w:val="16"/>
                <w:szCs w:val="16"/>
              </w:rPr>
            </w:pPr>
            <w:r>
              <w:rPr>
                <w:rFonts w:cstheme="minorHAnsi"/>
                <w:sz w:val="16"/>
                <w:szCs w:val="16"/>
              </w:rPr>
              <w:t>0.92 (0.79-1.08)</w:t>
            </w:r>
          </w:p>
        </w:tc>
        <w:tc>
          <w:tcPr>
            <w:tcW w:w="1329" w:type="dxa"/>
            <w:tcBorders>
              <w:top w:val="nil"/>
              <w:left w:val="nil"/>
              <w:bottom w:val="nil"/>
              <w:right w:val="nil"/>
            </w:tcBorders>
          </w:tcPr>
          <w:p w14:paraId="02BDE8CB" w14:textId="262E735A" w:rsidR="00DF57A4" w:rsidRPr="00EE7DCD" w:rsidRDefault="00DF57A4" w:rsidP="00DF57A4">
            <w:pPr>
              <w:jc w:val="center"/>
              <w:rPr>
                <w:rFonts w:cstheme="minorHAnsi"/>
                <w:sz w:val="16"/>
                <w:szCs w:val="16"/>
              </w:rPr>
            </w:pPr>
            <w:r>
              <w:rPr>
                <w:rFonts w:cstheme="minorHAnsi"/>
                <w:sz w:val="16"/>
                <w:szCs w:val="16"/>
              </w:rPr>
              <w:t>0.33</w:t>
            </w:r>
          </w:p>
        </w:tc>
        <w:tc>
          <w:tcPr>
            <w:tcW w:w="1647" w:type="dxa"/>
            <w:tcBorders>
              <w:top w:val="nil"/>
              <w:left w:val="nil"/>
              <w:bottom w:val="nil"/>
              <w:right w:val="nil"/>
            </w:tcBorders>
          </w:tcPr>
          <w:p w14:paraId="76BBC0CB" w14:textId="67C3FAA4" w:rsidR="00DF57A4" w:rsidRDefault="006848BB" w:rsidP="00DF57A4">
            <w:pPr>
              <w:jc w:val="center"/>
              <w:rPr>
                <w:rFonts w:cstheme="minorHAnsi"/>
                <w:sz w:val="16"/>
                <w:szCs w:val="16"/>
              </w:rPr>
            </w:pPr>
            <w:r>
              <w:rPr>
                <w:rFonts w:cstheme="minorHAnsi"/>
                <w:sz w:val="16"/>
                <w:szCs w:val="16"/>
              </w:rPr>
              <w:t>0.92</w:t>
            </w:r>
            <w:r w:rsidR="00D431DF">
              <w:rPr>
                <w:rFonts w:cstheme="minorHAnsi"/>
                <w:sz w:val="16"/>
                <w:szCs w:val="16"/>
              </w:rPr>
              <w:t xml:space="preserve"> (0.74-1.14)</w:t>
            </w:r>
          </w:p>
        </w:tc>
        <w:tc>
          <w:tcPr>
            <w:tcW w:w="1694" w:type="dxa"/>
            <w:tcBorders>
              <w:top w:val="nil"/>
              <w:left w:val="nil"/>
              <w:bottom w:val="nil"/>
              <w:right w:val="nil"/>
            </w:tcBorders>
          </w:tcPr>
          <w:p w14:paraId="3825F90E" w14:textId="5C03217A" w:rsidR="00DF57A4" w:rsidRDefault="00D431DF" w:rsidP="00DF57A4">
            <w:pPr>
              <w:jc w:val="center"/>
              <w:rPr>
                <w:rFonts w:cstheme="minorHAnsi"/>
                <w:sz w:val="16"/>
                <w:szCs w:val="16"/>
              </w:rPr>
            </w:pPr>
            <w:r>
              <w:rPr>
                <w:rFonts w:cstheme="minorHAnsi"/>
                <w:sz w:val="16"/>
                <w:szCs w:val="16"/>
              </w:rPr>
              <w:t>0.45</w:t>
            </w:r>
          </w:p>
        </w:tc>
      </w:tr>
      <w:tr w:rsidR="00DF57A4" w:rsidRPr="00EE7DCD" w14:paraId="47F72F14" w14:textId="23D06B73" w:rsidTr="005760FD">
        <w:tc>
          <w:tcPr>
            <w:tcW w:w="1560" w:type="dxa"/>
            <w:tcBorders>
              <w:top w:val="nil"/>
              <w:left w:val="nil"/>
              <w:bottom w:val="nil"/>
              <w:right w:val="nil"/>
            </w:tcBorders>
          </w:tcPr>
          <w:p w14:paraId="53720ABE" w14:textId="77777777" w:rsidR="00DF57A4" w:rsidRPr="00223E16" w:rsidRDefault="00DF57A4" w:rsidP="00DF57A4">
            <w:pPr>
              <w:jc w:val="right"/>
              <w:rPr>
                <w:rFonts w:cstheme="minorHAnsi"/>
                <w:color w:val="000000"/>
                <w:sz w:val="16"/>
                <w:szCs w:val="16"/>
              </w:rPr>
            </w:pPr>
            <w:r w:rsidRPr="00223E16">
              <w:rPr>
                <w:rFonts w:cstheme="minorHAnsi"/>
                <w:color w:val="000000"/>
                <w:sz w:val="16"/>
                <w:szCs w:val="16"/>
              </w:rPr>
              <w:t>56-60</w:t>
            </w:r>
          </w:p>
        </w:tc>
        <w:tc>
          <w:tcPr>
            <w:tcW w:w="1560" w:type="dxa"/>
            <w:tcBorders>
              <w:top w:val="nil"/>
              <w:left w:val="nil"/>
              <w:bottom w:val="nil"/>
              <w:right w:val="nil"/>
            </w:tcBorders>
          </w:tcPr>
          <w:p w14:paraId="59130379" w14:textId="685C154B" w:rsidR="00DF57A4" w:rsidRPr="00EE7DCD" w:rsidRDefault="00DF57A4" w:rsidP="00DF57A4">
            <w:pPr>
              <w:jc w:val="center"/>
              <w:rPr>
                <w:rFonts w:cstheme="minorHAnsi"/>
                <w:color w:val="000000"/>
                <w:sz w:val="16"/>
                <w:szCs w:val="16"/>
              </w:rPr>
            </w:pPr>
            <w:r>
              <w:rPr>
                <w:rFonts w:cstheme="minorHAnsi"/>
                <w:color w:val="000000"/>
                <w:sz w:val="16"/>
                <w:szCs w:val="16"/>
              </w:rPr>
              <w:t>1.27 (1.09-1.47)</w:t>
            </w:r>
          </w:p>
        </w:tc>
        <w:tc>
          <w:tcPr>
            <w:tcW w:w="770" w:type="dxa"/>
            <w:tcBorders>
              <w:top w:val="nil"/>
              <w:left w:val="nil"/>
              <w:bottom w:val="nil"/>
              <w:right w:val="nil"/>
            </w:tcBorders>
          </w:tcPr>
          <w:p w14:paraId="49791ABD" w14:textId="09055B77" w:rsidR="00DF57A4" w:rsidRPr="00EE7DCD" w:rsidRDefault="00DF57A4" w:rsidP="00DF57A4">
            <w:pPr>
              <w:jc w:val="center"/>
              <w:rPr>
                <w:rFonts w:cstheme="minorHAnsi"/>
                <w:sz w:val="16"/>
                <w:szCs w:val="16"/>
              </w:rPr>
            </w:pPr>
            <w:r>
              <w:rPr>
                <w:rFonts w:cstheme="minorHAnsi"/>
                <w:sz w:val="16"/>
                <w:szCs w:val="16"/>
              </w:rPr>
              <w:t>0.002</w:t>
            </w:r>
          </w:p>
        </w:tc>
        <w:tc>
          <w:tcPr>
            <w:tcW w:w="1498" w:type="dxa"/>
            <w:tcBorders>
              <w:top w:val="nil"/>
              <w:left w:val="nil"/>
              <w:bottom w:val="nil"/>
              <w:right w:val="nil"/>
            </w:tcBorders>
          </w:tcPr>
          <w:p w14:paraId="4603A013" w14:textId="409A8E3D" w:rsidR="00DF57A4" w:rsidRPr="00EE7DCD" w:rsidRDefault="00DF57A4" w:rsidP="00DF57A4">
            <w:pPr>
              <w:jc w:val="center"/>
              <w:rPr>
                <w:rFonts w:cstheme="minorHAnsi"/>
                <w:sz w:val="16"/>
                <w:szCs w:val="16"/>
              </w:rPr>
            </w:pPr>
            <w:r>
              <w:rPr>
                <w:rFonts w:cstheme="minorHAnsi"/>
                <w:sz w:val="16"/>
                <w:szCs w:val="16"/>
              </w:rPr>
              <w:t>1.23 (1.06-1.44)</w:t>
            </w:r>
          </w:p>
        </w:tc>
        <w:tc>
          <w:tcPr>
            <w:tcW w:w="1329" w:type="dxa"/>
            <w:tcBorders>
              <w:top w:val="nil"/>
              <w:left w:val="nil"/>
              <w:bottom w:val="nil"/>
              <w:right w:val="nil"/>
            </w:tcBorders>
          </w:tcPr>
          <w:p w14:paraId="1420C376" w14:textId="2CFF0745" w:rsidR="00DF57A4" w:rsidRPr="00EE7DCD" w:rsidRDefault="00DF57A4" w:rsidP="00DF57A4">
            <w:pPr>
              <w:jc w:val="center"/>
              <w:rPr>
                <w:rFonts w:cstheme="minorHAnsi"/>
                <w:sz w:val="16"/>
                <w:szCs w:val="16"/>
              </w:rPr>
            </w:pPr>
            <w:r>
              <w:rPr>
                <w:rFonts w:cstheme="minorHAnsi"/>
                <w:sz w:val="16"/>
                <w:szCs w:val="16"/>
              </w:rPr>
              <w:t>0.007</w:t>
            </w:r>
          </w:p>
        </w:tc>
        <w:tc>
          <w:tcPr>
            <w:tcW w:w="1647" w:type="dxa"/>
            <w:tcBorders>
              <w:top w:val="nil"/>
              <w:left w:val="nil"/>
              <w:bottom w:val="nil"/>
              <w:right w:val="nil"/>
            </w:tcBorders>
          </w:tcPr>
          <w:p w14:paraId="011725A2" w14:textId="00382062" w:rsidR="00DF57A4" w:rsidRDefault="006848BB" w:rsidP="00DF57A4">
            <w:pPr>
              <w:jc w:val="center"/>
              <w:rPr>
                <w:rFonts w:cstheme="minorHAnsi"/>
                <w:sz w:val="16"/>
                <w:szCs w:val="16"/>
              </w:rPr>
            </w:pPr>
            <w:r>
              <w:rPr>
                <w:rFonts w:cstheme="minorHAnsi"/>
                <w:sz w:val="16"/>
                <w:szCs w:val="16"/>
              </w:rPr>
              <w:t>1.25</w:t>
            </w:r>
            <w:r w:rsidR="00D431DF">
              <w:rPr>
                <w:rFonts w:cstheme="minorHAnsi"/>
                <w:sz w:val="16"/>
                <w:szCs w:val="16"/>
              </w:rPr>
              <w:t>(1.02-1.53)</w:t>
            </w:r>
          </w:p>
        </w:tc>
        <w:tc>
          <w:tcPr>
            <w:tcW w:w="1694" w:type="dxa"/>
            <w:tcBorders>
              <w:top w:val="nil"/>
              <w:left w:val="nil"/>
              <w:bottom w:val="nil"/>
              <w:right w:val="nil"/>
            </w:tcBorders>
          </w:tcPr>
          <w:p w14:paraId="0DB6DAB2" w14:textId="346023B5" w:rsidR="00DF57A4" w:rsidRDefault="00D431DF" w:rsidP="00DF57A4">
            <w:pPr>
              <w:jc w:val="center"/>
              <w:rPr>
                <w:rFonts w:cstheme="minorHAnsi"/>
                <w:sz w:val="16"/>
                <w:szCs w:val="16"/>
              </w:rPr>
            </w:pPr>
            <w:r>
              <w:rPr>
                <w:rFonts w:cstheme="minorHAnsi"/>
                <w:sz w:val="16"/>
                <w:szCs w:val="16"/>
              </w:rPr>
              <w:t>0.03</w:t>
            </w:r>
          </w:p>
        </w:tc>
      </w:tr>
      <w:tr w:rsidR="00DF57A4" w:rsidRPr="00EE7DCD" w14:paraId="1E2C63AF" w14:textId="3AF08FD1" w:rsidTr="005760FD">
        <w:trPr>
          <w:trHeight w:val="106"/>
        </w:trPr>
        <w:tc>
          <w:tcPr>
            <w:tcW w:w="1560" w:type="dxa"/>
            <w:tcBorders>
              <w:top w:val="nil"/>
              <w:left w:val="nil"/>
              <w:bottom w:val="nil"/>
              <w:right w:val="nil"/>
            </w:tcBorders>
            <w:noWrap/>
          </w:tcPr>
          <w:p w14:paraId="70D5E85B" w14:textId="77777777" w:rsidR="00DF57A4" w:rsidRPr="00223E16" w:rsidRDefault="00DF57A4" w:rsidP="00DF57A4">
            <w:pPr>
              <w:jc w:val="right"/>
              <w:rPr>
                <w:rFonts w:cstheme="minorHAnsi"/>
                <w:color w:val="000000"/>
                <w:sz w:val="16"/>
                <w:szCs w:val="16"/>
              </w:rPr>
            </w:pPr>
            <w:r w:rsidRPr="00223E16">
              <w:rPr>
                <w:rFonts w:cstheme="minorHAnsi"/>
                <w:color w:val="000000"/>
                <w:sz w:val="16"/>
                <w:szCs w:val="16"/>
              </w:rPr>
              <w:t>61-65</w:t>
            </w:r>
          </w:p>
        </w:tc>
        <w:tc>
          <w:tcPr>
            <w:tcW w:w="1560" w:type="dxa"/>
            <w:tcBorders>
              <w:top w:val="nil"/>
              <w:left w:val="nil"/>
              <w:bottom w:val="nil"/>
              <w:right w:val="nil"/>
            </w:tcBorders>
            <w:noWrap/>
          </w:tcPr>
          <w:p w14:paraId="593FDFF2" w14:textId="59CDB010" w:rsidR="00DF57A4" w:rsidRPr="00EE7DCD" w:rsidRDefault="00DF57A4" w:rsidP="00DF57A4">
            <w:pPr>
              <w:jc w:val="center"/>
              <w:rPr>
                <w:rFonts w:cstheme="minorHAnsi"/>
                <w:color w:val="000000"/>
                <w:sz w:val="16"/>
                <w:szCs w:val="16"/>
              </w:rPr>
            </w:pPr>
            <w:r>
              <w:rPr>
                <w:rFonts w:cstheme="minorHAnsi"/>
                <w:color w:val="000000"/>
                <w:sz w:val="16"/>
                <w:szCs w:val="16"/>
              </w:rPr>
              <w:t>1.25 (1.07-1.45)</w:t>
            </w:r>
          </w:p>
        </w:tc>
        <w:tc>
          <w:tcPr>
            <w:tcW w:w="770" w:type="dxa"/>
            <w:tcBorders>
              <w:top w:val="nil"/>
              <w:left w:val="nil"/>
              <w:bottom w:val="nil"/>
              <w:right w:val="nil"/>
            </w:tcBorders>
          </w:tcPr>
          <w:p w14:paraId="027F2E8B" w14:textId="115F97C9" w:rsidR="00DF57A4" w:rsidRPr="00EE7DCD" w:rsidRDefault="00DF57A4" w:rsidP="00DF57A4">
            <w:pPr>
              <w:jc w:val="center"/>
              <w:rPr>
                <w:rFonts w:cstheme="minorHAnsi"/>
                <w:sz w:val="16"/>
                <w:szCs w:val="16"/>
              </w:rPr>
            </w:pPr>
            <w:r>
              <w:rPr>
                <w:rFonts w:cstheme="minorHAnsi"/>
                <w:sz w:val="16"/>
                <w:szCs w:val="16"/>
              </w:rPr>
              <w:t>0.004</w:t>
            </w:r>
          </w:p>
        </w:tc>
        <w:tc>
          <w:tcPr>
            <w:tcW w:w="1498" w:type="dxa"/>
            <w:tcBorders>
              <w:top w:val="nil"/>
              <w:left w:val="nil"/>
              <w:bottom w:val="nil"/>
              <w:right w:val="nil"/>
            </w:tcBorders>
          </w:tcPr>
          <w:p w14:paraId="642945FD" w14:textId="78D3C17F" w:rsidR="00DF57A4" w:rsidRPr="00EE7DCD" w:rsidRDefault="00DF57A4" w:rsidP="00DF57A4">
            <w:pPr>
              <w:jc w:val="center"/>
              <w:rPr>
                <w:rFonts w:cstheme="minorHAnsi"/>
                <w:sz w:val="16"/>
                <w:szCs w:val="16"/>
              </w:rPr>
            </w:pPr>
            <w:r>
              <w:rPr>
                <w:rFonts w:cstheme="minorHAnsi"/>
                <w:sz w:val="16"/>
                <w:szCs w:val="16"/>
              </w:rPr>
              <w:t>1.19 (1.02-1.39)</w:t>
            </w:r>
          </w:p>
        </w:tc>
        <w:tc>
          <w:tcPr>
            <w:tcW w:w="1329" w:type="dxa"/>
            <w:tcBorders>
              <w:top w:val="nil"/>
              <w:left w:val="nil"/>
              <w:bottom w:val="nil"/>
              <w:right w:val="nil"/>
            </w:tcBorders>
          </w:tcPr>
          <w:p w14:paraId="1E6EDD4C" w14:textId="3D8C4516" w:rsidR="00DF57A4" w:rsidRPr="00EE7DCD" w:rsidRDefault="00DF57A4" w:rsidP="00DF57A4">
            <w:pPr>
              <w:jc w:val="center"/>
              <w:rPr>
                <w:rFonts w:cstheme="minorHAnsi"/>
                <w:sz w:val="16"/>
                <w:szCs w:val="16"/>
              </w:rPr>
            </w:pPr>
            <w:r>
              <w:rPr>
                <w:rFonts w:cstheme="minorHAnsi"/>
                <w:sz w:val="16"/>
                <w:szCs w:val="16"/>
              </w:rPr>
              <w:t>0.03</w:t>
            </w:r>
          </w:p>
        </w:tc>
        <w:tc>
          <w:tcPr>
            <w:tcW w:w="1647" w:type="dxa"/>
            <w:tcBorders>
              <w:top w:val="nil"/>
              <w:left w:val="nil"/>
              <w:bottom w:val="nil"/>
              <w:right w:val="nil"/>
            </w:tcBorders>
          </w:tcPr>
          <w:p w14:paraId="0101A89E" w14:textId="5E82D2BE" w:rsidR="00DF57A4" w:rsidRDefault="006848BB" w:rsidP="00DF57A4">
            <w:pPr>
              <w:jc w:val="center"/>
              <w:rPr>
                <w:rFonts w:cstheme="minorHAnsi"/>
                <w:sz w:val="16"/>
                <w:szCs w:val="16"/>
              </w:rPr>
            </w:pPr>
            <w:r>
              <w:rPr>
                <w:rFonts w:cstheme="minorHAnsi"/>
                <w:sz w:val="16"/>
                <w:szCs w:val="16"/>
              </w:rPr>
              <w:t>1.02</w:t>
            </w:r>
            <w:r w:rsidR="00D431DF">
              <w:rPr>
                <w:rFonts w:cstheme="minorHAnsi"/>
                <w:sz w:val="16"/>
                <w:szCs w:val="16"/>
              </w:rPr>
              <w:t xml:space="preserve"> (0.82-1.26)</w:t>
            </w:r>
          </w:p>
        </w:tc>
        <w:tc>
          <w:tcPr>
            <w:tcW w:w="1694" w:type="dxa"/>
            <w:tcBorders>
              <w:top w:val="nil"/>
              <w:left w:val="nil"/>
              <w:bottom w:val="nil"/>
              <w:right w:val="nil"/>
            </w:tcBorders>
          </w:tcPr>
          <w:p w14:paraId="39CA24C3" w14:textId="4FC41AD6" w:rsidR="00DF57A4" w:rsidRDefault="00D431DF" w:rsidP="00DF57A4">
            <w:pPr>
              <w:jc w:val="center"/>
              <w:rPr>
                <w:rFonts w:cstheme="minorHAnsi"/>
                <w:sz w:val="16"/>
                <w:szCs w:val="16"/>
              </w:rPr>
            </w:pPr>
            <w:r>
              <w:rPr>
                <w:rFonts w:cstheme="minorHAnsi"/>
                <w:sz w:val="16"/>
                <w:szCs w:val="16"/>
              </w:rPr>
              <w:t>0.89</w:t>
            </w:r>
          </w:p>
        </w:tc>
      </w:tr>
      <w:tr w:rsidR="00DF57A4" w:rsidRPr="00EE7DCD" w14:paraId="338F31C1" w14:textId="1AF10C88" w:rsidTr="005760FD">
        <w:trPr>
          <w:trHeight w:val="63"/>
        </w:trPr>
        <w:tc>
          <w:tcPr>
            <w:tcW w:w="1560" w:type="dxa"/>
            <w:tcBorders>
              <w:top w:val="nil"/>
              <w:left w:val="nil"/>
              <w:bottom w:val="nil"/>
              <w:right w:val="nil"/>
            </w:tcBorders>
            <w:noWrap/>
          </w:tcPr>
          <w:p w14:paraId="27F8F775" w14:textId="77777777" w:rsidR="00DF57A4" w:rsidRPr="00223E16" w:rsidRDefault="00DF57A4" w:rsidP="00DF57A4">
            <w:pPr>
              <w:jc w:val="right"/>
              <w:rPr>
                <w:rFonts w:cstheme="minorHAnsi"/>
                <w:color w:val="000000"/>
                <w:sz w:val="16"/>
                <w:szCs w:val="16"/>
              </w:rPr>
            </w:pPr>
            <w:r w:rsidRPr="00223E16">
              <w:rPr>
                <w:rFonts w:cstheme="minorHAnsi"/>
                <w:color w:val="000000"/>
                <w:sz w:val="16"/>
                <w:szCs w:val="16"/>
              </w:rPr>
              <w:t>66-70</w:t>
            </w:r>
          </w:p>
        </w:tc>
        <w:tc>
          <w:tcPr>
            <w:tcW w:w="1560" w:type="dxa"/>
            <w:tcBorders>
              <w:top w:val="nil"/>
              <w:left w:val="nil"/>
              <w:bottom w:val="nil"/>
              <w:right w:val="nil"/>
            </w:tcBorders>
            <w:noWrap/>
          </w:tcPr>
          <w:p w14:paraId="153A16E7" w14:textId="4BC4B4D9" w:rsidR="00DF57A4" w:rsidRPr="00EE7DCD" w:rsidRDefault="00DF57A4" w:rsidP="00DF57A4">
            <w:pPr>
              <w:jc w:val="center"/>
              <w:rPr>
                <w:rFonts w:cstheme="minorHAnsi"/>
                <w:color w:val="000000"/>
                <w:sz w:val="16"/>
                <w:szCs w:val="16"/>
              </w:rPr>
            </w:pPr>
            <w:r>
              <w:rPr>
                <w:rFonts w:cstheme="minorHAnsi"/>
                <w:color w:val="000000"/>
                <w:sz w:val="16"/>
                <w:szCs w:val="16"/>
              </w:rPr>
              <w:t>1.01 (0.86-1.20)</w:t>
            </w:r>
          </w:p>
        </w:tc>
        <w:tc>
          <w:tcPr>
            <w:tcW w:w="770" w:type="dxa"/>
            <w:tcBorders>
              <w:top w:val="nil"/>
              <w:left w:val="nil"/>
              <w:bottom w:val="nil"/>
              <w:right w:val="nil"/>
            </w:tcBorders>
          </w:tcPr>
          <w:p w14:paraId="708D55C3" w14:textId="1868EF54" w:rsidR="00DF57A4" w:rsidRPr="00EE7DCD" w:rsidRDefault="00DF57A4" w:rsidP="00DF57A4">
            <w:pPr>
              <w:jc w:val="center"/>
              <w:rPr>
                <w:rFonts w:cstheme="minorHAnsi"/>
                <w:sz w:val="16"/>
                <w:szCs w:val="16"/>
              </w:rPr>
            </w:pPr>
            <w:r>
              <w:rPr>
                <w:rFonts w:cstheme="minorHAnsi"/>
                <w:sz w:val="16"/>
                <w:szCs w:val="16"/>
              </w:rPr>
              <w:t>0.86</w:t>
            </w:r>
          </w:p>
        </w:tc>
        <w:tc>
          <w:tcPr>
            <w:tcW w:w="1498" w:type="dxa"/>
            <w:tcBorders>
              <w:top w:val="nil"/>
              <w:left w:val="nil"/>
              <w:bottom w:val="nil"/>
              <w:right w:val="nil"/>
            </w:tcBorders>
          </w:tcPr>
          <w:p w14:paraId="791FFC5E" w14:textId="3ADC1F04" w:rsidR="00DF57A4" w:rsidRPr="00EE7DCD" w:rsidRDefault="00DF57A4" w:rsidP="00DF57A4">
            <w:pPr>
              <w:jc w:val="center"/>
              <w:rPr>
                <w:rFonts w:cstheme="minorHAnsi"/>
                <w:sz w:val="16"/>
                <w:szCs w:val="16"/>
              </w:rPr>
            </w:pPr>
            <w:r>
              <w:rPr>
                <w:rFonts w:cstheme="minorHAnsi"/>
                <w:sz w:val="16"/>
                <w:szCs w:val="16"/>
              </w:rPr>
              <w:t>0.99 (0.83-1.17)</w:t>
            </w:r>
          </w:p>
        </w:tc>
        <w:tc>
          <w:tcPr>
            <w:tcW w:w="1329" w:type="dxa"/>
            <w:tcBorders>
              <w:top w:val="nil"/>
              <w:left w:val="nil"/>
              <w:bottom w:val="nil"/>
              <w:right w:val="nil"/>
            </w:tcBorders>
          </w:tcPr>
          <w:p w14:paraId="5B219CF4" w14:textId="27C71148" w:rsidR="00DF57A4" w:rsidRPr="00EE7DCD" w:rsidRDefault="00DF57A4" w:rsidP="00DF57A4">
            <w:pPr>
              <w:jc w:val="center"/>
              <w:rPr>
                <w:rFonts w:cstheme="minorHAnsi"/>
                <w:sz w:val="16"/>
                <w:szCs w:val="16"/>
              </w:rPr>
            </w:pPr>
            <w:r>
              <w:rPr>
                <w:rFonts w:cstheme="minorHAnsi"/>
                <w:sz w:val="16"/>
                <w:szCs w:val="16"/>
              </w:rPr>
              <w:t>0.89</w:t>
            </w:r>
          </w:p>
        </w:tc>
        <w:tc>
          <w:tcPr>
            <w:tcW w:w="1647" w:type="dxa"/>
            <w:tcBorders>
              <w:top w:val="nil"/>
              <w:left w:val="nil"/>
              <w:bottom w:val="nil"/>
              <w:right w:val="nil"/>
            </w:tcBorders>
          </w:tcPr>
          <w:p w14:paraId="35F20DF8" w14:textId="097C364F" w:rsidR="00DF57A4" w:rsidRDefault="006848BB" w:rsidP="00DF57A4">
            <w:pPr>
              <w:jc w:val="center"/>
              <w:rPr>
                <w:rFonts w:cstheme="minorHAnsi"/>
                <w:sz w:val="16"/>
                <w:szCs w:val="16"/>
              </w:rPr>
            </w:pPr>
            <w:r>
              <w:rPr>
                <w:rFonts w:cstheme="minorHAnsi"/>
                <w:sz w:val="16"/>
                <w:szCs w:val="16"/>
              </w:rPr>
              <w:t>0.98</w:t>
            </w:r>
            <w:r w:rsidR="00D431DF">
              <w:rPr>
                <w:rFonts w:cstheme="minorHAnsi"/>
                <w:sz w:val="16"/>
                <w:szCs w:val="16"/>
              </w:rPr>
              <w:t xml:space="preserve"> (0.77-1.23)</w:t>
            </w:r>
          </w:p>
        </w:tc>
        <w:tc>
          <w:tcPr>
            <w:tcW w:w="1694" w:type="dxa"/>
            <w:tcBorders>
              <w:top w:val="nil"/>
              <w:left w:val="nil"/>
              <w:bottom w:val="nil"/>
              <w:right w:val="nil"/>
            </w:tcBorders>
          </w:tcPr>
          <w:p w14:paraId="2C7A8005" w14:textId="0D314F38" w:rsidR="00DF57A4" w:rsidRDefault="00D431DF" w:rsidP="00DF57A4">
            <w:pPr>
              <w:jc w:val="center"/>
              <w:rPr>
                <w:rFonts w:cstheme="minorHAnsi"/>
                <w:sz w:val="16"/>
                <w:szCs w:val="16"/>
              </w:rPr>
            </w:pPr>
            <w:r>
              <w:rPr>
                <w:rFonts w:cstheme="minorHAnsi"/>
                <w:sz w:val="16"/>
                <w:szCs w:val="16"/>
              </w:rPr>
              <w:t>0.84</w:t>
            </w:r>
          </w:p>
        </w:tc>
      </w:tr>
      <w:tr w:rsidR="00DF57A4" w:rsidRPr="00EE7DCD" w14:paraId="2A78627B" w14:textId="728E05A6" w:rsidTr="005760FD">
        <w:trPr>
          <w:trHeight w:val="153"/>
        </w:trPr>
        <w:tc>
          <w:tcPr>
            <w:tcW w:w="1560" w:type="dxa"/>
            <w:tcBorders>
              <w:top w:val="nil"/>
              <w:left w:val="nil"/>
              <w:bottom w:val="nil"/>
              <w:right w:val="nil"/>
            </w:tcBorders>
            <w:noWrap/>
          </w:tcPr>
          <w:p w14:paraId="17748F49" w14:textId="77777777" w:rsidR="00DF57A4" w:rsidRPr="00223E16" w:rsidRDefault="00DF57A4" w:rsidP="00DF57A4">
            <w:pPr>
              <w:jc w:val="right"/>
              <w:rPr>
                <w:rFonts w:cstheme="minorHAnsi"/>
                <w:color w:val="000000"/>
                <w:sz w:val="16"/>
                <w:szCs w:val="16"/>
              </w:rPr>
            </w:pPr>
            <w:r w:rsidRPr="00223E16">
              <w:rPr>
                <w:rFonts w:cstheme="minorHAnsi"/>
                <w:color w:val="000000"/>
                <w:sz w:val="16"/>
                <w:szCs w:val="16"/>
              </w:rPr>
              <w:t>71-75</w:t>
            </w:r>
          </w:p>
        </w:tc>
        <w:tc>
          <w:tcPr>
            <w:tcW w:w="1560" w:type="dxa"/>
            <w:tcBorders>
              <w:top w:val="nil"/>
              <w:left w:val="nil"/>
              <w:bottom w:val="nil"/>
              <w:right w:val="nil"/>
            </w:tcBorders>
            <w:noWrap/>
          </w:tcPr>
          <w:p w14:paraId="6DA992A6" w14:textId="7BF52EF6" w:rsidR="00DF57A4" w:rsidRPr="00EE7DCD" w:rsidRDefault="00DF57A4" w:rsidP="00DF57A4">
            <w:pPr>
              <w:jc w:val="center"/>
              <w:rPr>
                <w:rFonts w:cstheme="minorHAnsi"/>
                <w:color w:val="000000"/>
                <w:sz w:val="16"/>
                <w:szCs w:val="16"/>
              </w:rPr>
            </w:pPr>
            <w:r>
              <w:rPr>
                <w:rFonts w:cstheme="minorHAnsi"/>
                <w:color w:val="000000"/>
                <w:sz w:val="16"/>
                <w:szCs w:val="16"/>
              </w:rPr>
              <w:t>0.89 (0.73-1.07)</w:t>
            </w:r>
          </w:p>
        </w:tc>
        <w:tc>
          <w:tcPr>
            <w:tcW w:w="770" w:type="dxa"/>
            <w:tcBorders>
              <w:top w:val="nil"/>
              <w:left w:val="nil"/>
              <w:bottom w:val="nil"/>
              <w:right w:val="nil"/>
            </w:tcBorders>
          </w:tcPr>
          <w:p w14:paraId="1D6BCDD0" w14:textId="21336D3A" w:rsidR="00DF57A4" w:rsidRPr="00EE7DCD" w:rsidRDefault="00DF57A4" w:rsidP="00DF57A4">
            <w:pPr>
              <w:jc w:val="center"/>
              <w:rPr>
                <w:rFonts w:cstheme="minorHAnsi"/>
                <w:sz w:val="16"/>
                <w:szCs w:val="16"/>
              </w:rPr>
            </w:pPr>
            <w:r>
              <w:rPr>
                <w:rFonts w:cstheme="minorHAnsi"/>
                <w:sz w:val="16"/>
                <w:szCs w:val="16"/>
              </w:rPr>
              <w:t>0.21</w:t>
            </w:r>
          </w:p>
        </w:tc>
        <w:tc>
          <w:tcPr>
            <w:tcW w:w="1498" w:type="dxa"/>
            <w:tcBorders>
              <w:top w:val="nil"/>
              <w:left w:val="nil"/>
              <w:bottom w:val="nil"/>
              <w:right w:val="nil"/>
            </w:tcBorders>
          </w:tcPr>
          <w:p w14:paraId="4BC3606E" w14:textId="65E2464D" w:rsidR="00DF57A4" w:rsidRPr="00EE7DCD" w:rsidRDefault="00DF57A4" w:rsidP="00DF57A4">
            <w:pPr>
              <w:jc w:val="center"/>
              <w:rPr>
                <w:rFonts w:cstheme="minorHAnsi"/>
                <w:sz w:val="16"/>
                <w:szCs w:val="16"/>
              </w:rPr>
            </w:pPr>
            <w:r>
              <w:rPr>
                <w:rFonts w:cstheme="minorHAnsi"/>
                <w:sz w:val="16"/>
                <w:szCs w:val="16"/>
              </w:rPr>
              <w:t>0.89 (0.73-1.07)</w:t>
            </w:r>
          </w:p>
        </w:tc>
        <w:tc>
          <w:tcPr>
            <w:tcW w:w="1329" w:type="dxa"/>
            <w:tcBorders>
              <w:top w:val="nil"/>
              <w:left w:val="nil"/>
              <w:bottom w:val="nil"/>
              <w:right w:val="nil"/>
            </w:tcBorders>
          </w:tcPr>
          <w:p w14:paraId="21573AD3" w14:textId="04B02EA6" w:rsidR="00DF57A4" w:rsidRPr="00EE7DCD" w:rsidRDefault="00DF57A4" w:rsidP="00DF57A4">
            <w:pPr>
              <w:jc w:val="center"/>
              <w:rPr>
                <w:rFonts w:cstheme="minorHAnsi"/>
                <w:sz w:val="16"/>
                <w:szCs w:val="16"/>
              </w:rPr>
            </w:pPr>
            <w:r>
              <w:rPr>
                <w:rFonts w:cstheme="minorHAnsi"/>
                <w:sz w:val="16"/>
                <w:szCs w:val="16"/>
              </w:rPr>
              <w:t>0.21</w:t>
            </w:r>
          </w:p>
        </w:tc>
        <w:tc>
          <w:tcPr>
            <w:tcW w:w="1647" w:type="dxa"/>
            <w:tcBorders>
              <w:top w:val="nil"/>
              <w:left w:val="nil"/>
              <w:bottom w:val="nil"/>
              <w:right w:val="nil"/>
            </w:tcBorders>
          </w:tcPr>
          <w:p w14:paraId="265F7D71" w14:textId="5FDED5A1" w:rsidR="00DF57A4" w:rsidRDefault="006848BB" w:rsidP="00DF57A4">
            <w:pPr>
              <w:jc w:val="center"/>
              <w:rPr>
                <w:rFonts w:cstheme="minorHAnsi"/>
                <w:sz w:val="16"/>
                <w:szCs w:val="16"/>
              </w:rPr>
            </w:pPr>
            <w:r>
              <w:rPr>
                <w:rFonts w:cstheme="minorHAnsi"/>
                <w:sz w:val="16"/>
                <w:szCs w:val="16"/>
              </w:rPr>
              <w:t>0.85</w:t>
            </w:r>
            <w:r w:rsidR="00D431DF">
              <w:rPr>
                <w:rFonts w:cstheme="minorHAnsi"/>
                <w:sz w:val="16"/>
                <w:szCs w:val="16"/>
              </w:rPr>
              <w:t xml:space="preserve"> (0.66-1.10)</w:t>
            </w:r>
          </w:p>
        </w:tc>
        <w:tc>
          <w:tcPr>
            <w:tcW w:w="1694" w:type="dxa"/>
            <w:tcBorders>
              <w:top w:val="nil"/>
              <w:left w:val="nil"/>
              <w:bottom w:val="nil"/>
              <w:right w:val="nil"/>
            </w:tcBorders>
          </w:tcPr>
          <w:p w14:paraId="4D7B963C" w14:textId="2741D185" w:rsidR="00DF57A4" w:rsidRDefault="00D431DF" w:rsidP="00DF57A4">
            <w:pPr>
              <w:jc w:val="center"/>
              <w:rPr>
                <w:rFonts w:cstheme="minorHAnsi"/>
                <w:sz w:val="16"/>
                <w:szCs w:val="16"/>
              </w:rPr>
            </w:pPr>
            <w:r>
              <w:rPr>
                <w:rFonts w:cstheme="minorHAnsi"/>
                <w:sz w:val="16"/>
                <w:szCs w:val="16"/>
              </w:rPr>
              <w:t>0.23</w:t>
            </w:r>
          </w:p>
        </w:tc>
      </w:tr>
      <w:tr w:rsidR="00DF57A4" w:rsidRPr="00EE7DCD" w14:paraId="3CD8EFDA" w14:textId="193F490D" w:rsidTr="005760FD">
        <w:trPr>
          <w:trHeight w:val="63"/>
        </w:trPr>
        <w:tc>
          <w:tcPr>
            <w:tcW w:w="1560" w:type="dxa"/>
            <w:tcBorders>
              <w:top w:val="nil"/>
              <w:left w:val="nil"/>
              <w:bottom w:val="nil"/>
              <w:right w:val="nil"/>
            </w:tcBorders>
            <w:noWrap/>
          </w:tcPr>
          <w:p w14:paraId="6766DA81" w14:textId="77777777" w:rsidR="00DF57A4" w:rsidRPr="00223E16" w:rsidRDefault="00DF57A4" w:rsidP="00DF57A4">
            <w:pPr>
              <w:jc w:val="right"/>
              <w:rPr>
                <w:rFonts w:cstheme="minorHAnsi"/>
                <w:color w:val="000000"/>
                <w:sz w:val="16"/>
                <w:szCs w:val="16"/>
              </w:rPr>
            </w:pPr>
            <w:r w:rsidRPr="00223E16">
              <w:rPr>
                <w:rFonts w:cstheme="minorHAnsi"/>
                <w:color w:val="000000"/>
                <w:sz w:val="16"/>
                <w:szCs w:val="16"/>
              </w:rPr>
              <w:t>76-80</w:t>
            </w:r>
          </w:p>
        </w:tc>
        <w:tc>
          <w:tcPr>
            <w:tcW w:w="1560" w:type="dxa"/>
            <w:tcBorders>
              <w:top w:val="nil"/>
              <w:left w:val="nil"/>
              <w:bottom w:val="nil"/>
              <w:right w:val="nil"/>
            </w:tcBorders>
            <w:noWrap/>
          </w:tcPr>
          <w:p w14:paraId="6FD96E30" w14:textId="1CAF0DC9" w:rsidR="00DF57A4" w:rsidRPr="00EE7DCD" w:rsidRDefault="00DF57A4" w:rsidP="00DF57A4">
            <w:pPr>
              <w:jc w:val="center"/>
              <w:rPr>
                <w:rFonts w:cstheme="minorHAnsi"/>
                <w:color w:val="000000"/>
                <w:sz w:val="16"/>
                <w:szCs w:val="16"/>
              </w:rPr>
            </w:pPr>
            <w:r>
              <w:rPr>
                <w:rFonts w:cstheme="minorHAnsi"/>
                <w:color w:val="000000"/>
                <w:sz w:val="16"/>
                <w:szCs w:val="16"/>
              </w:rPr>
              <w:t>0.63 (0.50-0.79)</w:t>
            </w:r>
          </w:p>
        </w:tc>
        <w:tc>
          <w:tcPr>
            <w:tcW w:w="770" w:type="dxa"/>
            <w:tcBorders>
              <w:top w:val="nil"/>
              <w:left w:val="nil"/>
              <w:bottom w:val="nil"/>
              <w:right w:val="nil"/>
            </w:tcBorders>
          </w:tcPr>
          <w:p w14:paraId="036513CA" w14:textId="4CF214A0" w:rsidR="00DF57A4" w:rsidRPr="00EE7DCD" w:rsidRDefault="00DF57A4" w:rsidP="00DF57A4">
            <w:pPr>
              <w:jc w:val="center"/>
              <w:rPr>
                <w:rFonts w:cstheme="minorHAnsi"/>
                <w:sz w:val="16"/>
                <w:szCs w:val="16"/>
              </w:rPr>
            </w:pPr>
            <w:r>
              <w:rPr>
                <w:rFonts w:cstheme="minorHAnsi"/>
                <w:sz w:val="16"/>
                <w:szCs w:val="16"/>
              </w:rPr>
              <w:t>&lt;0.001</w:t>
            </w:r>
          </w:p>
        </w:tc>
        <w:tc>
          <w:tcPr>
            <w:tcW w:w="1498" w:type="dxa"/>
            <w:tcBorders>
              <w:top w:val="nil"/>
              <w:left w:val="nil"/>
              <w:bottom w:val="nil"/>
              <w:right w:val="nil"/>
            </w:tcBorders>
          </w:tcPr>
          <w:p w14:paraId="57B4D2AC" w14:textId="087093C9" w:rsidR="00DF57A4" w:rsidRPr="00EE7DCD" w:rsidRDefault="00DF57A4" w:rsidP="00DF57A4">
            <w:pPr>
              <w:jc w:val="center"/>
              <w:rPr>
                <w:rFonts w:cstheme="minorHAnsi"/>
                <w:sz w:val="16"/>
                <w:szCs w:val="16"/>
              </w:rPr>
            </w:pPr>
            <w:r>
              <w:rPr>
                <w:rFonts w:cstheme="minorHAnsi"/>
                <w:sz w:val="16"/>
                <w:szCs w:val="16"/>
              </w:rPr>
              <w:t>0.66 (0.52-0.83)</w:t>
            </w:r>
          </w:p>
        </w:tc>
        <w:tc>
          <w:tcPr>
            <w:tcW w:w="1329" w:type="dxa"/>
            <w:tcBorders>
              <w:top w:val="nil"/>
              <w:left w:val="nil"/>
              <w:bottom w:val="nil"/>
              <w:right w:val="nil"/>
            </w:tcBorders>
          </w:tcPr>
          <w:p w14:paraId="4F02E35B" w14:textId="75FA4ECC" w:rsidR="00DF57A4" w:rsidRPr="00EE7DCD" w:rsidRDefault="00DF57A4" w:rsidP="00DF57A4">
            <w:pPr>
              <w:jc w:val="center"/>
              <w:rPr>
                <w:rFonts w:cstheme="minorHAnsi"/>
                <w:sz w:val="16"/>
                <w:szCs w:val="16"/>
              </w:rPr>
            </w:pPr>
            <w:r>
              <w:rPr>
                <w:rFonts w:cstheme="minorHAnsi"/>
                <w:sz w:val="16"/>
                <w:szCs w:val="16"/>
              </w:rPr>
              <w:t>&lt;0.001</w:t>
            </w:r>
          </w:p>
        </w:tc>
        <w:tc>
          <w:tcPr>
            <w:tcW w:w="1647" w:type="dxa"/>
            <w:tcBorders>
              <w:top w:val="nil"/>
              <w:left w:val="nil"/>
              <w:bottom w:val="nil"/>
              <w:right w:val="nil"/>
            </w:tcBorders>
          </w:tcPr>
          <w:p w14:paraId="43D8EAAA" w14:textId="303BCF6D" w:rsidR="00DF57A4" w:rsidRDefault="006848BB" w:rsidP="00DF57A4">
            <w:pPr>
              <w:jc w:val="center"/>
              <w:rPr>
                <w:rFonts w:cstheme="minorHAnsi"/>
                <w:sz w:val="16"/>
                <w:szCs w:val="16"/>
              </w:rPr>
            </w:pPr>
            <w:r>
              <w:rPr>
                <w:rFonts w:cstheme="minorHAnsi"/>
                <w:sz w:val="16"/>
                <w:szCs w:val="16"/>
              </w:rPr>
              <w:t>0.77</w:t>
            </w:r>
            <w:r w:rsidR="00D431DF">
              <w:rPr>
                <w:rFonts w:cstheme="minorHAnsi"/>
                <w:sz w:val="16"/>
                <w:szCs w:val="16"/>
              </w:rPr>
              <w:t xml:space="preserve"> (0.57-1.02)</w:t>
            </w:r>
          </w:p>
        </w:tc>
        <w:tc>
          <w:tcPr>
            <w:tcW w:w="1694" w:type="dxa"/>
            <w:tcBorders>
              <w:top w:val="nil"/>
              <w:left w:val="nil"/>
              <w:bottom w:val="nil"/>
              <w:right w:val="nil"/>
            </w:tcBorders>
          </w:tcPr>
          <w:p w14:paraId="2BE2359D" w14:textId="24510B4C" w:rsidR="00DF57A4" w:rsidRDefault="00D431DF" w:rsidP="00DF57A4">
            <w:pPr>
              <w:jc w:val="center"/>
              <w:rPr>
                <w:rFonts w:cstheme="minorHAnsi"/>
                <w:sz w:val="16"/>
                <w:szCs w:val="16"/>
              </w:rPr>
            </w:pPr>
            <w:r>
              <w:rPr>
                <w:rFonts w:cstheme="minorHAnsi"/>
                <w:sz w:val="16"/>
                <w:szCs w:val="16"/>
              </w:rPr>
              <w:t>0.07</w:t>
            </w:r>
          </w:p>
        </w:tc>
      </w:tr>
      <w:tr w:rsidR="00DF57A4" w:rsidRPr="00EE7DCD" w14:paraId="47D80526" w14:textId="202FA33A" w:rsidTr="005760FD">
        <w:trPr>
          <w:trHeight w:val="63"/>
        </w:trPr>
        <w:tc>
          <w:tcPr>
            <w:tcW w:w="1560" w:type="dxa"/>
            <w:tcBorders>
              <w:top w:val="nil"/>
              <w:left w:val="nil"/>
              <w:bottom w:val="nil"/>
              <w:right w:val="nil"/>
            </w:tcBorders>
            <w:noWrap/>
          </w:tcPr>
          <w:p w14:paraId="69765735" w14:textId="77777777" w:rsidR="00DF57A4" w:rsidRPr="00223E16" w:rsidRDefault="00DF57A4" w:rsidP="00DF57A4">
            <w:pPr>
              <w:jc w:val="right"/>
              <w:rPr>
                <w:rFonts w:cstheme="minorHAnsi"/>
                <w:color w:val="000000"/>
                <w:sz w:val="16"/>
                <w:szCs w:val="16"/>
              </w:rPr>
            </w:pPr>
            <w:r w:rsidRPr="00223E16">
              <w:rPr>
                <w:rFonts w:cstheme="minorHAnsi"/>
                <w:color w:val="000000"/>
                <w:sz w:val="16"/>
                <w:szCs w:val="16"/>
              </w:rPr>
              <w:t>81-85</w:t>
            </w:r>
          </w:p>
        </w:tc>
        <w:tc>
          <w:tcPr>
            <w:tcW w:w="1560" w:type="dxa"/>
            <w:tcBorders>
              <w:top w:val="nil"/>
              <w:left w:val="nil"/>
              <w:bottom w:val="nil"/>
              <w:right w:val="nil"/>
            </w:tcBorders>
            <w:noWrap/>
          </w:tcPr>
          <w:p w14:paraId="7BFC845C" w14:textId="61C7544A" w:rsidR="00DF57A4" w:rsidRPr="00EE7DCD" w:rsidRDefault="00DF57A4" w:rsidP="00DF57A4">
            <w:pPr>
              <w:jc w:val="center"/>
              <w:rPr>
                <w:rFonts w:cstheme="minorHAnsi"/>
                <w:color w:val="000000"/>
                <w:sz w:val="16"/>
                <w:szCs w:val="16"/>
              </w:rPr>
            </w:pPr>
            <w:r>
              <w:rPr>
                <w:rFonts w:cstheme="minorHAnsi"/>
                <w:color w:val="000000"/>
                <w:sz w:val="16"/>
                <w:szCs w:val="16"/>
              </w:rPr>
              <w:t>0.43 (0.32-0.57)</w:t>
            </w:r>
          </w:p>
        </w:tc>
        <w:tc>
          <w:tcPr>
            <w:tcW w:w="770" w:type="dxa"/>
            <w:tcBorders>
              <w:top w:val="nil"/>
              <w:left w:val="nil"/>
              <w:bottom w:val="nil"/>
              <w:right w:val="nil"/>
            </w:tcBorders>
          </w:tcPr>
          <w:p w14:paraId="216EC425" w14:textId="7E0E0DB2" w:rsidR="00DF57A4" w:rsidRPr="00EE7DCD" w:rsidRDefault="00DF57A4" w:rsidP="00DF57A4">
            <w:pPr>
              <w:jc w:val="center"/>
              <w:rPr>
                <w:rFonts w:cstheme="minorHAnsi"/>
                <w:sz w:val="16"/>
                <w:szCs w:val="16"/>
              </w:rPr>
            </w:pPr>
            <w:r>
              <w:rPr>
                <w:rFonts w:cstheme="minorHAnsi"/>
                <w:sz w:val="16"/>
                <w:szCs w:val="16"/>
              </w:rPr>
              <w:t>&lt;0.001</w:t>
            </w:r>
          </w:p>
        </w:tc>
        <w:tc>
          <w:tcPr>
            <w:tcW w:w="1498" w:type="dxa"/>
            <w:tcBorders>
              <w:top w:val="nil"/>
              <w:left w:val="nil"/>
              <w:bottom w:val="nil"/>
              <w:right w:val="nil"/>
            </w:tcBorders>
          </w:tcPr>
          <w:p w14:paraId="316789B2" w14:textId="344CC6DA" w:rsidR="00DF57A4" w:rsidRPr="00EE7DCD" w:rsidRDefault="00DF57A4" w:rsidP="00DF57A4">
            <w:pPr>
              <w:jc w:val="center"/>
              <w:rPr>
                <w:rFonts w:cstheme="minorHAnsi"/>
                <w:sz w:val="16"/>
                <w:szCs w:val="16"/>
              </w:rPr>
            </w:pPr>
            <w:r>
              <w:rPr>
                <w:rFonts w:cstheme="minorHAnsi"/>
                <w:sz w:val="16"/>
                <w:szCs w:val="16"/>
              </w:rPr>
              <w:t>0.46 (0.33-0.61)</w:t>
            </w:r>
          </w:p>
        </w:tc>
        <w:tc>
          <w:tcPr>
            <w:tcW w:w="1329" w:type="dxa"/>
            <w:tcBorders>
              <w:top w:val="nil"/>
              <w:left w:val="nil"/>
              <w:bottom w:val="nil"/>
              <w:right w:val="nil"/>
            </w:tcBorders>
          </w:tcPr>
          <w:p w14:paraId="6C1A4BBA" w14:textId="1EADE6AA" w:rsidR="00DF57A4" w:rsidRPr="00EE7DCD" w:rsidRDefault="00DF57A4" w:rsidP="00DF57A4">
            <w:pPr>
              <w:jc w:val="center"/>
              <w:rPr>
                <w:rFonts w:cstheme="minorHAnsi"/>
                <w:sz w:val="16"/>
                <w:szCs w:val="16"/>
              </w:rPr>
            </w:pPr>
            <w:r>
              <w:rPr>
                <w:rFonts w:cstheme="minorHAnsi"/>
                <w:sz w:val="16"/>
                <w:szCs w:val="16"/>
              </w:rPr>
              <w:t>&lt;0.001</w:t>
            </w:r>
          </w:p>
        </w:tc>
        <w:tc>
          <w:tcPr>
            <w:tcW w:w="1647" w:type="dxa"/>
            <w:tcBorders>
              <w:top w:val="nil"/>
              <w:left w:val="nil"/>
              <w:bottom w:val="nil"/>
              <w:right w:val="nil"/>
            </w:tcBorders>
          </w:tcPr>
          <w:p w14:paraId="2831833B" w14:textId="49A818D5" w:rsidR="00DF57A4" w:rsidRDefault="006848BB" w:rsidP="00DF57A4">
            <w:pPr>
              <w:jc w:val="center"/>
              <w:rPr>
                <w:rFonts w:cstheme="minorHAnsi"/>
                <w:sz w:val="16"/>
                <w:szCs w:val="16"/>
              </w:rPr>
            </w:pPr>
            <w:r>
              <w:rPr>
                <w:rFonts w:cstheme="minorHAnsi"/>
                <w:sz w:val="16"/>
                <w:szCs w:val="16"/>
              </w:rPr>
              <w:t>0.50</w:t>
            </w:r>
            <w:r w:rsidR="00D431DF">
              <w:rPr>
                <w:rFonts w:cstheme="minorHAnsi"/>
                <w:sz w:val="16"/>
                <w:szCs w:val="16"/>
              </w:rPr>
              <w:t xml:space="preserve"> (0.34-0.73)</w:t>
            </w:r>
          </w:p>
        </w:tc>
        <w:tc>
          <w:tcPr>
            <w:tcW w:w="1694" w:type="dxa"/>
            <w:tcBorders>
              <w:top w:val="nil"/>
              <w:left w:val="nil"/>
              <w:bottom w:val="nil"/>
              <w:right w:val="nil"/>
            </w:tcBorders>
          </w:tcPr>
          <w:p w14:paraId="5E959DB8" w14:textId="30022EED" w:rsidR="00DF57A4" w:rsidRDefault="00D431DF" w:rsidP="00DF57A4">
            <w:pPr>
              <w:jc w:val="center"/>
              <w:rPr>
                <w:rFonts w:cstheme="minorHAnsi"/>
                <w:sz w:val="16"/>
                <w:szCs w:val="16"/>
              </w:rPr>
            </w:pPr>
            <w:r>
              <w:rPr>
                <w:rFonts w:cstheme="minorHAnsi"/>
                <w:sz w:val="16"/>
                <w:szCs w:val="16"/>
              </w:rPr>
              <w:t>&lt;0.001</w:t>
            </w:r>
          </w:p>
        </w:tc>
      </w:tr>
      <w:tr w:rsidR="00DF57A4" w:rsidRPr="00EE7DCD" w14:paraId="687A77A9" w14:textId="2CD077C8" w:rsidTr="005760FD">
        <w:trPr>
          <w:trHeight w:val="300"/>
        </w:trPr>
        <w:tc>
          <w:tcPr>
            <w:tcW w:w="1560" w:type="dxa"/>
            <w:tcBorders>
              <w:top w:val="nil"/>
              <w:left w:val="nil"/>
              <w:bottom w:val="single" w:sz="4" w:space="0" w:color="auto"/>
              <w:right w:val="nil"/>
            </w:tcBorders>
            <w:noWrap/>
          </w:tcPr>
          <w:p w14:paraId="454A4FE8" w14:textId="77777777" w:rsidR="00DF57A4" w:rsidRPr="00223E16" w:rsidRDefault="00DF57A4" w:rsidP="00DF57A4">
            <w:pPr>
              <w:jc w:val="right"/>
              <w:rPr>
                <w:rFonts w:cstheme="minorHAnsi"/>
                <w:color w:val="000000"/>
                <w:sz w:val="16"/>
                <w:szCs w:val="16"/>
              </w:rPr>
            </w:pPr>
            <w:r w:rsidRPr="00223E16">
              <w:rPr>
                <w:rFonts w:cstheme="minorHAnsi"/>
                <w:color w:val="000000"/>
                <w:sz w:val="16"/>
                <w:szCs w:val="16"/>
              </w:rPr>
              <w:t>&gt;85</w:t>
            </w:r>
          </w:p>
        </w:tc>
        <w:tc>
          <w:tcPr>
            <w:tcW w:w="1560" w:type="dxa"/>
            <w:tcBorders>
              <w:top w:val="nil"/>
              <w:left w:val="nil"/>
              <w:bottom w:val="single" w:sz="4" w:space="0" w:color="auto"/>
              <w:right w:val="nil"/>
            </w:tcBorders>
            <w:noWrap/>
          </w:tcPr>
          <w:p w14:paraId="4EE84D99" w14:textId="14B8D1C0" w:rsidR="00DF57A4" w:rsidRPr="00EE7DCD" w:rsidRDefault="00DF57A4" w:rsidP="00DF57A4">
            <w:pPr>
              <w:jc w:val="center"/>
              <w:rPr>
                <w:rFonts w:cstheme="minorHAnsi"/>
                <w:color w:val="000000"/>
                <w:sz w:val="16"/>
                <w:szCs w:val="16"/>
              </w:rPr>
            </w:pPr>
            <w:r>
              <w:rPr>
                <w:rFonts w:cstheme="minorHAnsi"/>
                <w:color w:val="000000"/>
                <w:sz w:val="16"/>
                <w:szCs w:val="16"/>
              </w:rPr>
              <w:t>0.13 (0.08-0.20)</w:t>
            </w:r>
          </w:p>
        </w:tc>
        <w:tc>
          <w:tcPr>
            <w:tcW w:w="770" w:type="dxa"/>
            <w:tcBorders>
              <w:top w:val="nil"/>
              <w:left w:val="nil"/>
              <w:bottom w:val="single" w:sz="4" w:space="0" w:color="auto"/>
              <w:right w:val="nil"/>
            </w:tcBorders>
          </w:tcPr>
          <w:p w14:paraId="40F5CA03" w14:textId="7C30621E" w:rsidR="00DF57A4" w:rsidRPr="00EE7DCD" w:rsidRDefault="00DF57A4" w:rsidP="00DF57A4">
            <w:pPr>
              <w:jc w:val="center"/>
              <w:rPr>
                <w:rFonts w:cstheme="minorHAnsi"/>
                <w:sz w:val="16"/>
                <w:szCs w:val="16"/>
              </w:rPr>
            </w:pPr>
            <w:r>
              <w:rPr>
                <w:rFonts w:cstheme="minorHAnsi"/>
                <w:sz w:val="16"/>
                <w:szCs w:val="16"/>
              </w:rPr>
              <w:t>&lt;0.001</w:t>
            </w:r>
          </w:p>
        </w:tc>
        <w:tc>
          <w:tcPr>
            <w:tcW w:w="1498" w:type="dxa"/>
            <w:tcBorders>
              <w:top w:val="nil"/>
              <w:left w:val="nil"/>
              <w:bottom w:val="single" w:sz="4" w:space="0" w:color="auto"/>
              <w:right w:val="nil"/>
            </w:tcBorders>
          </w:tcPr>
          <w:p w14:paraId="3053B05B" w14:textId="36C16CB8" w:rsidR="00DF57A4" w:rsidRPr="00EE7DCD" w:rsidRDefault="00DF57A4" w:rsidP="00DF57A4">
            <w:pPr>
              <w:jc w:val="center"/>
              <w:rPr>
                <w:rFonts w:cstheme="minorHAnsi"/>
                <w:sz w:val="16"/>
                <w:szCs w:val="16"/>
              </w:rPr>
            </w:pPr>
            <w:r>
              <w:rPr>
                <w:rFonts w:cstheme="minorHAnsi"/>
                <w:sz w:val="16"/>
                <w:szCs w:val="16"/>
              </w:rPr>
              <w:t>0.14 (0.09-0.23)</w:t>
            </w:r>
          </w:p>
        </w:tc>
        <w:tc>
          <w:tcPr>
            <w:tcW w:w="1329" w:type="dxa"/>
            <w:tcBorders>
              <w:top w:val="nil"/>
              <w:left w:val="nil"/>
              <w:bottom w:val="single" w:sz="4" w:space="0" w:color="auto"/>
              <w:right w:val="nil"/>
            </w:tcBorders>
          </w:tcPr>
          <w:p w14:paraId="15A14FAE" w14:textId="1076D9A8" w:rsidR="00DF57A4" w:rsidRPr="00EE7DCD" w:rsidRDefault="00DF57A4" w:rsidP="00DF57A4">
            <w:pPr>
              <w:jc w:val="center"/>
              <w:rPr>
                <w:rFonts w:cstheme="minorHAnsi"/>
                <w:sz w:val="16"/>
                <w:szCs w:val="16"/>
              </w:rPr>
            </w:pPr>
            <w:r>
              <w:rPr>
                <w:rFonts w:cstheme="minorHAnsi"/>
                <w:sz w:val="16"/>
                <w:szCs w:val="16"/>
              </w:rPr>
              <w:t>&lt;0.001</w:t>
            </w:r>
          </w:p>
        </w:tc>
        <w:tc>
          <w:tcPr>
            <w:tcW w:w="1647" w:type="dxa"/>
            <w:tcBorders>
              <w:top w:val="nil"/>
              <w:left w:val="nil"/>
              <w:bottom w:val="single" w:sz="4" w:space="0" w:color="auto"/>
              <w:right w:val="nil"/>
            </w:tcBorders>
          </w:tcPr>
          <w:p w14:paraId="00BC1ACD" w14:textId="487F1B67" w:rsidR="00DF57A4" w:rsidRDefault="006848BB" w:rsidP="00DF57A4">
            <w:pPr>
              <w:jc w:val="center"/>
              <w:rPr>
                <w:rFonts w:cstheme="minorHAnsi"/>
                <w:sz w:val="16"/>
                <w:szCs w:val="16"/>
              </w:rPr>
            </w:pPr>
            <w:r>
              <w:rPr>
                <w:rFonts w:cstheme="minorHAnsi"/>
                <w:sz w:val="16"/>
                <w:szCs w:val="16"/>
              </w:rPr>
              <w:t>0.17</w:t>
            </w:r>
            <w:r w:rsidR="00D431DF">
              <w:rPr>
                <w:rFonts w:cstheme="minorHAnsi"/>
                <w:sz w:val="16"/>
                <w:szCs w:val="16"/>
              </w:rPr>
              <w:t xml:space="preserve"> (0.09-0.29)</w:t>
            </w:r>
          </w:p>
        </w:tc>
        <w:tc>
          <w:tcPr>
            <w:tcW w:w="1694" w:type="dxa"/>
            <w:tcBorders>
              <w:top w:val="nil"/>
              <w:left w:val="nil"/>
              <w:bottom w:val="single" w:sz="4" w:space="0" w:color="auto"/>
              <w:right w:val="nil"/>
            </w:tcBorders>
          </w:tcPr>
          <w:p w14:paraId="549008A0" w14:textId="727FD3E7" w:rsidR="00DF57A4" w:rsidRDefault="00D431DF" w:rsidP="00DF57A4">
            <w:pPr>
              <w:jc w:val="center"/>
              <w:rPr>
                <w:rFonts w:cstheme="minorHAnsi"/>
                <w:sz w:val="16"/>
                <w:szCs w:val="16"/>
              </w:rPr>
            </w:pPr>
            <w:r>
              <w:rPr>
                <w:rFonts w:cstheme="minorHAnsi"/>
                <w:sz w:val="16"/>
                <w:szCs w:val="16"/>
              </w:rPr>
              <w:t>&lt;0.001</w:t>
            </w:r>
          </w:p>
        </w:tc>
      </w:tr>
      <w:tr w:rsidR="00DF57A4" w:rsidRPr="00EE7DCD" w14:paraId="5FE7A643" w14:textId="34A7BB37" w:rsidTr="005760FD">
        <w:trPr>
          <w:trHeight w:val="53"/>
        </w:trPr>
        <w:tc>
          <w:tcPr>
            <w:tcW w:w="1560" w:type="dxa"/>
            <w:tcBorders>
              <w:left w:val="nil"/>
              <w:bottom w:val="nil"/>
              <w:right w:val="nil"/>
            </w:tcBorders>
            <w:noWrap/>
          </w:tcPr>
          <w:p w14:paraId="3D4D8A1A" w14:textId="77777777" w:rsidR="00DF57A4" w:rsidRPr="00EE7DCD" w:rsidRDefault="00DF57A4" w:rsidP="00DF57A4">
            <w:pPr>
              <w:rPr>
                <w:rFonts w:cstheme="minorHAnsi"/>
                <w:color w:val="000000"/>
                <w:sz w:val="16"/>
                <w:szCs w:val="16"/>
              </w:rPr>
            </w:pPr>
            <w:r>
              <w:rPr>
                <w:rFonts w:cstheme="minorHAnsi"/>
                <w:color w:val="000000"/>
                <w:sz w:val="16"/>
                <w:szCs w:val="16"/>
              </w:rPr>
              <w:t>Nation</w:t>
            </w:r>
          </w:p>
        </w:tc>
        <w:tc>
          <w:tcPr>
            <w:tcW w:w="1560" w:type="dxa"/>
            <w:tcBorders>
              <w:left w:val="nil"/>
              <w:bottom w:val="nil"/>
              <w:right w:val="nil"/>
            </w:tcBorders>
            <w:noWrap/>
          </w:tcPr>
          <w:p w14:paraId="62B7DD03" w14:textId="77777777" w:rsidR="00DF57A4" w:rsidRPr="00EE7DCD" w:rsidRDefault="00DF57A4" w:rsidP="00DF57A4">
            <w:pPr>
              <w:jc w:val="center"/>
              <w:rPr>
                <w:rFonts w:cstheme="minorHAnsi"/>
                <w:color w:val="000000"/>
                <w:sz w:val="16"/>
                <w:szCs w:val="16"/>
              </w:rPr>
            </w:pPr>
          </w:p>
        </w:tc>
        <w:tc>
          <w:tcPr>
            <w:tcW w:w="770" w:type="dxa"/>
            <w:tcBorders>
              <w:left w:val="nil"/>
              <w:bottom w:val="nil"/>
              <w:right w:val="nil"/>
            </w:tcBorders>
          </w:tcPr>
          <w:p w14:paraId="42A6A690" w14:textId="77777777" w:rsidR="00DF57A4" w:rsidRPr="00EE7DCD" w:rsidRDefault="00DF57A4" w:rsidP="00DF57A4">
            <w:pPr>
              <w:jc w:val="center"/>
              <w:rPr>
                <w:rFonts w:cstheme="minorHAnsi"/>
                <w:sz w:val="16"/>
                <w:szCs w:val="16"/>
              </w:rPr>
            </w:pPr>
          </w:p>
        </w:tc>
        <w:tc>
          <w:tcPr>
            <w:tcW w:w="1498" w:type="dxa"/>
            <w:tcBorders>
              <w:left w:val="nil"/>
              <w:bottom w:val="nil"/>
              <w:right w:val="nil"/>
            </w:tcBorders>
          </w:tcPr>
          <w:p w14:paraId="0E50C06D" w14:textId="77777777" w:rsidR="00DF57A4" w:rsidRPr="00EE7DCD" w:rsidRDefault="00DF57A4" w:rsidP="00DF57A4">
            <w:pPr>
              <w:jc w:val="center"/>
              <w:rPr>
                <w:rFonts w:cstheme="minorHAnsi"/>
                <w:sz w:val="16"/>
                <w:szCs w:val="16"/>
              </w:rPr>
            </w:pPr>
          </w:p>
        </w:tc>
        <w:tc>
          <w:tcPr>
            <w:tcW w:w="1329" w:type="dxa"/>
            <w:tcBorders>
              <w:left w:val="nil"/>
              <w:bottom w:val="nil"/>
              <w:right w:val="nil"/>
            </w:tcBorders>
          </w:tcPr>
          <w:p w14:paraId="4AF2CE78" w14:textId="77777777" w:rsidR="00DF57A4" w:rsidRPr="00EE7DCD" w:rsidRDefault="00DF57A4" w:rsidP="00DF57A4">
            <w:pPr>
              <w:jc w:val="center"/>
              <w:rPr>
                <w:rFonts w:cstheme="minorHAnsi"/>
                <w:sz w:val="16"/>
                <w:szCs w:val="16"/>
              </w:rPr>
            </w:pPr>
          </w:p>
        </w:tc>
        <w:tc>
          <w:tcPr>
            <w:tcW w:w="1647" w:type="dxa"/>
            <w:tcBorders>
              <w:left w:val="nil"/>
              <w:bottom w:val="nil"/>
              <w:right w:val="nil"/>
            </w:tcBorders>
          </w:tcPr>
          <w:p w14:paraId="42A4DD01" w14:textId="77777777" w:rsidR="00DF57A4" w:rsidRPr="00EE7DCD" w:rsidRDefault="00DF57A4" w:rsidP="00DF57A4">
            <w:pPr>
              <w:jc w:val="center"/>
              <w:rPr>
                <w:rFonts w:cstheme="minorHAnsi"/>
                <w:sz w:val="16"/>
                <w:szCs w:val="16"/>
              </w:rPr>
            </w:pPr>
          </w:p>
        </w:tc>
        <w:tc>
          <w:tcPr>
            <w:tcW w:w="1694" w:type="dxa"/>
            <w:tcBorders>
              <w:left w:val="nil"/>
              <w:bottom w:val="nil"/>
              <w:right w:val="nil"/>
            </w:tcBorders>
          </w:tcPr>
          <w:p w14:paraId="21C605B3" w14:textId="77777777" w:rsidR="00DF57A4" w:rsidRPr="00EE7DCD" w:rsidRDefault="00DF57A4" w:rsidP="00DF57A4">
            <w:pPr>
              <w:jc w:val="center"/>
              <w:rPr>
                <w:rFonts w:cstheme="minorHAnsi"/>
                <w:sz w:val="16"/>
                <w:szCs w:val="16"/>
              </w:rPr>
            </w:pPr>
          </w:p>
        </w:tc>
      </w:tr>
      <w:tr w:rsidR="00DF57A4" w:rsidRPr="00EE7DCD" w14:paraId="1CD02B6E" w14:textId="44D559E7" w:rsidTr="005760FD">
        <w:trPr>
          <w:trHeight w:val="63"/>
        </w:trPr>
        <w:tc>
          <w:tcPr>
            <w:tcW w:w="1560" w:type="dxa"/>
            <w:tcBorders>
              <w:top w:val="nil"/>
              <w:left w:val="nil"/>
              <w:bottom w:val="nil"/>
              <w:right w:val="nil"/>
            </w:tcBorders>
            <w:noWrap/>
          </w:tcPr>
          <w:p w14:paraId="54E23BEB" w14:textId="77777777" w:rsidR="00DF57A4" w:rsidRPr="00EE7DCD" w:rsidRDefault="00DF57A4" w:rsidP="00DF57A4">
            <w:pPr>
              <w:jc w:val="right"/>
              <w:rPr>
                <w:rFonts w:cstheme="minorHAnsi"/>
                <w:color w:val="000000"/>
                <w:sz w:val="16"/>
                <w:szCs w:val="16"/>
              </w:rPr>
            </w:pPr>
            <w:r w:rsidRPr="00EE7DCD">
              <w:rPr>
                <w:rFonts w:cstheme="minorHAnsi"/>
                <w:color w:val="000000"/>
                <w:sz w:val="16"/>
                <w:szCs w:val="16"/>
              </w:rPr>
              <w:t>England</w:t>
            </w:r>
          </w:p>
        </w:tc>
        <w:tc>
          <w:tcPr>
            <w:tcW w:w="1560" w:type="dxa"/>
            <w:tcBorders>
              <w:top w:val="nil"/>
              <w:left w:val="nil"/>
              <w:bottom w:val="nil"/>
              <w:right w:val="nil"/>
            </w:tcBorders>
            <w:noWrap/>
          </w:tcPr>
          <w:p w14:paraId="06218F93" w14:textId="38A0ED7B" w:rsidR="00DF57A4" w:rsidRPr="00EE7DCD" w:rsidRDefault="00DF57A4" w:rsidP="00DF57A4">
            <w:pPr>
              <w:jc w:val="center"/>
              <w:rPr>
                <w:rFonts w:cstheme="minorHAnsi"/>
                <w:color w:val="000000"/>
                <w:sz w:val="16"/>
                <w:szCs w:val="16"/>
              </w:rPr>
            </w:pPr>
            <w:r>
              <w:rPr>
                <w:rFonts w:cstheme="minorHAnsi"/>
                <w:color w:val="000000"/>
                <w:sz w:val="16"/>
                <w:szCs w:val="16"/>
              </w:rPr>
              <w:t>1</w:t>
            </w:r>
          </w:p>
        </w:tc>
        <w:tc>
          <w:tcPr>
            <w:tcW w:w="770" w:type="dxa"/>
            <w:tcBorders>
              <w:top w:val="nil"/>
              <w:left w:val="nil"/>
              <w:bottom w:val="nil"/>
              <w:right w:val="nil"/>
            </w:tcBorders>
          </w:tcPr>
          <w:p w14:paraId="508DAEC7" w14:textId="77777777" w:rsidR="00DF57A4" w:rsidRPr="00EE7DCD" w:rsidRDefault="00DF57A4" w:rsidP="00DF57A4">
            <w:pPr>
              <w:jc w:val="center"/>
              <w:rPr>
                <w:rFonts w:cstheme="minorHAnsi"/>
                <w:sz w:val="16"/>
                <w:szCs w:val="16"/>
              </w:rPr>
            </w:pPr>
          </w:p>
        </w:tc>
        <w:tc>
          <w:tcPr>
            <w:tcW w:w="1498" w:type="dxa"/>
            <w:tcBorders>
              <w:top w:val="nil"/>
              <w:left w:val="nil"/>
              <w:bottom w:val="nil"/>
              <w:right w:val="nil"/>
            </w:tcBorders>
          </w:tcPr>
          <w:p w14:paraId="6676E0DB" w14:textId="2DBB9E35" w:rsidR="00DF57A4" w:rsidRPr="00EE7DCD" w:rsidRDefault="00DF57A4" w:rsidP="00DF57A4">
            <w:pPr>
              <w:jc w:val="center"/>
              <w:rPr>
                <w:rFonts w:cstheme="minorHAnsi"/>
                <w:sz w:val="16"/>
                <w:szCs w:val="16"/>
              </w:rPr>
            </w:pPr>
            <w:r>
              <w:rPr>
                <w:rFonts w:cstheme="minorHAnsi"/>
                <w:sz w:val="16"/>
                <w:szCs w:val="16"/>
              </w:rPr>
              <w:t>1</w:t>
            </w:r>
          </w:p>
        </w:tc>
        <w:tc>
          <w:tcPr>
            <w:tcW w:w="1329" w:type="dxa"/>
            <w:tcBorders>
              <w:top w:val="nil"/>
              <w:left w:val="nil"/>
              <w:bottom w:val="nil"/>
              <w:right w:val="nil"/>
            </w:tcBorders>
          </w:tcPr>
          <w:p w14:paraId="799D2638" w14:textId="77777777" w:rsidR="00DF57A4" w:rsidRPr="00EE7DCD" w:rsidRDefault="00DF57A4" w:rsidP="00DF57A4">
            <w:pPr>
              <w:jc w:val="center"/>
              <w:rPr>
                <w:rFonts w:cstheme="minorHAnsi"/>
                <w:sz w:val="16"/>
                <w:szCs w:val="16"/>
              </w:rPr>
            </w:pPr>
          </w:p>
        </w:tc>
        <w:tc>
          <w:tcPr>
            <w:tcW w:w="1647" w:type="dxa"/>
            <w:tcBorders>
              <w:top w:val="nil"/>
              <w:left w:val="nil"/>
              <w:bottom w:val="nil"/>
              <w:right w:val="nil"/>
            </w:tcBorders>
          </w:tcPr>
          <w:p w14:paraId="4BF1EFD8" w14:textId="1184DBE1" w:rsidR="00DF57A4" w:rsidRPr="00EE7DCD" w:rsidRDefault="006848BB" w:rsidP="00DF57A4">
            <w:pPr>
              <w:jc w:val="center"/>
              <w:rPr>
                <w:rFonts w:cstheme="minorHAnsi"/>
                <w:sz w:val="16"/>
                <w:szCs w:val="16"/>
              </w:rPr>
            </w:pPr>
            <w:r>
              <w:rPr>
                <w:rFonts w:cstheme="minorHAnsi"/>
                <w:sz w:val="16"/>
                <w:szCs w:val="16"/>
              </w:rPr>
              <w:t>N/A</w:t>
            </w:r>
          </w:p>
        </w:tc>
        <w:tc>
          <w:tcPr>
            <w:tcW w:w="1694" w:type="dxa"/>
            <w:tcBorders>
              <w:top w:val="nil"/>
              <w:left w:val="nil"/>
              <w:bottom w:val="nil"/>
              <w:right w:val="nil"/>
            </w:tcBorders>
          </w:tcPr>
          <w:p w14:paraId="47E6BD66" w14:textId="77777777" w:rsidR="00DF57A4" w:rsidRPr="00EE7DCD" w:rsidRDefault="00DF57A4" w:rsidP="00DF57A4">
            <w:pPr>
              <w:jc w:val="center"/>
              <w:rPr>
                <w:rFonts w:cstheme="minorHAnsi"/>
                <w:sz w:val="16"/>
                <w:szCs w:val="16"/>
              </w:rPr>
            </w:pPr>
          </w:p>
        </w:tc>
      </w:tr>
      <w:tr w:rsidR="00DF57A4" w:rsidRPr="00EE7DCD" w14:paraId="51DB09A6" w14:textId="79FCBAA8" w:rsidTr="005760FD">
        <w:trPr>
          <w:trHeight w:val="130"/>
        </w:trPr>
        <w:tc>
          <w:tcPr>
            <w:tcW w:w="1560" w:type="dxa"/>
            <w:tcBorders>
              <w:top w:val="nil"/>
              <w:left w:val="nil"/>
              <w:bottom w:val="nil"/>
              <w:right w:val="nil"/>
            </w:tcBorders>
            <w:noWrap/>
          </w:tcPr>
          <w:p w14:paraId="791EE2D0" w14:textId="77777777" w:rsidR="00DF57A4" w:rsidRPr="00EE7DCD" w:rsidRDefault="00DF57A4" w:rsidP="00DF57A4">
            <w:pPr>
              <w:jc w:val="right"/>
              <w:rPr>
                <w:rFonts w:cstheme="minorHAnsi"/>
                <w:color w:val="000000"/>
                <w:sz w:val="16"/>
                <w:szCs w:val="16"/>
              </w:rPr>
            </w:pPr>
            <w:r w:rsidRPr="00EE7DCD">
              <w:rPr>
                <w:rFonts w:cstheme="minorHAnsi"/>
                <w:color w:val="000000"/>
                <w:sz w:val="16"/>
                <w:szCs w:val="16"/>
              </w:rPr>
              <w:t>Northern Ireland</w:t>
            </w:r>
          </w:p>
        </w:tc>
        <w:tc>
          <w:tcPr>
            <w:tcW w:w="1560" w:type="dxa"/>
            <w:tcBorders>
              <w:top w:val="nil"/>
              <w:left w:val="nil"/>
              <w:bottom w:val="nil"/>
              <w:right w:val="nil"/>
            </w:tcBorders>
            <w:noWrap/>
          </w:tcPr>
          <w:p w14:paraId="30F04D2F" w14:textId="5B49EEC4" w:rsidR="00DF57A4" w:rsidRPr="00EE7DCD" w:rsidRDefault="00DF57A4" w:rsidP="00DF57A4">
            <w:pPr>
              <w:jc w:val="center"/>
              <w:rPr>
                <w:rFonts w:cstheme="minorHAnsi"/>
                <w:color w:val="000000"/>
                <w:sz w:val="16"/>
                <w:szCs w:val="16"/>
              </w:rPr>
            </w:pPr>
            <w:r>
              <w:rPr>
                <w:rFonts w:cstheme="minorHAnsi"/>
                <w:color w:val="000000"/>
                <w:sz w:val="16"/>
                <w:szCs w:val="16"/>
              </w:rPr>
              <w:t>0.36 (0.27-0.47)</w:t>
            </w:r>
          </w:p>
        </w:tc>
        <w:tc>
          <w:tcPr>
            <w:tcW w:w="770" w:type="dxa"/>
            <w:tcBorders>
              <w:top w:val="nil"/>
              <w:left w:val="nil"/>
              <w:bottom w:val="nil"/>
              <w:right w:val="nil"/>
            </w:tcBorders>
          </w:tcPr>
          <w:p w14:paraId="0DCDD53A" w14:textId="56C0190E" w:rsidR="00DF57A4" w:rsidRPr="00EE7DCD" w:rsidRDefault="00DF57A4" w:rsidP="00DF57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cstheme="minorHAnsi"/>
                <w:color w:val="000000"/>
                <w:sz w:val="16"/>
                <w:szCs w:val="16"/>
              </w:rPr>
            </w:pPr>
            <w:r>
              <w:rPr>
                <w:rFonts w:cstheme="minorHAnsi"/>
                <w:color w:val="000000"/>
                <w:sz w:val="16"/>
                <w:szCs w:val="16"/>
              </w:rPr>
              <w:t>&lt;0.001</w:t>
            </w:r>
          </w:p>
        </w:tc>
        <w:tc>
          <w:tcPr>
            <w:tcW w:w="1498" w:type="dxa"/>
            <w:tcBorders>
              <w:top w:val="nil"/>
              <w:left w:val="nil"/>
              <w:bottom w:val="nil"/>
              <w:right w:val="nil"/>
            </w:tcBorders>
          </w:tcPr>
          <w:p w14:paraId="2C79BAAF" w14:textId="5597984E" w:rsidR="00DF57A4" w:rsidRPr="00EE7DCD" w:rsidRDefault="00DF57A4" w:rsidP="00DF57A4">
            <w:pPr>
              <w:jc w:val="center"/>
              <w:rPr>
                <w:rFonts w:cstheme="minorHAnsi"/>
                <w:sz w:val="16"/>
                <w:szCs w:val="16"/>
              </w:rPr>
            </w:pPr>
            <w:r>
              <w:rPr>
                <w:rFonts w:cstheme="minorHAnsi"/>
                <w:sz w:val="16"/>
                <w:szCs w:val="16"/>
              </w:rPr>
              <w:t>0.36 (0.26-0.48)</w:t>
            </w:r>
          </w:p>
        </w:tc>
        <w:tc>
          <w:tcPr>
            <w:tcW w:w="1329" w:type="dxa"/>
            <w:tcBorders>
              <w:top w:val="nil"/>
              <w:left w:val="nil"/>
              <w:bottom w:val="nil"/>
              <w:right w:val="nil"/>
            </w:tcBorders>
          </w:tcPr>
          <w:p w14:paraId="54FB9048" w14:textId="109648DD" w:rsidR="00DF57A4" w:rsidRPr="00EE7DCD" w:rsidRDefault="00DF57A4" w:rsidP="00DF57A4">
            <w:pPr>
              <w:jc w:val="center"/>
              <w:rPr>
                <w:rFonts w:cstheme="minorHAnsi"/>
                <w:sz w:val="16"/>
                <w:szCs w:val="16"/>
              </w:rPr>
            </w:pPr>
            <w:r>
              <w:rPr>
                <w:rFonts w:cstheme="minorHAnsi"/>
                <w:sz w:val="16"/>
                <w:szCs w:val="16"/>
              </w:rPr>
              <w:t>&lt;0.001</w:t>
            </w:r>
          </w:p>
        </w:tc>
        <w:tc>
          <w:tcPr>
            <w:tcW w:w="1647" w:type="dxa"/>
            <w:tcBorders>
              <w:top w:val="nil"/>
              <w:left w:val="nil"/>
              <w:bottom w:val="nil"/>
              <w:right w:val="nil"/>
            </w:tcBorders>
          </w:tcPr>
          <w:p w14:paraId="41CD3565" w14:textId="4F4A0AD9" w:rsidR="00DF57A4" w:rsidRDefault="006848BB" w:rsidP="00DF57A4">
            <w:pPr>
              <w:jc w:val="center"/>
              <w:rPr>
                <w:rFonts w:cstheme="minorHAnsi"/>
                <w:sz w:val="16"/>
                <w:szCs w:val="16"/>
              </w:rPr>
            </w:pPr>
            <w:r>
              <w:rPr>
                <w:rFonts w:cstheme="minorHAnsi"/>
                <w:sz w:val="16"/>
                <w:szCs w:val="16"/>
              </w:rPr>
              <w:t>N/A</w:t>
            </w:r>
          </w:p>
        </w:tc>
        <w:tc>
          <w:tcPr>
            <w:tcW w:w="1694" w:type="dxa"/>
            <w:tcBorders>
              <w:top w:val="nil"/>
              <w:left w:val="nil"/>
              <w:bottom w:val="nil"/>
              <w:right w:val="nil"/>
            </w:tcBorders>
          </w:tcPr>
          <w:p w14:paraId="6F91BF9B" w14:textId="77777777" w:rsidR="00DF57A4" w:rsidRDefault="00DF57A4" w:rsidP="00DF57A4">
            <w:pPr>
              <w:jc w:val="center"/>
              <w:rPr>
                <w:rFonts w:cstheme="minorHAnsi"/>
                <w:sz w:val="16"/>
                <w:szCs w:val="16"/>
              </w:rPr>
            </w:pPr>
          </w:p>
        </w:tc>
      </w:tr>
      <w:tr w:rsidR="00DF57A4" w:rsidRPr="00EE7DCD" w14:paraId="7A5BF8DC" w14:textId="457091D2" w:rsidTr="005760FD">
        <w:trPr>
          <w:trHeight w:val="217"/>
        </w:trPr>
        <w:tc>
          <w:tcPr>
            <w:tcW w:w="1560" w:type="dxa"/>
            <w:tcBorders>
              <w:top w:val="nil"/>
              <w:left w:val="nil"/>
              <w:bottom w:val="nil"/>
              <w:right w:val="nil"/>
            </w:tcBorders>
            <w:noWrap/>
          </w:tcPr>
          <w:p w14:paraId="5B0E09EF" w14:textId="77777777" w:rsidR="00DF57A4" w:rsidRPr="00EE7DCD" w:rsidRDefault="00DF57A4" w:rsidP="00DF57A4">
            <w:pPr>
              <w:jc w:val="right"/>
              <w:rPr>
                <w:rFonts w:cstheme="minorHAnsi"/>
                <w:color w:val="000000"/>
                <w:sz w:val="16"/>
                <w:szCs w:val="16"/>
              </w:rPr>
            </w:pPr>
            <w:r w:rsidRPr="00EE7DCD">
              <w:rPr>
                <w:rFonts w:cstheme="minorHAnsi"/>
                <w:color w:val="000000"/>
                <w:sz w:val="16"/>
                <w:szCs w:val="16"/>
              </w:rPr>
              <w:t>Scotland</w:t>
            </w:r>
          </w:p>
        </w:tc>
        <w:tc>
          <w:tcPr>
            <w:tcW w:w="1560" w:type="dxa"/>
            <w:tcBorders>
              <w:top w:val="nil"/>
              <w:left w:val="nil"/>
              <w:bottom w:val="nil"/>
              <w:right w:val="nil"/>
            </w:tcBorders>
            <w:noWrap/>
          </w:tcPr>
          <w:p w14:paraId="449FED7E" w14:textId="3AA12C04" w:rsidR="00DF57A4" w:rsidRPr="00EE7DCD" w:rsidRDefault="00DF57A4" w:rsidP="00DF57A4">
            <w:pPr>
              <w:jc w:val="center"/>
              <w:rPr>
                <w:rFonts w:cstheme="minorHAnsi"/>
                <w:color w:val="000000"/>
                <w:sz w:val="16"/>
                <w:szCs w:val="16"/>
              </w:rPr>
            </w:pPr>
            <w:r>
              <w:rPr>
                <w:rFonts w:cstheme="minorHAnsi"/>
                <w:color w:val="000000"/>
                <w:sz w:val="16"/>
                <w:szCs w:val="16"/>
              </w:rPr>
              <w:t>3.01 (2.82-3.22)</w:t>
            </w:r>
          </w:p>
        </w:tc>
        <w:tc>
          <w:tcPr>
            <w:tcW w:w="770" w:type="dxa"/>
            <w:tcBorders>
              <w:top w:val="nil"/>
              <w:left w:val="nil"/>
              <w:bottom w:val="nil"/>
              <w:right w:val="nil"/>
            </w:tcBorders>
          </w:tcPr>
          <w:p w14:paraId="4666C22E" w14:textId="565A06B4" w:rsidR="00DF57A4" w:rsidRPr="00EE7DCD" w:rsidRDefault="00DF57A4" w:rsidP="00DF57A4">
            <w:pPr>
              <w:pStyle w:val="HTMLPreformatted"/>
              <w:shd w:val="clear" w:color="auto" w:fill="FFFFFF"/>
              <w:wordWrap w:val="0"/>
              <w:jc w:val="center"/>
              <w:rPr>
                <w:rFonts w:asciiTheme="minorHAnsi" w:hAnsiTheme="minorHAnsi" w:cstheme="minorHAnsi"/>
                <w:color w:val="000000"/>
                <w:sz w:val="16"/>
                <w:szCs w:val="16"/>
              </w:rPr>
            </w:pPr>
            <w:r>
              <w:rPr>
                <w:rFonts w:asciiTheme="minorHAnsi" w:hAnsiTheme="minorHAnsi" w:cstheme="minorHAnsi"/>
                <w:color w:val="000000"/>
                <w:sz w:val="16"/>
                <w:szCs w:val="16"/>
              </w:rPr>
              <w:t>&lt;0.001</w:t>
            </w:r>
          </w:p>
        </w:tc>
        <w:tc>
          <w:tcPr>
            <w:tcW w:w="1498" w:type="dxa"/>
            <w:tcBorders>
              <w:top w:val="nil"/>
              <w:left w:val="nil"/>
              <w:bottom w:val="nil"/>
              <w:right w:val="nil"/>
            </w:tcBorders>
          </w:tcPr>
          <w:p w14:paraId="6F343C85" w14:textId="5693A70E" w:rsidR="00DF57A4" w:rsidRPr="00EE7DCD" w:rsidRDefault="00DF57A4" w:rsidP="00DF57A4">
            <w:pPr>
              <w:jc w:val="center"/>
              <w:rPr>
                <w:rFonts w:cstheme="minorHAnsi"/>
                <w:sz w:val="16"/>
                <w:szCs w:val="16"/>
              </w:rPr>
            </w:pPr>
            <w:r>
              <w:rPr>
                <w:rFonts w:cstheme="minorHAnsi"/>
                <w:sz w:val="16"/>
                <w:szCs w:val="16"/>
              </w:rPr>
              <w:t>3.16 (2.95-4.76)</w:t>
            </w:r>
          </w:p>
        </w:tc>
        <w:tc>
          <w:tcPr>
            <w:tcW w:w="1329" w:type="dxa"/>
            <w:tcBorders>
              <w:top w:val="nil"/>
              <w:left w:val="nil"/>
              <w:bottom w:val="nil"/>
              <w:right w:val="nil"/>
            </w:tcBorders>
          </w:tcPr>
          <w:p w14:paraId="4202A40A" w14:textId="48CABFC1" w:rsidR="00DF57A4" w:rsidRPr="00EE7DCD" w:rsidRDefault="00DF57A4" w:rsidP="00DF57A4">
            <w:pPr>
              <w:jc w:val="center"/>
              <w:rPr>
                <w:rFonts w:cstheme="minorHAnsi"/>
                <w:sz w:val="16"/>
                <w:szCs w:val="16"/>
              </w:rPr>
            </w:pPr>
            <w:r>
              <w:rPr>
                <w:rFonts w:cstheme="minorHAnsi"/>
                <w:sz w:val="16"/>
                <w:szCs w:val="16"/>
              </w:rPr>
              <w:t>&lt;0.001</w:t>
            </w:r>
          </w:p>
        </w:tc>
        <w:tc>
          <w:tcPr>
            <w:tcW w:w="1647" w:type="dxa"/>
            <w:tcBorders>
              <w:top w:val="nil"/>
              <w:left w:val="nil"/>
              <w:bottom w:val="nil"/>
              <w:right w:val="nil"/>
            </w:tcBorders>
          </w:tcPr>
          <w:p w14:paraId="5146B854" w14:textId="15264B8E" w:rsidR="00DF57A4" w:rsidRDefault="006848BB" w:rsidP="00DF57A4">
            <w:pPr>
              <w:jc w:val="center"/>
              <w:rPr>
                <w:rFonts w:cstheme="minorHAnsi"/>
                <w:sz w:val="16"/>
                <w:szCs w:val="16"/>
              </w:rPr>
            </w:pPr>
            <w:r>
              <w:rPr>
                <w:rFonts w:cstheme="minorHAnsi"/>
                <w:sz w:val="16"/>
                <w:szCs w:val="16"/>
              </w:rPr>
              <w:t>N/A</w:t>
            </w:r>
          </w:p>
        </w:tc>
        <w:tc>
          <w:tcPr>
            <w:tcW w:w="1694" w:type="dxa"/>
            <w:tcBorders>
              <w:top w:val="nil"/>
              <w:left w:val="nil"/>
              <w:bottom w:val="nil"/>
              <w:right w:val="nil"/>
            </w:tcBorders>
          </w:tcPr>
          <w:p w14:paraId="0A971084" w14:textId="77777777" w:rsidR="00DF57A4" w:rsidRDefault="00DF57A4" w:rsidP="00DF57A4">
            <w:pPr>
              <w:jc w:val="center"/>
              <w:rPr>
                <w:rFonts w:cstheme="minorHAnsi"/>
                <w:sz w:val="16"/>
                <w:szCs w:val="16"/>
              </w:rPr>
            </w:pPr>
          </w:p>
        </w:tc>
      </w:tr>
      <w:tr w:rsidR="00DF57A4" w:rsidRPr="00EE7DCD" w14:paraId="3D304F47" w14:textId="606148A8" w:rsidTr="005760FD">
        <w:trPr>
          <w:trHeight w:val="300"/>
        </w:trPr>
        <w:tc>
          <w:tcPr>
            <w:tcW w:w="1560" w:type="dxa"/>
            <w:tcBorders>
              <w:top w:val="nil"/>
              <w:left w:val="nil"/>
              <w:bottom w:val="single" w:sz="4" w:space="0" w:color="auto"/>
              <w:right w:val="nil"/>
            </w:tcBorders>
            <w:noWrap/>
          </w:tcPr>
          <w:p w14:paraId="3566F8F9" w14:textId="77777777" w:rsidR="00DF57A4" w:rsidRPr="00EE7DCD" w:rsidRDefault="00DF57A4" w:rsidP="00DF57A4">
            <w:pPr>
              <w:jc w:val="right"/>
              <w:rPr>
                <w:rFonts w:cstheme="minorHAnsi"/>
                <w:color w:val="000000"/>
                <w:sz w:val="16"/>
                <w:szCs w:val="16"/>
              </w:rPr>
            </w:pPr>
            <w:r w:rsidRPr="00EE7DCD">
              <w:rPr>
                <w:rFonts w:cstheme="minorHAnsi"/>
                <w:color w:val="000000"/>
                <w:sz w:val="16"/>
                <w:szCs w:val="16"/>
              </w:rPr>
              <w:t>Wales</w:t>
            </w:r>
          </w:p>
        </w:tc>
        <w:tc>
          <w:tcPr>
            <w:tcW w:w="1560" w:type="dxa"/>
            <w:tcBorders>
              <w:top w:val="nil"/>
              <w:left w:val="nil"/>
              <w:bottom w:val="single" w:sz="4" w:space="0" w:color="auto"/>
              <w:right w:val="nil"/>
            </w:tcBorders>
            <w:noWrap/>
          </w:tcPr>
          <w:p w14:paraId="4A6A3568" w14:textId="43013E3E" w:rsidR="00DF57A4" w:rsidRPr="00EE7DCD" w:rsidRDefault="00DF57A4" w:rsidP="00DF57A4">
            <w:pPr>
              <w:jc w:val="center"/>
              <w:rPr>
                <w:rFonts w:cstheme="minorHAnsi"/>
                <w:color w:val="000000"/>
                <w:sz w:val="16"/>
                <w:szCs w:val="16"/>
              </w:rPr>
            </w:pPr>
            <w:r>
              <w:rPr>
                <w:rFonts w:cstheme="minorHAnsi"/>
                <w:color w:val="000000"/>
                <w:sz w:val="16"/>
                <w:szCs w:val="16"/>
              </w:rPr>
              <w:t>0.52 (0.44-0.61)</w:t>
            </w:r>
          </w:p>
        </w:tc>
        <w:tc>
          <w:tcPr>
            <w:tcW w:w="770" w:type="dxa"/>
            <w:tcBorders>
              <w:top w:val="nil"/>
              <w:left w:val="nil"/>
              <w:bottom w:val="single" w:sz="4" w:space="0" w:color="auto"/>
              <w:right w:val="nil"/>
            </w:tcBorders>
          </w:tcPr>
          <w:p w14:paraId="678FC586" w14:textId="6E2588DF" w:rsidR="00DF57A4" w:rsidRPr="00EE7DCD" w:rsidRDefault="00DF57A4" w:rsidP="00DF57A4">
            <w:pPr>
              <w:pStyle w:val="HTMLPreformatted"/>
              <w:shd w:val="clear" w:color="auto" w:fill="FFFFFF"/>
              <w:wordWrap w:val="0"/>
              <w:jc w:val="center"/>
              <w:rPr>
                <w:rFonts w:asciiTheme="minorHAnsi" w:hAnsiTheme="minorHAnsi" w:cstheme="minorHAnsi"/>
                <w:color w:val="000000"/>
                <w:sz w:val="16"/>
                <w:szCs w:val="16"/>
              </w:rPr>
            </w:pPr>
            <w:r>
              <w:rPr>
                <w:rFonts w:asciiTheme="minorHAnsi" w:hAnsiTheme="minorHAnsi" w:cstheme="minorHAnsi"/>
                <w:color w:val="000000"/>
                <w:sz w:val="16"/>
                <w:szCs w:val="16"/>
              </w:rPr>
              <w:t>&lt;0.001</w:t>
            </w:r>
          </w:p>
        </w:tc>
        <w:tc>
          <w:tcPr>
            <w:tcW w:w="1498" w:type="dxa"/>
            <w:tcBorders>
              <w:top w:val="nil"/>
              <w:left w:val="nil"/>
              <w:bottom w:val="single" w:sz="4" w:space="0" w:color="auto"/>
              <w:right w:val="nil"/>
            </w:tcBorders>
          </w:tcPr>
          <w:p w14:paraId="1199915B" w14:textId="4521FF40" w:rsidR="00DF57A4" w:rsidRPr="00EE7DCD" w:rsidRDefault="00DF57A4" w:rsidP="00DF57A4">
            <w:pPr>
              <w:jc w:val="center"/>
              <w:rPr>
                <w:rFonts w:cstheme="minorHAnsi"/>
                <w:sz w:val="16"/>
                <w:szCs w:val="16"/>
              </w:rPr>
            </w:pPr>
            <w:r>
              <w:rPr>
                <w:rFonts w:cstheme="minorHAnsi"/>
                <w:sz w:val="16"/>
                <w:szCs w:val="16"/>
              </w:rPr>
              <w:t>0.56 (0.47-0.66)</w:t>
            </w:r>
          </w:p>
        </w:tc>
        <w:tc>
          <w:tcPr>
            <w:tcW w:w="1329" w:type="dxa"/>
            <w:tcBorders>
              <w:top w:val="nil"/>
              <w:left w:val="nil"/>
              <w:bottom w:val="single" w:sz="4" w:space="0" w:color="auto"/>
              <w:right w:val="nil"/>
            </w:tcBorders>
          </w:tcPr>
          <w:p w14:paraId="4B6A0435" w14:textId="52947472" w:rsidR="00DF57A4" w:rsidRPr="00EE7DCD" w:rsidRDefault="00DF57A4" w:rsidP="00DF57A4">
            <w:pPr>
              <w:jc w:val="center"/>
              <w:rPr>
                <w:rFonts w:cstheme="minorHAnsi"/>
                <w:sz w:val="16"/>
                <w:szCs w:val="16"/>
              </w:rPr>
            </w:pPr>
            <w:r>
              <w:rPr>
                <w:rFonts w:cstheme="minorHAnsi"/>
                <w:sz w:val="16"/>
                <w:szCs w:val="16"/>
              </w:rPr>
              <w:t>&lt;0.001</w:t>
            </w:r>
          </w:p>
        </w:tc>
        <w:tc>
          <w:tcPr>
            <w:tcW w:w="1647" w:type="dxa"/>
            <w:tcBorders>
              <w:top w:val="nil"/>
              <w:left w:val="nil"/>
              <w:bottom w:val="single" w:sz="4" w:space="0" w:color="auto"/>
              <w:right w:val="nil"/>
            </w:tcBorders>
          </w:tcPr>
          <w:p w14:paraId="079EA503" w14:textId="6BF58D6C" w:rsidR="00DF57A4" w:rsidRDefault="006848BB" w:rsidP="00DF57A4">
            <w:pPr>
              <w:jc w:val="center"/>
              <w:rPr>
                <w:rFonts w:cstheme="minorHAnsi"/>
                <w:sz w:val="16"/>
                <w:szCs w:val="16"/>
              </w:rPr>
            </w:pPr>
            <w:r>
              <w:rPr>
                <w:rFonts w:cstheme="minorHAnsi"/>
                <w:sz w:val="16"/>
                <w:szCs w:val="16"/>
              </w:rPr>
              <w:t>N/A</w:t>
            </w:r>
          </w:p>
        </w:tc>
        <w:tc>
          <w:tcPr>
            <w:tcW w:w="1694" w:type="dxa"/>
            <w:tcBorders>
              <w:top w:val="nil"/>
              <w:left w:val="nil"/>
              <w:bottom w:val="single" w:sz="4" w:space="0" w:color="auto"/>
              <w:right w:val="nil"/>
            </w:tcBorders>
          </w:tcPr>
          <w:p w14:paraId="0F2D316C" w14:textId="77777777" w:rsidR="00DF57A4" w:rsidRDefault="00DF57A4" w:rsidP="00DF57A4">
            <w:pPr>
              <w:jc w:val="center"/>
              <w:rPr>
                <w:rFonts w:cstheme="minorHAnsi"/>
                <w:sz w:val="16"/>
                <w:szCs w:val="16"/>
              </w:rPr>
            </w:pPr>
          </w:p>
        </w:tc>
      </w:tr>
      <w:tr w:rsidR="00DF57A4" w:rsidRPr="00EE7DCD" w14:paraId="38FF5122" w14:textId="53CDAE49" w:rsidTr="005760FD">
        <w:trPr>
          <w:trHeight w:val="53"/>
        </w:trPr>
        <w:tc>
          <w:tcPr>
            <w:tcW w:w="1560" w:type="dxa"/>
            <w:tcBorders>
              <w:left w:val="nil"/>
              <w:bottom w:val="nil"/>
              <w:right w:val="nil"/>
            </w:tcBorders>
            <w:noWrap/>
          </w:tcPr>
          <w:p w14:paraId="015E3176" w14:textId="77777777" w:rsidR="00DF57A4" w:rsidRPr="00EE7DCD" w:rsidRDefault="00DF57A4" w:rsidP="00DF57A4">
            <w:pPr>
              <w:rPr>
                <w:rFonts w:cstheme="minorHAnsi"/>
                <w:color w:val="000000"/>
                <w:sz w:val="16"/>
                <w:szCs w:val="16"/>
              </w:rPr>
            </w:pPr>
            <w:r w:rsidRPr="00EE7DCD">
              <w:rPr>
                <w:rFonts w:cstheme="minorHAnsi"/>
                <w:color w:val="000000"/>
                <w:sz w:val="16"/>
                <w:szCs w:val="16"/>
              </w:rPr>
              <w:t xml:space="preserve">Townsend </w:t>
            </w:r>
          </w:p>
        </w:tc>
        <w:tc>
          <w:tcPr>
            <w:tcW w:w="1560" w:type="dxa"/>
            <w:tcBorders>
              <w:left w:val="nil"/>
              <w:bottom w:val="nil"/>
              <w:right w:val="nil"/>
            </w:tcBorders>
            <w:noWrap/>
          </w:tcPr>
          <w:p w14:paraId="159C271B" w14:textId="77777777" w:rsidR="00DF57A4" w:rsidRPr="00EE7DCD" w:rsidRDefault="00DF57A4" w:rsidP="00DF57A4">
            <w:pPr>
              <w:jc w:val="center"/>
              <w:rPr>
                <w:rFonts w:cstheme="minorHAnsi"/>
                <w:color w:val="000000"/>
                <w:sz w:val="16"/>
                <w:szCs w:val="16"/>
              </w:rPr>
            </w:pPr>
          </w:p>
        </w:tc>
        <w:tc>
          <w:tcPr>
            <w:tcW w:w="770" w:type="dxa"/>
            <w:tcBorders>
              <w:left w:val="nil"/>
              <w:bottom w:val="nil"/>
              <w:right w:val="nil"/>
            </w:tcBorders>
          </w:tcPr>
          <w:p w14:paraId="2294E2DF" w14:textId="77777777" w:rsidR="00DF57A4" w:rsidRPr="00EE7DCD" w:rsidRDefault="00DF57A4" w:rsidP="00DF57A4">
            <w:pPr>
              <w:jc w:val="center"/>
              <w:rPr>
                <w:rFonts w:cstheme="minorHAnsi"/>
                <w:sz w:val="16"/>
                <w:szCs w:val="16"/>
              </w:rPr>
            </w:pPr>
          </w:p>
        </w:tc>
        <w:tc>
          <w:tcPr>
            <w:tcW w:w="1498" w:type="dxa"/>
            <w:tcBorders>
              <w:top w:val="single" w:sz="4" w:space="0" w:color="auto"/>
              <w:left w:val="nil"/>
              <w:bottom w:val="nil"/>
              <w:right w:val="nil"/>
            </w:tcBorders>
          </w:tcPr>
          <w:p w14:paraId="44D03C7F" w14:textId="77777777" w:rsidR="00DF57A4" w:rsidRPr="00EE7DCD" w:rsidRDefault="00DF57A4" w:rsidP="00DF57A4">
            <w:pPr>
              <w:jc w:val="center"/>
              <w:rPr>
                <w:rFonts w:cstheme="minorHAnsi"/>
                <w:sz w:val="16"/>
                <w:szCs w:val="16"/>
              </w:rPr>
            </w:pPr>
          </w:p>
        </w:tc>
        <w:tc>
          <w:tcPr>
            <w:tcW w:w="1329" w:type="dxa"/>
            <w:tcBorders>
              <w:top w:val="single" w:sz="4" w:space="0" w:color="auto"/>
              <w:left w:val="nil"/>
              <w:bottom w:val="nil"/>
              <w:right w:val="nil"/>
            </w:tcBorders>
          </w:tcPr>
          <w:p w14:paraId="03ADAE2B" w14:textId="77777777" w:rsidR="00DF57A4" w:rsidRPr="00EE7DCD" w:rsidRDefault="00DF57A4" w:rsidP="00DF57A4">
            <w:pPr>
              <w:jc w:val="center"/>
              <w:rPr>
                <w:rFonts w:cstheme="minorHAnsi"/>
                <w:sz w:val="16"/>
                <w:szCs w:val="16"/>
              </w:rPr>
            </w:pPr>
          </w:p>
        </w:tc>
        <w:tc>
          <w:tcPr>
            <w:tcW w:w="1647" w:type="dxa"/>
            <w:tcBorders>
              <w:top w:val="single" w:sz="4" w:space="0" w:color="auto"/>
              <w:left w:val="nil"/>
              <w:bottom w:val="nil"/>
              <w:right w:val="nil"/>
            </w:tcBorders>
          </w:tcPr>
          <w:p w14:paraId="1824B067" w14:textId="77777777" w:rsidR="00DF57A4" w:rsidRPr="00EE7DCD" w:rsidRDefault="00DF57A4" w:rsidP="00DF57A4">
            <w:pPr>
              <w:jc w:val="center"/>
              <w:rPr>
                <w:rFonts w:cstheme="minorHAnsi"/>
                <w:sz w:val="16"/>
                <w:szCs w:val="16"/>
              </w:rPr>
            </w:pPr>
          </w:p>
        </w:tc>
        <w:tc>
          <w:tcPr>
            <w:tcW w:w="1694" w:type="dxa"/>
            <w:tcBorders>
              <w:top w:val="single" w:sz="4" w:space="0" w:color="auto"/>
              <w:left w:val="nil"/>
              <w:bottom w:val="nil"/>
              <w:right w:val="nil"/>
            </w:tcBorders>
          </w:tcPr>
          <w:p w14:paraId="14A40D40" w14:textId="77777777" w:rsidR="00DF57A4" w:rsidRPr="00EE7DCD" w:rsidRDefault="00DF57A4" w:rsidP="00DF57A4">
            <w:pPr>
              <w:jc w:val="center"/>
              <w:rPr>
                <w:rFonts w:cstheme="minorHAnsi"/>
                <w:sz w:val="16"/>
                <w:szCs w:val="16"/>
              </w:rPr>
            </w:pPr>
          </w:p>
        </w:tc>
      </w:tr>
      <w:tr w:rsidR="00DF57A4" w:rsidRPr="00EE7DCD" w14:paraId="050228E4" w14:textId="749D04D9" w:rsidTr="005760FD">
        <w:trPr>
          <w:trHeight w:val="63"/>
        </w:trPr>
        <w:tc>
          <w:tcPr>
            <w:tcW w:w="1560" w:type="dxa"/>
            <w:tcBorders>
              <w:top w:val="nil"/>
              <w:left w:val="nil"/>
              <w:bottom w:val="nil"/>
              <w:right w:val="nil"/>
            </w:tcBorders>
            <w:noWrap/>
          </w:tcPr>
          <w:p w14:paraId="35D850F5" w14:textId="77777777" w:rsidR="00DF57A4" w:rsidRPr="00EE7DCD" w:rsidRDefault="00DF57A4" w:rsidP="00DF57A4">
            <w:pPr>
              <w:jc w:val="right"/>
              <w:rPr>
                <w:rFonts w:cstheme="minorHAnsi"/>
                <w:color w:val="000000"/>
                <w:sz w:val="16"/>
                <w:szCs w:val="16"/>
              </w:rPr>
            </w:pPr>
            <w:r w:rsidRPr="00EE7DCD">
              <w:rPr>
                <w:rFonts w:cstheme="minorHAnsi"/>
                <w:color w:val="000000"/>
                <w:sz w:val="16"/>
                <w:szCs w:val="16"/>
              </w:rPr>
              <w:t>1</w:t>
            </w:r>
          </w:p>
        </w:tc>
        <w:tc>
          <w:tcPr>
            <w:tcW w:w="1560" w:type="dxa"/>
            <w:tcBorders>
              <w:top w:val="nil"/>
              <w:left w:val="nil"/>
              <w:bottom w:val="nil"/>
              <w:right w:val="nil"/>
            </w:tcBorders>
            <w:noWrap/>
          </w:tcPr>
          <w:p w14:paraId="46A6850B" w14:textId="53C0A61C" w:rsidR="00DF57A4" w:rsidRPr="00EE7DCD" w:rsidRDefault="00DF57A4" w:rsidP="00DF57A4">
            <w:pPr>
              <w:jc w:val="center"/>
              <w:rPr>
                <w:rFonts w:cstheme="minorHAnsi"/>
                <w:color w:val="000000"/>
                <w:sz w:val="16"/>
                <w:szCs w:val="16"/>
              </w:rPr>
            </w:pPr>
            <w:r>
              <w:rPr>
                <w:rFonts w:cstheme="minorHAnsi"/>
                <w:color w:val="000000"/>
                <w:sz w:val="16"/>
                <w:szCs w:val="16"/>
              </w:rPr>
              <w:t>1</w:t>
            </w:r>
          </w:p>
        </w:tc>
        <w:tc>
          <w:tcPr>
            <w:tcW w:w="770" w:type="dxa"/>
            <w:tcBorders>
              <w:top w:val="nil"/>
              <w:left w:val="nil"/>
              <w:bottom w:val="nil"/>
              <w:right w:val="nil"/>
            </w:tcBorders>
          </w:tcPr>
          <w:p w14:paraId="7D4AE01E" w14:textId="77777777" w:rsidR="00DF57A4" w:rsidRPr="00EE7DCD" w:rsidRDefault="00DF57A4" w:rsidP="00DF57A4">
            <w:pPr>
              <w:jc w:val="center"/>
              <w:rPr>
                <w:rFonts w:cstheme="minorHAnsi"/>
                <w:sz w:val="16"/>
                <w:szCs w:val="16"/>
              </w:rPr>
            </w:pPr>
          </w:p>
        </w:tc>
        <w:tc>
          <w:tcPr>
            <w:tcW w:w="1498" w:type="dxa"/>
            <w:tcBorders>
              <w:top w:val="nil"/>
              <w:left w:val="nil"/>
              <w:bottom w:val="nil"/>
              <w:right w:val="nil"/>
            </w:tcBorders>
          </w:tcPr>
          <w:p w14:paraId="3C84D908" w14:textId="70A9EFBC" w:rsidR="00DF57A4" w:rsidRPr="00EE7DCD" w:rsidRDefault="00DF57A4" w:rsidP="00DF57A4">
            <w:pPr>
              <w:jc w:val="center"/>
              <w:rPr>
                <w:rFonts w:cstheme="minorHAnsi"/>
                <w:sz w:val="16"/>
                <w:szCs w:val="16"/>
              </w:rPr>
            </w:pPr>
            <w:r>
              <w:rPr>
                <w:rFonts w:cstheme="minorHAnsi"/>
                <w:sz w:val="16"/>
                <w:szCs w:val="16"/>
              </w:rPr>
              <w:t>1</w:t>
            </w:r>
          </w:p>
        </w:tc>
        <w:tc>
          <w:tcPr>
            <w:tcW w:w="1329" w:type="dxa"/>
            <w:tcBorders>
              <w:top w:val="nil"/>
              <w:left w:val="nil"/>
              <w:bottom w:val="nil"/>
              <w:right w:val="nil"/>
            </w:tcBorders>
          </w:tcPr>
          <w:p w14:paraId="4F86E4BE" w14:textId="77777777" w:rsidR="00DF57A4" w:rsidRPr="00EE7DCD" w:rsidRDefault="00DF57A4" w:rsidP="00DF57A4">
            <w:pPr>
              <w:jc w:val="center"/>
              <w:rPr>
                <w:rFonts w:cstheme="minorHAnsi"/>
                <w:sz w:val="16"/>
                <w:szCs w:val="16"/>
              </w:rPr>
            </w:pPr>
          </w:p>
        </w:tc>
        <w:tc>
          <w:tcPr>
            <w:tcW w:w="1647" w:type="dxa"/>
            <w:tcBorders>
              <w:top w:val="nil"/>
              <w:left w:val="nil"/>
              <w:bottom w:val="nil"/>
              <w:right w:val="nil"/>
            </w:tcBorders>
          </w:tcPr>
          <w:p w14:paraId="7F1D0B3C" w14:textId="7CC95A05" w:rsidR="00DF57A4" w:rsidRPr="00EE7DCD" w:rsidRDefault="006848BB" w:rsidP="00DF57A4">
            <w:pPr>
              <w:jc w:val="center"/>
              <w:rPr>
                <w:rFonts w:cstheme="minorHAnsi"/>
                <w:sz w:val="16"/>
                <w:szCs w:val="16"/>
              </w:rPr>
            </w:pPr>
            <w:r>
              <w:rPr>
                <w:rFonts w:cstheme="minorHAnsi"/>
                <w:sz w:val="16"/>
                <w:szCs w:val="16"/>
              </w:rPr>
              <w:t>1</w:t>
            </w:r>
          </w:p>
        </w:tc>
        <w:tc>
          <w:tcPr>
            <w:tcW w:w="1694" w:type="dxa"/>
            <w:tcBorders>
              <w:top w:val="nil"/>
              <w:left w:val="nil"/>
              <w:bottom w:val="nil"/>
              <w:right w:val="nil"/>
            </w:tcBorders>
          </w:tcPr>
          <w:p w14:paraId="46CFE64D" w14:textId="77777777" w:rsidR="00DF57A4" w:rsidRPr="00EE7DCD" w:rsidRDefault="00DF57A4" w:rsidP="00DF57A4">
            <w:pPr>
              <w:jc w:val="center"/>
              <w:rPr>
                <w:rFonts w:cstheme="minorHAnsi"/>
                <w:sz w:val="16"/>
                <w:szCs w:val="16"/>
              </w:rPr>
            </w:pPr>
          </w:p>
        </w:tc>
      </w:tr>
      <w:tr w:rsidR="00DF57A4" w:rsidRPr="00EE7DCD" w14:paraId="309DA800" w14:textId="30C30059" w:rsidTr="005760FD">
        <w:trPr>
          <w:trHeight w:val="63"/>
        </w:trPr>
        <w:tc>
          <w:tcPr>
            <w:tcW w:w="1560" w:type="dxa"/>
            <w:tcBorders>
              <w:top w:val="nil"/>
              <w:left w:val="nil"/>
              <w:bottom w:val="nil"/>
              <w:right w:val="nil"/>
            </w:tcBorders>
            <w:noWrap/>
          </w:tcPr>
          <w:p w14:paraId="3EE75A77" w14:textId="77777777" w:rsidR="00DF57A4" w:rsidRPr="00EE7DCD" w:rsidRDefault="00DF57A4" w:rsidP="00DF57A4">
            <w:pPr>
              <w:jc w:val="right"/>
              <w:rPr>
                <w:rFonts w:cstheme="minorHAnsi"/>
                <w:color w:val="000000"/>
                <w:sz w:val="16"/>
                <w:szCs w:val="16"/>
              </w:rPr>
            </w:pPr>
            <w:r w:rsidRPr="00EE7DCD">
              <w:rPr>
                <w:rFonts w:cstheme="minorHAnsi"/>
                <w:color w:val="000000"/>
                <w:sz w:val="16"/>
                <w:szCs w:val="16"/>
              </w:rPr>
              <w:t>2</w:t>
            </w:r>
          </w:p>
        </w:tc>
        <w:tc>
          <w:tcPr>
            <w:tcW w:w="1560" w:type="dxa"/>
            <w:tcBorders>
              <w:top w:val="nil"/>
              <w:left w:val="nil"/>
              <w:bottom w:val="nil"/>
              <w:right w:val="nil"/>
            </w:tcBorders>
            <w:noWrap/>
          </w:tcPr>
          <w:p w14:paraId="4C866471" w14:textId="3628D6F8" w:rsidR="00DF57A4" w:rsidRPr="00EE7DCD" w:rsidRDefault="00DF57A4" w:rsidP="00DF57A4">
            <w:pPr>
              <w:jc w:val="center"/>
              <w:rPr>
                <w:rFonts w:cstheme="minorHAnsi"/>
                <w:color w:val="000000"/>
                <w:sz w:val="16"/>
                <w:szCs w:val="16"/>
              </w:rPr>
            </w:pPr>
            <w:r>
              <w:rPr>
                <w:rFonts w:cstheme="minorHAnsi"/>
                <w:color w:val="000000"/>
                <w:sz w:val="16"/>
                <w:szCs w:val="16"/>
              </w:rPr>
              <w:t>1.29 (1.18-1.41)</w:t>
            </w:r>
          </w:p>
        </w:tc>
        <w:tc>
          <w:tcPr>
            <w:tcW w:w="770" w:type="dxa"/>
            <w:tcBorders>
              <w:top w:val="nil"/>
              <w:left w:val="nil"/>
              <w:bottom w:val="nil"/>
              <w:right w:val="nil"/>
            </w:tcBorders>
          </w:tcPr>
          <w:p w14:paraId="5AC81B64" w14:textId="659A270B" w:rsidR="00DF57A4" w:rsidRPr="00EE7DCD" w:rsidRDefault="00DF57A4" w:rsidP="00DF57A4">
            <w:pPr>
              <w:jc w:val="center"/>
              <w:rPr>
                <w:rFonts w:cstheme="minorHAnsi"/>
                <w:sz w:val="16"/>
                <w:szCs w:val="16"/>
              </w:rPr>
            </w:pPr>
            <w:r>
              <w:rPr>
                <w:rFonts w:cstheme="minorHAnsi"/>
                <w:sz w:val="16"/>
                <w:szCs w:val="16"/>
              </w:rPr>
              <w:t>&lt;0.001</w:t>
            </w:r>
          </w:p>
        </w:tc>
        <w:tc>
          <w:tcPr>
            <w:tcW w:w="1498" w:type="dxa"/>
            <w:tcBorders>
              <w:top w:val="nil"/>
              <w:left w:val="nil"/>
              <w:bottom w:val="nil"/>
              <w:right w:val="nil"/>
            </w:tcBorders>
          </w:tcPr>
          <w:p w14:paraId="49CFAB16" w14:textId="601F8BBF" w:rsidR="00DF57A4" w:rsidRPr="00EE7DCD" w:rsidRDefault="00DF57A4" w:rsidP="00DF57A4">
            <w:pPr>
              <w:jc w:val="center"/>
              <w:rPr>
                <w:rFonts w:cstheme="minorHAnsi"/>
                <w:sz w:val="16"/>
                <w:szCs w:val="16"/>
              </w:rPr>
            </w:pPr>
            <w:r>
              <w:rPr>
                <w:rFonts w:cstheme="minorHAnsi"/>
                <w:sz w:val="16"/>
                <w:szCs w:val="16"/>
              </w:rPr>
              <w:t>1.12 (1.02-1.22)</w:t>
            </w:r>
          </w:p>
        </w:tc>
        <w:tc>
          <w:tcPr>
            <w:tcW w:w="1329" w:type="dxa"/>
            <w:tcBorders>
              <w:top w:val="nil"/>
              <w:left w:val="nil"/>
              <w:bottom w:val="nil"/>
              <w:right w:val="nil"/>
            </w:tcBorders>
          </w:tcPr>
          <w:p w14:paraId="3EE34A14" w14:textId="64E9C22A" w:rsidR="00DF57A4" w:rsidRPr="00EE7DCD" w:rsidRDefault="00DF57A4" w:rsidP="00DF57A4">
            <w:pPr>
              <w:jc w:val="center"/>
              <w:rPr>
                <w:rFonts w:cstheme="minorHAnsi"/>
                <w:sz w:val="16"/>
                <w:szCs w:val="16"/>
              </w:rPr>
            </w:pPr>
            <w:r>
              <w:rPr>
                <w:rFonts w:cstheme="minorHAnsi"/>
                <w:sz w:val="16"/>
                <w:szCs w:val="16"/>
              </w:rPr>
              <w:t>0.01</w:t>
            </w:r>
          </w:p>
        </w:tc>
        <w:tc>
          <w:tcPr>
            <w:tcW w:w="1647" w:type="dxa"/>
            <w:tcBorders>
              <w:top w:val="nil"/>
              <w:left w:val="nil"/>
              <w:bottom w:val="nil"/>
              <w:right w:val="nil"/>
            </w:tcBorders>
          </w:tcPr>
          <w:p w14:paraId="2A00F6DE" w14:textId="1A5B47E6" w:rsidR="00DF57A4" w:rsidRDefault="006848BB" w:rsidP="00DF57A4">
            <w:pPr>
              <w:jc w:val="center"/>
              <w:rPr>
                <w:rFonts w:cstheme="minorHAnsi"/>
                <w:sz w:val="16"/>
                <w:szCs w:val="16"/>
              </w:rPr>
            </w:pPr>
            <w:r>
              <w:rPr>
                <w:rFonts w:cstheme="minorHAnsi"/>
                <w:sz w:val="16"/>
                <w:szCs w:val="16"/>
              </w:rPr>
              <w:t>0.88 (0.79-0.99)</w:t>
            </w:r>
          </w:p>
        </w:tc>
        <w:tc>
          <w:tcPr>
            <w:tcW w:w="1694" w:type="dxa"/>
            <w:tcBorders>
              <w:top w:val="nil"/>
              <w:left w:val="nil"/>
              <w:bottom w:val="nil"/>
              <w:right w:val="nil"/>
            </w:tcBorders>
          </w:tcPr>
          <w:p w14:paraId="43F13125" w14:textId="2C681D15" w:rsidR="00DF57A4" w:rsidRDefault="00D431DF" w:rsidP="00DF57A4">
            <w:pPr>
              <w:jc w:val="center"/>
              <w:rPr>
                <w:rFonts w:cstheme="minorHAnsi"/>
                <w:sz w:val="16"/>
                <w:szCs w:val="16"/>
              </w:rPr>
            </w:pPr>
            <w:r>
              <w:rPr>
                <w:rFonts w:cstheme="minorHAnsi"/>
                <w:sz w:val="16"/>
                <w:szCs w:val="16"/>
              </w:rPr>
              <w:t>0.03</w:t>
            </w:r>
          </w:p>
        </w:tc>
      </w:tr>
      <w:tr w:rsidR="00DF57A4" w:rsidRPr="00EE7DCD" w14:paraId="329BD67F" w14:textId="16F737FA" w:rsidTr="005760FD">
        <w:trPr>
          <w:trHeight w:val="63"/>
        </w:trPr>
        <w:tc>
          <w:tcPr>
            <w:tcW w:w="1560" w:type="dxa"/>
            <w:tcBorders>
              <w:top w:val="nil"/>
              <w:left w:val="nil"/>
              <w:bottom w:val="nil"/>
              <w:right w:val="nil"/>
            </w:tcBorders>
            <w:noWrap/>
          </w:tcPr>
          <w:p w14:paraId="2B42CD76" w14:textId="77777777" w:rsidR="00DF57A4" w:rsidRPr="00EE7DCD" w:rsidRDefault="00DF57A4" w:rsidP="00DF57A4">
            <w:pPr>
              <w:jc w:val="right"/>
              <w:rPr>
                <w:rFonts w:cstheme="minorHAnsi"/>
                <w:color w:val="000000"/>
                <w:sz w:val="16"/>
                <w:szCs w:val="16"/>
              </w:rPr>
            </w:pPr>
            <w:r w:rsidRPr="00EE7DCD">
              <w:rPr>
                <w:rFonts w:cstheme="minorHAnsi"/>
                <w:color w:val="000000"/>
                <w:sz w:val="16"/>
                <w:szCs w:val="16"/>
              </w:rPr>
              <w:t>3</w:t>
            </w:r>
          </w:p>
        </w:tc>
        <w:tc>
          <w:tcPr>
            <w:tcW w:w="1560" w:type="dxa"/>
            <w:tcBorders>
              <w:top w:val="nil"/>
              <w:left w:val="nil"/>
              <w:bottom w:val="nil"/>
              <w:right w:val="nil"/>
            </w:tcBorders>
            <w:noWrap/>
          </w:tcPr>
          <w:p w14:paraId="3CD0E9F4" w14:textId="33A49EE3" w:rsidR="00DF57A4" w:rsidRPr="00EE7DCD" w:rsidRDefault="00DF57A4" w:rsidP="00DF57A4">
            <w:pPr>
              <w:jc w:val="center"/>
              <w:rPr>
                <w:rFonts w:cstheme="minorHAnsi"/>
                <w:color w:val="000000"/>
                <w:sz w:val="16"/>
                <w:szCs w:val="16"/>
              </w:rPr>
            </w:pPr>
            <w:r>
              <w:rPr>
                <w:rFonts w:cstheme="minorHAnsi"/>
                <w:color w:val="000000"/>
                <w:sz w:val="16"/>
                <w:szCs w:val="16"/>
              </w:rPr>
              <w:t>0.94 (0.85-1.03)</w:t>
            </w:r>
          </w:p>
        </w:tc>
        <w:tc>
          <w:tcPr>
            <w:tcW w:w="770" w:type="dxa"/>
            <w:tcBorders>
              <w:top w:val="nil"/>
              <w:left w:val="nil"/>
              <w:bottom w:val="nil"/>
              <w:right w:val="nil"/>
            </w:tcBorders>
          </w:tcPr>
          <w:p w14:paraId="35AC176C" w14:textId="08D8D2D6" w:rsidR="00DF57A4" w:rsidRPr="00EE7DCD" w:rsidRDefault="00DF57A4" w:rsidP="00DF57A4">
            <w:pPr>
              <w:jc w:val="center"/>
              <w:rPr>
                <w:rFonts w:cstheme="minorHAnsi"/>
                <w:sz w:val="16"/>
                <w:szCs w:val="16"/>
              </w:rPr>
            </w:pPr>
            <w:r>
              <w:rPr>
                <w:rFonts w:cstheme="minorHAnsi"/>
                <w:sz w:val="16"/>
                <w:szCs w:val="16"/>
              </w:rPr>
              <w:t>0.21</w:t>
            </w:r>
          </w:p>
        </w:tc>
        <w:tc>
          <w:tcPr>
            <w:tcW w:w="1498" w:type="dxa"/>
            <w:tcBorders>
              <w:top w:val="nil"/>
              <w:left w:val="nil"/>
              <w:bottom w:val="nil"/>
              <w:right w:val="nil"/>
            </w:tcBorders>
          </w:tcPr>
          <w:p w14:paraId="260B65A6" w14:textId="6161AC4C" w:rsidR="00DF57A4" w:rsidRPr="00EE7DCD" w:rsidRDefault="00DF57A4" w:rsidP="00DF57A4">
            <w:pPr>
              <w:jc w:val="center"/>
              <w:rPr>
                <w:rFonts w:cstheme="minorHAnsi"/>
                <w:sz w:val="16"/>
                <w:szCs w:val="16"/>
              </w:rPr>
            </w:pPr>
            <w:r>
              <w:rPr>
                <w:rFonts w:cstheme="minorHAnsi"/>
                <w:sz w:val="16"/>
                <w:szCs w:val="16"/>
              </w:rPr>
              <w:t>0.84 (0.76-0.92)</w:t>
            </w:r>
          </w:p>
        </w:tc>
        <w:tc>
          <w:tcPr>
            <w:tcW w:w="1329" w:type="dxa"/>
            <w:tcBorders>
              <w:top w:val="nil"/>
              <w:left w:val="nil"/>
              <w:bottom w:val="nil"/>
              <w:right w:val="nil"/>
            </w:tcBorders>
          </w:tcPr>
          <w:p w14:paraId="1E475BDC" w14:textId="64EE0CA8" w:rsidR="00DF57A4" w:rsidRPr="00EE7DCD" w:rsidRDefault="00DF57A4" w:rsidP="00DF57A4">
            <w:pPr>
              <w:jc w:val="center"/>
              <w:rPr>
                <w:rFonts w:cstheme="minorHAnsi"/>
                <w:sz w:val="16"/>
                <w:szCs w:val="16"/>
              </w:rPr>
            </w:pPr>
            <w:r>
              <w:rPr>
                <w:rFonts w:cstheme="minorHAnsi"/>
                <w:sz w:val="16"/>
                <w:szCs w:val="16"/>
              </w:rPr>
              <w:t>&lt;0.001</w:t>
            </w:r>
          </w:p>
        </w:tc>
        <w:tc>
          <w:tcPr>
            <w:tcW w:w="1647" w:type="dxa"/>
            <w:tcBorders>
              <w:top w:val="nil"/>
              <w:left w:val="nil"/>
              <w:bottom w:val="nil"/>
              <w:right w:val="nil"/>
            </w:tcBorders>
          </w:tcPr>
          <w:p w14:paraId="0D65FC94" w14:textId="4D1793B6" w:rsidR="00DF57A4" w:rsidRDefault="006848BB" w:rsidP="00DF57A4">
            <w:pPr>
              <w:jc w:val="center"/>
              <w:rPr>
                <w:rFonts w:cstheme="minorHAnsi"/>
                <w:sz w:val="16"/>
                <w:szCs w:val="16"/>
              </w:rPr>
            </w:pPr>
            <w:r>
              <w:rPr>
                <w:rFonts w:cstheme="minorHAnsi"/>
                <w:sz w:val="16"/>
                <w:szCs w:val="16"/>
              </w:rPr>
              <w:t>0.66 (0.59-0.75)</w:t>
            </w:r>
          </w:p>
        </w:tc>
        <w:tc>
          <w:tcPr>
            <w:tcW w:w="1694" w:type="dxa"/>
            <w:tcBorders>
              <w:top w:val="nil"/>
              <w:left w:val="nil"/>
              <w:bottom w:val="nil"/>
              <w:right w:val="nil"/>
            </w:tcBorders>
          </w:tcPr>
          <w:p w14:paraId="252B3C00" w14:textId="3A9E2B8F" w:rsidR="00DF57A4" w:rsidRDefault="00D431DF" w:rsidP="00DF57A4">
            <w:pPr>
              <w:jc w:val="center"/>
              <w:rPr>
                <w:rFonts w:cstheme="minorHAnsi"/>
                <w:sz w:val="16"/>
                <w:szCs w:val="16"/>
              </w:rPr>
            </w:pPr>
            <w:r>
              <w:rPr>
                <w:rFonts w:cstheme="minorHAnsi"/>
                <w:sz w:val="16"/>
                <w:szCs w:val="16"/>
              </w:rPr>
              <w:t>&lt;0.001</w:t>
            </w:r>
          </w:p>
        </w:tc>
      </w:tr>
      <w:tr w:rsidR="00DF57A4" w:rsidRPr="00EE7DCD" w14:paraId="0EDE9622" w14:textId="06A99F19" w:rsidTr="005760FD">
        <w:trPr>
          <w:trHeight w:val="63"/>
        </w:trPr>
        <w:tc>
          <w:tcPr>
            <w:tcW w:w="1560" w:type="dxa"/>
            <w:tcBorders>
              <w:top w:val="nil"/>
              <w:left w:val="nil"/>
              <w:bottom w:val="nil"/>
              <w:right w:val="nil"/>
            </w:tcBorders>
            <w:noWrap/>
          </w:tcPr>
          <w:p w14:paraId="1F809C3B" w14:textId="77777777" w:rsidR="00DF57A4" w:rsidRPr="00EE7DCD" w:rsidRDefault="00DF57A4" w:rsidP="00DF57A4">
            <w:pPr>
              <w:jc w:val="right"/>
              <w:rPr>
                <w:rFonts w:cstheme="minorHAnsi"/>
                <w:color w:val="000000"/>
                <w:sz w:val="16"/>
                <w:szCs w:val="16"/>
              </w:rPr>
            </w:pPr>
            <w:r w:rsidRPr="00EE7DCD">
              <w:rPr>
                <w:rFonts w:cstheme="minorHAnsi"/>
                <w:color w:val="000000"/>
                <w:sz w:val="16"/>
                <w:szCs w:val="16"/>
              </w:rPr>
              <w:t>4</w:t>
            </w:r>
          </w:p>
        </w:tc>
        <w:tc>
          <w:tcPr>
            <w:tcW w:w="1560" w:type="dxa"/>
            <w:tcBorders>
              <w:top w:val="nil"/>
              <w:left w:val="nil"/>
              <w:bottom w:val="nil"/>
              <w:right w:val="nil"/>
            </w:tcBorders>
            <w:noWrap/>
          </w:tcPr>
          <w:p w14:paraId="23F651F6" w14:textId="77CFBFA9" w:rsidR="00DF57A4" w:rsidRPr="00EE7DCD" w:rsidRDefault="00DF57A4" w:rsidP="00DF57A4">
            <w:pPr>
              <w:jc w:val="center"/>
              <w:rPr>
                <w:rFonts w:cstheme="minorHAnsi"/>
                <w:color w:val="000000"/>
                <w:sz w:val="16"/>
                <w:szCs w:val="16"/>
              </w:rPr>
            </w:pPr>
            <w:r>
              <w:rPr>
                <w:rFonts w:cstheme="minorHAnsi"/>
                <w:color w:val="000000"/>
                <w:sz w:val="16"/>
                <w:szCs w:val="16"/>
              </w:rPr>
              <w:t>0.64 (0.58-0.72)</w:t>
            </w:r>
          </w:p>
        </w:tc>
        <w:tc>
          <w:tcPr>
            <w:tcW w:w="770" w:type="dxa"/>
            <w:tcBorders>
              <w:top w:val="nil"/>
              <w:left w:val="nil"/>
              <w:bottom w:val="nil"/>
              <w:right w:val="nil"/>
            </w:tcBorders>
          </w:tcPr>
          <w:p w14:paraId="3BB30BA1" w14:textId="78E08E61" w:rsidR="00DF57A4" w:rsidRPr="00EE7DCD" w:rsidRDefault="00DF57A4" w:rsidP="00DF57A4">
            <w:pPr>
              <w:jc w:val="center"/>
              <w:rPr>
                <w:rFonts w:cstheme="minorHAnsi"/>
                <w:sz w:val="16"/>
                <w:szCs w:val="16"/>
              </w:rPr>
            </w:pPr>
            <w:r>
              <w:rPr>
                <w:rFonts w:cstheme="minorHAnsi"/>
                <w:sz w:val="16"/>
                <w:szCs w:val="16"/>
              </w:rPr>
              <w:t>&lt;0.001</w:t>
            </w:r>
          </w:p>
        </w:tc>
        <w:tc>
          <w:tcPr>
            <w:tcW w:w="1498" w:type="dxa"/>
            <w:tcBorders>
              <w:top w:val="nil"/>
              <w:left w:val="nil"/>
              <w:bottom w:val="nil"/>
              <w:right w:val="nil"/>
            </w:tcBorders>
          </w:tcPr>
          <w:p w14:paraId="5ED20158" w14:textId="7D330FCF" w:rsidR="00DF57A4" w:rsidRPr="00EE7DCD" w:rsidRDefault="00DF57A4" w:rsidP="00DF57A4">
            <w:pPr>
              <w:jc w:val="center"/>
              <w:rPr>
                <w:rFonts w:cstheme="minorHAnsi"/>
                <w:sz w:val="16"/>
                <w:szCs w:val="16"/>
              </w:rPr>
            </w:pPr>
            <w:r>
              <w:rPr>
                <w:rFonts w:cstheme="minorHAnsi"/>
                <w:sz w:val="16"/>
                <w:szCs w:val="16"/>
              </w:rPr>
              <w:t>0.54 (0.49-0.61)</w:t>
            </w:r>
          </w:p>
        </w:tc>
        <w:tc>
          <w:tcPr>
            <w:tcW w:w="1329" w:type="dxa"/>
            <w:tcBorders>
              <w:top w:val="nil"/>
              <w:left w:val="nil"/>
              <w:bottom w:val="nil"/>
              <w:right w:val="nil"/>
            </w:tcBorders>
          </w:tcPr>
          <w:p w14:paraId="398A6F5A" w14:textId="1A6C00B3" w:rsidR="00DF57A4" w:rsidRPr="00EE7DCD" w:rsidRDefault="00DF57A4" w:rsidP="00DF57A4">
            <w:pPr>
              <w:jc w:val="center"/>
              <w:rPr>
                <w:rFonts w:cstheme="minorHAnsi"/>
                <w:sz w:val="16"/>
                <w:szCs w:val="16"/>
              </w:rPr>
            </w:pPr>
            <w:r>
              <w:rPr>
                <w:rFonts w:cstheme="minorHAnsi"/>
                <w:sz w:val="16"/>
                <w:szCs w:val="16"/>
              </w:rPr>
              <w:t>&lt;0.001</w:t>
            </w:r>
          </w:p>
        </w:tc>
        <w:tc>
          <w:tcPr>
            <w:tcW w:w="1647" w:type="dxa"/>
            <w:tcBorders>
              <w:top w:val="nil"/>
              <w:left w:val="nil"/>
              <w:bottom w:val="nil"/>
              <w:right w:val="nil"/>
            </w:tcBorders>
          </w:tcPr>
          <w:p w14:paraId="77A2F391" w14:textId="2F072D8C" w:rsidR="00DF57A4" w:rsidRDefault="006848BB" w:rsidP="00DF57A4">
            <w:pPr>
              <w:jc w:val="center"/>
              <w:rPr>
                <w:rFonts w:cstheme="minorHAnsi"/>
                <w:sz w:val="16"/>
                <w:szCs w:val="16"/>
              </w:rPr>
            </w:pPr>
            <w:r>
              <w:rPr>
                <w:rFonts w:cstheme="minorHAnsi"/>
                <w:sz w:val="16"/>
                <w:szCs w:val="16"/>
              </w:rPr>
              <w:t>0.55 (0.48-0.64)</w:t>
            </w:r>
          </w:p>
        </w:tc>
        <w:tc>
          <w:tcPr>
            <w:tcW w:w="1694" w:type="dxa"/>
            <w:tcBorders>
              <w:top w:val="nil"/>
              <w:left w:val="nil"/>
              <w:bottom w:val="nil"/>
              <w:right w:val="nil"/>
            </w:tcBorders>
          </w:tcPr>
          <w:p w14:paraId="3449466B" w14:textId="04B9D555" w:rsidR="00DF57A4" w:rsidRDefault="00D431DF" w:rsidP="00DF57A4">
            <w:pPr>
              <w:jc w:val="center"/>
              <w:rPr>
                <w:rFonts w:cstheme="minorHAnsi"/>
                <w:sz w:val="16"/>
                <w:szCs w:val="16"/>
              </w:rPr>
            </w:pPr>
            <w:r>
              <w:rPr>
                <w:rFonts w:cstheme="minorHAnsi"/>
                <w:sz w:val="16"/>
                <w:szCs w:val="16"/>
              </w:rPr>
              <w:t>&lt;0.001</w:t>
            </w:r>
          </w:p>
        </w:tc>
      </w:tr>
      <w:tr w:rsidR="00DF57A4" w:rsidRPr="00EE7DCD" w14:paraId="31C5E883" w14:textId="7A1F4385" w:rsidTr="005760FD">
        <w:trPr>
          <w:trHeight w:val="300"/>
        </w:trPr>
        <w:tc>
          <w:tcPr>
            <w:tcW w:w="1560" w:type="dxa"/>
            <w:tcBorders>
              <w:top w:val="nil"/>
              <w:left w:val="nil"/>
              <w:bottom w:val="single" w:sz="4" w:space="0" w:color="auto"/>
              <w:right w:val="nil"/>
            </w:tcBorders>
            <w:noWrap/>
          </w:tcPr>
          <w:p w14:paraId="0C323FF1" w14:textId="77777777" w:rsidR="00DF57A4" w:rsidRPr="00EE7DCD" w:rsidRDefault="00DF57A4" w:rsidP="00DF57A4">
            <w:pPr>
              <w:jc w:val="right"/>
              <w:rPr>
                <w:rFonts w:cstheme="minorHAnsi"/>
                <w:color w:val="000000"/>
                <w:sz w:val="16"/>
                <w:szCs w:val="16"/>
              </w:rPr>
            </w:pPr>
            <w:r w:rsidRPr="00EE7DCD">
              <w:rPr>
                <w:rFonts w:cstheme="minorHAnsi"/>
                <w:color w:val="000000"/>
                <w:sz w:val="16"/>
                <w:szCs w:val="16"/>
              </w:rPr>
              <w:t>5</w:t>
            </w:r>
          </w:p>
        </w:tc>
        <w:tc>
          <w:tcPr>
            <w:tcW w:w="1560" w:type="dxa"/>
            <w:tcBorders>
              <w:top w:val="nil"/>
              <w:left w:val="nil"/>
              <w:bottom w:val="single" w:sz="4" w:space="0" w:color="auto"/>
              <w:right w:val="nil"/>
            </w:tcBorders>
            <w:noWrap/>
          </w:tcPr>
          <w:p w14:paraId="7ECBACC1" w14:textId="4D972891" w:rsidR="00DF57A4" w:rsidRPr="00EE7DCD" w:rsidRDefault="00DF57A4" w:rsidP="00DF57A4">
            <w:pPr>
              <w:jc w:val="center"/>
              <w:rPr>
                <w:rFonts w:cstheme="minorHAnsi"/>
                <w:color w:val="000000"/>
                <w:sz w:val="16"/>
                <w:szCs w:val="16"/>
              </w:rPr>
            </w:pPr>
            <w:r>
              <w:rPr>
                <w:rFonts w:cstheme="minorHAnsi"/>
                <w:color w:val="000000"/>
                <w:sz w:val="16"/>
                <w:szCs w:val="16"/>
              </w:rPr>
              <w:t>0.41 (0.35-0.48)</w:t>
            </w:r>
          </w:p>
        </w:tc>
        <w:tc>
          <w:tcPr>
            <w:tcW w:w="770" w:type="dxa"/>
            <w:tcBorders>
              <w:top w:val="nil"/>
              <w:left w:val="nil"/>
              <w:bottom w:val="single" w:sz="4" w:space="0" w:color="auto"/>
              <w:right w:val="nil"/>
            </w:tcBorders>
          </w:tcPr>
          <w:p w14:paraId="66AF6EC2" w14:textId="19A8B97C" w:rsidR="00DF57A4" w:rsidRPr="00EE7DCD" w:rsidRDefault="00DF57A4" w:rsidP="00DF57A4">
            <w:pPr>
              <w:jc w:val="center"/>
              <w:rPr>
                <w:rFonts w:cstheme="minorHAnsi"/>
                <w:sz w:val="16"/>
                <w:szCs w:val="16"/>
              </w:rPr>
            </w:pPr>
            <w:r>
              <w:rPr>
                <w:rFonts w:cstheme="minorHAnsi"/>
                <w:sz w:val="16"/>
                <w:szCs w:val="16"/>
              </w:rPr>
              <w:t>&lt;0.001</w:t>
            </w:r>
          </w:p>
        </w:tc>
        <w:tc>
          <w:tcPr>
            <w:tcW w:w="1498" w:type="dxa"/>
            <w:tcBorders>
              <w:top w:val="nil"/>
              <w:left w:val="nil"/>
              <w:bottom w:val="single" w:sz="4" w:space="0" w:color="auto"/>
              <w:right w:val="nil"/>
            </w:tcBorders>
          </w:tcPr>
          <w:p w14:paraId="7338F20C" w14:textId="38F6BDA4" w:rsidR="00DF57A4" w:rsidRPr="00EE7DCD" w:rsidRDefault="00DF57A4" w:rsidP="00DF57A4">
            <w:pPr>
              <w:jc w:val="center"/>
              <w:rPr>
                <w:rFonts w:cstheme="minorHAnsi"/>
                <w:sz w:val="16"/>
                <w:szCs w:val="16"/>
              </w:rPr>
            </w:pPr>
            <w:r>
              <w:rPr>
                <w:rFonts w:cstheme="minorHAnsi"/>
                <w:sz w:val="16"/>
                <w:szCs w:val="16"/>
              </w:rPr>
              <w:t>0.32 (0.28-0.37)</w:t>
            </w:r>
          </w:p>
        </w:tc>
        <w:tc>
          <w:tcPr>
            <w:tcW w:w="1329" w:type="dxa"/>
            <w:tcBorders>
              <w:top w:val="nil"/>
              <w:left w:val="nil"/>
              <w:bottom w:val="single" w:sz="4" w:space="0" w:color="auto"/>
              <w:right w:val="nil"/>
            </w:tcBorders>
          </w:tcPr>
          <w:p w14:paraId="6AAAB3F0" w14:textId="07501353" w:rsidR="00DF57A4" w:rsidRPr="00EE7DCD" w:rsidRDefault="00DF57A4" w:rsidP="00DF57A4">
            <w:pPr>
              <w:jc w:val="center"/>
              <w:rPr>
                <w:rFonts w:cstheme="minorHAnsi"/>
                <w:sz w:val="16"/>
                <w:szCs w:val="16"/>
              </w:rPr>
            </w:pPr>
            <w:r>
              <w:rPr>
                <w:rFonts w:cstheme="minorHAnsi"/>
                <w:sz w:val="16"/>
                <w:szCs w:val="16"/>
              </w:rPr>
              <w:t>&lt;0.001</w:t>
            </w:r>
          </w:p>
        </w:tc>
        <w:tc>
          <w:tcPr>
            <w:tcW w:w="1647" w:type="dxa"/>
            <w:tcBorders>
              <w:top w:val="nil"/>
              <w:left w:val="nil"/>
              <w:bottom w:val="single" w:sz="4" w:space="0" w:color="auto"/>
              <w:right w:val="nil"/>
            </w:tcBorders>
          </w:tcPr>
          <w:p w14:paraId="2707EEC4" w14:textId="0F3A3AE2" w:rsidR="00DF57A4" w:rsidRDefault="006848BB" w:rsidP="00DF57A4">
            <w:pPr>
              <w:jc w:val="center"/>
              <w:rPr>
                <w:rFonts w:cstheme="minorHAnsi"/>
                <w:sz w:val="16"/>
                <w:szCs w:val="16"/>
              </w:rPr>
            </w:pPr>
            <w:r>
              <w:rPr>
                <w:rFonts w:cstheme="minorHAnsi"/>
                <w:sz w:val="16"/>
                <w:szCs w:val="16"/>
              </w:rPr>
              <w:t>0.43 (0.35-0.52)</w:t>
            </w:r>
          </w:p>
        </w:tc>
        <w:tc>
          <w:tcPr>
            <w:tcW w:w="1694" w:type="dxa"/>
            <w:tcBorders>
              <w:top w:val="nil"/>
              <w:left w:val="nil"/>
              <w:bottom w:val="single" w:sz="4" w:space="0" w:color="auto"/>
              <w:right w:val="nil"/>
            </w:tcBorders>
          </w:tcPr>
          <w:p w14:paraId="1C6E3E8E" w14:textId="75FD0EE7" w:rsidR="00DF57A4" w:rsidRDefault="00D431DF" w:rsidP="00DF57A4">
            <w:pPr>
              <w:jc w:val="center"/>
              <w:rPr>
                <w:rFonts w:cstheme="minorHAnsi"/>
                <w:sz w:val="16"/>
                <w:szCs w:val="16"/>
              </w:rPr>
            </w:pPr>
            <w:r>
              <w:rPr>
                <w:rFonts w:cstheme="minorHAnsi"/>
                <w:sz w:val="16"/>
                <w:szCs w:val="16"/>
              </w:rPr>
              <w:t>&lt;0.001</w:t>
            </w:r>
          </w:p>
        </w:tc>
      </w:tr>
      <w:tr w:rsidR="00DF57A4" w:rsidRPr="00EE7DCD" w14:paraId="5D22F2E9" w14:textId="4C627D2A" w:rsidTr="005760FD">
        <w:trPr>
          <w:trHeight w:val="53"/>
        </w:trPr>
        <w:tc>
          <w:tcPr>
            <w:tcW w:w="1560" w:type="dxa"/>
            <w:tcBorders>
              <w:left w:val="nil"/>
              <w:bottom w:val="nil"/>
              <w:right w:val="nil"/>
            </w:tcBorders>
            <w:noWrap/>
          </w:tcPr>
          <w:p w14:paraId="1075B9C4" w14:textId="77777777" w:rsidR="00DF57A4" w:rsidRPr="00EE7DCD" w:rsidRDefault="00DF57A4" w:rsidP="00DF57A4">
            <w:pPr>
              <w:rPr>
                <w:rFonts w:cstheme="minorHAnsi"/>
                <w:color w:val="000000"/>
                <w:sz w:val="16"/>
                <w:szCs w:val="16"/>
              </w:rPr>
            </w:pPr>
            <w:r w:rsidRPr="00EE7DCD">
              <w:rPr>
                <w:rFonts w:cstheme="minorHAnsi"/>
                <w:color w:val="000000"/>
                <w:sz w:val="16"/>
                <w:szCs w:val="16"/>
              </w:rPr>
              <w:t xml:space="preserve">Rural Urban </w:t>
            </w:r>
          </w:p>
        </w:tc>
        <w:tc>
          <w:tcPr>
            <w:tcW w:w="1560" w:type="dxa"/>
            <w:tcBorders>
              <w:left w:val="nil"/>
              <w:bottom w:val="nil"/>
              <w:right w:val="nil"/>
            </w:tcBorders>
            <w:noWrap/>
          </w:tcPr>
          <w:p w14:paraId="0F645552" w14:textId="77777777" w:rsidR="00DF57A4" w:rsidRPr="00EE7DCD" w:rsidRDefault="00DF57A4" w:rsidP="00DF57A4">
            <w:pPr>
              <w:jc w:val="center"/>
              <w:rPr>
                <w:rFonts w:cstheme="minorHAnsi"/>
                <w:color w:val="000000"/>
                <w:sz w:val="16"/>
                <w:szCs w:val="16"/>
              </w:rPr>
            </w:pPr>
          </w:p>
        </w:tc>
        <w:tc>
          <w:tcPr>
            <w:tcW w:w="770" w:type="dxa"/>
            <w:tcBorders>
              <w:left w:val="nil"/>
              <w:bottom w:val="nil"/>
              <w:right w:val="nil"/>
            </w:tcBorders>
          </w:tcPr>
          <w:p w14:paraId="1729D859" w14:textId="77777777" w:rsidR="00DF57A4" w:rsidRPr="00EE7DCD" w:rsidRDefault="00DF57A4" w:rsidP="00DF57A4">
            <w:pPr>
              <w:jc w:val="center"/>
              <w:rPr>
                <w:rFonts w:cstheme="minorHAnsi"/>
                <w:sz w:val="16"/>
                <w:szCs w:val="16"/>
              </w:rPr>
            </w:pPr>
          </w:p>
        </w:tc>
        <w:tc>
          <w:tcPr>
            <w:tcW w:w="1498" w:type="dxa"/>
            <w:tcBorders>
              <w:left w:val="nil"/>
              <w:bottom w:val="nil"/>
              <w:right w:val="nil"/>
            </w:tcBorders>
          </w:tcPr>
          <w:p w14:paraId="3B5D9298" w14:textId="77777777" w:rsidR="00DF57A4" w:rsidRPr="00EE7DCD" w:rsidRDefault="00DF57A4" w:rsidP="00DF57A4">
            <w:pPr>
              <w:jc w:val="center"/>
              <w:rPr>
                <w:rFonts w:cstheme="minorHAnsi"/>
                <w:sz w:val="16"/>
                <w:szCs w:val="16"/>
              </w:rPr>
            </w:pPr>
          </w:p>
        </w:tc>
        <w:tc>
          <w:tcPr>
            <w:tcW w:w="1329" w:type="dxa"/>
            <w:tcBorders>
              <w:left w:val="nil"/>
              <w:bottom w:val="nil"/>
              <w:right w:val="nil"/>
            </w:tcBorders>
          </w:tcPr>
          <w:p w14:paraId="0FCD96E8" w14:textId="77777777" w:rsidR="00DF57A4" w:rsidRPr="00EE7DCD" w:rsidRDefault="00DF57A4" w:rsidP="00DF57A4">
            <w:pPr>
              <w:jc w:val="center"/>
              <w:rPr>
                <w:rFonts w:cstheme="minorHAnsi"/>
                <w:sz w:val="16"/>
                <w:szCs w:val="16"/>
              </w:rPr>
            </w:pPr>
          </w:p>
        </w:tc>
        <w:tc>
          <w:tcPr>
            <w:tcW w:w="1647" w:type="dxa"/>
            <w:tcBorders>
              <w:left w:val="nil"/>
              <w:bottom w:val="nil"/>
              <w:right w:val="nil"/>
            </w:tcBorders>
          </w:tcPr>
          <w:p w14:paraId="4A4D69E8" w14:textId="77777777" w:rsidR="00DF57A4" w:rsidRPr="00EE7DCD" w:rsidRDefault="00DF57A4" w:rsidP="00DF57A4">
            <w:pPr>
              <w:jc w:val="center"/>
              <w:rPr>
                <w:rFonts w:cstheme="minorHAnsi"/>
                <w:sz w:val="16"/>
                <w:szCs w:val="16"/>
              </w:rPr>
            </w:pPr>
          </w:p>
        </w:tc>
        <w:tc>
          <w:tcPr>
            <w:tcW w:w="1694" w:type="dxa"/>
            <w:tcBorders>
              <w:left w:val="nil"/>
              <w:bottom w:val="nil"/>
              <w:right w:val="nil"/>
            </w:tcBorders>
          </w:tcPr>
          <w:p w14:paraId="79689B35" w14:textId="77777777" w:rsidR="00DF57A4" w:rsidRPr="00EE7DCD" w:rsidRDefault="00DF57A4" w:rsidP="00DF57A4">
            <w:pPr>
              <w:jc w:val="center"/>
              <w:rPr>
                <w:rFonts w:cstheme="minorHAnsi"/>
                <w:sz w:val="16"/>
                <w:szCs w:val="16"/>
              </w:rPr>
            </w:pPr>
          </w:p>
        </w:tc>
      </w:tr>
      <w:tr w:rsidR="00DF57A4" w:rsidRPr="00EE7DCD" w14:paraId="2CA02253" w14:textId="3D17301F" w:rsidTr="005760FD">
        <w:trPr>
          <w:trHeight w:val="63"/>
        </w:trPr>
        <w:tc>
          <w:tcPr>
            <w:tcW w:w="1560" w:type="dxa"/>
            <w:tcBorders>
              <w:top w:val="nil"/>
              <w:left w:val="nil"/>
              <w:bottom w:val="nil"/>
              <w:right w:val="nil"/>
            </w:tcBorders>
            <w:noWrap/>
          </w:tcPr>
          <w:p w14:paraId="20CDAA11" w14:textId="77777777" w:rsidR="00DF57A4" w:rsidRPr="00EE7DCD" w:rsidRDefault="00DF57A4" w:rsidP="00DF57A4">
            <w:pPr>
              <w:jc w:val="right"/>
              <w:rPr>
                <w:rFonts w:cstheme="minorHAnsi"/>
                <w:color w:val="000000"/>
                <w:sz w:val="16"/>
                <w:szCs w:val="16"/>
              </w:rPr>
            </w:pPr>
            <w:r w:rsidRPr="00EE7DCD">
              <w:rPr>
                <w:rFonts w:cstheme="minorHAnsi"/>
                <w:color w:val="000000"/>
                <w:sz w:val="16"/>
                <w:szCs w:val="16"/>
              </w:rPr>
              <w:t>Urban</w:t>
            </w:r>
          </w:p>
        </w:tc>
        <w:tc>
          <w:tcPr>
            <w:tcW w:w="1560" w:type="dxa"/>
            <w:tcBorders>
              <w:top w:val="nil"/>
              <w:left w:val="nil"/>
              <w:bottom w:val="nil"/>
              <w:right w:val="nil"/>
            </w:tcBorders>
            <w:noWrap/>
          </w:tcPr>
          <w:p w14:paraId="0D02045A" w14:textId="73B94800" w:rsidR="00DF57A4" w:rsidRPr="00EE7DCD" w:rsidRDefault="00DF57A4" w:rsidP="00DF57A4">
            <w:pPr>
              <w:jc w:val="center"/>
              <w:rPr>
                <w:rFonts w:cstheme="minorHAnsi"/>
                <w:color w:val="000000"/>
                <w:sz w:val="16"/>
                <w:szCs w:val="16"/>
              </w:rPr>
            </w:pPr>
            <w:r>
              <w:rPr>
                <w:rFonts w:cstheme="minorHAnsi"/>
                <w:color w:val="000000"/>
                <w:sz w:val="16"/>
                <w:szCs w:val="16"/>
              </w:rPr>
              <w:t>1</w:t>
            </w:r>
          </w:p>
        </w:tc>
        <w:tc>
          <w:tcPr>
            <w:tcW w:w="770" w:type="dxa"/>
            <w:tcBorders>
              <w:top w:val="nil"/>
              <w:left w:val="nil"/>
              <w:bottom w:val="nil"/>
              <w:right w:val="nil"/>
            </w:tcBorders>
          </w:tcPr>
          <w:p w14:paraId="216DB0B0" w14:textId="77777777" w:rsidR="00DF57A4" w:rsidRPr="00EE7DCD" w:rsidRDefault="00DF57A4" w:rsidP="00DF57A4">
            <w:pPr>
              <w:jc w:val="center"/>
              <w:rPr>
                <w:rFonts w:cstheme="minorHAnsi"/>
                <w:sz w:val="16"/>
                <w:szCs w:val="16"/>
              </w:rPr>
            </w:pPr>
          </w:p>
        </w:tc>
        <w:tc>
          <w:tcPr>
            <w:tcW w:w="1498" w:type="dxa"/>
            <w:tcBorders>
              <w:top w:val="nil"/>
              <w:left w:val="nil"/>
              <w:bottom w:val="nil"/>
              <w:right w:val="nil"/>
            </w:tcBorders>
          </w:tcPr>
          <w:p w14:paraId="08200810" w14:textId="77777777" w:rsidR="00DF57A4" w:rsidRPr="00EE7DCD" w:rsidRDefault="00DF57A4" w:rsidP="00DF57A4">
            <w:pPr>
              <w:jc w:val="center"/>
              <w:rPr>
                <w:rFonts w:cstheme="minorHAnsi"/>
                <w:sz w:val="16"/>
                <w:szCs w:val="16"/>
              </w:rPr>
            </w:pPr>
          </w:p>
        </w:tc>
        <w:tc>
          <w:tcPr>
            <w:tcW w:w="1329" w:type="dxa"/>
            <w:tcBorders>
              <w:top w:val="nil"/>
              <w:left w:val="nil"/>
              <w:bottom w:val="nil"/>
              <w:right w:val="nil"/>
            </w:tcBorders>
          </w:tcPr>
          <w:p w14:paraId="4FE20329" w14:textId="77777777" w:rsidR="00DF57A4" w:rsidRPr="00EE7DCD" w:rsidRDefault="00DF57A4" w:rsidP="00DF57A4">
            <w:pPr>
              <w:jc w:val="center"/>
              <w:rPr>
                <w:rFonts w:cstheme="minorHAnsi"/>
                <w:sz w:val="16"/>
                <w:szCs w:val="16"/>
              </w:rPr>
            </w:pPr>
          </w:p>
        </w:tc>
        <w:tc>
          <w:tcPr>
            <w:tcW w:w="1647" w:type="dxa"/>
            <w:tcBorders>
              <w:top w:val="nil"/>
              <w:left w:val="nil"/>
              <w:bottom w:val="nil"/>
              <w:right w:val="nil"/>
            </w:tcBorders>
          </w:tcPr>
          <w:p w14:paraId="641AEB88" w14:textId="1DBD730F" w:rsidR="00DF57A4" w:rsidRPr="00EE7DCD" w:rsidRDefault="006848BB" w:rsidP="00DF57A4">
            <w:pPr>
              <w:jc w:val="center"/>
              <w:rPr>
                <w:rFonts w:cstheme="minorHAnsi"/>
                <w:sz w:val="16"/>
                <w:szCs w:val="16"/>
              </w:rPr>
            </w:pPr>
            <w:r>
              <w:rPr>
                <w:rFonts w:cstheme="minorHAnsi"/>
                <w:sz w:val="16"/>
                <w:szCs w:val="16"/>
              </w:rPr>
              <w:t>1</w:t>
            </w:r>
          </w:p>
        </w:tc>
        <w:tc>
          <w:tcPr>
            <w:tcW w:w="1694" w:type="dxa"/>
            <w:tcBorders>
              <w:top w:val="nil"/>
              <w:left w:val="nil"/>
              <w:bottom w:val="nil"/>
              <w:right w:val="nil"/>
            </w:tcBorders>
          </w:tcPr>
          <w:p w14:paraId="3D9DF672" w14:textId="77777777" w:rsidR="00DF57A4" w:rsidRPr="00EE7DCD" w:rsidRDefault="00DF57A4" w:rsidP="00DF57A4">
            <w:pPr>
              <w:jc w:val="center"/>
              <w:rPr>
                <w:rFonts w:cstheme="minorHAnsi"/>
                <w:sz w:val="16"/>
                <w:szCs w:val="16"/>
              </w:rPr>
            </w:pPr>
          </w:p>
        </w:tc>
      </w:tr>
      <w:tr w:rsidR="00DF57A4" w:rsidRPr="00EE7DCD" w14:paraId="7968018D" w14:textId="70043D71" w:rsidTr="005760FD">
        <w:trPr>
          <w:trHeight w:val="300"/>
        </w:trPr>
        <w:tc>
          <w:tcPr>
            <w:tcW w:w="1560" w:type="dxa"/>
            <w:tcBorders>
              <w:top w:val="nil"/>
              <w:left w:val="nil"/>
              <w:right w:val="nil"/>
            </w:tcBorders>
            <w:noWrap/>
          </w:tcPr>
          <w:p w14:paraId="1651893F" w14:textId="77777777" w:rsidR="00DF57A4" w:rsidRPr="00EE7DCD" w:rsidRDefault="00DF57A4" w:rsidP="00DF57A4">
            <w:pPr>
              <w:jc w:val="right"/>
              <w:rPr>
                <w:rFonts w:cstheme="minorHAnsi"/>
                <w:color w:val="000000"/>
                <w:sz w:val="16"/>
                <w:szCs w:val="16"/>
              </w:rPr>
            </w:pPr>
            <w:r w:rsidRPr="00EE7DCD">
              <w:rPr>
                <w:rFonts w:cstheme="minorHAnsi"/>
                <w:color w:val="000000"/>
                <w:sz w:val="16"/>
                <w:szCs w:val="16"/>
              </w:rPr>
              <w:t>Rural</w:t>
            </w:r>
          </w:p>
        </w:tc>
        <w:tc>
          <w:tcPr>
            <w:tcW w:w="1560" w:type="dxa"/>
            <w:tcBorders>
              <w:top w:val="nil"/>
              <w:left w:val="nil"/>
              <w:right w:val="nil"/>
            </w:tcBorders>
            <w:noWrap/>
          </w:tcPr>
          <w:p w14:paraId="510AE71D" w14:textId="7E684BF8" w:rsidR="00DF57A4" w:rsidRPr="00EE7DCD" w:rsidRDefault="00DF57A4" w:rsidP="00DF57A4">
            <w:pPr>
              <w:jc w:val="center"/>
              <w:rPr>
                <w:rFonts w:cstheme="minorHAnsi"/>
                <w:color w:val="000000"/>
                <w:sz w:val="16"/>
                <w:szCs w:val="16"/>
              </w:rPr>
            </w:pPr>
            <w:r>
              <w:rPr>
                <w:rFonts w:cstheme="minorHAnsi"/>
                <w:color w:val="000000"/>
                <w:sz w:val="16"/>
                <w:szCs w:val="16"/>
              </w:rPr>
              <w:t>1.96 (1.78-2.15)</w:t>
            </w:r>
          </w:p>
        </w:tc>
        <w:tc>
          <w:tcPr>
            <w:tcW w:w="770" w:type="dxa"/>
            <w:tcBorders>
              <w:top w:val="nil"/>
              <w:left w:val="nil"/>
              <w:right w:val="nil"/>
            </w:tcBorders>
          </w:tcPr>
          <w:p w14:paraId="2A512A57" w14:textId="5719F3BF" w:rsidR="00DF57A4" w:rsidRPr="00EE7DCD" w:rsidRDefault="00DF57A4" w:rsidP="00DF57A4">
            <w:pPr>
              <w:jc w:val="center"/>
              <w:rPr>
                <w:rFonts w:cstheme="minorHAnsi"/>
                <w:sz w:val="16"/>
                <w:szCs w:val="16"/>
              </w:rPr>
            </w:pPr>
            <w:r>
              <w:rPr>
                <w:rFonts w:cstheme="minorHAnsi"/>
                <w:sz w:val="16"/>
                <w:szCs w:val="16"/>
              </w:rPr>
              <w:t>&lt;0.001</w:t>
            </w:r>
          </w:p>
        </w:tc>
        <w:tc>
          <w:tcPr>
            <w:tcW w:w="1498" w:type="dxa"/>
            <w:tcBorders>
              <w:top w:val="nil"/>
              <w:left w:val="nil"/>
              <w:right w:val="nil"/>
            </w:tcBorders>
          </w:tcPr>
          <w:p w14:paraId="06D2072D" w14:textId="21553E63" w:rsidR="00DF57A4" w:rsidRPr="00EE7DCD" w:rsidRDefault="00DF57A4" w:rsidP="00DF57A4">
            <w:pPr>
              <w:jc w:val="center"/>
              <w:rPr>
                <w:rFonts w:cstheme="minorHAnsi"/>
                <w:sz w:val="16"/>
                <w:szCs w:val="16"/>
              </w:rPr>
            </w:pPr>
            <w:r>
              <w:rPr>
                <w:rFonts w:cstheme="minorHAnsi"/>
                <w:sz w:val="16"/>
                <w:szCs w:val="16"/>
              </w:rPr>
              <w:t>N/A</w:t>
            </w:r>
          </w:p>
        </w:tc>
        <w:tc>
          <w:tcPr>
            <w:tcW w:w="1329" w:type="dxa"/>
            <w:tcBorders>
              <w:top w:val="nil"/>
              <w:left w:val="nil"/>
              <w:right w:val="nil"/>
            </w:tcBorders>
          </w:tcPr>
          <w:p w14:paraId="426A0C55" w14:textId="1DB15863" w:rsidR="00DF57A4" w:rsidRPr="00EE7DCD" w:rsidRDefault="00DF57A4" w:rsidP="00DF57A4">
            <w:pPr>
              <w:jc w:val="center"/>
              <w:rPr>
                <w:rFonts w:cstheme="minorHAnsi"/>
                <w:sz w:val="16"/>
                <w:szCs w:val="16"/>
              </w:rPr>
            </w:pPr>
            <w:r>
              <w:rPr>
                <w:rFonts w:cstheme="minorHAnsi"/>
                <w:sz w:val="16"/>
                <w:szCs w:val="16"/>
              </w:rPr>
              <w:t>N/A</w:t>
            </w:r>
          </w:p>
        </w:tc>
        <w:tc>
          <w:tcPr>
            <w:tcW w:w="1647" w:type="dxa"/>
            <w:tcBorders>
              <w:top w:val="nil"/>
              <w:left w:val="nil"/>
              <w:right w:val="nil"/>
            </w:tcBorders>
          </w:tcPr>
          <w:p w14:paraId="34ED9924" w14:textId="1F013E48" w:rsidR="00DF57A4" w:rsidRDefault="006848BB" w:rsidP="00DF57A4">
            <w:pPr>
              <w:jc w:val="center"/>
              <w:rPr>
                <w:rFonts w:cstheme="minorHAnsi"/>
                <w:sz w:val="16"/>
                <w:szCs w:val="16"/>
              </w:rPr>
            </w:pPr>
            <w:r>
              <w:rPr>
                <w:rFonts w:cstheme="minorHAnsi"/>
                <w:sz w:val="16"/>
                <w:szCs w:val="16"/>
              </w:rPr>
              <w:t>1.71 (1.56-1.89)</w:t>
            </w:r>
          </w:p>
        </w:tc>
        <w:tc>
          <w:tcPr>
            <w:tcW w:w="1694" w:type="dxa"/>
            <w:tcBorders>
              <w:top w:val="nil"/>
              <w:left w:val="nil"/>
              <w:right w:val="nil"/>
            </w:tcBorders>
          </w:tcPr>
          <w:p w14:paraId="6DB60392" w14:textId="1BAC27DF" w:rsidR="00DF57A4" w:rsidRDefault="00D431DF" w:rsidP="00DF57A4">
            <w:pPr>
              <w:jc w:val="center"/>
              <w:rPr>
                <w:rFonts w:cstheme="minorHAnsi"/>
                <w:sz w:val="16"/>
                <w:szCs w:val="16"/>
              </w:rPr>
            </w:pPr>
            <w:r>
              <w:rPr>
                <w:rFonts w:cstheme="minorHAnsi"/>
                <w:sz w:val="16"/>
                <w:szCs w:val="16"/>
              </w:rPr>
              <w:t>&lt;0.001</w:t>
            </w:r>
          </w:p>
        </w:tc>
      </w:tr>
    </w:tbl>
    <w:bookmarkEnd w:id="19"/>
    <w:p w14:paraId="394C41AA" w14:textId="580A22DE" w:rsidR="00F8033F" w:rsidRDefault="00A353D8" w:rsidP="00DE6E4F">
      <w:pPr>
        <w:spacing w:line="480" w:lineRule="auto"/>
        <w:jc w:val="both"/>
        <w:rPr>
          <w:rFonts w:cstheme="minorHAnsi"/>
          <w:sz w:val="20"/>
          <w:szCs w:val="20"/>
        </w:rPr>
      </w:pPr>
      <w:r w:rsidRPr="00EE7DCD">
        <w:rPr>
          <w:sz w:val="16"/>
          <w:szCs w:val="16"/>
        </w:rPr>
        <w:t>*IRR: Incidence rat</w:t>
      </w:r>
      <w:r>
        <w:rPr>
          <w:sz w:val="16"/>
          <w:szCs w:val="16"/>
        </w:rPr>
        <w:t>e ratio; CI: Confidence Interval.</w:t>
      </w:r>
    </w:p>
    <w:p w14:paraId="43CBAEED" w14:textId="706E2E65" w:rsidR="00FF3850" w:rsidRDefault="007A2C54" w:rsidP="00DE6E4F">
      <w:pPr>
        <w:spacing w:line="480" w:lineRule="auto"/>
        <w:jc w:val="both"/>
        <w:rPr>
          <w:rFonts w:cstheme="minorHAnsi"/>
          <w:sz w:val="20"/>
          <w:szCs w:val="20"/>
        </w:rPr>
      </w:pPr>
      <w:r w:rsidRPr="003757F6">
        <w:rPr>
          <w:rFonts w:cstheme="minorHAnsi"/>
          <w:sz w:val="20"/>
          <w:szCs w:val="20"/>
        </w:rPr>
        <w:t>The age band 41-45 years was chosen as the reference for age analysis as this group contained the mean age for the datase</w:t>
      </w:r>
      <w:r w:rsidR="00F50EA4" w:rsidRPr="00942870">
        <w:rPr>
          <w:rFonts w:cstheme="minorHAnsi"/>
          <w:sz w:val="20"/>
          <w:szCs w:val="20"/>
        </w:rPr>
        <w:t>t (</w:t>
      </w:r>
      <w:r w:rsidRPr="005777CC">
        <w:rPr>
          <w:rFonts w:cstheme="minorHAnsi"/>
          <w:sz w:val="20"/>
          <w:szCs w:val="20"/>
        </w:rPr>
        <w:t>mean=42.9</w:t>
      </w:r>
      <w:r w:rsidR="00F50EA4" w:rsidRPr="005777CC">
        <w:rPr>
          <w:rFonts w:cstheme="minorHAnsi"/>
          <w:sz w:val="20"/>
          <w:szCs w:val="20"/>
        </w:rPr>
        <w:t xml:space="preserve">, </w:t>
      </w:r>
      <w:r w:rsidR="00840629" w:rsidRPr="005777CC">
        <w:rPr>
          <w:rFonts w:cstheme="minorHAnsi"/>
          <w:sz w:val="20"/>
          <w:szCs w:val="20"/>
        </w:rPr>
        <w:t>95% CI 42.3-43.6)</w:t>
      </w:r>
      <w:r w:rsidRPr="005777CC">
        <w:rPr>
          <w:rFonts w:cstheme="minorHAnsi"/>
          <w:sz w:val="20"/>
          <w:szCs w:val="20"/>
        </w:rPr>
        <w:t xml:space="preserve">. </w:t>
      </w:r>
      <w:r w:rsidR="00A324FC" w:rsidRPr="005777CC">
        <w:rPr>
          <w:rFonts w:cstheme="minorHAnsi"/>
          <w:sz w:val="20"/>
          <w:szCs w:val="20"/>
        </w:rPr>
        <w:t xml:space="preserve">Information relating to Townsend score was available for 93.6% (n=3 487) of cases. </w:t>
      </w:r>
      <w:bookmarkStart w:id="20" w:name="_Hlk32926528"/>
      <w:r w:rsidR="00A324FC" w:rsidRPr="00F10027">
        <w:rPr>
          <w:rFonts w:cstheme="minorHAnsi"/>
          <w:sz w:val="20"/>
          <w:szCs w:val="20"/>
        </w:rPr>
        <w:t xml:space="preserve">Rural urban classifications were only available for English and Welsh cases, as Scottish and Northern Ireland authorities do not record this measure. </w:t>
      </w:r>
      <w:r w:rsidRPr="00F10027">
        <w:rPr>
          <w:rFonts w:cstheme="minorHAnsi"/>
          <w:sz w:val="20"/>
          <w:szCs w:val="20"/>
        </w:rPr>
        <w:t>Therefore,</w:t>
      </w:r>
      <w:r w:rsidR="00FF3850">
        <w:rPr>
          <w:rFonts w:cstheme="minorHAnsi"/>
          <w:sz w:val="20"/>
          <w:szCs w:val="20"/>
        </w:rPr>
        <w:t xml:space="preserve"> two multivariable models were created. Model 1 excluded the rural urban classification, whilst model 2 excluded nation and maintained the rural urban classification.</w:t>
      </w:r>
      <w:bookmarkEnd w:id="20"/>
    </w:p>
    <w:p w14:paraId="0D16FF1C" w14:textId="241E4C81" w:rsidR="00DE6E4F" w:rsidRPr="00F10027" w:rsidRDefault="007A2C54" w:rsidP="00693035">
      <w:pPr>
        <w:spacing w:line="480" w:lineRule="auto"/>
        <w:jc w:val="both"/>
        <w:rPr>
          <w:rFonts w:cstheme="minorHAnsi"/>
          <w:sz w:val="20"/>
          <w:szCs w:val="20"/>
        </w:rPr>
      </w:pPr>
      <w:r w:rsidRPr="00F10027">
        <w:rPr>
          <w:rFonts w:cstheme="minorHAnsi"/>
          <w:sz w:val="20"/>
          <w:szCs w:val="20"/>
        </w:rPr>
        <w:t>Univariable analysis showed</w:t>
      </w:r>
      <w:r w:rsidR="00F10027">
        <w:rPr>
          <w:rFonts w:cstheme="minorHAnsi"/>
          <w:sz w:val="20"/>
          <w:szCs w:val="20"/>
        </w:rPr>
        <w:t xml:space="preserve"> a significant increase in </w:t>
      </w:r>
      <w:r w:rsidR="005760FD">
        <w:rPr>
          <w:rFonts w:cstheme="minorHAnsi"/>
          <w:sz w:val="20"/>
          <w:szCs w:val="20"/>
        </w:rPr>
        <w:t xml:space="preserve">the </w:t>
      </w:r>
      <w:r w:rsidR="00F10027">
        <w:rPr>
          <w:rFonts w:cstheme="minorHAnsi"/>
          <w:sz w:val="20"/>
          <w:szCs w:val="20"/>
        </w:rPr>
        <w:t xml:space="preserve">incidence of a new diagnosis </w:t>
      </w:r>
      <w:r w:rsidR="00653109">
        <w:rPr>
          <w:rFonts w:cstheme="minorHAnsi"/>
          <w:sz w:val="20"/>
          <w:szCs w:val="20"/>
        </w:rPr>
        <w:t>with each year</w:t>
      </w:r>
      <w:r w:rsidR="00F10027">
        <w:rPr>
          <w:rFonts w:cstheme="minorHAnsi"/>
          <w:sz w:val="20"/>
          <w:szCs w:val="20"/>
        </w:rPr>
        <w:t>. There was a significantly higher incidence of new diagnosis in women compared to men.</w:t>
      </w:r>
      <w:r w:rsidRPr="00F10027">
        <w:rPr>
          <w:rFonts w:cstheme="minorHAnsi"/>
          <w:sz w:val="20"/>
          <w:szCs w:val="20"/>
        </w:rPr>
        <w:t xml:space="preserve"> </w:t>
      </w:r>
      <w:r w:rsidR="00F10027">
        <w:rPr>
          <w:rFonts w:cstheme="minorHAnsi"/>
          <w:sz w:val="20"/>
          <w:szCs w:val="20"/>
        </w:rPr>
        <w:t>M</w:t>
      </w:r>
      <w:r w:rsidRPr="00F10027">
        <w:rPr>
          <w:rFonts w:cstheme="minorHAnsi"/>
          <w:sz w:val="20"/>
          <w:szCs w:val="20"/>
        </w:rPr>
        <w:t>ost age bands had a statistically significantly lower incidence to the reference range. Adults between 56 and 65 had a significantly higher incidence. There was no significant difference in incidence between the following age groups; 46-50,</w:t>
      </w:r>
      <w:r w:rsidR="00CA121F" w:rsidRPr="00F10027">
        <w:rPr>
          <w:rFonts w:cstheme="minorHAnsi"/>
          <w:sz w:val="20"/>
          <w:szCs w:val="20"/>
        </w:rPr>
        <w:t xml:space="preserve"> </w:t>
      </w:r>
      <w:r w:rsidR="000F49F2" w:rsidRPr="00F10027">
        <w:rPr>
          <w:rFonts w:cstheme="minorHAnsi"/>
          <w:sz w:val="20"/>
          <w:szCs w:val="20"/>
        </w:rPr>
        <w:t>51</w:t>
      </w:r>
      <w:r w:rsidRPr="00F10027">
        <w:rPr>
          <w:rFonts w:cstheme="minorHAnsi"/>
          <w:sz w:val="20"/>
          <w:szCs w:val="20"/>
        </w:rPr>
        <w:t xml:space="preserve">-55, 66-70 and 71-75. Scotland had a statistically significant higher incidence compared to England, whilst Wales and Northern Ireland had a significantly lower incidence. </w:t>
      </w:r>
      <w:r w:rsidR="00DE6E4F" w:rsidRPr="00F10027">
        <w:rPr>
          <w:rFonts w:cstheme="minorHAnsi"/>
          <w:sz w:val="20"/>
          <w:szCs w:val="20"/>
        </w:rPr>
        <w:t xml:space="preserve">The incidence rate ratio </w:t>
      </w:r>
      <w:r w:rsidR="00F10027">
        <w:rPr>
          <w:rFonts w:cstheme="minorHAnsi"/>
          <w:sz w:val="20"/>
          <w:szCs w:val="20"/>
        </w:rPr>
        <w:t xml:space="preserve">was significantly higher in the </w:t>
      </w:r>
      <w:r w:rsidR="00F10027">
        <w:rPr>
          <w:rFonts w:cstheme="minorHAnsi"/>
          <w:sz w:val="20"/>
          <w:szCs w:val="20"/>
        </w:rPr>
        <w:lastRenderedPageBreak/>
        <w:t xml:space="preserve">second quintile, the same in the third and then </w:t>
      </w:r>
      <w:r w:rsidR="00DE6E4F" w:rsidRPr="00F10027">
        <w:rPr>
          <w:rFonts w:cstheme="minorHAnsi"/>
          <w:sz w:val="20"/>
          <w:szCs w:val="20"/>
        </w:rPr>
        <w:t xml:space="preserve">declined as Townsend quintile increased. There was a statistically significantly higher incidence in patients residing in rural areas compared to urban areas. </w:t>
      </w:r>
    </w:p>
    <w:p w14:paraId="12510841" w14:textId="7C69EF5A" w:rsidR="007A2C54" w:rsidRPr="00653109" w:rsidRDefault="007A2C54" w:rsidP="00693035">
      <w:pPr>
        <w:spacing w:line="480" w:lineRule="auto"/>
        <w:jc w:val="both"/>
        <w:rPr>
          <w:rFonts w:cstheme="minorHAnsi"/>
          <w:sz w:val="20"/>
          <w:szCs w:val="20"/>
        </w:rPr>
      </w:pPr>
      <w:bookmarkStart w:id="21" w:name="_Hlk32926568"/>
      <w:r w:rsidRPr="00653109">
        <w:rPr>
          <w:rFonts w:cstheme="minorHAnsi"/>
          <w:sz w:val="20"/>
          <w:szCs w:val="20"/>
        </w:rPr>
        <w:t xml:space="preserve">Multivariable analysis </w:t>
      </w:r>
      <w:r w:rsidR="00CA121F" w:rsidRPr="00653109">
        <w:rPr>
          <w:rFonts w:cstheme="minorHAnsi"/>
          <w:sz w:val="20"/>
          <w:szCs w:val="20"/>
        </w:rPr>
        <w:t xml:space="preserve">showed the same patterns in significance for </w:t>
      </w:r>
      <w:r w:rsidR="00F10027" w:rsidRPr="00653109">
        <w:rPr>
          <w:rFonts w:cstheme="minorHAnsi"/>
          <w:sz w:val="20"/>
          <w:szCs w:val="20"/>
        </w:rPr>
        <w:t>year</w:t>
      </w:r>
      <w:r w:rsidR="006B02CB">
        <w:rPr>
          <w:rFonts w:cstheme="minorHAnsi"/>
          <w:sz w:val="20"/>
          <w:szCs w:val="20"/>
        </w:rPr>
        <w:t xml:space="preserve"> </w:t>
      </w:r>
      <w:r w:rsidR="00CA121F" w:rsidRPr="00653109">
        <w:rPr>
          <w:rFonts w:cstheme="minorHAnsi"/>
          <w:sz w:val="20"/>
          <w:szCs w:val="20"/>
        </w:rPr>
        <w:t xml:space="preserve">and </w:t>
      </w:r>
      <w:r w:rsidR="00400E73" w:rsidRPr="00653109">
        <w:rPr>
          <w:rFonts w:cstheme="minorHAnsi"/>
          <w:sz w:val="20"/>
          <w:szCs w:val="20"/>
        </w:rPr>
        <w:t>nation</w:t>
      </w:r>
      <w:r w:rsidR="00AF4E25" w:rsidRPr="00653109">
        <w:rPr>
          <w:rFonts w:cstheme="minorHAnsi"/>
          <w:sz w:val="20"/>
          <w:szCs w:val="20"/>
        </w:rPr>
        <w:t xml:space="preserve"> (Table 3</w:t>
      </w:r>
      <w:r w:rsidR="00F939DA" w:rsidRPr="00653109">
        <w:rPr>
          <w:rFonts w:cstheme="minorHAnsi"/>
          <w:sz w:val="20"/>
          <w:szCs w:val="20"/>
        </w:rPr>
        <w:t>, model 1</w:t>
      </w:r>
      <w:r w:rsidR="00AF4E25" w:rsidRPr="00653109">
        <w:rPr>
          <w:rFonts w:cstheme="minorHAnsi"/>
          <w:sz w:val="20"/>
          <w:szCs w:val="20"/>
        </w:rPr>
        <w:t>)</w:t>
      </w:r>
      <w:r w:rsidR="00CA121F" w:rsidRPr="00653109">
        <w:rPr>
          <w:rFonts w:cstheme="minorHAnsi"/>
          <w:sz w:val="20"/>
          <w:szCs w:val="20"/>
        </w:rPr>
        <w:t>.</w:t>
      </w:r>
      <w:r w:rsidR="00F10027" w:rsidRPr="00653109">
        <w:rPr>
          <w:rFonts w:cstheme="minorHAnsi"/>
          <w:sz w:val="20"/>
          <w:szCs w:val="20"/>
        </w:rPr>
        <w:t xml:space="preserve"> There was no longer a significant difference between sexes. The only age band to change was 31-35, which was no longer significant.</w:t>
      </w:r>
      <w:r w:rsidR="00CA121F" w:rsidRPr="00653109">
        <w:rPr>
          <w:rFonts w:cstheme="minorHAnsi"/>
          <w:sz w:val="20"/>
          <w:szCs w:val="20"/>
        </w:rPr>
        <w:t xml:space="preserve"> Townsend quintiles showed a</w:t>
      </w:r>
      <w:r w:rsidR="00653109" w:rsidRPr="00653109">
        <w:rPr>
          <w:rFonts w:cstheme="minorHAnsi"/>
          <w:sz w:val="20"/>
          <w:szCs w:val="20"/>
        </w:rPr>
        <w:t xml:space="preserve"> significant</w:t>
      </w:r>
      <w:r w:rsidR="00CA121F" w:rsidRPr="00653109">
        <w:rPr>
          <w:rFonts w:cstheme="minorHAnsi"/>
          <w:sz w:val="20"/>
          <w:szCs w:val="20"/>
        </w:rPr>
        <w:t xml:space="preserve"> decrease in incidence rate ratio as Townsend quintile increased, apart from quintile</w:t>
      </w:r>
      <w:r w:rsidR="00FE29E1">
        <w:rPr>
          <w:rFonts w:cstheme="minorHAnsi"/>
          <w:sz w:val="20"/>
          <w:szCs w:val="20"/>
        </w:rPr>
        <w:t xml:space="preserve"> </w:t>
      </w:r>
      <w:r w:rsidR="00CA121F" w:rsidRPr="00653109">
        <w:rPr>
          <w:rFonts w:cstheme="minorHAnsi"/>
          <w:sz w:val="20"/>
          <w:szCs w:val="20"/>
        </w:rPr>
        <w:t xml:space="preserve">2 </w:t>
      </w:r>
      <w:r w:rsidR="00FE29E1">
        <w:rPr>
          <w:rFonts w:cstheme="minorHAnsi"/>
          <w:sz w:val="20"/>
          <w:szCs w:val="20"/>
        </w:rPr>
        <w:t>which</w:t>
      </w:r>
      <w:r w:rsidR="00653109" w:rsidRPr="00653109">
        <w:rPr>
          <w:rFonts w:cstheme="minorHAnsi"/>
          <w:sz w:val="20"/>
          <w:szCs w:val="20"/>
        </w:rPr>
        <w:t xml:space="preserve"> was significantly higher than 1</w:t>
      </w:r>
      <w:r w:rsidR="00CA121F" w:rsidRPr="00653109">
        <w:rPr>
          <w:rFonts w:cstheme="minorHAnsi"/>
          <w:sz w:val="20"/>
          <w:szCs w:val="20"/>
        </w:rPr>
        <w:t>.</w:t>
      </w:r>
    </w:p>
    <w:p w14:paraId="66CF009E" w14:textId="38B9581C" w:rsidR="00653109" w:rsidRPr="00653109" w:rsidRDefault="006B02CB" w:rsidP="00693035">
      <w:pPr>
        <w:spacing w:line="480" w:lineRule="auto"/>
        <w:jc w:val="both"/>
        <w:rPr>
          <w:rFonts w:cstheme="minorHAnsi"/>
          <w:sz w:val="20"/>
          <w:szCs w:val="20"/>
        </w:rPr>
      </w:pPr>
      <w:r>
        <w:rPr>
          <w:rFonts w:cstheme="minorHAnsi"/>
          <w:sz w:val="20"/>
          <w:szCs w:val="20"/>
        </w:rPr>
        <w:t>Model 2</w:t>
      </w:r>
      <w:r w:rsidR="00400E73" w:rsidRPr="00653109">
        <w:rPr>
          <w:rFonts w:cstheme="minorHAnsi"/>
          <w:sz w:val="20"/>
          <w:szCs w:val="20"/>
        </w:rPr>
        <w:t xml:space="preserve"> e</w:t>
      </w:r>
      <w:r w:rsidR="000F49F2" w:rsidRPr="00653109">
        <w:rPr>
          <w:rFonts w:cstheme="minorHAnsi"/>
          <w:sz w:val="20"/>
          <w:szCs w:val="20"/>
        </w:rPr>
        <w:t xml:space="preserve">xcluded </w:t>
      </w:r>
      <w:r w:rsidR="00400E73" w:rsidRPr="00653109">
        <w:rPr>
          <w:rFonts w:cstheme="minorHAnsi"/>
          <w:sz w:val="20"/>
          <w:szCs w:val="20"/>
        </w:rPr>
        <w:t>nation from analysis but included rural urban classification</w:t>
      </w:r>
      <w:r>
        <w:rPr>
          <w:rFonts w:cstheme="minorHAnsi"/>
          <w:sz w:val="20"/>
          <w:szCs w:val="20"/>
        </w:rPr>
        <w:t>,</w:t>
      </w:r>
      <w:r w:rsidR="00653109" w:rsidRPr="00653109">
        <w:rPr>
          <w:rFonts w:cstheme="minorHAnsi"/>
          <w:sz w:val="20"/>
          <w:szCs w:val="20"/>
        </w:rPr>
        <w:t xml:space="preserve"> </w:t>
      </w:r>
      <w:r>
        <w:rPr>
          <w:rFonts w:cstheme="minorHAnsi"/>
          <w:sz w:val="20"/>
          <w:szCs w:val="20"/>
        </w:rPr>
        <w:t>thus essentially representing</w:t>
      </w:r>
      <w:r w:rsidR="00653109" w:rsidRPr="00653109">
        <w:rPr>
          <w:rFonts w:cstheme="minorHAnsi"/>
          <w:sz w:val="20"/>
          <w:szCs w:val="20"/>
        </w:rPr>
        <w:t xml:space="preserve"> a model of just English and Welsh cases. Incidence of a new diagnosis significantly increased with each year. Women had a significantly higher incidence than men. The age band variable changed the most</w:t>
      </w:r>
      <w:r>
        <w:rPr>
          <w:rFonts w:cstheme="minorHAnsi"/>
          <w:sz w:val="20"/>
          <w:szCs w:val="20"/>
        </w:rPr>
        <w:t xml:space="preserve"> compared to univariable analysis</w:t>
      </w:r>
      <w:r w:rsidR="00653109" w:rsidRPr="00653109">
        <w:rPr>
          <w:rFonts w:cstheme="minorHAnsi"/>
          <w:sz w:val="20"/>
          <w:szCs w:val="20"/>
        </w:rPr>
        <w:t xml:space="preserve">. All ages were no longer statistically different to the reference age except, &lt;1, 1-5, 81-85,&gt;85 which were significantly lower, and 56-60 which was significantly higher. The Townsend quintiles showed a clear trend with incidence significantly declining as quintile increased. Incidence of new diagnosis was significantly higher </w:t>
      </w:r>
      <w:r>
        <w:rPr>
          <w:rFonts w:cstheme="minorHAnsi"/>
          <w:sz w:val="20"/>
          <w:szCs w:val="20"/>
        </w:rPr>
        <w:t xml:space="preserve">in rural areas compared to </w:t>
      </w:r>
      <w:r w:rsidR="00653109" w:rsidRPr="00653109">
        <w:rPr>
          <w:rFonts w:cstheme="minorHAnsi"/>
          <w:sz w:val="20"/>
          <w:szCs w:val="20"/>
        </w:rPr>
        <w:t>urban areas.</w:t>
      </w:r>
    </w:p>
    <w:bookmarkEnd w:id="21"/>
    <w:p w14:paraId="46F3FE93" w14:textId="4D4E8939" w:rsidR="004230C5" w:rsidRDefault="004230C5" w:rsidP="004230C5">
      <w:pPr>
        <w:spacing w:line="480" w:lineRule="auto"/>
        <w:jc w:val="both"/>
        <w:rPr>
          <w:rFonts w:cstheme="minorHAnsi"/>
          <w:sz w:val="20"/>
          <w:szCs w:val="20"/>
        </w:rPr>
      </w:pPr>
      <w:r w:rsidRPr="00A70168">
        <w:rPr>
          <w:rFonts w:cstheme="minorHAnsi"/>
          <w:sz w:val="20"/>
          <w:szCs w:val="20"/>
        </w:rPr>
        <w:t xml:space="preserve">There was a high degree of missing data for ethnicity, with only 35.1% (n=1 306) of cases providing information. </w:t>
      </w:r>
      <w:bookmarkStart w:id="22" w:name="_Hlk529174686"/>
      <w:r w:rsidRPr="00A70168">
        <w:rPr>
          <w:rFonts w:cstheme="minorHAnsi"/>
          <w:sz w:val="20"/>
          <w:szCs w:val="20"/>
        </w:rPr>
        <w:t xml:space="preserve">Of these, 73.5% (n=960), had an ethnicity description that matched the ethnicity categories defined in the UK 2011 census </w:t>
      </w:r>
      <w:r w:rsidRPr="00A70168">
        <w:rPr>
          <w:rFonts w:cstheme="minorHAnsi"/>
          <w:sz w:val="20"/>
          <w:szCs w:val="20"/>
        </w:rPr>
        <w:fldChar w:fldCharType="begin" w:fldLock="1"/>
      </w:r>
      <w:r w:rsidR="00087BF7">
        <w:rPr>
          <w:rFonts w:cstheme="minorHAnsi"/>
          <w:sz w:val="20"/>
          <w:szCs w:val="20"/>
        </w:rPr>
        <w:instrText>ADDIN CSL_CITATION {"citationItems":[{"id":"ITEM-1","itemData":{"URL":"https://www.ons.gov.uk/census/2011census/2011ukcensuses/ukcensusesdata","accessed":{"date-parts":[["2017","12","20"]]},"author":[{"dropping-particle":"","family":"Office for National Statistics","given":"","non-dropping-particle":"","parse-names":false,"suffix":""}],"id":"ITEM-1","issued":{"date-parts":[["0"]]},"title":"UK censuses data","type":"webpage"},"uris":["http://www.mendeley.com/documents/?uuid=a5992e57-8b81-401b-8040-a489bc7e64ce"]}],"mendeley":{"formattedCitation":"(24)","plainTextFormattedCitation":"(24)","previouslyFormattedCitation":"(24)"},"properties":{"noteIndex":0},"schema":"https://github.com/citation-style-language/schema/raw/master/csl-citation.json"}</w:instrText>
      </w:r>
      <w:r w:rsidRPr="00A70168">
        <w:rPr>
          <w:rFonts w:cstheme="minorHAnsi"/>
          <w:sz w:val="20"/>
          <w:szCs w:val="20"/>
        </w:rPr>
        <w:fldChar w:fldCharType="separate"/>
      </w:r>
      <w:r w:rsidR="00087BF7" w:rsidRPr="00087BF7">
        <w:rPr>
          <w:rFonts w:cstheme="minorHAnsi"/>
          <w:noProof/>
          <w:sz w:val="20"/>
          <w:szCs w:val="20"/>
        </w:rPr>
        <w:t>(24)</w:t>
      </w:r>
      <w:r w:rsidRPr="00A70168">
        <w:rPr>
          <w:rFonts w:cstheme="minorHAnsi"/>
          <w:sz w:val="20"/>
          <w:szCs w:val="20"/>
        </w:rPr>
        <w:fldChar w:fldCharType="end"/>
      </w:r>
      <w:r w:rsidRPr="00A70168">
        <w:rPr>
          <w:rFonts w:cstheme="minorHAnsi"/>
          <w:sz w:val="20"/>
          <w:szCs w:val="20"/>
        </w:rPr>
        <w:t>; the remaining 346 all identified with being ‘British/Mixed British’.</w:t>
      </w:r>
      <w:bookmarkEnd w:id="22"/>
      <w:r w:rsidRPr="00A70168">
        <w:rPr>
          <w:rFonts w:cstheme="minorHAnsi"/>
          <w:sz w:val="20"/>
          <w:szCs w:val="20"/>
        </w:rPr>
        <w:t xml:space="preserve"> </w:t>
      </w:r>
      <w:bookmarkStart w:id="23" w:name="_Hlk528762250"/>
      <w:r w:rsidRPr="00A70168">
        <w:rPr>
          <w:rFonts w:cstheme="minorHAnsi"/>
          <w:sz w:val="20"/>
          <w:szCs w:val="20"/>
        </w:rPr>
        <w:t xml:space="preserve">There was a significant difference in ethnic diversity (p&lt;0.01), </w:t>
      </w:r>
      <w:bookmarkStart w:id="24" w:name="_Hlk529187910"/>
      <w:r w:rsidRPr="00A70168">
        <w:rPr>
          <w:rFonts w:cstheme="minorHAnsi"/>
          <w:sz w:val="20"/>
          <w:szCs w:val="20"/>
        </w:rPr>
        <w:t xml:space="preserve">with a higher percentage of the Lyme disease coded THIN patients </w:t>
      </w:r>
      <w:bookmarkEnd w:id="24"/>
      <w:r w:rsidRPr="00A70168">
        <w:rPr>
          <w:rFonts w:cstheme="minorHAnsi"/>
          <w:sz w:val="20"/>
          <w:szCs w:val="20"/>
        </w:rPr>
        <w:t xml:space="preserve">(96%) identifying with being white compared to the national population (87%). </w:t>
      </w:r>
      <w:bookmarkEnd w:id="23"/>
    </w:p>
    <w:p w14:paraId="2D926220" w14:textId="4695BEEE" w:rsidR="00220283" w:rsidRPr="00220283" w:rsidRDefault="00220283" w:rsidP="004230C5">
      <w:pPr>
        <w:spacing w:line="480" w:lineRule="auto"/>
        <w:jc w:val="both"/>
        <w:rPr>
          <w:rFonts w:cstheme="minorHAnsi"/>
          <w:sz w:val="20"/>
          <w:szCs w:val="20"/>
        </w:rPr>
      </w:pPr>
      <w:bookmarkStart w:id="25" w:name="_Hlk32914286"/>
      <w:r w:rsidRPr="00220283">
        <w:rPr>
          <w:rFonts w:cstheme="minorHAnsi"/>
          <w:sz w:val="20"/>
          <w:szCs w:val="20"/>
        </w:rPr>
        <w:t>The mean annual ratio between THIN crude incidence figures and national laboratory-confirmed incidence figures was 2.35 (95% CI 1.81-2.88). The ratio ranged from 1.91 in 2012 to 2.82 in 2015.</w:t>
      </w:r>
    </w:p>
    <w:bookmarkEnd w:id="25"/>
    <w:p w14:paraId="3B071C24" w14:textId="77777777" w:rsidR="00E40347" w:rsidRPr="00693035" w:rsidRDefault="001E3763" w:rsidP="00693035">
      <w:pPr>
        <w:spacing w:line="480" w:lineRule="auto"/>
        <w:jc w:val="both"/>
        <w:rPr>
          <w:rFonts w:cstheme="minorHAnsi"/>
          <w:b/>
          <w:sz w:val="24"/>
          <w:szCs w:val="24"/>
        </w:rPr>
      </w:pPr>
      <w:r w:rsidRPr="00693035">
        <w:rPr>
          <w:rFonts w:cstheme="minorHAnsi"/>
          <w:b/>
          <w:sz w:val="24"/>
          <w:szCs w:val="24"/>
        </w:rPr>
        <w:t>Discussion</w:t>
      </w:r>
      <w:r w:rsidR="00222525" w:rsidRPr="00693035">
        <w:rPr>
          <w:rFonts w:cstheme="minorHAnsi"/>
          <w:b/>
          <w:sz w:val="24"/>
          <w:szCs w:val="24"/>
        </w:rPr>
        <w:t xml:space="preserve"> </w:t>
      </w:r>
    </w:p>
    <w:p w14:paraId="1ACF6261" w14:textId="47201A22" w:rsidR="00C838B2" w:rsidRPr="00693035" w:rsidRDefault="00A61DDC" w:rsidP="00693035">
      <w:pPr>
        <w:spacing w:line="480" w:lineRule="auto"/>
        <w:jc w:val="both"/>
        <w:rPr>
          <w:rFonts w:cstheme="minorHAnsi"/>
          <w:sz w:val="20"/>
          <w:szCs w:val="20"/>
        </w:rPr>
      </w:pPr>
      <w:r w:rsidRPr="001467D7">
        <w:rPr>
          <w:rFonts w:cstheme="minorHAnsi"/>
          <w:sz w:val="20"/>
          <w:szCs w:val="20"/>
        </w:rPr>
        <w:t>This study</w:t>
      </w:r>
      <w:r w:rsidR="000402DD" w:rsidRPr="001467D7">
        <w:rPr>
          <w:rFonts w:cstheme="minorHAnsi"/>
          <w:sz w:val="20"/>
          <w:szCs w:val="20"/>
        </w:rPr>
        <w:t xml:space="preserve"> describe</w:t>
      </w:r>
      <w:r w:rsidRPr="001467D7">
        <w:rPr>
          <w:rFonts w:cstheme="minorHAnsi"/>
          <w:sz w:val="20"/>
          <w:szCs w:val="20"/>
        </w:rPr>
        <w:t>s</w:t>
      </w:r>
      <w:r w:rsidR="000402DD" w:rsidRPr="00693035">
        <w:rPr>
          <w:rFonts w:cstheme="minorHAnsi"/>
          <w:sz w:val="20"/>
          <w:szCs w:val="20"/>
        </w:rPr>
        <w:t xml:space="preserve"> the incidence </w:t>
      </w:r>
      <w:r w:rsidR="002C5A28">
        <w:rPr>
          <w:rFonts w:cstheme="minorHAnsi"/>
          <w:sz w:val="20"/>
          <w:szCs w:val="20"/>
        </w:rPr>
        <w:t>of a new diagnosis</w:t>
      </w:r>
      <w:r w:rsidR="006B02CB">
        <w:rPr>
          <w:rFonts w:cstheme="minorHAnsi"/>
          <w:sz w:val="20"/>
          <w:szCs w:val="20"/>
        </w:rPr>
        <w:t>,</w:t>
      </w:r>
      <w:r w:rsidR="002C5A28">
        <w:rPr>
          <w:rFonts w:cstheme="minorHAnsi"/>
          <w:sz w:val="20"/>
          <w:szCs w:val="20"/>
        </w:rPr>
        <w:t xml:space="preserve"> </w:t>
      </w:r>
      <w:r w:rsidR="000402DD" w:rsidRPr="00693035">
        <w:rPr>
          <w:rFonts w:cstheme="minorHAnsi"/>
          <w:sz w:val="20"/>
          <w:szCs w:val="20"/>
        </w:rPr>
        <w:t>and demographics of Lyme disease coded patients using primary care data in the UK, fulfilling one of the key research needs identified by the NICE guidelines</w:t>
      </w:r>
      <w:r w:rsidR="003919EA" w:rsidRPr="00693035">
        <w:rPr>
          <w:rFonts w:cstheme="minorHAnsi"/>
          <w:sz w:val="20"/>
          <w:szCs w:val="20"/>
        </w:rPr>
        <w:t xml:space="preserve"> </w:t>
      </w:r>
      <w:r w:rsidR="005A420F" w:rsidRPr="00693035">
        <w:rPr>
          <w:rFonts w:cstheme="minorHAnsi"/>
          <w:sz w:val="20"/>
          <w:szCs w:val="20"/>
        </w:rPr>
        <w:fldChar w:fldCharType="begin" w:fldLock="1"/>
      </w:r>
      <w:r w:rsidR="006A4A4F">
        <w:rPr>
          <w:rFonts w:cstheme="minorHAnsi"/>
          <w:sz w:val="20"/>
          <w:szCs w:val="20"/>
        </w:rPr>
        <w:instrText>ADDIN CSL_CITATION {"citationItems":[{"id":"ITEM-1","itemData":{"URL":"https://www.nice.org.uk/guidance/ng95","accessed":{"date-parts":[["2017","10","23"]]},"author":[{"dropping-particle":"","family":"National Institute for Health and Care Excellence","given":"","non-dropping-particle":"","parse-names":false,"suffix":""}],"id":"ITEM-1","issued":{"date-parts":[["2018"]]},"title":"Lyme disease NICE guideline [NG95]","type":"webpage"},"uris":["http://www.mendeley.com/documents/?uuid=3c60817c-61d3-46a6-b42a-4baa11776ecd"]}],"mendeley":{"formattedCitation":"(7)","plainTextFormattedCitation":"(7)","previouslyFormattedCitation":"(7)"},"properties":{"noteIndex":0},"schema":"https://github.com/citation-style-language/schema/raw/master/csl-citation.json"}</w:instrText>
      </w:r>
      <w:r w:rsidR="005A420F" w:rsidRPr="00693035">
        <w:rPr>
          <w:rFonts w:cstheme="minorHAnsi"/>
          <w:sz w:val="20"/>
          <w:szCs w:val="20"/>
        </w:rPr>
        <w:fldChar w:fldCharType="separate"/>
      </w:r>
      <w:r w:rsidR="006A4A4F" w:rsidRPr="006A4A4F">
        <w:rPr>
          <w:rFonts w:cstheme="minorHAnsi"/>
          <w:noProof/>
          <w:sz w:val="20"/>
          <w:szCs w:val="20"/>
        </w:rPr>
        <w:t>(7)</w:t>
      </w:r>
      <w:r w:rsidR="005A420F" w:rsidRPr="00693035">
        <w:rPr>
          <w:rFonts w:cstheme="minorHAnsi"/>
          <w:sz w:val="20"/>
          <w:szCs w:val="20"/>
        </w:rPr>
        <w:fldChar w:fldCharType="end"/>
      </w:r>
      <w:r w:rsidR="003919EA" w:rsidRPr="00693035">
        <w:rPr>
          <w:rFonts w:cstheme="minorHAnsi"/>
          <w:sz w:val="20"/>
          <w:szCs w:val="20"/>
        </w:rPr>
        <w:t>.</w:t>
      </w:r>
      <w:r w:rsidR="005A420F" w:rsidRPr="00693035">
        <w:rPr>
          <w:rFonts w:cstheme="minorHAnsi"/>
          <w:sz w:val="20"/>
          <w:szCs w:val="20"/>
        </w:rPr>
        <w:t xml:space="preserve"> </w:t>
      </w:r>
      <w:r w:rsidR="00C838B2" w:rsidRPr="00693035">
        <w:rPr>
          <w:rFonts w:cstheme="minorHAnsi"/>
          <w:sz w:val="20"/>
          <w:szCs w:val="20"/>
        </w:rPr>
        <w:t>There has been a</w:t>
      </w:r>
      <w:r w:rsidR="00DE6E4F">
        <w:rPr>
          <w:rFonts w:cstheme="minorHAnsi"/>
          <w:sz w:val="20"/>
          <w:szCs w:val="20"/>
        </w:rPr>
        <w:t>n</w:t>
      </w:r>
      <w:r w:rsidR="00C838B2" w:rsidRPr="00693035">
        <w:rPr>
          <w:rFonts w:cstheme="minorHAnsi"/>
          <w:sz w:val="20"/>
          <w:szCs w:val="20"/>
        </w:rPr>
        <w:t xml:space="preserve"> increase in the annual incidence of </w:t>
      </w:r>
      <w:r w:rsidR="002C5A28">
        <w:rPr>
          <w:rFonts w:cstheme="minorHAnsi"/>
          <w:sz w:val="20"/>
          <w:szCs w:val="20"/>
        </w:rPr>
        <w:t xml:space="preserve">newly coded </w:t>
      </w:r>
      <w:r w:rsidR="00C838B2" w:rsidRPr="00693035">
        <w:rPr>
          <w:rFonts w:cstheme="minorHAnsi"/>
          <w:sz w:val="20"/>
          <w:szCs w:val="20"/>
        </w:rPr>
        <w:t>Lyme disease patients in UK primary care between 1998 and 201</w:t>
      </w:r>
      <w:r w:rsidR="00363C35" w:rsidRPr="00693035">
        <w:rPr>
          <w:rFonts w:cstheme="minorHAnsi"/>
          <w:sz w:val="20"/>
          <w:szCs w:val="20"/>
        </w:rPr>
        <w:t>6</w:t>
      </w:r>
      <w:r w:rsidR="00C838B2" w:rsidRPr="00693035">
        <w:rPr>
          <w:rFonts w:cstheme="minorHAnsi"/>
          <w:sz w:val="20"/>
          <w:szCs w:val="20"/>
        </w:rPr>
        <w:t xml:space="preserve">. </w:t>
      </w:r>
      <w:r w:rsidR="000402DD" w:rsidRPr="00693035">
        <w:rPr>
          <w:rFonts w:cstheme="minorHAnsi"/>
          <w:sz w:val="20"/>
          <w:szCs w:val="20"/>
        </w:rPr>
        <w:t>I</w:t>
      </w:r>
      <w:r w:rsidR="00C838B2" w:rsidRPr="00693035">
        <w:rPr>
          <w:rFonts w:cstheme="minorHAnsi"/>
          <w:sz w:val="20"/>
          <w:szCs w:val="20"/>
        </w:rPr>
        <w:t xml:space="preserve">ncidence </w:t>
      </w:r>
      <w:r w:rsidR="000402DD" w:rsidRPr="00693035">
        <w:rPr>
          <w:rFonts w:cstheme="minorHAnsi"/>
          <w:sz w:val="20"/>
          <w:szCs w:val="20"/>
        </w:rPr>
        <w:t>varied</w:t>
      </w:r>
      <w:r w:rsidR="00C838B2" w:rsidRPr="00693035">
        <w:rPr>
          <w:rFonts w:cstheme="minorHAnsi"/>
          <w:sz w:val="20"/>
          <w:szCs w:val="20"/>
        </w:rPr>
        <w:t xml:space="preserve"> between nations, with Scotland experiencing the highest</w:t>
      </w:r>
      <w:r w:rsidR="007D4B77" w:rsidRPr="00693035">
        <w:rPr>
          <w:rFonts w:cstheme="minorHAnsi"/>
          <w:sz w:val="20"/>
          <w:szCs w:val="20"/>
        </w:rPr>
        <w:t xml:space="preserve"> incidence</w:t>
      </w:r>
      <w:r w:rsidR="00C838B2" w:rsidRPr="00693035">
        <w:rPr>
          <w:rFonts w:cstheme="minorHAnsi"/>
          <w:sz w:val="20"/>
          <w:szCs w:val="20"/>
        </w:rPr>
        <w:t xml:space="preserve"> of disease. </w:t>
      </w:r>
      <w:bookmarkStart w:id="26" w:name="_Hlk529188138"/>
      <w:r w:rsidR="00F84533" w:rsidRPr="001467D7">
        <w:rPr>
          <w:rFonts w:cstheme="minorHAnsi"/>
          <w:sz w:val="20"/>
          <w:szCs w:val="20"/>
        </w:rPr>
        <w:lastRenderedPageBreak/>
        <w:t>There was a higher incidence of Lyme disease coded THIN p</w:t>
      </w:r>
      <w:r w:rsidR="00C838B2" w:rsidRPr="001467D7">
        <w:rPr>
          <w:rFonts w:cstheme="minorHAnsi"/>
          <w:sz w:val="20"/>
          <w:szCs w:val="20"/>
        </w:rPr>
        <w:t xml:space="preserve">atients </w:t>
      </w:r>
      <w:r w:rsidR="00F84533" w:rsidRPr="001467D7">
        <w:rPr>
          <w:rFonts w:cstheme="minorHAnsi"/>
          <w:sz w:val="20"/>
          <w:szCs w:val="20"/>
        </w:rPr>
        <w:t>living in rural areas and within areas of lower deprivation.</w:t>
      </w:r>
      <w:bookmarkEnd w:id="26"/>
    </w:p>
    <w:p w14:paraId="20FDD9CA" w14:textId="2780D476" w:rsidR="004B6F2D" w:rsidRDefault="00CA121F" w:rsidP="00693035">
      <w:pPr>
        <w:spacing w:line="480" w:lineRule="auto"/>
        <w:jc w:val="both"/>
        <w:rPr>
          <w:rFonts w:cstheme="minorHAnsi"/>
          <w:sz w:val="20"/>
          <w:szCs w:val="20"/>
        </w:rPr>
      </w:pPr>
      <w:r w:rsidRPr="006A4A4F">
        <w:rPr>
          <w:rFonts w:cstheme="minorHAnsi"/>
          <w:sz w:val="20"/>
          <w:szCs w:val="20"/>
        </w:rPr>
        <w:t>A UK study estimating Lyme disease incidence</w:t>
      </w:r>
      <w:r w:rsidR="0021361A">
        <w:rPr>
          <w:rFonts w:cstheme="minorHAnsi"/>
          <w:sz w:val="20"/>
          <w:szCs w:val="20"/>
        </w:rPr>
        <w:t xml:space="preserve"> in primary care</w:t>
      </w:r>
      <w:r w:rsidRPr="006A4A4F">
        <w:rPr>
          <w:rFonts w:cstheme="minorHAnsi"/>
          <w:sz w:val="20"/>
          <w:szCs w:val="20"/>
        </w:rPr>
        <w:t xml:space="preserve"> showed a higher incidence, </w:t>
      </w:r>
      <w:r w:rsidR="00463F7D" w:rsidRPr="006A4A4F">
        <w:rPr>
          <w:rFonts w:cstheme="minorHAnsi"/>
          <w:sz w:val="20"/>
          <w:szCs w:val="20"/>
        </w:rPr>
        <w:t xml:space="preserve">with </w:t>
      </w:r>
      <w:r w:rsidRPr="006A4A4F">
        <w:rPr>
          <w:rFonts w:cstheme="minorHAnsi"/>
          <w:sz w:val="20"/>
          <w:szCs w:val="20"/>
        </w:rPr>
        <w:t>12.1 cases per 100,000 in 2012</w:t>
      </w:r>
      <w:r w:rsidR="006A4A4F" w:rsidRPr="006A4A4F">
        <w:rPr>
          <w:rFonts w:cstheme="minorHAnsi"/>
          <w:sz w:val="20"/>
          <w:szCs w:val="20"/>
        </w:rPr>
        <w:t xml:space="preserve"> </w:t>
      </w:r>
      <w:r w:rsidR="006A4A4F" w:rsidRPr="006A4A4F">
        <w:rPr>
          <w:rFonts w:cstheme="minorHAnsi"/>
          <w:sz w:val="20"/>
          <w:szCs w:val="20"/>
        </w:rPr>
        <w:fldChar w:fldCharType="begin" w:fldLock="1"/>
      </w:r>
      <w:r w:rsidR="00087BF7">
        <w:rPr>
          <w:rFonts w:cstheme="minorHAnsi"/>
          <w:sz w:val="20"/>
          <w:szCs w:val="20"/>
        </w:rPr>
        <w:instrText>ADDIN CSL_CITATION {"citationItems":[{"id":"ITEM-1","itemData":{"author":[{"dropping-particle":"","family":"Cairns","given":"Victoria","non-dropping-particle":"","parse-names":false,"suffix":""},{"dropping-particle":"","family":"Wallenhorst","given":"Christopher","non-dropping-particle":"","parse-names":false,"suffix":""},{"dropping-particle":"","family":"Rietbrock","given":"Stephen","non-dropping-particle":"","parse-names":false,"suffix":""},{"dropping-particle":"","family":"Martinez","given":"Carlos","non-dropping-particle":"","parse-names":false,"suffix":""}],"container-title":"BMJ Open (In press)","id":"ITEM-1","issued":{"date-parts":[["2019"]]},"title":"The incidence of Lyme disease in the UK, a population-based cohort study","type":"article-journal"},"uris":["http://www.mendeley.com/documents/?uuid=d8c42afe-9213-404c-8fc2-6c3abeba5af6"]}],"mendeley":{"formattedCitation":"(29)","plainTextFormattedCitation":"(29)","previouslyFormattedCitation":"(29)"},"properties":{"noteIndex":0},"schema":"https://github.com/citation-style-language/schema/raw/master/csl-citation.json"}</w:instrText>
      </w:r>
      <w:r w:rsidR="006A4A4F" w:rsidRPr="006A4A4F">
        <w:rPr>
          <w:rFonts w:cstheme="minorHAnsi"/>
          <w:sz w:val="20"/>
          <w:szCs w:val="20"/>
        </w:rPr>
        <w:fldChar w:fldCharType="separate"/>
      </w:r>
      <w:r w:rsidR="00087BF7" w:rsidRPr="00087BF7">
        <w:rPr>
          <w:rFonts w:cstheme="minorHAnsi"/>
          <w:noProof/>
          <w:sz w:val="20"/>
          <w:szCs w:val="20"/>
        </w:rPr>
        <w:t>(29)</w:t>
      </w:r>
      <w:r w:rsidR="006A4A4F" w:rsidRPr="006A4A4F">
        <w:rPr>
          <w:rFonts w:cstheme="minorHAnsi"/>
          <w:sz w:val="20"/>
          <w:szCs w:val="20"/>
        </w:rPr>
        <w:fldChar w:fldCharType="end"/>
      </w:r>
      <w:r w:rsidRPr="006A4A4F">
        <w:rPr>
          <w:rFonts w:cstheme="minorHAnsi"/>
          <w:sz w:val="20"/>
          <w:szCs w:val="20"/>
        </w:rPr>
        <w:t xml:space="preserve">. This was </w:t>
      </w:r>
      <w:r w:rsidR="00311402">
        <w:rPr>
          <w:rFonts w:cstheme="minorHAnsi"/>
          <w:sz w:val="20"/>
          <w:szCs w:val="20"/>
        </w:rPr>
        <w:t>about</w:t>
      </w:r>
      <w:r w:rsidRPr="006A4A4F">
        <w:rPr>
          <w:rFonts w:cstheme="minorHAnsi"/>
          <w:sz w:val="20"/>
          <w:szCs w:val="20"/>
        </w:rPr>
        <w:t xml:space="preserve"> </w:t>
      </w:r>
      <w:r w:rsidR="00311402">
        <w:rPr>
          <w:rFonts w:cstheme="minorHAnsi"/>
          <w:sz w:val="20"/>
          <w:szCs w:val="20"/>
        </w:rPr>
        <w:t>three times</w:t>
      </w:r>
      <w:r w:rsidR="00311402" w:rsidRPr="006A4A4F">
        <w:rPr>
          <w:rFonts w:cstheme="minorHAnsi"/>
          <w:sz w:val="20"/>
          <w:szCs w:val="20"/>
        </w:rPr>
        <w:t xml:space="preserve"> </w:t>
      </w:r>
      <w:r w:rsidRPr="006A4A4F">
        <w:rPr>
          <w:rFonts w:cstheme="minorHAnsi"/>
          <w:sz w:val="20"/>
          <w:szCs w:val="20"/>
        </w:rPr>
        <w:t xml:space="preserve">our estimate for 2012 (Table 2). Our study </w:t>
      </w:r>
      <w:r w:rsidR="0004010F" w:rsidRPr="006A4A4F">
        <w:rPr>
          <w:rFonts w:cstheme="minorHAnsi"/>
          <w:sz w:val="20"/>
          <w:szCs w:val="20"/>
        </w:rPr>
        <w:t xml:space="preserve">used a </w:t>
      </w:r>
      <w:r w:rsidR="00EB149E" w:rsidRPr="006A4A4F">
        <w:rPr>
          <w:rFonts w:cstheme="minorHAnsi"/>
          <w:sz w:val="20"/>
          <w:szCs w:val="20"/>
        </w:rPr>
        <w:t xml:space="preserve">more </w:t>
      </w:r>
      <w:r w:rsidR="0004010F" w:rsidRPr="006A4A4F">
        <w:rPr>
          <w:rFonts w:cstheme="minorHAnsi"/>
          <w:sz w:val="20"/>
          <w:szCs w:val="20"/>
        </w:rPr>
        <w:t xml:space="preserve">specific case </w:t>
      </w:r>
      <w:r w:rsidR="00EB149E" w:rsidRPr="006A4A4F">
        <w:rPr>
          <w:rFonts w:cstheme="minorHAnsi"/>
          <w:sz w:val="20"/>
          <w:szCs w:val="20"/>
        </w:rPr>
        <w:t>definition</w:t>
      </w:r>
      <w:r w:rsidR="0026630C" w:rsidRPr="006A4A4F">
        <w:rPr>
          <w:rFonts w:cstheme="minorHAnsi"/>
          <w:sz w:val="20"/>
          <w:szCs w:val="20"/>
        </w:rPr>
        <w:t>, in line with the NICE clinical guidelines</w:t>
      </w:r>
      <w:r w:rsidR="006A4A4F" w:rsidRPr="006A4A4F">
        <w:rPr>
          <w:rFonts w:cstheme="minorHAnsi"/>
          <w:sz w:val="20"/>
          <w:szCs w:val="20"/>
        </w:rPr>
        <w:t xml:space="preserve"> </w:t>
      </w:r>
      <w:r w:rsidR="006A4A4F" w:rsidRPr="006A4A4F">
        <w:rPr>
          <w:rFonts w:cstheme="minorHAnsi"/>
          <w:sz w:val="20"/>
          <w:szCs w:val="20"/>
        </w:rPr>
        <w:fldChar w:fldCharType="begin" w:fldLock="1"/>
      </w:r>
      <w:r w:rsidR="006A4A4F">
        <w:rPr>
          <w:rFonts w:cstheme="minorHAnsi"/>
          <w:sz w:val="20"/>
          <w:szCs w:val="20"/>
        </w:rPr>
        <w:instrText>ADDIN CSL_CITATION {"citationItems":[{"id":"ITEM-1","itemData":{"URL":"https://www.nice.org.uk/guidance/ng95","accessed":{"date-parts":[["2017","10","23"]]},"author":[{"dropping-particle":"","family":"National Institute for Health and Care Excellence","given":"","non-dropping-particle":"","parse-names":false,"suffix":""}],"id":"ITEM-1","issued":{"date-parts":[["2018"]]},"title":"Lyme disease NICE guideline [NG95]","type":"webpage"},"uris":["http://www.mendeley.com/documents/?uuid=3c60817c-61d3-46a6-b42a-4baa11776ecd"]}],"mendeley":{"formattedCitation":"(7)","plainTextFormattedCitation":"(7)","previouslyFormattedCitation":"(7)"},"properties":{"noteIndex":0},"schema":"https://github.com/citation-style-language/schema/raw/master/csl-citation.json"}</w:instrText>
      </w:r>
      <w:r w:rsidR="006A4A4F" w:rsidRPr="006A4A4F">
        <w:rPr>
          <w:rFonts w:cstheme="minorHAnsi"/>
          <w:sz w:val="20"/>
          <w:szCs w:val="20"/>
        </w:rPr>
        <w:fldChar w:fldCharType="separate"/>
      </w:r>
      <w:r w:rsidR="006A4A4F" w:rsidRPr="006A4A4F">
        <w:rPr>
          <w:rFonts w:cstheme="minorHAnsi"/>
          <w:noProof/>
          <w:sz w:val="20"/>
          <w:szCs w:val="20"/>
        </w:rPr>
        <w:t>(7)</w:t>
      </w:r>
      <w:r w:rsidR="006A4A4F" w:rsidRPr="006A4A4F">
        <w:rPr>
          <w:rFonts w:cstheme="minorHAnsi"/>
          <w:sz w:val="20"/>
          <w:szCs w:val="20"/>
        </w:rPr>
        <w:fldChar w:fldCharType="end"/>
      </w:r>
      <w:r w:rsidR="0026630C" w:rsidRPr="006A4A4F">
        <w:rPr>
          <w:rFonts w:cstheme="minorHAnsi"/>
          <w:sz w:val="20"/>
          <w:szCs w:val="20"/>
        </w:rPr>
        <w:t>,</w:t>
      </w:r>
      <w:r w:rsidR="00EB149E" w:rsidRPr="006A4A4F">
        <w:rPr>
          <w:rFonts w:cstheme="minorHAnsi"/>
          <w:sz w:val="20"/>
          <w:szCs w:val="20"/>
        </w:rPr>
        <w:t xml:space="preserve"> and</w:t>
      </w:r>
      <w:r w:rsidR="0026630C" w:rsidRPr="006A4A4F">
        <w:rPr>
          <w:rFonts w:cstheme="minorHAnsi"/>
          <w:sz w:val="20"/>
          <w:szCs w:val="20"/>
        </w:rPr>
        <w:t xml:space="preserve"> is</w:t>
      </w:r>
      <w:r w:rsidR="00EB149E" w:rsidRPr="006A4A4F">
        <w:rPr>
          <w:rFonts w:cstheme="minorHAnsi"/>
          <w:sz w:val="20"/>
          <w:szCs w:val="20"/>
        </w:rPr>
        <w:t xml:space="preserve"> likely to provide a conservative estimate</w:t>
      </w:r>
      <w:r w:rsidR="0026630C" w:rsidRPr="006A4A4F">
        <w:rPr>
          <w:rFonts w:cstheme="minorHAnsi"/>
          <w:sz w:val="20"/>
          <w:szCs w:val="20"/>
        </w:rPr>
        <w:t>.</w:t>
      </w:r>
      <w:r w:rsidR="00EB149E" w:rsidRPr="006A4A4F">
        <w:rPr>
          <w:rFonts w:cstheme="minorHAnsi"/>
          <w:sz w:val="20"/>
          <w:szCs w:val="20"/>
        </w:rPr>
        <w:t xml:space="preserve"> Therefore, it is not possible </w:t>
      </w:r>
      <w:r w:rsidR="0026630C" w:rsidRPr="006A4A4F">
        <w:rPr>
          <w:rFonts w:cstheme="minorHAnsi"/>
          <w:sz w:val="20"/>
          <w:szCs w:val="20"/>
        </w:rPr>
        <w:t xml:space="preserve">to directly compare </w:t>
      </w:r>
      <w:r w:rsidR="00463F7D" w:rsidRPr="006A4A4F">
        <w:rPr>
          <w:rFonts w:cstheme="minorHAnsi"/>
          <w:sz w:val="20"/>
          <w:szCs w:val="20"/>
        </w:rPr>
        <w:t xml:space="preserve">our results with </w:t>
      </w:r>
      <w:r w:rsidR="00EB149E" w:rsidRPr="006A4A4F">
        <w:rPr>
          <w:rFonts w:cstheme="minorHAnsi"/>
          <w:sz w:val="20"/>
          <w:szCs w:val="20"/>
        </w:rPr>
        <w:t xml:space="preserve">those of the </w:t>
      </w:r>
      <w:r w:rsidR="00463F7D" w:rsidRPr="006A4A4F">
        <w:rPr>
          <w:rFonts w:cstheme="minorHAnsi"/>
          <w:sz w:val="20"/>
          <w:szCs w:val="20"/>
        </w:rPr>
        <w:t xml:space="preserve">above paper as different case definitions were used and no stratification </w:t>
      </w:r>
      <w:r w:rsidR="003316AA" w:rsidRPr="006A4A4F">
        <w:rPr>
          <w:rFonts w:cstheme="minorHAnsi"/>
          <w:sz w:val="20"/>
          <w:szCs w:val="20"/>
        </w:rPr>
        <w:t xml:space="preserve">of results were </w:t>
      </w:r>
      <w:r w:rsidR="00463F7D" w:rsidRPr="006A4A4F">
        <w:rPr>
          <w:rFonts w:cstheme="minorHAnsi"/>
          <w:sz w:val="20"/>
          <w:szCs w:val="20"/>
        </w:rPr>
        <w:t>provided.</w:t>
      </w:r>
      <w:r w:rsidR="00463F7D">
        <w:rPr>
          <w:rFonts w:cstheme="minorHAnsi"/>
          <w:sz w:val="20"/>
          <w:szCs w:val="20"/>
        </w:rPr>
        <w:t xml:space="preserve"> </w:t>
      </w:r>
      <w:r w:rsidR="00AC3EB9" w:rsidRPr="00693035">
        <w:rPr>
          <w:rFonts w:cstheme="minorHAnsi"/>
          <w:sz w:val="20"/>
          <w:szCs w:val="20"/>
        </w:rPr>
        <w:t>Europe</w:t>
      </w:r>
      <w:r w:rsidR="000402DD" w:rsidRPr="00693035">
        <w:rPr>
          <w:rFonts w:cstheme="minorHAnsi"/>
          <w:sz w:val="20"/>
          <w:szCs w:val="20"/>
        </w:rPr>
        <w:t xml:space="preserve">an studies using similar data from primary care sentinel practices </w:t>
      </w:r>
      <w:r w:rsidR="00AC3EB9" w:rsidRPr="00693035">
        <w:rPr>
          <w:rFonts w:cstheme="minorHAnsi"/>
          <w:sz w:val="20"/>
          <w:szCs w:val="20"/>
        </w:rPr>
        <w:t xml:space="preserve">have described </w:t>
      </w:r>
      <w:r w:rsidR="000402DD" w:rsidRPr="00693035">
        <w:rPr>
          <w:rFonts w:cstheme="minorHAnsi"/>
          <w:sz w:val="20"/>
          <w:szCs w:val="20"/>
        </w:rPr>
        <w:t>a large range in incidence</w:t>
      </w:r>
      <w:r w:rsidR="003919EA" w:rsidRPr="00693035">
        <w:rPr>
          <w:rFonts w:cstheme="minorHAnsi"/>
          <w:sz w:val="20"/>
          <w:szCs w:val="20"/>
        </w:rPr>
        <w:t xml:space="preserve"> </w:t>
      </w:r>
      <w:r w:rsidR="00AC3EB9" w:rsidRPr="00693035">
        <w:rPr>
          <w:rFonts w:cstheme="minorHAnsi"/>
          <w:sz w:val="20"/>
          <w:szCs w:val="20"/>
        </w:rPr>
        <w:fldChar w:fldCharType="begin" w:fldLock="1"/>
      </w:r>
      <w:r w:rsidR="00087BF7">
        <w:rPr>
          <w:rFonts w:cstheme="minorHAnsi"/>
          <w:sz w:val="20"/>
          <w:szCs w:val="20"/>
        </w:rPr>
        <w:instrText>ADDIN CSL_CITATION {"citationItems":[{"id":"ITEM-1","itemData":{"DOI":"10.4414/smw.2013.13725","ISBN":"1424-3997","ISSN":"14247860","PMID":"23299974","abstract":"QUESTION UNDER STUDY: To determine the incidence and determinants of tick related diseases in Switzerland, for example tick bites and Lyme borreliosis in primary care and tick borne encephalitis.\\n\\nMETHODS: Analysis of the Swiss data collected by mandatory and facultative surveillance systems for the reporting period of 2008 to 2011.\\n\\nRESULTS: Tick related diseases in Switzerland are common. About 17,000 to 23,000 estimated cases of tick bites lead to a consultation (yearly incidence 254 per 100,000 inhabitants); about 7,000 to 12,000 estimated cases of Lyme borreliosis (yearly incidence 131 per 100,000 inhabitants) and 98 to 172 cases of tick borne encephalitis occur each year (yearly incidence 1.6 per 100,000 inhabitants). The most affected area is the north-eastern part of Switzerland. Whereas cases of tick borne encephalitis are restricted to local endemic areas, cases of Lyme borreliosis and tick bites are spread all over Switzerland.\\n\\nCONCLUSIONS: Tick related diseases are frequent and widespread in Switzerland. They are leading to a considerable usage of the health care system. Thus, tick bite prevention and vaccination against tick borne encephalitis are essential. However, long term follow-up cohort studies with reasonably large study populations after tick bite would be required to elucidate the risk of developing a tick borne disease.","author":[{"dropping-particle":"","family":"Altpeter","given":"Ekkehardt","non-dropping-particle":"","parse-names":false,"suffix":""},{"dropping-particle":"","family":"Zimmermann","given":"Hanspeter","non-dropping-particle":"","parse-names":false,"suffix":""},{"dropping-particle":"","family":"Oberreich","given":"Jürgen","non-dropping-particle":"","parse-names":false,"suffix":""},{"dropping-particle":"","family":"Péter","given":"Olivier","non-dropping-particle":"","parse-names":false,"suffix":""},{"dropping-particle":"","family":"Dvoøák","given":"Charles","non-dropping-particle":"","parse-names":false,"suffix":""}],"container-title":"Swiss Medical Weekly","id":"ITEM-1","issue":"January","issued":{"date-parts":[["2013"]]},"page":"1-13","title":"Tick related diseases in Switzerland, 2008 to 2011","type":"article-journal","volume":"143"},"uris":["http://www.mendeley.com/documents/?uuid=fa36fb7a-771b-4e1a-a77d-7541ded6212a"]},{"id":"ITEM-2","itemData":{"DOI":"https://dx.doi.org/10.3201/eid2308.161273","ISBN":"0753-3322 (Print)\\r0753-3322 (Linking)","ISSN":"07533322","PMID":"2686770","abstract":"In 1986-1988 there were 123 patients with positive serology for Lyme borreliosis out of 4000 sera referred to the Department of Bacteriology and Immunology, University of Helsinki. Of the 63 patients with positive serology in 1986-1987 20 showed a predominant involvement of the nervous system, 18 complained of joint symptoms and 11 patients merely showed a skin involvement including 8 patients with erythema chronicum migrans (ECM) and 3 patients with acrodermatitis chronica atrophicans (ACA). Two of the patients had unspedfic general symptoms and in 5 patients the type of involvement remained unknown. The serology was considered to be falsely positive in 2 patients with tuberculous meningitis, in one with syphilis and in another with recurrent fever. ?? 1988.","author":[{"dropping-particle":"","family":"Sajanti","given":"Eeva","non-dropping-particle":"","parse-names":false,"suffix":""},{"dropping-particle":"","family":"Virtanen","given":"Mikko","non-dropping-particle":"","parse-names":false,"suffix":""},{"dropping-particle":"","family":"Helve","given":"Otto","non-dropping-particle":"","parse-names":false,"suffix":""},{"dropping-particle":"","family":"Kussi","given":"Markku","non-dropping-particle":"","parse-names":false,"suffix":""},{"dropping-particle":"","family":"Lyytikainen","given":"Outi","non-dropping-particle":"","parse-names":false,"suffix":""},{"dropping-particle":"","family":"Hytonen","given":"Jukka","non-dropping-particle":"","parse-names":false,"suffix":""},{"dropping-particle":"","family":"Sane","given":"Jussi","non-dropping-particle":"","parse-names":false,"suffix":""}],"container-title":"Emerging infectious diseases","id":"ITEM-2","issue":"8","issued":{"date-parts":[["2017"]]},"page":"128-1288","title":"Lyme borreliosis in Finland in 1995-2014","type":"article-journal","volume":"23"},"uris":["http://www.mendeley.com/documents/?uuid=b12af0ee-1c00-41c2-9567-0c7ec4d4d748"]},{"id":"ITEM-3","itemData":{"DOI":"10.1186/s13071-015-0777-6","ISSN":"1756-3305","PMID":"25779303","abstract":"BACKGROUND: Lyme borreliosis is the most common vector-borne disease in Europe and North America. The objective of this study is to estimate the incidence of tick bites and Lyme borreliosis, representative of our entire country, including erythema migrans, disseminated Lyme borreliosis and persisting symptoms attributed to Lyme borreliosis. METHODS: A questionnaire on clinical diagnoses of Lyme borreliosis was sent to all GPs, company physicians, and medical specialists. To adjust for possible misclassification and telescoping bias, we sent additional questionnaires to categorize reported cases according to likelihood of the diagnosis and to exclude cases diagnosed outside the target period. RESULTS: Adjusted annual incidence rate for disseminated Lyme borreliosis was 7.7 GP reports per 100,000 inhabitants, and for persisting symptoms attributed to Lyme borreliosis was 5.5 GP reports per 100,000 inhabitants, i.e. approximately 1,300 and 900 cases respectively. GP consultations for tick bites and erythema migrans diagnoses were 495 and 132 per 100,000 inhabitants, respectively, i.e. 82,000 and 22,000 cases in 2010. CONCLUSIONS: This is the first reported nationwide physician survey on the incidence of tick bites and the whole range of manifestations of Lyme borreliosis, including persisting symptoms attributed to Lyme borreliosis. This is crucial for complete assessment of the public health impact of Lyme borreliosis.","author":[{"dropping-particle":"","family":"Hofhuis","given":"Agnetha","non-dropping-particle":"","parse-names":false,"suffix":""},{"dropping-particle":"","family":"Harms","given":"Margriet","non-dropping-particle":"","parse-names":false,"suffix":""},{"dropping-particle":"","family":"Bennema","given":"Sita","non-dropping-particle":"","parse-names":false,"suffix":""},{"dropping-particle":"","family":"Wijngaard","given":"Cees C","non-dropping-particle":"van den","parse-names":false,"suffix":""},{"dropping-particle":"","family":"Pelt","given":"Wilfrid","non-dropping-particle":"van","parse-names":false,"suffix":""}],"container-title":"Parasites &amp; vectors","id":"ITEM-3","issue":"1","issued":{"date-parts":[["2015"]]},"page":"777","title":"Physician reported incidence of early and late Lyme borreliosis.","type":"article-journal","volume":"8"},"uris":["http://www.mendeley.com/documents/?uuid=cc298bd7-9655-4431-9760-303dc0eb5303"]}],"mendeley":{"formattedCitation":"(15,30,31)","plainTextFormattedCitation":"(15,30,31)","previouslyFormattedCitation":"(15,30,31)"},"properties":{"noteIndex":0},"schema":"https://github.com/citation-style-language/schema/raw/master/csl-citation.json"}</w:instrText>
      </w:r>
      <w:r w:rsidR="00AC3EB9" w:rsidRPr="00693035">
        <w:rPr>
          <w:rFonts w:cstheme="minorHAnsi"/>
          <w:sz w:val="20"/>
          <w:szCs w:val="20"/>
        </w:rPr>
        <w:fldChar w:fldCharType="separate"/>
      </w:r>
      <w:r w:rsidR="00087BF7" w:rsidRPr="00087BF7">
        <w:rPr>
          <w:rFonts w:cstheme="minorHAnsi"/>
          <w:noProof/>
          <w:sz w:val="20"/>
          <w:szCs w:val="20"/>
        </w:rPr>
        <w:t>(15,30,31)</w:t>
      </w:r>
      <w:r w:rsidR="00AC3EB9" w:rsidRPr="00693035">
        <w:rPr>
          <w:rFonts w:cstheme="minorHAnsi"/>
          <w:sz w:val="20"/>
          <w:szCs w:val="20"/>
        </w:rPr>
        <w:fldChar w:fldCharType="end"/>
      </w:r>
      <w:r w:rsidR="003919EA" w:rsidRPr="00693035">
        <w:rPr>
          <w:rFonts w:cstheme="minorHAnsi"/>
          <w:sz w:val="20"/>
          <w:szCs w:val="20"/>
        </w:rPr>
        <w:t>,</w:t>
      </w:r>
      <w:r w:rsidR="00AC3EB9" w:rsidRPr="00693035">
        <w:rPr>
          <w:rFonts w:cstheme="minorHAnsi"/>
          <w:sz w:val="20"/>
          <w:szCs w:val="20"/>
        </w:rPr>
        <w:t xml:space="preserve"> from 42 cases</w:t>
      </w:r>
      <w:r w:rsidR="003919EA" w:rsidRPr="00693035">
        <w:rPr>
          <w:rFonts w:cstheme="minorHAnsi"/>
          <w:sz w:val="20"/>
          <w:szCs w:val="20"/>
        </w:rPr>
        <w:t xml:space="preserve"> per 100 000 per year in France </w:t>
      </w:r>
      <w:r w:rsidR="00AC3EB9" w:rsidRPr="00693035">
        <w:rPr>
          <w:rFonts w:cstheme="minorHAnsi"/>
          <w:sz w:val="20"/>
          <w:szCs w:val="20"/>
        </w:rPr>
        <w:fldChar w:fldCharType="begin" w:fldLock="1"/>
      </w:r>
      <w:r w:rsidR="006A4A4F">
        <w:rPr>
          <w:rFonts w:cstheme="minorHAnsi"/>
          <w:sz w:val="20"/>
          <w:szCs w:val="20"/>
        </w:rPr>
        <w:instrText>ADDIN CSL_CITATION {"citationItems":[{"id":"ITEM-1","itemData":{"DOI":"10.2807/1560-7917.ES2014.19.34.20883","ISSN":"15607917","PMID":"25188613","abstract":"Lyme borreliosis (LB) has become a major concern recently, as trends in several epidemiological studies indicate that there has been an increase in this disease in Europe and America over the last decade. This work provides estimates of LB incidence and hospitalisation rates in France. LB data was obtained from the Sentinelles general practitioner surveillance network (2009–2012) and from the Programme de Médicalisation des Systèmes d’Information (PMSI) data processing centre for hospital discharges (2004–09). The yearly LB incidence rate averaged 42 per 100,000 inhabitants (95% confidence interval (CI): 37–48), ranging from 0 to 184 per 100,000 depending on the region. The annual hospitalisation rate due to LB averaged 1.55 per 100,000 inhabitants (95% CI: 1.42–1.70). Both rates peaked during the summer and fall and had a bimodal age distribution (5–10 years and 50–70 years). Healthcare providers should continue to invest attention to prompt recognition and early therapy for LB, whereas public health strategies should keep promoting use of repellent, daily checks for ticks and their prompt removal.","author":[{"dropping-particle":"","family":"Vandenesch","given":"A.","non-dropping-particle":"","parse-names":false,"suffix":""},{"dropping-particle":"","family":"Turbelin","given":"C.","non-dropping-particle":"","parse-names":false,"suffix":""},{"dropping-particle":"","family":"Couturier","given":"E.","non-dropping-particle":"","parse-names":false,"suffix":""},{"dropping-particle":"","family":"Arena","given":"C.","non-dropping-particle":"","parse-names":false,"suffix":""},{"dropping-particle":"","family":"Jaulhac","given":"B.","non-dropping-particle":"","parse-names":false,"suffix":""},{"dropping-particle":"","family":"Ferquel","given":"E.","non-dropping-particle":"","parse-names":false,"suffix":""},{"dropping-particle":"","family":"Choumet","given":"V.","non-dropping-particle":"","parse-names":false,"suffix":""},{"dropping-particle":"","family":"Saugeon","given":"C.","non-dropping-particle":"","parse-names":false,"suffix":""},{"dropping-particle":"","family":"Coffinieres","given":"E.","non-dropping-particle":"","parse-names":false,"suffix":""},{"dropping-particle":"","family":"Blanchon","given":"T.","non-dropping-particle":"","parse-names":false,"suffix":""},{"dropping-particle":"","family":"Vaillant","given":"V.","non-dropping-particle":"","parse-names":false,"suffix":""},{"dropping-particle":"","family":"Hanslik","given":"T.","non-dropping-particle":"","parse-names":false,"suffix":""}],"container-title":"Euro surveillance : bulletin Europ??en sur les maladies transmissibles = European communicable disease bulletin","id":"ITEM-1","issue":"34","issued":{"date-parts":[["2014"]]},"title":"Incidence and hospitalisation rates of Lyme borreliosis, France, 2004 to 2012","type":"article-journal","volume":"19"},"uris":["http://www.mendeley.com/documents/?uuid=369745cd-9a8d-4f41-b835-f48202372a48"]}],"mendeley":{"formattedCitation":"(14)","plainTextFormattedCitation":"(14)","previouslyFormattedCitation":"(14)"},"properties":{"noteIndex":0},"schema":"https://github.com/citation-style-language/schema/raw/master/csl-citation.json"}</w:instrText>
      </w:r>
      <w:r w:rsidR="00AC3EB9" w:rsidRPr="00693035">
        <w:rPr>
          <w:rFonts w:cstheme="minorHAnsi"/>
          <w:sz w:val="20"/>
          <w:szCs w:val="20"/>
        </w:rPr>
        <w:fldChar w:fldCharType="separate"/>
      </w:r>
      <w:r w:rsidR="006A4A4F" w:rsidRPr="006A4A4F">
        <w:rPr>
          <w:rFonts w:cstheme="minorHAnsi"/>
          <w:noProof/>
          <w:sz w:val="20"/>
          <w:szCs w:val="20"/>
        </w:rPr>
        <w:t>(14)</w:t>
      </w:r>
      <w:r w:rsidR="00AC3EB9" w:rsidRPr="00693035">
        <w:rPr>
          <w:rFonts w:cstheme="minorHAnsi"/>
          <w:sz w:val="20"/>
          <w:szCs w:val="20"/>
        </w:rPr>
        <w:fldChar w:fldCharType="end"/>
      </w:r>
      <w:r w:rsidR="003919EA" w:rsidRPr="00693035">
        <w:rPr>
          <w:rFonts w:cstheme="minorHAnsi"/>
          <w:sz w:val="20"/>
          <w:szCs w:val="20"/>
        </w:rPr>
        <w:t>,</w:t>
      </w:r>
      <w:r w:rsidR="00AC3EB9" w:rsidRPr="00693035">
        <w:rPr>
          <w:rFonts w:cstheme="minorHAnsi"/>
          <w:sz w:val="20"/>
          <w:szCs w:val="20"/>
        </w:rPr>
        <w:t xml:space="preserve"> to 148</w:t>
      </w:r>
      <w:r w:rsidR="00A736E6" w:rsidRPr="00693035">
        <w:rPr>
          <w:rFonts w:cstheme="minorHAnsi"/>
          <w:sz w:val="20"/>
          <w:szCs w:val="20"/>
        </w:rPr>
        <w:t xml:space="preserve"> per 100 000 per year in Norway</w:t>
      </w:r>
      <w:r w:rsidR="003919EA" w:rsidRPr="00693035">
        <w:rPr>
          <w:rFonts w:cstheme="minorHAnsi"/>
          <w:sz w:val="20"/>
          <w:szCs w:val="20"/>
        </w:rPr>
        <w:t xml:space="preserve"> </w:t>
      </w:r>
      <w:r w:rsidR="00AC3EB9" w:rsidRPr="00693035">
        <w:rPr>
          <w:rFonts w:cstheme="minorHAnsi"/>
          <w:sz w:val="20"/>
          <w:szCs w:val="20"/>
        </w:rPr>
        <w:fldChar w:fldCharType="begin" w:fldLock="1"/>
      </w:r>
      <w:r w:rsidR="006A4A4F">
        <w:rPr>
          <w:rFonts w:cstheme="minorHAnsi"/>
          <w:sz w:val="20"/>
          <w:szCs w:val="20"/>
        </w:rPr>
        <w:instrText>ADDIN CSL_CITATION {"citationItems":[{"id":"ITEM-1","itemData":{"DOI":"10.1016/j.ttbdis.2016.06.006","ISSN":"1877959X","PMID":"27475874","author":[{"dropping-particle":"","family":"Eliassen","given":"Knut Eirik","non-dropping-particle":"","parse-names":false,"suffix":""},{"dropping-particle":"","family":"Berild","given":"Dag","non-dropping-particle":"","parse-names":false,"suffix":""},{"dropping-particle":"","family":"Reiso","given":"Harald","non-dropping-particle":"","parse-names":false,"suffix":""},{"dropping-particle":"","family":"Grude","given":"Nils","non-dropping-particle":"","parse-names":false,"suffix":""},{"dropping-particle":"","family":"Christophersen","given":"Karen Sofie","non-dropping-particle":"","parse-names":false,"suffix":""},{"dropping-particle":"","family":"Finckenhagen","given":"Cecilie","non-dropping-particle":"","parse-names":false,"suffix":""},{"dropping-particle":"","family":"Lindbæk","given":"Morten","non-dropping-particle":"","parse-names":false,"suffix":""}],"container-title":"Ticks and Tick-borne Diseases","id":"ITEM-1","issued":{"date-parts":[["2016"]]},"page":"2-9","publisher":"Elsevier GmbH.","title":"Incidence and antibiotic treatment of erythema migrans in Norway 2005–2009","type":"article-journal"},"uris":["http://www.mendeley.com/documents/?uuid=5a8e5c68-e20a-4904-9875-ac593d57da84"]}],"mendeley":{"formattedCitation":"(16)","plainTextFormattedCitation":"(16)","previouslyFormattedCitation":"(16)"},"properties":{"noteIndex":0},"schema":"https://github.com/citation-style-language/schema/raw/master/csl-citation.json"}</w:instrText>
      </w:r>
      <w:r w:rsidR="00AC3EB9" w:rsidRPr="00693035">
        <w:rPr>
          <w:rFonts w:cstheme="minorHAnsi"/>
          <w:sz w:val="20"/>
          <w:szCs w:val="20"/>
        </w:rPr>
        <w:fldChar w:fldCharType="separate"/>
      </w:r>
      <w:r w:rsidR="006A4A4F" w:rsidRPr="006A4A4F">
        <w:rPr>
          <w:rFonts w:cstheme="minorHAnsi"/>
          <w:noProof/>
          <w:sz w:val="20"/>
          <w:szCs w:val="20"/>
        </w:rPr>
        <w:t>(16)</w:t>
      </w:r>
      <w:r w:rsidR="00AC3EB9" w:rsidRPr="00693035">
        <w:rPr>
          <w:rFonts w:cstheme="minorHAnsi"/>
          <w:sz w:val="20"/>
          <w:szCs w:val="20"/>
        </w:rPr>
        <w:fldChar w:fldCharType="end"/>
      </w:r>
      <w:r w:rsidR="003919EA" w:rsidRPr="00693035">
        <w:rPr>
          <w:rFonts w:cstheme="minorHAnsi"/>
          <w:sz w:val="20"/>
          <w:szCs w:val="20"/>
        </w:rPr>
        <w:t>.</w:t>
      </w:r>
      <w:r w:rsidR="00AC3EB9" w:rsidRPr="00693035">
        <w:rPr>
          <w:rFonts w:cstheme="minorHAnsi"/>
          <w:sz w:val="20"/>
          <w:szCs w:val="20"/>
        </w:rPr>
        <w:t xml:space="preserve"> The UK</w:t>
      </w:r>
      <w:r w:rsidR="00394FC5" w:rsidRPr="00693035">
        <w:rPr>
          <w:rFonts w:cstheme="minorHAnsi"/>
          <w:sz w:val="20"/>
          <w:szCs w:val="20"/>
        </w:rPr>
        <w:t xml:space="preserve"> </w:t>
      </w:r>
      <w:r w:rsidR="00AC3EB9" w:rsidRPr="00693035">
        <w:rPr>
          <w:rFonts w:cstheme="minorHAnsi"/>
          <w:sz w:val="20"/>
          <w:szCs w:val="20"/>
        </w:rPr>
        <w:t>had a much lower incidence rate across the study period</w:t>
      </w:r>
      <w:r w:rsidR="00804586" w:rsidRPr="00693035">
        <w:rPr>
          <w:rFonts w:cstheme="minorHAnsi"/>
          <w:sz w:val="20"/>
          <w:szCs w:val="20"/>
        </w:rPr>
        <w:t>;</w:t>
      </w:r>
      <w:r w:rsidR="00AC3EB9" w:rsidRPr="00693035">
        <w:rPr>
          <w:rFonts w:cstheme="minorHAnsi"/>
          <w:sz w:val="20"/>
          <w:szCs w:val="20"/>
        </w:rPr>
        <w:t xml:space="preserve"> </w:t>
      </w:r>
      <w:r w:rsidR="00AC3EB9" w:rsidRPr="00C11AE5">
        <w:rPr>
          <w:rFonts w:cstheme="minorHAnsi"/>
          <w:sz w:val="20"/>
          <w:szCs w:val="20"/>
        </w:rPr>
        <w:t>4</w:t>
      </w:r>
      <w:r w:rsidR="00567921" w:rsidRPr="00C11AE5">
        <w:rPr>
          <w:rFonts w:cstheme="minorHAnsi"/>
          <w:sz w:val="20"/>
          <w:szCs w:val="20"/>
        </w:rPr>
        <w:t>.</w:t>
      </w:r>
      <w:r w:rsidR="00AC3EB9" w:rsidRPr="00C11AE5">
        <w:rPr>
          <w:rFonts w:cstheme="minorHAnsi"/>
          <w:sz w:val="20"/>
          <w:szCs w:val="20"/>
        </w:rPr>
        <w:t>23</w:t>
      </w:r>
      <w:r w:rsidR="00C11AE5" w:rsidRPr="00C11AE5">
        <w:rPr>
          <w:rFonts w:cstheme="minorHAnsi"/>
          <w:sz w:val="20"/>
          <w:szCs w:val="20"/>
        </w:rPr>
        <w:t xml:space="preserve"> (95% CI 4.09-4.34)</w:t>
      </w:r>
      <w:r w:rsidR="00AC3EB9" w:rsidRPr="00C11AE5">
        <w:rPr>
          <w:rFonts w:cstheme="minorHAnsi"/>
          <w:sz w:val="20"/>
          <w:szCs w:val="20"/>
        </w:rPr>
        <w:t xml:space="preserve"> cases per </w:t>
      </w:r>
      <w:r w:rsidR="00656A16" w:rsidRPr="00C11AE5">
        <w:rPr>
          <w:rFonts w:cstheme="minorHAnsi"/>
          <w:sz w:val="20"/>
          <w:szCs w:val="20"/>
        </w:rPr>
        <w:t xml:space="preserve">100 000 </w:t>
      </w:r>
      <w:r w:rsidR="00AC3EB9" w:rsidRPr="00C11AE5">
        <w:rPr>
          <w:rFonts w:cstheme="minorHAnsi"/>
          <w:sz w:val="20"/>
          <w:szCs w:val="20"/>
        </w:rPr>
        <w:t>person-year</w:t>
      </w:r>
      <w:r w:rsidR="00AC3EB9" w:rsidRPr="00693035">
        <w:rPr>
          <w:rFonts w:cstheme="minorHAnsi"/>
          <w:sz w:val="20"/>
          <w:szCs w:val="20"/>
        </w:rPr>
        <w:t xml:space="preserve">. </w:t>
      </w:r>
      <w:r w:rsidR="00A80E79" w:rsidRPr="00693035">
        <w:rPr>
          <w:rFonts w:cstheme="minorHAnsi"/>
          <w:sz w:val="20"/>
          <w:szCs w:val="20"/>
        </w:rPr>
        <w:t xml:space="preserve">The UK had its peak </w:t>
      </w:r>
      <w:r w:rsidR="009563A6">
        <w:rPr>
          <w:rFonts w:cstheme="minorHAnsi"/>
          <w:sz w:val="20"/>
          <w:szCs w:val="20"/>
        </w:rPr>
        <w:t>crude</w:t>
      </w:r>
      <w:r w:rsidR="00A80E79" w:rsidRPr="00693035">
        <w:rPr>
          <w:rFonts w:cstheme="minorHAnsi"/>
          <w:sz w:val="20"/>
          <w:szCs w:val="20"/>
        </w:rPr>
        <w:t xml:space="preserve"> incidence</w:t>
      </w:r>
      <w:r w:rsidR="002C5A28">
        <w:rPr>
          <w:rFonts w:cstheme="minorHAnsi"/>
          <w:sz w:val="20"/>
          <w:szCs w:val="20"/>
        </w:rPr>
        <w:t xml:space="preserve"> of new diagnosis</w:t>
      </w:r>
      <w:r w:rsidR="00A80E79" w:rsidRPr="00693035">
        <w:rPr>
          <w:rFonts w:cstheme="minorHAnsi"/>
          <w:sz w:val="20"/>
          <w:szCs w:val="20"/>
        </w:rPr>
        <w:t xml:space="preserve"> in 2015, </w:t>
      </w:r>
      <w:r w:rsidR="00311402" w:rsidRPr="00311402">
        <w:rPr>
          <w:rFonts w:cstheme="minorHAnsi"/>
          <w:sz w:val="20"/>
          <w:szCs w:val="20"/>
        </w:rPr>
        <w:t>5.47 (95% CI 4.85-6.14)</w:t>
      </w:r>
      <w:r w:rsidR="00A80E79" w:rsidRPr="00311402">
        <w:rPr>
          <w:rFonts w:cstheme="minorHAnsi"/>
          <w:sz w:val="20"/>
          <w:szCs w:val="20"/>
        </w:rPr>
        <w:t xml:space="preserve"> per 100 000 population. </w:t>
      </w:r>
      <w:r w:rsidR="00831D78" w:rsidRPr="00311402">
        <w:rPr>
          <w:rFonts w:cstheme="minorHAnsi"/>
          <w:sz w:val="20"/>
          <w:szCs w:val="20"/>
        </w:rPr>
        <w:t>The</w:t>
      </w:r>
      <w:r w:rsidR="000402DD" w:rsidRPr="00311402">
        <w:rPr>
          <w:rFonts w:cstheme="minorHAnsi"/>
          <w:sz w:val="20"/>
          <w:szCs w:val="20"/>
        </w:rPr>
        <w:t xml:space="preserve"> annual</w:t>
      </w:r>
      <w:r w:rsidR="00831D78" w:rsidRPr="00311402">
        <w:rPr>
          <w:rFonts w:cstheme="minorHAnsi"/>
          <w:sz w:val="20"/>
          <w:szCs w:val="20"/>
        </w:rPr>
        <w:t xml:space="preserve"> incidence </w:t>
      </w:r>
      <w:r w:rsidR="00A80E79" w:rsidRPr="00311402">
        <w:rPr>
          <w:rFonts w:cstheme="minorHAnsi"/>
          <w:sz w:val="20"/>
          <w:szCs w:val="20"/>
        </w:rPr>
        <w:t xml:space="preserve">significantly varied between </w:t>
      </w:r>
      <w:r w:rsidR="00D64C2B" w:rsidRPr="00311402">
        <w:rPr>
          <w:rFonts w:cstheme="minorHAnsi"/>
          <w:sz w:val="20"/>
          <w:szCs w:val="20"/>
        </w:rPr>
        <w:t>nations</w:t>
      </w:r>
      <w:r w:rsidR="000402DD" w:rsidRPr="00311402">
        <w:rPr>
          <w:rFonts w:cstheme="minorHAnsi"/>
          <w:sz w:val="20"/>
          <w:szCs w:val="20"/>
        </w:rPr>
        <w:t>;</w:t>
      </w:r>
      <w:r w:rsidR="00A80E79" w:rsidRPr="00311402">
        <w:rPr>
          <w:rFonts w:cstheme="minorHAnsi"/>
          <w:sz w:val="20"/>
          <w:szCs w:val="20"/>
        </w:rPr>
        <w:t xml:space="preserve"> </w:t>
      </w:r>
      <w:r w:rsidR="00363C35" w:rsidRPr="00311402">
        <w:rPr>
          <w:rFonts w:cstheme="minorHAnsi"/>
          <w:sz w:val="20"/>
          <w:szCs w:val="20"/>
        </w:rPr>
        <w:t xml:space="preserve">Scotland peaked in 2015 </w:t>
      </w:r>
      <w:r w:rsidR="00A80E79" w:rsidRPr="00311402">
        <w:rPr>
          <w:rFonts w:cstheme="minorHAnsi"/>
          <w:sz w:val="20"/>
          <w:szCs w:val="20"/>
        </w:rPr>
        <w:t xml:space="preserve">with </w:t>
      </w:r>
      <w:r w:rsidR="000402DD" w:rsidRPr="00311402">
        <w:rPr>
          <w:rFonts w:cstheme="minorHAnsi"/>
          <w:sz w:val="20"/>
          <w:szCs w:val="20"/>
        </w:rPr>
        <w:t>an incidence</w:t>
      </w:r>
      <w:r w:rsidR="00A80E79" w:rsidRPr="00311402">
        <w:rPr>
          <w:rFonts w:cstheme="minorHAnsi"/>
          <w:sz w:val="20"/>
          <w:szCs w:val="20"/>
        </w:rPr>
        <w:t xml:space="preserve"> of </w:t>
      </w:r>
      <w:r w:rsidR="00311402" w:rsidRPr="00311402">
        <w:rPr>
          <w:rFonts w:cstheme="minorHAnsi"/>
          <w:sz w:val="20"/>
          <w:szCs w:val="20"/>
        </w:rPr>
        <w:t>12.71 (95% CI 10.73-14.94)</w:t>
      </w:r>
      <w:r w:rsidR="00A80E79" w:rsidRPr="00311402">
        <w:rPr>
          <w:rFonts w:cstheme="minorHAnsi"/>
          <w:sz w:val="20"/>
          <w:szCs w:val="20"/>
        </w:rPr>
        <w:t xml:space="preserve">, </w:t>
      </w:r>
      <w:r w:rsidR="00363C35" w:rsidRPr="00311402">
        <w:rPr>
          <w:rFonts w:cstheme="minorHAnsi"/>
          <w:sz w:val="20"/>
          <w:szCs w:val="20"/>
        </w:rPr>
        <w:t xml:space="preserve">England in 2015 with </w:t>
      </w:r>
      <w:r w:rsidR="00311402" w:rsidRPr="00311402">
        <w:rPr>
          <w:rFonts w:cstheme="minorHAnsi"/>
          <w:sz w:val="20"/>
          <w:szCs w:val="20"/>
        </w:rPr>
        <w:t>4.06 (95% CI 3.38-4.84)</w:t>
      </w:r>
      <w:r w:rsidR="00A80E79" w:rsidRPr="00311402">
        <w:rPr>
          <w:rFonts w:cstheme="minorHAnsi"/>
          <w:sz w:val="20"/>
          <w:szCs w:val="20"/>
        </w:rPr>
        <w:t xml:space="preserve">, </w:t>
      </w:r>
      <w:r w:rsidR="00363C35" w:rsidRPr="00311402">
        <w:rPr>
          <w:rFonts w:cstheme="minorHAnsi"/>
          <w:sz w:val="20"/>
          <w:szCs w:val="20"/>
        </w:rPr>
        <w:t xml:space="preserve">Northern Ireland in 2015 with </w:t>
      </w:r>
      <w:r w:rsidR="00311402" w:rsidRPr="00311402">
        <w:rPr>
          <w:rFonts w:cstheme="minorHAnsi"/>
          <w:sz w:val="20"/>
          <w:szCs w:val="20"/>
        </w:rPr>
        <w:t>2.30 (95% CI 1.03-4.52)</w:t>
      </w:r>
      <w:r w:rsidR="00363C35" w:rsidRPr="00311402">
        <w:rPr>
          <w:rFonts w:cstheme="minorHAnsi"/>
          <w:sz w:val="20"/>
          <w:szCs w:val="20"/>
        </w:rPr>
        <w:t xml:space="preserve">, and </w:t>
      </w:r>
      <w:r w:rsidR="00394FC5" w:rsidRPr="00311402">
        <w:rPr>
          <w:rFonts w:cstheme="minorHAnsi"/>
          <w:sz w:val="20"/>
          <w:szCs w:val="20"/>
        </w:rPr>
        <w:t>Wales</w:t>
      </w:r>
      <w:r w:rsidR="00363C35" w:rsidRPr="00311402">
        <w:rPr>
          <w:rFonts w:cstheme="minorHAnsi"/>
          <w:sz w:val="20"/>
          <w:szCs w:val="20"/>
        </w:rPr>
        <w:t xml:space="preserve"> in 2016 with </w:t>
      </w:r>
      <w:r w:rsidR="00311402" w:rsidRPr="00311402">
        <w:rPr>
          <w:rFonts w:cstheme="minorHAnsi"/>
          <w:sz w:val="20"/>
          <w:szCs w:val="20"/>
        </w:rPr>
        <w:t>2.54 (95% CI 1.60-3.85)</w:t>
      </w:r>
      <w:r w:rsidR="00394FC5" w:rsidRPr="00311402">
        <w:rPr>
          <w:rFonts w:cstheme="minorHAnsi"/>
          <w:sz w:val="20"/>
          <w:szCs w:val="20"/>
        </w:rPr>
        <w:t>.</w:t>
      </w:r>
      <w:r w:rsidR="00693035">
        <w:rPr>
          <w:rFonts w:cstheme="minorHAnsi"/>
          <w:sz w:val="20"/>
          <w:szCs w:val="20"/>
        </w:rPr>
        <w:t xml:space="preserve"> </w:t>
      </w:r>
      <w:bookmarkStart w:id="27" w:name="_Hlk528744680"/>
      <w:r w:rsidR="00693035" w:rsidRPr="001467D7">
        <w:rPr>
          <w:rFonts w:cstheme="minorHAnsi"/>
          <w:sz w:val="20"/>
          <w:szCs w:val="20"/>
        </w:rPr>
        <w:t>Even in Scotland, the incidence of Lyme disease is lower than in most areas of continental Europe.</w:t>
      </w:r>
      <w:r w:rsidR="00693035">
        <w:rPr>
          <w:rFonts w:cstheme="minorHAnsi"/>
          <w:sz w:val="20"/>
          <w:szCs w:val="20"/>
        </w:rPr>
        <w:t xml:space="preserve"> </w:t>
      </w:r>
      <w:bookmarkEnd w:id="27"/>
      <w:r w:rsidR="0011150A" w:rsidRPr="00693035">
        <w:rPr>
          <w:rFonts w:cstheme="minorHAnsi"/>
          <w:sz w:val="20"/>
          <w:szCs w:val="20"/>
        </w:rPr>
        <w:t>The reasons for this are likely to be multi</w:t>
      </w:r>
      <w:r w:rsidR="0066570E" w:rsidRPr="00693035">
        <w:rPr>
          <w:rFonts w:cstheme="minorHAnsi"/>
          <w:sz w:val="20"/>
          <w:szCs w:val="20"/>
        </w:rPr>
        <w:t>ple</w:t>
      </w:r>
      <w:r w:rsidR="0011150A" w:rsidRPr="00693035">
        <w:rPr>
          <w:rFonts w:cstheme="minorHAnsi"/>
          <w:sz w:val="20"/>
          <w:szCs w:val="20"/>
        </w:rPr>
        <w:t xml:space="preserve"> and need to be </w:t>
      </w:r>
      <w:r w:rsidR="0066570E" w:rsidRPr="00693035">
        <w:rPr>
          <w:rFonts w:cstheme="minorHAnsi"/>
          <w:sz w:val="20"/>
          <w:szCs w:val="20"/>
        </w:rPr>
        <w:t xml:space="preserve">further </w:t>
      </w:r>
      <w:r w:rsidR="0011150A" w:rsidRPr="00693035">
        <w:rPr>
          <w:rFonts w:cstheme="minorHAnsi"/>
          <w:sz w:val="20"/>
          <w:szCs w:val="20"/>
        </w:rPr>
        <w:t xml:space="preserve">explored. They may include; a lower prevalence of </w:t>
      </w:r>
      <w:proofErr w:type="spellStart"/>
      <w:r w:rsidR="0011150A" w:rsidRPr="00693035">
        <w:rPr>
          <w:rFonts w:cstheme="minorHAnsi"/>
          <w:i/>
          <w:sz w:val="20"/>
          <w:szCs w:val="20"/>
        </w:rPr>
        <w:t>Ixodes</w:t>
      </w:r>
      <w:proofErr w:type="spellEnd"/>
      <w:r w:rsidR="0011150A" w:rsidRPr="00693035">
        <w:rPr>
          <w:rFonts w:cstheme="minorHAnsi"/>
          <w:i/>
          <w:sz w:val="20"/>
          <w:szCs w:val="20"/>
        </w:rPr>
        <w:t xml:space="preserve"> </w:t>
      </w:r>
      <w:proofErr w:type="spellStart"/>
      <w:r w:rsidR="0011150A" w:rsidRPr="00693035">
        <w:rPr>
          <w:rFonts w:cstheme="minorHAnsi"/>
          <w:i/>
          <w:sz w:val="20"/>
          <w:szCs w:val="20"/>
        </w:rPr>
        <w:t>spp</w:t>
      </w:r>
      <w:proofErr w:type="spellEnd"/>
      <w:r w:rsidR="0011150A" w:rsidRPr="00693035">
        <w:rPr>
          <w:rFonts w:cstheme="minorHAnsi"/>
          <w:sz w:val="20"/>
          <w:szCs w:val="20"/>
        </w:rPr>
        <w:t xml:space="preserve"> of ticks, a lower prevalence of </w:t>
      </w:r>
      <w:r w:rsidR="0011150A" w:rsidRPr="00693035">
        <w:rPr>
          <w:rFonts w:cstheme="minorHAnsi"/>
          <w:i/>
          <w:sz w:val="20"/>
          <w:szCs w:val="20"/>
        </w:rPr>
        <w:t xml:space="preserve">Borrelia </w:t>
      </w:r>
      <w:proofErr w:type="spellStart"/>
      <w:r w:rsidR="0011150A" w:rsidRPr="00693035">
        <w:rPr>
          <w:rFonts w:cstheme="minorHAnsi"/>
          <w:i/>
          <w:sz w:val="20"/>
          <w:szCs w:val="20"/>
        </w:rPr>
        <w:t>spp</w:t>
      </w:r>
      <w:proofErr w:type="spellEnd"/>
      <w:r w:rsidR="0011150A" w:rsidRPr="00693035">
        <w:rPr>
          <w:rFonts w:cstheme="minorHAnsi"/>
          <w:sz w:val="20"/>
          <w:szCs w:val="20"/>
        </w:rPr>
        <w:t xml:space="preserve"> carriage by ticks</w:t>
      </w:r>
      <w:r w:rsidR="00592DFD" w:rsidRPr="00693035">
        <w:rPr>
          <w:rFonts w:cstheme="minorHAnsi"/>
          <w:sz w:val="20"/>
          <w:szCs w:val="20"/>
        </w:rPr>
        <w:t xml:space="preserve"> (</w:t>
      </w:r>
      <w:r w:rsidR="00A5196F" w:rsidRPr="00693035">
        <w:rPr>
          <w:rFonts w:cstheme="minorHAnsi"/>
          <w:sz w:val="20"/>
          <w:szCs w:val="20"/>
        </w:rPr>
        <w:t>4.</w:t>
      </w:r>
      <w:r w:rsidR="00592DFD" w:rsidRPr="00693035">
        <w:rPr>
          <w:rFonts w:cstheme="minorHAnsi"/>
          <w:sz w:val="20"/>
          <w:szCs w:val="20"/>
        </w:rPr>
        <w:t>2%</w:t>
      </w:r>
      <w:r w:rsidR="00A5196F" w:rsidRPr="00693035">
        <w:rPr>
          <w:rFonts w:cstheme="minorHAnsi"/>
          <w:sz w:val="20"/>
          <w:szCs w:val="20"/>
        </w:rPr>
        <w:t xml:space="preserve"> in </w:t>
      </w:r>
      <w:r w:rsidR="003919EA" w:rsidRPr="00693035">
        <w:rPr>
          <w:rFonts w:cstheme="minorHAnsi"/>
          <w:sz w:val="20"/>
          <w:szCs w:val="20"/>
        </w:rPr>
        <w:t>s</w:t>
      </w:r>
      <w:r w:rsidR="00A5196F" w:rsidRPr="00693035">
        <w:rPr>
          <w:rFonts w:cstheme="minorHAnsi"/>
          <w:sz w:val="20"/>
          <w:szCs w:val="20"/>
        </w:rPr>
        <w:t xml:space="preserve">outhern England </w:t>
      </w:r>
      <w:r w:rsidR="00A5196F" w:rsidRPr="00693035">
        <w:rPr>
          <w:rFonts w:cstheme="minorHAnsi"/>
          <w:sz w:val="20"/>
          <w:szCs w:val="20"/>
        </w:rPr>
        <w:fldChar w:fldCharType="begin" w:fldLock="1"/>
      </w:r>
      <w:r w:rsidR="00087BF7">
        <w:rPr>
          <w:rFonts w:cstheme="minorHAnsi"/>
          <w:sz w:val="20"/>
          <w:szCs w:val="20"/>
        </w:rPr>
        <w:instrText>ADDIN CSL_CITATION {"citationItems":[{"id":"ITEM-1","itemData":{"DOI":"10.1017/S0950268814001691","ISSN":"0950-2688","author":[{"dropping-particle":"","family":"HANSFORD","given":"K. M.","non-dropping-particle":"","parse-names":false,"suffix":""},{"dropping-particle":"","family":"FONVILLE","given":"M.","non-dropping-particle":"","parse-names":false,"suffix":""},{"dropping-particle":"","family":"JAHFARI","given":"S.","non-dropping-particle":"","parse-names":false,"suffix":""},{"dropping-particle":"","family":"SPRONG","given":"H.","non-dropping-particle":"","parse-names":false,"suffix":""},{"dropping-particle":"","family":"MEDLOCK","given":"J. M.","non-dropping-particle":"","parse-names":false,"suffix":""}],"container-title":"Epidemiology and Infection","id":"ITEM-1","issue":"05","issued":{"date-parts":[["2015"]]},"page":"1079-1087","title":"Borrelia miyamotoi in host-seeking Ixodes ricinus ticks in England","type":"article-journal","volume":"143"},"uris":["http://www.mendeley.com/documents/?uuid=29599454-4612-483a-a4b1-4c60ae8f46ca"]}],"mendeley":{"formattedCitation":"(32)","plainTextFormattedCitation":"(32)","previouslyFormattedCitation":"(32)"},"properties":{"noteIndex":0},"schema":"https://github.com/citation-style-language/schema/raw/master/csl-citation.json"}</w:instrText>
      </w:r>
      <w:r w:rsidR="00A5196F" w:rsidRPr="00693035">
        <w:rPr>
          <w:rFonts w:cstheme="minorHAnsi"/>
          <w:sz w:val="20"/>
          <w:szCs w:val="20"/>
        </w:rPr>
        <w:fldChar w:fldCharType="separate"/>
      </w:r>
      <w:r w:rsidR="00087BF7" w:rsidRPr="00087BF7">
        <w:rPr>
          <w:rFonts w:cstheme="minorHAnsi"/>
          <w:noProof/>
          <w:sz w:val="20"/>
          <w:szCs w:val="20"/>
        </w:rPr>
        <w:t>(32)</w:t>
      </w:r>
      <w:r w:rsidR="00A5196F" w:rsidRPr="00693035">
        <w:rPr>
          <w:rFonts w:cstheme="minorHAnsi"/>
          <w:sz w:val="20"/>
          <w:szCs w:val="20"/>
        </w:rPr>
        <w:fldChar w:fldCharType="end"/>
      </w:r>
      <w:r w:rsidR="00A5196F" w:rsidRPr="00693035">
        <w:rPr>
          <w:rFonts w:cstheme="minorHAnsi"/>
          <w:sz w:val="20"/>
          <w:szCs w:val="20"/>
        </w:rPr>
        <w:t xml:space="preserve">, 0-8.2% in </w:t>
      </w:r>
      <w:r w:rsidR="003919EA" w:rsidRPr="00693035">
        <w:rPr>
          <w:rFonts w:cstheme="minorHAnsi"/>
          <w:sz w:val="20"/>
          <w:szCs w:val="20"/>
        </w:rPr>
        <w:t>n</w:t>
      </w:r>
      <w:r w:rsidR="00A5196F" w:rsidRPr="00693035">
        <w:rPr>
          <w:rFonts w:cstheme="minorHAnsi"/>
          <w:sz w:val="20"/>
          <w:szCs w:val="20"/>
        </w:rPr>
        <w:t xml:space="preserve">orthern England </w:t>
      </w:r>
      <w:r w:rsidR="00A5196F" w:rsidRPr="00693035">
        <w:rPr>
          <w:rFonts w:cstheme="minorHAnsi"/>
          <w:sz w:val="20"/>
          <w:szCs w:val="20"/>
        </w:rPr>
        <w:fldChar w:fldCharType="begin" w:fldLock="1"/>
      </w:r>
      <w:r w:rsidR="00087BF7">
        <w:rPr>
          <w:rFonts w:cstheme="minorHAnsi"/>
          <w:sz w:val="20"/>
          <w:szCs w:val="20"/>
        </w:rPr>
        <w:instrText>ADDIN CSL_CITATION {"citationItems":[{"id":"ITEM-1","itemData":{"DOI":"10.1089/vbz.2012.1075","author":[{"dropping-particle":"","family":"Bettridge","given":"Judy","non-dropping-particle":"","parse-names":false,"suffix":""},{"dropping-particle":"","family":"Renard","given":"Marine","non-dropping-particle":"","parse-names":false,"suffix":""},{"dropping-particle":"","family":"Zhao","given":"Fan","non-dropping-particle":"","parse-names":false,"suffix":""},{"dropping-particle":"","family":"Bown","given":"Kevin J","non-dropping-particle":"","parse-names":false,"suffix":""},{"dropping-particle":"","family":"Birtles","given":"Richard J","non-dropping-particle":"","parse-names":false,"suffix":""}],"id":"ITEM-1","issue":"3","issued":{"date-parts":[["2013"]]},"title":"Distribution of Borrelia burgdorferi sensu lato in Ixodes ricinus Populations Across Central Britain","type":"article-journal","volume":"13"},"uris":["http://www.mendeley.com/documents/?uuid=9591b5d4-a1e0-40b2-80df-5d0518419324"]}],"mendeley":{"formattedCitation":"(33)","plainTextFormattedCitation":"(33)","previouslyFormattedCitation":"(33)"},"properties":{"noteIndex":0},"schema":"https://github.com/citation-style-language/schema/raw/master/csl-citation.json"}</w:instrText>
      </w:r>
      <w:r w:rsidR="00A5196F" w:rsidRPr="00693035">
        <w:rPr>
          <w:rFonts w:cstheme="minorHAnsi"/>
          <w:sz w:val="20"/>
          <w:szCs w:val="20"/>
        </w:rPr>
        <w:fldChar w:fldCharType="separate"/>
      </w:r>
      <w:r w:rsidR="00087BF7" w:rsidRPr="00087BF7">
        <w:rPr>
          <w:rFonts w:cstheme="minorHAnsi"/>
          <w:noProof/>
          <w:sz w:val="20"/>
          <w:szCs w:val="20"/>
        </w:rPr>
        <w:t>(33)</w:t>
      </w:r>
      <w:r w:rsidR="00A5196F" w:rsidRPr="00693035">
        <w:rPr>
          <w:rFonts w:cstheme="minorHAnsi"/>
          <w:sz w:val="20"/>
          <w:szCs w:val="20"/>
        </w:rPr>
        <w:fldChar w:fldCharType="end"/>
      </w:r>
      <w:r w:rsidR="00A5196F" w:rsidRPr="00693035">
        <w:rPr>
          <w:rFonts w:cstheme="minorHAnsi"/>
          <w:sz w:val="20"/>
          <w:szCs w:val="20"/>
        </w:rPr>
        <w:t xml:space="preserve">, and 10.2% in Scotland </w:t>
      </w:r>
      <w:r w:rsidR="00A5196F" w:rsidRPr="00693035">
        <w:rPr>
          <w:rFonts w:cstheme="minorHAnsi"/>
          <w:sz w:val="20"/>
          <w:szCs w:val="20"/>
        </w:rPr>
        <w:fldChar w:fldCharType="begin" w:fldLock="1"/>
      </w:r>
      <w:r w:rsidR="00087BF7">
        <w:rPr>
          <w:rFonts w:cstheme="minorHAnsi"/>
          <w:sz w:val="20"/>
          <w:szCs w:val="20"/>
        </w:rPr>
        <w:instrText>ADDIN CSL_CITATION {"citationItems":[{"id":"ITEM-1","itemData":{"DOI":"10.3201/eid2303.161397","ISSN":"10806059","PMID":"28221107","abstract":"Mapping the public health threat of tickborne pathogens requires quantification of not only the density of infected host-seeking ticks but also the rate of human exposure to these ticks. To efficiently sample a high number of persons in a short time, we used a mass-participation outdoor event. In June 2014, we sampled ≈500 persons competing in a 2-day mountain marathon run across predominantly tick-infested habitat in Scotland. From the number of tick bites recorded and prevalence of tick infection with Borrelia burgdoferi sensu lato and B. miyamotoi, we quantified the frequency of competitor exposure to the pathogens. Mass-participation outdoor events have the potential to serve as excellent windows for epidemiologic study of tickborne pathogens; their concerted use should improve spatial and temporal mapping of human exposure to infected ticks.","author":[{"dropping-particle":"","family":"Hall","given":"Jessica L.","non-dropping-particle":"","parse-names":false,"suffix":""},{"dropping-particle":"","family":"Alpers","given":"Kathrin","non-dropping-particle":"","parse-names":false,"suffix":""},{"dropping-particle":"","family":"Bown","given":"Kevin J.","non-dropping-particle":"","parse-names":false,"suffix":""},{"dropping-particle":"","family":"Martin","given":"Stephen J.","non-dropping-particle":"","parse-names":false,"suffix":""},{"dropping-particle":"","family":"Birtles","given":"Richard J.","non-dropping-particle":"","parse-names":false,"suffix":""}],"container-title":"Emerging Infectious Diseases","id":"ITEM-1","issue":"3","issued":{"date-parts":[["2017"]]},"page":"463-467","title":"Use of mass-participation outdoor events to assess human exposure to tickborne pathogens","type":"article-journal","volume":"23"},"uris":["http://www.mendeley.com/documents/?uuid=a77ddac4-6d4b-4d0b-9bbf-16ef12227fb5"]}],"mendeley":{"formattedCitation":"(34)","plainTextFormattedCitation":"(34)","previouslyFormattedCitation":"(34)"},"properties":{"noteIndex":0},"schema":"https://github.com/citation-style-language/schema/raw/master/csl-citation.json"}</w:instrText>
      </w:r>
      <w:r w:rsidR="00A5196F" w:rsidRPr="00693035">
        <w:rPr>
          <w:rFonts w:cstheme="minorHAnsi"/>
          <w:sz w:val="20"/>
          <w:szCs w:val="20"/>
        </w:rPr>
        <w:fldChar w:fldCharType="separate"/>
      </w:r>
      <w:r w:rsidR="00087BF7" w:rsidRPr="00087BF7">
        <w:rPr>
          <w:rFonts w:cstheme="minorHAnsi"/>
          <w:noProof/>
          <w:sz w:val="20"/>
          <w:szCs w:val="20"/>
        </w:rPr>
        <w:t>(34)</w:t>
      </w:r>
      <w:r w:rsidR="00A5196F" w:rsidRPr="00693035">
        <w:rPr>
          <w:rFonts w:cstheme="minorHAnsi"/>
          <w:sz w:val="20"/>
          <w:szCs w:val="20"/>
        </w:rPr>
        <w:fldChar w:fldCharType="end"/>
      </w:r>
      <w:r w:rsidR="00A5196F" w:rsidRPr="00693035">
        <w:rPr>
          <w:rFonts w:cstheme="minorHAnsi"/>
          <w:sz w:val="20"/>
          <w:szCs w:val="20"/>
        </w:rPr>
        <w:t xml:space="preserve">, </w:t>
      </w:r>
      <w:r w:rsidR="000402DD" w:rsidRPr="00693035">
        <w:rPr>
          <w:rFonts w:cstheme="minorHAnsi"/>
          <w:sz w:val="20"/>
          <w:szCs w:val="20"/>
        </w:rPr>
        <w:t xml:space="preserve">compared to </w:t>
      </w:r>
      <w:r w:rsidR="007327DB" w:rsidRPr="00693035">
        <w:rPr>
          <w:rFonts w:cstheme="minorHAnsi"/>
          <w:sz w:val="20"/>
          <w:szCs w:val="20"/>
        </w:rPr>
        <w:t>13</w:t>
      </w:r>
      <w:r w:rsidR="00567921" w:rsidRPr="00693035">
        <w:rPr>
          <w:rFonts w:cstheme="minorHAnsi"/>
          <w:sz w:val="20"/>
          <w:szCs w:val="20"/>
        </w:rPr>
        <w:t>.</w:t>
      </w:r>
      <w:r w:rsidR="007327DB" w:rsidRPr="00693035">
        <w:rPr>
          <w:rFonts w:cstheme="minorHAnsi"/>
          <w:sz w:val="20"/>
          <w:szCs w:val="20"/>
        </w:rPr>
        <w:t>6%</w:t>
      </w:r>
      <w:r w:rsidR="000402DD" w:rsidRPr="00693035">
        <w:rPr>
          <w:rFonts w:cstheme="minorHAnsi"/>
          <w:sz w:val="20"/>
          <w:szCs w:val="20"/>
        </w:rPr>
        <w:t xml:space="preserve"> across Europe</w:t>
      </w:r>
      <w:r w:rsidR="00756D6E" w:rsidRPr="00693035">
        <w:rPr>
          <w:rFonts w:cstheme="minorHAnsi"/>
          <w:sz w:val="20"/>
          <w:szCs w:val="20"/>
        </w:rPr>
        <w:t xml:space="preserve"> </w:t>
      </w:r>
      <w:r w:rsidR="00582DDB" w:rsidRPr="00693035">
        <w:rPr>
          <w:rFonts w:cstheme="minorHAnsi"/>
          <w:sz w:val="20"/>
          <w:szCs w:val="20"/>
        </w:rPr>
        <w:fldChar w:fldCharType="begin" w:fldLock="1"/>
      </w:r>
      <w:r w:rsidR="00087BF7">
        <w:rPr>
          <w:rFonts w:cstheme="minorHAnsi"/>
          <w:sz w:val="20"/>
          <w:szCs w:val="20"/>
        </w:rPr>
        <w:instrText>ADDIN CSL_CITATION {"citationItems":[{"id":"ITEM-1","itemData":{"DOI":"10.1128/AEM.71.11.7203","ISBN":"0099-2240","ISSN":"0099-2240","PMID":"16269760","abstract":"In Europe, Borrelia burgdorferi genospecies causing Lyme borreliosis are mainly transmitted by the tick Ixodes ricinus. Since its discovery, B. burgdorferi has been the subject of many epidemiological studies to determine its prevalence and the distribution of the different genospecies in ticks. In the current study we systematically reviewd the literature on epidemiological studies of I. ricinus ticks infected with B. burgdorferi sensu lato. A total of 1186 abstracts in English published from 19984 to 2003 were identified by a PubMed keyword search and from the compiled article references. A multistep filter process was used to select relevant articles; 110 articles from 24 countries contained data on the rates of infection of I. ricinus with Borrelia in Europe (112.579 ticks), and 44 articles from 21 countries included species-specific analyses (3273 positive ticks). These data were used to evaluate the overall rate of infection of I. ririnus with Borrelia genospecies, regional distributions within Europe, and changes over time, as well as the influence of different detection methods on the infection rate. While the infection rate was significantly hihger in adults (18.6%) than in nymphs (10.1%), no effect of detection method, tick gender or collection period (1986 to 1993 versus 1994 to 2002) was found. The highest rates of infection of I. ricinus were found in countried in central Europe. B. afzelii and B. garinii are the most common Borrelia species, but the distribution of genospecies seems to vary in different regions in Europe. The most frequent coinfection by Borrelia species was found for B. garinii and B. valaisiana.","author":[{"dropping-particle":"","family":"Rauter","given":"Carolin","non-dropping-particle":"","parse-names":false,"suffix":""},{"dropping-particle":"","family":"Hartung","given":"Thomas","non-dropping-particle":"","parse-names":false,"suffix":""}],"container-title":"Applied and environmental microbiology","id":"ITEM-1","issue":"11","issued":{"date-parts":[["2005"]]},"page":"7203-7216","title":"Prevalence of Borrelia burgdorferi Sensu Lato Genospecies in Ixodes ricinus Ticks in Europe : a Metaanalysis Prevalence of Borrelia burgdorferi Sensu Lato Genospecies in Ixodes ricinus Ticks in Europe : a Metaanalysis","type":"article-journal","volume":"71"},"uris":["http://www.mendeley.com/documents/?uuid=c2d331dd-74ea-4df9-b4a1-fe7729e994cc"]}],"mendeley":{"formattedCitation":"(35)","plainTextFormattedCitation":"(35)","previouslyFormattedCitation":"(35)"},"properties":{"noteIndex":0},"schema":"https://github.com/citation-style-language/schema/raw/master/csl-citation.json"}</w:instrText>
      </w:r>
      <w:r w:rsidR="00582DDB" w:rsidRPr="00693035">
        <w:rPr>
          <w:rFonts w:cstheme="minorHAnsi"/>
          <w:sz w:val="20"/>
          <w:szCs w:val="20"/>
        </w:rPr>
        <w:fldChar w:fldCharType="separate"/>
      </w:r>
      <w:r w:rsidR="00087BF7" w:rsidRPr="00087BF7">
        <w:rPr>
          <w:rFonts w:cstheme="minorHAnsi"/>
          <w:noProof/>
          <w:sz w:val="20"/>
          <w:szCs w:val="20"/>
        </w:rPr>
        <w:t>(35)</w:t>
      </w:r>
      <w:r w:rsidR="00582DDB" w:rsidRPr="00693035">
        <w:rPr>
          <w:rFonts w:cstheme="minorHAnsi"/>
          <w:sz w:val="20"/>
          <w:szCs w:val="20"/>
        </w:rPr>
        <w:fldChar w:fldCharType="end"/>
      </w:r>
      <w:r w:rsidR="007541C3" w:rsidRPr="00693035">
        <w:rPr>
          <w:rFonts w:cstheme="minorHAnsi"/>
          <w:sz w:val="20"/>
          <w:szCs w:val="20"/>
        </w:rPr>
        <w:t>)</w:t>
      </w:r>
      <w:r w:rsidR="0011150A" w:rsidRPr="00693035">
        <w:rPr>
          <w:rFonts w:cstheme="minorHAnsi"/>
          <w:sz w:val="20"/>
          <w:szCs w:val="20"/>
        </w:rPr>
        <w:t>, and different levels of exposure of the general populace to ticks, possibly due to differences in occupational</w:t>
      </w:r>
      <w:r w:rsidR="007541C3" w:rsidRPr="00693035">
        <w:rPr>
          <w:rFonts w:cstheme="minorHAnsi"/>
          <w:sz w:val="20"/>
          <w:szCs w:val="20"/>
        </w:rPr>
        <w:t xml:space="preserve"> and</w:t>
      </w:r>
      <w:r w:rsidR="0011150A" w:rsidRPr="00693035">
        <w:rPr>
          <w:rFonts w:cstheme="minorHAnsi"/>
          <w:sz w:val="20"/>
          <w:szCs w:val="20"/>
        </w:rPr>
        <w:t>/</w:t>
      </w:r>
      <w:r w:rsidR="007541C3" w:rsidRPr="00693035">
        <w:rPr>
          <w:rFonts w:cstheme="minorHAnsi"/>
          <w:sz w:val="20"/>
          <w:szCs w:val="20"/>
        </w:rPr>
        <w:t xml:space="preserve">or </w:t>
      </w:r>
      <w:r w:rsidR="0011150A" w:rsidRPr="00693035">
        <w:rPr>
          <w:rFonts w:cstheme="minorHAnsi"/>
          <w:sz w:val="20"/>
          <w:szCs w:val="20"/>
        </w:rPr>
        <w:t xml:space="preserve">recreational dispositions. One possible </w:t>
      </w:r>
      <w:r w:rsidR="00394FC5" w:rsidRPr="00693035">
        <w:rPr>
          <w:rFonts w:cstheme="minorHAnsi"/>
          <w:sz w:val="20"/>
          <w:szCs w:val="20"/>
        </w:rPr>
        <w:t>explanation is lower</w:t>
      </w:r>
      <w:r w:rsidR="0011150A" w:rsidRPr="00693035">
        <w:rPr>
          <w:rFonts w:cstheme="minorHAnsi"/>
          <w:sz w:val="20"/>
          <w:szCs w:val="20"/>
        </w:rPr>
        <w:t xml:space="preserve"> awareness about Lyme disease </w:t>
      </w:r>
      <w:r w:rsidR="00394FC5" w:rsidRPr="00693035">
        <w:rPr>
          <w:rFonts w:cstheme="minorHAnsi"/>
          <w:sz w:val="20"/>
          <w:szCs w:val="20"/>
        </w:rPr>
        <w:t>in</w:t>
      </w:r>
      <w:r w:rsidR="0011150A" w:rsidRPr="00693035">
        <w:rPr>
          <w:rFonts w:cstheme="minorHAnsi"/>
          <w:sz w:val="20"/>
          <w:szCs w:val="20"/>
        </w:rPr>
        <w:t xml:space="preserve"> the general population and</w:t>
      </w:r>
      <w:r w:rsidR="00394FC5" w:rsidRPr="00693035">
        <w:rPr>
          <w:rFonts w:cstheme="minorHAnsi"/>
          <w:sz w:val="20"/>
          <w:szCs w:val="20"/>
        </w:rPr>
        <w:t xml:space="preserve"> primary care</w:t>
      </w:r>
      <w:r w:rsidR="0011150A" w:rsidRPr="00693035">
        <w:rPr>
          <w:rFonts w:cstheme="minorHAnsi"/>
          <w:sz w:val="20"/>
          <w:szCs w:val="20"/>
        </w:rPr>
        <w:t xml:space="preserve"> in the UK</w:t>
      </w:r>
      <w:r w:rsidR="00862348" w:rsidRPr="00693035">
        <w:rPr>
          <w:rFonts w:cstheme="minorHAnsi"/>
          <w:sz w:val="20"/>
          <w:szCs w:val="20"/>
        </w:rPr>
        <w:t>,</w:t>
      </w:r>
      <w:r w:rsidR="0011150A" w:rsidRPr="00693035">
        <w:rPr>
          <w:rFonts w:cstheme="minorHAnsi"/>
          <w:sz w:val="20"/>
          <w:szCs w:val="20"/>
        </w:rPr>
        <w:t xml:space="preserve"> compared to the rest of Europe. This would result in fewer presentations to primary care</w:t>
      </w:r>
      <w:r w:rsidR="004E6E43" w:rsidRPr="00693035">
        <w:rPr>
          <w:rFonts w:cstheme="minorHAnsi"/>
          <w:sz w:val="20"/>
          <w:szCs w:val="20"/>
        </w:rPr>
        <w:t xml:space="preserve">, </w:t>
      </w:r>
      <w:r w:rsidR="0011150A" w:rsidRPr="00693035">
        <w:rPr>
          <w:rFonts w:cstheme="minorHAnsi"/>
          <w:sz w:val="20"/>
          <w:szCs w:val="20"/>
        </w:rPr>
        <w:t xml:space="preserve">the potential for mis-diagnosis and a resultant underreporting of cases. </w:t>
      </w:r>
    </w:p>
    <w:p w14:paraId="69C27D33" w14:textId="7B1B051A" w:rsidR="00463F7D" w:rsidRDefault="00463F7D" w:rsidP="00463F7D">
      <w:pPr>
        <w:spacing w:line="480" w:lineRule="auto"/>
        <w:jc w:val="both"/>
        <w:rPr>
          <w:rFonts w:cstheme="minorHAnsi"/>
          <w:sz w:val="20"/>
          <w:szCs w:val="20"/>
        </w:rPr>
      </w:pPr>
      <w:bookmarkStart w:id="28" w:name="_Hlk528759052"/>
      <w:r w:rsidRPr="001301F9">
        <w:rPr>
          <w:rFonts w:cstheme="minorHAnsi"/>
          <w:sz w:val="20"/>
          <w:szCs w:val="20"/>
        </w:rPr>
        <w:t>These differences</w:t>
      </w:r>
      <w:r>
        <w:rPr>
          <w:rFonts w:cstheme="minorHAnsi"/>
          <w:sz w:val="20"/>
          <w:szCs w:val="20"/>
        </w:rPr>
        <w:t xml:space="preserve"> in incidence</w:t>
      </w:r>
      <w:r w:rsidRPr="001301F9">
        <w:rPr>
          <w:rFonts w:cstheme="minorHAnsi"/>
          <w:sz w:val="20"/>
          <w:szCs w:val="20"/>
        </w:rPr>
        <w:t xml:space="preserve"> </w:t>
      </w:r>
      <w:r w:rsidR="002C5A28">
        <w:rPr>
          <w:rFonts w:cstheme="minorHAnsi"/>
          <w:sz w:val="20"/>
          <w:szCs w:val="20"/>
        </w:rPr>
        <w:t xml:space="preserve">of new diagnosis </w:t>
      </w:r>
      <w:r w:rsidRPr="001301F9">
        <w:rPr>
          <w:rFonts w:cstheme="minorHAnsi"/>
          <w:sz w:val="20"/>
          <w:szCs w:val="20"/>
        </w:rPr>
        <w:t xml:space="preserve">between nations are notable and likely to be multifactorial. Scottish GPs may be more confident in diagnosing a case of Lyme disease, due to the higher prevalence of Lyme disease compared to England and Wales </w:t>
      </w:r>
      <w:r w:rsidRPr="001301F9">
        <w:rPr>
          <w:rFonts w:cstheme="minorHAnsi"/>
          <w:sz w:val="20"/>
          <w:szCs w:val="20"/>
        </w:rPr>
        <w:fldChar w:fldCharType="begin" w:fldLock="1"/>
      </w:r>
      <w:r w:rsidR="006A4A4F">
        <w:rPr>
          <w:rFonts w:cstheme="minorHAnsi"/>
          <w:sz w:val="20"/>
          <w:szCs w:val="20"/>
        </w:rPr>
        <w:instrText>ADDIN CSL_CITATION {"citationItems":[{"id":"ITEM-1","itemData":{"URL":"https://www.gov.uk/government/publications/zoonoses-uk-annual-reports","accessed":{"date-parts":[["2017","11","3"]]},"author":[{"dropping-particle":"","family":"Public Health England","given":"","non-dropping-particle":"","parse-names":false,"suffix":""}],"id":"ITEM-1","issued":{"date-parts":[["2017"]]},"title":"Zoonoses: UK annual reports","type":"webpage"},"uris":["http://www.mendeley.com/documents/?uuid=bed4d186-34ed-46c8-a948-bab86db66acb"]}],"mendeley":{"formattedCitation":"(8)","plainTextFormattedCitation":"(8)","previouslyFormattedCitation":"(8)"},"properties":{"noteIndex":0},"schema":"https://github.com/citation-style-language/schema/raw/master/csl-citation.json"}</w:instrText>
      </w:r>
      <w:r w:rsidRPr="001301F9">
        <w:rPr>
          <w:rFonts w:cstheme="minorHAnsi"/>
          <w:sz w:val="20"/>
          <w:szCs w:val="20"/>
        </w:rPr>
        <w:fldChar w:fldCharType="separate"/>
      </w:r>
      <w:r w:rsidR="006A4A4F" w:rsidRPr="006A4A4F">
        <w:rPr>
          <w:rFonts w:cstheme="minorHAnsi"/>
          <w:noProof/>
          <w:sz w:val="20"/>
          <w:szCs w:val="20"/>
        </w:rPr>
        <w:t>(8)</w:t>
      </w:r>
      <w:r w:rsidRPr="001301F9">
        <w:rPr>
          <w:rFonts w:cstheme="minorHAnsi"/>
          <w:sz w:val="20"/>
          <w:szCs w:val="20"/>
        </w:rPr>
        <w:fldChar w:fldCharType="end"/>
      </w:r>
      <w:r w:rsidRPr="001301F9">
        <w:rPr>
          <w:rFonts w:cstheme="minorHAnsi"/>
          <w:sz w:val="20"/>
          <w:szCs w:val="20"/>
        </w:rPr>
        <w:t xml:space="preserve">, and so manage more patients within primary care without submitting samples for serological testing. English and Welsh GPs could be more reluctant to diagnose and treat Lyme disease cases and may refer cases to secondary care sooner than their Scottish equivalents. There may be differences in patient access to primary care or differences in health-seeking behaviour between the different nations, dependent on differing clinical presentations. Further analysis of the THIN database may provide </w:t>
      </w:r>
      <w:r w:rsidRPr="001301F9">
        <w:rPr>
          <w:rFonts w:cstheme="minorHAnsi"/>
          <w:sz w:val="20"/>
          <w:szCs w:val="20"/>
        </w:rPr>
        <w:lastRenderedPageBreak/>
        <w:t>information about case referrals, and differences in case presentation and management. However, the exploration of differences in GP recording or patient behaviour would best conducted through qualitative research.</w:t>
      </w:r>
      <w:r>
        <w:rPr>
          <w:rFonts w:cstheme="minorHAnsi"/>
          <w:sz w:val="20"/>
          <w:szCs w:val="20"/>
        </w:rPr>
        <w:t xml:space="preserve"> </w:t>
      </w:r>
      <w:bookmarkEnd w:id="28"/>
    </w:p>
    <w:p w14:paraId="59F6C4B8" w14:textId="2801F840" w:rsidR="00653109" w:rsidRDefault="00A51267" w:rsidP="00D21417">
      <w:pPr>
        <w:spacing w:line="480" w:lineRule="auto"/>
        <w:jc w:val="both"/>
        <w:rPr>
          <w:rFonts w:cstheme="minorHAnsi"/>
          <w:sz w:val="20"/>
          <w:szCs w:val="20"/>
          <w:highlight w:val="yellow"/>
        </w:rPr>
      </w:pPr>
      <w:r w:rsidRPr="001301F9">
        <w:rPr>
          <w:rFonts w:cstheme="minorHAnsi"/>
          <w:sz w:val="20"/>
          <w:szCs w:val="20"/>
        </w:rPr>
        <w:t xml:space="preserve">The incidence figures are notable higher than those reported in current surveillance figures based on laboratory </w:t>
      </w:r>
      <w:r w:rsidR="00B34CD5" w:rsidRPr="001301F9">
        <w:rPr>
          <w:rFonts w:cstheme="minorHAnsi"/>
          <w:sz w:val="20"/>
          <w:szCs w:val="20"/>
        </w:rPr>
        <w:t>confirmed cases</w:t>
      </w:r>
      <w:r w:rsidR="006A4A4F">
        <w:rPr>
          <w:rFonts w:cstheme="minorHAnsi"/>
          <w:sz w:val="20"/>
          <w:szCs w:val="20"/>
        </w:rPr>
        <w:t xml:space="preserve"> </w:t>
      </w:r>
      <w:r w:rsidR="006A4A4F">
        <w:rPr>
          <w:rFonts w:cstheme="minorHAnsi"/>
          <w:sz w:val="20"/>
          <w:szCs w:val="20"/>
        </w:rPr>
        <w:fldChar w:fldCharType="begin" w:fldLock="1"/>
      </w:r>
      <w:r w:rsidR="006C64E3">
        <w:rPr>
          <w:rFonts w:cstheme="minorHAnsi"/>
          <w:sz w:val="20"/>
          <w:szCs w:val="20"/>
        </w:rPr>
        <w:instrText>ADDIN CSL_CITATION {"citationItems":[{"id":"ITEM-1","itemData":{"author":[{"dropping-particle":"","family":"Tulloch","given":"J. S. P.","non-dropping-particle":"","parse-names":false,"suffix":""},{"dropping-particle":"","family":"Semper","given":"A","non-dropping-particle":"","parse-names":false,"suffix":""},{"dropping-particle":"","family":"Brooks","given":"T","non-dropping-particle":"","parse-names":false,"suffix":""},{"dropping-particle":"","family":"Russell","given":"K","non-dropping-particle":"","parse-names":false,"suffix":""},{"dropping-particle":"","family":"Halsby","given":"K","non-dropping-particle":"","parse-names":false,"suffix":""},{"dropping-particle":"","family":"Christley","given":"R","non-dropping-particle":"","parse-names":false,"suffix":""},{"dropping-particle":"","family":"Radford","given":"A","non-dropping-particle":"","parse-names":false,"suffix":""},{"dropping-particle":"","family":"Vivancos","given":"R","non-dropping-particle":"","parse-names":false,"suffix":""},{"dropping-particle":"","family":"Warner","given":"J","non-dropping-particle":"","parse-names":false,"suffix":""}],"container-title":"BMJ Open","id":"ITEM-1","issued":{"date-parts":[["2019"]]},"title":"The demographics and geographic distribution of laboratory-confirmed Lyme disease cases in England and Wales (2013-2016): an ecological study","type":"article-journal"},"uris":["http://www.mendeley.com/documents/?uuid=e4a3e3e9-ceb1-41a8-ae79-31e73bc578a3"]}],"mendeley":{"formattedCitation":"(11)","plainTextFormattedCitation":"(11)","previouslyFormattedCitation":"(11)"},"properties":{"noteIndex":0},"schema":"https://github.com/citation-style-language/schema/raw/master/csl-citation.json"}</w:instrText>
      </w:r>
      <w:r w:rsidR="006A4A4F">
        <w:rPr>
          <w:rFonts w:cstheme="minorHAnsi"/>
          <w:sz w:val="20"/>
          <w:szCs w:val="20"/>
        </w:rPr>
        <w:fldChar w:fldCharType="separate"/>
      </w:r>
      <w:r w:rsidR="006A4A4F" w:rsidRPr="006A4A4F">
        <w:rPr>
          <w:rFonts w:cstheme="minorHAnsi"/>
          <w:noProof/>
          <w:sz w:val="20"/>
          <w:szCs w:val="20"/>
        </w:rPr>
        <w:t>(11)</w:t>
      </w:r>
      <w:r w:rsidR="006A4A4F">
        <w:rPr>
          <w:rFonts w:cstheme="minorHAnsi"/>
          <w:sz w:val="20"/>
          <w:szCs w:val="20"/>
        </w:rPr>
        <w:fldChar w:fldCharType="end"/>
      </w:r>
      <w:r w:rsidR="00B34CD5" w:rsidRPr="001301F9">
        <w:rPr>
          <w:rFonts w:cstheme="minorHAnsi"/>
          <w:sz w:val="20"/>
          <w:szCs w:val="20"/>
        </w:rPr>
        <w:t xml:space="preserve">. The laboratory confirmed incidence of Lyme disease in </w:t>
      </w:r>
      <w:r w:rsidRPr="001301F9">
        <w:rPr>
          <w:rFonts w:cstheme="minorHAnsi"/>
          <w:sz w:val="20"/>
          <w:szCs w:val="20"/>
        </w:rPr>
        <w:t>England and Wales</w:t>
      </w:r>
      <w:r w:rsidR="00B34CD5" w:rsidRPr="001301F9">
        <w:rPr>
          <w:rFonts w:cstheme="minorHAnsi"/>
          <w:sz w:val="20"/>
          <w:szCs w:val="20"/>
        </w:rPr>
        <w:t xml:space="preserve"> in 2016 was 1.95 cases per 100</w:t>
      </w:r>
      <w:r w:rsidR="00421806">
        <w:rPr>
          <w:rFonts w:cstheme="minorHAnsi"/>
          <w:sz w:val="20"/>
          <w:szCs w:val="20"/>
        </w:rPr>
        <w:t xml:space="preserve"> </w:t>
      </w:r>
      <w:r w:rsidR="00B34CD5" w:rsidRPr="001301F9">
        <w:rPr>
          <w:rFonts w:cstheme="minorHAnsi"/>
          <w:sz w:val="20"/>
          <w:szCs w:val="20"/>
        </w:rPr>
        <w:t>000 (95%CI 1.84-2.06)</w:t>
      </w:r>
      <w:r w:rsidR="00587E84" w:rsidRPr="001301F9">
        <w:rPr>
          <w:rFonts w:cstheme="minorHAnsi"/>
          <w:sz w:val="20"/>
          <w:szCs w:val="20"/>
        </w:rPr>
        <w:t xml:space="preserve"> </w:t>
      </w:r>
      <w:r w:rsidR="00587E84" w:rsidRPr="001301F9">
        <w:rPr>
          <w:rFonts w:cstheme="minorHAnsi"/>
          <w:sz w:val="20"/>
          <w:szCs w:val="20"/>
        </w:rPr>
        <w:fldChar w:fldCharType="begin" w:fldLock="1"/>
      </w:r>
      <w:r w:rsidR="006A4A4F">
        <w:rPr>
          <w:rFonts w:cstheme="minorHAnsi"/>
          <w:sz w:val="20"/>
          <w:szCs w:val="20"/>
        </w:rPr>
        <w:instrText>ADDIN CSL_CITATION {"citationItems":[{"id":"ITEM-1","itemData":{"URL":"https://www.gov.uk/government/publications/zoonoses-uk-annual-reports","accessed":{"date-parts":[["2017","11","3"]]},"author":[{"dropping-particle":"","family":"Public Health England","given":"","non-dropping-particle":"","parse-names":false,"suffix":""}],"id":"ITEM-1","issued":{"date-parts":[["2017"]]},"title":"Zoonoses: UK annual reports","type":"webpage"},"uris":["http://www.mendeley.com/documents/?uuid=bed4d186-34ed-46c8-a948-bab86db66acb"]},{"id":"ITEM-2","itemData":{"author":[{"dropping-particle":"","family":"Mavin","given":"S","non-dropping-particle":"","parse-names":false,"suffix":""},{"dropping-particle":"","family":"Evans","given":"R","non-dropping-particle":"","parse-names":false,"suffix":""}],"id":"ITEM-2","issue":"January 2008","issued":{"date-parts":[["2015"]]},"page":"196-200","title":"clinical Distribution and presentation of Lyme borreliosis in Scotland – analysis of data from a national testing laboratory","type":"article-journal"},"uris":["http://www.mendeley.com/documents/?uuid=b50e2580-ae06-4a82-9ef5-ebfb7363d0a7"]},{"id":"ITEM-3","itemData":{"id":"ITEM-3","issued":{"date-parts":[["0"]]},"page":"http://www.hps.scot.nhs.uk/giz/lymedisease.aspx","title":"Health Protection Scotland - Lyme disease","type":"webpage"},"uris":["http://www.mendeley.com/documents/?uuid=0581f993-1eb0-4eaf-af92-820b28a979ef"]}],"mendeley":{"formattedCitation":"(8–10)","plainTextFormattedCitation":"(8–10)","previouslyFormattedCitation":"(8–10)"},"properties":{"noteIndex":0},"schema":"https://github.com/citation-style-language/schema/raw/master/csl-citation.json"}</w:instrText>
      </w:r>
      <w:r w:rsidR="00587E84" w:rsidRPr="001301F9">
        <w:rPr>
          <w:rFonts w:cstheme="minorHAnsi"/>
          <w:sz w:val="20"/>
          <w:szCs w:val="20"/>
        </w:rPr>
        <w:fldChar w:fldCharType="separate"/>
      </w:r>
      <w:r w:rsidR="006A4A4F" w:rsidRPr="006A4A4F">
        <w:rPr>
          <w:rFonts w:cstheme="minorHAnsi"/>
          <w:noProof/>
          <w:sz w:val="20"/>
          <w:szCs w:val="20"/>
        </w:rPr>
        <w:t>(8–10)</w:t>
      </w:r>
      <w:r w:rsidR="00587E84" w:rsidRPr="001301F9">
        <w:rPr>
          <w:rFonts w:cstheme="minorHAnsi"/>
          <w:sz w:val="20"/>
          <w:szCs w:val="20"/>
        </w:rPr>
        <w:fldChar w:fldCharType="end"/>
      </w:r>
      <w:r w:rsidR="00B34CD5" w:rsidRPr="001301F9">
        <w:rPr>
          <w:rFonts w:cstheme="minorHAnsi"/>
          <w:sz w:val="20"/>
          <w:szCs w:val="20"/>
        </w:rPr>
        <w:t xml:space="preserve">, whilst that identified in </w:t>
      </w:r>
      <w:r w:rsidR="00B34CD5" w:rsidRPr="00311402">
        <w:rPr>
          <w:rFonts w:cstheme="minorHAnsi"/>
          <w:sz w:val="20"/>
          <w:szCs w:val="20"/>
        </w:rPr>
        <w:t xml:space="preserve">THIN was </w:t>
      </w:r>
      <w:r w:rsidR="00311402" w:rsidRPr="000E6532">
        <w:rPr>
          <w:rFonts w:cstheme="minorHAnsi"/>
          <w:sz w:val="20"/>
          <w:szCs w:val="20"/>
        </w:rPr>
        <w:t>3.</w:t>
      </w:r>
      <w:r w:rsidR="000E6532" w:rsidRPr="000E6532">
        <w:rPr>
          <w:rFonts w:cstheme="minorHAnsi"/>
          <w:sz w:val="20"/>
          <w:szCs w:val="20"/>
        </w:rPr>
        <w:t>06</w:t>
      </w:r>
      <w:r w:rsidR="00B34CD5" w:rsidRPr="000E6532">
        <w:rPr>
          <w:rFonts w:cstheme="minorHAnsi"/>
          <w:sz w:val="20"/>
          <w:szCs w:val="20"/>
        </w:rPr>
        <w:t xml:space="preserve"> (95%CI </w:t>
      </w:r>
      <w:r w:rsidR="000E6532" w:rsidRPr="000E6532">
        <w:rPr>
          <w:rFonts w:cstheme="minorHAnsi"/>
          <w:sz w:val="20"/>
          <w:szCs w:val="20"/>
        </w:rPr>
        <w:t>2.47</w:t>
      </w:r>
      <w:r w:rsidR="00311402" w:rsidRPr="000E6532">
        <w:rPr>
          <w:rFonts w:cstheme="minorHAnsi"/>
          <w:sz w:val="20"/>
          <w:szCs w:val="20"/>
        </w:rPr>
        <w:t>-</w:t>
      </w:r>
      <w:r w:rsidR="000E6532" w:rsidRPr="000E6532">
        <w:rPr>
          <w:rFonts w:cstheme="minorHAnsi"/>
          <w:sz w:val="20"/>
          <w:szCs w:val="20"/>
        </w:rPr>
        <w:t>3.75</w:t>
      </w:r>
      <w:r w:rsidR="00B34CD5" w:rsidRPr="000E6532">
        <w:rPr>
          <w:rFonts w:cstheme="minorHAnsi"/>
          <w:sz w:val="20"/>
          <w:szCs w:val="20"/>
        </w:rPr>
        <w:t>).</w:t>
      </w:r>
      <w:r w:rsidR="00B34CD5" w:rsidRPr="001301F9">
        <w:rPr>
          <w:rFonts w:cstheme="minorHAnsi"/>
          <w:sz w:val="20"/>
          <w:szCs w:val="20"/>
        </w:rPr>
        <w:t xml:space="preserve"> The laboratory confirmed incidence of Lyme disease in Scotland in 2016 was 3.15 cases per 100,000 (95%CI 2.70-3.65)</w:t>
      </w:r>
      <w:r w:rsidR="00587E84" w:rsidRPr="001301F9">
        <w:rPr>
          <w:rFonts w:cstheme="minorHAnsi"/>
          <w:sz w:val="20"/>
          <w:szCs w:val="20"/>
        </w:rPr>
        <w:t xml:space="preserve"> </w:t>
      </w:r>
      <w:r w:rsidR="00587E84" w:rsidRPr="001301F9">
        <w:rPr>
          <w:rFonts w:cstheme="minorHAnsi"/>
          <w:sz w:val="20"/>
          <w:szCs w:val="20"/>
        </w:rPr>
        <w:fldChar w:fldCharType="begin" w:fldLock="1"/>
      </w:r>
      <w:r w:rsidR="006A4A4F">
        <w:rPr>
          <w:rFonts w:cstheme="minorHAnsi"/>
          <w:sz w:val="20"/>
          <w:szCs w:val="20"/>
        </w:rPr>
        <w:instrText>ADDIN CSL_CITATION {"citationItems":[{"id":"ITEM-1","itemData":{"URL":"https://www.gov.uk/government/publications/zoonoses-uk-annual-reports","accessed":{"date-parts":[["2017","11","3"]]},"author":[{"dropping-particle":"","family":"Public Health England","given":"","non-dropping-particle":"","parse-names":false,"suffix":""}],"id":"ITEM-1","issued":{"date-parts":[["2017"]]},"title":"Zoonoses: UK annual reports","type":"webpage"},"uris":["http://www.mendeley.com/documents/?uuid=bed4d186-34ed-46c8-a948-bab86db66acb"]},{"id":"ITEM-2","itemData":{"author":[{"dropping-particle":"","family":"Mavin","given":"S","non-dropping-particle":"","parse-names":false,"suffix":""},{"dropping-particle":"","family":"Evans","given":"R","non-dropping-particle":"","parse-names":false,"suffix":""}],"id":"ITEM-2","issue":"January 2008","issued":{"date-parts":[["2015"]]},"page":"196-200","title":"clinical Distribution and presentation of Lyme borreliosis in Scotland – analysis of data from a national testing laboratory","type":"article-journal"},"uris":["http://www.mendeley.com/documents/?uuid=b50e2580-ae06-4a82-9ef5-ebfb7363d0a7"]},{"id":"ITEM-3","itemData":{"id":"ITEM-3","issued":{"date-parts":[["0"]]},"page":"http://www.hps.scot.nhs.uk/giz/lymedisease.aspx","title":"Health Protection Scotland - Lyme disease","type":"webpage"},"uris":["http://www.mendeley.com/documents/?uuid=0581f993-1eb0-4eaf-af92-820b28a979ef"]}],"mendeley":{"formattedCitation":"(8–10)","plainTextFormattedCitation":"(8–10)","previouslyFormattedCitation":"(8–10)"},"properties":{"noteIndex":0},"schema":"https://github.com/citation-style-language/schema/raw/master/csl-citation.json"}</w:instrText>
      </w:r>
      <w:r w:rsidR="00587E84" w:rsidRPr="001301F9">
        <w:rPr>
          <w:rFonts w:cstheme="minorHAnsi"/>
          <w:sz w:val="20"/>
          <w:szCs w:val="20"/>
        </w:rPr>
        <w:fldChar w:fldCharType="separate"/>
      </w:r>
      <w:r w:rsidR="006A4A4F" w:rsidRPr="006A4A4F">
        <w:rPr>
          <w:rFonts w:cstheme="minorHAnsi"/>
          <w:noProof/>
          <w:sz w:val="20"/>
          <w:szCs w:val="20"/>
        </w:rPr>
        <w:t>(8–10)</w:t>
      </w:r>
      <w:r w:rsidR="00587E84" w:rsidRPr="001301F9">
        <w:rPr>
          <w:rFonts w:cstheme="minorHAnsi"/>
          <w:sz w:val="20"/>
          <w:szCs w:val="20"/>
        </w:rPr>
        <w:fldChar w:fldCharType="end"/>
      </w:r>
      <w:r w:rsidR="00B34CD5" w:rsidRPr="001301F9">
        <w:rPr>
          <w:rFonts w:cstheme="minorHAnsi"/>
          <w:sz w:val="20"/>
          <w:szCs w:val="20"/>
        </w:rPr>
        <w:t xml:space="preserve">, in THIN </w:t>
      </w:r>
      <w:r w:rsidR="00875C54" w:rsidRPr="001301F9">
        <w:rPr>
          <w:rFonts w:cstheme="minorHAnsi"/>
          <w:sz w:val="20"/>
          <w:szCs w:val="20"/>
        </w:rPr>
        <w:t xml:space="preserve">it </w:t>
      </w:r>
      <w:r w:rsidR="00B34CD5" w:rsidRPr="001301F9">
        <w:rPr>
          <w:rFonts w:cstheme="minorHAnsi"/>
          <w:sz w:val="20"/>
          <w:szCs w:val="20"/>
        </w:rPr>
        <w:t xml:space="preserve">was </w:t>
      </w:r>
      <w:r w:rsidR="00311402">
        <w:rPr>
          <w:rFonts w:cstheme="minorHAnsi"/>
          <w:sz w:val="20"/>
          <w:szCs w:val="20"/>
        </w:rPr>
        <w:t>10.</w:t>
      </w:r>
      <w:r w:rsidR="00311402" w:rsidRPr="00311402">
        <w:rPr>
          <w:rFonts w:cstheme="minorHAnsi"/>
          <w:sz w:val="20"/>
          <w:szCs w:val="20"/>
        </w:rPr>
        <w:t>74</w:t>
      </w:r>
      <w:r w:rsidR="00587E84" w:rsidRPr="00311402">
        <w:rPr>
          <w:rFonts w:cstheme="minorHAnsi"/>
          <w:sz w:val="20"/>
          <w:szCs w:val="20"/>
        </w:rPr>
        <w:t xml:space="preserve"> (95%CI </w:t>
      </w:r>
      <w:r w:rsidR="00311402" w:rsidRPr="00311402">
        <w:rPr>
          <w:rFonts w:cstheme="minorHAnsi"/>
          <w:sz w:val="20"/>
          <w:szCs w:val="20"/>
        </w:rPr>
        <w:t>8.94-12.80</w:t>
      </w:r>
      <w:r w:rsidR="00CF36AC" w:rsidRPr="00311402">
        <w:rPr>
          <w:rFonts w:cstheme="minorHAnsi"/>
          <w:sz w:val="20"/>
          <w:szCs w:val="20"/>
        </w:rPr>
        <w:t>).</w:t>
      </w:r>
      <w:r w:rsidR="00587E84" w:rsidRPr="001301F9">
        <w:rPr>
          <w:rFonts w:cstheme="minorHAnsi"/>
          <w:sz w:val="20"/>
          <w:szCs w:val="20"/>
        </w:rPr>
        <w:t xml:space="preserve"> The laboratory confirmed incidence of Lyme disease in Northern Ireland in 2016 was 0.21 cases per 100</w:t>
      </w:r>
      <w:r w:rsidR="00421806">
        <w:rPr>
          <w:rFonts w:cstheme="minorHAnsi"/>
          <w:sz w:val="20"/>
          <w:szCs w:val="20"/>
        </w:rPr>
        <w:t xml:space="preserve"> </w:t>
      </w:r>
      <w:r w:rsidR="00587E84" w:rsidRPr="001301F9">
        <w:rPr>
          <w:rFonts w:cstheme="minorHAnsi"/>
          <w:sz w:val="20"/>
          <w:szCs w:val="20"/>
        </w:rPr>
        <w:t xml:space="preserve">000 (95%CI 0.07-0.52) </w:t>
      </w:r>
      <w:r w:rsidR="00587E84" w:rsidRPr="001301F9">
        <w:rPr>
          <w:rFonts w:cstheme="minorHAnsi"/>
          <w:sz w:val="20"/>
          <w:szCs w:val="20"/>
        </w:rPr>
        <w:fldChar w:fldCharType="begin" w:fldLock="1"/>
      </w:r>
      <w:r w:rsidR="006A4A4F">
        <w:rPr>
          <w:rFonts w:cstheme="minorHAnsi"/>
          <w:sz w:val="20"/>
          <w:szCs w:val="20"/>
        </w:rPr>
        <w:instrText>ADDIN CSL_CITATION {"citationItems":[{"id":"ITEM-1","itemData":{"URL":"https://www.gov.uk/government/publications/zoonoses-uk-annual-reports","accessed":{"date-parts":[["2017","11","3"]]},"author":[{"dropping-particle":"","family":"Public Health England","given":"","non-dropping-particle":"","parse-names":false,"suffix":""}],"id":"ITEM-1","issued":{"date-parts":[["2017"]]},"title":"Zoonoses: UK annual reports","type":"webpage"},"uris":["http://www.mendeley.com/documents/?uuid=bed4d186-34ed-46c8-a948-bab86db66acb"]},{"id":"ITEM-2","itemData":{"author":[{"dropping-particle":"","family":"Mavin","given":"S","non-dropping-particle":"","parse-names":false,"suffix":""},{"dropping-particle":"","family":"Evans","given":"R","non-dropping-particle":"","parse-names":false,"suffix":""}],"id":"ITEM-2","issue":"January 2008","issued":{"date-parts":[["2015"]]},"page":"196-200","title":"clinical Distribution and presentation of Lyme borreliosis in Scotland – analysis of data from a national testing laboratory","type":"article-journal"},"uris":["http://www.mendeley.com/documents/?uuid=b50e2580-ae06-4a82-9ef5-ebfb7363d0a7"]},{"id":"ITEM-3","itemData":{"id":"ITEM-3","issued":{"date-parts":[["0"]]},"page":"http://www.hps.scot.nhs.uk/giz/lymedisease.aspx","title":"Health Protection Scotland - Lyme disease","type":"webpage"},"uris":["http://www.mendeley.com/documents/?uuid=0581f993-1eb0-4eaf-af92-820b28a979ef"]}],"mendeley":{"formattedCitation":"(8–10)","plainTextFormattedCitation":"(8–10)","previouslyFormattedCitation":"(8–10)"},"properties":{"noteIndex":0},"schema":"https://github.com/citation-style-language/schema/raw/master/csl-citation.json"}</w:instrText>
      </w:r>
      <w:r w:rsidR="00587E84" w:rsidRPr="001301F9">
        <w:rPr>
          <w:rFonts w:cstheme="minorHAnsi"/>
          <w:sz w:val="20"/>
          <w:szCs w:val="20"/>
        </w:rPr>
        <w:fldChar w:fldCharType="separate"/>
      </w:r>
      <w:r w:rsidR="006A4A4F" w:rsidRPr="006A4A4F">
        <w:rPr>
          <w:rFonts w:cstheme="minorHAnsi"/>
          <w:noProof/>
          <w:sz w:val="20"/>
          <w:szCs w:val="20"/>
        </w:rPr>
        <w:t>(8–10)</w:t>
      </w:r>
      <w:r w:rsidR="00587E84" w:rsidRPr="001301F9">
        <w:rPr>
          <w:rFonts w:cstheme="minorHAnsi"/>
          <w:sz w:val="20"/>
          <w:szCs w:val="20"/>
        </w:rPr>
        <w:fldChar w:fldCharType="end"/>
      </w:r>
      <w:r w:rsidR="00587E84" w:rsidRPr="001301F9">
        <w:rPr>
          <w:rFonts w:cstheme="minorHAnsi"/>
          <w:sz w:val="20"/>
          <w:szCs w:val="20"/>
        </w:rPr>
        <w:t xml:space="preserve">, in THIN </w:t>
      </w:r>
      <w:r w:rsidR="00875C54" w:rsidRPr="00311402">
        <w:rPr>
          <w:rFonts w:cstheme="minorHAnsi"/>
          <w:sz w:val="20"/>
          <w:szCs w:val="20"/>
        </w:rPr>
        <w:t xml:space="preserve">it </w:t>
      </w:r>
      <w:r w:rsidR="00587E84" w:rsidRPr="00311402">
        <w:rPr>
          <w:rFonts w:cstheme="minorHAnsi"/>
          <w:sz w:val="20"/>
          <w:szCs w:val="20"/>
        </w:rPr>
        <w:t xml:space="preserve">was </w:t>
      </w:r>
      <w:r w:rsidR="00311402">
        <w:rPr>
          <w:rFonts w:cstheme="minorHAnsi"/>
          <w:sz w:val="20"/>
          <w:szCs w:val="20"/>
        </w:rPr>
        <w:t>0.98</w:t>
      </w:r>
      <w:r w:rsidR="00587E84" w:rsidRPr="00311402">
        <w:rPr>
          <w:rFonts w:cstheme="minorHAnsi"/>
          <w:sz w:val="20"/>
          <w:szCs w:val="20"/>
        </w:rPr>
        <w:t xml:space="preserve"> (95%CI </w:t>
      </w:r>
      <w:r w:rsidR="00311402">
        <w:rPr>
          <w:rFonts w:cstheme="minorHAnsi"/>
          <w:sz w:val="20"/>
          <w:szCs w:val="20"/>
        </w:rPr>
        <w:t>0.27-2.60</w:t>
      </w:r>
      <w:r w:rsidR="00587E84" w:rsidRPr="00311402">
        <w:rPr>
          <w:rFonts w:cstheme="minorHAnsi"/>
          <w:sz w:val="20"/>
          <w:szCs w:val="20"/>
        </w:rPr>
        <w:t>).</w:t>
      </w:r>
      <w:r w:rsidR="00587E84" w:rsidRPr="001301F9">
        <w:rPr>
          <w:rFonts w:cstheme="minorHAnsi"/>
          <w:sz w:val="20"/>
          <w:szCs w:val="20"/>
        </w:rPr>
        <w:t xml:space="preserve"> </w:t>
      </w:r>
      <w:r w:rsidR="00587E84" w:rsidRPr="005760FD">
        <w:rPr>
          <w:rFonts w:cstheme="minorHAnsi"/>
          <w:sz w:val="20"/>
          <w:szCs w:val="20"/>
        </w:rPr>
        <w:t xml:space="preserve">The large non-overlapping differences suggest that the incidence described in primary care data, for each </w:t>
      </w:r>
      <w:r w:rsidR="00400E73" w:rsidRPr="005760FD">
        <w:rPr>
          <w:rFonts w:cstheme="minorHAnsi"/>
          <w:sz w:val="20"/>
          <w:szCs w:val="20"/>
        </w:rPr>
        <w:t>nation</w:t>
      </w:r>
      <w:r w:rsidR="00587E84" w:rsidRPr="005760FD">
        <w:rPr>
          <w:rFonts w:cstheme="minorHAnsi"/>
          <w:sz w:val="20"/>
          <w:szCs w:val="20"/>
        </w:rPr>
        <w:t xml:space="preserve"> of the UK, was significantly larger than that described by official laboratory confirmed cases. </w:t>
      </w:r>
      <w:r w:rsidR="005760FD" w:rsidRPr="005760FD">
        <w:rPr>
          <w:rFonts w:cstheme="minorHAnsi"/>
          <w:sz w:val="20"/>
          <w:szCs w:val="20"/>
        </w:rPr>
        <w:t>The exception was Northern Ireland, which may be due to the sparsity of Northern Irish cases in the THIN dataset.</w:t>
      </w:r>
    </w:p>
    <w:p w14:paraId="722A637B" w14:textId="2A369DCE" w:rsidR="009C5EA2" w:rsidRDefault="00220283" w:rsidP="00D21417">
      <w:pPr>
        <w:spacing w:line="480" w:lineRule="auto"/>
        <w:jc w:val="both"/>
        <w:rPr>
          <w:rFonts w:cstheme="minorHAnsi"/>
          <w:sz w:val="20"/>
          <w:szCs w:val="20"/>
        </w:rPr>
      </w:pPr>
      <w:r w:rsidRPr="0021361A">
        <w:rPr>
          <w:rFonts w:cstheme="minorHAnsi"/>
          <w:sz w:val="20"/>
          <w:szCs w:val="20"/>
        </w:rPr>
        <w:t xml:space="preserve"> </w:t>
      </w:r>
      <w:bookmarkStart w:id="29" w:name="_Hlk32914326"/>
      <w:r w:rsidRPr="0021361A">
        <w:rPr>
          <w:rFonts w:cstheme="minorHAnsi"/>
          <w:sz w:val="20"/>
          <w:szCs w:val="20"/>
        </w:rPr>
        <w:t>The mean annual ratio between primary care and laboratory confi</w:t>
      </w:r>
      <w:r w:rsidR="00EF4FC5">
        <w:rPr>
          <w:rFonts w:cstheme="minorHAnsi"/>
          <w:sz w:val="20"/>
          <w:szCs w:val="20"/>
        </w:rPr>
        <w:t>r</w:t>
      </w:r>
      <w:r w:rsidRPr="0021361A">
        <w:rPr>
          <w:rFonts w:cstheme="minorHAnsi"/>
          <w:sz w:val="20"/>
          <w:szCs w:val="20"/>
        </w:rPr>
        <w:t>med incidence figures (2.35</w:t>
      </w:r>
      <w:r w:rsidR="00BA0D28" w:rsidRPr="0021361A">
        <w:rPr>
          <w:rFonts w:cstheme="minorHAnsi"/>
          <w:sz w:val="20"/>
          <w:szCs w:val="20"/>
        </w:rPr>
        <w:t xml:space="preserve"> (95%CI 1.81-2.88)</w:t>
      </w:r>
      <w:r w:rsidRPr="0021361A">
        <w:rPr>
          <w:rFonts w:cstheme="minorHAnsi"/>
          <w:sz w:val="20"/>
          <w:szCs w:val="20"/>
        </w:rPr>
        <w:t>)</w:t>
      </w:r>
      <w:r w:rsidR="00AF328C" w:rsidRPr="0021361A">
        <w:rPr>
          <w:rFonts w:cstheme="minorHAnsi"/>
          <w:sz w:val="20"/>
          <w:szCs w:val="20"/>
        </w:rPr>
        <w:t xml:space="preserve"> suggest</w:t>
      </w:r>
      <w:r w:rsidR="009C5EA2" w:rsidRPr="0021361A">
        <w:rPr>
          <w:rFonts w:cstheme="minorHAnsi"/>
          <w:sz w:val="20"/>
          <w:szCs w:val="20"/>
        </w:rPr>
        <w:t xml:space="preserve"> that for every laboratory-confirmed case there are</w:t>
      </w:r>
      <w:r w:rsidR="00371B7A" w:rsidRPr="0021361A">
        <w:rPr>
          <w:rFonts w:cstheme="minorHAnsi"/>
          <w:sz w:val="20"/>
          <w:szCs w:val="20"/>
        </w:rPr>
        <w:t xml:space="preserve"> about</w:t>
      </w:r>
      <w:r w:rsidR="00EF4FC5">
        <w:rPr>
          <w:rFonts w:cstheme="minorHAnsi"/>
          <w:sz w:val="20"/>
          <w:szCs w:val="20"/>
        </w:rPr>
        <w:t xml:space="preserve"> </w:t>
      </w:r>
      <w:r w:rsidRPr="0021361A">
        <w:rPr>
          <w:rFonts w:cstheme="minorHAnsi"/>
          <w:sz w:val="20"/>
          <w:szCs w:val="20"/>
        </w:rPr>
        <w:t>two</w:t>
      </w:r>
      <w:r w:rsidR="009C5EA2" w:rsidRPr="0021361A">
        <w:rPr>
          <w:rFonts w:cstheme="minorHAnsi"/>
          <w:sz w:val="20"/>
          <w:szCs w:val="20"/>
        </w:rPr>
        <w:t xml:space="preserve"> cases </w:t>
      </w:r>
      <w:r w:rsidR="00AD5499" w:rsidRPr="0021361A">
        <w:rPr>
          <w:rFonts w:cstheme="minorHAnsi"/>
          <w:sz w:val="20"/>
          <w:szCs w:val="20"/>
        </w:rPr>
        <w:t xml:space="preserve">potentially </w:t>
      </w:r>
      <w:r w:rsidR="009C5EA2" w:rsidRPr="0021361A">
        <w:rPr>
          <w:rFonts w:cstheme="minorHAnsi"/>
          <w:sz w:val="20"/>
          <w:szCs w:val="20"/>
        </w:rPr>
        <w:t>identified within UK primary care practices</w:t>
      </w:r>
      <w:bookmarkEnd w:id="29"/>
      <w:r w:rsidR="009C5EA2" w:rsidRPr="0021361A">
        <w:rPr>
          <w:rFonts w:cstheme="minorHAnsi"/>
          <w:sz w:val="20"/>
          <w:szCs w:val="20"/>
        </w:rPr>
        <w:t xml:space="preserve">. </w:t>
      </w:r>
      <w:r w:rsidR="00587E84" w:rsidRPr="0021361A">
        <w:rPr>
          <w:rFonts w:cstheme="minorHAnsi"/>
          <w:sz w:val="20"/>
          <w:szCs w:val="20"/>
        </w:rPr>
        <w:t xml:space="preserve">This was to be expected as not </w:t>
      </w:r>
      <w:r w:rsidR="00D21417" w:rsidRPr="0021361A">
        <w:rPr>
          <w:rFonts w:cstheme="minorHAnsi"/>
          <w:sz w:val="20"/>
          <w:szCs w:val="20"/>
        </w:rPr>
        <w:t>all cases of Lyme disease (</w:t>
      </w:r>
      <w:proofErr w:type="gramStart"/>
      <w:r w:rsidR="00D21417" w:rsidRPr="0021361A">
        <w:rPr>
          <w:rFonts w:cstheme="minorHAnsi"/>
          <w:sz w:val="20"/>
          <w:szCs w:val="20"/>
        </w:rPr>
        <w:t xml:space="preserve">in particular </w:t>
      </w:r>
      <w:r w:rsidR="001F399D" w:rsidRPr="0021361A">
        <w:rPr>
          <w:rFonts w:cstheme="minorHAnsi"/>
          <w:sz w:val="20"/>
          <w:szCs w:val="20"/>
        </w:rPr>
        <w:t>those</w:t>
      </w:r>
      <w:proofErr w:type="gramEnd"/>
      <w:r w:rsidR="001F399D" w:rsidRPr="0021361A">
        <w:rPr>
          <w:rFonts w:cstheme="minorHAnsi"/>
          <w:sz w:val="20"/>
          <w:szCs w:val="20"/>
        </w:rPr>
        <w:t xml:space="preserve"> with </w:t>
      </w:r>
      <w:r w:rsidR="00D21417" w:rsidRPr="0021361A">
        <w:rPr>
          <w:rFonts w:cstheme="minorHAnsi"/>
          <w:sz w:val="20"/>
          <w:szCs w:val="20"/>
        </w:rPr>
        <w:t>erythema migrans) require confirmatory diagnostic laboratory tests.</w:t>
      </w:r>
      <w:r w:rsidR="009C5EA2" w:rsidRPr="0021361A">
        <w:rPr>
          <w:rFonts w:cstheme="minorHAnsi"/>
          <w:sz w:val="20"/>
          <w:szCs w:val="20"/>
        </w:rPr>
        <w:t xml:space="preserve"> This ratio could be used as a multiplication factor to estimate the number of annual cases seen in primary care based on laboratory confirmed cases.</w:t>
      </w:r>
      <w:r w:rsidR="009C5EA2">
        <w:rPr>
          <w:rFonts w:cstheme="minorHAnsi"/>
          <w:sz w:val="20"/>
          <w:szCs w:val="20"/>
        </w:rPr>
        <w:t xml:space="preserve"> </w:t>
      </w:r>
    </w:p>
    <w:p w14:paraId="5EEF3D7C" w14:textId="61861CD0" w:rsidR="009640F5" w:rsidRPr="00693035" w:rsidRDefault="00022387" w:rsidP="00693035">
      <w:pPr>
        <w:spacing w:line="480" w:lineRule="auto"/>
        <w:jc w:val="both"/>
        <w:rPr>
          <w:rFonts w:cstheme="minorHAnsi"/>
          <w:sz w:val="20"/>
          <w:szCs w:val="20"/>
        </w:rPr>
      </w:pPr>
      <w:r w:rsidRPr="00693035">
        <w:rPr>
          <w:rFonts w:cstheme="minorHAnsi"/>
          <w:sz w:val="20"/>
          <w:szCs w:val="20"/>
        </w:rPr>
        <w:t>The</w:t>
      </w:r>
      <w:r w:rsidR="00587CAC" w:rsidRPr="00693035">
        <w:rPr>
          <w:rFonts w:cstheme="minorHAnsi"/>
          <w:sz w:val="20"/>
          <w:szCs w:val="20"/>
        </w:rPr>
        <w:t xml:space="preserve"> rise</w:t>
      </w:r>
      <w:r w:rsidRPr="00693035">
        <w:rPr>
          <w:rFonts w:cstheme="minorHAnsi"/>
          <w:sz w:val="20"/>
          <w:szCs w:val="20"/>
        </w:rPr>
        <w:t xml:space="preserve"> in</w:t>
      </w:r>
      <w:r w:rsidR="004B6F2D" w:rsidRPr="00693035">
        <w:rPr>
          <w:rFonts w:cstheme="minorHAnsi"/>
          <w:sz w:val="20"/>
          <w:szCs w:val="20"/>
        </w:rPr>
        <w:t xml:space="preserve"> </w:t>
      </w:r>
      <w:r w:rsidR="006B02CB">
        <w:rPr>
          <w:rFonts w:cstheme="minorHAnsi"/>
          <w:sz w:val="20"/>
          <w:szCs w:val="20"/>
        </w:rPr>
        <w:t xml:space="preserve">the </w:t>
      </w:r>
      <w:r w:rsidR="004B6F2D" w:rsidRPr="00693035">
        <w:rPr>
          <w:rFonts w:cstheme="minorHAnsi"/>
          <w:sz w:val="20"/>
          <w:szCs w:val="20"/>
        </w:rPr>
        <w:t>annual</w:t>
      </w:r>
      <w:r w:rsidRPr="00693035">
        <w:rPr>
          <w:rFonts w:cstheme="minorHAnsi"/>
          <w:sz w:val="20"/>
          <w:szCs w:val="20"/>
        </w:rPr>
        <w:t xml:space="preserve"> incidence</w:t>
      </w:r>
      <w:r w:rsidR="002C5A28">
        <w:rPr>
          <w:rFonts w:cstheme="minorHAnsi"/>
          <w:sz w:val="20"/>
          <w:szCs w:val="20"/>
        </w:rPr>
        <w:t xml:space="preserve"> of </w:t>
      </w:r>
      <w:r w:rsidR="006B02CB">
        <w:rPr>
          <w:rFonts w:cstheme="minorHAnsi"/>
          <w:sz w:val="20"/>
          <w:szCs w:val="20"/>
        </w:rPr>
        <w:t xml:space="preserve">a </w:t>
      </w:r>
      <w:r w:rsidR="002C5A28">
        <w:rPr>
          <w:rFonts w:cstheme="minorHAnsi"/>
          <w:sz w:val="20"/>
          <w:szCs w:val="20"/>
        </w:rPr>
        <w:t>new diagnosis</w:t>
      </w:r>
      <w:r w:rsidR="00D366BD">
        <w:rPr>
          <w:rFonts w:cstheme="minorHAnsi"/>
          <w:sz w:val="20"/>
          <w:szCs w:val="20"/>
        </w:rPr>
        <w:t xml:space="preserve"> of Lyme disease</w:t>
      </w:r>
      <w:r w:rsidRPr="00693035">
        <w:rPr>
          <w:rFonts w:cstheme="minorHAnsi"/>
          <w:sz w:val="20"/>
          <w:szCs w:val="20"/>
        </w:rPr>
        <w:t xml:space="preserve">, and </w:t>
      </w:r>
      <w:r w:rsidR="00D366BD">
        <w:rPr>
          <w:rFonts w:cstheme="minorHAnsi"/>
          <w:sz w:val="20"/>
          <w:szCs w:val="20"/>
        </w:rPr>
        <w:t xml:space="preserve">the </w:t>
      </w:r>
      <w:r w:rsidRPr="00693035">
        <w:rPr>
          <w:rFonts w:cstheme="minorHAnsi"/>
          <w:sz w:val="20"/>
          <w:szCs w:val="20"/>
        </w:rPr>
        <w:t xml:space="preserve">differences </w:t>
      </w:r>
      <w:r w:rsidR="00DF4650" w:rsidRPr="001301F9">
        <w:rPr>
          <w:rFonts w:cstheme="minorHAnsi"/>
          <w:sz w:val="20"/>
          <w:szCs w:val="20"/>
        </w:rPr>
        <w:t>in incidence</w:t>
      </w:r>
      <w:r w:rsidR="00DF4650">
        <w:rPr>
          <w:rFonts w:cstheme="minorHAnsi"/>
          <w:sz w:val="20"/>
          <w:szCs w:val="20"/>
        </w:rPr>
        <w:t xml:space="preserve"> </w:t>
      </w:r>
      <w:r w:rsidR="00D366BD">
        <w:rPr>
          <w:rFonts w:cstheme="minorHAnsi"/>
          <w:sz w:val="20"/>
          <w:szCs w:val="20"/>
        </w:rPr>
        <w:t>with</w:t>
      </w:r>
      <w:r w:rsidRPr="00693035">
        <w:rPr>
          <w:rFonts w:cstheme="minorHAnsi"/>
          <w:sz w:val="20"/>
          <w:szCs w:val="20"/>
        </w:rPr>
        <w:t xml:space="preserve"> the laboratory datasets, could be a result of a real </w:t>
      </w:r>
      <w:r w:rsidR="000402DD" w:rsidRPr="00693035">
        <w:rPr>
          <w:rFonts w:cstheme="minorHAnsi"/>
          <w:sz w:val="20"/>
          <w:szCs w:val="20"/>
        </w:rPr>
        <w:t>increase in disease, an increasing</w:t>
      </w:r>
      <w:r w:rsidRPr="00693035">
        <w:rPr>
          <w:rFonts w:cstheme="minorHAnsi"/>
          <w:sz w:val="20"/>
          <w:szCs w:val="20"/>
        </w:rPr>
        <w:t xml:space="preserve"> awareness of the disease </w:t>
      </w:r>
      <w:r w:rsidR="00394FC5" w:rsidRPr="00693035">
        <w:rPr>
          <w:rFonts w:cstheme="minorHAnsi"/>
          <w:sz w:val="20"/>
          <w:szCs w:val="20"/>
        </w:rPr>
        <w:t>in</w:t>
      </w:r>
      <w:r w:rsidRPr="00693035">
        <w:rPr>
          <w:rFonts w:cstheme="minorHAnsi"/>
          <w:sz w:val="20"/>
          <w:szCs w:val="20"/>
        </w:rPr>
        <w:t xml:space="preserve"> the </w:t>
      </w:r>
      <w:proofErr w:type="gramStart"/>
      <w:r w:rsidRPr="00693035">
        <w:rPr>
          <w:rFonts w:cstheme="minorHAnsi"/>
          <w:sz w:val="20"/>
          <w:szCs w:val="20"/>
        </w:rPr>
        <w:t>general public</w:t>
      </w:r>
      <w:proofErr w:type="gramEnd"/>
      <w:r w:rsidRPr="00693035">
        <w:rPr>
          <w:rFonts w:cstheme="minorHAnsi"/>
          <w:sz w:val="20"/>
          <w:szCs w:val="20"/>
        </w:rPr>
        <w:t xml:space="preserve">, </w:t>
      </w:r>
      <w:r w:rsidR="00A24E6E" w:rsidRPr="00693035">
        <w:rPr>
          <w:rFonts w:cstheme="minorHAnsi"/>
          <w:sz w:val="20"/>
          <w:szCs w:val="20"/>
        </w:rPr>
        <w:t xml:space="preserve">a change in </w:t>
      </w:r>
      <w:r w:rsidRPr="00693035">
        <w:rPr>
          <w:rFonts w:cstheme="minorHAnsi"/>
          <w:sz w:val="20"/>
          <w:szCs w:val="20"/>
        </w:rPr>
        <w:t xml:space="preserve">general </w:t>
      </w:r>
      <w:r w:rsidR="00A24E6E" w:rsidRPr="00693035">
        <w:rPr>
          <w:rFonts w:cstheme="minorHAnsi"/>
          <w:sz w:val="20"/>
          <w:szCs w:val="20"/>
        </w:rPr>
        <w:t>practitioners’</w:t>
      </w:r>
      <w:r w:rsidRPr="00693035">
        <w:rPr>
          <w:rFonts w:cstheme="minorHAnsi"/>
          <w:sz w:val="20"/>
          <w:szCs w:val="20"/>
        </w:rPr>
        <w:t xml:space="preserve"> </w:t>
      </w:r>
      <w:r w:rsidR="00A24E6E" w:rsidRPr="00693035">
        <w:rPr>
          <w:rFonts w:cstheme="minorHAnsi"/>
          <w:sz w:val="20"/>
          <w:szCs w:val="20"/>
        </w:rPr>
        <w:t>behaviour resulting in the submission of</w:t>
      </w:r>
      <w:r w:rsidRPr="00693035">
        <w:rPr>
          <w:rFonts w:cstheme="minorHAnsi"/>
          <w:sz w:val="20"/>
          <w:szCs w:val="20"/>
        </w:rPr>
        <w:t xml:space="preserve"> fewer </w:t>
      </w:r>
      <w:r w:rsidR="00A24E6E" w:rsidRPr="00693035">
        <w:rPr>
          <w:rFonts w:cstheme="minorHAnsi"/>
          <w:sz w:val="20"/>
          <w:szCs w:val="20"/>
        </w:rPr>
        <w:t xml:space="preserve">diagnostic </w:t>
      </w:r>
      <w:r w:rsidRPr="00693035">
        <w:rPr>
          <w:rFonts w:cstheme="minorHAnsi"/>
          <w:sz w:val="20"/>
          <w:szCs w:val="20"/>
        </w:rPr>
        <w:t>samples, or a combination of the above. Further work is needed to understand how general practitioners</w:t>
      </w:r>
      <w:r w:rsidR="00F678BB" w:rsidRPr="00693035">
        <w:rPr>
          <w:rFonts w:cstheme="minorHAnsi"/>
          <w:sz w:val="20"/>
          <w:szCs w:val="20"/>
        </w:rPr>
        <w:t xml:space="preserve"> diagnose and</w:t>
      </w:r>
      <w:r w:rsidRPr="00693035">
        <w:rPr>
          <w:rFonts w:cstheme="minorHAnsi"/>
          <w:sz w:val="20"/>
          <w:szCs w:val="20"/>
        </w:rPr>
        <w:t xml:space="preserve"> manage Lyme disease cases. Wales is the only </w:t>
      </w:r>
      <w:r w:rsidR="00400E73">
        <w:rPr>
          <w:rFonts w:cstheme="minorHAnsi"/>
          <w:sz w:val="20"/>
          <w:szCs w:val="20"/>
        </w:rPr>
        <w:t>nation</w:t>
      </w:r>
      <w:r w:rsidRPr="00693035">
        <w:rPr>
          <w:rFonts w:cstheme="minorHAnsi"/>
          <w:sz w:val="20"/>
          <w:szCs w:val="20"/>
        </w:rPr>
        <w:t xml:space="preserve"> that does</w:t>
      </w:r>
      <w:r w:rsidR="00AA5D4A" w:rsidRPr="00693035">
        <w:rPr>
          <w:rFonts w:cstheme="minorHAnsi"/>
          <w:sz w:val="20"/>
          <w:szCs w:val="20"/>
        </w:rPr>
        <w:t xml:space="preserve"> </w:t>
      </w:r>
      <w:r w:rsidRPr="00693035">
        <w:rPr>
          <w:rFonts w:cstheme="minorHAnsi"/>
          <w:sz w:val="20"/>
          <w:szCs w:val="20"/>
        </w:rPr>
        <w:t>n</w:t>
      </w:r>
      <w:r w:rsidR="00AA5D4A" w:rsidRPr="00693035">
        <w:rPr>
          <w:rFonts w:cstheme="minorHAnsi"/>
          <w:sz w:val="20"/>
          <w:szCs w:val="20"/>
        </w:rPr>
        <w:t>o</w:t>
      </w:r>
      <w:r w:rsidR="00CF36AC">
        <w:rPr>
          <w:rFonts w:cstheme="minorHAnsi"/>
          <w:sz w:val="20"/>
          <w:szCs w:val="20"/>
        </w:rPr>
        <w:t xml:space="preserve">t have an obvious </w:t>
      </w:r>
      <w:r w:rsidRPr="00693035">
        <w:rPr>
          <w:rFonts w:cstheme="minorHAnsi"/>
          <w:sz w:val="20"/>
          <w:szCs w:val="20"/>
        </w:rPr>
        <w:t>increase in cases</w:t>
      </w:r>
      <w:r w:rsidR="00136DE9" w:rsidRPr="00693035">
        <w:rPr>
          <w:rFonts w:cstheme="minorHAnsi"/>
          <w:sz w:val="20"/>
          <w:szCs w:val="20"/>
        </w:rPr>
        <w:t>,</w:t>
      </w:r>
      <w:r w:rsidR="00394FC5" w:rsidRPr="00693035">
        <w:rPr>
          <w:rFonts w:cstheme="minorHAnsi"/>
          <w:sz w:val="20"/>
          <w:szCs w:val="20"/>
        </w:rPr>
        <w:t xml:space="preserve"> which may be due to,</w:t>
      </w:r>
      <w:r w:rsidR="00136DE9" w:rsidRPr="00693035">
        <w:rPr>
          <w:rFonts w:cstheme="minorHAnsi"/>
          <w:sz w:val="20"/>
          <w:szCs w:val="20"/>
        </w:rPr>
        <w:t xml:space="preserve"> at least in part,</w:t>
      </w:r>
      <w:r w:rsidRPr="00693035">
        <w:rPr>
          <w:rFonts w:cstheme="minorHAnsi"/>
          <w:sz w:val="20"/>
          <w:szCs w:val="20"/>
        </w:rPr>
        <w:t xml:space="preserve"> </w:t>
      </w:r>
      <w:r w:rsidR="00394FC5" w:rsidRPr="00693035">
        <w:rPr>
          <w:rFonts w:cstheme="minorHAnsi"/>
          <w:sz w:val="20"/>
          <w:szCs w:val="20"/>
        </w:rPr>
        <w:t>a</w:t>
      </w:r>
      <w:r w:rsidRPr="00693035">
        <w:rPr>
          <w:rFonts w:cstheme="minorHAnsi"/>
          <w:sz w:val="20"/>
          <w:szCs w:val="20"/>
        </w:rPr>
        <w:t xml:space="preserve"> low number of cases</w:t>
      </w:r>
      <w:r w:rsidR="00B07C62" w:rsidRPr="00693035">
        <w:rPr>
          <w:rFonts w:cstheme="minorHAnsi"/>
          <w:sz w:val="20"/>
          <w:szCs w:val="20"/>
        </w:rPr>
        <w:t xml:space="preserve"> (n=1</w:t>
      </w:r>
      <w:r w:rsidR="00A974AF" w:rsidRPr="00693035">
        <w:rPr>
          <w:rFonts w:cstheme="minorHAnsi"/>
          <w:sz w:val="20"/>
          <w:szCs w:val="20"/>
        </w:rPr>
        <w:t>6</w:t>
      </w:r>
      <w:r w:rsidR="00B07C62" w:rsidRPr="00693035">
        <w:rPr>
          <w:rFonts w:cstheme="minorHAnsi"/>
          <w:sz w:val="20"/>
          <w:szCs w:val="20"/>
        </w:rPr>
        <w:t>5)</w:t>
      </w:r>
      <w:r w:rsidRPr="00693035">
        <w:rPr>
          <w:rFonts w:cstheme="minorHAnsi"/>
          <w:sz w:val="20"/>
          <w:szCs w:val="20"/>
        </w:rPr>
        <w:t xml:space="preserve"> and registered THIN practices in Wales.</w:t>
      </w:r>
      <w:r w:rsidR="00244F7D" w:rsidRPr="00693035">
        <w:rPr>
          <w:rFonts w:cstheme="minorHAnsi"/>
          <w:sz w:val="20"/>
          <w:szCs w:val="20"/>
        </w:rPr>
        <w:t xml:space="preserve"> </w:t>
      </w:r>
      <w:r w:rsidR="000402DD" w:rsidRPr="00693035">
        <w:rPr>
          <w:rFonts w:cstheme="minorHAnsi"/>
          <w:sz w:val="20"/>
          <w:szCs w:val="20"/>
        </w:rPr>
        <w:t>T</w:t>
      </w:r>
      <w:r w:rsidR="009640F5" w:rsidRPr="00693035">
        <w:rPr>
          <w:rFonts w:cstheme="minorHAnsi"/>
          <w:sz w:val="20"/>
          <w:szCs w:val="20"/>
        </w:rPr>
        <w:t xml:space="preserve">he peak number of cases </w:t>
      </w:r>
      <w:r w:rsidR="000402DD" w:rsidRPr="00693035">
        <w:rPr>
          <w:rFonts w:cstheme="minorHAnsi"/>
          <w:sz w:val="20"/>
          <w:szCs w:val="20"/>
        </w:rPr>
        <w:t xml:space="preserve">we observed </w:t>
      </w:r>
      <w:r w:rsidR="009640F5" w:rsidRPr="00693035">
        <w:rPr>
          <w:rFonts w:cstheme="minorHAnsi"/>
          <w:sz w:val="20"/>
          <w:szCs w:val="20"/>
        </w:rPr>
        <w:t>in summer months</w:t>
      </w:r>
      <w:r w:rsidR="000402DD" w:rsidRPr="00693035">
        <w:rPr>
          <w:rFonts w:cstheme="minorHAnsi"/>
          <w:sz w:val="20"/>
          <w:szCs w:val="20"/>
        </w:rPr>
        <w:t xml:space="preserve"> is consistent with other studies</w:t>
      </w:r>
      <w:r w:rsidR="003919EA" w:rsidRPr="00693035">
        <w:rPr>
          <w:rFonts w:cstheme="minorHAnsi"/>
          <w:sz w:val="20"/>
          <w:szCs w:val="20"/>
        </w:rPr>
        <w:t xml:space="preserve"> </w:t>
      </w:r>
      <w:r w:rsidR="00D53D2B" w:rsidRPr="00693035">
        <w:rPr>
          <w:rFonts w:cstheme="minorHAnsi"/>
          <w:sz w:val="20"/>
          <w:szCs w:val="20"/>
        </w:rPr>
        <w:fldChar w:fldCharType="begin" w:fldLock="1"/>
      </w:r>
      <w:r w:rsidR="00087BF7">
        <w:rPr>
          <w:rFonts w:cstheme="minorHAnsi"/>
          <w:sz w:val="20"/>
          <w:szCs w:val="20"/>
        </w:rPr>
        <w:instrText>ADDIN CSL_CITATION {"citationItems":[{"id":"ITEM-1","itemData":{"DOI":"10.1099/jmm.0.46003-0","ISSN":"0022-2615","PMID":"16278426","abstract":"An audit was performed on the laboratory diagnosis of lyme disease in Scotland. The problem of a significant number of patients with clinical symptoms of lyme disease being reported as seronegative or equivocal by the confirmatory Western blot test was identified. Comparisons of current practice were made with American and European standards, and the Western blot scoring system revised. When applied retrospectively (April 2003 to March 2004), 39 (33 %) of 116 serum samples previously negative or equivocal became weak positive or stronger. Thirty-one (80 %) of these 39 samples were from patients with clinical details suggestive of early lyme disease. The changes were implemented and assessed prospectively for 6 months. There was a significant increase in the proportion of equivocal results, with fewer negatives compared to the same time period 1 year previously. This audit has helped clinicians in the diagnosis of lyme disease and the management of these patients in Scotland.","author":[{"dropping-particle":"","family":"Evans","given":"Roger","non-dropping-particle":"","parse-names":false,"suffix":""},{"dropping-particle":"","family":"Mavin","given":"Sally","non-dropping-particle":"","parse-names":false,"suffix":""},{"dropping-particle":"","family":"Ho-Yen","given":"Darrel O","non-dropping-particle":"","parse-names":false,"suffix":""}],"container-title":"Journal of medical microbiology","id":"ITEM-1","issue":"Pt 12","issued":{"date-parts":[["2005"]]},"page":"1139-41","title":"Audit of the laboratory diagnosis of Lyme disease in Scotland.","type":"article-journal","volume":"54"},"uris":["http://www.mendeley.com/documents/?uuid=d40c149f-b6c7-41e7-b764-5355b594e7fb"]},{"id":"ITEM-2","itemData":{"URL":"https://www.gov.uk/government/publications/zoonoses-uk-annual-reports","accessed":{"date-parts":[["2017","11","3"]]},"author":[{"dropping-particle":"","family":"Public Health England","given":"","non-dropping-particle":"","parse-names":false,"suffix":""}],"id":"ITEM-2","issued":{"date-parts":[["2017"]]},"title":"Zoonoses: UK annual reports","type":"webpage"},"uris":["http://www.mendeley.com/documents/?uuid=bed4d186-34ed-46c8-a948-bab86db66acb"]},{"id":"ITEM-3","itemData":{"DOI":"10.3201/eid0604.000416","ISBN":"1080-6040 (Print)","ISSN":"1080-6040","PMID":"10905978","abstract":"Improved surveillance indicates that Lyme borreliosis, an emerging zoonosis in the United Kingdom, has increased from 0.06/100,000 during 1986-1992 to 0.32/100,000 since 1996. Case reports peaked in the third quarter of each year. Several high-incidence localities were identified. Erythema migrans was reported in 41% of patients; arthritis in 4%; musculoskeletal symptoms in 18%; and neuroborreliosis in 15%.","author":[{"dropping-particle":"","family":"Smith","given":"Robert","non-dropping-particle":"","parse-names":false,"suffix":""},{"dropping-particle":"","family":"O'Connell","given":"S","non-dropping-particle":"","parse-names":false,"suffix":""},{"dropping-particle":"","family":"Palmer","given":"Stephen","non-dropping-particle":"","parse-names":false,"suffix":""}],"container-title":"Emerging infectious diseases","id":"ITEM-3","issue":"4","issued":{"date-parts":[["2000"]]},"note":"NULL","page":"404-7","title":"Lyme disease surveillance in England and Wales, 1986 1998.","type":"article-journal","volume":"6"},"uris":["http://www.mendeley.com/documents/?uuid=6d4ff48a-71df-41fc-be08-c32d8a69cb12"]},{"id":"ITEM-4","itemData":{"author":[{"dropping-particle":"","family":"Tulloch","given":"J. S. P.","non-dropping-particle":"","parse-names":false,"suffix":""},{"dropping-particle":"","family":"Semper","given":"A","non-dropping-particle":"","parse-names":false,"suffix":""},{"dropping-particle":"","family":"Brooks","given":"T","non-dropping-particle":"","parse-names":false,"suffix":""},{"dropping-particle":"","family":"Russell","given":"K","non-dropping-particle":"","parse-names":false,"suffix":""},{"dropping-particle":"","family":"Halsby","given":"K","non-dropping-particle":"","parse-names":false,"suffix":""},{"dropping-particle":"","family":"Christley","given":"R","non-dropping-particle":"","parse-names":false,"suffix":""},{"dropping-particle":"","family":"Radford","given":"A","non-dropping-particle":"","parse-names":false,"suffix":""},{"dropping-particle":"","family":"Vivancos","given":"R","non-dropping-particle":"","parse-names":false,"suffix":""},{"dropping-particle":"","family":"Warner","given":"J","non-dropping-particle":"","parse-names":false,"suffix":""}],"container-title":"BMJ Open","id":"ITEM-4","issued":{"date-parts":[["2019"]]},"title":"The demographics and geographic distribution of laboratory-confirmed Lyme disease cases in England and Wales (2013-2016): an ecological study","type":"article-journal"},"uris":["http://www.mendeley.com/documents/?uuid=e4a3e3e9-ceb1-41a8-ae79-31e73bc578a3"]},{"id":"ITEM-5","itemData":{"author":[{"dropping-particle":"","family":"Tulloch","given":"J. S. P.","non-dropping-particle":"","parse-names":false,"suffix":""},{"dropping-particle":"","family":"Decraene","given":"V","non-dropping-particle":"","parse-names":false,"suffix":""},{"dropping-particle":"","family":"Christley","given":"R","non-dropping-particle":"","parse-names":false,"suffix":""},{"dropping-particle":"","family":"Radford","given":"A. D.","non-dropping-particle":"","parse-names":false,"suffix":""},{"dropping-particle":"","family":"Warner","given":"J","non-dropping-particle":"","parse-names":false,"suffix":""},{"dropping-particle":"","family":"Vivancos","given":"R","non-dropping-particle":"","parse-names":false,"suffix":""}],"container-title":"BMC public health","id":"ITEM-5","issued":{"date-parts":[["2019"]]},"title":"Characteristics and patient pathways of Lyme disease patients: a retrospective analysis of hospital episode data in England and Wales (1998 - 2015)","type":"article-journal"},"uris":["http://www.mendeley.com/documents/?uuid=f44b40f8-9254-473b-adc6-0b7cd37e3043"]}],"mendeley":{"formattedCitation":"(8,11,36–38)","plainTextFormattedCitation":"(8,11,36–38)","previouslyFormattedCitation":"(8,11,36–38)"},"properties":{"noteIndex":0},"schema":"https://github.com/citation-style-language/schema/raw/master/csl-citation.json"}</w:instrText>
      </w:r>
      <w:r w:rsidR="00D53D2B" w:rsidRPr="00693035">
        <w:rPr>
          <w:rFonts w:cstheme="minorHAnsi"/>
          <w:sz w:val="20"/>
          <w:szCs w:val="20"/>
        </w:rPr>
        <w:fldChar w:fldCharType="separate"/>
      </w:r>
      <w:r w:rsidR="00087BF7" w:rsidRPr="00087BF7">
        <w:rPr>
          <w:rFonts w:cstheme="minorHAnsi"/>
          <w:noProof/>
          <w:sz w:val="20"/>
          <w:szCs w:val="20"/>
        </w:rPr>
        <w:t>(8,11,36–38)</w:t>
      </w:r>
      <w:r w:rsidR="00D53D2B" w:rsidRPr="00693035">
        <w:rPr>
          <w:rFonts w:cstheme="minorHAnsi"/>
          <w:sz w:val="20"/>
          <w:szCs w:val="20"/>
        </w:rPr>
        <w:fldChar w:fldCharType="end"/>
      </w:r>
      <w:r w:rsidR="003919EA" w:rsidRPr="00693035">
        <w:rPr>
          <w:rFonts w:cstheme="minorHAnsi"/>
          <w:sz w:val="20"/>
          <w:szCs w:val="20"/>
        </w:rPr>
        <w:t>.</w:t>
      </w:r>
      <w:r w:rsidR="009640F5" w:rsidRPr="00693035">
        <w:rPr>
          <w:rFonts w:cstheme="minorHAnsi"/>
          <w:sz w:val="20"/>
          <w:szCs w:val="20"/>
        </w:rPr>
        <w:t xml:space="preserve"> </w:t>
      </w:r>
      <w:r w:rsidR="004B6F2D" w:rsidRPr="00693035">
        <w:rPr>
          <w:rFonts w:cstheme="minorHAnsi"/>
          <w:sz w:val="20"/>
          <w:szCs w:val="20"/>
        </w:rPr>
        <w:t>This</w:t>
      </w:r>
      <w:r w:rsidR="009640F5" w:rsidRPr="00693035">
        <w:rPr>
          <w:rFonts w:cstheme="minorHAnsi"/>
          <w:sz w:val="20"/>
          <w:szCs w:val="20"/>
        </w:rPr>
        <w:t xml:space="preserve"> peak </w:t>
      </w:r>
      <w:r w:rsidR="004B6F2D" w:rsidRPr="00693035">
        <w:rPr>
          <w:rFonts w:cstheme="minorHAnsi"/>
          <w:sz w:val="20"/>
          <w:szCs w:val="20"/>
        </w:rPr>
        <w:t xml:space="preserve">occurs slightly earlier </w:t>
      </w:r>
      <w:r w:rsidR="009640F5" w:rsidRPr="00693035">
        <w:rPr>
          <w:rFonts w:cstheme="minorHAnsi"/>
          <w:sz w:val="20"/>
          <w:szCs w:val="20"/>
        </w:rPr>
        <w:t xml:space="preserve">in England than in Scotland. </w:t>
      </w:r>
      <w:r w:rsidR="001310EA" w:rsidRPr="00693035">
        <w:rPr>
          <w:rFonts w:cstheme="minorHAnsi"/>
          <w:sz w:val="20"/>
          <w:szCs w:val="20"/>
        </w:rPr>
        <w:t>This is likely due to latitudinal</w:t>
      </w:r>
      <w:r w:rsidR="00D53D2B" w:rsidRPr="00693035">
        <w:rPr>
          <w:rFonts w:cstheme="minorHAnsi"/>
          <w:sz w:val="20"/>
          <w:szCs w:val="20"/>
        </w:rPr>
        <w:t xml:space="preserve">, climatic and ecological differences between the two </w:t>
      </w:r>
      <w:r w:rsidR="001310EA" w:rsidRPr="00693035">
        <w:rPr>
          <w:rFonts w:cstheme="minorHAnsi"/>
          <w:sz w:val="20"/>
          <w:szCs w:val="20"/>
        </w:rPr>
        <w:t>nations</w:t>
      </w:r>
      <w:r w:rsidR="00244F7D" w:rsidRPr="00693035">
        <w:rPr>
          <w:rFonts w:cstheme="minorHAnsi"/>
          <w:sz w:val="20"/>
          <w:szCs w:val="20"/>
        </w:rPr>
        <w:t xml:space="preserve"> impacting on</w:t>
      </w:r>
      <w:r w:rsidR="001310EA" w:rsidRPr="00693035">
        <w:rPr>
          <w:rFonts w:cstheme="minorHAnsi"/>
          <w:sz w:val="20"/>
          <w:szCs w:val="20"/>
        </w:rPr>
        <w:t>, the</w:t>
      </w:r>
      <w:r w:rsidR="00D53D2B" w:rsidRPr="00693035">
        <w:rPr>
          <w:rFonts w:cstheme="minorHAnsi"/>
          <w:sz w:val="20"/>
          <w:szCs w:val="20"/>
        </w:rPr>
        <w:t xml:space="preserve"> emergence and peak numbers of </w:t>
      </w:r>
      <w:proofErr w:type="spellStart"/>
      <w:r w:rsidR="00D53D2B" w:rsidRPr="00693035">
        <w:rPr>
          <w:rFonts w:cstheme="minorHAnsi"/>
          <w:sz w:val="20"/>
          <w:szCs w:val="20"/>
        </w:rPr>
        <w:t>nymphal</w:t>
      </w:r>
      <w:proofErr w:type="spellEnd"/>
      <w:r w:rsidR="00D53D2B" w:rsidRPr="00693035">
        <w:rPr>
          <w:rFonts w:cstheme="minorHAnsi"/>
          <w:sz w:val="20"/>
          <w:szCs w:val="20"/>
        </w:rPr>
        <w:t xml:space="preserve"> ticks</w:t>
      </w:r>
      <w:r w:rsidR="004857CC" w:rsidRPr="00693035">
        <w:rPr>
          <w:rFonts w:cstheme="minorHAnsi"/>
          <w:sz w:val="20"/>
          <w:szCs w:val="20"/>
        </w:rPr>
        <w:t xml:space="preserve"> </w:t>
      </w:r>
      <w:r w:rsidR="00BB78D9" w:rsidRPr="00693035">
        <w:rPr>
          <w:rFonts w:cstheme="minorHAnsi"/>
          <w:sz w:val="20"/>
          <w:szCs w:val="20"/>
        </w:rPr>
        <w:fldChar w:fldCharType="begin" w:fldLock="1"/>
      </w:r>
      <w:r w:rsidR="00087BF7">
        <w:rPr>
          <w:rFonts w:cstheme="minorHAnsi"/>
          <w:sz w:val="20"/>
          <w:szCs w:val="20"/>
        </w:rPr>
        <w:instrText>ADDIN CSL_CITATION {"citationItems":[{"id":"ITEM-1","itemData":{"DOI":"10.1186/1756-3305-7-11","ISBN":"1756-3305","ISSN":"17563305","PMID":"24401487","abstract":"Global environmental change is causing spatial and temporal shifts in the distribution of species and the associated diseases of humans, domesticated animals and wildlife. In the on-going debate on the influence of climate change on vectors and vector-borne diseases, there is a lack of a comprehensive interdisciplinary multi-factorial approach utilizing high quality spatial and temporal data.\\nPMID: 24401487","author":[{"dropping-particle":"","family":"Jore","given":"Solveig","non-dropping-particle":"","parse-names":false,"suffix":""},{"dropping-particle":"","family":"Vanwambeke","given":"Sophie O.","non-dropping-particle":"","parse-names":false,"suffix":""},{"dropping-particle":"","family":"Viljugrein","given":"Hildegunn","non-dropping-particle":"","parse-names":false,"suffix":""},{"dropping-particle":"","family":"Isaksen","given":"Ketil","non-dropping-particle":"","parse-names":false,"suffix":""},{"dropping-particle":"","family":"Kristoffersen","given":"Anja B.","non-dropping-particle":"","parse-names":false,"suffix":""},{"dropping-particle":"","family":"Woldehiwet","given":"Zerai","non-dropping-particle":"","parse-names":false,"suffix":""},{"dropping-particle":"","family":"Johansen","given":"Bernt","non-dropping-particle":"","parse-names":false,"suffix":""},{"dropping-particle":"","family":"Brun","given":"Edgar","non-dropping-particle":"","parse-names":false,"suffix":""},{"dropping-particle":"","family":"Brun-Hansen","given":"Hege","non-dropping-particle":"","parse-names":false,"suffix":""},{"dropping-particle":"","family":"Westermann","given":"Sebastian","non-dropping-particle":"","parse-names":false,"suffix":""},{"dropping-particle":"","family":"Larsen","given":"Inger Lise","non-dropping-particle":"","parse-names":false,"suffix":""},{"dropping-particle":"","family":"Ytrehus","given":"Bjørnar","non-dropping-particle":"","parse-names":false,"suffix":""},{"dropping-particle":"","family":"Hofshagen","given":"Merete","non-dropping-particle":"","parse-names":false,"suffix":""}],"container-title":"Parasites and Vectors","id":"ITEM-1","issue":"1","issued":{"date-parts":[["2014"]]},"page":"1-14","title":"Climate and environmental change drives Ixodes ricinus geographical expansion at the northern range margin","type":"article-journal","volume":"7"},"uris":["http://www.mendeley.com/documents/?uuid=9b170978-b243-4828-acb0-5935f610c74d"]}],"mendeley":{"formattedCitation":"(39)","plainTextFormattedCitation":"(39)","previouslyFormattedCitation":"(39)"},"properties":{"noteIndex":0},"schema":"https://github.com/citation-style-language/schema/raw/master/csl-citation.json"}</w:instrText>
      </w:r>
      <w:r w:rsidR="00BB78D9" w:rsidRPr="00693035">
        <w:rPr>
          <w:rFonts w:cstheme="minorHAnsi"/>
          <w:sz w:val="20"/>
          <w:szCs w:val="20"/>
        </w:rPr>
        <w:fldChar w:fldCharType="separate"/>
      </w:r>
      <w:r w:rsidR="00087BF7" w:rsidRPr="00087BF7">
        <w:rPr>
          <w:rFonts w:cstheme="minorHAnsi"/>
          <w:noProof/>
          <w:sz w:val="20"/>
          <w:szCs w:val="20"/>
        </w:rPr>
        <w:t>(39)</w:t>
      </w:r>
      <w:r w:rsidR="00BB78D9" w:rsidRPr="00693035">
        <w:rPr>
          <w:rFonts w:cstheme="minorHAnsi"/>
          <w:sz w:val="20"/>
          <w:szCs w:val="20"/>
        </w:rPr>
        <w:fldChar w:fldCharType="end"/>
      </w:r>
      <w:r w:rsidR="004857CC" w:rsidRPr="00693035">
        <w:rPr>
          <w:rFonts w:cstheme="minorHAnsi"/>
          <w:sz w:val="20"/>
          <w:szCs w:val="20"/>
        </w:rPr>
        <w:t>.</w:t>
      </w:r>
      <w:r w:rsidR="00B07C62" w:rsidRPr="00693035">
        <w:rPr>
          <w:rFonts w:cstheme="minorHAnsi"/>
          <w:sz w:val="20"/>
          <w:szCs w:val="20"/>
        </w:rPr>
        <w:t xml:space="preserve"> The low case numbers in Wales and Northern Ireland (n=</w:t>
      </w:r>
      <w:r w:rsidR="00A974AF" w:rsidRPr="00693035">
        <w:rPr>
          <w:rFonts w:cstheme="minorHAnsi"/>
          <w:sz w:val="20"/>
          <w:szCs w:val="20"/>
        </w:rPr>
        <w:t>50</w:t>
      </w:r>
      <w:r w:rsidR="00B07C62" w:rsidRPr="00693035">
        <w:rPr>
          <w:rFonts w:cstheme="minorHAnsi"/>
          <w:sz w:val="20"/>
          <w:szCs w:val="20"/>
        </w:rPr>
        <w:t>) likely explain the lack of an obvious seasonal trend.</w:t>
      </w:r>
    </w:p>
    <w:p w14:paraId="1B16B93B" w14:textId="7E166FFA" w:rsidR="00244F7D" w:rsidRDefault="00463F7D" w:rsidP="00693035">
      <w:pPr>
        <w:spacing w:line="480" w:lineRule="auto"/>
        <w:jc w:val="both"/>
        <w:rPr>
          <w:rFonts w:cstheme="minorHAnsi"/>
          <w:sz w:val="20"/>
          <w:szCs w:val="20"/>
        </w:rPr>
      </w:pPr>
      <w:r w:rsidRPr="005760FD">
        <w:rPr>
          <w:rFonts w:cstheme="minorHAnsi"/>
          <w:sz w:val="20"/>
          <w:szCs w:val="20"/>
        </w:rPr>
        <w:lastRenderedPageBreak/>
        <w:t xml:space="preserve">Analysis of </w:t>
      </w:r>
      <w:r w:rsidR="00D53D2B" w:rsidRPr="005760FD">
        <w:rPr>
          <w:rFonts w:cstheme="minorHAnsi"/>
          <w:sz w:val="20"/>
          <w:szCs w:val="20"/>
        </w:rPr>
        <w:t>Lyme disease</w:t>
      </w:r>
      <w:r w:rsidR="00394FC5" w:rsidRPr="005760FD">
        <w:rPr>
          <w:rFonts w:cstheme="minorHAnsi"/>
          <w:sz w:val="20"/>
          <w:szCs w:val="20"/>
        </w:rPr>
        <w:t xml:space="preserve"> patient </w:t>
      </w:r>
      <w:r w:rsidR="001A01FD" w:rsidRPr="00EF4FC5">
        <w:rPr>
          <w:rFonts w:cstheme="minorHAnsi"/>
          <w:sz w:val="20"/>
          <w:szCs w:val="20"/>
        </w:rPr>
        <w:t>demographic</w:t>
      </w:r>
      <w:r w:rsidRPr="00EF4FC5">
        <w:rPr>
          <w:rFonts w:cstheme="minorHAnsi"/>
          <w:sz w:val="20"/>
          <w:szCs w:val="20"/>
        </w:rPr>
        <w:t>s</w:t>
      </w:r>
      <w:r w:rsidR="00756D6E" w:rsidRPr="00EF4FC5">
        <w:rPr>
          <w:rFonts w:cstheme="minorHAnsi"/>
          <w:sz w:val="20"/>
          <w:szCs w:val="20"/>
        </w:rPr>
        <w:t xml:space="preserve"> have</w:t>
      </w:r>
      <w:r w:rsidR="009640F5" w:rsidRPr="00EF4FC5">
        <w:rPr>
          <w:rFonts w:cstheme="minorHAnsi"/>
          <w:sz w:val="20"/>
          <w:szCs w:val="20"/>
        </w:rPr>
        <w:t xml:space="preserve"> shown </w:t>
      </w:r>
      <w:r w:rsidR="00D53D2B" w:rsidRPr="00EF4FC5">
        <w:rPr>
          <w:rFonts w:cstheme="minorHAnsi"/>
          <w:sz w:val="20"/>
          <w:szCs w:val="20"/>
        </w:rPr>
        <w:t>predominance</w:t>
      </w:r>
      <w:r w:rsidR="009640F5" w:rsidRPr="00EF4FC5">
        <w:rPr>
          <w:rFonts w:cstheme="minorHAnsi"/>
          <w:sz w:val="20"/>
          <w:szCs w:val="20"/>
        </w:rPr>
        <w:t xml:space="preserve"> </w:t>
      </w:r>
      <w:r w:rsidR="00863769" w:rsidRPr="00EF4FC5">
        <w:rPr>
          <w:rFonts w:cstheme="minorHAnsi"/>
          <w:sz w:val="20"/>
          <w:szCs w:val="20"/>
        </w:rPr>
        <w:t xml:space="preserve">in </w:t>
      </w:r>
      <w:r w:rsidRPr="00EF4FC5">
        <w:rPr>
          <w:rFonts w:cstheme="minorHAnsi"/>
          <w:sz w:val="20"/>
          <w:szCs w:val="20"/>
        </w:rPr>
        <w:t xml:space="preserve">both </w:t>
      </w:r>
      <w:r w:rsidR="009640F5" w:rsidRPr="00EF4FC5">
        <w:rPr>
          <w:rFonts w:cstheme="minorHAnsi"/>
          <w:sz w:val="20"/>
          <w:szCs w:val="20"/>
        </w:rPr>
        <w:t>sex</w:t>
      </w:r>
      <w:r w:rsidRPr="00EF4FC5">
        <w:rPr>
          <w:rFonts w:cstheme="minorHAnsi"/>
          <w:sz w:val="20"/>
          <w:szCs w:val="20"/>
        </w:rPr>
        <w:t>es</w:t>
      </w:r>
      <w:r w:rsidR="00756D6E" w:rsidRPr="00EF4FC5">
        <w:rPr>
          <w:rFonts w:cstheme="minorHAnsi"/>
          <w:sz w:val="20"/>
          <w:szCs w:val="20"/>
        </w:rPr>
        <w:t xml:space="preserve"> in </w:t>
      </w:r>
      <w:r w:rsidRPr="00EF4FC5">
        <w:rPr>
          <w:rFonts w:cstheme="minorHAnsi"/>
          <w:sz w:val="20"/>
          <w:szCs w:val="20"/>
        </w:rPr>
        <w:t xml:space="preserve">a </w:t>
      </w:r>
      <w:r w:rsidR="00756D6E" w:rsidRPr="00EF4FC5">
        <w:rPr>
          <w:rFonts w:cstheme="minorHAnsi"/>
          <w:sz w:val="20"/>
          <w:szCs w:val="20"/>
        </w:rPr>
        <w:t>va</w:t>
      </w:r>
      <w:r w:rsidRPr="00EF4FC5">
        <w:rPr>
          <w:rFonts w:cstheme="minorHAnsi"/>
          <w:sz w:val="20"/>
          <w:szCs w:val="20"/>
        </w:rPr>
        <w:t>riety health care</w:t>
      </w:r>
      <w:r w:rsidR="00756D6E" w:rsidRPr="00EF4FC5">
        <w:rPr>
          <w:rFonts w:cstheme="minorHAnsi"/>
          <w:sz w:val="20"/>
          <w:szCs w:val="20"/>
        </w:rPr>
        <w:t xml:space="preserve"> settings in the UK</w:t>
      </w:r>
      <w:r w:rsidR="00394FC5" w:rsidRPr="00EF4FC5">
        <w:rPr>
          <w:rFonts w:cstheme="minorHAnsi"/>
          <w:sz w:val="20"/>
          <w:szCs w:val="20"/>
        </w:rPr>
        <w:t xml:space="preserve"> </w:t>
      </w:r>
      <w:r w:rsidR="00D53D2B" w:rsidRPr="005760FD">
        <w:rPr>
          <w:rFonts w:cstheme="minorHAnsi"/>
          <w:sz w:val="20"/>
          <w:szCs w:val="20"/>
        </w:rPr>
        <w:fldChar w:fldCharType="begin" w:fldLock="1"/>
      </w:r>
      <w:r w:rsidR="00087BF7">
        <w:rPr>
          <w:rFonts w:cstheme="minorHAnsi"/>
          <w:sz w:val="20"/>
          <w:szCs w:val="20"/>
        </w:rPr>
        <w:instrText>ADDIN CSL_CITATION {"citationItems":[{"id":"ITEM-1","itemData":{"DOI":"10.3201/eid0604.000416","ISBN":"1080-6040 (Print)","ISSN":"1080-6040","PMID":"10905978","abstract":"Improved surveillance indicates that Lyme borreliosis, an emerging zoonosis in the United Kingdom, has increased from 0.06/100,000 during 1986-1992 to 0.32/100,000 since 1996. Case reports peaked in the third quarter of each year. Several high-incidence localities were identified. Erythema migrans was reported in 41% of patients; arthritis in 4%; musculoskeletal symptoms in 18%; and neuroborreliosis in 15%.","author":[{"dropping-particle":"","family":"Smith","given":"Robert","non-dropping-particle":"","parse-names":false,"suffix":""},{"dropping-particle":"","family":"O'Connell","given":"S","non-dropping-particle":"","parse-names":false,"suffix":""},{"dropping-particle":"","family":"Palmer","given":"Stephen","non-dropping-particle":"","parse-names":false,"suffix":""}],"container-title":"Emerging infectious diseases","id":"ITEM-1","issue":"4","issued":{"date-parts":[["2000"]]},"note":"NULL","page":"404-7","title":"Lyme disease surveillance in England and Wales, 1986 1998.","type":"article-journal","volume":"6"},"uris":["http://www.mendeley.com/documents/?uuid=6d4ff48a-71df-41fc-be08-c32d8a69cb12"]},{"id":"ITEM-2","itemData":{"author":[{"dropping-particle":"","family":"Mavin","given":"S","non-dropping-particle":"","parse-names":false,"suffix":""},{"dropping-particle":"","family":"Evans","given":"R","non-dropping-particle":"","parse-names":false,"suffix":""}],"id":"ITEM-2","issue":"January 2008","issued":{"date-parts":[["2015"]]},"page":"196-200","title":"clinical Distribution and presentation of Lyme borreliosis in Scotland – analysis of data from a national testing laboratory","type":"article-journal"},"uris":["http://www.mendeley.com/documents/?uuid=b50e2580-ae06-4a82-9ef5-ebfb7363d0a7"]},{"id":"ITEM-3","itemData":{"author":[{"dropping-particle":"","family":"Cooper","given":"Lilli","non-dropping-particle":"","parse-names":false,"suffix":""},{"dropping-particle":"","family":"Branagan-harris","given":"Michael","non-dropping-particle":"","parse-names":false,"suffix":""},{"dropping-particle":"","family":"Tuson","given":"Richard","non-dropping-particle":"","parse-names":false,"suffix":""},{"dropping-particle":"","family":"Nduka","given":"Charles","non-dropping-particle":"","parse-names":false,"suffix":""}],"id":"ITEM-3","issue":"May","issued":{"date-parts":[["2017"]]},"title":"Lyme disease and Bell ’ s palsy :","type":"article-journal"},"uris":["http://www.mendeley.com/documents/?uuid=bf47929b-a6e2-413e-a446-7bdf56b4ce3d"]},{"id":"ITEM-4","itemData":{"URL":"https://www.gov.uk/government/publications/zoonoses-uk-annual-reports","accessed":{"date-parts":[["2017","11","3"]]},"author":[{"dropping-particle":"","family":"Public Health England","given":"","non-dropping-particle":"","parse-names":false,"suffix":""}],"id":"ITEM-4","issued":{"date-parts":[["2017"]]},"title":"Zoonoses: UK annual reports","type":"webpage"},"uris":["http://www.mendeley.com/documents/?uuid=bed4d186-34ed-46c8-a948-bab86db66acb"]},{"id":"ITEM-5","itemData":{"author":[{"dropping-particle":"","family":"Tulloch","given":"J. S. P.","non-dropping-particle":"","parse-names":false,"suffix":""},{"dropping-particle":"","family":"Semper","given":"A","non-dropping-particle":"","parse-names":false,"suffix":""},{"dropping-particle":"","family":"Brooks","given":"T","non-dropping-particle":"","parse-names":false,"suffix":""},{"dropping-particle":"","family":"Russell","given":"K","non-dropping-particle":"","parse-names":false,"suffix":""},{"dropping-particle":"","family":"Halsby","given":"K","non-dropping-particle":"","parse-names":false,"suffix":""},{"dropping-particle":"","family":"Christley","given":"R","non-dropping-particle":"","parse-names":false,"suffix":""},{"dropping-particle":"","family":"Radford","given":"A","non-dropping-particle":"","parse-names":false,"suffix":""},{"dropping-particle":"","family":"Vivancos","given":"R","non-dropping-particle":"","parse-names":false,"suffix":""},{"dropping-particle":"","family":"Warner","given":"J","non-dropping-particle":"","parse-names":false,"suffix":""}],"container-title":"BMJ Open","id":"ITEM-5","issued":{"date-parts":[["2019"]]},"title":"The demographics and geographic distribution of laboratory-confirmed Lyme disease cases in England and Wales (2013-2016): an ecological study","type":"article-journal"},"uris":["http://www.mendeley.com/documents/?uuid=e4a3e3e9-ceb1-41a8-ae79-31e73bc578a3"]},{"id":"ITEM-6","itemData":{"author":[{"dropping-particle":"","family":"Tulloch","given":"J. S. P.","non-dropping-particle":"","parse-names":false,"suffix":""},{"dropping-particle":"","family":"Decraene","given":"V","non-dropping-particle":"","parse-names":false,"suffix":""},{"dropping-particle":"","family":"Christley","given":"R","non-dropping-particle":"","parse-names":false,"suffix":""},{"dropping-particle":"","family":"Radford","given":"A. D.","non-dropping-particle":"","parse-names":false,"suffix":""},{"dropping-particle":"","family":"Warner","given":"J","non-dropping-particle":"","parse-names":false,"suffix":""},{"dropping-particle":"","family":"Vivancos","given":"R","non-dropping-particle":"","parse-names":false,"suffix":""}],"container-title":"BMC public health","id":"ITEM-6","issued":{"date-parts":[["2019"]]},"title":"Characteristics and patient pathways of Lyme disease patients: a retrospective analysis of hospital episode data in England and Wales (1998 - 2015)","type":"article-journal"},"uris":["http://www.mendeley.com/documents/?uuid=f44b40f8-9254-473b-adc6-0b7cd37e3043"]}],"mendeley":{"formattedCitation":"(8,10,11,37,38,40)","plainTextFormattedCitation":"(8,10,11,37,38,40)","previouslyFormattedCitation":"(8,10,11,37,38,40)"},"properties":{"noteIndex":0},"schema":"https://github.com/citation-style-language/schema/raw/master/csl-citation.json"}</w:instrText>
      </w:r>
      <w:r w:rsidR="00D53D2B" w:rsidRPr="005760FD">
        <w:rPr>
          <w:rFonts w:cstheme="minorHAnsi"/>
          <w:sz w:val="20"/>
          <w:szCs w:val="20"/>
        </w:rPr>
        <w:fldChar w:fldCharType="separate"/>
      </w:r>
      <w:r w:rsidR="00087BF7" w:rsidRPr="00087BF7">
        <w:rPr>
          <w:rFonts w:cstheme="minorHAnsi"/>
          <w:noProof/>
          <w:sz w:val="20"/>
          <w:szCs w:val="20"/>
        </w:rPr>
        <w:t>(8,10,11,37,38,40)</w:t>
      </w:r>
      <w:r w:rsidR="00D53D2B" w:rsidRPr="005760FD">
        <w:rPr>
          <w:rFonts w:cstheme="minorHAnsi"/>
          <w:sz w:val="20"/>
          <w:szCs w:val="20"/>
        </w:rPr>
        <w:fldChar w:fldCharType="end"/>
      </w:r>
      <w:r w:rsidR="004857CC" w:rsidRPr="005760FD">
        <w:rPr>
          <w:rFonts w:cstheme="minorHAnsi"/>
          <w:sz w:val="20"/>
          <w:szCs w:val="20"/>
        </w:rPr>
        <w:t>.</w:t>
      </w:r>
      <w:r w:rsidR="00D53D2B" w:rsidRPr="005760FD">
        <w:rPr>
          <w:rFonts w:cstheme="minorHAnsi"/>
          <w:sz w:val="20"/>
          <w:szCs w:val="20"/>
        </w:rPr>
        <w:t xml:space="preserve"> </w:t>
      </w:r>
      <w:r w:rsidR="001A01FD" w:rsidRPr="005760FD">
        <w:rPr>
          <w:rFonts w:cstheme="minorHAnsi"/>
          <w:sz w:val="20"/>
          <w:szCs w:val="20"/>
        </w:rPr>
        <w:t>In comparison</w:t>
      </w:r>
      <w:r w:rsidR="00D53D2B" w:rsidRPr="00EF4FC5">
        <w:rPr>
          <w:rFonts w:cstheme="minorHAnsi"/>
          <w:sz w:val="20"/>
          <w:szCs w:val="20"/>
        </w:rPr>
        <w:t xml:space="preserve"> to other national primary care datasets, </w:t>
      </w:r>
      <w:r w:rsidR="009640F5" w:rsidRPr="00EF4FC5">
        <w:rPr>
          <w:rFonts w:cstheme="minorHAnsi"/>
          <w:sz w:val="20"/>
          <w:szCs w:val="20"/>
        </w:rPr>
        <w:t xml:space="preserve">Switzerland and France </w:t>
      </w:r>
      <w:r w:rsidR="00D53D2B" w:rsidRPr="00EF4FC5">
        <w:rPr>
          <w:rFonts w:cstheme="minorHAnsi"/>
          <w:sz w:val="20"/>
          <w:szCs w:val="20"/>
        </w:rPr>
        <w:t>have</w:t>
      </w:r>
      <w:r w:rsidR="009640F5" w:rsidRPr="00EF4FC5">
        <w:rPr>
          <w:rFonts w:cstheme="minorHAnsi"/>
          <w:sz w:val="20"/>
          <w:szCs w:val="20"/>
        </w:rPr>
        <w:t xml:space="preserve"> no statistical difference between sexes, but numerically more women</w:t>
      </w:r>
      <w:r w:rsidR="004857CC" w:rsidRPr="00EF4FC5">
        <w:rPr>
          <w:rFonts w:cstheme="minorHAnsi"/>
          <w:sz w:val="20"/>
          <w:szCs w:val="20"/>
        </w:rPr>
        <w:t xml:space="preserve"> </w:t>
      </w:r>
      <w:r w:rsidR="00D53D2B" w:rsidRPr="005760FD">
        <w:rPr>
          <w:rFonts w:cstheme="minorHAnsi"/>
          <w:sz w:val="20"/>
          <w:szCs w:val="20"/>
        </w:rPr>
        <w:fldChar w:fldCharType="begin" w:fldLock="1"/>
      </w:r>
      <w:r w:rsidR="00087BF7">
        <w:rPr>
          <w:rFonts w:cstheme="minorHAnsi"/>
          <w:sz w:val="20"/>
          <w:szCs w:val="20"/>
        </w:rPr>
        <w:instrText>ADDIN CSL_CITATION {"citationItems":[{"id":"ITEM-1","itemData":{"DOI":"10.4414/smw.2013.13725","ISBN":"1424-3997","ISSN":"14247860","PMID":"23299974","abstract":"QUESTION UNDER STUDY: To determine the incidence and determinants of tick related diseases in Switzerland, for example tick bites and Lyme borreliosis in primary care and tick borne encephalitis.\\n\\nMETHODS: Analysis of the Swiss data collected by mandatory and facultative surveillance systems for the reporting period of 2008 to 2011.\\n\\nRESULTS: Tick related diseases in Switzerland are common. About 17,000 to 23,000 estimated cases of tick bites lead to a consultation (yearly incidence 254 per 100,000 inhabitants); about 7,000 to 12,000 estimated cases of Lyme borreliosis (yearly incidence 131 per 100,000 inhabitants) and 98 to 172 cases of tick borne encephalitis occur each year (yearly incidence 1.6 per 100,000 inhabitants). The most affected area is the north-eastern part of Switzerland. Whereas cases of tick borne encephalitis are restricted to local endemic areas, cases of Lyme borreliosis and tick bites are spread all over Switzerland.\\n\\nCONCLUSIONS: Tick related diseases are frequent and widespread in Switzerland. They are leading to a considerable usage of the health care system. Thus, tick bite prevention and vaccination against tick borne encephalitis are essential. However, long term follow-up cohort studies with reasonably large study populations after tick bite would be required to elucidate the risk of developing a tick borne disease.","author":[{"dropping-particle":"","family":"Altpeter","given":"Ekkehardt","non-dropping-particle":"","parse-names":false,"suffix":""},{"dropping-particle":"","family":"Zimmermann","given":"Hanspeter","non-dropping-particle":"","parse-names":false,"suffix":""},{"dropping-particle":"","family":"Oberreich","given":"Jürgen","non-dropping-particle":"","parse-names":false,"suffix":""},{"dropping-particle":"","family":"Péter","given":"Olivier","non-dropping-particle":"","parse-names":false,"suffix":""},{"dropping-particle":"","family":"Dvoøák","given":"Charles","non-dropping-particle":"","parse-names":false,"suffix":""}],"container-title":"Swiss Medical Weekly","id":"ITEM-1","issue":"January","issued":{"date-parts":[["2013"]]},"page":"1-13","title":"Tick related diseases in Switzerland, 2008 to 2011","type":"article-journal","volume":"143"},"uris":["http://www.mendeley.com/documents/?uuid=fa36fb7a-771b-4e1a-a77d-7541ded6212a"]},{"id":"ITEM-2","itemData":{"DOI":"10.2807/1560-7917.ES2014.19.34.20883","ISSN":"15607917","PMID":"25188613","abstract":"Lyme borreliosis (LB) has become a major concern recently, as trends in several epidemiological studies indicate that there has been an increase in this disease in Europe and America over the last decade. This work provides estimates of LB incidence and hospitalisation rates in France. LB data was obtained from the Sentinelles general practitioner surveillance network (2009–2012) and from the Programme de Médicalisation des Systèmes d’Information (PMSI) data processing centre for hospital discharges (2004–09). The yearly LB incidence rate averaged 42 per 100,000 inhabitants (95% confidence interval (CI): 37–48), ranging from 0 to 184 per 100,000 depending on the region. The annual hospitalisation rate due to LB averaged 1.55 per 100,000 inhabitants (95% CI: 1.42–1.70). Both rates peaked during the summer and fall and had a bimodal age distribution (5–10 years and 50–70 years). Healthcare providers should continue to invest attention to prompt recognition and early therapy for LB, whereas public health strategies should keep promoting use of repellent, daily checks for ticks and their prompt removal.","author":[{"dropping-particle":"","family":"Vandenesch","given":"A.","non-dropping-particle":"","parse-names":false,"suffix":""},{"dropping-particle":"","family":"Turbelin","given":"C.","non-dropping-particle":"","parse-names":false,"suffix":""},{"dropping-particle":"","family":"Couturier","given":"E.","non-dropping-particle":"","parse-names":false,"suffix":""},{"dropping-particle":"","family":"Arena","given":"C.","non-dropping-particle":"","parse-names":false,"suffix":""},{"dropping-particle":"","family":"Jaulhac","given":"B.","non-dropping-particle":"","parse-names":false,"suffix":""},{"dropping-particle":"","family":"Ferquel","given":"E.","non-dropping-particle":"","parse-names":false,"suffix":""},{"dropping-particle":"","family":"Choumet","given":"V.","non-dropping-particle":"","parse-names":false,"suffix":""},{"dropping-particle":"","family":"Saugeon","given":"C.","non-dropping-particle":"","parse-names":false,"suffix":""},{"dropping-particle":"","family":"Coffinieres","given":"E.","non-dropping-particle":"","parse-names":false,"suffix":""},{"dropping-particle":"","family":"Blanchon","given":"T.","non-dropping-particle":"","parse-names":false,"suffix":""},{"dropping-particle":"","family":"Vaillant","given":"V.","non-dropping-particle":"","parse-names":false,"suffix":""},{"dropping-particle":"","family":"Hanslik","given":"T.","non-dropping-particle":"","parse-names":false,"suffix":""}],"container-title":"Euro surveillance : bulletin Europ??en sur les maladies transmissibles = European communicable disease bulletin","id":"ITEM-2","issue":"34","issued":{"date-parts":[["2014"]]},"title":"Incidence and hospitalisation rates of Lyme borreliosis, France, 2004 to 2012","type":"article-journal","volume":"19"},"uris":["http://www.mendeley.com/documents/?uuid=369745cd-9a8d-4f41-b835-f48202372a48"]}],"mendeley":{"formattedCitation":"(14,30)","plainTextFormattedCitation":"(14,30)","previouslyFormattedCitation":"(14,30)"},"properties":{"noteIndex":0},"schema":"https://github.com/citation-style-language/schema/raw/master/csl-citation.json"}</w:instrText>
      </w:r>
      <w:r w:rsidR="00D53D2B" w:rsidRPr="005760FD">
        <w:rPr>
          <w:rFonts w:cstheme="minorHAnsi"/>
          <w:sz w:val="20"/>
          <w:szCs w:val="20"/>
        </w:rPr>
        <w:fldChar w:fldCharType="separate"/>
      </w:r>
      <w:r w:rsidR="00087BF7" w:rsidRPr="00087BF7">
        <w:rPr>
          <w:rFonts w:cstheme="minorHAnsi"/>
          <w:noProof/>
          <w:sz w:val="20"/>
          <w:szCs w:val="20"/>
        </w:rPr>
        <w:t>(14,30)</w:t>
      </w:r>
      <w:r w:rsidR="00D53D2B" w:rsidRPr="005760FD">
        <w:rPr>
          <w:rFonts w:cstheme="minorHAnsi"/>
          <w:sz w:val="20"/>
          <w:szCs w:val="20"/>
        </w:rPr>
        <w:fldChar w:fldCharType="end"/>
      </w:r>
      <w:r w:rsidR="004857CC" w:rsidRPr="005760FD">
        <w:rPr>
          <w:rFonts w:cstheme="minorHAnsi"/>
          <w:sz w:val="20"/>
          <w:szCs w:val="20"/>
        </w:rPr>
        <w:t>.</w:t>
      </w:r>
      <w:r w:rsidR="009640F5" w:rsidRPr="005760FD">
        <w:rPr>
          <w:rFonts w:cstheme="minorHAnsi"/>
          <w:sz w:val="20"/>
          <w:szCs w:val="20"/>
        </w:rPr>
        <w:t xml:space="preserve"> Finland and Norway </w:t>
      </w:r>
      <w:r w:rsidR="00D53D2B" w:rsidRPr="005760FD">
        <w:rPr>
          <w:rFonts w:cstheme="minorHAnsi"/>
          <w:sz w:val="20"/>
          <w:szCs w:val="20"/>
        </w:rPr>
        <w:t>have</w:t>
      </w:r>
      <w:r w:rsidR="009640F5" w:rsidRPr="00EF4FC5">
        <w:rPr>
          <w:rFonts w:cstheme="minorHAnsi"/>
          <w:sz w:val="20"/>
          <w:szCs w:val="20"/>
        </w:rPr>
        <w:t xml:space="preserve"> significantly more women</w:t>
      </w:r>
      <w:r w:rsidR="004857CC" w:rsidRPr="00EF4FC5">
        <w:rPr>
          <w:rFonts w:cstheme="minorHAnsi"/>
          <w:sz w:val="20"/>
          <w:szCs w:val="20"/>
        </w:rPr>
        <w:t xml:space="preserve"> </w:t>
      </w:r>
      <w:r w:rsidR="00D53D2B" w:rsidRPr="005760FD">
        <w:rPr>
          <w:rFonts w:cstheme="minorHAnsi"/>
          <w:sz w:val="20"/>
          <w:szCs w:val="20"/>
        </w:rPr>
        <w:fldChar w:fldCharType="begin" w:fldLock="1"/>
      </w:r>
      <w:r w:rsidR="006A4A4F" w:rsidRPr="00087BF7">
        <w:rPr>
          <w:rFonts w:cstheme="minorHAnsi"/>
          <w:sz w:val="20"/>
          <w:szCs w:val="20"/>
        </w:rPr>
        <w:instrText>ADDIN CSL_CITATION {"citationItems":[{"id":"ITEM-1","itemData":{"DOI":"https://dx.doi.org/10.3201/eid2308.161273","ISBN":"0753-3322 (Print)\\r0753-3322 (Linking)","ISSN":"07533322","PMID":"2686770","abstract":"In 1986-1988 there were 123 patients with positive serology for Lyme borreliosis out of 4000 sera referred to the Department of Bacteriology and Immunology, University of Helsinki. Of the 63 patients with positive serology in 1986-1987 20 showed a predominant involvement of the nervous system, 18 complained of joint symptoms and 11 patients merely showed a skin involvement including 8 patients with erythema chronicum migrans (ECM) and 3 patients with acrodermatitis chronica atrophicans (ACA). Two of the patients had unspedfic general symptoms and in 5 patients the type of involvement remained unknown. The serology was considered to be falsely positive in 2 patients with tuberculous meningitis, in one with syphilis and in another with recurrent fever. ?? 1988.","author":[{"dropping-particle":"","family":"Sajanti","given":"Eeva","non-dropping-particle":"","parse-names":false,"suffix":""},{"dropping-particle":"","family":"Virtanen","given":"Mikko","non-dropping-particle":"","parse-names":false,"suffix":""},{"dropping-particle":"","family":"Helve","given":"Otto","non-dropping-particle":"","parse-names":false,"suffix":""},{"dropping-particle":"","family":"Kussi","given":"Markku","non-dropping-particle":"","parse-names":false,"suffix":""},{"dropping-particle":"","family":"Lyytikainen","given":"Outi","non-dropping-particle":"","parse-names":false,"suffix":""},{"dropping-particle":"","family":"Hytonen","given":"Jukka","non-dropping-particle":"","parse-names":false,"suffix":""},{"dropping-particle":"","family":"Sane","given":"Jussi","non-dropping-particle":"","parse-names":false,"suffix":""}],"container-title":"Emerging infectious diseases","id":"ITEM-1","issue":"8","issued":{"date-parts":[["2017"]]},"page":"128-1288","title":"Lyme borreliosis in Finland in 1995-2014","type":"article-journal","volume":"23"},"uris":["http://www.mendeley.com/documents/?uuid=b12af0ee-1c00-41c2-9567-0c7ec4d4d748"]},{"id":"ITEM-2","itemData":{"DOI":"10.1016/j.ttbdis.2016.06.006","ISSN":"1877959X","PMID":"27475874","author":[{"dropping-particle":"","family":"Eliassen","given":"Knut Eirik","non-dropping-particle":"","parse-names":false,"suffix":""},{"dropping-particle":"","family":"Berild","given":"Dag","non-dropping-particle":"","parse-names":false,"suffix":""},{"dropping-particle":"","family":"Reiso","given":"Harald","non-dropping-particle":"","parse-names":false,"suffix":""},{"dropping-particle":"","family":"Grude","given":"Nils","non-dropping-particle":"","parse-names":false,"suffix":""},{"dropping-particle":"","family":"Christophersen","given":"Karen Sofie","non-dropping-particle":"","parse-names":false,"suffix":""},{"dropping-particle":"","family":"Finckenhagen","given":"Cecilie","non-dropping-particle":"","parse-names":false,"suffix":""},{"dropping-particle":"","family":"Lindbæk","given":"Morten","non-dropping-particle":"","parse-names":false,"suffix":""}],"container-title":"Ticks and Tick-borne Diseases","id":"ITEM-2","issued":{"date-parts":[["2016"]]},"page":"2-9","publisher":"Elsevier GmbH.","title":"Incidence and antibiotic treatment of erythema migrans in Norway 2005–2009","type":"article-journal"},"uris":["http://www.mendeley.com/documents/?uuid=5a8e5c68-e20a-4904-9875-ac593d57da84"]}],"mendeley":{"formattedCitation":"(15,16)","plainTextFormattedCitation":"(15,16)","previouslyFormattedCitation":"(15,16)"},"properties":{"noteIndex":0},"schema":"https://github.com/citation-style-language/schema/raw/master/csl-citation.json"}</w:instrText>
      </w:r>
      <w:r w:rsidR="00D53D2B" w:rsidRPr="005760FD">
        <w:rPr>
          <w:rFonts w:cstheme="minorHAnsi"/>
          <w:sz w:val="20"/>
          <w:szCs w:val="20"/>
        </w:rPr>
        <w:fldChar w:fldCharType="separate"/>
      </w:r>
      <w:r w:rsidR="006A4A4F" w:rsidRPr="005760FD">
        <w:rPr>
          <w:rFonts w:cstheme="minorHAnsi"/>
          <w:noProof/>
          <w:sz w:val="20"/>
          <w:szCs w:val="20"/>
        </w:rPr>
        <w:t>(15,16)</w:t>
      </w:r>
      <w:r w:rsidR="00D53D2B" w:rsidRPr="005760FD">
        <w:rPr>
          <w:rFonts w:cstheme="minorHAnsi"/>
          <w:sz w:val="20"/>
          <w:szCs w:val="20"/>
        </w:rPr>
        <w:fldChar w:fldCharType="end"/>
      </w:r>
      <w:r w:rsidR="004857CC" w:rsidRPr="005760FD">
        <w:rPr>
          <w:rFonts w:cstheme="minorHAnsi"/>
          <w:sz w:val="20"/>
          <w:szCs w:val="20"/>
        </w:rPr>
        <w:t>.</w:t>
      </w:r>
      <w:r w:rsidR="009640F5" w:rsidRPr="005760FD">
        <w:rPr>
          <w:rFonts w:cstheme="minorHAnsi"/>
          <w:sz w:val="20"/>
          <w:szCs w:val="20"/>
        </w:rPr>
        <w:t xml:space="preserve"> </w:t>
      </w:r>
      <w:bookmarkStart w:id="30" w:name="_Hlk529175562"/>
      <w:bookmarkStart w:id="31" w:name="_Hlk529171536"/>
      <w:r w:rsidR="001A01FD" w:rsidRPr="005760FD">
        <w:rPr>
          <w:rFonts w:cstheme="minorHAnsi"/>
          <w:sz w:val="20"/>
          <w:szCs w:val="20"/>
        </w:rPr>
        <w:t>The results from THIN</w:t>
      </w:r>
      <w:r w:rsidR="009640F5" w:rsidRPr="00EF4FC5">
        <w:rPr>
          <w:rFonts w:cstheme="minorHAnsi"/>
          <w:sz w:val="20"/>
          <w:szCs w:val="20"/>
        </w:rPr>
        <w:t xml:space="preserve"> indicat</w:t>
      </w:r>
      <w:r w:rsidR="001A01FD" w:rsidRPr="00EF4FC5">
        <w:rPr>
          <w:rFonts w:cstheme="minorHAnsi"/>
          <w:sz w:val="20"/>
          <w:szCs w:val="20"/>
        </w:rPr>
        <w:t>e</w:t>
      </w:r>
      <w:r w:rsidR="009640F5" w:rsidRPr="00EF4FC5">
        <w:rPr>
          <w:rFonts w:cstheme="minorHAnsi"/>
          <w:sz w:val="20"/>
          <w:szCs w:val="20"/>
        </w:rPr>
        <w:t xml:space="preserve"> </w:t>
      </w:r>
      <w:r w:rsidR="00D53D2B" w:rsidRPr="00EF4FC5">
        <w:rPr>
          <w:rFonts w:cstheme="minorHAnsi"/>
          <w:sz w:val="20"/>
          <w:szCs w:val="20"/>
        </w:rPr>
        <w:t xml:space="preserve">no </w:t>
      </w:r>
      <w:r w:rsidR="009640F5" w:rsidRPr="00EF4FC5">
        <w:rPr>
          <w:rFonts w:cstheme="minorHAnsi"/>
          <w:sz w:val="20"/>
          <w:szCs w:val="20"/>
        </w:rPr>
        <w:t>diff</w:t>
      </w:r>
      <w:r w:rsidR="00D53D2B" w:rsidRPr="00EF4FC5">
        <w:rPr>
          <w:rFonts w:cstheme="minorHAnsi"/>
          <w:sz w:val="20"/>
          <w:szCs w:val="20"/>
        </w:rPr>
        <w:t>erence</w:t>
      </w:r>
      <w:r w:rsidR="009640F5" w:rsidRPr="00EF4FC5">
        <w:rPr>
          <w:rFonts w:cstheme="minorHAnsi"/>
          <w:sz w:val="20"/>
          <w:szCs w:val="20"/>
        </w:rPr>
        <w:t xml:space="preserve"> </w:t>
      </w:r>
      <w:r w:rsidR="007D4B77" w:rsidRPr="00EF4FC5">
        <w:rPr>
          <w:rFonts w:cstheme="minorHAnsi"/>
          <w:sz w:val="20"/>
          <w:szCs w:val="20"/>
        </w:rPr>
        <w:t xml:space="preserve">in </w:t>
      </w:r>
      <w:r w:rsidR="008A3C41" w:rsidRPr="00EF4FC5">
        <w:rPr>
          <w:rFonts w:cstheme="minorHAnsi"/>
          <w:sz w:val="20"/>
          <w:szCs w:val="20"/>
        </w:rPr>
        <w:t xml:space="preserve">the </w:t>
      </w:r>
      <w:r w:rsidR="00D36227" w:rsidRPr="00EF4FC5">
        <w:rPr>
          <w:rFonts w:cstheme="minorHAnsi"/>
          <w:sz w:val="20"/>
          <w:szCs w:val="20"/>
        </w:rPr>
        <w:t>incidence</w:t>
      </w:r>
      <w:r w:rsidR="007D4B77" w:rsidRPr="00EF4FC5">
        <w:rPr>
          <w:rFonts w:cstheme="minorHAnsi"/>
          <w:sz w:val="20"/>
          <w:szCs w:val="20"/>
        </w:rPr>
        <w:t xml:space="preserve"> </w:t>
      </w:r>
      <w:r w:rsidR="009640F5" w:rsidRPr="00EF4FC5">
        <w:rPr>
          <w:rFonts w:cstheme="minorHAnsi"/>
          <w:sz w:val="20"/>
          <w:szCs w:val="20"/>
        </w:rPr>
        <w:t>between sexes</w:t>
      </w:r>
      <w:bookmarkEnd w:id="30"/>
      <w:r w:rsidR="0021361A" w:rsidRPr="00087BF7">
        <w:rPr>
          <w:rFonts w:cstheme="minorHAnsi"/>
          <w:sz w:val="20"/>
          <w:szCs w:val="20"/>
        </w:rPr>
        <w:t xml:space="preserve"> at a national</w:t>
      </w:r>
      <w:r w:rsidR="005760FD" w:rsidRPr="00087BF7">
        <w:rPr>
          <w:rFonts w:cstheme="minorHAnsi"/>
          <w:sz w:val="20"/>
          <w:szCs w:val="20"/>
        </w:rPr>
        <w:t xml:space="preserve"> level</w:t>
      </w:r>
      <w:r w:rsidR="0021361A" w:rsidRPr="00087BF7">
        <w:rPr>
          <w:rFonts w:cstheme="minorHAnsi"/>
          <w:sz w:val="20"/>
          <w:szCs w:val="20"/>
        </w:rPr>
        <w:t>.</w:t>
      </w:r>
      <w:r w:rsidR="00BF23D2" w:rsidRPr="005760FD">
        <w:rPr>
          <w:rFonts w:cstheme="minorHAnsi"/>
          <w:sz w:val="20"/>
          <w:szCs w:val="20"/>
        </w:rPr>
        <w:t xml:space="preserve"> </w:t>
      </w:r>
      <w:r w:rsidR="0021361A" w:rsidRPr="00BA4EAF">
        <w:rPr>
          <w:rFonts w:cstheme="minorHAnsi"/>
          <w:sz w:val="20"/>
          <w:szCs w:val="20"/>
        </w:rPr>
        <w:t>H</w:t>
      </w:r>
      <w:r w:rsidR="001A01FD" w:rsidRPr="005760FD">
        <w:rPr>
          <w:rFonts w:cstheme="minorHAnsi"/>
          <w:sz w:val="20"/>
          <w:szCs w:val="20"/>
        </w:rPr>
        <w:t>owever,</w:t>
      </w:r>
      <w:r w:rsidR="00A24E6E" w:rsidRPr="005760FD">
        <w:rPr>
          <w:rFonts w:cstheme="minorHAnsi"/>
          <w:sz w:val="20"/>
          <w:szCs w:val="20"/>
        </w:rPr>
        <w:t xml:space="preserve"> </w:t>
      </w:r>
      <w:r w:rsidR="00A24E6E" w:rsidRPr="00EF4FC5">
        <w:rPr>
          <w:rFonts w:cstheme="minorHAnsi"/>
          <w:sz w:val="20"/>
          <w:szCs w:val="20"/>
        </w:rPr>
        <w:t xml:space="preserve">local </w:t>
      </w:r>
      <w:r w:rsidR="00BF23D2" w:rsidRPr="00EF4FC5">
        <w:rPr>
          <w:rFonts w:cstheme="minorHAnsi"/>
          <w:sz w:val="20"/>
          <w:szCs w:val="20"/>
        </w:rPr>
        <w:t xml:space="preserve">differences </w:t>
      </w:r>
      <w:r w:rsidR="00A24E6E" w:rsidRPr="00EF4FC5">
        <w:rPr>
          <w:rFonts w:cstheme="minorHAnsi"/>
          <w:sz w:val="20"/>
          <w:szCs w:val="20"/>
        </w:rPr>
        <w:t xml:space="preserve">may exist relating </w:t>
      </w:r>
      <w:r w:rsidR="00BF23D2" w:rsidRPr="00EF4FC5">
        <w:rPr>
          <w:rFonts w:cstheme="minorHAnsi"/>
          <w:sz w:val="20"/>
          <w:szCs w:val="20"/>
        </w:rPr>
        <w:t xml:space="preserve">to differences in </w:t>
      </w:r>
      <w:r w:rsidR="00D36227" w:rsidRPr="00EF4FC5">
        <w:rPr>
          <w:rFonts w:cstheme="minorHAnsi"/>
          <w:sz w:val="20"/>
          <w:szCs w:val="20"/>
        </w:rPr>
        <w:t xml:space="preserve">tick </w:t>
      </w:r>
      <w:r w:rsidR="00862348" w:rsidRPr="00EF4FC5">
        <w:rPr>
          <w:rFonts w:cstheme="minorHAnsi"/>
          <w:sz w:val="20"/>
          <w:szCs w:val="20"/>
        </w:rPr>
        <w:t>exposure or presentation to</w:t>
      </w:r>
      <w:r w:rsidR="00BF23D2" w:rsidRPr="00EF4FC5">
        <w:rPr>
          <w:rFonts w:cstheme="minorHAnsi"/>
          <w:sz w:val="20"/>
          <w:szCs w:val="20"/>
        </w:rPr>
        <w:t xml:space="preserve"> health services</w:t>
      </w:r>
      <w:bookmarkEnd w:id="31"/>
      <w:r w:rsidR="001A01FD" w:rsidRPr="00EF4FC5">
        <w:rPr>
          <w:rFonts w:cstheme="minorHAnsi"/>
          <w:sz w:val="20"/>
          <w:szCs w:val="20"/>
        </w:rPr>
        <w:t xml:space="preserve"> </w:t>
      </w:r>
      <w:r w:rsidR="001A01FD" w:rsidRPr="005760FD">
        <w:rPr>
          <w:rFonts w:cstheme="minorHAnsi"/>
          <w:sz w:val="20"/>
          <w:szCs w:val="20"/>
        </w:rPr>
        <w:fldChar w:fldCharType="begin" w:fldLock="1"/>
      </w:r>
      <w:r w:rsidR="00087BF7">
        <w:rPr>
          <w:rFonts w:cstheme="minorHAnsi"/>
          <w:sz w:val="20"/>
          <w:szCs w:val="20"/>
        </w:rPr>
        <w:instrText>ADDIN CSL_CITATION {"citationItems":[{"id":"ITEM-1","itemData":{"DOI":"10.1136/bmjopen-2013-003320","ISSN":"2044-6055","PMID":"23959757","abstract":"OBJECTIVE To examine whether gender differences in primary care consultation rates (1) vary by age and deprivation status and (2) diminish when consultation for reproductive reasons or common underlying morbidities are accounted for. DESIGN Cross-sectional study of a cohort of patients registered with general practice. SETTING UK primary care. SUBJECTS Patients (1 869 149 men and 1 916 898 women) registered with 446 eligible practices in 2010. PRIMARY OUTCOME MEASURES Primary care consultation rate. RESULTS This study analyses routinely collected primary care consultation data. The crude consultation rate was 32% lower in men than women. The magnitude of gender difference varied across the life course, and there was no 'excess' female consulting in early and later life. The greatest gender gap in primary care consultations was seen among those aged between 16 and 60 years. Gender differences in consulting were higher in people from more deprived areas than among those from more affluent areas. Accounting for reproductive-related consultations diminished but did not eradicate the gender gap. However, consultation rates in men and women who had comparable underlying morbidities (as assessed by receipt of medication) were similar; men in receipt of antidepressant medication were only 8% less likely to consult than women in receipt of antidepressant medication (relative risk (RR) 0.916, 95% CI 0.913 to 0.918), and men in receipt of medication to treat cardiovascular disease were just 5% less likely to consult (RR=0.950, 95% CI 0.948 to 0.952) than women receiving similar medication. These small gender differences diminished further, particularly for depression (RR=0.950, 95% CI 0.947 to 0.953), after also taking account of reproductive consultations. CONCLUSIONS Overall gender differences in consulting are most marked between the ages of 16 and 60 years; these differences are only partially accounted for by consultations for reproductive reasons. Differences in consultation rates between men and women were largely eradicated when comparing men and women in receipt of medication for similar underlying morbidities.","author":[{"dropping-particle":"","family":"Wang","given":"Yingying","non-dropping-particle":"","parse-names":false,"suffix":""},{"dropping-particle":"","family":"Hunt","given":"Kate","non-dropping-particle":"","parse-names":false,"suffix":""},{"dropping-particle":"","family":"Nazareth","given":"Irwin","non-dropping-particle":"","parse-names":false,"suffix":""},{"dropping-particle":"","family":"Freemantle","given":"Nick","non-dropping-particle":"","parse-names":false,"suffix":""},{"dropping-particle":"","family":"Petersen","given":"Irene","non-dropping-particle":"","parse-names":false,"suffix":""}],"container-title":"BMJ Open","id":"ITEM-1","issue":"8","issued":{"date-parts":[["2013"]]},"page":"e003320","title":"Do men consult less than women? An analysis of routinely collected UK general practice data","type":"article-journal","volume":"3"},"uris":["http://www.mendeley.com/documents/?uuid=0671aad1-89a8-4142-9364-9ba9dac42aa6"]}],"mendeley":{"formattedCitation":"(41)","plainTextFormattedCitation":"(41)","previouslyFormattedCitation":"(41)"},"properties":{"noteIndex":0},"schema":"https://github.com/citation-style-language/schema/raw/master/csl-citation.json"}</w:instrText>
      </w:r>
      <w:r w:rsidR="001A01FD" w:rsidRPr="005760FD">
        <w:rPr>
          <w:rFonts w:cstheme="minorHAnsi"/>
          <w:sz w:val="20"/>
          <w:szCs w:val="20"/>
        </w:rPr>
        <w:fldChar w:fldCharType="separate"/>
      </w:r>
      <w:r w:rsidR="00087BF7" w:rsidRPr="00087BF7">
        <w:rPr>
          <w:rFonts w:cstheme="minorHAnsi"/>
          <w:noProof/>
          <w:sz w:val="20"/>
          <w:szCs w:val="20"/>
        </w:rPr>
        <w:t>(41)</w:t>
      </w:r>
      <w:r w:rsidR="001A01FD" w:rsidRPr="005760FD">
        <w:rPr>
          <w:rFonts w:cstheme="minorHAnsi"/>
          <w:sz w:val="20"/>
          <w:szCs w:val="20"/>
        </w:rPr>
        <w:fldChar w:fldCharType="end"/>
      </w:r>
      <w:r w:rsidR="00BF23D2" w:rsidRPr="005760FD">
        <w:rPr>
          <w:rFonts w:cstheme="minorHAnsi"/>
          <w:sz w:val="20"/>
          <w:szCs w:val="20"/>
        </w:rPr>
        <w:t>.</w:t>
      </w:r>
      <w:r w:rsidR="00D53D2B" w:rsidRPr="005760FD">
        <w:rPr>
          <w:rFonts w:cstheme="minorHAnsi"/>
          <w:sz w:val="20"/>
          <w:szCs w:val="20"/>
        </w:rPr>
        <w:t xml:space="preserve"> </w:t>
      </w:r>
      <w:r w:rsidR="0021361A" w:rsidRPr="005760FD">
        <w:rPr>
          <w:rFonts w:cstheme="minorHAnsi"/>
          <w:sz w:val="20"/>
          <w:szCs w:val="20"/>
        </w:rPr>
        <w:t xml:space="preserve">This was </w:t>
      </w:r>
      <w:r w:rsidR="0021361A" w:rsidRPr="00BA4EAF">
        <w:rPr>
          <w:rFonts w:cstheme="minorHAnsi"/>
          <w:sz w:val="20"/>
          <w:szCs w:val="20"/>
        </w:rPr>
        <w:t>exemplified by the second model</w:t>
      </w:r>
      <w:r w:rsidR="005760FD" w:rsidRPr="00BA4EAF">
        <w:rPr>
          <w:rFonts w:cstheme="minorHAnsi"/>
          <w:sz w:val="20"/>
          <w:szCs w:val="20"/>
        </w:rPr>
        <w:t>, representi</w:t>
      </w:r>
      <w:r w:rsidR="0021361A" w:rsidRPr="00BA4EAF">
        <w:rPr>
          <w:rFonts w:cstheme="minorHAnsi"/>
          <w:sz w:val="20"/>
          <w:szCs w:val="20"/>
        </w:rPr>
        <w:t xml:space="preserve">ng England and Wales, that had </w:t>
      </w:r>
      <w:r w:rsidR="0021361A" w:rsidRPr="005760FD">
        <w:rPr>
          <w:rFonts w:cstheme="minorHAnsi"/>
          <w:sz w:val="20"/>
          <w:szCs w:val="20"/>
        </w:rPr>
        <w:t>a higher incidence in women.</w:t>
      </w:r>
      <w:r w:rsidR="0021361A">
        <w:rPr>
          <w:rFonts w:cstheme="minorHAnsi"/>
          <w:sz w:val="20"/>
          <w:szCs w:val="20"/>
        </w:rPr>
        <w:t xml:space="preserve"> </w:t>
      </w:r>
    </w:p>
    <w:p w14:paraId="6482A193" w14:textId="788DE155" w:rsidR="00A324FC" w:rsidRPr="00F6739D" w:rsidRDefault="006C5515" w:rsidP="00A324FC">
      <w:pPr>
        <w:spacing w:line="480" w:lineRule="auto"/>
        <w:jc w:val="both"/>
        <w:rPr>
          <w:rFonts w:cstheme="minorHAnsi"/>
          <w:sz w:val="20"/>
          <w:szCs w:val="20"/>
          <w:highlight w:val="yellow"/>
        </w:rPr>
      </w:pPr>
      <w:r>
        <w:rPr>
          <w:rFonts w:cstheme="minorHAnsi"/>
          <w:sz w:val="20"/>
          <w:szCs w:val="20"/>
        </w:rPr>
        <w:t>There is building evidence</w:t>
      </w:r>
      <w:r w:rsidR="00122768" w:rsidRPr="00D12416">
        <w:rPr>
          <w:rFonts w:cstheme="minorHAnsi"/>
          <w:sz w:val="20"/>
          <w:szCs w:val="20"/>
        </w:rPr>
        <w:t xml:space="preserve"> </w:t>
      </w:r>
      <w:r w:rsidR="00337B57" w:rsidRPr="00D12416">
        <w:rPr>
          <w:rFonts w:cstheme="minorHAnsi"/>
          <w:sz w:val="20"/>
          <w:szCs w:val="20"/>
        </w:rPr>
        <w:t>that</w:t>
      </w:r>
      <w:r w:rsidR="00863769" w:rsidRPr="00D12416">
        <w:rPr>
          <w:rFonts w:cstheme="minorHAnsi"/>
          <w:sz w:val="20"/>
          <w:szCs w:val="20"/>
        </w:rPr>
        <w:t xml:space="preserve"> </w:t>
      </w:r>
      <w:r w:rsidR="00122768" w:rsidRPr="00D12416">
        <w:rPr>
          <w:rFonts w:cstheme="minorHAnsi"/>
          <w:sz w:val="20"/>
          <w:szCs w:val="20"/>
        </w:rPr>
        <w:t>areas with higher Lyme disease incidence</w:t>
      </w:r>
      <w:r w:rsidR="004857CC" w:rsidRPr="00D12416">
        <w:rPr>
          <w:rFonts w:cstheme="minorHAnsi"/>
          <w:sz w:val="20"/>
          <w:szCs w:val="20"/>
        </w:rPr>
        <w:t xml:space="preserve"> are likely to be less deprived </w:t>
      </w:r>
      <w:r w:rsidR="00122768" w:rsidRPr="00D12416">
        <w:rPr>
          <w:rFonts w:cstheme="minorHAnsi"/>
          <w:sz w:val="20"/>
          <w:szCs w:val="20"/>
        </w:rPr>
        <w:fldChar w:fldCharType="begin" w:fldLock="1"/>
      </w:r>
      <w:r w:rsidR="00087BF7">
        <w:rPr>
          <w:rFonts w:cstheme="minorHAnsi"/>
          <w:sz w:val="20"/>
          <w:szCs w:val="20"/>
        </w:rPr>
        <w:instrText>ADDIN CSL_CITATION {"citationItems":[{"id":"ITEM-1","itemData":{"DOI":"10.1093/ije/dyi284","ISBN":"0300-5771","ISSN":"03005771","PMID":"16394113","abstract":"BACKGROUND: Incidence of Lyme disease in the US continues to grow. Low-density development is also increasing in endemic regions, raising questions about the relationship between development pattern and disease. This study sought to model Lyme disease incidence rate using quantitative, practical metrics of regional landscape pattern. The objective was to progress towards the development of design guidelines that may help minimize known threats to human and environmental health. METHODS: Ecological analysis was used to accommodate the integral landscape variables under study. Case data derived from passive surveillance reports across 12 counties in the US state of Maryland during 1996-2000; 2,137 cases were spatially referenced to residential addresses. Major roads were used to delineate 514 landscape analysis units from 0.002 to 580 km(2). RESULTS: The parameter that explained the most variation in incidence rate was the percentage of land-cover edge represented by the adjacency of forest and herbaceous cover [R(2) = 0.75; rate ratio = 1.34 (1.26-1.43); P &lt; 0.0001]. Also highly significant was the percentage of the landscape in forest cover (cumulative R(2) = 0.82), which exhibited a quadratic relationship with incidence rate. Modelled relationships applied throughout the range of landscape sizes. CONCLUSIONS: Results begin to provide quantitative landscape design parameters for reducing casual peridomestic contact with tick and host habitat. The final model suggests that clustered forest and herbaceous cover, as opposed to high forest-herbaceous interspersion, would minimize Lyme disease risk in low-density residential areas. Higher-density development that precludes a large percentage of forest-herbaceous edge would also limit exposure.","author":[{"dropping-particle":"","family":"Jackson","given":"Laura E.","non-dropping-particle":"","parse-names":false,"suffix":""},{"dropping-particle":"","family":"Hilborn","given":"Elizabeth D.","non-dropping-particle":"","parse-names":false,"suffix":""},{"dropping-particle":"","family":"Thomas","given":"James C.","non-dropping-particle":"","parse-names":false,"suffix":""}],"container-title":"International Journal of Epidemiology","id":"ITEM-1","issue":"2","issued":{"date-parts":[["2006"]]},"page":"315-322","title":"Towards landscape design guidelines for reducing Lyme disease risk","type":"article-journal","volume":"35"},"uris":["http://www.mendeley.com/documents/?uuid=4845690a-5042-4ff2-9b52-57058b924cc4"]},{"id":"ITEM-2","itemData":{"DOI":"10.1556/ComEc.7.2006.2.6","ISBN":"1585-8553","ISSN":"15858553 15882756","PMID":"370","abstract":"The rational definition of spatial analysis units is critical to modeling and understanding large-scale ecological processes. This study assessed the relationship between forest-edge habitat pattern and Lyme disease incidence rate when modeled under three designs for spatial data aggregation. Incidence rates were calculated from passive surveillance data reported for 12 counties in the U.S. State of Maryland during 1996-2000. A design using road-bounded polygons that varied in size from 0.002 km(2) to 368 km(2) (n = 415) was compared with designs that used grid cells of 10 km(2) (n = 823) and 36 km (n = 230). Major roads were chosen to approximate bounded populations of deer and humans engaged in outdoor activity around the home (peridomestic activity). While cell boundaries were arbitrary, cell sizes were chosen to eliminate outliers observed in small polygons, and to standardize the presumed zone of exposure. The single variable that explained the most variation in incidence rate across all study designs was percent of herbaceous edge adjacent to forest. The multi-variable model with the strongest explanatory power (R-2 = 0.87) resulted from the road-bounded design. Furthermore, this design controlled for spatial autocorrelation (p = 0.064), which was highly significant in both grid designs (p = 0.002). Findings demonstrate the utility of roads to delimit distinct zones of human-environment interaction, including development intensity and peridomestic contact with wildlife habitat. This study emphasizes the importance of judicious boundary selection to spatial models with the potential for real-world applications in landscape planning and design.","author":[{"dropping-particle":"","family":"Jackson","given":"L E","non-dropping-particle":"","parse-names":false,"suffix":""},{"dropping-particle":"","family":"Levine","given":"J F","non-dropping-particle":"","parse-names":false,"suffix":""},{"dropping-particle":"","family":"Hilborn","given":"E D","non-dropping-particle":"","parse-names":false,"suffix":""}],"container-title":"Community Ecology","id":"ITEM-2","issue":"December 2006","issued":{"date-parts":[["2006"]]},"page":"189-197","title":"A comparison of analysis units for associating Lyme disease with forest-edge habitat","type":"article-journal","volume":"7"},"uris":["http://www.mendeley.com/documents/?uuid=fa95106c-00fc-4d37-90e8-19091eac1d78"]},{"id":"ITEM-3","itemData":{"author":[{"dropping-particle":"","family":"Tulloch","given":"J. S. P.","non-dropping-particle":"","parse-names":false,"suffix":""},{"dropping-particle":"","family":"Semper","given":"A","non-dropping-particle":"","parse-names":false,"suffix":""},{"dropping-particle":"","family":"Brooks","given":"T","non-dropping-particle":"","parse-names":false,"suffix":""},{"dropping-particle":"","family":"Russell","given":"K","non-dropping-particle":"","parse-names":false,"suffix":""},{"dropping-particle":"","family":"Halsby","given":"K","non-dropping-particle":"","parse-names":false,"suffix":""},{"dropping-particle":"","family":"Christley","given":"R","non-dropping-particle":"","parse-names":false,"suffix":""},{"dropping-particle":"","family":"Radford","given":"A","non-dropping-particle":"","parse-names":false,"suffix":""},{"dropping-particle":"","family":"Vivancos","given":"R","non-dropping-particle":"","parse-names":false,"suffix":""},{"dropping-particle":"","family":"Warner","given":"J","non-dropping-particle":"","parse-names":false,"suffix":""}],"container-title":"BMJ Open","id":"ITEM-3","issued":{"date-parts":[["2019"]]},"title":"The demographics and geographic distribution of laboratory-confirmed Lyme disease cases in England and Wales (2013-2016): an ecological study","type":"article-journal"},"uris":["http://www.mendeley.com/documents/?uuid=e4a3e3e9-ceb1-41a8-ae79-31e73bc578a3"]},{"id":"ITEM-4","itemData":{"author":[{"dropping-particle":"","family":"Tulloch","given":"J. S. P.","non-dropping-particle":"","parse-names":false,"suffix":""},{"dropping-particle":"","family":"Decraene","given":"V","non-dropping-particle":"","parse-names":false,"suffix":""},{"dropping-particle":"","family":"Christley","given":"R","non-dropping-particle":"","parse-names":false,"suffix":""},{"dropping-particle":"","family":"Radford","given":"A. D.","non-dropping-particle":"","parse-names":false,"suffix":""},{"dropping-particle":"","family":"Warner","given":"J","non-dropping-particle":"","parse-names":false,"suffix":""},{"dropping-particle":"","family":"Vivancos","given":"R","non-dropping-particle":"","parse-names":false,"suffix":""}],"container-title":"BMC public health","id":"ITEM-4","issued":{"date-parts":[["2019"]]},"title":"Characteristics and patient pathways of Lyme disease patients: a retrospective analysis of hospital episode data in England and Wales (1998 - 2015)","type":"article-journal"},"uris":["http://www.mendeley.com/documents/?uuid=f44b40f8-9254-473b-adc6-0b7cd37e3043"]}],"mendeley":{"formattedCitation":"(11,38,42,43)","plainTextFormattedCitation":"(11,38,42,43)","previouslyFormattedCitation":"(11,38,42,43)"},"properties":{"noteIndex":0},"schema":"https://github.com/citation-style-language/schema/raw/master/csl-citation.json"}</w:instrText>
      </w:r>
      <w:r w:rsidR="00122768" w:rsidRPr="00D12416">
        <w:rPr>
          <w:rFonts w:cstheme="minorHAnsi"/>
          <w:sz w:val="20"/>
          <w:szCs w:val="20"/>
        </w:rPr>
        <w:fldChar w:fldCharType="separate"/>
      </w:r>
      <w:r w:rsidR="00087BF7" w:rsidRPr="00087BF7">
        <w:rPr>
          <w:rFonts w:cstheme="minorHAnsi"/>
          <w:noProof/>
          <w:sz w:val="20"/>
          <w:szCs w:val="20"/>
        </w:rPr>
        <w:t>(11,38,42,43)</w:t>
      </w:r>
      <w:r w:rsidR="00122768" w:rsidRPr="00D12416">
        <w:rPr>
          <w:rFonts w:cstheme="minorHAnsi"/>
          <w:sz w:val="20"/>
          <w:szCs w:val="20"/>
        </w:rPr>
        <w:fldChar w:fldCharType="end"/>
      </w:r>
      <w:r w:rsidR="004857CC" w:rsidRPr="00D12416">
        <w:rPr>
          <w:rFonts w:cstheme="minorHAnsi"/>
          <w:sz w:val="20"/>
          <w:szCs w:val="20"/>
        </w:rPr>
        <w:t>.</w:t>
      </w:r>
      <w:r w:rsidR="00122768" w:rsidRPr="00D12416">
        <w:rPr>
          <w:rFonts w:cstheme="minorHAnsi"/>
          <w:sz w:val="20"/>
          <w:szCs w:val="20"/>
        </w:rPr>
        <w:t xml:space="preserve"> </w:t>
      </w:r>
      <w:r w:rsidR="00AF328C" w:rsidRPr="00CA121F">
        <w:rPr>
          <w:rFonts w:cstheme="minorHAnsi"/>
          <w:sz w:val="20"/>
          <w:szCs w:val="20"/>
        </w:rPr>
        <w:t xml:space="preserve">The current analysis was able to show that socio-economic and rural-urban status were significantly and independently associated with Lyme disease incidence. There is obviously a complex interplay between ethnicity, socio-economic status and place of residence of a case, probably related with either outdoor employment or leisure activities. </w:t>
      </w:r>
      <w:r w:rsidR="00122768" w:rsidRPr="00D12416">
        <w:rPr>
          <w:rFonts w:cstheme="minorHAnsi"/>
          <w:sz w:val="20"/>
          <w:szCs w:val="20"/>
        </w:rPr>
        <w:t xml:space="preserve">The results </w:t>
      </w:r>
      <w:r>
        <w:rPr>
          <w:rFonts w:cstheme="minorHAnsi"/>
          <w:sz w:val="20"/>
          <w:szCs w:val="20"/>
        </w:rPr>
        <w:t>add to</w:t>
      </w:r>
      <w:r w:rsidR="00122768" w:rsidRPr="00D12416">
        <w:rPr>
          <w:rFonts w:cstheme="minorHAnsi"/>
          <w:sz w:val="20"/>
          <w:szCs w:val="20"/>
        </w:rPr>
        <w:t xml:space="preserve"> </w:t>
      </w:r>
      <w:r w:rsidR="00FC154A" w:rsidRPr="00D12416">
        <w:rPr>
          <w:rFonts w:cstheme="minorHAnsi"/>
          <w:sz w:val="20"/>
          <w:szCs w:val="20"/>
        </w:rPr>
        <w:t>previous hypotheses</w:t>
      </w:r>
      <w:r w:rsidR="00D63EC8" w:rsidRPr="00D12416">
        <w:rPr>
          <w:rFonts w:cstheme="minorHAnsi"/>
          <w:sz w:val="20"/>
          <w:szCs w:val="20"/>
        </w:rPr>
        <w:t xml:space="preserve"> that use and access to the countryside is a driver of Lyme disease risk</w:t>
      </w:r>
      <w:r w:rsidR="00FC154A" w:rsidRPr="00D12416">
        <w:rPr>
          <w:rFonts w:cstheme="minorHAnsi"/>
          <w:sz w:val="20"/>
          <w:szCs w:val="20"/>
        </w:rPr>
        <w:t xml:space="preserve">. </w:t>
      </w:r>
    </w:p>
    <w:p w14:paraId="51CCD796" w14:textId="79B41346" w:rsidR="009261EB" w:rsidRDefault="00D906E1" w:rsidP="00693035">
      <w:pPr>
        <w:spacing w:line="480" w:lineRule="auto"/>
        <w:jc w:val="both"/>
        <w:rPr>
          <w:rFonts w:cstheme="minorHAnsi"/>
          <w:sz w:val="20"/>
          <w:szCs w:val="20"/>
        </w:rPr>
      </w:pPr>
      <w:r w:rsidRPr="00D12416">
        <w:rPr>
          <w:rFonts w:cstheme="minorHAnsi"/>
          <w:sz w:val="20"/>
          <w:szCs w:val="20"/>
        </w:rPr>
        <w:t xml:space="preserve">In England 45% of all outdoor visits were to the countryside, 68% of these were within </w:t>
      </w:r>
      <w:r w:rsidR="00244F7D" w:rsidRPr="00D12416">
        <w:rPr>
          <w:rFonts w:cstheme="minorHAnsi"/>
          <w:sz w:val="20"/>
          <w:szCs w:val="20"/>
        </w:rPr>
        <w:t>two</w:t>
      </w:r>
      <w:r w:rsidRPr="00D12416">
        <w:rPr>
          <w:rFonts w:cstheme="minorHAnsi"/>
          <w:sz w:val="20"/>
          <w:szCs w:val="20"/>
        </w:rPr>
        <w:t xml:space="preserve"> miles from their starting point (usually </w:t>
      </w:r>
      <w:r w:rsidR="001310EA" w:rsidRPr="00D12416">
        <w:rPr>
          <w:rFonts w:cstheme="minorHAnsi"/>
          <w:sz w:val="20"/>
          <w:szCs w:val="20"/>
        </w:rPr>
        <w:t>a</w:t>
      </w:r>
      <w:r w:rsidRPr="00D12416">
        <w:rPr>
          <w:rFonts w:cstheme="minorHAnsi"/>
          <w:sz w:val="20"/>
          <w:szCs w:val="20"/>
        </w:rPr>
        <w:t xml:space="preserve"> home address), and that people were less likely to visit if they were from a </w:t>
      </w:r>
      <w:bookmarkStart w:id="32" w:name="_Hlk15374321"/>
      <w:r w:rsidRPr="00D12416">
        <w:rPr>
          <w:rFonts w:cstheme="minorHAnsi"/>
          <w:sz w:val="20"/>
          <w:szCs w:val="20"/>
        </w:rPr>
        <w:t xml:space="preserve">BAME (Black, </w:t>
      </w:r>
      <w:r w:rsidR="002C74F2" w:rsidRPr="00D12416">
        <w:rPr>
          <w:rFonts w:cstheme="minorHAnsi"/>
          <w:sz w:val="20"/>
          <w:szCs w:val="20"/>
        </w:rPr>
        <w:t>Asian</w:t>
      </w:r>
      <w:r w:rsidRPr="00D12416">
        <w:rPr>
          <w:rFonts w:cstheme="minorHAnsi"/>
          <w:sz w:val="20"/>
          <w:szCs w:val="20"/>
        </w:rPr>
        <w:t xml:space="preserve">, minority ethnic) </w:t>
      </w:r>
      <w:bookmarkEnd w:id="32"/>
      <w:r w:rsidRPr="00D12416">
        <w:rPr>
          <w:rFonts w:cstheme="minorHAnsi"/>
          <w:sz w:val="20"/>
          <w:szCs w:val="20"/>
        </w:rPr>
        <w:t xml:space="preserve">background, or from a </w:t>
      </w:r>
      <w:r w:rsidR="00337B57" w:rsidRPr="00D12416">
        <w:rPr>
          <w:rFonts w:cstheme="minorHAnsi"/>
          <w:sz w:val="20"/>
          <w:szCs w:val="20"/>
        </w:rPr>
        <w:t>‘</w:t>
      </w:r>
      <w:r w:rsidRPr="00D12416">
        <w:rPr>
          <w:rFonts w:cstheme="minorHAnsi"/>
          <w:sz w:val="20"/>
          <w:szCs w:val="20"/>
        </w:rPr>
        <w:t>DE</w:t>
      </w:r>
      <w:r w:rsidR="00337B57" w:rsidRPr="00D12416">
        <w:rPr>
          <w:rFonts w:cstheme="minorHAnsi"/>
          <w:sz w:val="20"/>
          <w:szCs w:val="20"/>
        </w:rPr>
        <w:t>’</w:t>
      </w:r>
      <w:r w:rsidRPr="00D12416">
        <w:rPr>
          <w:rFonts w:cstheme="minorHAnsi"/>
          <w:sz w:val="20"/>
          <w:szCs w:val="20"/>
        </w:rPr>
        <w:t xml:space="preserve"> social </w:t>
      </w:r>
      <w:r w:rsidR="001234BC" w:rsidRPr="00D12416">
        <w:rPr>
          <w:rFonts w:cstheme="minorHAnsi"/>
          <w:sz w:val="20"/>
          <w:szCs w:val="20"/>
        </w:rPr>
        <w:t xml:space="preserve">group </w:t>
      </w:r>
      <w:r w:rsidRPr="00D12416">
        <w:rPr>
          <w:rFonts w:cstheme="minorHAnsi"/>
          <w:sz w:val="20"/>
          <w:szCs w:val="20"/>
        </w:rPr>
        <w:t>(</w:t>
      </w:r>
      <w:r w:rsidR="001310EA" w:rsidRPr="00D12416">
        <w:rPr>
          <w:rFonts w:cstheme="minorHAnsi"/>
          <w:sz w:val="20"/>
          <w:szCs w:val="20"/>
        </w:rPr>
        <w:t>i.e.</w:t>
      </w:r>
      <w:r w:rsidRPr="00D12416">
        <w:rPr>
          <w:rFonts w:cstheme="minorHAnsi"/>
          <w:sz w:val="20"/>
          <w:szCs w:val="20"/>
        </w:rPr>
        <w:t xml:space="preserve"> semi-skilled and unskilled occupations, unemployed and lowest grade occupations)</w:t>
      </w:r>
      <w:r w:rsidR="004857CC" w:rsidRPr="00D12416">
        <w:rPr>
          <w:rFonts w:cstheme="minorHAnsi"/>
          <w:sz w:val="20"/>
          <w:szCs w:val="20"/>
        </w:rPr>
        <w:t xml:space="preserve"> </w:t>
      </w:r>
      <w:r w:rsidRPr="00D12416">
        <w:rPr>
          <w:rFonts w:cstheme="minorHAnsi"/>
          <w:sz w:val="20"/>
          <w:szCs w:val="20"/>
        </w:rPr>
        <w:fldChar w:fldCharType="begin" w:fldLock="1"/>
      </w:r>
      <w:r w:rsidR="00087BF7">
        <w:rPr>
          <w:rFonts w:cstheme="minorHAnsi"/>
          <w:sz w:val="20"/>
          <w:szCs w:val="20"/>
        </w:rPr>
        <w:instrText xml:space="preserve">ADDIN CSL_CITATION {"citationItems":[{"id":"ITEM-1","itemData":{"DOI":"ISBN 978-1-78354-128-7","ISBN":"9781783541515","abstract":"Background In 2009 Natural England, Defra and the Forestry Commission commissioned TNS to undertake the Monitor of Engagement with the Natural Environment (MENE) survey for the first time. The data enables Natural England, its partners and data users to: </w:instrText>
      </w:r>
      <w:r w:rsidR="00087BF7">
        <w:rPr>
          <w:rFonts w:cstheme="minorHAnsi"/>
          <w:sz w:val="20"/>
          <w:szCs w:val="20"/>
        </w:rPr>
        <w:instrText xml:space="preserve"> Understand how people use, enjoy and are motivated to protect the natural environment. </w:instrText>
      </w:r>
      <w:r w:rsidR="00087BF7">
        <w:rPr>
          <w:rFonts w:cstheme="minorHAnsi"/>
          <w:sz w:val="20"/>
          <w:szCs w:val="20"/>
        </w:rPr>
        <w:instrText> Monitor changes in use of the natural environment over time, at a range of different spatial scales and for key groups within the population.","author":[{"dropping-particle":"","family":"Natural England","given":"","non-dropping-particle":"","parse-names":false,"suffix":""}],"id":"ITEM-1","issue":"Joint Report JP010","issued":{"date-parts":[["2011"]]},"number-of-pages":"58","title":"Monitor of Engagement with the Natural Environment Spatial Report 2009 - 2011","type":"book"},"uris":["http://www.mendeley.com/documents/?uuid=27dcce8a-016a-49e0-aba8-599bef607656"]}],"mendeley":{"formattedCitation":"(44)","plainTextFormattedCitation":"(44)","previouslyFormattedCitation":"(44)"},"properties":{"noteIndex":0},"schema":"https://github.com/citation-style-language/schema/raw/master/csl-citation.json"}</w:instrText>
      </w:r>
      <w:r w:rsidRPr="00D12416">
        <w:rPr>
          <w:rFonts w:cstheme="minorHAnsi"/>
          <w:sz w:val="20"/>
          <w:szCs w:val="20"/>
        </w:rPr>
        <w:fldChar w:fldCharType="separate"/>
      </w:r>
      <w:r w:rsidR="00087BF7" w:rsidRPr="00087BF7">
        <w:rPr>
          <w:rFonts w:cstheme="minorHAnsi"/>
          <w:noProof/>
          <w:sz w:val="20"/>
          <w:szCs w:val="20"/>
        </w:rPr>
        <w:t>(44)</w:t>
      </w:r>
      <w:r w:rsidRPr="00D12416">
        <w:rPr>
          <w:rFonts w:cstheme="minorHAnsi"/>
          <w:sz w:val="20"/>
          <w:szCs w:val="20"/>
        </w:rPr>
        <w:fldChar w:fldCharType="end"/>
      </w:r>
      <w:r w:rsidR="004857CC" w:rsidRPr="00D12416">
        <w:rPr>
          <w:rFonts w:cstheme="minorHAnsi"/>
          <w:sz w:val="20"/>
          <w:szCs w:val="20"/>
        </w:rPr>
        <w:t>.</w:t>
      </w:r>
      <w:r w:rsidRPr="00D12416">
        <w:rPr>
          <w:rFonts w:cstheme="minorHAnsi"/>
          <w:sz w:val="20"/>
          <w:szCs w:val="20"/>
        </w:rPr>
        <w:t xml:space="preserve"> In Scotland, 50% of outdoor visits were taken in the countryside,</w:t>
      </w:r>
      <w:r w:rsidR="002C74F2" w:rsidRPr="00D12416">
        <w:rPr>
          <w:rFonts w:cstheme="minorHAnsi"/>
          <w:sz w:val="20"/>
          <w:szCs w:val="20"/>
        </w:rPr>
        <w:t xml:space="preserve"> the average distance tra</w:t>
      </w:r>
      <w:r w:rsidRPr="00D12416">
        <w:rPr>
          <w:rFonts w:cstheme="minorHAnsi"/>
          <w:sz w:val="20"/>
          <w:szCs w:val="20"/>
        </w:rPr>
        <w:t>v</w:t>
      </w:r>
      <w:r w:rsidR="002C74F2" w:rsidRPr="00D12416">
        <w:rPr>
          <w:rFonts w:cstheme="minorHAnsi"/>
          <w:sz w:val="20"/>
          <w:szCs w:val="20"/>
        </w:rPr>
        <w:t>e</w:t>
      </w:r>
      <w:r w:rsidRPr="00D12416">
        <w:rPr>
          <w:rFonts w:cstheme="minorHAnsi"/>
          <w:sz w:val="20"/>
          <w:szCs w:val="20"/>
        </w:rPr>
        <w:t xml:space="preserve">lled from home </w:t>
      </w:r>
      <w:r w:rsidR="00244F7D" w:rsidRPr="00D12416">
        <w:rPr>
          <w:rFonts w:cstheme="minorHAnsi"/>
          <w:sz w:val="20"/>
          <w:szCs w:val="20"/>
        </w:rPr>
        <w:t>being</w:t>
      </w:r>
      <w:r w:rsidRPr="00D12416">
        <w:rPr>
          <w:rFonts w:cstheme="minorHAnsi"/>
          <w:sz w:val="20"/>
          <w:szCs w:val="20"/>
        </w:rPr>
        <w:t xml:space="preserve"> 4</w:t>
      </w:r>
      <w:r w:rsidR="00567921" w:rsidRPr="00D12416">
        <w:rPr>
          <w:rFonts w:cstheme="minorHAnsi"/>
          <w:sz w:val="20"/>
          <w:szCs w:val="20"/>
        </w:rPr>
        <w:t>.</w:t>
      </w:r>
      <w:r w:rsidRPr="00D12416">
        <w:rPr>
          <w:rFonts w:cstheme="minorHAnsi"/>
          <w:sz w:val="20"/>
          <w:szCs w:val="20"/>
        </w:rPr>
        <w:t>8</w:t>
      </w:r>
      <w:r w:rsidR="001310EA" w:rsidRPr="00D12416">
        <w:rPr>
          <w:rFonts w:cstheme="minorHAnsi"/>
          <w:sz w:val="20"/>
          <w:szCs w:val="20"/>
        </w:rPr>
        <w:t xml:space="preserve"> </w:t>
      </w:r>
      <w:r w:rsidRPr="00D12416">
        <w:rPr>
          <w:rFonts w:cstheme="minorHAnsi"/>
          <w:sz w:val="20"/>
          <w:szCs w:val="20"/>
        </w:rPr>
        <w:t xml:space="preserve">miles, and that people were less likely to visit if they lived in the 15% most deprived areas, and were of </w:t>
      </w:r>
      <w:r w:rsidR="00337B57" w:rsidRPr="00D12416">
        <w:rPr>
          <w:rFonts w:cstheme="minorHAnsi"/>
          <w:sz w:val="20"/>
          <w:szCs w:val="20"/>
        </w:rPr>
        <w:t>‘</w:t>
      </w:r>
      <w:r w:rsidRPr="00D12416">
        <w:rPr>
          <w:rFonts w:cstheme="minorHAnsi"/>
          <w:sz w:val="20"/>
          <w:szCs w:val="20"/>
        </w:rPr>
        <w:t>DE</w:t>
      </w:r>
      <w:r w:rsidR="00337B57" w:rsidRPr="00D12416">
        <w:rPr>
          <w:rFonts w:cstheme="minorHAnsi"/>
          <w:sz w:val="20"/>
          <w:szCs w:val="20"/>
        </w:rPr>
        <w:t>’</w:t>
      </w:r>
      <w:r w:rsidRPr="00D12416">
        <w:rPr>
          <w:rFonts w:cstheme="minorHAnsi"/>
          <w:sz w:val="20"/>
          <w:szCs w:val="20"/>
        </w:rPr>
        <w:t xml:space="preserve"> social grade</w:t>
      </w:r>
      <w:r w:rsidR="006F5510" w:rsidRPr="00D12416">
        <w:rPr>
          <w:rFonts w:cstheme="minorHAnsi"/>
          <w:sz w:val="20"/>
          <w:szCs w:val="20"/>
        </w:rPr>
        <w:t>; no difference in regards to ethnicity was identified</w:t>
      </w:r>
      <w:r w:rsidR="004857CC" w:rsidRPr="00D12416">
        <w:rPr>
          <w:rFonts w:cstheme="minorHAnsi"/>
          <w:sz w:val="20"/>
          <w:szCs w:val="20"/>
        </w:rPr>
        <w:t xml:space="preserve"> </w:t>
      </w:r>
      <w:r w:rsidRPr="00D12416">
        <w:rPr>
          <w:rFonts w:cstheme="minorHAnsi"/>
          <w:sz w:val="20"/>
          <w:szCs w:val="20"/>
        </w:rPr>
        <w:fldChar w:fldCharType="begin" w:fldLock="1"/>
      </w:r>
      <w:r w:rsidR="00087BF7">
        <w:rPr>
          <w:rFonts w:cstheme="minorHAnsi"/>
          <w:sz w:val="20"/>
          <w:szCs w:val="20"/>
        </w:rPr>
        <w:instrText>ADDIN CSL_CITATION {"citationItems":[{"id":"ITEM-1","itemData":{"author":[{"dropping-particle":"","family":"Heritage","given":"Scottish Natural","non-dropping-particle":"","parse-names":false,"suffix":""}],"id":"ITEM-1","issue":"6","issued":{"date-parts":[["2013"]]},"title":"Scotland ’ s People and Nature Survey Technical Report","type":"article-journal"},"uris":["http://www.mendeley.com/documents/?uuid=fb116b2f-77ba-4593-8b2b-36d1616db78e"]}],"mendeley":{"formattedCitation":"(45)","plainTextFormattedCitation":"(45)","previouslyFormattedCitation":"(45)"},"properties":{"noteIndex":0},"schema":"https://github.com/citation-style-language/schema/raw/master/csl-citation.json"}</w:instrText>
      </w:r>
      <w:r w:rsidRPr="00D12416">
        <w:rPr>
          <w:rFonts w:cstheme="minorHAnsi"/>
          <w:sz w:val="20"/>
          <w:szCs w:val="20"/>
        </w:rPr>
        <w:fldChar w:fldCharType="separate"/>
      </w:r>
      <w:r w:rsidR="00087BF7" w:rsidRPr="00087BF7">
        <w:rPr>
          <w:rFonts w:cstheme="minorHAnsi"/>
          <w:noProof/>
          <w:sz w:val="20"/>
          <w:szCs w:val="20"/>
        </w:rPr>
        <w:t>(45)</w:t>
      </w:r>
      <w:r w:rsidRPr="00D12416">
        <w:rPr>
          <w:rFonts w:cstheme="minorHAnsi"/>
          <w:sz w:val="20"/>
          <w:szCs w:val="20"/>
        </w:rPr>
        <w:fldChar w:fldCharType="end"/>
      </w:r>
      <w:r w:rsidR="004857CC" w:rsidRPr="00D12416">
        <w:rPr>
          <w:rFonts w:cstheme="minorHAnsi"/>
          <w:sz w:val="20"/>
          <w:szCs w:val="20"/>
        </w:rPr>
        <w:t>.</w:t>
      </w:r>
      <w:r w:rsidRPr="00D12416">
        <w:rPr>
          <w:rFonts w:cstheme="minorHAnsi"/>
          <w:sz w:val="20"/>
          <w:szCs w:val="20"/>
        </w:rPr>
        <w:t xml:space="preserve"> </w:t>
      </w:r>
      <w:r w:rsidR="00337B57" w:rsidRPr="00D12416">
        <w:rPr>
          <w:rFonts w:cstheme="minorHAnsi"/>
          <w:sz w:val="20"/>
          <w:szCs w:val="20"/>
        </w:rPr>
        <w:t>A</w:t>
      </w:r>
      <w:r w:rsidR="002C74F2" w:rsidRPr="00D12416">
        <w:rPr>
          <w:rFonts w:cstheme="minorHAnsi"/>
          <w:sz w:val="20"/>
          <w:szCs w:val="20"/>
        </w:rPr>
        <w:t>ll ethnic minority groups are more likely to live in areas of higher deprivation compared to the white population</w:t>
      </w:r>
      <w:r w:rsidR="005453BE" w:rsidRPr="00D12416">
        <w:rPr>
          <w:rFonts w:cstheme="minorHAnsi"/>
          <w:sz w:val="20"/>
          <w:szCs w:val="20"/>
        </w:rPr>
        <w:t>, and there is a lack of ethnic diversity in wealthy a</w:t>
      </w:r>
      <w:r w:rsidR="00756D6E" w:rsidRPr="00D12416">
        <w:rPr>
          <w:rFonts w:cstheme="minorHAnsi"/>
          <w:sz w:val="20"/>
          <w:szCs w:val="20"/>
        </w:rPr>
        <w:t>rea</w:t>
      </w:r>
      <w:r w:rsidR="00511F18" w:rsidRPr="00D12416">
        <w:rPr>
          <w:rFonts w:cstheme="minorHAnsi"/>
          <w:sz w:val="20"/>
          <w:szCs w:val="20"/>
        </w:rPr>
        <w:t>s</w:t>
      </w:r>
      <w:r w:rsidR="004857CC" w:rsidRPr="00D12416">
        <w:rPr>
          <w:rFonts w:cstheme="minorHAnsi"/>
          <w:sz w:val="20"/>
          <w:szCs w:val="20"/>
        </w:rPr>
        <w:t xml:space="preserve"> </w:t>
      </w:r>
      <w:r w:rsidR="002C74F2" w:rsidRPr="00D12416">
        <w:rPr>
          <w:rFonts w:cstheme="minorHAnsi"/>
          <w:sz w:val="20"/>
          <w:szCs w:val="20"/>
        </w:rPr>
        <w:fldChar w:fldCharType="begin" w:fldLock="1"/>
      </w:r>
      <w:r w:rsidR="00087BF7">
        <w:rPr>
          <w:rFonts w:cstheme="minorHAnsi"/>
          <w:sz w:val="20"/>
          <w:szCs w:val="20"/>
        </w:rPr>
        <w:instrText>ADDIN CSL_CITATION {"citationItems":[{"id":"ITEM-1","itemData":{"abstract":"Jivraj, S. and Khan, O. (2013) Ethnicity and deprivation in England: How likely are ethnic minorities to live in deprived neighbourhoods? Centre on Dynamics of Ethnicity briefing paper. Retrieved 25 March 2014 from http://www.ethnicity.ac.uk/census/CoDE-Deprivation-Census-Briefing.pdf","author":[{"dropping-particle":"","family":"Jivraj","given":"Stephan","non-dropping-particle":"","parse-names":false,"suffix":""},{"dropping-particle":"","family":"Khan","given":"Omar","non-dropping-particle":"","parse-names":false,"suffix":""}],"container-title":"Dynamics of Diversity: Evidence from the 2011 Census","id":"ITEM-1","issue":"DECEMBER","issued":{"date-parts":[["2013"]]},"page":"1-4","title":"Ethnicity and deprivation in England: How likely are ethnic minorities to live in deprived neighbourhoods?","type":"article-journal"},"uris":["http://www.mendeley.com/documents/?uuid=e7d9766a-6722-4142-aa47-dbfa0d5399e0"]}],"mendeley":{"formattedCitation":"(46)","plainTextFormattedCitation":"(46)","previouslyFormattedCitation":"(46)"},"properties":{"noteIndex":0},"schema":"https://github.com/citation-style-language/schema/raw/master/csl-citation.json"}</w:instrText>
      </w:r>
      <w:r w:rsidR="002C74F2" w:rsidRPr="00D12416">
        <w:rPr>
          <w:rFonts w:cstheme="minorHAnsi"/>
          <w:sz w:val="20"/>
          <w:szCs w:val="20"/>
        </w:rPr>
        <w:fldChar w:fldCharType="separate"/>
      </w:r>
      <w:r w:rsidR="00087BF7" w:rsidRPr="00087BF7">
        <w:rPr>
          <w:rFonts w:cstheme="minorHAnsi"/>
          <w:noProof/>
          <w:sz w:val="20"/>
          <w:szCs w:val="20"/>
        </w:rPr>
        <w:t>(46)</w:t>
      </w:r>
      <w:r w:rsidR="002C74F2" w:rsidRPr="00D12416">
        <w:rPr>
          <w:rFonts w:cstheme="minorHAnsi"/>
          <w:sz w:val="20"/>
          <w:szCs w:val="20"/>
        </w:rPr>
        <w:fldChar w:fldCharType="end"/>
      </w:r>
      <w:r w:rsidR="004857CC" w:rsidRPr="00D12416">
        <w:rPr>
          <w:rFonts w:cstheme="minorHAnsi"/>
          <w:sz w:val="20"/>
          <w:szCs w:val="20"/>
        </w:rPr>
        <w:t>.</w:t>
      </w:r>
      <w:r w:rsidR="007D4B77" w:rsidRPr="00D12416">
        <w:rPr>
          <w:rFonts w:cstheme="minorHAnsi"/>
          <w:sz w:val="20"/>
          <w:szCs w:val="20"/>
        </w:rPr>
        <w:t xml:space="preserve"> Taking this in</w:t>
      </w:r>
      <w:r w:rsidR="002C74F2" w:rsidRPr="00D12416">
        <w:rPr>
          <w:rFonts w:cstheme="minorHAnsi"/>
          <w:sz w:val="20"/>
          <w:szCs w:val="20"/>
        </w:rPr>
        <w:t>to consideration, we believe that members of the general population who live in areas of low deprivation, predominantly rural locations</w:t>
      </w:r>
      <w:r w:rsidR="004857CC" w:rsidRPr="00D12416">
        <w:rPr>
          <w:rFonts w:cstheme="minorHAnsi"/>
          <w:sz w:val="20"/>
          <w:szCs w:val="20"/>
        </w:rPr>
        <w:t xml:space="preserve"> </w:t>
      </w:r>
      <w:r w:rsidR="005453BE" w:rsidRPr="00D12416">
        <w:rPr>
          <w:rFonts w:cstheme="minorHAnsi"/>
          <w:sz w:val="20"/>
          <w:szCs w:val="20"/>
        </w:rPr>
        <w:fldChar w:fldCharType="begin" w:fldLock="1"/>
      </w:r>
      <w:r w:rsidR="00087BF7">
        <w:rPr>
          <w:rFonts w:cstheme="minorHAnsi"/>
          <w:sz w:val="20"/>
          <w:szCs w:val="20"/>
        </w:rPr>
        <w:instrText>ADDIN CSL_CITATION {"citationItems":[{"id":"ITEM-1","itemData":{"URL":"https://www.gov.uk/government/statistics/english-indices-of-deprivation-2015","accessed":{"date-parts":[["2017","7","14"]]},"author":[{"dropping-particle":"","family":"Government","given":"Department for Communities and Local","non-dropping-particle":"","parse-names":false,"suffix":""}],"id":"ITEM-1","issued":{"date-parts":[["2015"]]},"title":"English Indices of Deprivation 2015","type":"webpage"},"uris":["http://www.mendeley.com/documents/?uuid=1cff7e79-72a9-4f11-b01d-a6e32e69139f"]},{"id":"ITEM-2","itemData":{"URL":"http://gov.wales/statistics-and-research/welsh-index-multiple-deprivation/?lang=en","accessed":{"date-parts":[["2017","7","14"]]},"id":"ITEM-2","issued":{"date-parts":[["2015"]]},"title":"Welsh Index of Multiple Deprivation","type":"webpage"},"uris":["http://www.mendeley.com/documents/?uuid=cae78996-bdf3-4f9b-8284-d4e95c84a101"]}],"mendeley":{"formattedCitation":"(47,48)","plainTextFormattedCitation":"(47,48)","previouslyFormattedCitation":"(47,48)"},"properties":{"noteIndex":0},"schema":"https://github.com/citation-style-language/schema/raw/master/csl-citation.json"}</w:instrText>
      </w:r>
      <w:r w:rsidR="005453BE" w:rsidRPr="00D12416">
        <w:rPr>
          <w:rFonts w:cstheme="minorHAnsi"/>
          <w:sz w:val="20"/>
          <w:szCs w:val="20"/>
        </w:rPr>
        <w:fldChar w:fldCharType="separate"/>
      </w:r>
      <w:r w:rsidR="00087BF7" w:rsidRPr="00087BF7">
        <w:rPr>
          <w:rFonts w:cstheme="minorHAnsi"/>
          <w:noProof/>
          <w:sz w:val="20"/>
          <w:szCs w:val="20"/>
        </w:rPr>
        <w:t>(47,48)</w:t>
      </w:r>
      <w:r w:rsidR="005453BE" w:rsidRPr="00D12416">
        <w:rPr>
          <w:rFonts w:cstheme="minorHAnsi"/>
          <w:sz w:val="20"/>
          <w:szCs w:val="20"/>
        </w:rPr>
        <w:fldChar w:fldCharType="end"/>
      </w:r>
      <w:r w:rsidR="004857CC" w:rsidRPr="00D12416">
        <w:rPr>
          <w:rFonts w:cstheme="minorHAnsi"/>
          <w:sz w:val="20"/>
          <w:szCs w:val="20"/>
        </w:rPr>
        <w:t>,</w:t>
      </w:r>
      <w:r w:rsidR="002C74F2" w:rsidRPr="00D12416">
        <w:rPr>
          <w:rFonts w:cstheme="minorHAnsi"/>
          <w:sz w:val="20"/>
          <w:szCs w:val="20"/>
        </w:rPr>
        <w:t xml:space="preserve"> are more likely to identify with a white </w:t>
      </w:r>
      <w:r w:rsidR="005453BE" w:rsidRPr="00D12416">
        <w:rPr>
          <w:rFonts w:cstheme="minorHAnsi"/>
          <w:sz w:val="20"/>
          <w:szCs w:val="20"/>
        </w:rPr>
        <w:t>ethnicity, and due to their</w:t>
      </w:r>
      <w:r w:rsidR="00FC154A" w:rsidRPr="00D12416">
        <w:rPr>
          <w:rFonts w:cstheme="minorHAnsi"/>
          <w:sz w:val="20"/>
          <w:szCs w:val="20"/>
        </w:rPr>
        <w:t xml:space="preserve"> residential</w:t>
      </w:r>
      <w:r w:rsidR="005453BE" w:rsidRPr="00D12416">
        <w:rPr>
          <w:rFonts w:cstheme="minorHAnsi"/>
          <w:sz w:val="20"/>
          <w:szCs w:val="20"/>
        </w:rPr>
        <w:t xml:space="preserve"> location have greater and closer access to the countryside</w:t>
      </w:r>
      <w:r w:rsidR="00A24E6E" w:rsidRPr="00D12416">
        <w:rPr>
          <w:rFonts w:cstheme="minorHAnsi"/>
          <w:sz w:val="20"/>
          <w:szCs w:val="20"/>
        </w:rPr>
        <w:t>.</w:t>
      </w:r>
      <w:r w:rsidR="005453BE" w:rsidRPr="00D12416">
        <w:rPr>
          <w:rFonts w:cstheme="minorHAnsi"/>
          <w:sz w:val="20"/>
          <w:szCs w:val="20"/>
        </w:rPr>
        <w:t xml:space="preserve"> This increased potential access </w:t>
      </w:r>
      <w:r w:rsidR="00FC154A" w:rsidRPr="00D12416">
        <w:rPr>
          <w:rFonts w:cstheme="minorHAnsi"/>
          <w:sz w:val="20"/>
          <w:szCs w:val="20"/>
        </w:rPr>
        <w:t xml:space="preserve">to </w:t>
      </w:r>
      <w:r w:rsidR="005453BE" w:rsidRPr="00D12416">
        <w:rPr>
          <w:rFonts w:cstheme="minorHAnsi"/>
          <w:sz w:val="20"/>
          <w:szCs w:val="20"/>
        </w:rPr>
        <w:t>the countryside enables increased risk of a tick bite and therefore subsequent risk of developing Lyme disease.</w:t>
      </w:r>
      <w:r w:rsidR="009261EB" w:rsidRPr="00D12416">
        <w:rPr>
          <w:rFonts w:cstheme="minorHAnsi"/>
          <w:sz w:val="20"/>
          <w:szCs w:val="20"/>
        </w:rPr>
        <w:t xml:space="preserve"> </w:t>
      </w:r>
      <w:r w:rsidR="009261EB" w:rsidRPr="001301F9">
        <w:rPr>
          <w:rFonts w:cstheme="minorHAnsi"/>
          <w:sz w:val="20"/>
          <w:szCs w:val="20"/>
        </w:rPr>
        <w:t xml:space="preserve">The </w:t>
      </w:r>
      <w:r w:rsidR="0031289A" w:rsidRPr="001301F9">
        <w:rPr>
          <w:rFonts w:cstheme="minorHAnsi"/>
          <w:sz w:val="20"/>
          <w:szCs w:val="20"/>
        </w:rPr>
        <w:t xml:space="preserve">lack of </w:t>
      </w:r>
      <w:r w:rsidR="001F399D" w:rsidRPr="001301F9">
        <w:rPr>
          <w:rFonts w:cstheme="minorHAnsi"/>
          <w:sz w:val="20"/>
          <w:szCs w:val="20"/>
        </w:rPr>
        <w:t xml:space="preserve">representation </w:t>
      </w:r>
      <w:r w:rsidR="009261EB" w:rsidRPr="001301F9">
        <w:rPr>
          <w:rFonts w:cstheme="minorHAnsi"/>
          <w:sz w:val="20"/>
          <w:szCs w:val="20"/>
        </w:rPr>
        <w:t>of</w:t>
      </w:r>
      <w:r w:rsidR="0031289A" w:rsidRPr="001301F9">
        <w:rPr>
          <w:rFonts w:cstheme="minorHAnsi"/>
          <w:sz w:val="20"/>
          <w:szCs w:val="20"/>
        </w:rPr>
        <w:t xml:space="preserve"> non-white </w:t>
      </w:r>
      <w:r w:rsidR="006B585F" w:rsidRPr="001301F9">
        <w:rPr>
          <w:rFonts w:cstheme="minorHAnsi"/>
          <w:sz w:val="20"/>
          <w:szCs w:val="20"/>
        </w:rPr>
        <w:t>ethnicity</w:t>
      </w:r>
      <w:r w:rsidR="009261EB" w:rsidRPr="001301F9">
        <w:rPr>
          <w:rFonts w:cstheme="minorHAnsi"/>
          <w:sz w:val="20"/>
          <w:szCs w:val="20"/>
        </w:rPr>
        <w:t xml:space="preserve"> patients </w:t>
      </w:r>
      <w:r w:rsidR="006B585F" w:rsidRPr="001301F9">
        <w:rPr>
          <w:rFonts w:cstheme="minorHAnsi"/>
          <w:sz w:val="20"/>
          <w:szCs w:val="20"/>
        </w:rPr>
        <w:t>may also be due to inadequate healthcare access, lack of Lyme disease awareness,</w:t>
      </w:r>
      <w:r w:rsidR="005453BE" w:rsidRPr="001301F9">
        <w:rPr>
          <w:rFonts w:cstheme="minorHAnsi"/>
          <w:sz w:val="20"/>
          <w:szCs w:val="20"/>
        </w:rPr>
        <w:t xml:space="preserve"> </w:t>
      </w:r>
      <w:r w:rsidR="006B585F" w:rsidRPr="001301F9">
        <w:rPr>
          <w:rFonts w:cstheme="minorHAnsi"/>
          <w:sz w:val="20"/>
          <w:szCs w:val="20"/>
        </w:rPr>
        <w:t xml:space="preserve">or simply that </w:t>
      </w:r>
      <w:bookmarkStart w:id="33" w:name="_Hlk15374337"/>
      <w:r w:rsidR="0037567C">
        <w:rPr>
          <w:rFonts w:cstheme="minorHAnsi"/>
          <w:sz w:val="20"/>
          <w:szCs w:val="20"/>
        </w:rPr>
        <w:t>erythema migrans</w:t>
      </w:r>
      <w:bookmarkEnd w:id="33"/>
      <w:r w:rsidR="006B585F" w:rsidRPr="001301F9">
        <w:rPr>
          <w:rFonts w:cstheme="minorHAnsi"/>
          <w:sz w:val="20"/>
          <w:szCs w:val="20"/>
        </w:rPr>
        <w:t xml:space="preserve"> rashes </w:t>
      </w:r>
      <w:r w:rsidR="00123DD4" w:rsidRPr="001301F9">
        <w:rPr>
          <w:rFonts w:cstheme="minorHAnsi"/>
          <w:sz w:val="20"/>
          <w:szCs w:val="20"/>
        </w:rPr>
        <w:t>are</w:t>
      </w:r>
      <w:r w:rsidR="006B585F" w:rsidRPr="001301F9">
        <w:rPr>
          <w:rFonts w:cstheme="minorHAnsi"/>
          <w:sz w:val="20"/>
          <w:szCs w:val="20"/>
        </w:rPr>
        <w:t xml:space="preserve"> </w:t>
      </w:r>
      <w:r w:rsidR="00123DD4" w:rsidRPr="001301F9">
        <w:rPr>
          <w:rFonts w:cstheme="minorHAnsi"/>
          <w:sz w:val="20"/>
          <w:szCs w:val="20"/>
        </w:rPr>
        <w:t xml:space="preserve">harder </w:t>
      </w:r>
      <w:r w:rsidR="006B585F" w:rsidRPr="001301F9">
        <w:rPr>
          <w:rFonts w:cstheme="minorHAnsi"/>
          <w:sz w:val="20"/>
          <w:szCs w:val="20"/>
        </w:rPr>
        <w:t xml:space="preserve">to identify on non-white skin </w:t>
      </w:r>
      <w:proofErr w:type="spellStart"/>
      <w:r w:rsidR="006B585F" w:rsidRPr="001301F9">
        <w:rPr>
          <w:rFonts w:cstheme="minorHAnsi"/>
          <w:sz w:val="20"/>
          <w:szCs w:val="20"/>
        </w:rPr>
        <w:t>colour</w:t>
      </w:r>
      <w:proofErr w:type="spellEnd"/>
      <w:r w:rsidR="006B585F" w:rsidRPr="001301F9">
        <w:rPr>
          <w:rFonts w:cstheme="minorHAnsi"/>
          <w:sz w:val="20"/>
          <w:szCs w:val="20"/>
        </w:rPr>
        <w:t xml:space="preserve"> </w:t>
      </w:r>
      <w:r w:rsidR="006B585F" w:rsidRPr="001301F9">
        <w:rPr>
          <w:rFonts w:cstheme="minorHAnsi"/>
          <w:sz w:val="20"/>
          <w:szCs w:val="20"/>
        </w:rPr>
        <w:fldChar w:fldCharType="begin" w:fldLock="1"/>
      </w:r>
      <w:r w:rsidR="00087BF7">
        <w:rPr>
          <w:rFonts w:cstheme="minorHAnsi"/>
          <w:sz w:val="20"/>
          <w:szCs w:val="20"/>
        </w:rPr>
        <w:instrText>ADDIN CSL_CITATION {"citationItems":[{"id":"ITEM-1","itemData":{"DOI":"10.3203/eid2203.151273","ISBN":"1080-6059 (Electronic)\\r1080-6040 (Linking)","ISSN":"10806059","PMID":"26889721","abstract":"Hispanics comprise a growing portion of the US popula- tion and might have distinct risk factors for tickborne dis- eases. During 2000–2013, a total of 5,473 Lyme disease cases were reported among Hispanics through national surveillance. Hispanics were more likely than non-His- panics to have signs of disseminated infection and onset during fall months. L","author":[{"dropping-particle":"","family":"Nelson","given":"Christina A.","non-dropping-particle":"","parse-names":false,"suffix":""},{"dropping-particle":"","family":"Starr","given":"J. Andrew","non-dropping-particle":"","parse-names":false,"suffix":""},{"dropping-particle":"","family":"Kugeler","given":"Kiersten J.","non-dropping-particle":"","parse-names":false,"suffix":""},{"dropping-particle":"","family":"Mead","given":"Paul S.","non-dropping-particle":"","parse-names":false,"suffix":""}],"container-title":"Emerging Infectious Diseases","id":"ITEM-1","issue":"3","issued":{"date-parts":[["2016"]]},"page":"522-525","title":"Lyme disease in Hispanics, United States, 2000-2013","type":"article-journal","volume":"22"},"uris":["http://www.mendeley.com/documents/?uuid=266ec159-93a1-4eea-b7b5-e7af8bd3166a"]},{"id":"ITEM-2","itemData":{"DOI":"10.1093/aje/152.8.756","ISSN":"00029262","author":[{"dropping-particle":"","family":"Fix","given":"A. D.","non-dropping-particle":"","parse-names":false,"suffix":""}],"container-title":"American Journal of Epidemiology","id":"ITEM-2","issue":"8","issued":{"date-parts":[["2000"]]},"page":"756-759","title":"Racial Differences in Reported Lyme Disease Incidence","type":"article-journal","volume":"152"},"uris":["http://www.mendeley.com/documents/?uuid=aad4dcfb-9bd3-4feb-b103-3deaf43c1f09"]}],"mendeley":{"formattedCitation":"(49,50)","plainTextFormattedCitation":"(49,50)","previouslyFormattedCitation":"(49,50)"},"properties":{"noteIndex":0},"schema":"https://github.com/citation-style-language/schema/raw/master/csl-citation.json"}</w:instrText>
      </w:r>
      <w:r w:rsidR="006B585F" w:rsidRPr="001301F9">
        <w:rPr>
          <w:rFonts w:cstheme="minorHAnsi"/>
          <w:sz w:val="20"/>
          <w:szCs w:val="20"/>
        </w:rPr>
        <w:fldChar w:fldCharType="separate"/>
      </w:r>
      <w:r w:rsidR="00087BF7" w:rsidRPr="00087BF7">
        <w:rPr>
          <w:rFonts w:cstheme="minorHAnsi"/>
          <w:noProof/>
          <w:sz w:val="20"/>
          <w:szCs w:val="20"/>
        </w:rPr>
        <w:t>(49,50)</w:t>
      </w:r>
      <w:r w:rsidR="006B585F" w:rsidRPr="001301F9">
        <w:rPr>
          <w:rFonts w:cstheme="minorHAnsi"/>
          <w:sz w:val="20"/>
          <w:szCs w:val="20"/>
        </w:rPr>
        <w:fldChar w:fldCharType="end"/>
      </w:r>
      <w:r w:rsidR="006B585F" w:rsidRPr="001301F9">
        <w:rPr>
          <w:rFonts w:cstheme="minorHAnsi"/>
          <w:sz w:val="20"/>
          <w:szCs w:val="20"/>
        </w:rPr>
        <w:t xml:space="preserve">. The latter assumption would not hold true with other clinical presentation, and it is recommended that ethnicity </w:t>
      </w:r>
      <w:r w:rsidR="006B585F" w:rsidRPr="001301F9">
        <w:rPr>
          <w:rFonts w:cstheme="minorHAnsi"/>
          <w:sz w:val="20"/>
          <w:szCs w:val="20"/>
        </w:rPr>
        <w:lastRenderedPageBreak/>
        <w:t xml:space="preserve">should be explored in relation to clinical presentation </w:t>
      </w:r>
      <w:r w:rsidR="006B585F" w:rsidRPr="00CA121F">
        <w:rPr>
          <w:rFonts w:cstheme="minorHAnsi"/>
          <w:sz w:val="20"/>
          <w:szCs w:val="20"/>
        </w:rPr>
        <w:t>prevalence.</w:t>
      </w:r>
      <w:r w:rsidR="00A324FC" w:rsidRPr="00CA121F">
        <w:rPr>
          <w:rFonts w:cstheme="minorHAnsi"/>
          <w:sz w:val="20"/>
          <w:szCs w:val="20"/>
        </w:rPr>
        <w:t xml:space="preserve"> The ethnicity data has a high degree of missingness, 74%, more so than prior analyses,</w:t>
      </w:r>
      <w:r w:rsidR="0027004C">
        <w:rPr>
          <w:rFonts w:cstheme="minorHAnsi"/>
          <w:sz w:val="20"/>
          <w:szCs w:val="20"/>
        </w:rPr>
        <w:t xml:space="preserve"> </w:t>
      </w:r>
      <w:r w:rsidR="00A324FC" w:rsidRPr="00CA121F">
        <w:rPr>
          <w:rFonts w:cstheme="minorHAnsi"/>
          <w:sz w:val="20"/>
          <w:szCs w:val="20"/>
        </w:rPr>
        <w:t xml:space="preserve">60% </w:t>
      </w:r>
      <w:r w:rsidR="00A324FC" w:rsidRPr="00CA121F">
        <w:rPr>
          <w:rFonts w:cstheme="minorHAnsi"/>
          <w:sz w:val="20"/>
          <w:szCs w:val="20"/>
        </w:rPr>
        <w:fldChar w:fldCharType="begin" w:fldLock="1"/>
      </w:r>
      <w:r w:rsidR="00087BF7">
        <w:rPr>
          <w:rFonts w:cstheme="minorHAnsi"/>
          <w:sz w:val="20"/>
          <w:szCs w:val="20"/>
        </w:rPr>
        <w:instrText>ADDIN CSL_CITATION {"citationItems":[{"id":"ITEM-1","itemData":{"abstract":"Tra Pham &amp; Tim P. Morris &amp; Irene Petersen, 2015. \"Ethnicity recording in primary care: multiple imputation of missing data in ethnicity recording using The Health Improvement Network (THIN) database,\" United Kingdom Stata Users' Group Meetings 2015 07, Stata Users Group.","author":[{"dropping-particle":"","family":"Pham","given":"Tra","non-dropping-particle":"","parse-names":false,"suffix":""},{"dropping-particle":"","family":"Tim","given":"Morris","non-dropping-particle":"","parse-names":false,"suffix":""},{"dropping-particle":"","family":"Petersen","given":"Irene","non-dropping-particle":"","parse-names":false,"suffix":""}],"id":"ITEM-1","issued":{"date-parts":[["2015"]]},"title":"EEthnicity recording in primary care: multiple imputation of missing data in ethnicity recording using The Health Improvement Network (THIN) database","type":"paper-conference"},"uris":["http://www.mendeley.com/documents/?uuid=dab82e6e-d937-4a78-9f86-cf964eaddcdd"]}],"mendeley":{"formattedCitation":"(22)","plainTextFormattedCitation":"(22)","previouslyFormattedCitation":"(22)"},"properties":{"noteIndex":0},"schema":"https://github.com/citation-style-language/schema/raw/master/csl-citation.json"}</w:instrText>
      </w:r>
      <w:r w:rsidR="00A324FC" w:rsidRPr="00CA121F">
        <w:rPr>
          <w:rFonts w:cstheme="minorHAnsi"/>
          <w:sz w:val="20"/>
          <w:szCs w:val="20"/>
        </w:rPr>
        <w:fldChar w:fldCharType="separate"/>
      </w:r>
      <w:r w:rsidR="00087BF7" w:rsidRPr="00087BF7">
        <w:rPr>
          <w:rFonts w:cstheme="minorHAnsi"/>
          <w:noProof/>
          <w:sz w:val="20"/>
          <w:szCs w:val="20"/>
        </w:rPr>
        <w:t>(22)</w:t>
      </w:r>
      <w:r w:rsidR="00A324FC" w:rsidRPr="00CA121F">
        <w:rPr>
          <w:rFonts w:cstheme="minorHAnsi"/>
          <w:sz w:val="20"/>
          <w:szCs w:val="20"/>
        </w:rPr>
        <w:fldChar w:fldCharType="end"/>
      </w:r>
      <w:r w:rsidR="00A324FC" w:rsidRPr="00CA121F">
        <w:rPr>
          <w:rFonts w:cstheme="minorHAnsi"/>
          <w:sz w:val="20"/>
          <w:szCs w:val="20"/>
        </w:rPr>
        <w:t>. Its representativeness must therefore be questioned; our data only provides a general indicator of the true situation.</w:t>
      </w:r>
    </w:p>
    <w:p w14:paraId="1407F545" w14:textId="42E67602" w:rsidR="00F84533" w:rsidRDefault="00FB7C53" w:rsidP="00693035">
      <w:pPr>
        <w:spacing w:line="480" w:lineRule="auto"/>
        <w:jc w:val="both"/>
        <w:rPr>
          <w:rFonts w:cstheme="minorHAnsi"/>
          <w:sz w:val="20"/>
          <w:szCs w:val="20"/>
        </w:rPr>
      </w:pPr>
      <w:r w:rsidRPr="00693035">
        <w:rPr>
          <w:rFonts w:cstheme="minorHAnsi"/>
          <w:sz w:val="20"/>
          <w:szCs w:val="20"/>
        </w:rPr>
        <w:t xml:space="preserve">With this large scale work we </w:t>
      </w:r>
      <w:r w:rsidR="001A01FD">
        <w:rPr>
          <w:rFonts w:cstheme="minorHAnsi"/>
          <w:sz w:val="20"/>
          <w:szCs w:val="20"/>
        </w:rPr>
        <w:t>provide</w:t>
      </w:r>
      <w:r w:rsidRPr="00693035">
        <w:rPr>
          <w:rFonts w:cstheme="minorHAnsi"/>
          <w:sz w:val="20"/>
          <w:szCs w:val="20"/>
        </w:rPr>
        <w:t xml:space="preserve"> UK specific baseline data</w:t>
      </w:r>
      <w:r w:rsidR="001A01FD">
        <w:rPr>
          <w:rFonts w:cstheme="minorHAnsi"/>
          <w:sz w:val="20"/>
          <w:szCs w:val="20"/>
        </w:rPr>
        <w:t xml:space="preserve"> that is greatly need</w:t>
      </w:r>
      <w:r w:rsidRPr="00693035">
        <w:rPr>
          <w:rFonts w:cstheme="minorHAnsi"/>
          <w:sz w:val="20"/>
          <w:szCs w:val="20"/>
        </w:rPr>
        <w:t xml:space="preserve"> for further epidemiological </w:t>
      </w:r>
      <w:r w:rsidR="00DF4650">
        <w:rPr>
          <w:rFonts w:cstheme="minorHAnsi"/>
          <w:sz w:val="20"/>
          <w:szCs w:val="20"/>
        </w:rPr>
        <w:t>research</w:t>
      </w:r>
      <w:r w:rsidRPr="00693035">
        <w:rPr>
          <w:rFonts w:cstheme="minorHAnsi"/>
          <w:sz w:val="20"/>
          <w:szCs w:val="20"/>
        </w:rPr>
        <w:t xml:space="preserve"> </w:t>
      </w:r>
      <w:r w:rsidR="006B02CB">
        <w:rPr>
          <w:rFonts w:cstheme="minorHAnsi"/>
          <w:sz w:val="20"/>
          <w:szCs w:val="20"/>
        </w:rPr>
        <w:t>on</w:t>
      </w:r>
      <w:r w:rsidR="006B02CB" w:rsidRPr="00693035">
        <w:rPr>
          <w:rFonts w:cstheme="minorHAnsi"/>
          <w:sz w:val="20"/>
          <w:szCs w:val="20"/>
        </w:rPr>
        <w:t xml:space="preserve"> </w:t>
      </w:r>
      <w:r w:rsidRPr="00693035">
        <w:rPr>
          <w:rFonts w:cstheme="minorHAnsi"/>
          <w:sz w:val="20"/>
          <w:szCs w:val="20"/>
        </w:rPr>
        <w:t xml:space="preserve">Lyme disease, and </w:t>
      </w:r>
      <w:r w:rsidR="001A01FD">
        <w:rPr>
          <w:rFonts w:cstheme="minorHAnsi"/>
          <w:sz w:val="20"/>
          <w:szCs w:val="20"/>
        </w:rPr>
        <w:t xml:space="preserve">have </w:t>
      </w:r>
      <w:r w:rsidRPr="00693035">
        <w:rPr>
          <w:rFonts w:cstheme="minorHAnsi"/>
          <w:sz w:val="20"/>
          <w:szCs w:val="20"/>
        </w:rPr>
        <w:t xml:space="preserve">fulfilled one of the NICE guidelines </w:t>
      </w:r>
      <w:r w:rsidR="00BE6882" w:rsidRPr="00693035">
        <w:rPr>
          <w:rFonts w:cstheme="minorHAnsi"/>
          <w:sz w:val="20"/>
          <w:szCs w:val="20"/>
        </w:rPr>
        <w:t>identified research needs</w:t>
      </w:r>
      <w:r w:rsidR="004857CC" w:rsidRPr="00693035">
        <w:rPr>
          <w:rFonts w:cstheme="minorHAnsi"/>
          <w:sz w:val="20"/>
          <w:szCs w:val="20"/>
        </w:rPr>
        <w:t xml:space="preserve"> </w:t>
      </w:r>
      <w:r w:rsidR="001310EA" w:rsidRPr="00693035">
        <w:rPr>
          <w:rFonts w:cstheme="minorHAnsi"/>
          <w:sz w:val="20"/>
          <w:szCs w:val="20"/>
        </w:rPr>
        <w:fldChar w:fldCharType="begin" w:fldLock="1"/>
      </w:r>
      <w:r w:rsidR="006A4A4F">
        <w:rPr>
          <w:rFonts w:cstheme="minorHAnsi"/>
          <w:sz w:val="20"/>
          <w:szCs w:val="20"/>
        </w:rPr>
        <w:instrText>ADDIN CSL_CITATION {"citationItems":[{"id":"ITEM-1","itemData":{"URL":"https://www.nice.org.uk/guidance/ng95","accessed":{"date-parts":[["2017","10","23"]]},"author":[{"dropping-particle":"","family":"National Institute for Health and Care Excellence","given":"","non-dropping-particle":"","parse-names":false,"suffix":""}],"id":"ITEM-1","issued":{"date-parts":[["2018"]]},"title":"Lyme disease NICE guideline [NG95]","type":"webpage"},"uris":["http://www.mendeley.com/documents/?uuid=3c60817c-61d3-46a6-b42a-4baa11776ecd"]}],"mendeley":{"formattedCitation":"(7)","plainTextFormattedCitation":"(7)","previouslyFormattedCitation":"(7)"},"properties":{"noteIndex":0},"schema":"https://github.com/citation-style-language/schema/raw/master/csl-citation.json"}</w:instrText>
      </w:r>
      <w:r w:rsidR="001310EA" w:rsidRPr="00693035">
        <w:rPr>
          <w:rFonts w:cstheme="minorHAnsi"/>
          <w:sz w:val="20"/>
          <w:szCs w:val="20"/>
        </w:rPr>
        <w:fldChar w:fldCharType="separate"/>
      </w:r>
      <w:r w:rsidR="006A4A4F" w:rsidRPr="006A4A4F">
        <w:rPr>
          <w:rFonts w:cstheme="minorHAnsi"/>
          <w:noProof/>
          <w:sz w:val="20"/>
          <w:szCs w:val="20"/>
        </w:rPr>
        <w:t>(7)</w:t>
      </w:r>
      <w:r w:rsidR="001310EA" w:rsidRPr="00693035">
        <w:rPr>
          <w:rFonts w:cstheme="minorHAnsi"/>
          <w:sz w:val="20"/>
          <w:szCs w:val="20"/>
        </w:rPr>
        <w:fldChar w:fldCharType="end"/>
      </w:r>
      <w:r w:rsidR="004857CC" w:rsidRPr="00693035">
        <w:rPr>
          <w:rFonts w:cstheme="minorHAnsi"/>
          <w:sz w:val="20"/>
          <w:szCs w:val="20"/>
        </w:rPr>
        <w:t>.</w:t>
      </w:r>
      <w:r w:rsidRPr="00693035">
        <w:rPr>
          <w:rFonts w:cstheme="minorHAnsi"/>
          <w:sz w:val="20"/>
          <w:szCs w:val="20"/>
        </w:rPr>
        <w:t xml:space="preserve"> We h</w:t>
      </w:r>
      <w:r w:rsidR="00656A16" w:rsidRPr="00693035">
        <w:rPr>
          <w:rFonts w:cstheme="minorHAnsi"/>
          <w:sz w:val="20"/>
          <w:szCs w:val="20"/>
        </w:rPr>
        <w:t>ave highlighted new insights in</w:t>
      </w:r>
      <w:r w:rsidRPr="00693035">
        <w:rPr>
          <w:rFonts w:cstheme="minorHAnsi"/>
          <w:sz w:val="20"/>
          <w:szCs w:val="20"/>
        </w:rPr>
        <w:t xml:space="preserve">to the demographics of </w:t>
      </w:r>
      <w:r w:rsidR="007149EA">
        <w:rPr>
          <w:rFonts w:cstheme="minorHAnsi"/>
          <w:sz w:val="20"/>
          <w:szCs w:val="20"/>
        </w:rPr>
        <w:t>Lyme disease patients in primary care</w:t>
      </w:r>
      <w:r w:rsidRPr="00693035">
        <w:rPr>
          <w:rFonts w:cstheme="minorHAnsi"/>
          <w:sz w:val="20"/>
          <w:szCs w:val="20"/>
        </w:rPr>
        <w:t>.</w:t>
      </w:r>
      <w:r w:rsidR="00BE6882" w:rsidRPr="00693035">
        <w:rPr>
          <w:rFonts w:cstheme="minorHAnsi"/>
          <w:sz w:val="20"/>
          <w:szCs w:val="20"/>
        </w:rPr>
        <w:t xml:space="preserve"> THIN has been shown to be representative of the UK population and as such the results are </w:t>
      </w:r>
      <w:r w:rsidR="00F37CC7" w:rsidRPr="00693035">
        <w:rPr>
          <w:rFonts w:cstheme="minorHAnsi"/>
          <w:sz w:val="20"/>
          <w:szCs w:val="20"/>
        </w:rPr>
        <w:t xml:space="preserve">likely to be </w:t>
      </w:r>
      <w:r w:rsidR="00BE6882" w:rsidRPr="00693035">
        <w:rPr>
          <w:rFonts w:cstheme="minorHAnsi"/>
          <w:sz w:val="20"/>
          <w:szCs w:val="20"/>
        </w:rPr>
        <w:t xml:space="preserve">representative of the Lyme disease </w:t>
      </w:r>
      <w:r w:rsidR="007149EA">
        <w:rPr>
          <w:rFonts w:cstheme="minorHAnsi"/>
          <w:sz w:val="20"/>
          <w:szCs w:val="20"/>
        </w:rPr>
        <w:t>cases</w:t>
      </w:r>
      <w:r w:rsidR="00BE6882" w:rsidRPr="00693035">
        <w:rPr>
          <w:rFonts w:cstheme="minorHAnsi"/>
          <w:sz w:val="20"/>
          <w:szCs w:val="20"/>
        </w:rPr>
        <w:t xml:space="preserve"> seen in primary care. </w:t>
      </w:r>
      <w:proofErr w:type="gramStart"/>
      <w:r w:rsidR="00F91EF3" w:rsidRPr="00693035">
        <w:rPr>
          <w:rFonts w:cstheme="minorHAnsi"/>
          <w:sz w:val="20"/>
          <w:szCs w:val="20"/>
        </w:rPr>
        <w:t>The majority of</w:t>
      </w:r>
      <w:proofErr w:type="gramEnd"/>
      <w:r w:rsidR="00F91EF3" w:rsidRPr="00693035">
        <w:rPr>
          <w:rFonts w:cstheme="minorHAnsi"/>
          <w:sz w:val="20"/>
          <w:szCs w:val="20"/>
        </w:rPr>
        <w:t xml:space="preserve"> research investigating conditions within a primary care database</w:t>
      </w:r>
      <w:r w:rsidR="00244F7D" w:rsidRPr="00693035">
        <w:rPr>
          <w:rFonts w:cstheme="minorHAnsi"/>
          <w:sz w:val="20"/>
          <w:szCs w:val="20"/>
        </w:rPr>
        <w:t xml:space="preserve"> also</w:t>
      </w:r>
      <w:r w:rsidR="00F91EF3" w:rsidRPr="00693035">
        <w:rPr>
          <w:rFonts w:cstheme="minorHAnsi"/>
          <w:sz w:val="20"/>
          <w:szCs w:val="20"/>
        </w:rPr>
        <w:t xml:space="preserve"> try to validate the R</w:t>
      </w:r>
      <w:r w:rsidR="001310EA" w:rsidRPr="00693035">
        <w:rPr>
          <w:rFonts w:cstheme="minorHAnsi"/>
          <w:sz w:val="20"/>
          <w:szCs w:val="20"/>
        </w:rPr>
        <w:t>ead</w:t>
      </w:r>
      <w:r w:rsidR="00F91EF3" w:rsidRPr="00693035">
        <w:rPr>
          <w:rFonts w:cstheme="minorHAnsi"/>
          <w:sz w:val="20"/>
          <w:szCs w:val="20"/>
        </w:rPr>
        <w:t xml:space="preserve"> code</w:t>
      </w:r>
      <w:r w:rsidR="00337B57" w:rsidRPr="00693035">
        <w:rPr>
          <w:rFonts w:cstheme="minorHAnsi"/>
          <w:sz w:val="20"/>
          <w:szCs w:val="20"/>
        </w:rPr>
        <w:t>s</w:t>
      </w:r>
      <w:r w:rsidR="00F91EF3" w:rsidRPr="00693035">
        <w:rPr>
          <w:rFonts w:cstheme="minorHAnsi"/>
          <w:sz w:val="20"/>
          <w:szCs w:val="20"/>
        </w:rPr>
        <w:t xml:space="preserve"> investigated. This is usually via the result of a diagnostic test or a questionnaire of general practitioners</w:t>
      </w:r>
      <w:r w:rsidR="004857CC" w:rsidRPr="00693035">
        <w:rPr>
          <w:rFonts w:cstheme="minorHAnsi"/>
          <w:sz w:val="20"/>
          <w:szCs w:val="20"/>
        </w:rPr>
        <w:t xml:space="preserve"> </w:t>
      </w:r>
      <w:r w:rsidR="00F91EF3" w:rsidRPr="00693035">
        <w:rPr>
          <w:rFonts w:cstheme="minorHAnsi"/>
          <w:sz w:val="20"/>
          <w:szCs w:val="20"/>
        </w:rPr>
        <w:fldChar w:fldCharType="begin" w:fldLock="1"/>
      </w:r>
      <w:r w:rsidR="00087BF7">
        <w:rPr>
          <w:rFonts w:cstheme="minorHAnsi"/>
          <w:sz w:val="20"/>
          <w:szCs w:val="20"/>
        </w:rPr>
        <w:instrText>ADDIN CSL_CITATION {"citationItems":[{"id":"ITEM-1","itemData":{"DOI":"10.1136/bmjopen-2014-005540","ISBN":"2014005540","ISSN":"2044-6055","PMID":"25056980","abstract":"OBJECTIVES: The optimal method of identifying people with chronic obstructive pulmonary disease (COPD) from electronic primary care records is not known. We assessed the accuracy of different approaches using the Clinical Practice Research Datalink, a UK electronic health record database.\\n\\nSETTING: 951 participants registered with a CPRD practice in the UK between 1 January 2004 and 31 December 2012. Individuals were selected for ≥1 of 8 algorithms to identify people with COPD. General practitioners were sent a brief questionnaire and additional evidence to support a COPD diagnosis was requested. All information received was reviewed independently by two respiratory physicians whose opinion was taken as the gold standard.\\n\\nPRIMARY OUTCOME MEASURE: The primary measure of accuracy was the positive predictive value (PPV), the proportion of people identified by each algorithm for whom COPD was confirmed.\\n\\nRESULTS: 951 questionnaires were sent and 738 (78%) returned. After quality control, 696 (73.2%) patients were included in the final analysis. All four algorithms including a specific COPD diagnostic code performed well. Using a diagnostic code alone, the PPV was 86.5% (77.5-92.3%) while requiring a diagnosis plus spirometry plus specific medication; the PPV was slightly higher at 89.4% (80.7-94.5%) but reduced case numbers by 10%. Algorithms without specific diagnostic codes had low PPVs (range 12.2-44.4%).\\n\\nCONCLUSIONS: Patients with COPD can be accurately identified from UK primary care records using specific diagnostic codes. Requiring spirometry or COPD medications only marginally improved accuracy. The high accuracy applies since the introduction of an incentivised disease register for COPD as part of Quality and Outcomes Framework in 2004.","author":[{"dropping-particle":"","family":"Quint","given":"Jennifer K","non-dropping-particle":"","parse-names":false,"suffix":""},{"dropping-particle":"","family":"Müllerova","given":"Hana","non-dropping-particle":"","parse-names":false,"suffix":""},{"dropping-particle":"","family":"DiSantostefano","given":"Rachael L","non-dropping-particle":"","parse-names":false,"suffix":""},{"dropping-particle":"","family":"Forbes","given":"Harriet","non-dropping-particle":"","parse-names":false,"suffix":""},{"dropping-particle":"","family":"Eaton","given":"Susan","non-dropping-particle":"","parse-names":false,"suffix":""},{"dropping-particle":"","family":"Hurst","given":"John R","non-dropping-particle":"","parse-names":false,"suffix":""},{"dropping-particle":"","family":"Davis","given":"Kourtney","non-dropping-particle":"","parse-names":false,"suffix":""},{"dropping-particle":"","family":"Smeeth","given":"Liam","non-dropping-particle":"","parse-names":false,"suffix":""}],"container-title":"BMJ open","id":"ITEM-1","issue":"7","issued":{"date-parts":[["2014"]]},"page":"e005540","title":"Validation of chronic obstructive pulmonary disease recording in the Clinical Practice Research Datalink (CPRD-GOLD).","type":"article-journal","volume":"4"},"uris":["http://www.mendeley.com/documents/?uuid=df29047f-a20b-4a53-ad4b-9e2734a47268"]},{"id":"ITEM-2","itemData":{"DOI":"10.1111/j.1365-2125.2009.03537.x","ISBN":"1365-2125 (Electronic)\\n0306-5251 (Linking)","ISSN":"03065251","PMID":"20078607","abstract":"AIMS: To investigate the range of methods used to validate diagnoses in the General Practice Research Database (GPRD), to summarize findings and to assess the quality of these validations.\\n\\nMETHODS: A systematic literature review was performed by searching PubMed and Embase for publications using GPRD data published between 1987 and April 2008. Additional publications were identified from conference proceedings, back issues of relevant journals, bibliographies of retrieved publications and relevant websites. Publications that reported attempts to validate disease diagnoses recorded in the GPRD were included.\\n\\nRESULTS: We identified 212 publications, often validating more than one diagnosis. In total, 357 validations investigating 183 different diagnoses met our inclusion criteria. Of these, 303 (85%) utilized data from outside the GPRD to validate diagnoses. The remainder utilized only data recorded in the database. The median proportion of cases with a confirmed diagnosis was 89% (range 24-100%). Details of validation methods and results were often incomplete.\\n\\nCONCLUSIONS: A number of methods have been used to assess validity. Overall, estimates of validity were high. However, the quality of reporting of the validations was often inadequate to permit a clear interpretation. Not all methods provided a quantitative estimate of validity and most methods considered only the positive predictive value of a set of diagnostic codes in a highly selected group of cases. We make recommendations for methodology and reporting to strengthen further the use of the GPRD in research.","author":[{"dropping-particle":"","family":"Herrett","given":"Emily","non-dropping-particle":"","parse-names":false,"suffix":""},{"dropping-particle":"","family":"Thomas","given":"Sara L.","non-dropping-particle":"","parse-names":false,"suffix":""},{"dropping-particle":"","family":"Schoonen","given":"W. Marieke","non-dropping-particle":"","parse-names":false,"suffix":""},{"dropping-particle":"","family":"Smeeth","given":"Liam","non-dropping-particle":"","parse-names":false,"suffix":""},{"dropping-particle":"","family":"Hall","given":"Andrew J.","non-dropping-particle":"","parse-names":false,"suffix":""}],"container-title":"British Journal of Clinical Pharmacology","id":"ITEM-2","issue":"1","issued":{"date-parts":[["2010"]]},"page":"4-14","title":"Validation and validity of diagnoses in the General Practice Research Database: A systematic review","type":"article-journal","volume":"69"},"uris":["http://www.mendeley.com/documents/?uuid=f1760219-e3d7-49ba-b635-9e88f966497b"]}],"mendeley":{"formattedCitation":"(51,52)","plainTextFormattedCitation":"(51,52)","previouslyFormattedCitation":"(51,52)"},"properties":{"noteIndex":0},"schema":"https://github.com/citation-style-language/schema/raw/master/csl-citation.json"}</w:instrText>
      </w:r>
      <w:r w:rsidR="00F91EF3" w:rsidRPr="00693035">
        <w:rPr>
          <w:rFonts w:cstheme="minorHAnsi"/>
          <w:sz w:val="20"/>
          <w:szCs w:val="20"/>
        </w:rPr>
        <w:fldChar w:fldCharType="separate"/>
      </w:r>
      <w:r w:rsidR="00087BF7" w:rsidRPr="00087BF7">
        <w:rPr>
          <w:rFonts w:cstheme="minorHAnsi"/>
          <w:noProof/>
          <w:sz w:val="20"/>
          <w:szCs w:val="20"/>
        </w:rPr>
        <w:t>(51,52)</w:t>
      </w:r>
      <w:r w:rsidR="00F91EF3" w:rsidRPr="00693035">
        <w:rPr>
          <w:rFonts w:cstheme="minorHAnsi"/>
          <w:sz w:val="20"/>
          <w:szCs w:val="20"/>
        </w:rPr>
        <w:fldChar w:fldCharType="end"/>
      </w:r>
      <w:r w:rsidR="004857CC" w:rsidRPr="00693035">
        <w:rPr>
          <w:rFonts w:cstheme="minorHAnsi"/>
          <w:sz w:val="20"/>
          <w:szCs w:val="20"/>
        </w:rPr>
        <w:t>.</w:t>
      </w:r>
      <w:r w:rsidR="00F91EF3" w:rsidRPr="00693035">
        <w:rPr>
          <w:rFonts w:cstheme="minorHAnsi"/>
          <w:sz w:val="20"/>
          <w:szCs w:val="20"/>
        </w:rPr>
        <w:t xml:space="preserve"> </w:t>
      </w:r>
      <w:r w:rsidR="000923A5" w:rsidRPr="00693035">
        <w:rPr>
          <w:rFonts w:cstheme="minorHAnsi"/>
          <w:sz w:val="20"/>
          <w:szCs w:val="20"/>
        </w:rPr>
        <w:t>Validation of R</w:t>
      </w:r>
      <w:r w:rsidR="001310EA" w:rsidRPr="00693035">
        <w:rPr>
          <w:rFonts w:cstheme="minorHAnsi"/>
          <w:sz w:val="20"/>
          <w:szCs w:val="20"/>
        </w:rPr>
        <w:t>ead</w:t>
      </w:r>
      <w:r w:rsidR="000923A5" w:rsidRPr="00693035">
        <w:rPr>
          <w:rFonts w:cstheme="minorHAnsi"/>
          <w:sz w:val="20"/>
          <w:szCs w:val="20"/>
        </w:rPr>
        <w:t xml:space="preserve"> codes</w:t>
      </w:r>
      <w:r w:rsidR="00F91EF3" w:rsidRPr="00693035">
        <w:rPr>
          <w:rFonts w:cstheme="minorHAnsi"/>
          <w:sz w:val="20"/>
          <w:szCs w:val="20"/>
        </w:rPr>
        <w:t xml:space="preserve"> relating to Lyme disease therefore prove a challenge</w:t>
      </w:r>
      <w:r w:rsidR="001310EA" w:rsidRPr="00693035">
        <w:rPr>
          <w:rFonts w:cstheme="minorHAnsi"/>
          <w:sz w:val="20"/>
          <w:szCs w:val="20"/>
        </w:rPr>
        <w:t>,</w:t>
      </w:r>
      <w:r w:rsidR="00F91EF3" w:rsidRPr="00693035">
        <w:rPr>
          <w:rFonts w:cstheme="minorHAnsi"/>
          <w:sz w:val="20"/>
          <w:szCs w:val="20"/>
        </w:rPr>
        <w:t xml:space="preserve"> as if there is an uncomplicated clinical presentation the clinician is recommended to prescribe antibiotics without p</w:t>
      </w:r>
      <w:r w:rsidR="007D4B77" w:rsidRPr="00693035">
        <w:rPr>
          <w:rFonts w:cstheme="minorHAnsi"/>
          <w:sz w:val="20"/>
          <w:szCs w:val="20"/>
        </w:rPr>
        <w:t>erforming subsequent diagnostic tests</w:t>
      </w:r>
      <w:r w:rsidR="004857CC" w:rsidRPr="00693035">
        <w:rPr>
          <w:rFonts w:cstheme="minorHAnsi"/>
          <w:sz w:val="20"/>
          <w:szCs w:val="20"/>
        </w:rPr>
        <w:t xml:space="preserve"> </w:t>
      </w:r>
      <w:r w:rsidR="00F91EF3" w:rsidRPr="00693035">
        <w:rPr>
          <w:rFonts w:cstheme="minorHAnsi"/>
          <w:sz w:val="20"/>
          <w:szCs w:val="20"/>
        </w:rPr>
        <w:fldChar w:fldCharType="begin" w:fldLock="1"/>
      </w:r>
      <w:r w:rsidR="006A4A4F">
        <w:rPr>
          <w:rFonts w:cstheme="minorHAnsi"/>
          <w:sz w:val="20"/>
          <w:szCs w:val="20"/>
        </w:rPr>
        <w:instrText>ADDIN CSL_CITATION {"citationItems":[{"id":"ITEM-1","itemData":{"URL":"https://www.nice.org.uk/guidance/ng95","accessed":{"date-parts":[["2017","10","23"]]},"author":[{"dropping-particle":"","family":"National Institute for Health and Care Excellence","given":"","non-dropping-particle":"","parse-names":false,"suffix":""}],"id":"ITEM-1","issued":{"date-parts":[["2018"]]},"title":"Lyme disease NICE guideline [NG95]","type":"webpage"},"uris":["http://www.mendeley.com/documents/?uuid=3c60817c-61d3-46a6-b42a-4baa11776ecd"]}],"mendeley":{"formattedCitation":"(7)","plainTextFormattedCitation":"(7)","previouslyFormattedCitation":"(7)"},"properties":{"noteIndex":0},"schema":"https://github.com/citation-style-language/schema/raw/master/csl-citation.json"}</w:instrText>
      </w:r>
      <w:r w:rsidR="00F91EF3" w:rsidRPr="00693035">
        <w:rPr>
          <w:rFonts w:cstheme="minorHAnsi"/>
          <w:sz w:val="20"/>
          <w:szCs w:val="20"/>
        </w:rPr>
        <w:fldChar w:fldCharType="separate"/>
      </w:r>
      <w:r w:rsidR="006A4A4F" w:rsidRPr="006A4A4F">
        <w:rPr>
          <w:rFonts w:cstheme="minorHAnsi"/>
          <w:noProof/>
          <w:sz w:val="20"/>
          <w:szCs w:val="20"/>
        </w:rPr>
        <w:t>(7)</w:t>
      </w:r>
      <w:r w:rsidR="00F91EF3" w:rsidRPr="00693035">
        <w:rPr>
          <w:rFonts w:cstheme="minorHAnsi"/>
          <w:sz w:val="20"/>
          <w:szCs w:val="20"/>
        </w:rPr>
        <w:fldChar w:fldCharType="end"/>
      </w:r>
      <w:r w:rsidR="004857CC" w:rsidRPr="00693035">
        <w:rPr>
          <w:rFonts w:cstheme="minorHAnsi"/>
          <w:sz w:val="20"/>
          <w:szCs w:val="20"/>
        </w:rPr>
        <w:t>.</w:t>
      </w:r>
      <w:r w:rsidR="00F91EF3" w:rsidRPr="00693035">
        <w:rPr>
          <w:rFonts w:cstheme="minorHAnsi"/>
          <w:sz w:val="20"/>
          <w:szCs w:val="20"/>
        </w:rPr>
        <w:t xml:space="preserve"> Therefore, matching a </w:t>
      </w:r>
      <w:r w:rsidR="00124CA6" w:rsidRPr="00693035">
        <w:rPr>
          <w:rFonts w:cstheme="minorHAnsi"/>
          <w:sz w:val="20"/>
          <w:szCs w:val="20"/>
        </w:rPr>
        <w:t>R</w:t>
      </w:r>
      <w:r w:rsidR="001310EA" w:rsidRPr="00693035">
        <w:rPr>
          <w:rFonts w:cstheme="minorHAnsi"/>
          <w:sz w:val="20"/>
          <w:szCs w:val="20"/>
        </w:rPr>
        <w:t>ead</w:t>
      </w:r>
      <w:r w:rsidR="00124CA6" w:rsidRPr="00693035">
        <w:rPr>
          <w:rFonts w:cstheme="minorHAnsi"/>
          <w:sz w:val="20"/>
          <w:szCs w:val="20"/>
        </w:rPr>
        <w:t xml:space="preserve"> code case with a positi</w:t>
      </w:r>
      <w:r w:rsidR="001310EA" w:rsidRPr="00693035">
        <w:rPr>
          <w:rFonts w:cstheme="minorHAnsi"/>
          <w:sz w:val="20"/>
          <w:szCs w:val="20"/>
        </w:rPr>
        <w:t xml:space="preserve">ve test result </w:t>
      </w:r>
      <w:r w:rsidR="008E295B" w:rsidRPr="00693035">
        <w:rPr>
          <w:rFonts w:cstheme="minorHAnsi"/>
          <w:sz w:val="20"/>
          <w:szCs w:val="20"/>
        </w:rPr>
        <w:t>may</w:t>
      </w:r>
      <w:r w:rsidR="001310EA" w:rsidRPr="00693035">
        <w:rPr>
          <w:rFonts w:cstheme="minorHAnsi"/>
          <w:sz w:val="20"/>
          <w:szCs w:val="20"/>
        </w:rPr>
        <w:t xml:space="preserve"> be a fruitless</w:t>
      </w:r>
      <w:r w:rsidR="00124CA6" w:rsidRPr="00693035">
        <w:rPr>
          <w:rFonts w:cstheme="minorHAnsi"/>
          <w:sz w:val="20"/>
          <w:szCs w:val="20"/>
        </w:rPr>
        <w:t xml:space="preserve"> exercise. </w:t>
      </w:r>
      <w:r w:rsidR="00244F7D" w:rsidRPr="00693035">
        <w:rPr>
          <w:rFonts w:cstheme="minorHAnsi"/>
          <w:sz w:val="20"/>
          <w:szCs w:val="20"/>
        </w:rPr>
        <w:t>Instead, v</w:t>
      </w:r>
      <w:r w:rsidR="00124CA6" w:rsidRPr="00693035">
        <w:rPr>
          <w:rFonts w:cstheme="minorHAnsi"/>
          <w:sz w:val="20"/>
          <w:szCs w:val="20"/>
        </w:rPr>
        <w:t xml:space="preserve">alidation through a </w:t>
      </w:r>
      <w:r w:rsidR="004E6E43" w:rsidRPr="00693035">
        <w:rPr>
          <w:rFonts w:cstheme="minorHAnsi"/>
          <w:sz w:val="20"/>
          <w:szCs w:val="20"/>
        </w:rPr>
        <w:t xml:space="preserve">GP questionnaire </w:t>
      </w:r>
      <w:r w:rsidR="003566E4" w:rsidRPr="00693035">
        <w:rPr>
          <w:rFonts w:cstheme="minorHAnsi"/>
          <w:sz w:val="20"/>
          <w:szCs w:val="20"/>
        </w:rPr>
        <w:t xml:space="preserve">would be recommended. In </w:t>
      </w:r>
      <w:proofErr w:type="gramStart"/>
      <w:r w:rsidR="003566E4" w:rsidRPr="00693035">
        <w:rPr>
          <w:rFonts w:cstheme="minorHAnsi"/>
          <w:sz w:val="20"/>
          <w:szCs w:val="20"/>
        </w:rPr>
        <w:t>the majority of</w:t>
      </w:r>
      <w:proofErr w:type="gramEnd"/>
      <w:r w:rsidR="003566E4" w:rsidRPr="00693035">
        <w:rPr>
          <w:rFonts w:cstheme="minorHAnsi"/>
          <w:sz w:val="20"/>
          <w:szCs w:val="20"/>
        </w:rPr>
        <w:t xml:space="preserve"> cases there will be no confirmatory diagnostics, so GPs would have to confirm a case by remembering the exact consult</w:t>
      </w:r>
      <w:r w:rsidR="00615CF8" w:rsidRPr="00693035">
        <w:rPr>
          <w:rFonts w:cstheme="minorHAnsi"/>
          <w:sz w:val="20"/>
          <w:szCs w:val="20"/>
        </w:rPr>
        <w:t>ation</w:t>
      </w:r>
      <w:r w:rsidR="003566E4" w:rsidRPr="00693035">
        <w:rPr>
          <w:rFonts w:cstheme="minorHAnsi"/>
          <w:sz w:val="20"/>
          <w:szCs w:val="20"/>
        </w:rPr>
        <w:t>, as the information collected by THIN does</w:t>
      </w:r>
      <w:r w:rsidR="00CD6C66" w:rsidRPr="00693035">
        <w:rPr>
          <w:rFonts w:cstheme="minorHAnsi"/>
          <w:sz w:val="20"/>
          <w:szCs w:val="20"/>
        </w:rPr>
        <w:t xml:space="preserve"> </w:t>
      </w:r>
      <w:r w:rsidR="003566E4" w:rsidRPr="00693035">
        <w:rPr>
          <w:rFonts w:cstheme="minorHAnsi"/>
          <w:sz w:val="20"/>
          <w:szCs w:val="20"/>
        </w:rPr>
        <w:t>n</w:t>
      </w:r>
      <w:r w:rsidR="00CD6C66" w:rsidRPr="00693035">
        <w:rPr>
          <w:rFonts w:cstheme="minorHAnsi"/>
          <w:sz w:val="20"/>
          <w:szCs w:val="20"/>
        </w:rPr>
        <w:t>o</w:t>
      </w:r>
      <w:r w:rsidR="003566E4" w:rsidRPr="00693035">
        <w:rPr>
          <w:rFonts w:cstheme="minorHAnsi"/>
          <w:sz w:val="20"/>
          <w:szCs w:val="20"/>
        </w:rPr>
        <w:t xml:space="preserve">t substantially differ from what is </w:t>
      </w:r>
      <w:r w:rsidR="007D4B77" w:rsidRPr="00693035">
        <w:rPr>
          <w:rFonts w:cstheme="minorHAnsi"/>
          <w:sz w:val="20"/>
          <w:szCs w:val="20"/>
        </w:rPr>
        <w:t>in</w:t>
      </w:r>
      <w:r w:rsidR="003566E4" w:rsidRPr="00693035">
        <w:rPr>
          <w:rFonts w:cstheme="minorHAnsi"/>
          <w:sz w:val="20"/>
          <w:szCs w:val="20"/>
        </w:rPr>
        <w:t xml:space="preserve"> the practices’ clinical records. </w:t>
      </w:r>
      <w:r w:rsidR="00A05D8D" w:rsidRPr="00693035">
        <w:rPr>
          <w:rFonts w:cstheme="minorHAnsi"/>
          <w:sz w:val="20"/>
          <w:szCs w:val="20"/>
        </w:rPr>
        <w:t>Hence, t</w:t>
      </w:r>
      <w:r w:rsidR="003566E4" w:rsidRPr="00693035">
        <w:rPr>
          <w:rFonts w:cstheme="minorHAnsi"/>
          <w:sz w:val="20"/>
          <w:szCs w:val="20"/>
        </w:rPr>
        <w:t>her</w:t>
      </w:r>
      <w:r w:rsidR="004E6E43" w:rsidRPr="00693035">
        <w:rPr>
          <w:rFonts w:cstheme="minorHAnsi"/>
          <w:sz w:val="20"/>
          <w:szCs w:val="20"/>
        </w:rPr>
        <w:t xml:space="preserve">e would be scope for </w:t>
      </w:r>
      <w:r w:rsidR="002D3908" w:rsidRPr="00693035">
        <w:rPr>
          <w:rFonts w:cstheme="minorHAnsi"/>
          <w:sz w:val="20"/>
          <w:szCs w:val="20"/>
        </w:rPr>
        <w:t xml:space="preserve">considerable </w:t>
      </w:r>
      <w:r w:rsidR="004E6E43" w:rsidRPr="00693035">
        <w:rPr>
          <w:rFonts w:cstheme="minorHAnsi"/>
          <w:sz w:val="20"/>
          <w:szCs w:val="20"/>
        </w:rPr>
        <w:t>error. M</w:t>
      </w:r>
      <w:r w:rsidR="003566E4" w:rsidRPr="00693035">
        <w:rPr>
          <w:rFonts w:cstheme="minorHAnsi"/>
          <w:sz w:val="20"/>
          <w:szCs w:val="20"/>
        </w:rPr>
        <w:t>ethodology for validating conditions with br</w:t>
      </w:r>
      <w:r w:rsidR="004E6E43" w:rsidRPr="00693035">
        <w:rPr>
          <w:rFonts w:cstheme="minorHAnsi"/>
          <w:sz w:val="20"/>
          <w:szCs w:val="20"/>
        </w:rPr>
        <w:t>oad clinical presentations need</w:t>
      </w:r>
      <w:r w:rsidR="007D4B77" w:rsidRPr="00693035">
        <w:rPr>
          <w:rFonts w:cstheme="minorHAnsi"/>
          <w:sz w:val="20"/>
          <w:szCs w:val="20"/>
        </w:rPr>
        <w:t>s</w:t>
      </w:r>
      <w:r w:rsidR="003566E4" w:rsidRPr="00693035">
        <w:rPr>
          <w:rFonts w:cstheme="minorHAnsi"/>
          <w:sz w:val="20"/>
          <w:szCs w:val="20"/>
        </w:rPr>
        <w:t xml:space="preserve"> to be explored, </w:t>
      </w:r>
      <w:r w:rsidR="00124CA6" w:rsidRPr="00693035">
        <w:rPr>
          <w:rFonts w:cstheme="minorHAnsi"/>
          <w:sz w:val="20"/>
          <w:szCs w:val="20"/>
        </w:rPr>
        <w:t xml:space="preserve">but </w:t>
      </w:r>
      <w:r w:rsidR="00FE6DF0" w:rsidRPr="00693035">
        <w:rPr>
          <w:rFonts w:cstheme="minorHAnsi"/>
          <w:sz w:val="20"/>
          <w:szCs w:val="20"/>
        </w:rPr>
        <w:t xml:space="preserve">this </w:t>
      </w:r>
      <w:r w:rsidR="00124CA6" w:rsidRPr="00693035">
        <w:rPr>
          <w:rFonts w:cstheme="minorHAnsi"/>
          <w:sz w:val="20"/>
          <w:szCs w:val="20"/>
        </w:rPr>
        <w:t xml:space="preserve">was beyond the scope of this </w:t>
      </w:r>
      <w:r w:rsidR="00841EF8" w:rsidRPr="00693035">
        <w:rPr>
          <w:rFonts w:cstheme="minorHAnsi"/>
          <w:sz w:val="20"/>
          <w:szCs w:val="20"/>
        </w:rPr>
        <w:t>study</w:t>
      </w:r>
      <w:r w:rsidR="00124CA6" w:rsidRPr="00693035">
        <w:rPr>
          <w:rFonts w:cstheme="minorHAnsi"/>
          <w:sz w:val="20"/>
          <w:szCs w:val="20"/>
        </w:rPr>
        <w:t xml:space="preserve">. </w:t>
      </w:r>
      <w:bookmarkStart w:id="34" w:name="_Hlk529173085"/>
    </w:p>
    <w:p w14:paraId="417C1369" w14:textId="7DA98084" w:rsidR="006C5515" w:rsidRPr="006C5515" w:rsidRDefault="006C5515" w:rsidP="00693035">
      <w:pPr>
        <w:spacing w:line="480" w:lineRule="auto"/>
        <w:jc w:val="both"/>
        <w:rPr>
          <w:rFonts w:cstheme="minorHAnsi"/>
          <w:b/>
          <w:sz w:val="20"/>
          <w:szCs w:val="20"/>
        </w:rPr>
      </w:pPr>
      <w:r>
        <w:rPr>
          <w:rFonts w:cstheme="minorHAnsi"/>
          <w:b/>
          <w:sz w:val="20"/>
          <w:szCs w:val="20"/>
        </w:rPr>
        <w:t>Limitations</w:t>
      </w:r>
    </w:p>
    <w:p w14:paraId="1059033A" w14:textId="79B3EDBB" w:rsidR="00FB7C53" w:rsidRDefault="00F84533" w:rsidP="00693035">
      <w:pPr>
        <w:spacing w:line="480" w:lineRule="auto"/>
        <w:jc w:val="both"/>
        <w:rPr>
          <w:rFonts w:cstheme="minorHAnsi"/>
          <w:sz w:val="20"/>
          <w:szCs w:val="20"/>
        </w:rPr>
      </w:pPr>
      <w:bookmarkStart w:id="35" w:name="_Hlk529188292"/>
      <w:r w:rsidRPr="001301F9">
        <w:rPr>
          <w:rFonts w:cstheme="minorHAnsi"/>
          <w:sz w:val="20"/>
          <w:szCs w:val="20"/>
        </w:rPr>
        <w:t>One of the largest limitations of this study is the absence of knowledge about GP coding practices and changes in their coding behaviour.</w:t>
      </w:r>
      <w:r w:rsidR="00E16576" w:rsidRPr="001301F9">
        <w:rPr>
          <w:rFonts w:cstheme="minorHAnsi"/>
          <w:sz w:val="20"/>
          <w:szCs w:val="20"/>
        </w:rPr>
        <w:t xml:space="preserve"> Further work is required to better understand coding practices and how they may vary.</w:t>
      </w:r>
      <w:r w:rsidRPr="001301F9">
        <w:rPr>
          <w:rFonts w:cstheme="minorHAnsi"/>
          <w:sz w:val="20"/>
          <w:szCs w:val="20"/>
        </w:rPr>
        <w:t xml:space="preserve"> </w:t>
      </w:r>
      <w:bookmarkEnd w:id="35"/>
      <w:r w:rsidR="00124CA6" w:rsidRPr="001301F9">
        <w:rPr>
          <w:rFonts w:cstheme="minorHAnsi"/>
          <w:sz w:val="20"/>
          <w:szCs w:val="20"/>
        </w:rPr>
        <w:t xml:space="preserve">The </w:t>
      </w:r>
      <w:r w:rsidR="002C0F47" w:rsidRPr="001301F9">
        <w:rPr>
          <w:rFonts w:cstheme="minorHAnsi"/>
          <w:sz w:val="20"/>
          <w:szCs w:val="20"/>
        </w:rPr>
        <w:t xml:space="preserve">Read </w:t>
      </w:r>
      <w:r w:rsidR="00124CA6" w:rsidRPr="001301F9">
        <w:rPr>
          <w:rFonts w:cstheme="minorHAnsi"/>
          <w:sz w:val="20"/>
          <w:szCs w:val="20"/>
        </w:rPr>
        <w:t xml:space="preserve">codes used by clinicians </w:t>
      </w:r>
      <w:r w:rsidR="00F802E1" w:rsidRPr="001301F9">
        <w:rPr>
          <w:rFonts w:cstheme="minorHAnsi"/>
          <w:sz w:val="20"/>
          <w:szCs w:val="20"/>
        </w:rPr>
        <w:t xml:space="preserve">were </w:t>
      </w:r>
      <w:r w:rsidR="00124CA6" w:rsidRPr="001301F9">
        <w:rPr>
          <w:rFonts w:cstheme="minorHAnsi"/>
          <w:sz w:val="20"/>
          <w:szCs w:val="20"/>
        </w:rPr>
        <w:t xml:space="preserve">consistent </w:t>
      </w:r>
      <w:r w:rsidR="00363C35" w:rsidRPr="001301F9">
        <w:rPr>
          <w:rFonts w:cstheme="minorHAnsi"/>
          <w:sz w:val="20"/>
          <w:szCs w:val="20"/>
        </w:rPr>
        <w:t>until 2010</w:t>
      </w:r>
      <w:r w:rsidR="00124CA6" w:rsidRPr="001301F9">
        <w:rPr>
          <w:rFonts w:cstheme="minorHAnsi"/>
          <w:sz w:val="20"/>
          <w:szCs w:val="20"/>
        </w:rPr>
        <w:t>, with the majority being ‘Lyme disease’ and ‘Er</w:t>
      </w:r>
      <w:r w:rsidR="001A2968" w:rsidRPr="001301F9">
        <w:rPr>
          <w:rFonts w:cstheme="minorHAnsi"/>
          <w:sz w:val="20"/>
          <w:szCs w:val="20"/>
        </w:rPr>
        <w:t>ythe</w:t>
      </w:r>
      <w:r w:rsidR="00124CA6" w:rsidRPr="001301F9">
        <w:rPr>
          <w:rFonts w:cstheme="minorHAnsi"/>
          <w:sz w:val="20"/>
          <w:szCs w:val="20"/>
        </w:rPr>
        <w:t>ma migrans’,</w:t>
      </w:r>
      <w:r w:rsidR="002C0F47" w:rsidRPr="001301F9">
        <w:rPr>
          <w:rFonts w:cstheme="minorHAnsi"/>
          <w:sz w:val="20"/>
          <w:szCs w:val="20"/>
        </w:rPr>
        <w:t xml:space="preserve"> at which point the use of these terms started to decline. A year after the introduction of the ‘suspected’ case codes in 2014, the ‘suspected’ codes were already more prevalent in use than ‘Lyme disease’ and ‘Erythema migrans’</w:t>
      </w:r>
      <w:r w:rsidR="00124CA6" w:rsidRPr="001301F9">
        <w:rPr>
          <w:rFonts w:cstheme="minorHAnsi"/>
          <w:sz w:val="20"/>
          <w:szCs w:val="20"/>
        </w:rPr>
        <w:t>.</w:t>
      </w:r>
      <w:r w:rsidR="002C0F47" w:rsidRPr="001301F9">
        <w:rPr>
          <w:rFonts w:cstheme="minorHAnsi"/>
          <w:sz w:val="20"/>
          <w:szCs w:val="20"/>
        </w:rPr>
        <w:t xml:space="preserve"> The reasons for the changes in GP coding behaviour</w:t>
      </w:r>
      <w:r w:rsidR="00123DD4" w:rsidRPr="001301F9">
        <w:rPr>
          <w:rFonts w:cstheme="minorHAnsi"/>
          <w:sz w:val="20"/>
          <w:szCs w:val="20"/>
        </w:rPr>
        <w:t>,</w:t>
      </w:r>
      <w:r w:rsidR="002C0F47" w:rsidRPr="001301F9">
        <w:rPr>
          <w:rFonts w:cstheme="minorHAnsi"/>
          <w:sz w:val="20"/>
          <w:szCs w:val="20"/>
        </w:rPr>
        <w:t xml:space="preserve"> potentially </w:t>
      </w:r>
      <w:r w:rsidR="00123DD4" w:rsidRPr="001301F9">
        <w:rPr>
          <w:rFonts w:cstheme="minorHAnsi"/>
          <w:sz w:val="20"/>
          <w:szCs w:val="20"/>
        </w:rPr>
        <w:t>indicated by changes in code incidence,</w:t>
      </w:r>
      <w:r w:rsidR="002C0F47" w:rsidRPr="001301F9">
        <w:rPr>
          <w:rFonts w:cstheme="minorHAnsi"/>
          <w:sz w:val="20"/>
          <w:szCs w:val="20"/>
        </w:rPr>
        <w:t xml:space="preserve"> </w:t>
      </w:r>
      <w:r w:rsidR="009A531F" w:rsidRPr="001301F9">
        <w:rPr>
          <w:rFonts w:cstheme="minorHAnsi"/>
          <w:sz w:val="20"/>
          <w:szCs w:val="20"/>
        </w:rPr>
        <w:t>are</w:t>
      </w:r>
      <w:r w:rsidR="002C0F47" w:rsidRPr="001301F9">
        <w:rPr>
          <w:rFonts w:cstheme="minorHAnsi"/>
          <w:sz w:val="20"/>
          <w:szCs w:val="20"/>
        </w:rPr>
        <w:t xml:space="preserve"> unknown</w:t>
      </w:r>
      <w:bookmarkEnd w:id="34"/>
      <w:r w:rsidR="009A531F">
        <w:rPr>
          <w:rFonts w:cstheme="minorHAnsi"/>
          <w:sz w:val="20"/>
          <w:szCs w:val="20"/>
        </w:rPr>
        <w:t>; the change</w:t>
      </w:r>
      <w:r w:rsidR="00124CA6" w:rsidRPr="00693035">
        <w:rPr>
          <w:rFonts w:cstheme="minorHAnsi"/>
          <w:sz w:val="20"/>
          <w:szCs w:val="20"/>
        </w:rPr>
        <w:t xml:space="preserve"> may be due to the increasing</w:t>
      </w:r>
      <w:r w:rsidR="007D4B77" w:rsidRPr="00693035">
        <w:rPr>
          <w:rFonts w:cstheme="minorHAnsi"/>
          <w:sz w:val="20"/>
          <w:szCs w:val="20"/>
        </w:rPr>
        <w:t>ly</w:t>
      </w:r>
      <w:r w:rsidR="00124CA6" w:rsidRPr="00693035">
        <w:rPr>
          <w:rFonts w:cstheme="minorHAnsi"/>
          <w:sz w:val="20"/>
          <w:szCs w:val="20"/>
        </w:rPr>
        <w:t xml:space="preserve"> </w:t>
      </w:r>
      <w:proofErr w:type="spellStart"/>
      <w:r w:rsidR="00124CA6" w:rsidRPr="00693035">
        <w:rPr>
          <w:rFonts w:cstheme="minorHAnsi"/>
          <w:sz w:val="20"/>
          <w:szCs w:val="20"/>
        </w:rPr>
        <w:t>politicised</w:t>
      </w:r>
      <w:proofErr w:type="spellEnd"/>
      <w:r w:rsidR="00124CA6" w:rsidRPr="00693035">
        <w:rPr>
          <w:rFonts w:cstheme="minorHAnsi"/>
          <w:sz w:val="20"/>
          <w:szCs w:val="20"/>
        </w:rPr>
        <w:t xml:space="preserve"> landscape of Lyme disease and the debate around ‘chronic Lyme disease’</w:t>
      </w:r>
      <w:r w:rsidR="004857CC" w:rsidRPr="00693035">
        <w:rPr>
          <w:rFonts w:cstheme="minorHAnsi"/>
          <w:sz w:val="20"/>
          <w:szCs w:val="20"/>
        </w:rPr>
        <w:t xml:space="preserve"> </w:t>
      </w:r>
      <w:r w:rsidR="00124CA6" w:rsidRPr="00693035">
        <w:rPr>
          <w:rFonts w:cstheme="minorHAnsi"/>
          <w:sz w:val="20"/>
          <w:szCs w:val="20"/>
        </w:rPr>
        <w:fldChar w:fldCharType="begin" w:fldLock="1"/>
      </w:r>
      <w:r w:rsidR="00087BF7">
        <w:rPr>
          <w:rFonts w:cstheme="minorHAnsi"/>
          <w:sz w:val="20"/>
          <w:szCs w:val="20"/>
        </w:rPr>
        <w:instrText>ADDIN CSL_CITATION {"citationItems":[{"id":"ITEM-1","itemData":{"DOI":"10.1016/j.idc.2007.12.011","ISBN":"0891-5520","ISSN":"0891-5520","PMID":"18452806","abstract":"Studies have shown that most patients diagnosed with chronic Lyme disease either have no objective evidence of previous or current infection with Borrelia burgdorferi or are patients who should be classified as having post-Lyme disease syndrome, which is defined as continuing or relapsing nonspecific symptoms (such as fatigue, musculoskeletal pain, and cognitive complaints) in a patient previously treated for Lyme disease. Despite extensive study, there is currently no clear evidence that post-Lyme disease syndrome is caused by persistent infection with B burgdorferi. Four randomized placebo-controlled studies have shown that antibiotic therapy offers no sustained benefit to patients who have post-Lyme disease syndrome. These studies also showed a substantial placebo effect and a significant risk of treatment-related adverse events. Further research to elucidate the mechanisms underlying persistent symptoms after Lyme disease and controlled trials of new approaches to the treatment and management of these patients are needed.","author":[{"dropping-particle":"","family":"Marques","given":"Adriana","non-dropping-particle":"","parse-names":false,"suffix":""}],"container-title":"Infectious disease clinics of North America","id":"ITEM-1","issue":"2","issued":{"date-parts":[["2008"]]},"page":"341-60, vii-viii","title":"Chronic Lyme disease: a review.","type":"article-journal","volume":"22"},"uris":["http://www.mendeley.com/documents/?uuid=632b43c3-b55c-4118-8b89-3343437c4658"]},{"id":"ITEM-2","itemData":{"DOI":"10.1586/eri.11.63","ISBN":"1744-8336","ISSN":"1478-7210","PMID":"21810051","abstract":"The diagnosis of chronic Lyme disease has been embroiled in controversy for many years. This is exacerbated by the lack of a clinical or microbiologic definition, and the commonality of chronic symptoms in the general population. An accumulating body of evidence suggests that Lyme disease is the appropriate diagnosis for only a minority of patients in whom it is suspected. In prospective studies of Lyme disease, very few patients go on to have a chronic syndrome dominated by subjective complaints. There is no systematic evidence that Borrelia burgdorferi, the etiology of Lyme disease, can be identified in patients with chronic symptoms following treated Lyme disease. Multiple prospective trials have revealed that prolonged courses of antibiotics neither prevent nor alleviate such post-Lyme syndromes. Extended courses of intravenous antibiotics have resulted in severe adverse events, which in light of their lack of efficacy, make them contraindicated.","author":[{"dropping-particle":"","family":"Lantos","given":"Paul M","non-dropping-particle":"","parse-names":false,"suffix":""}],"container-title":"Expert review of anti-infective therapy","id":"ITEM-2","issue":"7","issued":{"date-parts":[["2011"]]},"page":"787-797","title":"Chronic Lyme disease: the controversies and the science.","type":"article-journal","volume":"9"},"uris":["http://www.mendeley.com/documents/?uuid=07b9a99d-e404-4832-862b-3feafc669f1c"]}],"mendeley":{"formattedCitation":"(2,53)","plainTextFormattedCitation":"(2,53)","previouslyFormattedCitation":"(2,53)"},"properties":{"noteIndex":0},"schema":"https://github.com/citation-style-language/schema/raw/master/csl-citation.json"}</w:instrText>
      </w:r>
      <w:r w:rsidR="00124CA6" w:rsidRPr="00693035">
        <w:rPr>
          <w:rFonts w:cstheme="minorHAnsi"/>
          <w:sz w:val="20"/>
          <w:szCs w:val="20"/>
        </w:rPr>
        <w:fldChar w:fldCharType="separate"/>
      </w:r>
      <w:r w:rsidR="00087BF7" w:rsidRPr="00087BF7">
        <w:rPr>
          <w:rFonts w:cstheme="minorHAnsi"/>
          <w:noProof/>
          <w:sz w:val="20"/>
          <w:szCs w:val="20"/>
        </w:rPr>
        <w:t>(2,53)</w:t>
      </w:r>
      <w:r w:rsidR="00124CA6" w:rsidRPr="00693035">
        <w:rPr>
          <w:rFonts w:cstheme="minorHAnsi"/>
          <w:sz w:val="20"/>
          <w:szCs w:val="20"/>
        </w:rPr>
        <w:fldChar w:fldCharType="end"/>
      </w:r>
      <w:r w:rsidR="004857CC" w:rsidRPr="00693035">
        <w:rPr>
          <w:rFonts w:cstheme="minorHAnsi"/>
          <w:sz w:val="20"/>
          <w:szCs w:val="20"/>
        </w:rPr>
        <w:t>.</w:t>
      </w:r>
      <w:r w:rsidR="00124CA6" w:rsidRPr="00693035">
        <w:rPr>
          <w:rFonts w:cstheme="minorHAnsi"/>
          <w:sz w:val="20"/>
          <w:szCs w:val="20"/>
        </w:rPr>
        <w:t xml:space="preserve"> </w:t>
      </w:r>
      <w:r w:rsidR="00551C59" w:rsidRPr="00693035">
        <w:rPr>
          <w:rFonts w:cstheme="minorHAnsi"/>
          <w:sz w:val="20"/>
          <w:szCs w:val="20"/>
        </w:rPr>
        <w:t xml:space="preserve">We need to </w:t>
      </w:r>
      <w:r w:rsidR="00B21196" w:rsidRPr="00693035">
        <w:rPr>
          <w:rFonts w:cstheme="minorHAnsi"/>
          <w:sz w:val="20"/>
          <w:szCs w:val="20"/>
        </w:rPr>
        <w:t>know</w:t>
      </w:r>
      <w:r w:rsidR="00551C59" w:rsidRPr="00693035">
        <w:rPr>
          <w:rFonts w:cstheme="minorHAnsi"/>
          <w:sz w:val="20"/>
          <w:szCs w:val="20"/>
        </w:rPr>
        <w:t xml:space="preserve"> what symptoms </w:t>
      </w:r>
      <w:r w:rsidR="004857CC" w:rsidRPr="00693035">
        <w:rPr>
          <w:rFonts w:cstheme="minorHAnsi"/>
          <w:sz w:val="20"/>
          <w:szCs w:val="20"/>
        </w:rPr>
        <w:t xml:space="preserve">are </w:t>
      </w:r>
      <w:r w:rsidR="004857CC" w:rsidRPr="00693035">
        <w:rPr>
          <w:rFonts w:cstheme="minorHAnsi"/>
          <w:sz w:val="20"/>
          <w:szCs w:val="20"/>
        </w:rPr>
        <w:lastRenderedPageBreak/>
        <w:t>identified to code a patient wit</w:t>
      </w:r>
      <w:r w:rsidR="003B711D" w:rsidRPr="00693035">
        <w:rPr>
          <w:rFonts w:cstheme="minorHAnsi"/>
          <w:sz w:val="20"/>
          <w:szCs w:val="20"/>
        </w:rPr>
        <w:t>h</w:t>
      </w:r>
      <w:r w:rsidR="00551C59" w:rsidRPr="00693035">
        <w:rPr>
          <w:rFonts w:cstheme="minorHAnsi"/>
          <w:sz w:val="20"/>
          <w:szCs w:val="20"/>
        </w:rPr>
        <w:t xml:space="preserve"> ‘Lyme disease’; this could be </w:t>
      </w:r>
      <w:r w:rsidR="004857CC" w:rsidRPr="00693035">
        <w:rPr>
          <w:rFonts w:cstheme="minorHAnsi"/>
          <w:sz w:val="20"/>
          <w:szCs w:val="20"/>
        </w:rPr>
        <w:t>only</w:t>
      </w:r>
      <w:r w:rsidR="00551C59" w:rsidRPr="00693035">
        <w:rPr>
          <w:rFonts w:cstheme="minorHAnsi"/>
          <w:sz w:val="20"/>
          <w:szCs w:val="20"/>
        </w:rPr>
        <w:t xml:space="preserve"> an erythema migrans rash or </w:t>
      </w:r>
      <w:r w:rsidR="004857CC" w:rsidRPr="00693035">
        <w:rPr>
          <w:rFonts w:cstheme="minorHAnsi"/>
          <w:sz w:val="20"/>
          <w:szCs w:val="20"/>
        </w:rPr>
        <w:t>another presentation</w:t>
      </w:r>
      <w:r w:rsidR="00551C59" w:rsidRPr="00693035">
        <w:rPr>
          <w:rFonts w:cstheme="minorHAnsi"/>
          <w:sz w:val="20"/>
          <w:szCs w:val="20"/>
        </w:rPr>
        <w:t xml:space="preserve"> described by NICE</w:t>
      </w:r>
      <w:r w:rsidR="004857CC" w:rsidRPr="00693035">
        <w:rPr>
          <w:rFonts w:cstheme="minorHAnsi"/>
          <w:sz w:val="20"/>
          <w:szCs w:val="20"/>
        </w:rPr>
        <w:t xml:space="preserve"> </w:t>
      </w:r>
      <w:r w:rsidR="00551C59" w:rsidRPr="00693035">
        <w:rPr>
          <w:rFonts w:cstheme="minorHAnsi"/>
          <w:sz w:val="20"/>
          <w:szCs w:val="20"/>
        </w:rPr>
        <w:fldChar w:fldCharType="begin" w:fldLock="1"/>
      </w:r>
      <w:r w:rsidR="006A4A4F">
        <w:rPr>
          <w:rFonts w:cstheme="minorHAnsi"/>
          <w:sz w:val="20"/>
          <w:szCs w:val="20"/>
        </w:rPr>
        <w:instrText>ADDIN CSL_CITATION {"citationItems":[{"id":"ITEM-1","itemData":{"URL":"https://www.nice.org.uk/guidance/ng95","accessed":{"date-parts":[["2017","10","23"]]},"author":[{"dropping-particle":"","family":"National Institute for Health and Care Excellence","given":"","non-dropping-particle":"","parse-names":false,"suffix":""}],"id":"ITEM-1","issued":{"date-parts":[["2018"]]},"title":"Lyme disease NICE guideline [NG95]","type":"webpage"},"uris":["http://www.mendeley.com/documents/?uuid=3c60817c-61d3-46a6-b42a-4baa11776ecd"]}],"mendeley":{"formattedCitation":"(7)","plainTextFormattedCitation":"(7)","previouslyFormattedCitation":"(7)"},"properties":{"noteIndex":0},"schema":"https://github.com/citation-style-language/schema/raw/master/csl-citation.json"}</w:instrText>
      </w:r>
      <w:r w:rsidR="00551C59" w:rsidRPr="00693035">
        <w:rPr>
          <w:rFonts w:cstheme="minorHAnsi"/>
          <w:sz w:val="20"/>
          <w:szCs w:val="20"/>
        </w:rPr>
        <w:fldChar w:fldCharType="separate"/>
      </w:r>
      <w:r w:rsidR="006A4A4F" w:rsidRPr="006A4A4F">
        <w:rPr>
          <w:rFonts w:cstheme="minorHAnsi"/>
          <w:noProof/>
          <w:sz w:val="20"/>
          <w:szCs w:val="20"/>
        </w:rPr>
        <w:t>(7)</w:t>
      </w:r>
      <w:r w:rsidR="00551C59" w:rsidRPr="00693035">
        <w:rPr>
          <w:rFonts w:cstheme="minorHAnsi"/>
          <w:sz w:val="20"/>
          <w:szCs w:val="20"/>
        </w:rPr>
        <w:fldChar w:fldCharType="end"/>
      </w:r>
      <w:r w:rsidR="004857CC" w:rsidRPr="00693035">
        <w:rPr>
          <w:rFonts w:cstheme="minorHAnsi"/>
          <w:sz w:val="20"/>
          <w:szCs w:val="20"/>
        </w:rPr>
        <w:t>.</w:t>
      </w:r>
      <w:r w:rsidR="00551C59" w:rsidRPr="00693035">
        <w:rPr>
          <w:rFonts w:cstheme="minorHAnsi"/>
          <w:sz w:val="20"/>
          <w:szCs w:val="20"/>
        </w:rPr>
        <w:t xml:space="preserve"> </w:t>
      </w:r>
      <w:r w:rsidR="00597B6E" w:rsidRPr="00693035">
        <w:rPr>
          <w:rFonts w:cstheme="minorHAnsi"/>
          <w:sz w:val="20"/>
          <w:szCs w:val="20"/>
        </w:rPr>
        <w:t>Qualitative</w:t>
      </w:r>
      <w:r w:rsidR="00712669" w:rsidRPr="00693035">
        <w:rPr>
          <w:rFonts w:cstheme="minorHAnsi"/>
          <w:sz w:val="20"/>
          <w:szCs w:val="20"/>
        </w:rPr>
        <w:t xml:space="preserve"> research around general </w:t>
      </w:r>
      <w:r w:rsidR="00597B6E" w:rsidRPr="00693035">
        <w:rPr>
          <w:rFonts w:cstheme="minorHAnsi"/>
          <w:sz w:val="20"/>
          <w:szCs w:val="20"/>
        </w:rPr>
        <w:t>practitioners</w:t>
      </w:r>
      <w:r w:rsidR="00816A96" w:rsidRPr="00693035">
        <w:rPr>
          <w:rFonts w:cstheme="minorHAnsi"/>
          <w:sz w:val="20"/>
          <w:szCs w:val="20"/>
        </w:rPr>
        <w:t>’</w:t>
      </w:r>
      <w:r w:rsidR="00712669" w:rsidRPr="00693035">
        <w:rPr>
          <w:rFonts w:cstheme="minorHAnsi"/>
          <w:sz w:val="20"/>
          <w:szCs w:val="20"/>
        </w:rPr>
        <w:t xml:space="preserve"> recognition and coding behaviour </w:t>
      </w:r>
      <w:r w:rsidR="00D366BD">
        <w:rPr>
          <w:rFonts w:cstheme="minorHAnsi"/>
          <w:sz w:val="20"/>
          <w:szCs w:val="20"/>
        </w:rPr>
        <w:t>regarding</w:t>
      </w:r>
      <w:r w:rsidR="00712669" w:rsidRPr="00693035">
        <w:rPr>
          <w:rFonts w:cstheme="minorHAnsi"/>
          <w:sz w:val="20"/>
          <w:szCs w:val="20"/>
        </w:rPr>
        <w:t xml:space="preserve"> Lyme disease would help answer th</w:t>
      </w:r>
      <w:r w:rsidR="003256DB" w:rsidRPr="00693035">
        <w:rPr>
          <w:rFonts w:cstheme="minorHAnsi"/>
          <w:sz w:val="20"/>
          <w:szCs w:val="20"/>
        </w:rPr>
        <w:t>ese</w:t>
      </w:r>
      <w:r w:rsidR="00712669" w:rsidRPr="00693035">
        <w:rPr>
          <w:rFonts w:cstheme="minorHAnsi"/>
          <w:sz w:val="20"/>
          <w:szCs w:val="20"/>
        </w:rPr>
        <w:t xml:space="preserve"> question</w:t>
      </w:r>
      <w:r w:rsidR="003256DB" w:rsidRPr="00693035">
        <w:rPr>
          <w:rFonts w:cstheme="minorHAnsi"/>
          <w:sz w:val="20"/>
          <w:szCs w:val="20"/>
        </w:rPr>
        <w:t>s</w:t>
      </w:r>
      <w:r w:rsidR="00712669" w:rsidRPr="00693035">
        <w:rPr>
          <w:rFonts w:cstheme="minorHAnsi"/>
          <w:sz w:val="20"/>
          <w:szCs w:val="20"/>
        </w:rPr>
        <w:t xml:space="preserve">. </w:t>
      </w:r>
      <w:r w:rsidR="001310EA" w:rsidRPr="00693035">
        <w:rPr>
          <w:rFonts w:cstheme="minorHAnsi"/>
          <w:sz w:val="20"/>
          <w:szCs w:val="20"/>
        </w:rPr>
        <w:t>Only 25</w:t>
      </w:r>
      <w:r w:rsidR="00567921" w:rsidRPr="00693035">
        <w:rPr>
          <w:rFonts w:cstheme="minorHAnsi"/>
          <w:sz w:val="20"/>
          <w:szCs w:val="20"/>
        </w:rPr>
        <w:t>.</w:t>
      </w:r>
      <w:r w:rsidR="001310EA" w:rsidRPr="00693035">
        <w:rPr>
          <w:rFonts w:cstheme="minorHAnsi"/>
          <w:sz w:val="20"/>
          <w:szCs w:val="20"/>
        </w:rPr>
        <w:t>8% (n=</w:t>
      </w:r>
      <w:r w:rsidR="00FC154A" w:rsidRPr="00693035">
        <w:rPr>
          <w:rFonts w:cstheme="minorHAnsi"/>
          <w:sz w:val="20"/>
          <w:szCs w:val="20"/>
        </w:rPr>
        <w:t>9</w:t>
      </w:r>
      <w:r w:rsidR="000E014A" w:rsidRPr="00693035">
        <w:rPr>
          <w:rFonts w:cstheme="minorHAnsi"/>
          <w:sz w:val="20"/>
          <w:szCs w:val="20"/>
        </w:rPr>
        <w:t>60</w:t>
      </w:r>
      <w:r w:rsidR="00FC154A" w:rsidRPr="00693035">
        <w:rPr>
          <w:rFonts w:cstheme="minorHAnsi"/>
          <w:sz w:val="20"/>
          <w:szCs w:val="20"/>
        </w:rPr>
        <w:t>) of the study population had</w:t>
      </w:r>
      <w:r w:rsidR="001310EA" w:rsidRPr="00693035">
        <w:rPr>
          <w:rFonts w:cstheme="minorHAnsi"/>
          <w:sz w:val="20"/>
          <w:szCs w:val="20"/>
        </w:rPr>
        <w:t xml:space="preserve"> information that could be analysed around ethnicity. We </w:t>
      </w:r>
      <w:r w:rsidR="00277E54" w:rsidRPr="001301F9">
        <w:rPr>
          <w:rFonts w:cstheme="minorHAnsi"/>
          <w:sz w:val="20"/>
          <w:szCs w:val="20"/>
        </w:rPr>
        <w:t>assumed</w:t>
      </w:r>
      <w:r w:rsidR="001A5F40" w:rsidRPr="001301F9">
        <w:rPr>
          <w:rFonts w:cstheme="minorHAnsi"/>
          <w:sz w:val="20"/>
          <w:szCs w:val="20"/>
        </w:rPr>
        <w:t xml:space="preserve"> that the trends seen in</w:t>
      </w:r>
      <w:r w:rsidR="001310EA" w:rsidRPr="001301F9">
        <w:rPr>
          <w:rFonts w:cstheme="minorHAnsi"/>
          <w:sz w:val="20"/>
          <w:szCs w:val="20"/>
        </w:rPr>
        <w:t xml:space="preserve"> this subset of patients is representative of the</w:t>
      </w:r>
      <w:r w:rsidR="005465B7" w:rsidRPr="001301F9">
        <w:rPr>
          <w:rFonts w:cstheme="minorHAnsi"/>
          <w:sz w:val="20"/>
          <w:szCs w:val="20"/>
        </w:rPr>
        <w:t xml:space="preserve"> </w:t>
      </w:r>
      <w:r w:rsidR="00123DD4" w:rsidRPr="001301F9">
        <w:rPr>
          <w:rFonts w:cstheme="minorHAnsi"/>
          <w:sz w:val="20"/>
          <w:szCs w:val="20"/>
        </w:rPr>
        <w:t xml:space="preserve">THIN </w:t>
      </w:r>
      <w:r w:rsidR="0004197F" w:rsidRPr="001301F9">
        <w:rPr>
          <w:rFonts w:cstheme="minorHAnsi"/>
          <w:sz w:val="20"/>
          <w:szCs w:val="20"/>
        </w:rPr>
        <w:t>population</w:t>
      </w:r>
      <w:r w:rsidR="005465B7" w:rsidRPr="00693035">
        <w:rPr>
          <w:rFonts w:cstheme="minorHAnsi"/>
          <w:sz w:val="20"/>
          <w:szCs w:val="20"/>
        </w:rPr>
        <w:t xml:space="preserve"> as a whole;</w:t>
      </w:r>
      <w:r w:rsidR="001310EA" w:rsidRPr="00693035">
        <w:rPr>
          <w:rFonts w:cstheme="minorHAnsi"/>
          <w:sz w:val="20"/>
          <w:szCs w:val="20"/>
        </w:rPr>
        <w:t xml:space="preserve"> </w:t>
      </w:r>
      <w:r w:rsidR="005465B7" w:rsidRPr="00693035">
        <w:rPr>
          <w:rFonts w:cstheme="minorHAnsi"/>
          <w:sz w:val="20"/>
          <w:szCs w:val="20"/>
        </w:rPr>
        <w:t>f</w:t>
      </w:r>
      <w:r w:rsidR="001310EA" w:rsidRPr="00693035">
        <w:rPr>
          <w:rFonts w:cstheme="minorHAnsi"/>
          <w:sz w:val="20"/>
          <w:szCs w:val="20"/>
        </w:rPr>
        <w:t xml:space="preserve">urther work is needed to verify this. </w:t>
      </w:r>
      <w:r w:rsidR="005C1234" w:rsidRPr="00693035">
        <w:rPr>
          <w:rFonts w:cstheme="minorHAnsi"/>
          <w:sz w:val="20"/>
          <w:szCs w:val="20"/>
        </w:rPr>
        <w:t xml:space="preserve">Finally, the geographical resolution of </w:t>
      </w:r>
      <w:r w:rsidR="00712669" w:rsidRPr="00693035">
        <w:rPr>
          <w:rFonts w:cstheme="minorHAnsi"/>
          <w:sz w:val="20"/>
          <w:szCs w:val="20"/>
        </w:rPr>
        <w:t>THIN only allows</w:t>
      </w:r>
      <w:r w:rsidR="00597B6E" w:rsidRPr="00693035">
        <w:rPr>
          <w:rFonts w:cstheme="minorHAnsi"/>
          <w:sz w:val="20"/>
          <w:szCs w:val="20"/>
        </w:rPr>
        <w:t xml:space="preserve"> </w:t>
      </w:r>
      <w:r w:rsidR="005C1234" w:rsidRPr="00693035">
        <w:rPr>
          <w:rFonts w:cstheme="minorHAnsi"/>
          <w:sz w:val="20"/>
          <w:szCs w:val="20"/>
        </w:rPr>
        <w:t xml:space="preserve">us </w:t>
      </w:r>
      <w:r w:rsidR="00597B6E" w:rsidRPr="00693035">
        <w:rPr>
          <w:rFonts w:cstheme="minorHAnsi"/>
          <w:sz w:val="20"/>
          <w:szCs w:val="20"/>
        </w:rPr>
        <w:t xml:space="preserve">to </w:t>
      </w:r>
      <w:r w:rsidR="005C1234" w:rsidRPr="00693035">
        <w:rPr>
          <w:rFonts w:cstheme="minorHAnsi"/>
          <w:sz w:val="20"/>
          <w:szCs w:val="20"/>
        </w:rPr>
        <w:t xml:space="preserve">carry out analysis to the level of </w:t>
      </w:r>
      <w:r w:rsidR="00F11D8B" w:rsidRPr="00693035">
        <w:rPr>
          <w:rFonts w:cstheme="minorHAnsi"/>
          <w:sz w:val="20"/>
          <w:szCs w:val="20"/>
        </w:rPr>
        <w:t>the constituent nations</w:t>
      </w:r>
      <w:r w:rsidR="005C1234" w:rsidRPr="00693035">
        <w:rPr>
          <w:rFonts w:cstheme="minorHAnsi"/>
          <w:sz w:val="20"/>
          <w:szCs w:val="20"/>
        </w:rPr>
        <w:t xml:space="preserve"> </w:t>
      </w:r>
      <w:r w:rsidR="009C1AB0" w:rsidRPr="00693035">
        <w:rPr>
          <w:rFonts w:cstheme="minorHAnsi"/>
          <w:sz w:val="20"/>
          <w:szCs w:val="20"/>
        </w:rPr>
        <w:t>of</w:t>
      </w:r>
      <w:r w:rsidR="005C1234" w:rsidRPr="00693035">
        <w:rPr>
          <w:rFonts w:cstheme="minorHAnsi"/>
          <w:sz w:val="20"/>
          <w:szCs w:val="20"/>
        </w:rPr>
        <w:t xml:space="preserve"> the </w:t>
      </w:r>
      <w:r w:rsidR="007D4B77" w:rsidRPr="00693035">
        <w:rPr>
          <w:rFonts w:cstheme="minorHAnsi"/>
          <w:sz w:val="20"/>
          <w:szCs w:val="20"/>
        </w:rPr>
        <w:t>UK, so</w:t>
      </w:r>
      <w:r w:rsidR="005C1234" w:rsidRPr="00693035">
        <w:rPr>
          <w:rFonts w:cstheme="minorHAnsi"/>
          <w:sz w:val="20"/>
          <w:szCs w:val="20"/>
        </w:rPr>
        <w:t xml:space="preserve"> analysis of the spatial distribution of incidence with this dataset is not possible. Previous </w:t>
      </w:r>
      <w:r w:rsidR="00597B6E" w:rsidRPr="00693035">
        <w:rPr>
          <w:rFonts w:cstheme="minorHAnsi"/>
          <w:sz w:val="20"/>
          <w:szCs w:val="20"/>
        </w:rPr>
        <w:t>research in the UK has shown clear clustering of cases both from laboratory confirmed cases</w:t>
      </w:r>
      <w:r w:rsidR="004857CC" w:rsidRPr="00693035">
        <w:rPr>
          <w:rFonts w:cstheme="minorHAnsi"/>
          <w:sz w:val="20"/>
          <w:szCs w:val="20"/>
        </w:rPr>
        <w:t xml:space="preserve"> </w:t>
      </w:r>
      <w:r w:rsidR="00597B6E" w:rsidRPr="00693035">
        <w:rPr>
          <w:rFonts w:cstheme="minorHAnsi"/>
          <w:sz w:val="20"/>
          <w:szCs w:val="20"/>
        </w:rPr>
        <w:fldChar w:fldCharType="begin" w:fldLock="1"/>
      </w:r>
      <w:r w:rsidR="00087BF7">
        <w:rPr>
          <w:rFonts w:cstheme="minorHAnsi"/>
          <w:sz w:val="20"/>
          <w:szCs w:val="20"/>
        </w:rPr>
        <w:instrText>ADDIN CSL_CITATION {"citationItems":[{"id":"ITEM-1","itemData":{"URL":"https://www.nice.org.uk/guidance/ng95","accessed":{"date-parts":[["2017","10","23"]]},"author":[{"dropping-particle":"","family":"National Institute for Health and Care Excellence","given":"","non-dropping-particle":"","parse-names":false,"suffix":""}],"id":"ITEM-1","issued":{"date-parts":[["2018"]]},"title":"Lyme disease NICE guideline [NG95]","type":"webpage"},"uris":["http://www.mendeley.com/documents/?uuid=3c60817c-61d3-46a6-b42a-4baa11776ecd"]},{"id":"ITEM-2","itemData":{"URL":"https://www.gov.uk/government/publications/zoonoses-uk-annual-reports","accessed":{"date-parts":[["2017","11","3"]]},"author":[{"dropping-particle":"","family":"Public Health England","given":"","non-dropping-particle":"","parse-names":false,"suffix":""}],"id":"ITEM-2","issued":{"date-parts":[["2017"]]},"title":"Zoonoses: UK annual reports","type":"webpage"},"uris":["http://www.mendeley.com/documents/?uuid=bed4d186-34ed-46c8-a948-bab86db66acb"]},{"id":"ITEM-3","itemData":{"author":[{"dropping-particle":"","family":"Mavin","given":"S","non-dropping-particle":"","parse-names":false,"suffix":""},{"dropping-particle":"","family":"Evans","given":"R","non-dropping-particle":"","parse-names":false,"suffix":""}],"id":"ITEM-3","issue":"January 2008","issued":{"date-parts":[["2015"]]},"page":"196-200","title":"clinical Distribution and presentation of Lyme borreliosis in Scotland – analysis of data from a national testing laboratory","type":"article-journal"},"uris":["http://www.mendeley.com/documents/?uuid=b50e2580-ae06-4a82-9ef5-ebfb7363d0a7"]},{"id":"ITEM-4","itemData":{"DOI":"10.3201/eid0604.000416","ISBN":"1080-6040 (Print)","ISSN":"1080-6040","PMID":"10905978","abstract":"Improved surveillance indicates that Lyme borreliosis, an emerging zoonosis in the United Kingdom, has increased from 0.06/100,000 during 1986-1992 to 0.32/100,000 since 1996. Case reports peaked in the third quarter of each year. Several high-incidence localities were identified. Erythema migrans was reported in 41% of patients; arthritis in 4%; musculoskeletal symptoms in 18%; and neuroborreliosis in 15%.","author":[{"dropping-particle":"","family":"Smith","given":"Robert","non-dropping-particle":"","parse-names":false,"suffix":""},{"dropping-particle":"","family":"O'Connell","given":"S","non-dropping-particle":"","parse-names":false,"suffix":""},{"dropping-particle":"","family":"Palmer","given":"Stephen","non-dropping-particle":"","parse-names":false,"suffix":""}],"container-title":"Emerging infectious diseases","id":"ITEM-4","issue":"4","issued":{"date-parts":[["2000"]]},"note":"NULL","page":"404-7","title":"Lyme disease surveillance in England and Wales, 1986 1998.","type":"article-journal","volume":"6"},"uris":["http://www.mendeley.com/documents/?uuid=6d4ff48a-71df-41fc-be08-c32d8a69cb12"]}],"mendeley":{"formattedCitation":"(7,8,10,37)","plainTextFormattedCitation":"(7,8,10,37)","previouslyFormattedCitation":"(7,8,10,37)"},"properties":{"noteIndex":0},"schema":"https://github.com/citation-style-language/schema/raw/master/csl-citation.json"}</w:instrText>
      </w:r>
      <w:r w:rsidR="00597B6E" w:rsidRPr="00693035">
        <w:rPr>
          <w:rFonts w:cstheme="minorHAnsi"/>
          <w:sz w:val="20"/>
          <w:szCs w:val="20"/>
        </w:rPr>
        <w:fldChar w:fldCharType="separate"/>
      </w:r>
      <w:r w:rsidR="00087BF7" w:rsidRPr="00087BF7">
        <w:rPr>
          <w:rFonts w:cstheme="minorHAnsi"/>
          <w:noProof/>
          <w:sz w:val="20"/>
          <w:szCs w:val="20"/>
        </w:rPr>
        <w:t>(7,8,10,37)</w:t>
      </w:r>
      <w:r w:rsidR="00597B6E" w:rsidRPr="00693035">
        <w:rPr>
          <w:rFonts w:cstheme="minorHAnsi"/>
          <w:sz w:val="20"/>
          <w:szCs w:val="20"/>
        </w:rPr>
        <w:fldChar w:fldCharType="end"/>
      </w:r>
      <w:r w:rsidR="004857CC" w:rsidRPr="00693035">
        <w:rPr>
          <w:rFonts w:cstheme="minorHAnsi"/>
          <w:sz w:val="20"/>
          <w:szCs w:val="20"/>
        </w:rPr>
        <w:t>,</w:t>
      </w:r>
      <w:r w:rsidR="00597B6E" w:rsidRPr="00693035">
        <w:rPr>
          <w:rFonts w:cstheme="minorHAnsi"/>
          <w:sz w:val="20"/>
          <w:szCs w:val="20"/>
        </w:rPr>
        <w:t xml:space="preserve"> and hospital admissions</w:t>
      </w:r>
      <w:r w:rsidR="004857CC" w:rsidRPr="00693035">
        <w:rPr>
          <w:rFonts w:cstheme="minorHAnsi"/>
          <w:sz w:val="20"/>
          <w:szCs w:val="20"/>
        </w:rPr>
        <w:t xml:space="preserve"> </w:t>
      </w:r>
      <w:r w:rsidR="00597B6E" w:rsidRPr="00693035">
        <w:rPr>
          <w:rFonts w:cstheme="minorHAnsi"/>
          <w:sz w:val="20"/>
          <w:szCs w:val="20"/>
        </w:rPr>
        <w:fldChar w:fldCharType="begin" w:fldLock="1"/>
      </w:r>
      <w:r w:rsidR="00087BF7">
        <w:rPr>
          <w:rFonts w:cstheme="minorHAnsi"/>
          <w:sz w:val="20"/>
          <w:szCs w:val="20"/>
        </w:rPr>
        <w:instrText>ADDIN CSL_CITATION {"citationItems":[{"id":"ITEM-1","itemData":{"author":[{"dropping-particle":"","family":"Cooper","given":"Lilli","non-dropping-particle":"","parse-names":false,"suffix":""},{"dropping-particle":"","family":"Branagan-harris","given":"Michael","non-dropping-particle":"","parse-names":false,"suffix":""},{"dropping-particle":"","family":"Tuson","given":"Richard","non-dropping-particle":"","parse-names":false,"suffix":""},{"dropping-particle":"","family":"Nduka","given":"Charles","non-dropping-particle":"","parse-names":false,"suffix":""}],"id":"ITEM-1","issue":"May","issued":{"date-parts":[["2017"]]},"title":"Lyme disease and Bell ’ s palsy :","type":"article-journal"},"uris":["http://www.mendeley.com/documents/?uuid=bf47929b-a6e2-413e-a446-7bdf56b4ce3d"]}],"mendeley":{"formattedCitation":"(40)","plainTextFormattedCitation":"(40)","previouslyFormattedCitation":"(40)"},"properties":{"noteIndex":0},"schema":"https://github.com/citation-style-language/schema/raw/master/csl-citation.json"}</w:instrText>
      </w:r>
      <w:r w:rsidR="00597B6E" w:rsidRPr="00693035">
        <w:rPr>
          <w:rFonts w:cstheme="minorHAnsi"/>
          <w:sz w:val="20"/>
          <w:szCs w:val="20"/>
        </w:rPr>
        <w:fldChar w:fldCharType="separate"/>
      </w:r>
      <w:r w:rsidR="00087BF7" w:rsidRPr="00087BF7">
        <w:rPr>
          <w:rFonts w:cstheme="minorHAnsi"/>
          <w:noProof/>
          <w:sz w:val="20"/>
          <w:szCs w:val="20"/>
        </w:rPr>
        <w:t>(40)</w:t>
      </w:r>
      <w:r w:rsidR="00597B6E" w:rsidRPr="00693035">
        <w:rPr>
          <w:rFonts w:cstheme="minorHAnsi"/>
          <w:sz w:val="20"/>
          <w:szCs w:val="20"/>
        </w:rPr>
        <w:fldChar w:fldCharType="end"/>
      </w:r>
      <w:r w:rsidR="004857CC" w:rsidRPr="00693035">
        <w:rPr>
          <w:rFonts w:cstheme="minorHAnsi"/>
          <w:sz w:val="20"/>
          <w:szCs w:val="20"/>
        </w:rPr>
        <w:t>.</w:t>
      </w:r>
      <w:r w:rsidR="00712669" w:rsidRPr="00693035">
        <w:rPr>
          <w:rFonts w:cstheme="minorHAnsi"/>
          <w:sz w:val="20"/>
          <w:szCs w:val="20"/>
        </w:rPr>
        <w:t xml:space="preserve"> </w:t>
      </w:r>
      <w:r w:rsidR="00597B6E" w:rsidRPr="00693035">
        <w:rPr>
          <w:rFonts w:cstheme="minorHAnsi"/>
          <w:sz w:val="20"/>
          <w:szCs w:val="20"/>
        </w:rPr>
        <w:t xml:space="preserve">The largest number of identified cases will be in primary care, </w:t>
      </w:r>
      <w:r w:rsidR="00222525" w:rsidRPr="00693035">
        <w:rPr>
          <w:rFonts w:cstheme="minorHAnsi"/>
          <w:sz w:val="20"/>
          <w:szCs w:val="20"/>
        </w:rPr>
        <w:t>because</w:t>
      </w:r>
      <w:r w:rsidR="00597B6E" w:rsidRPr="00693035">
        <w:rPr>
          <w:rFonts w:cstheme="minorHAnsi"/>
          <w:sz w:val="20"/>
          <w:szCs w:val="20"/>
        </w:rPr>
        <w:t xml:space="preserve"> not all cases requir</w:t>
      </w:r>
      <w:r w:rsidR="0036560E" w:rsidRPr="00693035">
        <w:rPr>
          <w:rFonts w:cstheme="minorHAnsi"/>
          <w:sz w:val="20"/>
          <w:szCs w:val="20"/>
        </w:rPr>
        <w:t>e</w:t>
      </w:r>
      <w:r w:rsidR="00597B6E" w:rsidRPr="00693035">
        <w:rPr>
          <w:rFonts w:cstheme="minorHAnsi"/>
          <w:sz w:val="20"/>
          <w:szCs w:val="20"/>
        </w:rPr>
        <w:t xml:space="preserve"> diagnostics or hospital admissions. Therefore</w:t>
      </w:r>
      <w:r w:rsidR="00101786" w:rsidRPr="00693035">
        <w:rPr>
          <w:rFonts w:cstheme="minorHAnsi"/>
          <w:sz w:val="20"/>
          <w:szCs w:val="20"/>
        </w:rPr>
        <w:t>,</w:t>
      </w:r>
      <w:r w:rsidR="00597B6E" w:rsidRPr="00693035">
        <w:rPr>
          <w:rFonts w:cstheme="minorHAnsi"/>
          <w:sz w:val="20"/>
          <w:szCs w:val="20"/>
        </w:rPr>
        <w:t xml:space="preserve"> without greater resolution</w:t>
      </w:r>
      <w:r w:rsidR="007D4B77" w:rsidRPr="00693035">
        <w:rPr>
          <w:rFonts w:cstheme="minorHAnsi"/>
          <w:sz w:val="20"/>
          <w:szCs w:val="20"/>
        </w:rPr>
        <w:t>,</w:t>
      </w:r>
      <w:r w:rsidR="00597B6E" w:rsidRPr="00693035">
        <w:rPr>
          <w:rFonts w:cstheme="minorHAnsi"/>
          <w:sz w:val="20"/>
          <w:szCs w:val="20"/>
        </w:rPr>
        <w:t xml:space="preserve"> we </w:t>
      </w:r>
      <w:r w:rsidR="00222525" w:rsidRPr="00693035">
        <w:rPr>
          <w:rFonts w:cstheme="minorHAnsi"/>
          <w:sz w:val="20"/>
          <w:szCs w:val="20"/>
        </w:rPr>
        <w:t>cannot</w:t>
      </w:r>
      <w:r w:rsidR="00597B6E" w:rsidRPr="00693035">
        <w:rPr>
          <w:rFonts w:cstheme="minorHAnsi"/>
          <w:sz w:val="20"/>
          <w:szCs w:val="20"/>
        </w:rPr>
        <w:t xml:space="preserve"> see whether the observed hotspots of disease</w:t>
      </w:r>
      <w:r w:rsidR="005C1234" w:rsidRPr="00693035">
        <w:rPr>
          <w:rFonts w:cstheme="minorHAnsi"/>
          <w:sz w:val="20"/>
          <w:szCs w:val="20"/>
        </w:rPr>
        <w:t xml:space="preserve"> in laboratory surveillance systems</w:t>
      </w:r>
      <w:r w:rsidR="00597B6E" w:rsidRPr="00693035">
        <w:rPr>
          <w:rFonts w:cstheme="minorHAnsi"/>
          <w:sz w:val="20"/>
          <w:szCs w:val="20"/>
        </w:rPr>
        <w:t xml:space="preserve"> are reflected in primary care</w:t>
      </w:r>
      <w:r w:rsidR="005C1234" w:rsidRPr="00693035">
        <w:rPr>
          <w:rFonts w:cstheme="minorHAnsi"/>
          <w:sz w:val="20"/>
          <w:szCs w:val="20"/>
        </w:rPr>
        <w:t xml:space="preserve"> activity</w:t>
      </w:r>
      <w:r w:rsidR="00222525" w:rsidRPr="00693035">
        <w:rPr>
          <w:rFonts w:cstheme="minorHAnsi"/>
          <w:sz w:val="20"/>
          <w:szCs w:val="20"/>
        </w:rPr>
        <w:t>.</w:t>
      </w:r>
    </w:p>
    <w:p w14:paraId="4CB369D6" w14:textId="17ABB465" w:rsidR="006C5515" w:rsidRPr="00CA121F" w:rsidRDefault="006C5515" w:rsidP="006C5515">
      <w:pPr>
        <w:spacing w:line="480" w:lineRule="auto"/>
        <w:jc w:val="both"/>
        <w:rPr>
          <w:rFonts w:cstheme="minorHAnsi"/>
          <w:sz w:val="20"/>
          <w:szCs w:val="20"/>
        </w:rPr>
      </w:pPr>
      <w:r w:rsidRPr="00CA121F">
        <w:rPr>
          <w:rFonts w:cstheme="minorHAnsi"/>
          <w:sz w:val="20"/>
          <w:szCs w:val="20"/>
        </w:rPr>
        <w:t xml:space="preserve">The multivariable </w:t>
      </w:r>
      <w:r w:rsidR="00E572AE">
        <w:rPr>
          <w:rFonts w:cstheme="minorHAnsi"/>
          <w:sz w:val="20"/>
          <w:szCs w:val="20"/>
        </w:rPr>
        <w:t>P</w:t>
      </w:r>
      <w:r w:rsidRPr="00CA121F">
        <w:rPr>
          <w:rFonts w:cstheme="minorHAnsi"/>
          <w:sz w:val="20"/>
          <w:szCs w:val="20"/>
        </w:rPr>
        <w:t xml:space="preserve">oisson regression must be treated with a degree of caution as some of the data falls into ecological fallacy. Both Townsend quintile and rural-urban status are based upon information regarding the area in which the patient resides rather than about the individual patient. In no UK health datasets are these variables directly attributable to the patient rather than a geographic area. As these are important variables to explore the authors felt justified in </w:t>
      </w:r>
      <w:proofErr w:type="spellStart"/>
      <w:r w:rsidRPr="00CA121F">
        <w:rPr>
          <w:rFonts w:cstheme="minorHAnsi"/>
          <w:sz w:val="20"/>
          <w:szCs w:val="20"/>
        </w:rPr>
        <w:t>analysing</w:t>
      </w:r>
      <w:proofErr w:type="spellEnd"/>
      <w:r w:rsidRPr="00CA121F">
        <w:rPr>
          <w:rFonts w:cstheme="minorHAnsi"/>
          <w:sz w:val="20"/>
          <w:szCs w:val="20"/>
        </w:rPr>
        <w:t xml:space="preserve"> the data using this methodology. The strong and significant associations suggest th</w:t>
      </w:r>
      <w:r w:rsidR="00641618">
        <w:rPr>
          <w:rFonts w:cstheme="minorHAnsi"/>
          <w:sz w:val="20"/>
          <w:szCs w:val="20"/>
        </w:rPr>
        <w:t>at this approach was justified.</w:t>
      </w:r>
      <w:r w:rsidRPr="00CA121F">
        <w:rPr>
          <w:rFonts w:cstheme="minorHAnsi"/>
          <w:sz w:val="20"/>
          <w:szCs w:val="20"/>
        </w:rPr>
        <w:t xml:space="preserve"> However ecological fallacy must be acknowledged until the time that these variables can be explored at patient level on a national scale. </w:t>
      </w:r>
    </w:p>
    <w:p w14:paraId="41DD9386" w14:textId="60B5B9EB" w:rsidR="00A078A2" w:rsidRDefault="00D9474F" w:rsidP="00693035">
      <w:pPr>
        <w:spacing w:line="480" w:lineRule="auto"/>
        <w:jc w:val="both"/>
        <w:rPr>
          <w:rFonts w:cstheme="minorHAnsi"/>
          <w:sz w:val="20"/>
          <w:szCs w:val="20"/>
        </w:rPr>
      </w:pPr>
      <w:r w:rsidRPr="00693035">
        <w:rPr>
          <w:rFonts w:cstheme="minorHAnsi"/>
          <w:sz w:val="20"/>
          <w:szCs w:val="20"/>
        </w:rPr>
        <w:t>The NICE guidelines highlighted the ‘lack of robust epidemiological data’ on Lyme disease in the UK, and called for research in this area</w:t>
      </w:r>
      <w:r w:rsidR="001345AD">
        <w:rPr>
          <w:rFonts w:cstheme="minorHAnsi"/>
          <w:sz w:val="20"/>
          <w:szCs w:val="20"/>
        </w:rPr>
        <w:t xml:space="preserve"> </w:t>
      </w:r>
      <w:r w:rsidRPr="00693035">
        <w:rPr>
          <w:rFonts w:cstheme="minorHAnsi"/>
          <w:sz w:val="20"/>
          <w:szCs w:val="20"/>
        </w:rPr>
        <w:fldChar w:fldCharType="begin" w:fldLock="1"/>
      </w:r>
      <w:r w:rsidR="006A4A4F">
        <w:rPr>
          <w:rFonts w:cstheme="minorHAnsi"/>
          <w:sz w:val="20"/>
          <w:szCs w:val="20"/>
        </w:rPr>
        <w:instrText>ADDIN CSL_CITATION {"citationItems":[{"id":"ITEM-1","itemData":{"URL":"https://www.nice.org.uk/guidance/ng95","accessed":{"date-parts":[["2017","10","23"]]},"author":[{"dropping-particle":"","family":"National Institute for Health and Care Excellence","given":"","non-dropping-particle":"","parse-names":false,"suffix":""}],"id":"ITEM-1","issued":{"date-parts":[["2018"]]},"title":"Lyme disease NICE guideline [NG95]","type":"webpage"},"uris":["http://www.mendeley.com/documents/?uuid=3c60817c-61d3-46a6-b42a-4baa11776ecd"]}],"mendeley":{"formattedCitation":"(7)","plainTextFormattedCitation":"(7)","previouslyFormattedCitation":"(7)"},"properties":{"noteIndex":0},"schema":"https://github.com/citation-style-language/schema/raw/master/csl-citation.json"}</w:instrText>
      </w:r>
      <w:r w:rsidRPr="00693035">
        <w:rPr>
          <w:rFonts w:cstheme="minorHAnsi"/>
          <w:sz w:val="20"/>
          <w:szCs w:val="20"/>
        </w:rPr>
        <w:fldChar w:fldCharType="separate"/>
      </w:r>
      <w:r w:rsidR="006A4A4F" w:rsidRPr="006A4A4F">
        <w:rPr>
          <w:rFonts w:cstheme="minorHAnsi"/>
          <w:noProof/>
          <w:sz w:val="20"/>
          <w:szCs w:val="20"/>
        </w:rPr>
        <w:t>(7)</w:t>
      </w:r>
      <w:r w:rsidRPr="00693035">
        <w:rPr>
          <w:rFonts w:cstheme="minorHAnsi"/>
          <w:sz w:val="20"/>
          <w:szCs w:val="20"/>
        </w:rPr>
        <w:fldChar w:fldCharType="end"/>
      </w:r>
      <w:r w:rsidR="001345AD">
        <w:rPr>
          <w:rFonts w:cstheme="minorHAnsi"/>
          <w:sz w:val="20"/>
          <w:szCs w:val="20"/>
        </w:rPr>
        <w:t xml:space="preserve">. </w:t>
      </w:r>
      <w:r w:rsidRPr="00693035">
        <w:rPr>
          <w:rFonts w:cstheme="minorHAnsi"/>
          <w:sz w:val="20"/>
          <w:szCs w:val="20"/>
        </w:rPr>
        <w:t>This research provides</w:t>
      </w:r>
      <w:r w:rsidR="001A01FD">
        <w:rPr>
          <w:rFonts w:cstheme="minorHAnsi"/>
          <w:sz w:val="20"/>
          <w:szCs w:val="20"/>
        </w:rPr>
        <w:t xml:space="preserve"> a</w:t>
      </w:r>
      <w:r w:rsidRPr="00693035">
        <w:rPr>
          <w:rFonts w:cstheme="minorHAnsi"/>
          <w:sz w:val="20"/>
          <w:szCs w:val="20"/>
        </w:rPr>
        <w:t xml:space="preserve"> description of the demographics and incidence</w:t>
      </w:r>
      <w:r w:rsidR="00F678BB" w:rsidRPr="00693035">
        <w:rPr>
          <w:rFonts w:cstheme="minorHAnsi"/>
          <w:sz w:val="20"/>
          <w:szCs w:val="20"/>
        </w:rPr>
        <w:t xml:space="preserve"> of</w:t>
      </w:r>
      <w:r w:rsidRPr="00693035">
        <w:rPr>
          <w:rFonts w:cstheme="minorHAnsi"/>
          <w:sz w:val="20"/>
          <w:szCs w:val="20"/>
        </w:rPr>
        <w:t xml:space="preserve"> </w:t>
      </w:r>
      <w:r w:rsidR="00F678BB" w:rsidRPr="00693035">
        <w:rPr>
          <w:rFonts w:cstheme="minorHAnsi"/>
          <w:sz w:val="20"/>
          <w:szCs w:val="20"/>
        </w:rPr>
        <w:t>a representative UK primary care</w:t>
      </w:r>
      <w:r w:rsidRPr="00693035">
        <w:rPr>
          <w:rFonts w:cstheme="minorHAnsi"/>
          <w:sz w:val="20"/>
          <w:szCs w:val="20"/>
        </w:rPr>
        <w:t xml:space="preserve"> population. </w:t>
      </w:r>
      <w:bookmarkStart w:id="36" w:name="_Hlk529191026"/>
      <w:bookmarkStart w:id="37" w:name="_Hlk529191148"/>
      <w:r w:rsidR="0038317D" w:rsidRPr="001301F9">
        <w:rPr>
          <w:rFonts w:cstheme="minorHAnsi"/>
          <w:sz w:val="20"/>
          <w:szCs w:val="20"/>
        </w:rPr>
        <w:t xml:space="preserve">This work will help ensure the appropriate public health </w:t>
      </w:r>
      <w:proofErr w:type="spellStart"/>
      <w:r w:rsidR="001345AD" w:rsidRPr="001301F9">
        <w:rPr>
          <w:rFonts w:cstheme="minorHAnsi"/>
          <w:sz w:val="20"/>
          <w:szCs w:val="20"/>
        </w:rPr>
        <w:t>prioritisation</w:t>
      </w:r>
      <w:proofErr w:type="spellEnd"/>
      <w:r w:rsidR="0038317D" w:rsidRPr="001301F9">
        <w:rPr>
          <w:rFonts w:cstheme="minorHAnsi"/>
          <w:sz w:val="20"/>
          <w:szCs w:val="20"/>
        </w:rPr>
        <w:t xml:space="preserve"> of Lyme disease in the UK, </w:t>
      </w:r>
      <w:r w:rsidR="00DF4650" w:rsidRPr="001301F9">
        <w:rPr>
          <w:rFonts w:cstheme="minorHAnsi"/>
          <w:sz w:val="20"/>
          <w:szCs w:val="20"/>
        </w:rPr>
        <w:t>however,</w:t>
      </w:r>
      <w:r w:rsidR="0038317D" w:rsidRPr="001301F9">
        <w:rPr>
          <w:rFonts w:cstheme="minorHAnsi"/>
          <w:sz w:val="20"/>
          <w:szCs w:val="20"/>
        </w:rPr>
        <w:t xml:space="preserve"> many </w:t>
      </w:r>
      <w:r w:rsidR="001345AD" w:rsidRPr="001301F9">
        <w:rPr>
          <w:rFonts w:cstheme="minorHAnsi"/>
          <w:sz w:val="20"/>
          <w:szCs w:val="20"/>
        </w:rPr>
        <w:t>basic epidemiological</w:t>
      </w:r>
      <w:r w:rsidR="0038317D" w:rsidRPr="001301F9">
        <w:rPr>
          <w:rFonts w:cstheme="minorHAnsi"/>
          <w:sz w:val="20"/>
          <w:szCs w:val="20"/>
        </w:rPr>
        <w:t xml:space="preserve"> questions </w:t>
      </w:r>
      <w:r w:rsidR="001345AD" w:rsidRPr="001301F9">
        <w:rPr>
          <w:rFonts w:cstheme="minorHAnsi"/>
          <w:sz w:val="20"/>
          <w:szCs w:val="20"/>
        </w:rPr>
        <w:t>remain</w:t>
      </w:r>
      <w:r w:rsidR="0038317D" w:rsidRPr="001301F9">
        <w:rPr>
          <w:rFonts w:cstheme="minorHAnsi"/>
          <w:sz w:val="20"/>
          <w:szCs w:val="20"/>
        </w:rPr>
        <w:t xml:space="preserve"> unanswered. These mainly </w:t>
      </w:r>
      <w:r w:rsidR="001345AD" w:rsidRPr="001301F9">
        <w:rPr>
          <w:rFonts w:cstheme="minorHAnsi"/>
          <w:sz w:val="20"/>
          <w:szCs w:val="20"/>
        </w:rPr>
        <w:t>revolve</w:t>
      </w:r>
      <w:r w:rsidR="0038317D" w:rsidRPr="001301F9">
        <w:rPr>
          <w:rFonts w:cstheme="minorHAnsi"/>
          <w:sz w:val="20"/>
          <w:szCs w:val="20"/>
        </w:rPr>
        <w:t xml:space="preserve"> around person-tick interaction and </w:t>
      </w:r>
      <w:r w:rsidR="00DF4650" w:rsidRPr="001301F9">
        <w:rPr>
          <w:rFonts w:cstheme="minorHAnsi"/>
          <w:sz w:val="20"/>
          <w:szCs w:val="20"/>
        </w:rPr>
        <w:t>include;</w:t>
      </w:r>
      <w:r w:rsidR="0038317D" w:rsidRPr="001301F9">
        <w:rPr>
          <w:rFonts w:cstheme="minorHAnsi"/>
          <w:sz w:val="20"/>
          <w:szCs w:val="20"/>
        </w:rPr>
        <w:t xml:space="preserve"> the </w:t>
      </w:r>
      <w:r w:rsidR="001345AD" w:rsidRPr="001301F9">
        <w:rPr>
          <w:rFonts w:cstheme="minorHAnsi"/>
          <w:i/>
          <w:sz w:val="20"/>
          <w:szCs w:val="20"/>
        </w:rPr>
        <w:t>Borrelia</w:t>
      </w:r>
      <w:r w:rsidR="001345AD" w:rsidRPr="001301F9">
        <w:rPr>
          <w:rFonts w:cstheme="minorHAnsi"/>
          <w:sz w:val="20"/>
          <w:szCs w:val="20"/>
        </w:rPr>
        <w:t xml:space="preserve"> </w:t>
      </w:r>
      <w:proofErr w:type="spellStart"/>
      <w:r w:rsidR="001345AD" w:rsidRPr="001301F9">
        <w:rPr>
          <w:rFonts w:cstheme="minorHAnsi"/>
          <w:sz w:val="20"/>
          <w:szCs w:val="20"/>
        </w:rPr>
        <w:t>spp</w:t>
      </w:r>
      <w:proofErr w:type="spellEnd"/>
      <w:r w:rsidR="001345AD" w:rsidRPr="001301F9">
        <w:rPr>
          <w:rFonts w:cstheme="minorHAnsi"/>
          <w:i/>
          <w:sz w:val="20"/>
          <w:szCs w:val="20"/>
        </w:rPr>
        <w:t xml:space="preserve"> </w:t>
      </w:r>
      <w:r w:rsidR="001345AD" w:rsidRPr="001301F9">
        <w:rPr>
          <w:rFonts w:cstheme="minorHAnsi"/>
          <w:sz w:val="20"/>
          <w:szCs w:val="20"/>
        </w:rPr>
        <w:t xml:space="preserve">seroprevalence of the UK population, the </w:t>
      </w:r>
      <w:r w:rsidR="0038317D" w:rsidRPr="001301F9">
        <w:rPr>
          <w:rFonts w:cstheme="minorHAnsi"/>
          <w:sz w:val="20"/>
          <w:szCs w:val="20"/>
        </w:rPr>
        <w:t xml:space="preserve">total exposure of tick bites to the UK population, </w:t>
      </w:r>
      <w:r w:rsidR="001345AD" w:rsidRPr="001301F9">
        <w:rPr>
          <w:rFonts w:cstheme="minorHAnsi"/>
          <w:sz w:val="20"/>
          <w:szCs w:val="20"/>
        </w:rPr>
        <w:t xml:space="preserve">and </w:t>
      </w:r>
      <w:r w:rsidR="0038317D" w:rsidRPr="001301F9">
        <w:rPr>
          <w:rFonts w:cstheme="minorHAnsi"/>
          <w:sz w:val="20"/>
          <w:szCs w:val="20"/>
        </w:rPr>
        <w:t>the risk of contracting Lyme disease after a tick bite</w:t>
      </w:r>
      <w:r w:rsidR="001345AD" w:rsidRPr="001301F9">
        <w:rPr>
          <w:rFonts w:cstheme="minorHAnsi"/>
          <w:sz w:val="20"/>
          <w:szCs w:val="20"/>
        </w:rPr>
        <w:t xml:space="preserve"> in the UK.</w:t>
      </w:r>
      <w:bookmarkEnd w:id="36"/>
      <w:r w:rsidR="001345AD" w:rsidRPr="001301F9">
        <w:rPr>
          <w:rFonts w:cstheme="minorHAnsi"/>
          <w:sz w:val="20"/>
          <w:szCs w:val="20"/>
        </w:rPr>
        <w:t xml:space="preserve"> These final two points could be explored using the THIN dataset.</w:t>
      </w:r>
      <w:r w:rsidR="001345AD">
        <w:rPr>
          <w:rFonts w:cstheme="minorHAnsi"/>
          <w:sz w:val="20"/>
          <w:szCs w:val="20"/>
        </w:rPr>
        <w:t xml:space="preserve"> </w:t>
      </w:r>
      <w:bookmarkStart w:id="38" w:name="_Hlk529969260"/>
      <w:bookmarkStart w:id="39" w:name="_Hlk529191799"/>
      <w:bookmarkEnd w:id="37"/>
    </w:p>
    <w:bookmarkEnd w:id="38"/>
    <w:bookmarkEnd w:id="39"/>
    <w:p w14:paraId="526946CF" w14:textId="37F93F00" w:rsidR="00875C54" w:rsidRDefault="00754A67" w:rsidP="00693035">
      <w:pPr>
        <w:spacing w:line="480" w:lineRule="auto"/>
        <w:jc w:val="both"/>
        <w:rPr>
          <w:rFonts w:cstheme="minorHAnsi"/>
          <w:b/>
          <w:sz w:val="24"/>
          <w:szCs w:val="24"/>
        </w:rPr>
      </w:pPr>
      <w:r>
        <w:rPr>
          <w:rFonts w:cstheme="minorHAnsi"/>
          <w:b/>
          <w:sz w:val="24"/>
          <w:szCs w:val="24"/>
        </w:rPr>
        <w:t>Conclusions</w:t>
      </w:r>
    </w:p>
    <w:p w14:paraId="672C5707" w14:textId="1EAC1EEF" w:rsidR="009C5EA2" w:rsidRDefault="00DE6E4F" w:rsidP="00DE6E4F">
      <w:pPr>
        <w:spacing w:line="480" w:lineRule="auto"/>
        <w:jc w:val="both"/>
        <w:rPr>
          <w:rFonts w:cstheme="minorHAnsi"/>
          <w:sz w:val="20"/>
          <w:szCs w:val="20"/>
        </w:rPr>
      </w:pPr>
      <w:r w:rsidRPr="001301F9">
        <w:rPr>
          <w:rFonts w:cstheme="minorHAnsi"/>
          <w:sz w:val="20"/>
          <w:szCs w:val="20"/>
        </w:rPr>
        <w:lastRenderedPageBreak/>
        <w:t xml:space="preserve">Our data provides the primary care practitioners with basic sociodemographic information about the type of patient who is more likely to present with Lyme disease. This information can be used to raise awareness of increasing Lyme disease presentations in primary case and their seasonality in the UK. This information is critical to their diagnostic clinical decision making and ensures that their clinical suspicion of Lyme disease is increased in suitable situations. This research, alongside the NICE guidelines </w:t>
      </w:r>
      <w:r w:rsidRPr="001301F9">
        <w:rPr>
          <w:rFonts w:cstheme="minorHAnsi"/>
          <w:sz w:val="20"/>
          <w:szCs w:val="20"/>
        </w:rPr>
        <w:fldChar w:fldCharType="begin" w:fldLock="1"/>
      </w:r>
      <w:r w:rsidR="006A4A4F">
        <w:rPr>
          <w:rFonts w:cstheme="minorHAnsi"/>
          <w:sz w:val="20"/>
          <w:szCs w:val="20"/>
        </w:rPr>
        <w:instrText>ADDIN CSL_CITATION {"citationItems":[{"id":"ITEM-1","itemData":{"URL":"https://www.nice.org.uk/guidance/ng95","accessed":{"date-parts":[["2017","10","23"]]},"author":[{"dropping-particle":"","family":"National Institute for Health and Care Excellence","given":"","non-dropping-particle":"","parse-names":false,"suffix":""}],"id":"ITEM-1","issued":{"date-parts":[["2018"]]},"title":"Lyme disease NICE guideline [NG95]","type":"webpage"},"uris":["http://www.mendeley.com/documents/?uuid=3c60817c-61d3-46a6-b42a-4baa11776ecd"]}],"mendeley":{"formattedCitation":"(7)","plainTextFormattedCitation":"(7)","previouslyFormattedCitation":"(7)"},"properties":{"noteIndex":0},"schema":"https://github.com/citation-style-language/schema/raw/master/csl-citation.json"}</w:instrText>
      </w:r>
      <w:r w:rsidRPr="001301F9">
        <w:rPr>
          <w:rFonts w:cstheme="minorHAnsi"/>
          <w:sz w:val="20"/>
          <w:szCs w:val="20"/>
        </w:rPr>
        <w:fldChar w:fldCharType="separate"/>
      </w:r>
      <w:r w:rsidR="006A4A4F" w:rsidRPr="006A4A4F">
        <w:rPr>
          <w:rFonts w:cstheme="minorHAnsi"/>
          <w:noProof/>
          <w:sz w:val="20"/>
          <w:szCs w:val="20"/>
        </w:rPr>
        <w:t>(7)</w:t>
      </w:r>
      <w:r w:rsidRPr="001301F9">
        <w:rPr>
          <w:rFonts w:cstheme="minorHAnsi"/>
          <w:sz w:val="20"/>
          <w:szCs w:val="20"/>
        </w:rPr>
        <w:fldChar w:fldCharType="end"/>
      </w:r>
      <w:r w:rsidRPr="001301F9">
        <w:rPr>
          <w:rFonts w:cstheme="minorHAnsi"/>
          <w:sz w:val="20"/>
          <w:szCs w:val="20"/>
        </w:rPr>
        <w:t xml:space="preserve">, will raise Lyme disease awareness amongst primary care clinicians and thus ensure that Lyme disease is aptly placed on their differential diagnosis list. Patients are therefore less likely to be misdiagnosed and will be managed more appropriately. This will only enhance Lyme disease patient care. </w:t>
      </w:r>
    </w:p>
    <w:p w14:paraId="5D6D5C54" w14:textId="099D0097" w:rsidR="00DE6E4F" w:rsidRPr="00693035" w:rsidRDefault="009C5EA2" w:rsidP="00DE6E4F">
      <w:pPr>
        <w:spacing w:line="480" w:lineRule="auto"/>
        <w:jc w:val="both"/>
        <w:rPr>
          <w:rFonts w:cstheme="minorHAnsi"/>
          <w:sz w:val="20"/>
          <w:szCs w:val="20"/>
        </w:rPr>
      </w:pPr>
      <w:r w:rsidRPr="00CA121F">
        <w:rPr>
          <w:rFonts w:cstheme="minorHAnsi"/>
          <w:sz w:val="20"/>
          <w:szCs w:val="20"/>
        </w:rPr>
        <w:t>A multiplication factor was identified which could be utilised to estimate the number of Lyme disease cases seen in primary care.</w:t>
      </w:r>
      <w:r>
        <w:rPr>
          <w:rFonts w:cstheme="minorHAnsi"/>
          <w:sz w:val="20"/>
          <w:szCs w:val="20"/>
        </w:rPr>
        <w:t xml:space="preserve"> </w:t>
      </w:r>
      <w:r w:rsidR="00DE6E4F" w:rsidRPr="001301F9">
        <w:rPr>
          <w:rFonts w:cstheme="minorHAnsi"/>
          <w:sz w:val="20"/>
          <w:szCs w:val="20"/>
        </w:rPr>
        <w:t>Comparing Lyme disease presentations in primary care with incidence in laboratory surveillance systems can highlight areas where differences exist regarding awareness, reporting, and management of Lyme disease. These differences would require further investigation. Future research using Lyme disease coded patients within THIN</w:t>
      </w:r>
      <w:r w:rsidR="00DE6E4F">
        <w:rPr>
          <w:rFonts w:cstheme="minorHAnsi"/>
          <w:sz w:val="20"/>
          <w:szCs w:val="20"/>
        </w:rPr>
        <w:t>,</w:t>
      </w:r>
      <w:r w:rsidR="00DE6E4F" w:rsidRPr="00693035">
        <w:rPr>
          <w:rFonts w:cstheme="minorHAnsi"/>
          <w:sz w:val="20"/>
          <w:szCs w:val="20"/>
        </w:rPr>
        <w:t xml:space="preserve"> will investigate concurrent symptoms, and treatment and referral choices as part of case management plans. This study provides a platform to describe patient management in the UK primary care setting and enables ongoing epidemiological analysis of Lyme disease. </w:t>
      </w:r>
    </w:p>
    <w:p w14:paraId="16554F5E" w14:textId="77777777" w:rsidR="0037567C" w:rsidRDefault="0037567C" w:rsidP="00693035">
      <w:pPr>
        <w:spacing w:line="480" w:lineRule="auto"/>
        <w:jc w:val="both"/>
        <w:rPr>
          <w:rFonts w:cstheme="minorHAnsi"/>
          <w:b/>
          <w:sz w:val="24"/>
          <w:szCs w:val="24"/>
        </w:rPr>
      </w:pPr>
    </w:p>
    <w:p w14:paraId="58D5736A" w14:textId="6E19C162" w:rsidR="0037567C" w:rsidRDefault="009C5EA2" w:rsidP="00693035">
      <w:pPr>
        <w:spacing w:line="480" w:lineRule="auto"/>
        <w:jc w:val="both"/>
        <w:rPr>
          <w:rFonts w:cstheme="minorHAnsi"/>
          <w:b/>
          <w:sz w:val="24"/>
          <w:szCs w:val="24"/>
        </w:rPr>
      </w:pPr>
      <w:r>
        <w:rPr>
          <w:rFonts w:cstheme="minorHAnsi"/>
          <w:b/>
          <w:sz w:val="24"/>
          <w:szCs w:val="24"/>
        </w:rPr>
        <w:t>List of abb</w:t>
      </w:r>
      <w:r w:rsidR="00754A67">
        <w:rPr>
          <w:rFonts w:cstheme="minorHAnsi"/>
          <w:b/>
          <w:sz w:val="24"/>
          <w:szCs w:val="24"/>
        </w:rPr>
        <w:t>reviations</w:t>
      </w:r>
    </w:p>
    <w:p w14:paraId="6D1CCAEE" w14:textId="50AE47EE" w:rsidR="00BA6FC1" w:rsidRPr="00ED4243" w:rsidRDefault="00BA6FC1" w:rsidP="00FE453B">
      <w:pPr>
        <w:spacing w:after="0" w:line="480" w:lineRule="auto"/>
        <w:jc w:val="both"/>
        <w:rPr>
          <w:rFonts w:cstheme="minorHAnsi"/>
          <w:sz w:val="20"/>
          <w:szCs w:val="20"/>
        </w:rPr>
      </w:pPr>
      <w:r w:rsidRPr="00ED4243">
        <w:rPr>
          <w:rFonts w:cstheme="minorHAnsi"/>
          <w:sz w:val="20"/>
          <w:szCs w:val="20"/>
        </w:rPr>
        <w:t>Black, Asian, minority ethnic – BAME</w:t>
      </w:r>
    </w:p>
    <w:p w14:paraId="5D05971A" w14:textId="20C2390A" w:rsidR="00BA6FC1" w:rsidRPr="00ED4243" w:rsidRDefault="00BA6FC1" w:rsidP="00FE453B">
      <w:pPr>
        <w:spacing w:after="0" w:line="480" w:lineRule="auto"/>
        <w:jc w:val="both"/>
        <w:rPr>
          <w:rFonts w:cstheme="minorHAnsi"/>
          <w:sz w:val="20"/>
          <w:szCs w:val="20"/>
        </w:rPr>
      </w:pPr>
      <w:r w:rsidRPr="00ED4243">
        <w:rPr>
          <w:rFonts w:cstheme="minorHAnsi"/>
          <w:sz w:val="20"/>
          <w:szCs w:val="20"/>
        </w:rPr>
        <w:t>General practitioners – GPs</w:t>
      </w:r>
    </w:p>
    <w:p w14:paraId="1CD7F393" w14:textId="6FE9DF7C" w:rsidR="00BA6FC1" w:rsidRDefault="00BA6FC1" w:rsidP="00FE453B">
      <w:pPr>
        <w:spacing w:after="0" w:line="480" w:lineRule="auto"/>
        <w:jc w:val="both"/>
        <w:rPr>
          <w:rFonts w:cstheme="minorHAnsi"/>
          <w:sz w:val="20"/>
          <w:szCs w:val="20"/>
        </w:rPr>
      </w:pPr>
      <w:r w:rsidRPr="00ED4243">
        <w:rPr>
          <w:rFonts w:cstheme="minorHAnsi"/>
          <w:sz w:val="20"/>
          <w:szCs w:val="20"/>
        </w:rPr>
        <w:t>National Institute for Health and Care Excellence – NICE</w:t>
      </w:r>
    </w:p>
    <w:p w14:paraId="7A2F9387" w14:textId="19F46ACA" w:rsidR="006760A3" w:rsidRDefault="006760A3" w:rsidP="00FE453B">
      <w:pPr>
        <w:spacing w:after="0" w:line="480" w:lineRule="auto"/>
        <w:jc w:val="both"/>
        <w:rPr>
          <w:rFonts w:cstheme="minorHAnsi"/>
          <w:sz w:val="20"/>
          <w:szCs w:val="20"/>
        </w:rPr>
      </w:pPr>
      <w:r>
        <w:rPr>
          <w:rFonts w:cstheme="minorHAnsi"/>
          <w:sz w:val="20"/>
          <w:szCs w:val="20"/>
        </w:rPr>
        <w:t>Northern Ireland - NI</w:t>
      </w:r>
    </w:p>
    <w:p w14:paraId="61415692" w14:textId="138F6848" w:rsidR="00E572AE" w:rsidRPr="00ED4243" w:rsidRDefault="00E572AE" w:rsidP="00FE453B">
      <w:pPr>
        <w:spacing w:after="0" w:line="480" w:lineRule="auto"/>
        <w:jc w:val="both"/>
        <w:rPr>
          <w:rFonts w:cstheme="minorHAnsi"/>
          <w:sz w:val="20"/>
          <w:szCs w:val="20"/>
        </w:rPr>
      </w:pPr>
      <w:r>
        <w:rPr>
          <w:rFonts w:cstheme="minorHAnsi"/>
          <w:sz w:val="20"/>
          <w:szCs w:val="20"/>
        </w:rPr>
        <w:t xml:space="preserve">Office </w:t>
      </w:r>
      <w:r w:rsidR="006760A3">
        <w:rPr>
          <w:rFonts w:cstheme="minorHAnsi"/>
          <w:sz w:val="20"/>
          <w:szCs w:val="20"/>
        </w:rPr>
        <w:t>for National Statistics - ONS</w:t>
      </w:r>
    </w:p>
    <w:p w14:paraId="52773108" w14:textId="7B94C6C4" w:rsidR="00BA6FC1" w:rsidRPr="00ED4243" w:rsidRDefault="00BA6FC1" w:rsidP="00FE453B">
      <w:pPr>
        <w:spacing w:after="0" w:line="480" w:lineRule="auto"/>
        <w:jc w:val="both"/>
        <w:rPr>
          <w:rFonts w:cstheme="minorHAnsi"/>
          <w:sz w:val="20"/>
          <w:szCs w:val="20"/>
        </w:rPr>
      </w:pPr>
      <w:r w:rsidRPr="00ED4243">
        <w:rPr>
          <w:rFonts w:cstheme="minorHAnsi"/>
          <w:sz w:val="20"/>
          <w:szCs w:val="20"/>
        </w:rPr>
        <w:t>The Health Improvement Network – THIN</w:t>
      </w:r>
    </w:p>
    <w:p w14:paraId="43CCF7B3" w14:textId="34EAD19C" w:rsidR="00BA6FC1" w:rsidRDefault="00BA6FC1" w:rsidP="00FE453B">
      <w:pPr>
        <w:spacing w:after="0" w:line="480" w:lineRule="auto"/>
        <w:jc w:val="both"/>
        <w:rPr>
          <w:rFonts w:cstheme="minorHAnsi"/>
          <w:sz w:val="24"/>
          <w:szCs w:val="24"/>
        </w:rPr>
      </w:pPr>
      <w:r w:rsidRPr="00ED4243">
        <w:rPr>
          <w:rFonts w:cstheme="minorHAnsi"/>
          <w:sz w:val="20"/>
          <w:szCs w:val="20"/>
        </w:rPr>
        <w:t>United Kingdom – UK</w:t>
      </w:r>
      <w:r>
        <w:rPr>
          <w:rFonts w:cstheme="minorHAnsi"/>
          <w:sz w:val="24"/>
          <w:szCs w:val="24"/>
        </w:rPr>
        <w:t xml:space="preserve"> </w:t>
      </w:r>
    </w:p>
    <w:p w14:paraId="2F782723" w14:textId="6CE6A7D1" w:rsidR="00FE453B" w:rsidRDefault="00FE453B" w:rsidP="00FE453B">
      <w:pPr>
        <w:spacing w:after="0" w:line="480" w:lineRule="auto"/>
        <w:jc w:val="both"/>
        <w:rPr>
          <w:rFonts w:cstheme="minorHAnsi"/>
          <w:sz w:val="24"/>
          <w:szCs w:val="24"/>
        </w:rPr>
      </w:pPr>
    </w:p>
    <w:p w14:paraId="3099CE6A" w14:textId="77777777" w:rsidR="00FE453B" w:rsidRDefault="00FE453B" w:rsidP="00FE453B">
      <w:pPr>
        <w:spacing w:after="0" w:line="480" w:lineRule="auto"/>
        <w:jc w:val="both"/>
        <w:rPr>
          <w:rFonts w:cstheme="minorHAnsi"/>
          <w:sz w:val="24"/>
          <w:szCs w:val="24"/>
        </w:rPr>
      </w:pPr>
    </w:p>
    <w:p w14:paraId="0CCBBA90" w14:textId="62C04A55" w:rsidR="00ED4243" w:rsidRDefault="00ED4243" w:rsidP="00693035">
      <w:pPr>
        <w:spacing w:line="480" w:lineRule="auto"/>
        <w:jc w:val="both"/>
        <w:rPr>
          <w:rFonts w:cstheme="minorHAnsi"/>
          <w:b/>
          <w:sz w:val="24"/>
          <w:szCs w:val="24"/>
        </w:rPr>
      </w:pPr>
      <w:r>
        <w:rPr>
          <w:rFonts w:cstheme="minorHAnsi"/>
          <w:b/>
          <w:sz w:val="24"/>
          <w:szCs w:val="24"/>
        </w:rPr>
        <w:lastRenderedPageBreak/>
        <w:t>Declarations</w:t>
      </w:r>
    </w:p>
    <w:p w14:paraId="05F07B7F" w14:textId="4C983828" w:rsidR="00ED4243" w:rsidRDefault="00ED4243" w:rsidP="00693035">
      <w:pPr>
        <w:spacing w:line="480" w:lineRule="auto"/>
        <w:jc w:val="both"/>
        <w:rPr>
          <w:rFonts w:cstheme="minorHAnsi"/>
          <w:b/>
          <w:sz w:val="24"/>
          <w:szCs w:val="24"/>
        </w:rPr>
      </w:pPr>
      <w:r>
        <w:rPr>
          <w:rFonts w:cstheme="minorHAnsi"/>
          <w:b/>
          <w:sz w:val="24"/>
          <w:szCs w:val="24"/>
        </w:rPr>
        <w:t>Ethics approval and consent to participate</w:t>
      </w:r>
    </w:p>
    <w:p w14:paraId="06AF25BC" w14:textId="0A166AD1" w:rsidR="00ED4243" w:rsidRDefault="00ED4243" w:rsidP="00693035">
      <w:pPr>
        <w:spacing w:line="480" w:lineRule="auto"/>
        <w:jc w:val="both"/>
        <w:rPr>
          <w:rFonts w:cstheme="minorHAnsi"/>
          <w:b/>
          <w:sz w:val="24"/>
          <w:szCs w:val="24"/>
        </w:rPr>
      </w:pPr>
      <w:r w:rsidRPr="00693035">
        <w:rPr>
          <w:rFonts w:cstheme="minorHAnsi"/>
          <w:sz w:val="20"/>
          <w:szCs w:val="20"/>
        </w:rPr>
        <w:t>The study</w:t>
      </w:r>
      <w:r>
        <w:rPr>
          <w:rFonts w:cstheme="minorHAnsi"/>
          <w:sz w:val="20"/>
          <w:szCs w:val="20"/>
        </w:rPr>
        <w:t xml:space="preserve"> received ethical approval from the</w:t>
      </w:r>
      <w:r w:rsidRPr="00693035">
        <w:rPr>
          <w:rFonts w:cstheme="minorHAnsi"/>
          <w:sz w:val="20"/>
          <w:szCs w:val="20"/>
        </w:rPr>
        <w:t xml:space="preserve"> THIN Scientific Review Committee (16THIN103).</w:t>
      </w:r>
      <w:r w:rsidR="00C66CF5">
        <w:rPr>
          <w:rFonts w:cstheme="minorHAnsi"/>
          <w:sz w:val="20"/>
          <w:szCs w:val="20"/>
        </w:rPr>
        <w:t xml:space="preserve"> </w:t>
      </w:r>
      <w:r w:rsidR="00853F7F">
        <w:rPr>
          <w:rFonts w:cstheme="minorHAnsi"/>
          <w:sz w:val="20"/>
          <w:szCs w:val="20"/>
        </w:rPr>
        <w:t>THIN data was received by P</w:t>
      </w:r>
      <w:r w:rsidR="00727B7A">
        <w:rPr>
          <w:rFonts w:cstheme="minorHAnsi"/>
          <w:sz w:val="20"/>
          <w:szCs w:val="20"/>
        </w:rPr>
        <w:t xml:space="preserve">ublic </w:t>
      </w:r>
      <w:r w:rsidR="00853F7F">
        <w:rPr>
          <w:rFonts w:cstheme="minorHAnsi"/>
          <w:sz w:val="20"/>
          <w:szCs w:val="20"/>
        </w:rPr>
        <w:t>H</w:t>
      </w:r>
      <w:r w:rsidR="00727B7A">
        <w:rPr>
          <w:rFonts w:cstheme="minorHAnsi"/>
          <w:sz w:val="20"/>
          <w:szCs w:val="20"/>
        </w:rPr>
        <w:t xml:space="preserve">ealth </w:t>
      </w:r>
      <w:r w:rsidR="00853F7F">
        <w:rPr>
          <w:rFonts w:cstheme="minorHAnsi"/>
          <w:sz w:val="20"/>
          <w:szCs w:val="20"/>
        </w:rPr>
        <w:t>E</w:t>
      </w:r>
      <w:r w:rsidR="00727B7A">
        <w:rPr>
          <w:rFonts w:cstheme="minorHAnsi"/>
          <w:sz w:val="20"/>
          <w:szCs w:val="20"/>
        </w:rPr>
        <w:t>ngland</w:t>
      </w:r>
      <w:r w:rsidR="00853F7F">
        <w:rPr>
          <w:rFonts w:cstheme="minorHAnsi"/>
          <w:sz w:val="20"/>
          <w:szCs w:val="20"/>
        </w:rPr>
        <w:t xml:space="preserve"> in a pseudo-</w:t>
      </w:r>
      <w:proofErr w:type="spellStart"/>
      <w:r w:rsidR="00853F7F">
        <w:rPr>
          <w:rFonts w:cstheme="minorHAnsi"/>
          <w:sz w:val="20"/>
          <w:szCs w:val="20"/>
        </w:rPr>
        <w:t>anonymised</w:t>
      </w:r>
      <w:proofErr w:type="spellEnd"/>
      <w:r w:rsidR="00853F7F">
        <w:rPr>
          <w:rFonts w:cstheme="minorHAnsi"/>
          <w:sz w:val="20"/>
          <w:szCs w:val="20"/>
        </w:rPr>
        <w:t xml:space="preserve"> format and stored on secure servers. JT was given access permissions to the raw </w:t>
      </w:r>
      <w:r w:rsidR="001F0D5B">
        <w:rPr>
          <w:rFonts w:cstheme="minorHAnsi"/>
          <w:sz w:val="20"/>
          <w:szCs w:val="20"/>
        </w:rPr>
        <w:t>data; this permission was granted by the above approval and by internal PHE data access agreements. N</w:t>
      </w:r>
      <w:r w:rsidR="00853F7F">
        <w:rPr>
          <w:rFonts w:cstheme="minorHAnsi"/>
          <w:sz w:val="20"/>
          <w:szCs w:val="20"/>
        </w:rPr>
        <w:t>o one in the team was granted administrative permissions.</w:t>
      </w:r>
      <w:r w:rsidR="001F0D5B">
        <w:rPr>
          <w:rFonts w:cstheme="minorHAnsi"/>
          <w:sz w:val="20"/>
          <w:szCs w:val="20"/>
        </w:rPr>
        <w:t xml:space="preserve"> </w:t>
      </w:r>
    </w:p>
    <w:p w14:paraId="69195CBD" w14:textId="2BF56CD4" w:rsidR="00ED4243" w:rsidRDefault="00ED4243" w:rsidP="00693035">
      <w:pPr>
        <w:spacing w:line="480" w:lineRule="auto"/>
        <w:jc w:val="both"/>
        <w:rPr>
          <w:rFonts w:cstheme="minorHAnsi"/>
          <w:b/>
          <w:sz w:val="24"/>
          <w:szCs w:val="24"/>
        </w:rPr>
      </w:pPr>
      <w:r>
        <w:rPr>
          <w:rFonts w:cstheme="minorHAnsi"/>
          <w:b/>
          <w:sz w:val="24"/>
          <w:szCs w:val="24"/>
        </w:rPr>
        <w:t>Consent for publication</w:t>
      </w:r>
    </w:p>
    <w:p w14:paraId="015CBC23" w14:textId="74C3E1F2" w:rsidR="00ED4243" w:rsidRPr="00ED4243" w:rsidRDefault="00ED4243" w:rsidP="00693035">
      <w:pPr>
        <w:spacing w:line="480" w:lineRule="auto"/>
        <w:jc w:val="both"/>
        <w:rPr>
          <w:rFonts w:cstheme="minorHAnsi"/>
          <w:sz w:val="20"/>
          <w:szCs w:val="20"/>
        </w:rPr>
      </w:pPr>
      <w:r w:rsidRPr="00ED4243">
        <w:rPr>
          <w:rFonts w:cstheme="minorHAnsi"/>
          <w:sz w:val="20"/>
          <w:szCs w:val="20"/>
        </w:rPr>
        <w:t>Not applicable</w:t>
      </w:r>
      <w:r>
        <w:rPr>
          <w:rFonts w:cstheme="minorHAnsi"/>
          <w:sz w:val="20"/>
          <w:szCs w:val="20"/>
        </w:rPr>
        <w:t>.</w:t>
      </w:r>
    </w:p>
    <w:p w14:paraId="661E97E7" w14:textId="26713D82" w:rsidR="00ED4243" w:rsidRDefault="00ED4243" w:rsidP="00693035">
      <w:pPr>
        <w:spacing w:line="480" w:lineRule="auto"/>
        <w:jc w:val="both"/>
        <w:rPr>
          <w:rFonts w:cstheme="minorHAnsi"/>
          <w:b/>
          <w:sz w:val="24"/>
          <w:szCs w:val="24"/>
        </w:rPr>
      </w:pPr>
      <w:r>
        <w:rPr>
          <w:rFonts w:cstheme="minorHAnsi"/>
          <w:b/>
          <w:sz w:val="24"/>
          <w:szCs w:val="24"/>
        </w:rPr>
        <w:t>Availability of data and material</w:t>
      </w:r>
    </w:p>
    <w:p w14:paraId="615165CA" w14:textId="54EF9CC7" w:rsidR="00ED4243" w:rsidRPr="00ED4243" w:rsidRDefault="00ED4243" w:rsidP="00693035">
      <w:pPr>
        <w:spacing w:line="480" w:lineRule="auto"/>
        <w:jc w:val="both"/>
        <w:rPr>
          <w:rFonts w:cstheme="minorHAnsi"/>
          <w:sz w:val="20"/>
          <w:szCs w:val="20"/>
        </w:rPr>
      </w:pPr>
      <w:r w:rsidRPr="00ED4243">
        <w:rPr>
          <w:rFonts w:cstheme="minorHAnsi"/>
          <w:sz w:val="20"/>
          <w:szCs w:val="20"/>
          <w:shd w:val="clear" w:color="auto" w:fill="FFFFFF"/>
        </w:rPr>
        <w:t>The data that support the findings of this study are available from THIN, but restrictions apply to the availability of these data, which were used under license for the current study, and so are not publicly available. Data are however available from the authors upon reasonable request and with permission of THIN.</w:t>
      </w:r>
    </w:p>
    <w:p w14:paraId="6A97DEFA" w14:textId="038D9EB9" w:rsidR="00ED4243" w:rsidRDefault="00ED4243" w:rsidP="00693035">
      <w:pPr>
        <w:spacing w:line="480" w:lineRule="auto"/>
        <w:jc w:val="both"/>
        <w:rPr>
          <w:rFonts w:cstheme="minorHAnsi"/>
          <w:b/>
          <w:sz w:val="24"/>
          <w:szCs w:val="24"/>
        </w:rPr>
      </w:pPr>
      <w:r>
        <w:rPr>
          <w:rFonts w:cstheme="minorHAnsi"/>
          <w:b/>
          <w:sz w:val="24"/>
          <w:szCs w:val="24"/>
        </w:rPr>
        <w:t>Competing interests</w:t>
      </w:r>
    </w:p>
    <w:p w14:paraId="4A7FEC6F" w14:textId="2D76057B" w:rsidR="00ED4243" w:rsidRPr="00ED4243" w:rsidRDefault="00ED4243" w:rsidP="00ED4243">
      <w:pPr>
        <w:spacing w:line="480" w:lineRule="auto"/>
        <w:jc w:val="both"/>
        <w:rPr>
          <w:rFonts w:cstheme="minorHAnsi"/>
          <w:sz w:val="20"/>
          <w:szCs w:val="20"/>
        </w:rPr>
      </w:pPr>
      <w:r w:rsidRPr="00ED4243">
        <w:rPr>
          <w:rFonts w:cstheme="minorHAnsi"/>
          <w:sz w:val="20"/>
          <w:szCs w:val="20"/>
        </w:rPr>
        <w:t>All authors declare; no support from any organization for the submitted work; no financial relationships with any organisations that might have an interest in the submitted work in the previous three years; no other relationships or activities that could appear to have influe</w:t>
      </w:r>
      <w:r w:rsidR="00641618">
        <w:rPr>
          <w:rFonts w:cstheme="minorHAnsi"/>
          <w:sz w:val="20"/>
          <w:szCs w:val="20"/>
        </w:rPr>
        <w:t>nced the submitted work, except</w:t>
      </w:r>
      <w:r w:rsidRPr="00ED4243">
        <w:rPr>
          <w:rFonts w:cstheme="minorHAnsi"/>
          <w:sz w:val="20"/>
          <w:szCs w:val="20"/>
        </w:rPr>
        <w:t xml:space="preserve"> </w:t>
      </w:r>
      <w:proofErr w:type="spellStart"/>
      <w:r w:rsidRPr="00ED4243">
        <w:rPr>
          <w:rFonts w:cstheme="minorHAnsi"/>
          <w:sz w:val="20"/>
          <w:szCs w:val="20"/>
          <w:lang w:val="en-GB"/>
        </w:rPr>
        <w:t>Dr.</w:t>
      </w:r>
      <w:proofErr w:type="spellEnd"/>
      <w:r w:rsidRPr="00ED4243">
        <w:rPr>
          <w:rFonts w:cstheme="minorHAnsi"/>
          <w:sz w:val="20"/>
          <w:szCs w:val="20"/>
          <w:lang w:val="en-GB"/>
        </w:rPr>
        <w:t xml:space="preserve"> </w:t>
      </w:r>
      <w:proofErr w:type="spellStart"/>
      <w:r w:rsidRPr="00ED4243">
        <w:rPr>
          <w:rFonts w:cstheme="minorHAnsi"/>
          <w:sz w:val="20"/>
          <w:szCs w:val="20"/>
          <w:lang w:val="en-GB"/>
        </w:rPr>
        <w:t>Beeching</w:t>
      </w:r>
      <w:proofErr w:type="spellEnd"/>
      <w:r w:rsidRPr="00ED4243">
        <w:rPr>
          <w:rFonts w:cstheme="minorHAnsi"/>
          <w:sz w:val="20"/>
          <w:szCs w:val="20"/>
          <w:lang w:val="en-GB"/>
        </w:rPr>
        <w:t xml:space="preserve"> who reports being an unpaid member of the NICE Guidelines Committee on the diagnosis and management of Lyme disease, during the conduct of the study.</w:t>
      </w:r>
    </w:p>
    <w:p w14:paraId="256CDFF5" w14:textId="562ECD50" w:rsidR="00ED4243" w:rsidRDefault="00ED4243" w:rsidP="00693035">
      <w:pPr>
        <w:spacing w:line="480" w:lineRule="auto"/>
        <w:jc w:val="both"/>
        <w:rPr>
          <w:rFonts w:cstheme="minorHAnsi"/>
          <w:b/>
          <w:sz w:val="24"/>
          <w:szCs w:val="24"/>
        </w:rPr>
      </w:pPr>
      <w:r>
        <w:rPr>
          <w:rFonts w:cstheme="minorHAnsi"/>
          <w:b/>
          <w:sz w:val="24"/>
          <w:szCs w:val="24"/>
        </w:rPr>
        <w:t>Funding</w:t>
      </w:r>
    </w:p>
    <w:p w14:paraId="5C8750F3" w14:textId="0F62B315" w:rsidR="00ED4243" w:rsidRDefault="00ED4243" w:rsidP="00693035">
      <w:pPr>
        <w:spacing w:line="480" w:lineRule="auto"/>
        <w:jc w:val="both"/>
        <w:rPr>
          <w:rFonts w:cstheme="minorHAnsi"/>
          <w:color w:val="000000"/>
          <w:sz w:val="20"/>
          <w:szCs w:val="20"/>
          <w:shd w:val="clear" w:color="auto" w:fill="FFFFFF"/>
        </w:rPr>
      </w:pPr>
      <w:r w:rsidRPr="00FE453B">
        <w:rPr>
          <w:rFonts w:cstheme="minorHAnsi"/>
          <w:color w:val="000000"/>
          <w:sz w:val="20"/>
          <w:szCs w:val="20"/>
          <w:shd w:val="clear" w:color="auto" w:fill="FFFFFF"/>
        </w:rPr>
        <w:t xml:space="preserve">The research was funded by the National Institute for Health Research Health Protection Research Unit (NIHR HPRU) in Emerging and Zoonotic Infections at University of Liverpool in partnership with Public Health England (PHE), in collaboration with Liverpool School of Tropical Medicine. </w:t>
      </w:r>
      <w:r w:rsidR="00FE453B">
        <w:rPr>
          <w:rFonts w:cstheme="minorHAnsi"/>
          <w:color w:val="000000"/>
          <w:sz w:val="20"/>
          <w:szCs w:val="20"/>
          <w:shd w:val="clear" w:color="auto" w:fill="FFFFFF"/>
        </w:rPr>
        <w:t>JT, RC, AR are based at the University of Liverpool. JW and RV are based at Public Health England. NB and MB are based at the Liverpool School of Tropical Medicine.</w:t>
      </w:r>
      <w:r w:rsidRPr="00FE453B">
        <w:rPr>
          <w:rFonts w:cstheme="minorHAnsi"/>
          <w:color w:val="000000"/>
          <w:sz w:val="20"/>
          <w:szCs w:val="20"/>
          <w:shd w:val="clear" w:color="auto" w:fill="FFFFFF"/>
        </w:rPr>
        <w:t xml:space="preserve"> The views ex</w:t>
      </w:r>
      <w:r w:rsidR="00FE453B">
        <w:rPr>
          <w:rFonts w:cstheme="minorHAnsi"/>
          <w:color w:val="000000"/>
          <w:sz w:val="20"/>
          <w:szCs w:val="20"/>
          <w:shd w:val="clear" w:color="auto" w:fill="FFFFFF"/>
        </w:rPr>
        <w:t>pressed are those of the author</w:t>
      </w:r>
      <w:r w:rsidRPr="00FE453B">
        <w:rPr>
          <w:rFonts w:cstheme="minorHAnsi"/>
          <w:color w:val="000000"/>
          <w:sz w:val="20"/>
          <w:szCs w:val="20"/>
          <w:shd w:val="clear" w:color="auto" w:fill="FFFFFF"/>
        </w:rPr>
        <w:t>s and not necessarily those of the NHS, the NIHR, the Department of Health or Public Health England.</w:t>
      </w:r>
      <w:r w:rsidR="00C66CF5">
        <w:rPr>
          <w:rFonts w:cstheme="minorHAnsi"/>
          <w:color w:val="000000"/>
          <w:sz w:val="20"/>
          <w:szCs w:val="20"/>
          <w:shd w:val="clear" w:color="auto" w:fill="FFFFFF"/>
        </w:rPr>
        <w:t xml:space="preserve"> The funder had no role in the design of the study and collection, analysis, and interpretation of data and in writing the manuscript.</w:t>
      </w:r>
    </w:p>
    <w:p w14:paraId="024E38B8" w14:textId="623F8BE2" w:rsidR="00ED4243" w:rsidRDefault="00ED4243" w:rsidP="00693035">
      <w:pPr>
        <w:spacing w:line="480" w:lineRule="auto"/>
        <w:jc w:val="both"/>
        <w:rPr>
          <w:rFonts w:cstheme="minorHAnsi"/>
          <w:b/>
          <w:sz w:val="24"/>
          <w:szCs w:val="24"/>
        </w:rPr>
      </w:pPr>
      <w:r>
        <w:rPr>
          <w:rFonts w:cstheme="minorHAnsi"/>
          <w:b/>
          <w:sz w:val="24"/>
          <w:szCs w:val="24"/>
        </w:rPr>
        <w:lastRenderedPageBreak/>
        <w:t>Authors Contributions</w:t>
      </w:r>
    </w:p>
    <w:p w14:paraId="13055E36" w14:textId="670516A4" w:rsidR="00FE453B" w:rsidRDefault="00FE453B" w:rsidP="00FE453B">
      <w:pPr>
        <w:spacing w:line="480" w:lineRule="auto"/>
        <w:jc w:val="both"/>
        <w:rPr>
          <w:rFonts w:cstheme="minorHAnsi"/>
          <w:sz w:val="20"/>
          <w:szCs w:val="20"/>
          <w:shd w:val="clear" w:color="auto" w:fill="FFFFFF"/>
        </w:rPr>
      </w:pPr>
      <w:r w:rsidRPr="00FE453B">
        <w:rPr>
          <w:rFonts w:cstheme="minorHAnsi"/>
          <w:sz w:val="20"/>
          <w:szCs w:val="20"/>
          <w:shd w:val="clear" w:color="auto" w:fill="FFFFFF"/>
        </w:rPr>
        <w:t>JT designed the study, analysed the data and drafted the paper. RC, AR, JW and RV contributed to design and implementation of the project. RC assisted with analysis and commented on the paper. AR and JW commented on the paper. MB and NB provided clinical guidance and commented on the paper. RV oversaw the analysis and the project and revised the paper.</w:t>
      </w:r>
      <w:r w:rsidR="00C66CF5">
        <w:rPr>
          <w:rFonts w:cstheme="minorHAnsi"/>
          <w:sz w:val="20"/>
          <w:szCs w:val="20"/>
          <w:shd w:val="clear" w:color="auto" w:fill="FFFFFF"/>
        </w:rPr>
        <w:t xml:space="preserve"> All authors have read and approved the final manuscript.</w:t>
      </w:r>
    </w:p>
    <w:p w14:paraId="7E97822E" w14:textId="3B7A3E78" w:rsidR="00ED4243" w:rsidRDefault="00ED4243" w:rsidP="00693035">
      <w:pPr>
        <w:spacing w:line="480" w:lineRule="auto"/>
        <w:jc w:val="both"/>
        <w:rPr>
          <w:rFonts w:cstheme="minorHAnsi"/>
          <w:b/>
          <w:sz w:val="24"/>
          <w:szCs w:val="24"/>
        </w:rPr>
      </w:pPr>
      <w:r>
        <w:rPr>
          <w:rFonts w:cstheme="minorHAnsi"/>
          <w:b/>
          <w:sz w:val="24"/>
          <w:szCs w:val="24"/>
        </w:rPr>
        <w:t>Acknowledgements</w:t>
      </w:r>
    </w:p>
    <w:p w14:paraId="5BBB4C85" w14:textId="73D647E7" w:rsidR="00ED4243" w:rsidRPr="00FE453B" w:rsidRDefault="00ED4243" w:rsidP="00693035">
      <w:pPr>
        <w:spacing w:line="480" w:lineRule="auto"/>
        <w:jc w:val="both"/>
        <w:rPr>
          <w:rFonts w:cstheme="minorHAnsi"/>
          <w:b/>
          <w:sz w:val="24"/>
          <w:szCs w:val="24"/>
        </w:rPr>
      </w:pPr>
      <w:r w:rsidRPr="00FE453B">
        <w:rPr>
          <w:rFonts w:cstheme="minorHAnsi"/>
          <w:sz w:val="20"/>
          <w:szCs w:val="20"/>
          <w:shd w:val="clear" w:color="auto" w:fill="FFFFFF"/>
        </w:rPr>
        <w:t xml:space="preserve">This work uses data provided by patients and collected by the NHS as part of their care and support and would not have been possible without access to this data. The NIHR </w:t>
      </w:r>
      <w:proofErr w:type="spellStart"/>
      <w:r w:rsidRPr="00FE453B">
        <w:rPr>
          <w:rFonts w:cstheme="minorHAnsi"/>
          <w:sz w:val="20"/>
          <w:szCs w:val="20"/>
          <w:shd w:val="clear" w:color="auto" w:fill="FFFFFF"/>
        </w:rPr>
        <w:t>recognises</w:t>
      </w:r>
      <w:proofErr w:type="spellEnd"/>
      <w:r w:rsidRPr="00FE453B">
        <w:rPr>
          <w:rFonts w:cstheme="minorHAnsi"/>
          <w:sz w:val="20"/>
          <w:szCs w:val="20"/>
          <w:shd w:val="clear" w:color="auto" w:fill="FFFFFF"/>
        </w:rPr>
        <w:t xml:space="preserve"> and values the role of patient data, securely accessed and stored, both in underpinning and leading to improvements in research and care.</w:t>
      </w:r>
      <w:r w:rsidR="00B544ED">
        <w:rPr>
          <w:rFonts w:cstheme="minorHAnsi"/>
          <w:sz w:val="20"/>
          <w:szCs w:val="20"/>
          <w:shd w:val="clear" w:color="auto" w:fill="FFFFFF"/>
        </w:rPr>
        <w:t xml:space="preserve"> We would like to thank and acknowledge the contribution of the peer reviewers, who provided valuable suggestions and critique of this work.</w:t>
      </w:r>
    </w:p>
    <w:p w14:paraId="2BCE464C" w14:textId="77777777" w:rsidR="001D2386" w:rsidRPr="00693035" w:rsidRDefault="00D81ABC" w:rsidP="00693035">
      <w:pPr>
        <w:spacing w:line="480" w:lineRule="auto"/>
        <w:jc w:val="both"/>
        <w:rPr>
          <w:rFonts w:cstheme="minorHAnsi"/>
          <w:b/>
          <w:sz w:val="24"/>
          <w:szCs w:val="24"/>
        </w:rPr>
      </w:pPr>
      <w:r w:rsidRPr="00693035">
        <w:rPr>
          <w:rFonts w:cstheme="minorHAnsi"/>
          <w:b/>
          <w:sz w:val="24"/>
          <w:szCs w:val="24"/>
        </w:rPr>
        <w:t>References</w:t>
      </w:r>
    </w:p>
    <w:p w14:paraId="31F24FB6" w14:textId="1E1FDFD9" w:rsidR="006C51B9" w:rsidRPr="006C51B9" w:rsidRDefault="001F5B9C" w:rsidP="006C51B9">
      <w:pPr>
        <w:widowControl w:val="0"/>
        <w:autoSpaceDE w:val="0"/>
        <w:autoSpaceDN w:val="0"/>
        <w:adjustRightInd w:val="0"/>
        <w:spacing w:line="480" w:lineRule="auto"/>
        <w:ind w:left="640" w:hanging="640"/>
        <w:rPr>
          <w:rFonts w:ascii="Calibri" w:hAnsi="Calibri" w:cs="Times New Roman"/>
          <w:noProof/>
          <w:sz w:val="20"/>
          <w:szCs w:val="24"/>
        </w:rPr>
      </w:pPr>
      <w:r w:rsidRPr="002B43D6">
        <w:rPr>
          <w:rFonts w:cstheme="minorHAnsi"/>
          <w:sz w:val="20"/>
          <w:szCs w:val="20"/>
        </w:rPr>
        <w:fldChar w:fldCharType="begin" w:fldLock="1"/>
      </w:r>
      <w:r w:rsidRPr="002B43D6">
        <w:rPr>
          <w:rFonts w:cstheme="minorHAnsi"/>
          <w:sz w:val="20"/>
          <w:szCs w:val="20"/>
        </w:rPr>
        <w:instrText xml:space="preserve">ADDIN Mendeley Bibliography CSL_BIBLIOGRAPHY </w:instrText>
      </w:r>
      <w:r w:rsidRPr="002B43D6">
        <w:rPr>
          <w:rFonts w:cstheme="minorHAnsi"/>
          <w:sz w:val="20"/>
          <w:szCs w:val="20"/>
        </w:rPr>
        <w:fldChar w:fldCharType="separate"/>
      </w:r>
      <w:r w:rsidR="006C51B9" w:rsidRPr="006C51B9">
        <w:rPr>
          <w:rFonts w:ascii="Calibri" w:hAnsi="Calibri" w:cs="Times New Roman"/>
          <w:noProof/>
          <w:sz w:val="20"/>
          <w:szCs w:val="24"/>
        </w:rPr>
        <w:t xml:space="preserve">1. </w:t>
      </w:r>
      <w:r w:rsidR="006C51B9" w:rsidRPr="006C51B9">
        <w:rPr>
          <w:rFonts w:ascii="Calibri" w:hAnsi="Calibri" w:cs="Times New Roman"/>
          <w:noProof/>
          <w:sz w:val="20"/>
          <w:szCs w:val="24"/>
        </w:rPr>
        <w:tab/>
      </w:r>
      <w:r w:rsidR="006C51B9" w:rsidRPr="002B43D6">
        <w:rPr>
          <w:rFonts w:cstheme="minorHAnsi"/>
          <w:noProof/>
          <w:sz w:val="20"/>
          <w:szCs w:val="20"/>
        </w:rPr>
        <w:t xml:space="preserve">Baker PJ. Straight talk about chronic Lyme disease. </w:t>
      </w:r>
      <w:r w:rsidR="006C51B9" w:rsidRPr="002B43D6">
        <w:rPr>
          <w:rFonts w:cstheme="minorHAnsi"/>
          <w:iCs/>
          <w:noProof/>
          <w:sz w:val="20"/>
          <w:szCs w:val="20"/>
        </w:rPr>
        <w:t>Am J Med.</w:t>
      </w:r>
      <w:r w:rsidR="006C51B9" w:rsidRPr="002B43D6">
        <w:rPr>
          <w:rFonts w:cstheme="minorHAnsi"/>
          <w:noProof/>
          <w:sz w:val="20"/>
          <w:szCs w:val="20"/>
        </w:rPr>
        <w:t xml:space="preserve"> </w:t>
      </w:r>
      <w:r w:rsidR="006C51B9" w:rsidRPr="002B43D6">
        <w:rPr>
          <w:rFonts w:cstheme="minorHAnsi"/>
          <w:color w:val="000000"/>
          <w:sz w:val="20"/>
          <w:szCs w:val="20"/>
          <w:shd w:val="clear" w:color="auto" w:fill="FFFFFF"/>
        </w:rPr>
        <w:t>2017; Dec 25. pii: S0002-9343(17)31290-1</w:t>
      </w:r>
    </w:p>
    <w:p w14:paraId="37E8C266" w14:textId="61457019"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2. </w:t>
      </w:r>
      <w:r w:rsidRPr="006C51B9">
        <w:rPr>
          <w:rFonts w:ascii="Calibri" w:hAnsi="Calibri" w:cs="Times New Roman"/>
          <w:noProof/>
          <w:sz w:val="20"/>
          <w:szCs w:val="24"/>
        </w:rPr>
        <w:tab/>
      </w:r>
      <w:r w:rsidRPr="002B43D6">
        <w:rPr>
          <w:rFonts w:cstheme="minorHAnsi"/>
          <w:noProof/>
          <w:sz w:val="20"/>
          <w:szCs w:val="24"/>
        </w:rPr>
        <w:t xml:space="preserve">Lantos PM. Chronic Lyme disease: the controversies and the science. Expert Rev Anti Infect Ther. </w:t>
      </w:r>
      <w:r w:rsidRPr="002B43D6">
        <w:rPr>
          <w:rFonts w:cstheme="minorHAnsi"/>
          <w:bCs/>
          <w:noProof/>
          <w:sz w:val="20"/>
          <w:szCs w:val="24"/>
        </w:rPr>
        <w:t>2011</w:t>
      </w:r>
      <w:r w:rsidRPr="002B43D6">
        <w:rPr>
          <w:rFonts w:cstheme="minorHAnsi"/>
          <w:noProof/>
          <w:sz w:val="20"/>
          <w:szCs w:val="24"/>
        </w:rPr>
        <w:t>; 9:787–797</w:t>
      </w:r>
      <w:r w:rsidRPr="006C51B9">
        <w:rPr>
          <w:rFonts w:ascii="Calibri" w:hAnsi="Calibri" w:cs="Times New Roman"/>
          <w:noProof/>
          <w:sz w:val="20"/>
          <w:szCs w:val="24"/>
        </w:rPr>
        <w:t xml:space="preserve"> </w:t>
      </w:r>
    </w:p>
    <w:p w14:paraId="77768F41" w14:textId="0D2FBB8D"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3. </w:t>
      </w:r>
      <w:r w:rsidRPr="006C51B9">
        <w:rPr>
          <w:rFonts w:ascii="Calibri" w:hAnsi="Calibri" w:cs="Times New Roman"/>
          <w:noProof/>
          <w:sz w:val="20"/>
          <w:szCs w:val="24"/>
        </w:rPr>
        <w:tab/>
      </w:r>
      <w:r w:rsidRPr="002B43D6">
        <w:rPr>
          <w:rFonts w:cstheme="minorHAnsi"/>
          <w:noProof/>
          <w:sz w:val="20"/>
          <w:szCs w:val="20"/>
        </w:rPr>
        <w:t>Usborne S. How afraid should we be of ticks and Lyme disease? The Guardian [Internet]. London: Simon Usborne. 2017 Aug - [cited 2018 Feb 26]. Available from: https://www.theguardian.com/lifeandstyle/2017/aug/22/ticks-lyme-disease-matt-dawson-harm</w:t>
      </w:r>
    </w:p>
    <w:p w14:paraId="1A62A667" w14:textId="341D6D37"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4. </w:t>
      </w:r>
      <w:r w:rsidRPr="006C51B9">
        <w:rPr>
          <w:rFonts w:ascii="Calibri" w:hAnsi="Calibri" w:cs="Times New Roman"/>
          <w:noProof/>
          <w:sz w:val="20"/>
          <w:szCs w:val="24"/>
        </w:rPr>
        <w:tab/>
      </w:r>
      <w:r w:rsidRPr="002B43D6">
        <w:rPr>
          <w:rFonts w:cstheme="minorHAnsi"/>
          <w:noProof/>
          <w:sz w:val="20"/>
          <w:szCs w:val="24"/>
        </w:rPr>
        <w:t xml:space="preserve">Steere AC, Strle F, Wormser GP, Hu LT, Branda JA, Hovius JWR, et al. Lyme borreliosis. Nat Rev Dis Prim. </w:t>
      </w:r>
      <w:r w:rsidRPr="002B43D6">
        <w:rPr>
          <w:rFonts w:cstheme="minorHAnsi"/>
          <w:bCs/>
          <w:noProof/>
          <w:sz w:val="20"/>
          <w:szCs w:val="24"/>
        </w:rPr>
        <w:t>2016</w:t>
      </w:r>
      <w:r w:rsidRPr="002B43D6">
        <w:rPr>
          <w:rFonts w:cstheme="minorHAnsi"/>
          <w:noProof/>
          <w:sz w:val="20"/>
          <w:szCs w:val="24"/>
        </w:rPr>
        <w:t>; 2:16090</w:t>
      </w:r>
    </w:p>
    <w:p w14:paraId="55968593" w14:textId="0B3269BC"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5. </w:t>
      </w:r>
      <w:r w:rsidRPr="006C51B9">
        <w:rPr>
          <w:rFonts w:ascii="Calibri" w:hAnsi="Calibri" w:cs="Times New Roman"/>
          <w:noProof/>
          <w:sz w:val="20"/>
          <w:szCs w:val="24"/>
        </w:rPr>
        <w:tab/>
      </w:r>
      <w:r w:rsidRPr="002B43D6">
        <w:rPr>
          <w:rFonts w:cstheme="minorHAnsi"/>
          <w:noProof/>
          <w:sz w:val="20"/>
          <w:szCs w:val="24"/>
        </w:rPr>
        <w:t xml:space="preserve">Sanchez E, Vannier E, Wormser GP, Hu LT. Diagnosis, treatment, and prevention of Lyme disease, Human Granulocytic Anaplasmosis, and Babesiosis: A review. JAMA. </w:t>
      </w:r>
      <w:r w:rsidRPr="002B43D6">
        <w:rPr>
          <w:rFonts w:cstheme="minorHAnsi"/>
          <w:bCs/>
          <w:noProof/>
          <w:sz w:val="20"/>
          <w:szCs w:val="24"/>
        </w:rPr>
        <w:t>2016</w:t>
      </w:r>
      <w:r>
        <w:rPr>
          <w:rFonts w:cstheme="minorHAnsi"/>
          <w:noProof/>
          <w:sz w:val="20"/>
          <w:szCs w:val="24"/>
        </w:rPr>
        <w:t>; 315(16):1767–1777</w:t>
      </w:r>
      <w:r w:rsidRPr="006C51B9">
        <w:rPr>
          <w:rFonts w:ascii="Calibri" w:hAnsi="Calibri" w:cs="Times New Roman"/>
          <w:noProof/>
          <w:sz w:val="20"/>
          <w:szCs w:val="24"/>
        </w:rPr>
        <w:t xml:space="preserve"> </w:t>
      </w:r>
    </w:p>
    <w:p w14:paraId="0A8F2F2C" w14:textId="20AD3AFA"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6. </w:t>
      </w:r>
      <w:r w:rsidRPr="006C51B9">
        <w:rPr>
          <w:rFonts w:ascii="Calibri" w:hAnsi="Calibri" w:cs="Times New Roman"/>
          <w:noProof/>
          <w:sz w:val="20"/>
          <w:szCs w:val="24"/>
        </w:rPr>
        <w:tab/>
      </w:r>
      <w:r w:rsidR="00DB1614" w:rsidRPr="002B43D6">
        <w:rPr>
          <w:rFonts w:cstheme="minorHAnsi"/>
          <w:noProof/>
          <w:sz w:val="20"/>
          <w:szCs w:val="24"/>
        </w:rPr>
        <w:t xml:space="preserve">Stanek G, Wormser GP, Gray J, Strle F. Lyme borreliosis. Lancet. </w:t>
      </w:r>
      <w:r w:rsidR="00DB1614" w:rsidRPr="002B43D6">
        <w:rPr>
          <w:rFonts w:cstheme="minorHAnsi"/>
          <w:bCs/>
          <w:noProof/>
          <w:sz w:val="20"/>
          <w:szCs w:val="24"/>
        </w:rPr>
        <w:t>2012</w:t>
      </w:r>
      <w:r w:rsidR="00DB1614" w:rsidRPr="002B43D6">
        <w:rPr>
          <w:rFonts w:cstheme="minorHAnsi"/>
          <w:noProof/>
          <w:sz w:val="20"/>
          <w:szCs w:val="24"/>
        </w:rPr>
        <w:t>; 379(9814):461–473</w:t>
      </w:r>
    </w:p>
    <w:p w14:paraId="32116B80" w14:textId="4DE6B3B2"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7. </w:t>
      </w:r>
      <w:r w:rsidRPr="006C51B9">
        <w:rPr>
          <w:rFonts w:ascii="Calibri" w:hAnsi="Calibri" w:cs="Times New Roman"/>
          <w:noProof/>
          <w:sz w:val="20"/>
          <w:szCs w:val="24"/>
        </w:rPr>
        <w:tab/>
      </w:r>
      <w:r w:rsidR="00DB1614" w:rsidRPr="002B43D6">
        <w:rPr>
          <w:rFonts w:cstheme="minorHAnsi"/>
          <w:noProof/>
          <w:sz w:val="20"/>
          <w:szCs w:val="24"/>
        </w:rPr>
        <w:t>National Institute for Health and Care Excellence [Internet]. Lyme disease NICE gu</w:t>
      </w:r>
      <w:r w:rsidR="00DB1614">
        <w:rPr>
          <w:rFonts w:cstheme="minorHAnsi"/>
          <w:noProof/>
          <w:sz w:val="20"/>
          <w:szCs w:val="24"/>
        </w:rPr>
        <w:t xml:space="preserve">ideline [NG95]; 2018 </w:t>
      </w:r>
      <w:r w:rsidR="00DB1614">
        <w:rPr>
          <w:rFonts w:cstheme="minorHAnsi"/>
          <w:noProof/>
          <w:sz w:val="20"/>
          <w:szCs w:val="24"/>
        </w:rPr>
        <w:lastRenderedPageBreak/>
        <w:t>[cited 2018</w:t>
      </w:r>
      <w:r w:rsidR="00DB1614" w:rsidRPr="002B43D6">
        <w:rPr>
          <w:rFonts w:cstheme="minorHAnsi"/>
          <w:noProof/>
          <w:sz w:val="20"/>
          <w:szCs w:val="24"/>
        </w:rPr>
        <w:t xml:space="preserve"> Apr 26]. Available at: https://www.nice.org.uk/guidance/ng95</w:t>
      </w:r>
    </w:p>
    <w:p w14:paraId="6155D009" w14:textId="628EF298" w:rsidR="006C51B9" w:rsidRPr="00DB1614" w:rsidRDefault="006C51B9" w:rsidP="00DB1614">
      <w:pPr>
        <w:widowControl w:val="0"/>
        <w:autoSpaceDE w:val="0"/>
        <w:autoSpaceDN w:val="0"/>
        <w:adjustRightInd w:val="0"/>
        <w:spacing w:line="480" w:lineRule="auto"/>
        <w:ind w:left="640" w:hanging="640"/>
        <w:rPr>
          <w:rFonts w:ascii="Calibri" w:hAnsi="Calibri" w:cs="Calibri"/>
          <w:noProof/>
          <w:sz w:val="20"/>
          <w:szCs w:val="24"/>
        </w:rPr>
      </w:pPr>
      <w:r w:rsidRPr="006C51B9">
        <w:rPr>
          <w:rFonts w:ascii="Calibri" w:hAnsi="Calibri" w:cs="Times New Roman"/>
          <w:noProof/>
          <w:sz w:val="20"/>
          <w:szCs w:val="24"/>
        </w:rPr>
        <w:t xml:space="preserve">8. </w:t>
      </w:r>
      <w:r w:rsidRPr="006C51B9">
        <w:rPr>
          <w:rFonts w:ascii="Calibri" w:hAnsi="Calibri" w:cs="Times New Roman"/>
          <w:noProof/>
          <w:sz w:val="20"/>
          <w:szCs w:val="24"/>
        </w:rPr>
        <w:tab/>
      </w:r>
      <w:r w:rsidR="00DB1614" w:rsidRPr="002B43D6">
        <w:rPr>
          <w:rFonts w:cstheme="minorHAnsi"/>
          <w:noProof/>
          <w:sz w:val="20"/>
          <w:szCs w:val="24"/>
        </w:rPr>
        <w:t xml:space="preserve">Public Health England [Internet]. Zoonoses: UK </w:t>
      </w:r>
      <w:r w:rsidR="00DB1614">
        <w:rPr>
          <w:rFonts w:cstheme="minorHAnsi"/>
          <w:noProof/>
          <w:sz w:val="20"/>
          <w:szCs w:val="24"/>
        </w:rPr>
        <w:t>annual reports; 2017 [cited 2018</w:t>
      </w:r>
      <w:r w:rsidR="00DB1614" w:rsidRPr="002B43D6">
        <w:rPr>
          <w:rFonts w:cstheme="minorHAnsi"/>
          <w:noProof/>
          <w:sz w:val="20"/>
          <w:szCs w:val="24"/>
        </w:rPr>
        <w:t xml:space="preserve"> Nov 3]. Available at: https://www.gov.uk/government/publications/zoonoses-uk-annual-reports</w:t>
      </w:r>
    </w:p>
    <w:p w14:paraId="341ACE80" w14:textId="30A9C851"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9. </w:t>
      </w:r>
      <w:r w:rsidRPr="006C51B9">
        <w:rPr>
          <w:rFonts w:ascii="Calibri" w:hAnsi="Calibri" w:cs="Times New Roman"/>
          <w:noProof/>
          <w:sz w:val="20"/>
          <w:szCs w:val="24"/>
        </w:rPr>
        <w:tab/>
      </w:r>
      <w:r w:rsidR="00DB1614" w:rsidRPr="002B43D6">
        <w:rPr>
          <w:rFonts w:cstheme="minorHAnsi"/>
          <w:noProof/>
          <w:sz w:val="20"/>
          <w:szCs w:val="24"/>
        </w:rPr>
        <w:t>Health Protection Scotland [Internet]. Gastrointestinal &amp; Zoonose</w:t>
      </w:r>
      <w:r w:rsidR="00DB1614">
        <w:rPr>
          <w:rFonts w:cstheme="minorHAnsi"/>
          <w:noProof/>
          <w:sz w:val="20"/>
          <w:szCs w:val="24"/>
        </w:rPr>
        <w:t>s- Lyme disease; 2017[cited 2018</w:t>
      </w:r>
      <w:r w:rsidR="00DB1614" w:rsidRPr="002B43D6">
        <w:rPr>
          <w:rFonts w:cstheme="minorHAnsi"/>
          <w:noProof/>
          <w:sz w:val="20"/>
          <w:szCs w:val="24"/>
        </w:rPr>
        <w:t xml:space="preserve"> Nov</w:t>
      </w:r>
      <w:r w:rsidR="002B7C7C">
        <w:rPr>
          <w:rFonts w:cstheme="minorHAnsi"/>
          <w:noProof/>
          <w:sz w:val="20"/>
          <w:szCs w:val="24"/>
        </w:rPr>
        <w:t xml:space="preserve"> </w:t>
      </w:r>
      <w:r w:rsidR="00DB1614" w:rsidRPr="002B43D6">
        <w:rPr>
          <w:rFonts w:cstheme="minorHAnsi"/>
          <w:noProof/>
          <w:sz w:val="20"/>
          <w:szCs w:val="24"/>
        </w:rPr>
        <w:t>3]. Available at: http://www.hps.scot.nhs.uk/giz/lymedisease.aspx</w:t>
      </w:r>
      <w:r w:rsidR="00DB1614">
        <w:rPr>
          <w:rFonts w:cstheme="minorHAnsi"/>
          <w:noProof/>
          <w:sz w:val="20"/>
          <w:szCs w:val="24"/>
        </w:rPr>
        <w:t>.</w:t>
      </w:r>
      <w:r w:rsidRPr="006C51B9">
        <w:rPr>
          <w:rFonts w:ascii="Calibri" w:hAnsi="Calibri" w:cs="Times New Roman"/>
          <w:noProof/>
          <w:sz w:val="20"/>
          <w:szCs w:val="24"/>
        </w:rPr>
        <w:t xml:space="preserve"> </w:t>
      </w:r>
    </w:p>
    <w:p w14:paraId="0370C731" w14:textId="6DB649A6"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10. </w:t>
      </w:r>
      <w:r w:rsidRPr="006C51B9">
        <w:rPr>
          <w:rFonts w:ascii="Calibri" w:hAnsi="Calibri" w:cs="Times New Roman"/>
          <w:noProof/>
          <w:sz w:val="20"/>
          <w:szCs w:val="24"/>
        </w:rPr>
        <w:tab/>
      </w:r>
      <w:r w:rsidR="00DB1614" w:rsidRPr="002B43D6">
        <w:rPr>
          <w:rFonts w:cstheme="minorHAnsi"/>
          <w:noProof/>
          <w:sz w:val="20"/>
          <w:szCs w:val="24"/>
        </w:rPr>
        <w:t xml:space="preserve">Mavin S, Watson EJ, Evans R. Distribution and presentation of Lyme borreliosis in Scotland – analysis of data from a national testing laboratory. J R Coll Physicians Edinb. </w:t>
      </w:r>
      <w:r w:rsidR="00DB1614" w:rsidRPr="002B43D6">
        <w:rPr>
          <w:rFonts w:cstheme="minorHAnsi"/>
          <w:bCs/>
          <w:noProof/>
          <w:sz w:val="20"/>
          <w:szCs w:val="24"/>
        </w:rPr>
        <w:t>2015</w:t>
      </w:r>
      <w:r w:rsidR="00DB1614">
        <w:rPr>
          <w:rFonts w:cstheme="minorHAnsi"/>
          <w:noProof/>
          <w:sz w:val="20"/>
          <w:szCs w:val="24"/>
        </w:rPr>
        <w:t>;45(3)</w:t>
      </w:r>
      <w:r w:rsidR="00DB1614" w:rsidRPr="002B43D6">
        <w:rPr>
          <w:rFonts w:cstheme="minorHAnsi"/>
          <w:noProof/>
          <w:sz w:val="20"/>
          <w:szCs w:val="24"/>
        </w:rPr>
        <w:t>:196–200</w:t>
      </w:r>
      <w:r w:rsidRPr="006C51B9">
        <w:rPr>
          <w:rFonts w:ascii="Calibri" w:hAnsi="Calibri" w:cs="Times New Roman"/>
          <w:noProof/>
          <w:sz w:val="20"/>
          <w:szCs w:val="24"/>
        </w:rPr>
        <w:t xml:space="preserve"> </w:t>
      </w:r>
    </w:p>
    <w:p w14:paraId="1896493E" w14:textId="6F40B4D8"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11. </w:t>
      </w:r>
      <w:r w:rsidRPr="006C51B9">
        <w:rPr>
          <w:rFonts w:ascii="Calibri" w:hAnsi="Calibri" w:cs="Times New Roman"/>
          <w:noProof/>
          <w:sz w:val="20"/>
          <w:szCs w:val="24"/>
        </w:rPr>
        <w:tab/>
      </w:r>
      <w:r w:rsidR="00DB1614" w:rsidRPr="006A4A4F">
        <w:rPr>
          <w:rFonts w:ascii="Calibri" w:hAnsi="Calibri" w:cs="Calibri"/>
          <w:noProof/>
          <w:sz w:val="20"/>
          <w:szCs w:val="24"/>
        </w:rPr>
        <w:t>Tulloch JSP, Semper A, Brooks T, Russell K, Halsby K, Christley R, et al. The demographics and geographic distribution of laboratory-confirmed Lyme disease cases in England and Wales (2013-2016): an ecological study. BMJ Open</w:t>
      </w:r>
      <w:r w:rsidR="00DB1614">
        <w:rPr>
          <w:rFonts w:ascii="Calibri" w:hAnsi="Calibri" w:cs="Calibri"/>
          <w:noProof/>
          <w:sz w:val="20"/>
          <w:szCs w:val="24"/>
        </w:rPr>
        <w:t xml:space="preserve">. 2019; </w:t>
      </w:r>
      <w:r w:rsidR="00DB1614" w:rsidRPr="00E33D97">
        <w:rPr>
          <w:rFonts w:cstheme="minorHAnsi"/>
          <w:color w:val="000000"/>
          <w:sz w:val="20"/>
          <w:szCs w:val="20"/>
          <w:shd w:val="clear" w:color="auto" w:fill="FFFFFF"/>
        </w:rPr>
        <w:t>doi 10.1136/bmjopen-2018-028064</w:t>
      </w:r>
      <w:r w:rsidRPr="006C51B9">
        <w:rPr>
          <w:rFonts w:ascii="Calibri" w:hAnsi="Calibri" w:cs="Times New Roman"/>
          <w:noProof/>
          <w:sz w:val="20"/>
          <w:szCs w:val="24"/>
        </w:rPr>
        <w:t xml:space="preserve"> </w:t>
      </w:r>
    </w:p>
    <w:p w14:paraId="588489F7" w14:textId="08A02AA8"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12. </w:t>
      </w:r>
      <w:r w:rsidRPr="006C51B9">
        <w:rPr>
          <w:rFonts w:ascii="Calibri" w:hAnsi="Calibri" w:cs="Times New Roman"/>
          <w:noProof/>
          <w:sz w:val="20"/>
          <w:szCs w:val="24"/>
        </w:rPr>
        <w:tab/>
      </w:r>
      <w:r w:rsidR="00DB1614" w:rsidRPr="002B43D6">
        <w:rPr>
          <w:rFonts w:cstheme="minorHAnsi"/>
          <w:noProof/>
          <w:sz w:val="20"/>
          <w:szCs w:val="24"/>
        </w:rPr>
        <w:t xml:space="preserve">Sykes RA, Makiello P. An estimate of Lyme borreliosis incidence in Western Europe. J Public Health (Oxf). </w:t>
      </w:r>
      <w:r w:rsidR="00DB1614" w:rsidRPr="002B43D6">
        <w:rPr>
          <w:rFonts w:cstheme="minorHAnsi"/>
          <w:bCs/>
          <w:noProof/>
          <w:sz w:val="20"/>
          <w:szCs w:val="24"/>
        </w:rPr>
        <w:t>2017</w:t>
      </w:r>
      <w:r w:rsidR="00144489">
        <w:rPr>
          <w:rFonts w:cstheme="minorHAnsi"/>
          <w:noProof/>
          <w:sz w:val="20"/>
          <w:szCs w:val="24"/>
        </w:rPr>
        <w:t>;39(1)</w:t>
      </w:r>
      <w:r w:rsidR="00DB1614" w:rsidRPr="002B43D6">
        <w:rPr>
          <w:rFonts w:cstheme="minorHAnsi"/>
          <w:noProof/>
          <w:sz w:val="20"/>
          <w:szCs w:val="24"/>
        </w:rPr>
        <w:t>:74-81</w:t>
      </w:r>
      <w:r w:rsidRPr="006C51B9">
        <w:rPr>
          <w:rFonts w:ascii="Calibri" w:hAnsi="Calibri" w:cs="Times New Roman"/>
          <w:noProof/>
          <w:sz w:val="20"/>
          <w:szCs w:val="24"/>
        </w:rPr>
        <w:t xml:space="preserve"> </w:t>
      </w:r>
    </w:p>
    <w:p w14:paraId="6FADBCA4" w14:textId="6E50AEFF"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13. </w:t>
      </w:r>
      <w:r w:rsidRPr="006C51B9">
        <w:rPr>
          <w:rFonts w:ascii="Calibri" w:hAnsi="Calibri" w:cs="Times New Roman"/>
          <w:noProof/>
          <w:sz w:val="20"/>
          <w:szCs w:val="24"/>
        </w:rPr>
        <w:tab/>
      </w:r>
      <w:r w:rsidR="00DB1614" w:rsidRPr="002B43D6">
        <w:rPr>
          <w:rFonts w:cstheme="minorHAnsi"/>
          <w:noProof/>
          <w:sz w:val="20"/>
          <w:szCs w:val="24"/>
        </w:rPr>
        <w:t>Nelson CA, Saha S, Kugeler KJ, Delorey MJ, Shankar MB, Hinckley AF, et al. Incidence of clinician-diagnosed Lyme disease, United States, 2005-2010. Emerg Infect Dis. 2015;21(9):1625-31</w:t>
      </w:r>
      <w:r w:rsidRPr="006C51B9">
        <w:rPr>
          <w:rFonts w:ascii="Calibri" w:hAnsi="Calibri" w:cs="Times New Roman"/>
          <w:noProof/>
          <w:sz w:val="20"/>
          <w:szCs w:val="24"/>
        </w:rPr>
        <w:t xml:space="preserve"> </w:t>
      </w:r>
    </w:p>
    <w:p w14:paraId="772ADFB4" w14:textId="57425790"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14. </w:t>
      </w:r>
      <w:r w:rsidRPr="006C51B9">
        <w:rPr>
          <w:rFonts w:ascii="Calibri" w:hAnsi="Calibri" w:cs="Times New Roman"/>
          <w:noProof/>
          <w:sz w:val="20"/>
          <w:szCs w:val="24"/>
        </w:rPr>
        <w:tab/>
      </w:r>
      <w:r w:rsidR="00DB1614" w:rsidRPr="002B43D6">
        <w:rPr>
          <w:rFonts w:cstheme="minorHAnsi"/>
          <w:noProof/>
          <w:sz w:val="20"/>
          <w:szCs w:val="24"/>
        </w:rPr>
        <w:t>Vandenesch A, Turbelin C, Couturier E, Arena C, Jaulhac B, Ferquel E, et al. Incidence and hospitalisation rates of Lyme borreliosis, France, 2004 to 2012. Euro Surveill. 2014;19(34):20883</w:t>
      </w:r>
      <w:r w:rsidRPr="006C51B9">
        <w:rPr>
          <w:rFonts w:ascii="Calibri" w:hAnsi="Calibri" w:cs="Times New Roman"/>
          <w:noProof/>
          <w:sz w:val="20"/>
          <w:szCs w:val="24"/>
        </w:rPr>
        <w:t xml:space="preserve"> </w:t>
      </w:r>
    </w:p>
    <w:p w14:paraId="42D4ED9C" w14:textId="52E63EBD"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15. </w:t>
      </w:r>
      <w:r w:rsidRPr="006C51B9">
        <w:rPr>
          <w:rFonts w:ascii="Calibri" w:hAnsi="Calibri" w:cs="Times New Roman"/>
          <w:noProof/>
          <w:sz w:val="20"/>
          <w:szCs w:val="24"/>
        </w:rPr>
        <w:tab/>
      </w:r>
      <w:r w:rsidR="00DB1614" w:rsidRPr="002B43D6">
        <w:rPr>
          <w:rFonts w:cstheme="minorHAnsi"/>
          <w:noProof/>
          <w:sz w:val="20"/>
          <w:szCs w:val="24"/>
        </w:rPr>
        <w:t xml:space="preserve">Sajanti E, Virtanen M, Helve O, Kuusi M, Lyytikäinen O, Hytönen, et al. Lyme borreliosis in Finland, 1995-2014. Emerg Infect Dis. </w:t>
      </w:r>
      <w:r w:rsidR="00DB1614" w:rsidRPr="002B43D6">
        <w:rPr>
          <w:rFonts w:cstheme="minorHAnsi"/>
          <w:bCs/>
          <w:noProof/>
          <w:sz w:val="20"/>
          <w:szCs w:val="24"/>
        </w:rPr>
        <w:t>2017</w:t>
      </w:r>
      <w:r w:rsidR="00DB1614">
        <w:rPr>
          <w:rFonts w:cstheme="minorHAnsi"/>
          <w:noProof/>
          <w:sz w:val="20"/>
          <w:szCs w:val="24"/>
        </w:rPr>
        <w:t>; 23(8):1282–1288</w:t>
      </w:r>
      <w:r w:rsidRPr="006C51B9">
        <w:rPr>
          <w:rFonts w:ascii="Calibri" w:hAnsi="Calibri" w:cs="Times New Roman"/>
          <w:noProof/>
          <w:sz w:val="20"/>
          <w:szCs w:val="24"/>
        </w:rPr>
        <w:t xml:space="preserve"> </w:t>
      </w:r>
    </w:p>
    <w:p w14:paraId="7DAC3ED4" w14:textId="0F502CEF"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16. </w:t>
      </w:r>
      <w:r w:rsidRPr="006C51B9">
        <w:rPr>
          <w:rFonts w:ascii="Calibri" w:hAnsi="Calibri" w:cs="Times New Roman"/>
          <w:noProof/>
          <w:sz w:val="20"/>
          <w:szCs w:val="24"/>
        </w:rPr>
        <w:tab/>
      </w:r>
      <w:r w:rsidR="00DB1614" w:rsidRPr="002B43D6">
        <w:rPr>
          <w:rFonts w:cstheme="minorHAnsi"/>
          <w:noProof/>
          <w:sz w:val="20"/>
          <w:szCs w:val="24"/>
        </w:rPr>
        <w:t xml:space="preserve">Eliassen KE, Berild D, Reiso H, Grude N, Christophersen KS, Finckehagen C, et al. Incidence and antibiotic treatment of erythema migrans in Norway 2005–2009. Ticks Tick Borne Dis. </w:t>
      </w:r>
      <w:r w:rsidR="00DB1614" w:rsidRPr="002B43D6">
        <w:rPr>
          <w:rFonts w:cstheme="minorHAnsi"/>
          <w:bCs/>
          <w:noProof/>
          <w:sz w:val="20"/>
          <w:szCs w:val="24"/>
        </w:rPr>
        <w:t>2016</w:t>
      </w:r>
      <w:r w:rsidR="00144489">
        <w:rPr>
          <w:rFonts w:cstheme="minorHAnsi"/>
          <w:noProof/>
          <w:sz w:val="20"/>
          <w:szCs w:val="24"/>
        </w:rPr>
        <w:t>;8(1)</w:t>
      </w:r>
      <w:r w:rsidR="00DB1614">
        <w:rPr>
          <w:rFonts w:cstheme="minorHAnsi"/>
          <w:noProof/>
          <w:sz w:val="20"/>
          <w:szCs w:val="24"/>
        </w:rPr>
        <w:t>:1–8</w:t>
      </w:r>
    </w:p>
    <w:p w14:paraId="53F33DF4" w14:textId="0418D2F8"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17. </w:t>
      </w:r>
      <w:r w:rsidRPr="006C51B9">
        <w:rPr>
          <w:rFonts w:ascii="Calibri" w:hAnsi="Calibri" w:cs="Times New Roman"/>
          <w:noProof/>
          <w:sz w:val="20"/>
          <w:szCs w:val="24"/>
        </w:rPr>
        <w:tab/>
      </w:r>
      <w:r w:rsidR="00DB1614" w:rsidRPr="002B43D6">
        <w:rPr>
          <w:rFonts w:cstheme="minorHAnsi"/>
          <w:noProof/>
          <w:sz w:val="20"/>
          <w:szCs w:val="24"/>
        </w:rPr>
        <w:t xml:space="preserve">van Den Wijngaard CC, Hofhuis A, Wong A, Harms MG, de Wit GA, Lugnér AK, et al. The cost of Lyme borreliosis. Eur J Public Health. </w:t>
      </w:r>
      <w:r w:rsidR="00DB1614" w:rsidRPr="002B43D6">
        <w:rPr>
          <w:rFonts w:cstheme="minorHAnsi"/>
          <w:bCs/>
          <w:noProof/>
          <w:sz w:val="20"/>
          <w:szCs w:val="24"/>
        </w:rPr>
        <w:t>2017</w:t>
      </w:r>
      <w:r w:rsidR="00DB1614" w:rsidRPr="002B43D6">
        <w:rPr>
          <w:rFonts w:cstheme="minorHAnsi"/>
          <w:noProof/>
          <w:sz w:val="20"/>
          <w:szCs w:val="24"/>
        </w:rPr>
        <w:t>; 27(3):538–547</w:t>
      </w:r>
      <w:r w:rsidRPr="006C51B9">
        <w:rPr>
          <w:rFonts w:ascii="Calibri" w:hAnsi="Calibri" w:cs="Times New Roman"/>
          <w:noProof/>
          <w:sz w:val="20"/>
          <w:szCs w:val="24"/>
        </w:rPr>
        <w:t xml:space="preserve"> </w:t>
      </w:r>
    </w:p>
    <w:p w14:paraId="359CAC0F" w14:textId="73A1FDBF"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18. </w:t>
      </w:r>
      <w:r w:rsidRPr="006C51B9">
        <w:rPr>
          <w:rFonts w:ascii="Calibri" w:hAnsi="Calibri" w:cs="Times New Roman"/>
          <w:noProof/>
          <w:sz w:val="20"/>
          <w:szCs w:val="24"/>
        </w:rPr>
        <w:tab/>
      </w:r>
      <w:r w:rsidR="00DB1614" w:rsidRPr="002B43D6">
        <w:rPr>
          <w:rFonts w:cstheme="minorHAnsi"/>
          <w:noProof/>
          <w:sz w:val="20"/>
          <w:szCs w:val="24"/>
        </w:rPr>
        <w:t>Benson T. The history of the Read Codes: The inaugural James Read memorial lecture 2011. Inform Prim Care. 2012;19(3):173-182</w:t>
      </w:r>
      <w:r w:rsidRPr="006C51B9">
        <w:rPr>
          <w:rFonts w:ascii="Calibri" w:hAnsi="Calibri" w:cs="Times New Roman"/>
          <w:noProof/>
          <w:sz w:val="20"/>
          <w:szCs w:val="24"/>
        </w:rPr>
        <w:t xml:space="preserve"> </w:t>
      </w:r>
    </w:p>
    <w:p w14:paraId="56817CEF" w14:textId="1DE4DA6C"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lastRenderedPageBreak/>
        <w:t xml:space="preserve">19. </w:t>
      </w:r>
      <w:r w:rsidRPr="006C51B9">
        <w:rPr>
          <w:rFonts w:ascii="Calibri" w:hAnsi="Calibri" w:cs="Times New Roman"/>
          <w:noProof/>
          <w:sz w:val="20"/>
          <w:szCs w:val="24"/>
        </w:rPr>
        <w:tab/>
      </w:r>
      <w:r w:rsidR="002B7C7C">
        <w:rPr>
          <w:rFonts w:ascii="Calibri" w:hAnsi="Calibri" w:cs="Times New Roman"/>
          <w:noProof/>
          <w:sz w:val="20"/>
          <w:szCs w:val="24"/>
        </w:rPr>
        <w:t>The Health Improvement Network [Internet]</w:t>
      </w:r>
      <w:r w:rsidRPr="006C51B9">
        <w:rPr>
          <w:rFonts w:ascii="Calibri" w:hAnsi="Calibri" w:cs="Times New Roman"/>
          <w:noProof/>
          <w:sz w:val="20"/>
          <w:szCs w:val="24"/>
        </w:rPr>
        <w:t xml:space="preserve">. </w:t>
      </w:r>
      <w:r w:rsidR="002B7C7C">
        <w:rPr>
          <w:rFonts w:ascii="Calibri" w:hAnsi="Calibri" w:cs="Times New Roman"/>
          <w:noProof/>
          <w:sz w:val="20"/>
          <w:szCs w:val="24"/>
        </w:rPr>
        <w:t>THIN The Health Improvement Network;2020 [cited 2020 Feb 26]</w:t>
      </w:r>
      <w:r w:rsidRPr="006C51B9">
        <w:rPr>
          <w:rFonts w:ascii="Calibri" w:hAnsi="Calibri" w:cs="Times New Roman"/>
          <w:noProof/>
          <w:sz w:val="20"/>
          <w:szCs w:val="24"/>
        </w:rPr>
        <w:t xml:space="preserve">. Available </w:t>
      </w:r>
      <w:r w:rsidR="002B7C7C">
        <w:rPr>
          <w:rFonts w:ascii="Calibri" w:hAnsi="Calibri" w:cs="Times New Roman"/>
          <w:noProof/>
          <w:sz w:val="20"/>
          <w:szCs w:val="24"/>
        </w:rPr>
        <w:t>at</w:t>
      </w:r>
      <w:r w:rsidRPr="006C51B9">
        <w:rPr>
          <w:rFonts w:ascii="Calibri" w:hAnsi="Calibri" w:cs="Times New Roman"/>
          <w:noProof/>
          <w:sz w:val="20"/>
          <w:szCs w:val="24"/>
        </w:rPr>
        <w:t>: https://www.the-health-improvement-network.com/</w:t>
      </w:r>
    </w:p>
    <w:p w14:paraId="40A2D396" w14:textId="0EB5356E"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20. </w:t>
      </w:r>
      <w:r w:rsidRPr="006C51B9">
        <w:rPr>
          <w:rFonts w:ascii="Calibri" w:hAnsi="Calibri" w:cs="Times New Roman"/>
          <w:noProof/>
          <w:sz w:val="20"/>
          <w:szCs w:val="24"/>
        </w:rPr>
        <w:tab/>
      </w:r>
      <w:r w:rsidR="002B7C7C" w:rsidRPr="002B43D6">
        <w:rPr>
          <w:rFonts w:cstheme="minorHAnsi"/>
          <w:noProof/>
          <w:sz w:val="20"/>
          <w:szCs w:val="24"/>
        </w:rPr>
        <w:t xml:space="preserve">Blak BT, Thompson M, Dattani H, Bourke A. Generalisability of The Health Improvement Network (THIN) database: demographics, chronic disease prevalence and mortality rates. Inform Prim Care. </w:t>
      </w:r>
      <w:r w:rsidR="002B7C7C" w:rsidRPr="002B43D6">
        <w:rPr>
          <w:rFonts w:cstheme="minorHAnsi"/>
          <w:bCs/>
          <w:noProof/>
          <w:sz w:val="20"/>
          <w:szCs w:val="24"/>
        </w:rPr>
        <w:t>2011</w:t>
      </w:r>
      <w:r w:rsidR="002B7C7C">
        <w:rPr>
          <w:rFonts w:cstheme="minorHAnsi"/>
          <w:noProof/>
          <w:sz w:val="20"/>
          <w:szCs w:val="24"/>
        </w:rPr>
        <w:t>; 19(4):251–255</w:t>
      </w:r>
      <w:r w:rsidRPr="006C51B9">
        <w:rPr>
          <w:rFonts w:ascii="Calibri" w:hAnsi="Calibri" w:cs="Times New Roman"/>
          <w:noProof/>
          <w:sz w:val="20"/>
          <w:szCs w:val="24"/>
        </w:rPr>
        <w:t xml:space="preserve">. </w:t>
      </w:r>
    </w:p>
    <w:p w14:paraId="419BF783" w14:textId="1CF85564" w:rsidR="006C51B9" w:rsidRPr="006C51B9" w:rsidRDefault="002B7C7C" w:rsidP="006C51B9">
      <w:pPr>
        <w:widowControl w:val="0"/>
        <w:autoSpaceDE w:val="0"/>
        <w:autoSpaceDN w:val="0"/>
        <w:adjustRightInd w:val="0"/>
        <w:spacing w:line="480" w:lineRule="auto"/>
        <w:ind w:left="640" w:hanging="640"/>
        <w:rPr>
          <w:rFonts w:ascii="Calibri" w:hAnsi="Calibri" w:cs="Times New Roman"/>
          <w:noProof/>
          <w:sz w:val="20"/>
          <w:szCs w:val="24"/>
        </w:rPr>
      </w:pPr>
      <w:r>
        <w:rPr>
          <w:rFonts w:ascii="Calibri" w:hAnsi="Calibri" w:cs="Times New Roman"/>
          <w:noProof/>
          <w:sz w:val="20"/>
          <w:szCs w:val="24"/>
        </w:rPr>
        <w:t xml:space="preserve">21. </w:t>
      </w:r>
      <w:r>
        <w:rPr>
          <w:rFonts w:ascii="Calibri" w:hAnsi="Calibri" w:cs="Times New Roman"/>
          <w:noProof/>
          <w:sz w:val="20"/>
          <w:szCs w:val="24"/>
        </w:rPr>
        <w:tab/>
        <w:t>Kontopantelis E,</w:t>
      </w:r>
      <w:r w:rsidR="006C51B9" w:rsidRPr="006C51B9">
        <w:rPr>
          <w:rFonts w:ascii="Calibri" w:hAnsi="Calibri" w:cs="Times New Roman"/>
          <w:noProof/>
          <w:sz w:val="20"/>
          <w:szCs w:val="24"/>
        </w:rPr>
        <w:t xml:space="preserve"> Stevens R</w:t>
      </w:r>
      <w:r>
        <w:rPr>
          <w:rFonts w:ascii="Calibri" w:hAnsi="Calibri" w:cs="Times New Roman"/>
          <w:noProof/>
          <w:sz w:val="20"/>
          <w:szCs w:val="24"/>
        </w:rPr>
        <w:t>J</w:t>
      </w:r>
      <w:r w:rsidR="006C51B9" w:rsidRPr="006C51B9">
        <w:rPr>
          <w:rFonts w:ascii="Calibri" w:hAnsi="Calibri" w:cs="Times New Roman"/>
          <w:noProof/>
          <w:sz w:val="20"/>
          <w:szCs w:val="24"/>
        </w:rPr>
        <w:t>, Helms P</w:t>
      </w:r>
      <w:r>
        <w:rPr>
          <w:rFonts w:ascii="Calibri" w:hAnsi="Calibri" w:cs="Times New Roman"/>
          <w:noProof/>
          <w:sz w:val="20"/>
          <w:szCs w:val="24"/>
        </w:rPr>
        <w:t>J</w:t>
      </w:r>
      <w:r w:rsidR="006C51B9" w:rsidRPr="006C51B9">
        <w:rPr>
          <w:rFonts w:ascii="Calibri" w:hAnsi="Calibri" w:cs="Times New Roman"/>
          <w:noProof/>
          <w:sz w:val="20"/>
          <w:szCs w:val="24"/>
        </w:rPr>
        <w:t>, Edwards D, Doran T</w:t>
      </w:r>
      <w:r>
        <w:rPr>
          <w:rFonts w:ascii="Calibri" w:hAnsi="Calibri" w:cs="Times New Roman"/>
          <w:noProof/>
          <w:sz w:val="20"/>
          <w:szCs w:val="24"/>
        </w:rPr>
        <w:t>, Ashcroft DM</w:t>
      </w:r>
      <w:r w:rsidR="006C51B9" w:rsidRPr="006C51B9">
        <w:rPr>
          <w:rFonts w:ascii="Calibri" w:hAnsi="Calibri" w:cs="Times New Roman"/>
          <w:noProof/>
          <w:sz w:val="20"/>
          <w:szCs w:val="24"/>
        </w:rPr>
        <w:t>. Spatial distribution of clinical computer systems in primary care in England in 2016 and implications for primary care electronic medical record databases: a cross sectional population study. BMJ Open</w:t>
      </w:r>
      <w:r>
        <w:rPr>
          <w:rFonts w:ascii="Calibri" w:hAnsi="Calibri" w:cs="Times New Roman"/>
          <w:noProof/>
          <w:sz w:val="20"/>
          <w:szCs w:val="24"/>
        </w:rPr>
        <w:t>. 2018;8(2):e020738</w:t>
      </w:r>
      <w:r w:rsidR="006C51B9" w:rsidRPr="006C51B9">
        <w:rPr>
          <w:rFonts w:ascii="Calibri" w:hAnsi="Calibri" w:cs="Times New Roman"/>
          <w:noProof/>
          <w:sz w:val="20"/>
          <w:szCs w:val="24"/>
        </w:rPr>
        <w:t xml:space="preserve"> </w:t>
      </w:r>
    </w:p>
    <w:p w14:paraId="17732426" w14:textId="454B97D1"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22. </w:t>
      </w:r>
      <w:r w:rsidRPr="006C51B9">
        <w:rPr>
          <w:rFonts w:ascii="Calibri" w:hAnsi="Calibri" w:cs="Times New Roman"/>
          <w:noProof/>
          <w:sz w:val="20"/>
          <w:szCs w:val="24"/>
        </w:rPr>
        <w:tab/>
      </w:r>
      <w:r w:rsidR="00AA69BB" w:rsidRPr="002B43D6">
        <w:rPr>
          <w:rFonts w:cstheme="minorHAnsi"/>
          <w:noProof/>
          <w:sz w:val="20"/>
          <w:szCs w:val="24"/>
        </w:rPr>
        <w:t>Pham T, Tim M, Petersen I. Ethnicity recording in primary care: multiple imputation of missing data in ethnicity recording using The Health Improvement Network (THIN) database. 2015. United Kingdom Stata Users' Group Meetings 2015 07. Available at: http://repec.org/usug2015/pham_uksug15.pd</w:t>
      </w:r>
    </w:p>
    <w:p w14:paraId="373E8B30" w14:textId="036D54A8"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23. </w:t>
      </w:r>
      <w:r w:rsidRPr="006C51B9">
        <w:rPr>
          <w:rFonts w:ascii="Calibri" w:hAnsi="Calibri" w:cs="Times New Roman"/>
          <w:noProof/>
          <w:sz w:val="20"/>
          <w:szCs w:val="24"/>
        </w:rPr>
        <w:tab/>
      </w:r>
      <w:r w:rsidR="00AA69BB" w:rsidRPr="002B43D6">
        <w:rPr>
          <w:rFonts w:cstheme="minorHAnsi"/>
          <w:noProof/>
          <w:sz w:val="20"/>
          <w:szCs w:val="24"/>
        </w:rPr>
        <w:t>Office for National Statistics [Internet]. Ethnicity and national identity in England and Wales: 2011. 2012 [cited 201</w:t>
      </w:r>
      <w:r w:rsidR="00AA69BB">
        <w:rPr>
          <w:rFonts w:cstheme="minorHAnsi"/>
          <w:noProof/>
          <w:sz w:val="20"/>
          <w:szCs w:val="24"/>
        </w:rPr>
        <w:t>8</w:t>
      </w:r>
      <w:r w:rsidR="00AA69BB" w:rsidRPr="002B43D6">
        <w:rPr>
          <w:rFonts w:cstheme="minorHAnsi"/>
          <w:noProof/>
          <w:sz w:val="20"/>
          <w:szCs w:val="24"/>
        </w:rPr>
        <w:t xml:space="preserve"> Dec 15]. Available at: https://www.ons.gov.uk/peoplepopulationandcommunity/culturalidentity/ethnicity/articles/ethnicityandnationalidentityinenglandandwales/2012-12-11</w:t>
      </w:r>
    </w:p>
    <w:p w14:paraId="756E91EB" w14:textId="53A3EEB3"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24. </w:t>
      </w:r>
      <w:r w:rsidRPr="006C51B9">
        <w:rPr>
          <w:rFonts w:ascii="Calibri" w:hAnsi="Calibri" w:cs="Times New Roman"/>
          <w:noProof/>
          <w:sz w:val="20"/>
          <w:szCs w:val="24"/>
        </w:rPr>
        <w:tab/>
      </w:r>
      <w:r w:rsidR="00AA69BB" w:rsidRPr="002B43D6">
        <w:rPr>
          <w:rFonts w:cstheme="minorHAnsi"/>
          <w:noProof/>
          <w:sz w:val="20"/>
          <w:szCs w:val="24"/>
        </w:rPr>
        <w:t>Office for National Statistics [Internet]. UK censuses data. 2017[cited 201</w:t>
      </w:r>
      <w:r w:rsidR="00AA69BB">
        <w:rPr>
          <w:rFonts w:cstheme="minorHAnsi"/>
          <w:noProof/>
          <w:sz w:val="20"/>
          <w:szCs w:val="24"/>
        </w:rPr>
        <w:t>8</w:t>
      </w:r>
      <w:r w:rsidR="00AA69BB" w:rsidRPr="002B43D6">
        <w:rPr>
          <w:rFonts w:cstheme="minorHAnsi"/>
          <w:noProof/>
          <w:sz w:val="20"/>
          <w:szCs w:val="24"/>
        </w:rPr>
        <w:t xml:space="preserve"> Dec 20]. Available at: https://www.ons.gov.uk/census/2011census/2011ukcensuses/ukcensusesdata</w:t>
      </w:r>
    </w:p>
    <w:p w14:paraId="2DE0CA46" w14:textId="4CAD492C"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25. </w:t>
      </w:r>
      <w:r w:rsidRPr="006C51B9">
        <w:rPr>
          <w:rFonts w:ascii="Calibri" w:hAnsi="Calibri" w:cs="Times New Roman"/>
          <w:noProof/>
          <w:sz w:val="20"/>
          <w:szCs w:val="24"/>
        </w:rPr>
        <w:tab/>
      </w:r>
      <w:r w:rsidR="00AA69BB">
        <w:rPr>
          <w:rFonts w:ascii="Calibri" w:hAnsi="Calibri" w:cs="Calibri"/>
          <w:noProof/>
          <w:sz w:val="20"/>
          <w:szCs w:val="24"/>
        </w:rPr>
        <w:t>Townsend, P. Deprivation</w:t>
      </w:r>
      <w:r w:rsidR="00AA69BB" w:rsidRPr="00B26A56">
        <w:rPr>
          <w:rFonts w:ascii="Calibri" w:hAnsi="Calibri" w:cs="Calibri"/>
          <w:noProof/>
          <w:sz w:val="20"/>
          <w:szCs w:val="24"/>
        </w:rPr>
        <w:t xml:space="preserve">. </w:t>
      </w:r>
      <w:r w:rsidR="00AA69BB">
        <w:rPr>
          <w:rFonts w:ascii="Calibri" w:hAnsi="Calibri" w:cs="Calibri"/>
          <w:noProof/>
          <w:sz w:val="20"/>
          <w:szCs w:val="24"/>
        </w:rPr>
        <w:t xml:space="preserve">Journal of Social Policy. </w:t>
      </w:r>
      <w:r w:rsidR="00AA69BB" w:rsidRPr="00EC02B0">
        <w:rPr>
          <w:rFonts w:ascii="Calibri" w:hAnsi="Calibri" w:cs="Calibri"/>
          <w:bCs/>
          <w:noProof/>
          <w:sz w:val="20"/>
          <w:szCs w:val="24"/>
        </w:rPr>
        <w:t>2018</w:t>
      </w:r>
      <w:r w:rsidR="00AA69BB" w:rsidRPr="00B26A56">
        <w:rPr>
          <w:rFonts w:ascii="Calibri" w:hAnsi="Calibri" w:cs="Calibri"/>
          <w:noProof/>
          <w:sz w:val="20"/>
          <w:szCs w:val="24"/>
        </w:rPr>
        <w:t>;</w:t>
      </w:r>
      <w:r w:rsidR="00AA69BB">
        <w:rPr>
          <w:rFonts w:ascii="Calibri" w:hAnsi="Calibri" w:cs="Calibri"/>
          <w:noProof/>
          <w:sz w:val="20"/>
          <w:szCs w:val="24"/>
        </w:rPr>
        <w:t xml:space="preserve"> 16(2)</w:t>
      </w:r>
      <w:r w:rsidR="00AA69BB" w:rsidRPr="00B26A56">
        <w:rPr>
          <w:rFonts w:ascii="Calibri" w:hAnsi="Calibri" w:cs="Calibri"/>
          <w:noProof/>
          <w:sz w:val="20"/>
          <w:szCs w:val="24"/>
        </w:rPr>
        <w:t>:125–146</w:t>
      </w:r>
      <w:r w:rsidRPr="006C51B9">
        <w:rPr>
          <w:rFonts w:ascii="Calibri" w:hAnsi="Calibri" w:cs="Times New Roman"/>
          <w:noProof/>
          <w:sz w:val="20"/>
          <w:szCs w:val="24"/>
        </w:rPr>
        <w:t xml:space="preserve"> </w:t>
      </w:r>
    </w:p>
    <w:p w14:paraId="23BCBA78" w14:textId="16F4D445"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26. </w:t>
      </w:r>
      <w:r w:rsidRPr="006C51B9">
        <w:rPr>
          <w:rFonts w:ascii="Calibri" w:hAnsi="Calibri" w:cs="Times New Roman"/>
          <w:noProof/>
          <w:sz w:val="20"/>
          <w:szCs w:val="24"/>
        </w:rPr>
        <w:tab/>
      </w:r>
      <w:r w:rsidR="00AA69BB" w:rsidRPr="002B43D6">
        <w:rPr>
          <w:rFonts w:cstheme="minorHAnsi"/>
          <w:noProof/>
          <w:sz w:val="20"/>
          <w:szCs w:val="24"/>
        </w:rPr>
        <w:t>Office for National Statistics [Internet]. People, population and community. 2017[cited 201</w:t>
      </w:r>
      <w:r w:rsidR="00AA69BB">
        <w:rPr>
          <w:rFonts w:cstheme="minorHAnsi"/>
          <w:noProof/>
          <w:sz w:val="20"/>
          <w:szCs w:val="24"/>
        </w:rPr>
        <w:t>8</w:t>
      </w:r>
      <w:r w:rsidR="00AA69BB" w:rsidRPr="002B43D6">
        <w:rPr>
          <w:rFonts w:cstheme="minorHAnsi"/>
          <w:noProof/>
          <w:sz w:val="20"/>
          <w:szCs w:val="24"/>
        </w:rPr>
        <w:t xml:space="preserve"> Dec 20]. Available at: https://www.ons.gov.uk/peoplepopulationandcommunity</w:t>
      </w:r>
    </w:p>
    <w:p w14:paraId="1A4A5BAC" w14:textId="75992894"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27. </w:t>
      </w:r>
      <w:r w:rsidRPr="006C51B9">
        <w:rPr>
          <w:rFonts w:ascii="Calibri" w:hAnsi="Calibri" w:cs="Times New Roman"/>
          <w:noProof/>
          <w:sz w:val="20"/>
          <w:szCs w:val="24"/>
        </w:rPr>
        <w:tab/>
      </w:r>
      <w:r w:rsidR="00AA69BB" w:rsidRPr="002B43D6">
        <w:rPr>
          <w:rFonts w:cstheme="minorHAnsi"/>
          <w:noProof/>
          <w:sz w:val="20"/>
          <w:szCs w:val="24"/>
        </w:rPr>
        <w:t>INPS. Read Dictionary Changes Q3 2014. 2014. Available at: http://www.inps.co.uk/sites/default/files/Read Q3 2014 Changes.pdf</w:t>
      </w:r>
    </w:p>
    <w:p w14:paraId="31AB934D" w14:textId="77777777"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28. </w:t>
      </w:r>
      <w:r w:rsidRPr="006C51B9">
        <w:rPr>
          <w:rFonts w:ascii="Calibri" w:hAnsi="Calibri" w:cs="Times New Roman"/>
          <w:noProof/>
          <w:sz w:val="20"/>
          <w:szCs w:val="24"/>
        </w:rPr>
        <w:tab/>
        <w:t xml:space="preserve">Nadelman RB, Wormser GP. Reinfection in Patients with Lyme Disease. Clin Infect Dis. 2007;45(8):1032–8. </w:t>
      </w:r>
    </w:p>
    <w:p w14:paraId="1E3EC532" w14:textId="6FF1F0FE"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lastRenderedPageBreak/>
        <w:t xml:space="preserve">29. </w:t>
      </w:r>
      <w:r w:rsidRPr="006C51B9">
        <w:rPr>
          <w:rFonts w:ascii="Calibri" w:hAnsi="Calibri" w:cs="Times New Roman"/>
          <w:noProof/>
          <w:sz w:val="20"/>
          <w:szCs w:val="24"/>
        </w:rPr>
        <w:tab/>
      </w:r>
      <w:r w:rsidR="00AA69BB" w:rsidRPr="006A4A4F">
        <w:rPr>
          <w:rFonts w:ascii="Calibri" w:hAnsi="Calibri" w:cs="Calibri"/>
          <w:noProof/>
          <w:sz w:val="20"/>
          <w:szCs w:val="24"/>
        </w:rPr>
        <w:t>Cairns V, Wallenhorst C, Rietbrock S, Martinez C. The incidence of Lyme disease in the UK, a population-based cohort study. BMJ Open</w:t>
      </w:r>
      <w:r w:rsidR="00AA69BB">
        <w:rPr>
          <w:rFonts w:ascii="Calibri" w:hAnsi="Calibri" w:cs="Calibri"/>
          <w:noProof/>
          <w:sz w:val="20"/>
          <w:szCs w:val="24"/>
        </w:rPr>
        <w:t xml:space="preserve">. 2019; doi </w:t>
      </w:r>
      <w:r w:rsidR="00AA69BB" w:rsidRPr="00052ABE">
        <w:rPr>
          <w:rFonts w:cstheme="minorHAnsi"/>
          <w:color w:val="000000"/>
          <w:sz w:val="20"/>
          <w:szCs w:val="20"/>
          <w:shd w:val="clear" w:color="auto" w:fill="FFFFFF"/>
        </w:rPr>
        <w:t>10.1136/bmjopen-2018-025916</w:t>
      </w:r>
      <w:r w:rsidRPr="006C51B9">
        <w:rPr>
          <w:rFonts w:ascii="Calibri" w:hAnsi="Calibri" w:cs="Times New Roman"/>
          <w:noProof/>
          <w:sz w:val="20"/>
          <w:szCs w:val="24"/>
        </w:rPr>
        <w:t xml:space="preserve"> </w:t>
      </w:r>
    </w:p>
    <w:p w14:paraId="691FC8EE" w14:textId="60EDFCA5"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30. </w:t>
      </w:r>
      <w:r w:rsidRPr="006C51B9">
        <w:rPr>
          <w:rFonts w:ascii="Calibri" w:hAnsi="Calibri" w:cs="Times New Roman"/>
          <w:noProof/>
          <w:sz w:val="20"/>
          <w:szCs w:val="24"/>
        </w:rPr>
        <w:tab/>
      </w:r>
      <w:r w:rsidR="00AA69BB" w:rsidRPr="002B43D6">
        <w:rPr>
          <w:rFonts w:cstheme="minorHAnsi"/>
          <w:noProof/>
          <w:sz w:val="20"/>
          <w:szCs w:val="24"/>
        </w:rPr>
        <w:t xml:space="preserve">Altpeter E, Zimmermann H, Oberreich J, Péter O, Dvoøák C. Tick related diseases in Switzerland, 2008 to 2011. Swiss Med Wkly. </w:t>
      </w:r>
      <w:r w:rsidR="00AA69BB" w:rsidRPr="002B43D6">
        <w:rPr>
          <w:rFonts w:cstheme="minorHAnsi"/>
          <w:bCs/>
          <w:noProof/>
          <w:sz w:val="20"/>
          <w:szCs w:val="24"/>
        </w:rPr>
        <w:t>2013</w:t>
      </w:r>
      <w:r w:rsidR="00AA69BB" w:rsidRPr="002B43D6">
        <w:rPr>
          <w:rFonts w:cstheme="minorHAnsi"/>
          <w:noProof/>
          <w:sz w:val="20"/>
          <w:szCs w:val="24"/>
        </w:rPr>
        <w:t>; 143:w13725</w:t>
      </w:r>
      <w:r w:rsidRPr="006C51B9">
        <w:rPr>
          <w:rFonts w:ascii="Calibri" w:hAnsi="Calibri" w:cs="Times New Roman"/>
          <w:noProof/>
          <w:sz w:val="20"/>
          <w:szCs w:val="24"/>
        </w:rPr>
        <w:t xml:space="preserve"> </w:t>
      </w:r>
    </w:p>
    <w:p w14:paraId="036C5464" w14:textId="65707BE9"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31. </w:t>
      </w:r>
      <w:r w:rsidRPr="006C51B9">
        <w:rPr>
          <w:rFonts w:ascii="Calibri" w:hAnsi="Calibri" w:cs="Times New Roman"/>
          <w:noProof/>
          <w:sz w:val="20"/>
          <w:szCs w:val="24"/>
        </w:rPr>
        <w:tab/>
      </w:r>
      <w:r w:rsidR="00AA69BB" w:rsidRPr="002B43D6">
        <w:rPr>
          <w:rFonts w:cstheme="minorHAnsi"/>
          <w:noProof/>
          <w:sz w:val="20"/>
          <w:szCs w:val="24"/>
        </w:rPr>
        <w:t xml:space="preserve">Hofhuis A, Harms M, Bennema S, van den Wijngaard CC, van Pelt W. Physician reported incidence of early and late Lyme borreliosis. Parasit Vectors. </w:t>
      </w:r>
      <w:r w:rsidR="00AA69BB" w:rsidRPr="002B43D6">
        <w:rPr>
          <w:rFonts w:cstheme="minorHAnsi"/>
          <w:bCs/>
          <w:noProof/>
          <w:sz w:val="20"/>
          <w:szCs w:val="24"/>
        </w:rPr>
        <w:t>2015</w:t>
      </w:r>
      <w:r w:rsidR="00AA69BB" w:rsidRPr="002B43D6">
        <w:rPr>
          <w:rFonts w:cstheme="minorHAnsi"/>
          <w:noProof/>
          <w:sz w:val="20"/>
          <w:szCs w:val="24"/>
        </w:rPr>
        <w:t>; 8:161</w:t>
      </w:r>
    </w:p>
    <w:p w14:paraId="6DEE3274" w14:textId="0AE39F16"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32. </w:t>
      </w:r>
      <w:r w:rsidRPr="006C51B9">
        <w:rPr>
          <w:rFonts w:ascii="Calibri" w:hAnsi="Calibri" w:cs="Times New Roman"/>
          <w:noProof/>
          <w:sz w:val="20"/>
          <w:szCs w:val="24"/>
        </w:rPr>
        <w:tab/>
      </w:r>
      <w:r w:rsidR="00AA69BB" w:rsidRPr="002B43D6">
        <w:rPr>
          <w:rFonts w:cstheme="minorHAnsi"/>
          <w:noProof/>
          <w:sz w:val="20"/>
          <w:szCs w:val="24"/>
        </w:rPr>
        <w:t xml:space="preserve">Hansford KM, Fonville M, Jahfari S, Sprong H, Medlock JM. Borrelia miyamotoi in host-seeking Ixodes ricinus ticks in England. Epidemiol Infect. </w:t>
      </w:r>
      <w:r w:rsidR="00AA69BB" w:rsidRPr="002B43D6">
        <w:rPr>
          <w:rFonts w:cstheme="minorHAnsi"/>
          <w:bCs/>
          <w:noProof/>
          <w:sz w:val="20"/>
          <w:szCs w:val="24"/>
        </w:rPr>
        <w:t>2015</w:t>
      </w:r>
      <w:r w:rsidR="00AA69BB" w:rsidRPr="002B43D6">
        <w:rPr>
          <w:rFonts w:cstheme="minorHAnsi"/>
          <w:noProof/>
          <w:sz w:val="20"/>
          <w:szCs w:val="24"/>
        </w:rPr>
        <w:t>; 143(5):1079–1087</w:t>
      </w:r>
    </w:p>
    <w:p w14:paraId="661279D5" w14:textId="16AEB736"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33. </w:t>
      </w:r>
      <w:r w:rsidRPr="006C51B9">
        <w:rPr>
          <w:rFonts w:ascii="Calibri" w:hAnsi="Calibri" w:cs="Times New Roman"/>
          <w:noProof/>
          <w:sz w:val="20"/>
          <w:szCs w:val="24"/>
        </w:rPr>
        <w:tab/>
      </w:r>
      <w:r w:rsidR="00AA69BB" w:rsidRPr="002B43D6">
        <w:rPr>
          <w:rFonts w:cstheme="minorHAnsi"/>
          <w:noProof/>
          <w:sz w:val="20"/>
          <w:szCs w:val="24"/>
        </w:rPr>
        <w:t>Bettridge J, Renard M, Zhao F, Bown KJ, Birtles RJ. Distribution of Borrelia burgdorferi sensu lato in Ixodes ricinus populations Across Central Britain. Vector Borne Zoonotic Dis. 2013;13(3):139-46</w:t>
      </w:r>
      <w:r w:rsidRPr="006C51B9">
        <w:rPr>
          <w:rFonts w:ascii="Calibri" w:hAnsi="Calibri" w:cs="Times New Roman"/>
          <w:noProof/>
          <w:sz w:val="20"/>
          <w:szCs w:val="24"/>
        </w:rPr>
        <w:t xml:space="preserve"> </w:t>
      </w:r>
    </w:p>
    <w:p w14:paraId="6DD8DD95" w14:textId="64BE09A6"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34. </w:t>
      </w:r>
      <w:r w:rsidRPr="006C51B9">
        <w:rPr>
          <w:rFonts w:ascii="Calibri" w:hAnsi="Calibri" w:cs="Times New Roman"/>
          <w:noProof/>
          <w:sz w:val="20"/>
          <w:szCs w:val="24"/>
        </w:rPr>
        <w:tab/>
      </w:r>
      <w:r w:rsidR="00AA69BB" w:rsidRPr="002B43D6">
        <w:rPr>
          <w:rFonts w:cstheme="minorHAnsi"/>
          <w:noProof/>
          <w:sz w:val="20"/>
          <w:szCs w:val="24"/>
        </w:rPr>
        <w:t>Hall JL, Alpers K, Bown KJ, Martin SJ, Birtles RJ. Use of mass-participation outdoor events to assess human exposure to tickborne pathogens. Emerg Infect Dis. 2017; 23(3):463-467</w:t>
      </w:r>
      <w:r w:rsidRPr="006C51B9">
        <w:rPr>
          <w:rFonts w:ascii="Calibri" w:hAnsi="Calibri" w:cs="Times New Roman"/>
          <w:noProof/>
          <w:sz w:val="20"/>
          <w:szCs w:val="24"/>
        </w:rPr>
        <w:t xml:space="preserve"> </w:t>
      </w:r>
    </w:p>
    <w:p w14:paraId="33B98AFA" w14:textId="332E4E50"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35. </w:t>
      </w:r>
      <w:r w:rsidRPr="006C51B9">
        <w:rPr>
          <w:rFonts w:ascii="Calibri" w:hAnsi="Calibri" w:cs="Times New Roman"/>
          <w:noProof/>
          <w:sz w:val="20"/>
          <w:szCs w:val="24"/>
        </w:rPr>
        <w:tab/>
      </w:r>
      <w:r w:rsidR="00AA69BB" w:rsidRPr="002B43D6">
        <w:rPr>
          <w:rFonts w:cstheme="minorHAnsi"/>
          <w:noProof/>
          <w:sz w:val="20"/>
          <w:szCs w:val="24"/>
        </w:rPr>
        <w:t>Rauter C, Hartung T. Prevalence of Borrelia burgdorferi sensu lato genospecies in Ixodes ricinus ticks in Europe: a metaanalysis. Appl Environ Microbiol. 2005;71(11):7203-16</w:t>
      </w:r>
    </w:p>
    <w:p w14:paraId="70155762" w14:textId="7DA41AA4"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36. </w:t>
      </w:r>
      <w:r w:rsidRPr="006C51B9">
        <w:rPr>
          <w:rFonts w:ascii="Calibri" w:hAnsi="Calibri" w:cs="Times New Roman"/>
          <w:noProof/>
          <w:sz w:val="20"/>
          <w:szCs w:val="24"/>
        </w:rPr>
        <w:tab/>
      </w:r>
      <w:r w:rsidR="00AA69BB" w:rsidRPr="002B43D6">
        <w:rPr>
          <w:rFonts w:cstheme="minorHAnsi"/>
          <w:noProof/>
          <w:sz w:val="20"/>
          <w:szCs w:val="24"/>
        </w:rPr>
        <w:t>Evans R, Mavin S, Ho-Yen DO. Audit of the laboratory diagnosis of Lyme disease in Scotland. J Med Microbiol. 2005;54:1139-41</w:t>
      </w:r>
    </w:p>
    <w:p w14:paraId="7DC63E23" w14:textId="0CF08894"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37. </w:t>
      </w:r>
      <w:r w:rsidRPr="006C51B9">
        <w:rPr>
          <w:rFonts w:ascii="Calibri" w:hAnsi="Calibri" w:cs="Times New Roman"/>
          <w:noProof/>
          <w:sz w:val="20"/>
          <w:szCs w:val="24"/>
        </w:rPr>
        <w:tab/>
      </w:r>
      <w:r w:rsidR="00AA69BB" w:rsidRPr="002B43D6">
        <w:rPr>
          <w:rFonts w:cstheme="minorHAnsi"/>
          <w:noProof/>
          <w:sz w:val="20"/>
          <w:szCs w:val="24"/>
        </w:rPr>
        <w:t>Smith R, O’Connell S, Palmer S. Lyme disease surveillance in England and Wales, 1986 1998. Emerg Infect Dis. 2000;6(4):404-7</w:t>
      </w:r>
    </w:p>
    <w:p w14:paraId="394AC884" w14:textId="33BCD54B"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38. </w:t>
      </w:r>
      <w:r w:rsidRPr="006C51B9">
        <w:rPr>
          <w:rFonts w:ascii="Calibri" w:hAnsi="Calibri" w:cs="Times New Roman"/>
          <w:noProof/>
          <w:sz w:val="20"/>
          <w:szCs w:val="24"/>
        </w:rPr>
        <w:tab/>
      </w:r>
      <w:r w:rsidR="00AA69BB" w:rsidRPr="006A4A4F">
        <w:rPr>
          <w:rFonts w:ascii="Calibri" w:hAnsi="Calibri" w:cs="Calibri"/>
          <w:noProof/>
          <w:sz w:val="20"/>
          <w:szCs w:val="24"/>
        </w:rPr>
        <w:t>Tulloch JSP, Decraene V, Christley R, Radford AD, Warner J, Vivancos R. Characteristics and patient pathways of Lyme disease patients: a retrospective analysis of hospital episode data in England and Wales (1998 - 2015). BMC Public Health. 2019;</w:t>
      </w:r>
      <w:r w:rsidR="00AA69BB">
        <w:rPr>
          <w:rFonts w:ascii="Calibri" w:hAnsi="Calibri" w:cs="Calibri"/>
          <w:noProof/>
          <w:sz w:val="20"/>
          <w:szCs w:val="24"/>
        </w:rPr>
        <w:t xml:space="preserve">19:931 </w:t>
      </w:r>
    </w:p>
    <w:p w14:paraId="04FB36EA" w14:textId="56AB12AB"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39. </w:t>
      </w:r>
      <w:r w:rsidRPr="006C51B9">
        <w:rPr>
          <w:rFonts w:ascii="Calibri" w:hAnsi="Calibri" w:cs="Times New Roman"/>
          <w:noProof/>
          <w:sz w:val="20"/>
          <w:szCs w:val="24"/>
        </w:rPr>
        <w:tab/>
      </w:r>
      <w:r w:rsidR="00AA69BB" w:rsidRPr="002B43D6">
        <w:rPr>
          <w:rFonts w:cstheme="minorHAnsi"/>
          <w:noProof/>
          <w:sz w:val="20"/>
          <w:szCs w:val="24"/>
        </w:rPr>
        <w:t>Jore S, Vanwambeke SO, Viljugrein H, Isaksen K, Kristoffersen AB, Woldehiwet Z, et al. Climate and environmental change drives Ixodes ricinus geographical expansion at the northern range margin. Parasites and Vectors. 2014;7:11</w:t>
      </w:r>
      <w:r w:rsidRPr="006C51B9">
        <w:rPr>
          <w:rFonts w:ascii="Calibri" w:hAnsi="Calibri" w:cs="Times New Roman"/>
          <w:noProof/>
          <w:sz w:val="20"/>
          <w:szCs w:val="24"/>
        </w:rPr>
        <w:t xml:space="preserve"> </w:t>
      </w:r>
    </w:p>
    <w:p w14:paraId="34766302" w14:textId="20BC2A15"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lastRenderedPageBreak/>
        <w:t xml:space="preserve">40. </w:t>
      </w:r>
      <w:r w:rsidRPr="006C51B9">
        <w:rPr>
          <w:rFonts w:ascii="Calibri" w:hAnsi="Calibri" w:cs="Times New Roman"/>
          <w:noProof/>
          <w:sz w:val="20"/>
          <w:szCs w:val="24"/>
        </w:rPr>
        <w:tab/>
      </w:r>
      <w:r w:rsidR="00AA69BB" w:rsidRPr="002B43D6">
        <w:rPr>
          <w:rFonts w:cstheme="minorHAnsi"/>
          <w:noProof/>
          <w:sz w:val="20"/>
          <w:szCs w:val="24"/>
        </w:rPr>
        <w:t>Cooper L, Branagan-harris M, Tuson R, Nduka C. Lyme disease and Bell’s palsy: an epidemiological study of diagnosis and risk in England. Br J Gen Pract. 2017;67(658):e329-e335</w:t>
      </w:r>
      <w:r w:rsidRPr="006C51B9">
        <w:rPr>
          <w:rFonts w:ascii="Calibri" w:hAnsi="Calibri" w:cs="Times New Roman"/>
          <w:noProof/>
          <w:sz w:val="20"/>
          <w:szCs w:val="24"/>
        </w:rPr>
        <w:t xml:space="preserve"> </w:t>
      </w:r>
    </w:p>
    <w:p w14:paraId="3CC11FD0" w14:textId="784938B4"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41. </w:t>
      </w:r>
      <w:r w:rsidRPr="006C51B9">
        <w:rPr>
          <w:rFonts w:ascii="Calibri" w:hAnsi="Calibri" w:cs="Times New Roman"/>
          <w:noProof/>
          <w:sz w:val="20"/>
          <w:szCs w:val="24"/>
        </w:rPr>
        <w:tab/>
      </w:r>
      <w:r w:rsidR="00AA69BB" w:rsidRPr="002B43D6">
        <w:rPr>
          <w:rFonts w:cstheme="minorHAnsi"/>
          <w:noProof/>
          <w:sz w:val="20"/>
          <w:szCs w:val="24"/>
        </w:rPr>
        <w:t>Wang Y, Hunt K, Nazareth I, Freemantle N, Petersen I. Do men consult less than women? An analysis of routinely collected UK general practice data. BMJ Open. 2013;3(8):e003320</w:t>
      </w:r>
    </w:p>
    <w:p w14:paraId="57EE5177" w14:textId="7806B0B5"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42. </w:t>
      </w:r>
      <w:r w:rsidRPr="006C51B9">
        <w:rPr>
          <w:rFonts w:ascii="Calibri" w:hAnsi="Calibri" w:cs="Times New Roman"/>
          <w:noProof/>
          <w:sz w:val="20"/>
          <w:szCs w:val="24"/>
        </w:rPr>
        <w:tab/>
      </w:r>
      <w:r w:rsidR="00AA69BB" w:rsidRPr="002B43D6">
        <w:rPr>
          <w:rFonts w:cstheme="minorHAnsi"/>
          <w:noProof/>
          <w:sz w:val="20"/>
          <w:szCs w:val="24"/>
        </w:rPr>
        <w:t>Jackson LE, Hilborn ED, Thomas JC. Towards landscape design guidelines for reducing Lyme disease risk. Int J Epidemiol. 2006;35(2):315-22</w:t>
      </w:r>
      <w:r w:rsidRPr="006C51B9">
        <w:rPr>
          <w:rFonts w:ascii="Calibri" w:hAnsi="Calibri" w:cs="Times New Roman"/>
          <w:noProof/>
          <w:sz w:val="20"/>
          <w:szCs w:val="24"/>
        </w:rPr>
        <w:t xml:space="preserve"> </w:t>
      </w:r>
    </w:p>
    <w:p w14:paraId="6CB83970" w14:textId="029971D3"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43. </w:t>
      </w:r>
      <w:r w:rsidRPr="006C51B9">
        <w:rPr>
          <w:rFonts w:ascii="Calibri" w:hAnsi="Calibri" w:cs="Times New Roman"/>
          <w:noProof/>
          <w:sz w:val="20"/>
          <w:szCs w:val="24"/>
        </w:rPr>
        <w:tab/>
      </w:r>
      <w:r w:rsidR="00AA69BB" w:rsidRPr="002B43D6">
        <w:rPr>
          <w:rFonts w:cstheme="minorHAnsi"/>
          <w:noProof/>
          <w:sz w:val="20"/>
          <w:szCs w:val="24"/>
        </w:rPr>
        <w:t>Jackson LE, Levine JF, Hilborn ED. A comparison of analysis units for associating Lyme disease with forest-edge habitat. Community Ecol. 2006;7(2):159-197</w:t>
      </w:r>
      <w:r w:rsidRPr="006C51B9">
        <w:rPr>
          <w:rFonts w:ascii="Calibri" w:hAnsi="Calibri" w:cs="Times New Roman"/>
          <w:noProof/>
          <w:sz w:val="20"/>
          <w:szCs w:val="24"/>
        </w:rPr>
        <w:t xml:space="preserve"> </w:t>
      </w:r>
    </w:p>
    <w:p w14:paraId="72807D83" w14:textId="3A84B244"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44. </w:t>
      </w:r>
      <w:r w:rsidRPr="006C51B9">
        <w:rPr>
          <w:rFonts w:ascii="Calibri" w:hAnsi="Calibri" w:cs="Times New Roman"/>
          <w:noProof/>
          <w:sz w:val="20"/>
          <w:szCs w:val="24"/>
        </w:rPr>
        <w:tab/>
      </w:r>
      <w:r w:rsidR="00AA69BB" w:rsidRPr="002B43D6">
        <w:rPr>
          <w:rFonts w:cstheme="minorHAnsi"/>
          <w:noProof/>
          <w:sz w:val="20"/>
          <w:szCs w:val="24"/>
        </w:rPr>
        <w:t xml:space="preserve">Natural England [Internet]. Monitor of engagement with the natural environment: annual report form the 2013-2014 survey. 2015 [cited 2018 Feb 26].  </w:t>
      </w:r>
      <w:r w:rsidR="00AA69BB" w:rsidRPr="002B43D6">
        <w:rPr>
          <w:rFonts w:cstheme="minorHAnsi"/>
          <w:noProof/>
          <w:sz w:val="20"/>
          <w:szCs w:val="20"/>
        </w:rPr>
        <w:t xml:space="preserve">Available from: </w:t>
      </w:r>
      <w:r w:rsidR="00AA69BB" w:rsidRPr="002B43D6">
        <w:rPr>
          <w:rFonts w:cstheme="minorHAnsi"/>
          <w:iCs/>
          <w:noProof/>
          <w:sz w:val="20"/>
          <w:szCs w:val="20"/>
        </w:rPr>
        <w:t xml:space="preserve"> http://publications.naturalengland.org.uk/publication/6579788732956672?category=47018</w:t>
      </w:r>
      <w:r w:rsidRPr="006C51B9">
        <w:rPr>
          <w:rFonts w:ascii="Calibri" w:hAnsi="Calibri" w:cs="Times New Roman"/>
          <w:noProof/>
          <w:sz w:val="20"/>
          <w:szCs w:val="24"/>
        </w:rPr>
        <w:t xml:space="preserve">. </w:t>
      </w:r>
    </w:p>
    <w:p w14:paraId="465C064C" w14:textId="59E9A7EE"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45. </w:t>
      </w:r>
      <w:r w:rsidRPr="006C51B9">
        <w:rPr>
          <w:rFonts w:ascii="Calibri" w:hAnsi="Calibri" w:cs="Times New Roman"/>
          <w:noProof/>
          <w:sz w:val="20"/>
          <w:szCs w:val="24"/>
        </w:rPr>
        <w:tab/>
      </w:r>
      <w:r w:rsidR="00AA69BB" w:rsidRPr="002B43D6">
        <w:rPr>
          <w:rFonts w:cstheme="minorHAnsi"/>
          <w:noProof/>
          <w:sz w:val="20"/>
          <w:szCs w:val="24"/>
        </w:rPr>
        <w:t xml:space="preserve">Scotland National Heritage </w:t>
      </w:r>
      <w:r w:rsidR="00AA69BB" w:rsidRPr="002B43D6">
        <w:rPr>
          <w:rFonts w:cstheme="minorHAnsi"/>
          <w:noProof/>
          <w:sz w:val="20"/>
          <w:szCs w:val="20"/>
        </w:rPr>
        <w:t>Commissioned Report No.679.</w:t>
      </w:r>
      <w:r w:rsidR="00AA69BB" w:rsidRPr="002B43D6">
        <w:rPr>
          <w:rFonts w:cstheme="minorHAnsi"/>
          <w:noProof/>
          <w:sz w:val="20"/>
          <w:szCs w:val="24"/>
        </w:rPr>
        <w:t xml:space="preserve"> [Internet] Scotland’s people and nature survey 2013/2014. 2014 [cited 2018 Feb 26]. </w:t>
      </w:r>
      <w:r w:rsidR="00AA69BB" w:rsidRPr="002B43D6">
        <w:rPr>
          <w:rFonts w:cstheme="minorHAnsi"/>
          <w:noProof/>
          <w:sz w:val="20"/>
          <w:szCs w:val="20"/>
        </w:rPr>
        <w:t>Available from: http://www.snh.org.uk/pdfs/publications/commissioned_reports/679.pdf</w:t>
      </w:r>
      <w:r w:rsidRPr="006C51B9">
        <w:rPr>
          <w:rFonts w:ascii="Calibri" w:hAnsi="Calibri" w:cs="Times New Roman"/>
          <w:noProof/>
          <w:sz w:val="20"/>
          <w:szCs w:val="24"/>
        </w:rPr>
        <w:t xml:space="preserve"> </w:t>
      </w:r>
    </w:p>
    <w:p w14:paraId="536A6740" w14:textId="43D0ABB1"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46. </w:t>
      </w:r>
      <w:r w:rsidRPr="006C51B9">
        <w:rPr>
          <w:rFonts w:ascii="Calibri" w:hAnsi="Calibri" w:cs="Times New Roman"/>
          <w:noProof/>
          <w:sz w:val="20"/>
          <w:szCs w:val="24"/>
        </w:rPr>
        <w:tab/>
      </w:r>
      <w:r w:rsidR="00AA69BB" w:rsidRPr="002B43D6">
        <w:rPr>
          <w:rFonts w:cstheme="minorHAnsi"/>
          <w:noProof/>
          <w:sz w:val="20"/>
          <w:szCs w:val="24"/>
        </w:rPr>
        <w:t xml:space="preserve">Jivraj S, Khan O. [Internet] Ethnicity and deprivation in England: How likely are ethnic minorities to live in deprived neighbourhoods? Dynamics of Diversity: Evidence from the 2011 Census. </w:t>
      </w:r>
      <w:r w:rsidR="00AA69BB" w:rsidRPr="002B43D6">
        <w:rPr>
          <w:rFonts w:cstheme="minorHAnsi"/>
          <w:bCs/>
          <w:noProof/>
          <w:sz w:val="20"/>
          <w:szCs w:val="24"/>
        </w:rPr>
        <w:t xml:space="preserve">2013 [cited 2018 Feb 26]. </w:t>
      </w:r>
      <w:r w:rsidR="00AA69BB" w:rsidRPr="002B43D6">
        <w:rPr>
          <w:rFonts w:cstheme="minorHAnsi"/>
          <w:noProof/>
          <w:sz w:val="20"/>
          <w:szCs w:val="20"/>
        </w:rPr>
        <w:t>Available from: http://hummedia.manchester.ac.uk/institutes/code/briefingsupdated/ethnicity-and-deprivation-in-england-how-likely-are-ethnic-minorities-to-live-in-deprived-neighbourhoods%20(1).pdf</w:t>
      </w:r>
      <w:r w:rsidRPr="006C51B9">
        <w:rPr>
          <w:rFonts w:ascii="Calibri" w:hAnsi="Calibri" w:cs="Times New Roman"/>
          <w:noProof/>
          <w:sz w:val="20"/>
          <w:szCs w:val="24"/>
        </w:rPr>
        <w:t xml:space="preserve"> </w:t>
      </w:r>
    </w:p>
    <w:p w14:paraId="3407F3B1" w14:textId="4625047A"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47. </w:t>
      </w:r>
      <w:r w:rsidRPr="006C51B9">
        <w:rPr>
          <w:rFonts w:ascii="Calibri" w:hAnsi="Calibri" w:cs="Times New Roman"/>
          <w:noProof/>
          <w:sz w:val="20"/>
          <w:szCs w:val="24"/>
        </w:rPr>
        <w:tab/>
      </w:r>
      <w:r w:rsidR="00AA69BB" w:rsidRPr="002B43D6">
        <w:rPr>
          <w:rFonts w:cstheme="minorHAnsi"/>
          <w:noProof/>
          <w:sz w:val="20"/>
          <w:szCs w:val="24"/>
        </w:rPr>
        <w:t>Government Ministry of housing, communities and local government [Internet]. English Indices of Deprivation 2015. 2015 [cited 2018 Feb 26]. Available at:</w:t>
      </w:r>
      <w:r w:rsidR="00AA69BB">
        <w:rPr>
          <w:rFonts w:ascii="Calibri" w:hAnsi="Calibri" w:cs="Calibri"/>
          <w:noProof/>
          <w:sz w:val="20"/>
          <w:szCs w:val="24"/>
        </w:rPr>
        <w:t xml:space="preserve"> </w:t>
      </w:r>
      <w:r w:rsidR="00AA69BB" w:rsidRPr="006A4A4F">
        <w:rPr>
          <w:rFonts w:ascii="Calibri" w:hAnsi="Calibri" w:cs="Calibri"/>
          <w:noProof/>
          <w:sz w:val="20"/>
          <w:szCs w:val="24"/>
        </w:rPr>
        <w:t>https://www.gov.uk/government/statistics/english-indices-of-deprivation-2015</w:t>
      </w:r>
    </w:p>
    <w:p w14:paraId="301CA74A" w14:textId="330A5605"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48. </w:t>
      </w:r>
      <w:r w:rsidRPr="006C51B9">
        <w:rPr>
          <w:rFonts w:ascii="Calibri" w:hAnsi="Calibri" w:cs="Times New Roman"/>
          <w:noProof/>
          <w:sz w:val="20"/>
          <w:szCs w:val="24"/>
        </w:rPr>
        <w:tab/>
      </w:r>
      <w:r w:rsidR="00AA69BB" w:rsidRPr="002B43D6">
        <w:rPr>
          <w:rFonts w:cstheme="minorHAnsi"/>
          <w:noProof/>
          <w:sz w:val="20"/>
          <w:szCs w:val="24"/>
        </w:rPr>
        <w:t>Welsh Government [Internet]. Welsh Index of Multiple Deprivation. 2015 [cited 2018 Feb26]. Available at: http://gov.wales/statistics-and-research/welsh-index-multiple-deprivation/?lang=en</w:t>
      </w:r>
    </w:p>
    <w:p w14:paraId="564AA17E" w14:textId="5319EA54"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49. </w:t>
      </w:r>
      <w:r w:rsidRPr="006C51B9">
        <w:rPr>
          <w:rFonts w:ascii="Calibri" w:hAnsi="Calibri" w:cs="Times New Roman"/>
          <w:noProof/>
          <w:sz w:val="20"/>
          <w:szCs w:val="24"/>
        </w:rPr>
        <w:tab/>
      </w:r>
      <w:r w:rsidR="00AA69BB" w:rsidRPr="006A4A4F">
        <w:rPr>
          <w:rFonts w:ascii="Calibri" w:hAnsi="Calibri" w:cs="Calibri"/>
          <w:noProof/>
          <w:sz w:val="20"/>
          <w:szCs w:val="24"/>
        </w:rPr>
        <w:t>Nelson CA, Starr JA, Kugeler KJ, Mead PS. Lyme disease in Hispanics, United States, 2000-2013. Eme</w:t>
      </w:r>
      <w:r w:rsidR="00AA69BB">
        <w:rPr>
          <w:rFonts w:ascii="Calibri" w:hAnsi="Calibri" w:cs="Calibri"/>
          <w:noProof/>
          <w:sz w:val="20"/>
          <w:szCs w:val="24"/>
        </w:rPr>
        <w:t xml:space="preserve">rg </w:t>
      </w:r>
      <w:r w:rsidR="00AA69BB">
        <w:rPr>
          <w:rFonts w:ascii="Calibri" w:hAnsi="Calibri" w:cs="Calibri"/>
          <w:noProof/>
          <w:sz w:val="20"/>
          <w:szCs w:val="24"/>
        </w:rPr>
        <w:lastRenderedPageBreak/>
        <w:t>Infect Dis. 2016;22(3):522–5</w:t>
      </w:r>
      <w:r w:rsidR="00AA69BB" w:rsidRPr="006A4A4F">
        <w:rPr>
          <w:rFonts w:ascii="Calibri" w:hAnsi="Calibri" w:cs="Calibri"/>
          <w:noProof/>
          <w:sz w:val="20"/>
          <w:szCs w:val="24"/>
        </w:rPr>
        <w:t xml:space="preserve"> </w:t>
      </w:r>
      <w:r w:rsidRPr="006C51B9">
        <w:rPr>
          <w:rFonts w:ascii="Calibri" w:hAnsi="Calibri" w:cs="Times New Roman"/>
          <w:noProof/>
          <w:sz w:val="20"/>
          <w:szCs w:val="24"/>
        </w:rPr>
        <w:t xml:space="preserve"> </w:t>
      </w:r>
    </w:p>
    <w:p w14:paraId="08222FED" w14:textId="7A6BBC18"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50. </w:t>
      </w:r>
      <w:r w:rsidRPr="006C51B9">
        <w:rPr>
          <w:rFonts w:ascii="Calibri" w:hAnsi="Calibri" w:cs="Times New Roman"/>
          <w:noProof/>
          <w:sz w:val="20"/>
          <w:szCs w:val="24"/>
        </w:rPr>
        <w:tab/>
      </w:r>
      <w:r w:rsidR="00AA69BB" w:rsidRPr="002B43D6">
        <w:rPr>
          <w:rFonts w:cstheme="minorHAnsi"/>
          <w:noProof/>
          <w:sz w:val="20"/>
          <w:szCs w:val="24"/>
        </w:rPr>
        <w:t>Fix AD, Peña CA, Strickland GT. Racial differences in reported Lyme disease incidence. Am J Epidemiol. 2000;152(8):756-9</w:t>
      </w:r>
    </w:p>
    <w:p w14:paraId="22953FB6" w14:textId="1EBB8711"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51. </w:t>
      </w:r>
      <w:r w:rsidRPr="006C51B9">
        <w:rPr>
          <w:rFonts w:ascii="Calibri" w:hAnsi="Calibri" w:cs="Times New Roman"/>
          <w:noProof/>
          <w:sz w:val="20"/>
          <w:szCs w:val="24"/>
        </w:rPr>
        <w:tab/>
      </w:r>
      <w:r w:rsidR="00AA69BB" w:rsidRPr="002B43D6">
        <w:rPr>
          <w:rFonts w:cstheme="minorHAnsi"/>
          <w:noProof/>
          <w:sz w:val="20"/>
          <w:szCs w:val="24"/>
        </w:rPr>
        <w:t>Quint JK, Müllerova H, DiSantostefano RL, Forbes H, Eaton S, Hurst JR, et al. Validation of chronic obstructive pulmonary disease recording in the Clinical Practice Research Datalink (CPRD-GOLD). BMJ Open. 2014; 4(7):e005540</w:t>
      </w:r>
    </w:p>
    <w:p w14:paraId="52B9EDD3" w14:textId="721ADA78" w:rsidR="006C51B9" w:rsidRPr="006C51B9" w:rsidRDefault="006C51B9" w:rsidP="006C51B9">
      <w:pPr>
        <w:widowControl w:val="0"/>
        <w:autoSpaceDE w:val="0"/>
        <w:autoSpaceDN w:val="0"/>
        <w:adjustRightInd w:val="0"/>
        <w:spacing w:line="480" w:lineRule="auto"/>
        <w:ind w:left="640" w:hanging="640"/>
        <w:rPr>
          <w:rFonts w:ascii="Calibri" w:hAnsi="Calibri" w:cs="Times New Roman"/>
          <w:noProof/>
          <w:sz w:val="20"/>
          <w:szCs w:val="24"/>
        </w:rPr>
      </w:pPr>
      <w:r w:rsidRPr="006C51B9">
        <w:rPr>
          <w:rFonts w:ascii="Calibri" w:hAnsi="Calibri" w:cs="Times New Roman"/>
          <w:noProof/>
          <w:sz w:val="20"/>
          <w:szCs w:val="24"/>
        </w:rPr>
        <w:t xml:space="preserve">52. </w:t>
      </w:r>
      <w:r w:rsidRPr="006C51B9">
        <w:rPr>
          <w:rFonts w:ascii="Calibri" w:hAnsi="Calibri" w:cs="Times New Roman"/>
          <w:noProof/>
          <w:sz w:val="20"/>
          <w:szCs w:val="24"/>
        </w:rPr>
        <w:tab/>
      </w:r>
      <w:r w:rsidR="00AA69BB" w:rsidRPr="002B43D6">
        <w:rPr>
          <w:rFonts w:cstheme="minorHAnsi"/>
          <w:noProof/>
          <w:sz w:val="20"/>
          <w:szCs w:val="24"/>
        </w:rPr>
        <w:t xml:space="preserve">Herrett E, Thomas SL, Schoonen WM, Smeeth L, Hall AJ. Validation and validity of diagnoses in the General Practice Research Database: a systematic review. Br J Clin Pharmacol. </w:t>
      </w:r>
      <w:r w:rsidR="00AA69BB" w:rsidRPr="002B43D6">
        <w:rPr>
          <w:rFonts w:cstheme="minorHAnsi"/>
          <w:bCs/>
          <w:noProof/>
          <w:sz w:val="20"/>
          <w:szCs w:val="24"/>
        </w:rPr>
        <w:t>2010</w:t>
      </w:r>
      <w:r w:rsidR="00AA69BB" w:rsidRPr="002B43D6">
        <w:rPr>
          <w:rFonts w:cstheme="minorHAnsi"/>
          <w:noProof/>
          <w:sz w:val="20"/>
          <w:szCs w:val="24"/>
        </w:rPr>
        <w:t>; 69:4–14</w:t>
      </w:r>
      <w:r w:rsidR="00AA69BB" w:rsidRPr="006A4A4F">
        <w:rPr>
          <w:rFonts w:ascii="Calibri" w:hAnsi="Calibri" w:cs="Calibri"/>
          <w:noProof/>
          <w:sz w:val="20"/>
          <w:szCs w:val="24"/>
        </w:rPr>
        <w:t>.</w:t>
      </w:r>
      <w:r w:rsidRPr="006C51B9">
        <w:rPr>
          <w:rFonts w:ascii="Calibri" w:hAnsi="Calibri" w:cs="Times New Roman"/>
          <w:noProof/>
          <w:sz w:val="20"/>
          <w:szCs w:val="24"/>
        </w:rPr>
        <w:t xml:space="preserve"> </w:t>
      </w:r>
    </w:p>
    <w:p w14:paraId="41E5A725" w14:textId="1A9B6D91" w:rsidR="006C51B9" w:rsidRPr="006C51B9" w:rsidRDefault="006C51B9" w:rsidP="006C51B9">
      <w:pPr>
        <w:widowControl w:val="0"/>
        <w:autoSpaceDE w:val="0"/>
        <w:autoSpaceDN w:val="0"/>
        <w:adjustRightInd w:val="0"/>
        <w:spacing w:line="480" w:lineRule="auto"/>
        <w:ind w:left="640" w:hanging="640"/>
        <w:rPr>
          <w:rFonts w:ascii="Calibri" w:hAnsi="Calibri"/>
          <w:noProof/>
          <w:sz w:val="20"/>
        </w:rPr>
      </w:pPr>
      <w:r w:rsidRPr="006C51B9">
        <w:rPr>
          <w:rFonts w:ascii="Calibri" w:hAnsi="Calibri" w:cs="Times New Roman"/>
          <w:noProof/>
          <w:sz w:val="20"/>
          <w:szCs w:val="24"/>
        </w:rPr>
        <w:t xml:space="preserve">53. </w:t>
      </w:r>
      <w:r w:rsidRPr="006C51B9">
        <w:rPr>
          <w:rFonts w:ascii="Calibri" w:hAnsi="Calibri" w:cs="Times New Roman"/>
          <w:noProof/>
          <w:sz w:val="20"/>
          <w:szCs w:val="24"/>
        </w:rPr>
        <w:tab/>
      </w:r>
      <w:r w:rsidR="00AA69BB" w:rsidRPr="002B43D6">
        <w:rPr>
          <w:rFonts w:cstheme="minorHAnsi"/>
          <w:noProof/>
          <w:sz w:val="20"/>
          <w:szCs w:val="24"/>
        </w:rPr>
        <w:t>Marques A. Chronic Lyme disease: a review. Infect Dis Clin North Am. 2008;22(2):341-360</w:t>
      </w:r>
    </w:p>
    <w:p w14:paraId="3E800FD0" w14:textId="77777777" w:rsidR="002A788D" w:rsidRDefault="001F5B9C" w:rsidP="00000D2E">
      <w:pPr>
        <w:widowControl w:val="0"/>
        <w:autoSpaceDE w:val="0"/>
        <w:autoSpaceDN w:val="0"/>
        <w:adjustRightInd w:val="0"/>
        <w:spacing w:line="480" w:lineRule="auto"/>
        <w:ind w:left="640" w:hanging="640"/>
        <w:jc w:val="both"/>
        <w:rPr>
          <w:rFonts w:cstheme="minorHAnsi"/>
          <w:sz w:val="20"/>
          <w:szCs w:val="20"/>
        </w:rPr>
      </w:pPr>
      <w:r w:rsidRPr="002B43D6">
        <w:rPr>
          <w:rFonts w:cstheme="minorHAnsi"/>
          <w:sz w:val="20"/>
          <w:szCs w:val="20"/>
        </w:rPr>
        <w:fldChar w:fldCharType="end"/>
      </w:r>
    </w:p>
    <w:p w14:paraId="255E2C63" w14:textId="083CB610" w:rsidR="00E84283" w:rsidRPr="00693035" w:rsidRDefault="00E84283" w:rsidP="00000D2E">
      <w:pPr>
        <w:widowControl w:val="0"/>
        <w:autoSpaceDE w:val="0"/>
        <w:autoSpaceDN w:val="0"/>
        <w:adjustRightInd w:val="0"/>
        <w:spacing w:line="480" w:lineRule="auto"/>
        <w:ind w:left="640" w:hanging="640"/>
        <w:jc w:val="both"/>
        <w:rPr>
          <w:rFonts w:cstheme="minorHAnsi"/>
          <w:b/>
          <w:sz w:val="24"/>
          <w:szCs w:val="24"/>
        </w:rPr>
      </w:pPr>
      <w:r w:rsidRPr="00693035">
        <w:rPr>
          <w:rFonts w:cstheme="minorHAnsi"/>
          <w:b/>
          <w:sz w:val="24"/>
          <w:szCs w:val="24"/>
        </w:rPr>
        <w:t>Figure Legends</w:t>
      </w:r>
      <w:r w:rsidR="00E31755">
        <w:rPr>
          <w:rFonts w:cstheme="minorHAnsi"/>
          <w:b/>
          <w:sz w:val="24"/>
          <w:szCs w:val="24"/>
        </w:rPr>
        <w:t xml:space="preserve"> </w:t>
      </w:r>
    </w:p>
    <w:p w14:paraId="3558F079" w14:textId="2EF65BDB" w:rsidR="00E31755" w:rsidRDefault="00E84283" w:rsidP="00693035">
      <w:pPr>
        <w:spacing w:line="480" w:lineRule="auto"/>
        <w:jc w:val="both"/>
        <w:rPr>
          <w:rFonts w:cstheme="minorHAnsi"/>
          <w:sz w:val="20"/>
          <w:szCs w:val="20"/>
        </w:rPr>
      </w:pPr>
      <w:bookmarkStart w:id="40" w:name="_Hlk32927049"/>
      <w:r w:rsidRPr="00693035">
        <w:rPr>
          <w:rFonts w:cstheme="minorHAnsi"/>
          <w:b/>
          <w:sz w:val="20"/>
          <w:szCs w:val="20"/>
        </w:rPr>
        <w:t>Figure 1</w:t>
      </w:r>
      <w:r w:rsidRPr="00693035">
        <w:rPr>
          <w:rFonts w:cstheme="minorHAnsi"/>
          <w:sz w:val="20"/>
          <w:szCs w:val="20"/>
        </w:rPr>
        <w:t xml:space="preserve"> –</w:t>
      </w:r>
      <w:r w:rsidR="00E31755">
        <w:rPr>
          <w:rFonts w:cstheme="minorHAnsi"/>
          <w:sz w:val="20"/>
          <w:szCs w:val="20"/>
        </w:rPr>
        <w:t xml:space="preserve"> </w:t>
      </w:r>
      <w:r w:rsidRPr="00693035">
        <w:rPr>
          <w:rFonts w:cstheme="minorHAnsi"/>
          <w:sz w:val="20"/>
          <w:szCs w:val="20"/>
        </w:rPr>
        <w:t xml:space="preserve"> </w:t>
      </w:r>
      <w:r w:rsidR="005760FD" w:rsidRPr="00FE29E1">
        <w:rPr>
          <w:rFonts w:cstheme="minorHAnsi"/>
          <w:b/>
          <w:sz w:val="20"/>
          <w:szCs w:val="20"/>
        </w:rPr>
        <w:t>Crude</w:t>
      </w:r>
      <w:r w:rsidR="005760FD">
        <w:rPr>
          <w:rFonts w:cstheme="minorHAnsi"/>
          <w:sz w:val="20"/>
          <w:szCs w:val="20"/>
        </w:rPr>
        <w:t xml:space="preserve"> </w:t>
      </w:r>
      <w:r w:rsidR="005760FD">
        <w:rPr>
          <w:rFonts w:cstheme="minorHAnsi"/>
          <w:b/>
          <w:sz w:val="20"/>
          <w:szCs w:val="20"/>
        </w:rPr>
        <w:t>i</w:t>
      </w:r>
      <w:r w:rsidR="00E31755" w:rsidRPr="00E31755">
        <w:rPr>
          <w:rFonts w:cstheme="minorHAnsi"/>
          <w:b/>
          <w:sz w:val="20"/>
          <w:szCs w:val="20"/>
        </w:rPr>
        <w:t xml:space="preserve">ncidence </w:t>
      </w:r>
      <w:r w:rsidRPr="00E31755">
        <w:rPr>
          <w:rFonts w:cstheme="minorHAnsi"/>
          <w:b/>
          <w:sz w:val="20"/>
          <w:szCs w:val="20"/>
        </w:rPr>
        <w:t xml:space="preserve">of </w:t>
      </w:r>
      <w:r w:rsidR="00FC1C8C">
        <w:rPr>
          <w:rFonts w:cstheme="minorHAnsi"/>
          <w:b/>
          <w:sz w:val="20"/>
          <w:szCs w:val="20"/>
        </w:rPr>
        <w:t xml:space="preserve">UK </w:t>
      </w:r>
      <w:r w:rsidRPr="00E31755">
        <w:rPr>
          <w:rFonts w:cstheme="minorHAnsi"/>
          <w:b/>
          <w:sz w:val="20"/>
          <w:szCs w:val="20"/>
        </w:rPr>
        <w:t xml:space="preserve">Lyme disease </w:t>
      </w:r>
      <w:r w:rsidR="005760FD">
        <w:rPr>
          <w:rFonts w:cstheme="minorHAnsi"/>
          <w:b/>
          <w:sz w:val="20"/>
          <w:szCs w:val="20"/>
        </w:rPr>
        <w:t xml:space="preserve">cases </w:t>
      </w:r>
      <w:r w:rsidRPr="00E31755">
        <w:rPr>
          <w:rFonts w:cstheme="minorHAnsi"/>
          <w:b/>
          <w:sz w:val="20"/>
          <w:szCs w:val="20"/>
        </w:rPr>
        <w:t>in The Health Improvement Network</w:t>
      </w:r>
      <w:r w:rsidR="0067036E" w:rsidRPr="00E31755">
        <w:rPr>
          <w:rFonts w:cstheme="minorHAnsi"/>
          <w:b/>
          <w:sz w:val="20"/>
          <w:szCs w:val="20"/>
        </w:rPr>
        <w:t xml:space="preserve"> (THIN)</w:t>
      </w:r>
      <w:r w:rsidR="00E31755">
        <w:rPr>
          <w:rFonts w:cstheme="minorHAnsi"/>
          <w:b/>
          <w:sz w:val="20"/>
          <w:szCs w:val="20"/>
        </w:rPr>
        <w:t xml:space="preserve">, </w:t>
      </w:r>
      <w:r w:rsidR="00E31755" w:rsidRPr="00E31755">
        <w:rPr>
          <w:rFonts w:cstheme="minorHAnsi"/>
          <w:b/>
          <w:sz w:val="20"/>
          <w:szCs w:val="20"/>
        </w:rPr>
        <w:t>1998 -2016.</w:t>
      </w:r>
    </w:p>
    <w:p w14:paraId="521510F0" w14:textId="36A8B7D1" w:rsidR="00233A5D" w:rsidRDefault="00FC1C8C" w:rsidP="00693035">
      <w:pPr>
        <w:spacing w:line="480" w:lineRule="auto"/>
        <w:jc w:val="both"/>
        <w:rPr>
          <w:rFonts w:cstheme="minorHAnsi"/>
          <w:sz w:val="20"/>
          <w:szCs w:val="20"/>
        </w:rPr>
      </w:pPr>
      <w:r>
        <w:rPr>
          <w:rFonts w:cstheme="minorHAnsi"/>
          <w:sz w:val="20"/>
          <w:szCs w:val="20"/>
        </w:rPr>
        <w:t xml:space="preserve">Dotted lines represent 95% confidence intervals. </w:t>
      </w:r>
      <w:r w:rsidR="005760FD">
        <w:rPr>
          <w:rFonts w:cstheme="minorHAnsi"/>
          <w:sz w:val="20"/>
          <w:szCs w:val="20"/>
        </w:rPr>
        <w:t>Smoothed lines of best fit were calculated us</w:t>
      </w:r>
      <w:r>
        <w:rPr>
          <w:rFonts w:cstheme="minorHAnsi"/>
          <w:sz w:val="20"/>
          <w:szCs w:val="20"/>
        </w:rPr>
        <w:t>ing</w:t>
      </w:r>
      <w:r w:rsidR="005760FD">
        <w:rPr>
          <w:rFonts w:cstheme="minorHAnsi"/>
          <w:sz w:val="20"/>
          <w:szCs w:val="20"/>
        </w:rPr>
        <w:t xml:space="preserve"> the LOESS method.</w:t>
      </w:r>
    </w:p>
    <w:bookmarkEnd w:id="40"/>
    <w:p w14:paraId="3FACA603" w14:textId="4E0C5C72" w:rsidR="001D2386" w:rsidRDefault="00E84283" w:rsidP="0068321E">
      <w:pPr>
        <w:spacing w:line="480" w:lineRule="auto"/>
        <w:jc w:val="both"/>
        <w:rPr>
          <w:rFonts w:cstheme="minorHAnsi"/>
          <w:sz w:val="20"/>
          <w:szCs w:val="20"/>
        </w:rPr>
      </w:pPr>
      <w:r w:rsidRPr="00693035">
        <w:rPr>
          <w:rFonts w:cstheme="minorHAnsi"/>
          <w:b/>
          <w:sz w:val="20"/>
          <w:szCs w:val="20"/>
        </w:rPr>
        <w:t xml:space="preserve">Figure </w:t>
      </w:r>
      <w:r w:rsidR="00233A5D">
        <w:rPr>
          <w:rFonts w:cstheme="minorHAnsi"/>
          <w:b/>
          <w:sz w:val="20"/>
          <w:szCs w:val="20"/>
        </w:rPr>
        <w:t xml:space="preserve">2 </w:t>
      </w:r>
      <w:r w:rsidRPr="00693035">
        <w:rPr>
          <w:rFonts w:cstheme="minorHAnsi"/>
          <w:sz w:val="20"/>
          <w:szCs w:val="20"/>
        </w:rPr>
        <w:t>–</w:t>
      </w:r>
      <w:r w:rsidR="00E31755">
        <w:rPr>
          <w:rFonts w:cstheme="minorHAnsi"/>
          <w:sz w:val="20"/>
          <w:szCs w:val="20"/>
        </w:rPr>
        <w:t xml:space="preserve"> </w:t>
      </w:r>
      <w:r w:rsidR="00E31755" w:rsidRPr="00E31755">
        <w:rPr>
          <w:rFonts w:cstheme="minorHAnsi"/>
          <w:b/>
          <w:sz w:val="20"/>
          <w:szCs w:val="20"/>
        </w:rPr>
        <w:t>Mo</w:t>
      </w:r>
      <w:r w:rsidRPr="00E31755">
        <w:rPr>
          <w:rFonts w:cstheme="minorHAnsi"/>
          <w:b/>
          <w:sz w:val="20"/>
          <w:szCs w:val="20"/>
        </w:rPr>
        <w:t>nthly incidence of Lyme disease in The Health Improvement Network</w:t>
      </w:r>
      <w:r w:rsidR="0067036E" w:rsidRPr="00E31755">
        <w:rPr>
          <w:rFonts w:cstheme="minorHAnsi"/>
          <w:b/>
          <w:sz w:val="20"/>
          <w:szCs w:val="20"/>
        </w:rPr>
        <w:t xml:space="preserve"> (THIN)</w:t>
      </w:r>
      <w:r w:rsidR="00E31755" w:rsidRPr="00E31755">
        <w:rPr>
          <w:rFonts w:cstheme="minorHAnsi"/>
          <w:b/>
          <w:sz w:val="20"/>
          <w:szCs w:val="20"/>
        </w:rPr>
        <w:t xml:space="preserve">, </w:t>
      </w:r>
      <w:r w:rsidRPr="00E31755">
        <w:rPr>
          <w:rFonts w:cstheme="minorHAnsi"/>
          <w:b/>
          <w:sz w:val="20"/>
          <w:szCs w:val="20"/>
        </w:rPr>
        <w:t>1998 -201</w:t>
      </w:r>
      <w:r w:rsidR="006A1448" w:rsidRPr="00E31755">
        <w:rPr>
          <w:rFonts w:cstheme="minorHAnsi"/>
          <w:b/>
          <w:sz w:val="20"/>
          <w:szCs w:val="20"/>
        </w:rPr>
        <w:t>6</w:t>
      </w:r>
    </w:p>
    <w:p w14:paraId="2AB92BFE" w14:textId="12ABCC8C" w:rsidR="00E31755" w:rsidRDefault="00233A5D" w:rsidP="00233A5D">
      <w:pPr>
        <w:spacing w:line="480" w:lineRule="auto"/>
        <w:jc w:val="both"/>
        <w:rPr>
          <w:rFonts w:cstheme="minorHAnsi"/>
          <w:sz w:val="20"/>
          <w:szCs w:val="20"/>
        </w:rPr>
      </w:pPr>
      <w:bookmarkStart w:id="41" w:name="_Hlk32927079"/>
      <w:r>
        <w:rPr>
          <w:rFonts w:cstheme="minorHAnsi"/>
          <w:b/>
          <w:sz w:val="20"/>
          <w:szCs w:val="20"/>
        </w:rPr>
        <w:t>Figure</w:t>
      </w:r>
      <w:r w:rsidRPr="00233A5D">
        <w:rPr>
          <w:rFonts w:cstheme="minorHAnsi"/>
          <w:b/>
          <w:sz w:val="20"/>
          <w:szCs w:val="20"/>
        </w:rPr>
        <w:t xml:space="preserve"> </w:t>
      </w:r>
      <w:r>
        <w:rPr>
          <w:rFonts w:cstheme="minorHAnsi"/>
          <w:b/>
          <w:sz w:val="20"/>
          <w:szCs w:val="20"/>
        </w:rPr>
        <w:t>3</w:t>
      </w:r>
      <w:r w:rsidRPr="00693035">
        <w:rPr>
          <w:rFonts w:cstheme="minorHAnsi"/>
          <w:sz w:val="20"/>
          <w:szCs w:val="20"/>
        </w:rPr>
        <w:t xml:space="preserve"> –</w:t>
      </w:r>
      <w:r w:rsidR="00FE29E1">
        <w:rPr>
          <w:rFonts w:cstheme="minorHAnsi"/>
          <w:sz w:val="20"/>
          <w:szCs w:val="20"/>
        </w:rPr>
        <w:t xml:space="preserve"> </w:t>
      </w:r>
      <w:r w:rsidR="005760FD" w:rsidRPr="00FE29E1">
        <w:rPr>
          <w:rFonts w:cstheme="minorHAnsi"/>
          <w:b/>
          <w:sz w:val="20"/>
          <w:szCs w:val="20"/>
        </w:rPr>
        <w:t>Crude</w:t>
      </w:r>
      <w:r w:rsidR="005760FD">
        <w:rPr>
          <w:rFonts w:cstheme="minorHAnsi"/>
          <w:sz w:val="20"/>
          <w:szCs w:val="20"/>
        </w:rPr>
        <w:t xml:space="preserve"> </w:t>
      </w:r>
      <w:r w:rsidR="005760FD">
        <w:rPr>
          <w:rFonts w:cstheme="minorHAnsi"/>
          <w:b/>
          <w:sz w:val="20"/>
          <w:szCs w:val="20"/>
        </w:rPr>
        <w:t>i</w:t>
      </w:r>
      <w:r w:rsidR="00E31755" w:rsidRPr="00E31755">
        <w:rPr>
          <w:rFonts w:cstheme="minorHAnsi"/>
          <w:b/>
          <w:sz w:val="20"/>
          <w:szCs w:val="20"/>
        </w:rPr>
        <w:t xml:space="preserve">ncidence </w:t>
      </w:r>
      <w:r w:rsidRPr="00E31755">
        <w:rPr>
          <w:rFonts w:cstheme="minorHAnsi"/>
          <w:b/>
          <w:sz w:val="20"/>
          <w:szCs w:val="20"/>
        </w:rPr>
        <w:t>of Lyme disease</w:t>
      </w:r>
      <w:r w:rsidR="00E31755" w:rsidRPr="00E31755">
        <w:rPr>
          <w:rFonts w:cstheme="minorHAnsi"/>
          <w:b/>
          <w:sz w:val="20"/>
          <w:szCs w:val="20"/>
        </w:rPr>
        <w:t xml:space="preserve"> Read codes </w:t>
      </w:r>
      <w:r w:rsidRPr="00E31755">
        <w:rPr>
          <w:rFonts w:cstheme="minorHAnsi"/>
          <w:b/>
          <w:sz w:val="20"/>
          <w:szCs w:val="20"/>
        </w:rPr>
        <w:t>in The Health Improvement Network (THIN)</w:t>
      </w:r>
      <w:r w:rsidR="00E31755" w:rsidRPr="00E31755">
        <w:rPr>
          <w:rFonts w:cstheme="minorHAnsi"/>
          <w:b/>
          <w:sz w:val="20"/>
          <w:szCs w:val="20"/>
        </w:rPr>
        <w:t xml:space="preserve">, </w:t>
      </w:r>
      <w:r w:rsidRPr="00E31755">
        <w:rPr>
          <w:rFonts w:cstheme="minorHAnsi"/>
          <w:b/>
          <w:sz w:val="20"/>
          <w:szCs w:val="20"/>
        </w:rPr>
        <w:t>1998 -2016</w:t>
      </w:r>
      <w:r w:rsidR="00E31755" w:rsidRPr="00E31755">
        <w:rPr>
          <w:rFonts w:cstheme="minorHAnsi"/>
          <w:b/>
          <w:sz w:val="20"/>
          <w:szCs w:val="20"/>
        </w:rPr>
        <w:t>.</w:t>
      </w:r>
    </w:p>
    <w:p w14:paraId="57E8C113" w14:textId="45CD9FFE" w:rsidR="00233A5D" w:rsidRPr="0068321E" w:rsidRDefault="00FC1C8C" w:rsidP="0068321E">
      <w:pPr>
        <w:spacing w:line="480" w:lineRule="auto"/>
        <w:jc w:val="both"/>
        <w:rPr>
          <w:rFonts w:cstheme="minorHAnsi"/>
          <w:sz w:val="20"/>
          <w:szCs w:val="20"/>
        </w:rPr>
      </w:pPr>
      <w:r>
        <w:rPr>
          <w:rFonts w:cstheme="minorHAnsi"/>
          <w:sz w:val="20"/>
          <w:szCs w:val="20"/>
        </w:rPr>
        <w:t xml:space="preserve">Dotted lines represent 95% confidence intervals. </w:t>
      </w:r>
      <w:r w:rsidR="005760FD">
        <w:rPr>
          <w:rFonts w:cstheme="minorHAnsi"/>
          <w:sz w:val="20"/>
          <w:szCs w:val="20"/>
        </w:rPr>
        <w:t>Smoothed lines of best fit were calculated us</w:t>
      </w:r>
      <w:r>
        <w:rPr>
          <w:rFonts w:cstheme="minorHAnsi"/>
          <w:sz w:val="20"/>
          <w:szCs w:val="20"/>
        </w:rPr>
        <w:t>ing</w:t>
      </w:r>
      <w:r w:rsidR="005760FD">
        <w:rPr>
          <w:rFonts w:cstheme="minorHAnsi"/>
          <w:sz w:val="20"/>
          <w:szCs w:val="20"/>
        </w:rPr>
        <w:t xml:space="preserve"> the LOESS </w:t>
      </w:r>
      <w:bookmarkStart w:id="42" w:name="_GoBack"/>
      <w:bookmarkEnd w:id="42"/>
      <w:r w:rsidR="005760FD">
        <w:rPr>
          <w:rFonts w:cstheme="minorHAnsi"/>
          <w:sz w:val="20"/>
          <w:szCs w:val="20"/>
        </w:rPr>
        <w:t>method.</w:t>
      </w:r>
      <w:r w:rsidR="00EF4FC5">
        <w:rPr>
          <w:rFonts w:cstheme="minorHAnsi"/>
          <w:sz w:val="20"/>
          <w:szCs w:val="20"/>
        </w:rPr>
        <w:t xml:space="preserve"> </w:t>
      </w:r>
      <w:r w:rsidR="00E31755">
        <w:rPr>
          <w:rFonts w:cstheme="minorHAnsi"/>
          <w:sz w:val="20"/>
          <w:szCs w:val="20"/>
        </w:rPr>
        <w:t xml:space="preserve">Only </w:t>
      </w:r>
      <w:r w:rsidR="002A788D">
        <w:rPr>
          <w:rFonts w:cstheme="minorHAnsi"/>
          <w:sz w:val="20"/>
          <w:szCs w:val="20"/>
        </w:rPr>
        <w:t xml:space="preserve">the </w:t>
      </w:r>
      <w:r w:rsidR="002A788D" w:rsidRPr="00693035">
        <w:rPr>
          <w:rFonts w:cstheme="minorHAnsi"/>
          <w:sz w:val="20"/>
          <w:szCs w:val="20"/>
        </w:rPr>
        <w:t>four</w:t>
      </w:r>
      <w:r w:rsidR="00233A5D">
        <w:rPr>
          <w:rFonts w:cstheme="minorHAnsi"/>
          <w:sz w:val="20"/>
          <w:szCs w:val="20"/>
        </w:rPr>
        <w:t xml:space="preserve"> most</w:t>
      </w:r>
      <w:r w:rsidR="00233A5D" w:rsidRPr="00693035">
        <w:rPr>
          <w:rFonts w:cstheme="minorHAnsi"/>
          <w:sz w:val="20"/>
          <w:szCs w:val="20"/>
        </w:rPr>
        <w:t xml:space="preserve"> prevalent Lyme disease Read codes</w:t>
      </w:r>
      <w:r w:rsidR="00E31755">
        <w:rPr>
          <w:rFonts w:cstheme="minorHAnsi"/>
          <w:sz w:val="20"/>
          <w:szCs w:val="20"/>
        </w:rPr>
        <w:t xml:space="preserve"> are displayed</w:t>
      </w:r>
      <w:r w:rsidR="00233A5D" w:rsidRPr="00693035">
        <w:rPr>
          <w:rFonts w:cstheme="minorHAnsi"/>
          <w:sz w:val="20"/>
          <w:szCs w:val="20"/>
        </w:rPr>
        <w:t>.</w:t>
      </w:r>
      <w:bookmarkEnd w:id="41"/>
    </w:p>
    <w:sectPr w:rsidR="00233A5D" w:rsidRPr="0068321E" w:rsidSect="00754A67">
      <w:headerReference w:type="default" r:id="rId9"/>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015F5" w14:textId="77777777" w:rsidR="00C66CF5" w:rsidRDefault="00C66CF5" w:rsidP="00D53D2B">
      <w:pPr>
        <w:spacing w:after="0" w:line="240" w:lineRule="auto"/>
      </w:pPr>
      <w:r>
        <w:separator/>
      </w:r>
    </w:p>
  </w:endnote>
  <w:endnote w:type="continuationSeparator" w:id="0">
    <w:p w14:paraId="7F29A60F" w14:textId="77777777" w:rsidR="00C66CF5" w:rsidRDefault="00C66CF5" w:rsidP="00D5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714156"/>
      <w:docPartObj>
        <w:docPartGallery w:val="Page Numbers (Bottom of Page)"/>
        <w:docPartUnique/>
      </w:docPartObj>
    </w:sdtPr>
    <w:sdtEndPr>
      <w:rPr>
        <w:noProof/>
      </w:rPr>
    </w:sdtEndPr>
    <w:sdtContent>
      <w:p w14:paraId="499CC3CE" w14:textId="7C54E231" w:rsidR="00C66CF5" w:rsidRDefault="00C66C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D47A6C" w14:textId="77777777" w:rsidR="00C66CF5" w:rsidRDefault="00C66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DC607" w14:textId="77777777" w:rsidR="00C66CF5" w:rsidRDefault="00C66CF5" w:rsidP="00D53D2B">
      <w:pPr>
        <w:spacing w:after="0" w:line="240" w:lineRule="auto"/>
      </w:pPr>
      <w:r>
        <w:separator/>
      </w:r>
    </w:p>
  </w:footnote>
  <w:footnote w:type="continuationSeparator" w:id="0">
    <w:p w14:paraId="5656ACA5" w14:textId="77777777" w:rsidR="00C66CF5" w:rsidRDefault="00C66CF5" w:rsidP="00D53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8A232" w14:textId="77777777" w:rsidR="00C66CF5" w:rsidRDefault="00C66CF5" w:rsidP="0025281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808D5"/>
    <w:multiLevelType w:val="hybridMultilevel"/>
    <w:tmpl w:val="1C16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F45774"/>
    <w:multiLevelType w:val="multilevel"/>
    <w:tmpl w:val="871A5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D6C71"/>
    <w:multiLevelType w:val="multilevel"/>
    <w:tmpl w:val="FD6CAA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8B4995"/>
    <w:multiLevelType w:val="hybridMultilevel"/>
    <w:tmpl w:val="1B249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834CCC"/>
    <w:multiLevelType w:val="multilevel"/>
    <w:tmpl w:val="DE8AF3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E52A86"/>
    <w:multiLevelType w:val="multilevel"/>
    <w:tmpl w:val="0CE617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877EB7"/>
    <w:multiLevelType w:val="hybridMultilevel"/>
    <w:tmpl w:val="F1A0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7F1667"/>
    <w:multiLevelType w:val="hybridMultilevel"/>
    <w:tmpl w:val="2586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D77CB2"/>
    <w:multiLevelType w:val="multilevel"/>
    <w:tmpl w:val="12DA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6"/>
  </w:num>
  <w:num w:numId="5">
    <w:abstractNumId w:val="2"/>
  </w:num>
  <w:num w:numId="6">
    <w:abstractNumId w:val="4"/>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86"/>
    <w:rsid w:val="000006B5"/>
    <w:rsid w:val="00000D2E"/>
    <w:rsid w:val="00003404"/>
    <w:rsid w:val="00004578"/>
    <w:rsid w:val="00007D81"/>
    <w:rsid w:val="00010398"/>
    <w:rsid w:val="00013CA7"/>
    <w:rsid w:val="00014388"/>
    <w:rsid w:val="00021796"/>
    <w:rsid w:val="00022387"/>
    <w:rsid w:val="000242BA"/>
    <w:rsid w:val="00026A40"/>
    <w:rsid w:val="00030B06"/>
    <w:rsid w:val="000314BC"/>
    <w:rsid w:val="0003601C"/>
    <w:rsid w:val="00036680"/>
    <w:rsid w:val="0004010F"/>
    <w:rsid w:val="000402DD"/>
    <w:rsid w:val="0004197F"/>
    <w:rsid w:val="00045F95"/>
    <w:rsid w:val="00046AE8"/>
    <w:rsid w:val="000506B5"/>
    <w:rsid w:val="00052ABE"/>
    <w:rsid w:val="00053FCC"/>
    <w:rsid w:val="00054BF8"/>
    <w:rsid w:val="00055DB4"/>
    <w:rsid w:val="000603FB"/>
    <w:rsid w:val="0006157E"/>
    <w:rsid w:val="00062134"/>
    <w:rsid w:val="00064923"/>
    <w:rsid w:val="00073717"/>
    <w:rsid w:val="00074C84"/>
    <w:rsid w:val="00074D6C"/>
    <w:rsid w:val="00076F54"/>
    <w:rsid w:val="000801A0"/>
    <w:rsid w:val="00087A09"/>
    <w:rsid w:val="00087BF7"/>
    <w:rsid w:val="000923A5"/>
    <w:rsid w:val="00095BE0"/>
    <w:rsid w:val="00095DF8"/>
    <w:rsid w:val="000A3DCC"/>
    <w:rsid w:val="000A7405"/>
    <w:rsid w:val="000B1E0A"/>
    <w:rsid w:val="000C0321"/>
    <w:rsid w:val="000C3B84"/>
    <w:rsid w:val="000C60DD"/>
    <w:rsid w:val="000D4FFE"/>
    <w:rsid w:val="000D5D30"/>
    <w:rsid w:val="000E014A"/>
    <w:rsid w:val="000E4BAA"/>
    <w:rsid w:val="000E57C6"/>
    <w:rsid w:val="000E6532"/>
    <w:rsid w:val="000F0668"/>
    <w:rsid w:val="000F2D6D"/>
    <w:rsid w:val="000F49F2"/>
    <w:rsid w:val="00101786"/>
    <w:rsid w:val="001027A7"/>
    <w:rsid w:val="0010281F"/>
    <w:rsid w:val="00104D94"/>
    <w:rsid w:val="001055EB"/>
    <w:rsid w:val="00106516"/>
    <w:rsid w:val="0011150A"/>
    <w:rsid w:val="001129C5"/>
    <w:rsid w:val="00117C35"/>
    <w:rsid w:val="00122768"/>
    <w:rsid w:val="001234BC"/>
    <w:rsid w:val="001236AE"/>
    <w:rsid w:val="00123DD4"/>
    <w:rsid w:val="00124CA6"/>
    <w:rsid w:val="0012700E"/>
    <w:rsid w:val="001301F9"/>
    <w:rsid w:val="001310EA"/>
    <w:rsid w:val="001345AD"/>
    <w:rsid w:val="00135A69"/>
    <w:rsid w:val="00136DE9"/>
    <w:rsid w:val="00137464"/>
    <w:rsid w:val="0014288D"/>
    <w:rsid w:val="00144489"/>
    <w:rsid w:val="001467D7"/>
    <w:rsid w:val="00152946"/>
    <w:rsid w:val="0015335C"/>
    <w:rsid w:val="00156DF9"/>
    <w:rsid w:val="00162CBA"/>
    <w:rsid w:val="00164185"/>
    <w:rsid w:val="001669F5"/>
    <w:rsid w:val="001704C5"/>
    <w:rsid w:val="001727B3"/>
    <w:rsid w:val="00181308"/>
    <w:rsid w:val="001841E0"/>
    <w:rsid w:val="00190D65"/>
    <w:rsid w:val="00191C80"/>
    <w:rsid w:val="001A01FD"/>
    <w:rsid w:val="001A2968"/>
    <w:rsid w:val="001A5F40"/>
    <w:rsid w:val="001A6A1A"/>
    <w:rsid w:val="001B09D1"/>
    <w:rsid w:val="001B233B"/>
    <w:rsid w:val="001B39FE"/>
    <w:rsid w:val="001C37AE"/>
    <w:rsid w:val="001D2386"/>
    <w:rsid w:val="001D4CC7"/>
    <w:rsid w:val="001E0785"/>
    <w:rsid w:val="001E24A3"/>
    <w:rsid w:val="001E2AF4"/>
    <w:rsid w:val="001E3763"/>
    <w:rsid w:val="001E4F46"/>
    <w:rsid w:val="001F0D5B"/>
    <w:rsid w:val="001F0FE2"/>
    <w:rsid w:val="001F399D"/>
    <w:rsid w:val="001F5B9C"/>
    <w:rsid w:val="001F5DB2"/>
    <w:rsid w:val="0020271C"/>
    <w:rsid w:val="002039FD"/>
    <w:rsid w:val="002121E1"/>
    <w:rsid w:val="002135F1"/>
    <w:rsid w:val="0021361A"/>
    <w:rsid w:val="002142F8"/>
    <w:rsid w:val="00220283"/>
    <w:rsid w:val="00222525"/>
    <w:rsid w:val="0022561F"/>
    <w:rsid w:val="002273BD"/>
    <w:rsid w:val="00233A5D"/>
    <w:rsid w:val="0023496E"/>
    <w:rsid w:val="00240CE3"/>
    <w:rsid w:val="00244F7D"/>
    <w:rsid w:val="00245782"/>
    <w:rsid w:val="002460D9"/>
    <w:rsid w:val="00252812"/>
    <w:rsid w:val="0025349E"/>
    <w:rsid w:val="00257D97"/>
    <w:rsid w:val="00260472"/>
    <w:rsid w:val="00265D38"/>
    <w:rsid w:val="0026630C"/>
    <w:rsid w:val="0026751F"/>
    <w:rsid w:val="00267744"/>
    <w:rsid w:val="0027004C"/>
    <w:rsid w:val="00272087"/>
    <w:rsid w:val="00273C92"/>
    <w:rsid w:val="00274C04"/>
    <w:rsid w:val="00276DC2"/>
    <w:rsid w:val="00277E54"/>
    <w:rsid w:val="0028224F"/>
    <w:rsid w:val="00283FB9"/>
    <w:rsid w:val="00286E3D"/>
    <w:rsid w:val="0029086C"/>
    <w:rsid w:val="002A5690"/>
    <w:rsid w:val="002A663A"/>
    <w:rsid w:val="002A732A"/>
    <w:rsid w:val="002A7673"/>
    <w:rsid w:val="002A788D"/>
    <w:rsid w:val="002B2819"/>
    <w:rsid w:val="002B331E"/>
    <w:rsid w:val="002B43D6"/>
    <w:rsid w:val="002B6D1C"/>
    <w:rsid w:val="002B7A22"/>
    <w:rsid w:val="002B7C7C"/>
    <w:rsid w:val="002C0AF4"/>
    <w:rsid w:val="002C0F47"/>
    <w:rsid w:val="002C18D1"/>
    <w:rsid w:val="002C1DC1"/>
    <w:rsid w:val="002C5A28"/>
    <w:rsid w:val="002C735D"/>
    <w:rsid w:val="002C74F2"/>
    <w:rsid w:val="002D1FA0"/>
    <w:rsid w:val="002D3066"/>
    <w:rsid w:val="002D3908"/>
    <w:rsid w:val="002D3D22"/>
    <w:rsid w:val="002D4EEA"/>
    <w:rsid w:val="002E0EC9"/>
    <w:rsid w:val="002E65B1"/>
    <w:rsid w:val="002F0C0F"/>
    <w:rsid w:val="002F7115"/>
    <w:rsid w:val="002F7C5B"/>
    <w:rsid w:val="003012E2"/>
    <w:rsid w:val="00302786"/>
    <w:rsid w:val="00306C1E"/>
    <w:rsid w:val="00310E23"/>
    <w:rsid w:val="00311402"/>
    <w:rsid w:val="0031289A"/>
    <w:rsid w:val="00316273"/>
    <w:rsid w:val="00320508"/>
    <w:rsid w:val="00322BBD"/>
    <w:rsid w:val="00323312"/>
    <w:rsid w:val="0032356B"/>
    <w:rsid w:val="00323BD5"/>
    <w:rsid w:val="003256DB"/>
    <w:rsid w:val="0033100E"/>
    <w:rsid w:val="003316AA"/>
    <w:rsid w:val="00331C8F"/>
    <w:rsid w:val="0033232A"/>
    <w:rsid w:val="0033457D"/>
    <w:rsid w:val="00335A49"/>
    <w:rsid w:val="003363E1"/>
    <w:rsid w:val="00337B57"/>
    <w:rsid w:val="00340E3B"/>
    <w:rsid w:val="00341993"/>
    <w:rsid w:val="00344F6A"/>
    <w:rsid w:val="00346EF4"/>
    <w:rsid w:val="00352A4D"/>
    <w:rsid w:val="0035337C"/>
    <w:rsid w:val="003566E4"/>
    <w:rsid w:val="00363C35"/>
    <w:rsid w:val="0036560E"/>
    <w:rsid w:val="00371008"/>
    <w:rsid w:val="00371B7A"/>
    <w:rsid w:val="00374C92"/>
    <w:rsid w:val="0037567C"/>
    <w:rsid w:val="003757F6"/>
    <w:rsid w:val="003818BD"/>
    <w:rsid w:val="0038317D"/>
    <w:rsid w:val="0038500D"/>
    <w:rsid w:val="003873E2"/>
    <w:rsid w:val="003919EA"/>
    <w:rsid w:val="00393B4A"/>
    <w:rsid w:val="00394FC5"/>
    <w:rsid w:val="003969F8"/>
    <w:rsid w:val="003A0BDE"/>
    <w:rsid w:val="003A1824"/>
    <w:rsid w:val="003A35BC"/>
    <w:rsid w:val="003A6AE8"/>
    <w:rsid w:val="003B2C98"/>
    <w:rsid w:val="003B711D"/>
    <w:rsid w:val="003C0A1B"/>
    <w:rsid w:val="003C1289"/>
    <w:rsid w:val="003C1DE4"/>
    <w:rsid w:val="003C6939"/>
    <w:rsid w:val="003D4979"/>
    <w:rsid w:val="003D5EE1"/>
    <w:rsid w:val="003D7AF2"/>
    <w:rsid w:val="003E32ED"/>
    <w:rsid w:val="003E62B1"/>
    <w:rsid w:val="003E77B7"/>
    <w:rsid w:val="003F4055"/>
    <w:rsid w:val="003F55B6"/>
    <w:rsid w:val="003F76DF"/>
    <w:rsid w:val="00400E73"/>
    <w:rsid w:val="00403C7F"/>
    <w:rsid w:val="00410533"/>
    <w:rsid w:val="004127ED"/>
    <w:rsid w:val="00415AC0"/>
    <w:rsid w:val="0042018A"/>
    <w:rsid w:val="00421806"/>
    <w:rsid w:val="004230C5"/>
    <w:rsid w:val="0043414E"/>
    <w:rsid w:val="004365CE"/>
    <w:rsid w:val="004424D3"/>
    <w:rsid w:val="00450A72"/>
    <w:rsid w:val="00452F62"/>
    <w:rsid w:val="00453770"/>
    <w:rsid w:val="00455EE5"/>
    <w:rsid w:val="00463F7D"/>
    <w:rsid w:val="00464A0F"/>
    <w:rsid w:val="0047001A"/>
    <w:rsid w:val="004756DE"/>
    <w:rsid w:val="00477D0E"/>
    <w:rsid w:val="00480C73"/>
    <w:rsid w:val="004812F7"/>
    <w:rsid w:val="0048541F"/>
    <w:rsid w:val="00485636"/>
    <w:rsid w:val="004857CC"/>
    <w:rsid w:val="0048705D"/>
    <w:rsid w:val="00490C56"/>
    <w:rsid w:val="00493D1F"/>
    <w:rsid w:val="0049576D"/>
    <w:rsid w:val="00497C03"/>
    <w:rsid w:val="004A0CCC"/>
    <w:rsid w:val="004A655C"/>
    <w:rsid w:val="004A6D24"/>
    <w:rsid w:val="004B037F"/>
    <w:rsid w:val="004B434E"/>
    <w:rsid w:val="004B59C5"/>
    <w:rsid w:val="004B6F2D"/>
    <w:rsid w:val="004C06EA"/>
    <w:rsid w:val="004C089C"/>
    <w:rsid w:val="004C206E"/>
    <w:rsid w:val="004C303B"/>
    <w:rsid w:val="004C4EDC"/>
    <w:rsid w:val="004C7F6B"/>
    <w:rsid w:val="004D35B8"/>
    <w:rsid w:val="004D4650"/>
    <w:rsid w:val="004D600B"/>
    <w:rsid w:val="004E3C15"/>
    <w:rsid w:val="004E6DFA"/>
    <w:rsid w:val="004E6E43"/>
    <w:rsid w:val="004F01D1"/>
    <w:rsid w:val="004F01DA"/>
    <w:rsid w:val="004F39D0"/>
    <w:rsid w:val="00506DB6"/>
    <w:rsid w:val="00511F18"/>
    <w:rsid w:val="00512BFA"/>
    <w:rsid w:val="005148C9"/>
    <w:rsid w:val="00517896"/>
    <w:rsid w:val="00521748"/>
    <w:rsid w:val="00521897"/>
    <w:rsid w:val="00524AA4"/>
    <w:rsid w:val="00525DDB"/>
    <w:rsid w:val="00532DC6"/>
    <w:rsid w:val="0053372B"/>
    <w:rsid w:val="00535828"/>
    <w:rsid w:val="00536A52"/>
    <w:rsid w:val="00536CB9"/>
    <w:rsid w:val="00544AFF"/>
    <w:rsid w:val="005453BE"/>
    <w:rsid w:val="0054540D"/>
    <w:rsid w:val="005465B7"/>
    <w:rsid w:val="00550AC1"/>
    <w:rsid w:val="00551C59"/>
    <w:rsid w:val="00561269"/>
    <w:rsid w:val="0056261F"/>
    <w:rsid w:val="00565FAF"/>
    <w:rsid w:val="005672AC"/>
    <w:rsid w:val="0056777D"/>
    <w:rsid w:val="00567921"/>
    <w:rsid w:val="00572E6B"/>
    <w:rsid w:val="005760FD"/>
    <w:rsid w:val="005777CC"/>
    <w:rsid w:val="00582DDB"/>
    <w:rsid w:val="005861A6"/>
    <w:rsid w:val="00587B50"/>
    <w:rsid w:val="00587CAC"/>
    <w:rsid w:val="00587E84"/>
    <w:rsid w:val="0059175E"/>
    <w:rsid w:val="00592DFD"/>
    <w:rsid w:val="00597B6E"/>
    <w:rsid w:val="005A0275"/>
    <w:rsid w:val="005A196E"/>
    <w:rsid w:val="005A420F"/>
    <w:rsid w:val="005A7391"/>
    <w:rsid w:val="005B1588"/>
    <w:rsid w:val="005B5240"/>
    <w:rsid w:val="005B7AC0"/>
    <w:rsid w:val="005C1234"/>
    <w:rsid w:val="005C3780"/>
    <w:rsid w:val="005C7E52"/>
    <w:rsid w:val="005C7F08"/>
    <w:rsid w:val="005D2102"/>
    <w:rsid w:val="005D4EAE"/>
    <w:rsid w:val="005F121D"/>
    <w:rsid w:val="005F5E33"/>
    <w:rsid w:val="00602ADD"/>
    <w:rsid w:val="00605164"/>
    <w:rsid w:val="00607302"/>
    <w:rsid w:val="006076AB"/>
    <w:rsid w:val="00614F05"/>
    <w:rsid w:val="00615CF8"/>
    <w:rsid w:val="00616B04"/>
    <w:rsid w:val="00616DC5"/>
    <w:rsid w:val="00627275"/>
    <w:rsid w:val="0063160D"/>
    <w:rsid w:val="006334B0"/>
    <w:rsid w:val="00635667"/>
    <w:rsid w:val="00636795"/>
    <w:rsid w:val="00641618"/>
    <w:rsid w:val="00645F96"/>
    <w:rsid w:val="0064645F"/>
    <w:rsid w:val="00652A43"/>
    <w:rsid w:val="00653109"/>
    <w:rsid w:val="00656A16"/>
    <w:rsid w:val="00656F0E"/>
    <w:rsid w:val="00660BCA"/>
    <w:rsid w:val="00661DB4"/>
    <w:rsid w:val="006651C0"/>
    <w:rsid w:val="0066570E"/>
    <w:rsid w:val="0067036E"/>
    <w:rsid w:val="0067423A"/>
    <w:rsid w:val="006760A3"/>
    <w:rsid w:val="00676AAC"/>
    <w:rsid w:val="00681117"/>
    <w:rsid w:val="0068321E"/>
    <w:rsid w:val="006848BB"/>
    <w:rsid w:val="0068683C"/>
    <w:rsid w:val="00693035"/>
    <w:rsid w:val="006961C5"/>
    <w:rsid w:val="006965BB"/>
    <w:rsid w:val="006A1448"/>
    <w:rsid w:val="006A2780"/>
    <w:rsid w:val="006A461B"/>
    <w:rsid w:val="006A4A4F"/>
    <w:rsid w:val="006A5445"/>
    <w:rsid w:val="006A7575"/>
    <w:rsid w:val="006B02CB"/>
    <w:rsid w:val="006B1AD8"/>
    <w:rsid w:val="006B32A4"/>
    <w:rsid w:val="006B3DAE"/>
    <w:rsid w:val="006B585F"/>
    <w:rsid w:val="006C02DE"/>
    <w:rsid w:val="006C11CE"/>
    <w:rsid w:val="006C148C"/>
    <w:rsid w:val="006C51B9"/>
    <w:rsid w:val="006C5515"/>
    <w:rsid w:val="006C64E3"/>
    <w:rsid w:val="006D2EDB"/>
    <w:rsid w:val="006D437C"/>
    <w:rsid w:val="006D69A6"/>
    <w:rsid w:val="006D71BF"/>
    <w:rsid w:val="006D7AB1"/>
    <w:rsid w:val="006E7FF8"/>
    <w:rsid w:val="006F5510"/>
    <w:rsid w:val="00700260"/>
    <w:rsid w:val="007006B7"/>
    <w:rsid w:val="007034E3"/>
    <w:rsid w:val="00706603"/>
    <w:rsid w:val="00712669"/>
    <w:rsid w:val="007149EA"/>
    <w:rsid w:val="00720794"/>
    <w:rsid w:val="00726504"/>
    <w:rsid w:val="0072668F"/>
    <w:rsid w:val="00727B7A"/>
    <w:rsid w:val="007327DB"/>
    <w:rsid w:val="007330E4"/>
    <w:rsid w:val="007349FE"/>
    <w:rsid w:val="00734EBA"/>
    <w:rsid w:val="00741603"/>
    <w:rsid w:val="0074738F"/>
    <w:rsid w:val="00753645"/>
    <w:rsid w:val="007541C3"/>
    <w:rsid w:val="00754A67"/>
    <w:rsid w:val="0075558E"/>
    <w:rsid w:val="00756D6E"/>
    <w:rsid w:val="00761033"/>
    <w:rsid w:val="007631F8"/>
    <w:rsid w:val="00764302"/>
    <w:rsid w:val="00764766"/>
    <w:rsid w:val="00771CFB"/>
    <w:rsid w:val="00772AC8"/>
    <w:rsid w:val="007775E2"/>
    <w:rsid w:val="0077795E"/>
    <w:rsid w:val="00782AD2"/>
    <w:rsid w:val="00782F8D"/>
    <w:rsid w:val="00794010"/>
    <w:rsid w:val="007941CD"/>
    <w:rsid w:val="007A14E7"/>
    <w:rsid w:val="007A1E77"/>
    <w:rsid w:val="007A2C54"/>
    <w:rsid w:val="007B58EE"/>
    <w:rsid w:val="007C0D07"/>
    <w:rsid w:val="007C3A6A"/>
    <w:rsid w:val="007C44F4"/>
    <w:rsid w:val="007C7FDC"/>
    <w:rsid w:val="007D2AE5"/>
    <w:rsid w:val="007D4B77"/>
    <w:rsid w:val="007E3AC7"/>
    <w:rsid w:val="007E5116"/>
    <w:rsid w:val="007F1142"/>
    <w:rsid w:val="00800B2D"/>
    <w:rsid w:val="00803A2F"/>
    <w:rsid w:val="00804586"/>
    <w:rsid w:val="00804874"/>
    <w:rsid w:val="0081636C"/>
    <w:rsid w:val="00816A96"/>
    <w:rsid w:val="00816B83"/>
    <w:rsid w:val="00820C48"/>
    <w:rsid w:val="00823154"/>
    <w:rsid w:val="00826007"/>
    <w:rsid w:val="00827592"/>
    <w:rsid w:val="00831D78"/>
    <w:rsid w:val="00831DEF"/>
    <w:rsid w:val="00836523"/>
    <w:rsid w:val="00836A8C"/>
    <w:rsid w:val="00836F45"/>
    <w:rsid w:val="00840629"/>
    <w:rsid w:val="00841EF8"/>
    <w:rsid w:val="0084524F"/>
    <w:rsid w:val="00846DEF"/>
    <w:rsid w:val="00852770"/>
    <w:rsid w:val="00853F7F"/>
    <w:rsid w:val="008573CA"/>
    <w:rsid w:val="00862348"/>
    <w:rsid w:val="00863769"/>
    <w:rsid w:val="008645EF"/>
    <w:rsid w:val="00872031"/>
    <w:rsid w:val="00875AF1"/>
    <w:rsid w:val="00875C54"/>
    <w:rsid w:val="008822AD"/>
    <w:rsid w:val="00882D6D"/>
    <w:rsid w:val="00883BE2"/>
    <w:rsid w:val="008863AD"/>
    <w:rsid w:val="008921ED"/>
    <w:rsid w:val="008935D3"/>
    <w:rsid w:val="008945AF"/>
    <w:rsid w:val="00895284"/>
    <w:rsid w:val="008A24A3"/>
    <w:rsid w:val="008A339E"/>
    <w:rsid w:val="008A3C41"/>
    <w:rsid w:val="008A6742"/>
    <w:rsid w:val="008B14D7"/>
    <w:rsid w:val="008B224E"/>
    <w:rsid w:val="008B29FD"/>
    <w:rsid w:val="008B445A"/>
    <w:rsid w:val="008B4ECF"/>
    <w:rsid w:val="008C3673"/>
    <w:rsid w:val="008D1CA0"/>
    <w:rsid w:val="008D7231"/>
    <w:rsid w:val="008E2487"/>
    <w:rsid w:val="008E295B"/>
    <w:rsid w:val="008E29F5"/>
    <w:rsid w:val="008E6688"/>
    <w:rsid w:val="008F2BD1"/>
    <w:rsid w:val="009071CF"/>
    <w:rsid w:val="00911180"/>
    <w:rsid w:val="00917715"/>
    <w:rsid w:val="009201CC"/>
    <w:rsid w:val="009261EB"/>
    <w:rsid w:val="0092750D"/>
    <w:rsid w:val="00936D96"/>
    <w:rsid w:val="00942870"/>
    <w:rsid w:val="00942C12"/>
    <w:rsid w:val="009434E4"/>
    <w:rsid w:val="00945760"/>
    <w:rsid w:val="009535AA"/>
    <w:rsid w:val="009539BD"/>
    <w:rsid w:val="009563A6"/>
    <w:rsid w:val="00956A82"/>
    <w:rsid w:val="009617B6"/>
    <w:rsid w:val="009626CD"/>
    <w:rsid w:val="009640F5"/>
    <w:rsid w:val="00966726"/>
    <w:rsid w:val="00967A99"/>
    <w:rsid w:val="00971BBB"/>
    <w:rsid w:val="00974072"/>
    <w:rsid w:val="009760D9"/>
    <w:rsid w:val="009809BA"/>
    <w:rsid w:val="00981D17"/>
    <w:rsid w:val="00987478"/>
    <w:rsid w:val="00987A1A"/>
    <w:rsid w:val="00991AA8"/>
    <w:rsid w:val="009966D4"/>
    <w:rsid w:val="00996E97"/>
    <w:rsid w:val="009A0C68"/>
    <w:rsid w:val="009A2EF8"/>
    <w:rsid w:val="009A3666"/>
    <w:rsid w:val="009A531F"/>
    <w:rsid w:val="009A631F"/>
    <w:rsid w:val="009B21B0"/>
    <w:rsid w:val="009B38D6"/>
    <w:rsid w:val="009B438E"/>
    <w:rsid w:val="009B4C0C"/>
    <w:rsid w:val="009B67EB"/>
    <w:rsid w:val="009C1AB0"/>
    <w:rsid w:val="009C5E01"/>
    <w:rsid w:val="009C5EA2"/>
    <w:rsid w:val="009C75DA"/>
    <w:rsid w:val="009D05FD"/>
    <w:rsid w:val="009D487F"/>
    <w:rsid w:val="009F1750"/>
    <w:rsid w:val="009F324F"/>
    <w:rsid w:val="009F5C05"/>
    <w:rsid w:val="00A0044C"/>
    <w:rsid w:val="00A00744"/>
    <w:rsid w:val="00A0454D"/>
    <w:rsid w:val="00A05D8D"/>
    <w:rsid w:val="00A06EB3"/>
    <w:rsid w:val="00A078A2"/>
    <w:rsid w:val="00A10498"/>
    <w:rsid w:val="00A16F55"/>
    <w:rsid w:val="00A17928"/>
    <w:rsid w:val="00A24E6E"/>
    <w:rsid w:val="00A27DF9"/>
    <w:rsid w:val="00A324FC"/>
    <w:rsid w:val="00A33C16"/>
    <w:rsid w:val="00A33CEF"/>
    <w:rsid w:val="00A353D8"/>
    <w:rsid w:val="00A37EDC"/>
    <w:rsid w:val="00A40709"/>
    <w:rsid w:val="00A437F9"/>
    <w:rsid w:val="00A447C0"/>
    <w:rsid w:val="00A44EED"/>
    <w:rsid w:val="00A51267"/>
    <w:rsid w:val="00A5196F"/>
    <w:rsid w:val="00A5464C"/>
    <w:rsid w:val="00A61DDC"/>
    <w:rsid w:val="00A64C1B"/>
    <w:rsid w:val="00A66639"/>
    <w:rsid w:val="00A6734F"/>
    <w:rsid w:val="00A7182E"/>
    <w:rsid w:val="00A736E6"/>
    <w:rsid w:val="00A76BDA"/>
    <w:rsid w:val="00A777DD"/>
    <w:rsid w:val="00A80E79"/>
    <w:rsid w:val="00A81B68"/>
    <w:rsid w:val="00A81C95"/>
    <w:rsid w:val="00A81F9B"/>
    <w:rsid w:val="00A83651"/>
    <w:rsid w:val="00A90190"/>
    <w:rsid w:val="00A93183"/>
    <w:rsid w:val="00A93289"/>
    <w:rsid w:val="00A974AF"/>
    <w:rsid w:val="00AA56EE"/>
    <w:rsid w:val="00AA5D4A"/>
    <w:rsid w:val="00AA69BB"/>
    <w:rsid w:val="00AB0742"/>
    <w:rsid w:val="00AC2C89"/>
    <w:rsid w:val="00AC3EB9"/>
    <w:rsid w:val="00AC586B"/>
    <w:rsid w:val="00AD1594"/>
    <w:rsid w:val="00AD460A"/>
    <w:rsid w:val="00AD5415"/>
    <w:rsid w:val="00AD5499"/>
    <w:rsid w:val="00AF328C"/>
    <w:rsid w:val="00AF394C"/>
    <w:rsid w:val="00AF4E25"/>
    <w:rsid w:val="00B01C85"/>
    <w:rsid w:val="00B04E41"/>
    <w:rsid w:val="00B07BB2"/>
    <w:rsid w:val="00B07C62"/>
    <w:rsid w:val="00B13596"/>
    <w:rsid w:val="00B16762"/>
    <w:rsid w:val="00B21196"/>
    <w:rsid w:val="00B26A56"/>
    <w:rsid w:val="00B26B28"/>
    <w:rsid w:val="00B273AE"/>
    <w:rsid w:val="00B3069D"/>
    <w:rsid w:val="00B31162"/>
    <w:rsid w:val="00B31729"/>
    <w:rsid w:val="00B33BA5"/>
    <w:rsid w:val="00B34CD5"/>
    <w:rsid w:val="00B40619"/>
    <w:rsid w:val="00B41978"/>
    <w:rsid w:val="00B51A42"/>
    <w:rsid w:val="00B51F2E"/>
    <w:rsid w:val="00B544ED"/>
    <w:rsid w:val="00B57F1B"/>
    <w:rsid w:val="00B66676"/>
    <w:rsid w:val="00B66C72"/>
    <w:rsid w:val="00B70FFD"/>
    <w:rsid w:val="00B748DF"/>
    <w:rsid w:val="00B80697"/>
    <w:rsid w:val="00B856AB"/>
    <w:rsid w:val="00BA0D28"/>
    <w:rsid w:val="00BA3211"/>
    <w:rsid w:val="00BA3E31"/>
    <w:rsid w:val="00BA4EAF"/>
    <w:rsid w:val="00BA6FC1"/>
    <w:rsid w:val="00BB7857"/>
    <w:rsid w:val="00BB78D9"/>
    <w:rsid w:val="00BC353C"/>
    <w:rsid w:val="00BC509D"/>
    <w:rsid w:val="00BD1039"/>
    <w:rsid w:val="00BD578E"/>
    <w:rsid w:val="00BD5E80"/>
    <w:rsid w:val="00BE09D2"/>
    <w:rsid w:val="00BE5A67"/>
    <w:rsid w:val="00BE6882"/>
    <w:rsid w:val="00BF0EE5"/>
    <w:rsid w:val="00BF1369"/>
    <w:rsid w:val="00BF23D2"/>
    <w:rsid w:val="00BF42DD"/>
    <w:rsid w:val="00BF5267"/>
    <w:rsid w:val="00BF6604"/>
    <w:rsid w:val="00C019AA"/>
    <w:rsid w:val="00C030A9"/>
    <w:rsid w:val="00C045A8"/>
    <w:rsid w:val="00C04C2A"/>
    <w:rsid w:val="00C06727"/>
    <w:rsid w:val="00C1193E"/>
    <w:rsid w:val="00C11AE5"/>
    <w:rsid w:val="00C13115"/>
    <w:rsid w:val="00C16828"/>
    <w:rsid w:val="00C22F46"/>
    <w:rsid w:val="00C31630"/>
    <w:rsid w:val="00C32A34"/>
    <w:rsid w:val="00C32D0D"/>
    <w:rsid w:val="00C4032B"/>
    <w:rsid w:val="00C4564B"/>
    <w:rsid w:val="00C47FBE"/>
    <w:rsid w:val="00C51209"/>
    <w:rsid w:val="00C549D3"/>
    <w:rsid w:val="00C57F36"/>
    <w:rsid w:val="00C62B1D"/>
    <w:rsid w:val="00C665A9"/>
    <w:rsid w:val="00C66CF5"/>
    <w:rsid w:val="00C7313F"/>
    <w:rsid w:val="00C761AE"/>
    <w:rsid w:val="00C77880"/>
    <w:rsid w:val="00C82DE1"/>
    <w:rsid w:val="00C838B2"/>
    <w:rsid w:val="00C86A6E"/>
    <w:rsid w:val="00C878B4"/>
    <w:rsid w:val="00C90C06"/>
    <w:rsid w:val="00C976B2"/>
    <w:rsid w:val="00C97D20"/>
    <w:rsid w:val="00CA121F"/>
    <w:rsid w:val="00CA6B41"/>
    <w:rsid w:val="00CC20FA"/>
    <w:rsid w:val="00CC3D65"/>
    <w:rsid w:val="00CD6C66"/>
    <w:rsid w:val="00CE00C4"/>
    <w:rsid w:val="00CE0D7D"/>
    <w:rsid w:val="00CE52B8"/>
    <w:rsid w:val="00CE530E"/>
    <w:rsid w:val="00CE7B14"/>
    <w:rsid w:val="00CF0561"/>
    <w:rsid w:val="00CF3653"/>
    <w:rsid w:val="00CF36AC"/>
    <w:rsid w:val="00CF381C"/>
    <w:rsid w:val="00D02388"/>
    <w:rsid w:val="00D05F75"/>
    <w:rsid w:val="00D10852"/>
    <w:rsid w:val="00D11403"/>
    <w:rsid w:val="00D11FDB"/>
    <w:rsid w:val="00D12416"/>
    <w:rsid w:val="00D1405F"/>
    <w:rsid w:val="00D14250"/>
    <w:rsid w:val="00D14D69"/>
    <w:rsid w:val="00D158B1"/>
    <w:rsid w:val="00D21417"/>
    <w:rsid w:val="00D2496F"/>
    <w:rsid w:val="00D26AFC"/>
    <w:rsid w:val="00D26FF3"/>
    <w:rsid w:val="00D27B9B"/>
    <w:rsid w:val="00D27F1D"/>
    <w:rsid w:val="00D3007B"/>
    <w:rsid w:val="00D347C1"/>
    <w:rsid w:val="00D36227"/>
    <w:rsid w:val="00D366BD"/>
    <w:rsid w:val="00D4240A"/>
    <w:rsid w:val="00D431DF"/>
    <w:rsid w:val="00D440A0"/>
    <w:rsid w:val="00D47930"/>
    <w:rsid w:val="00D5396B"/>
    <w:rsid w:val="00D53D2B"/>
    <w:rsid w:val="00D63EC8"/>
    <w:rsid w:val="00D64C2B"/>
    <w:rsid w:val="00D711FB"/>
    <w:rsid w:val="00D76030"/>
    <w:rsid w:val="00D76488"/>
    <w:rsid w:val="00D81ABC"/>
    <w:rsid w:val="00D84DAA"/>
    <w:rsid w:val="00D874E6"/>
    <w:rsid w:val="00D906E1"/>
    <w:rsid w:val="00D9474F"/>
    <w:rsid w:val="00D948ED"/>
    <w:rsid w:val="00DA310F"/>
    <w:rsid w:val="00DA4EB6"/>
    <w:rsid w:val="00DA5C48"/>
    <w:rsid w:val="00DB0DF7"/>
    <w:rsid w:val="00DB1614"/>
    <w:rsid w:val="00DC23B8"/>
    <w:rsid w:val="00DC4995"/>
    <w:rsid w:val="00DC51A6"/>
    <w:rsid w:val="00DC69FA"/>
    <w:rsid w:val="00DC6A32"/>
    <w:rsid w:val="00DC7017"/>
    <w:rsid w:val="00DD0598"/>
    <w:rsid w:val="00DD3BC0"/>
    <w:rsid w:val="00DD42FB"/>
    <w:rsid w:val="00DE49B6"/>
    <w:rsid w:val="00DE613E"/>
    <w:rsid w:val="00DE6E4F"/>
    <w:rsid w:val="00DF02EC"/>
    <w:rsid w:val="00DF2E67"/>
    <w:rsid w:val="00DF4650"/>
    <w:rsid w:val="00DF57A4"/>
    <w:rsid w:val="00DF66C0"/>
    <w:rsid w:val="00E0051F"/>
    <w:rsid w:val="00E02261"/>
    <w:rsid w:val="00E060B5"/>
    <w:rsid w:val="00E10D96"/>
    <w:rsid w:val="00E12602"/>
    <w:rsid w:val="00E15E85"/>
    <w:rsid w:val="00E15E98"/>
    <w:rsid w:val="00E16576"/>
    <w:rsid w:val="00E17F6E"/>
    <w:rsid w:val="00E22CAE"/>
    <w:rsid w:val="00E24930"/>
    <w:rsid w:val="00E2516C"/>
    <w:rsid w:val="00E26A33"/>
    <w:rsid w:val="00E31755"/>
    <w:rsid w:val="00E32264"/>
    <w:rsid w:val="00E33D97"/>
    <w:rsid w:val="00E3640D"/>
    <w:rsid w:val="00E36839"/>
    <w:rsid w:val="00E40347"/>
    <w:rsid w:val="00E40F00"/>
    <w:rsid w:val="00E473AD"/>
    <w:rsid w:val="00E561DA"/>
    <w:rsid w:val="00E572AE"/>
    <w:rsid w:val="00E5776E"/>
    <w:rsid w:val="00E6070B"/>
    <w:rsid w:val="00E61B3C"/>
    <w:rsid w:val="00E63924"/>
    <w:rsid w:val="00E64BD4"/>
    <w:rsid w:val="00E64F73"/>
    <w:rsid w:val="00E70F4E"/>
    <w:rsid w:val="00E75234"/>
    <w:rsid w:val="00E75439"/>
    <w:rsid w:val="00E84283"/>
    <w:rsid w:val="00E92016"/>
    <w:rsid w:val="00E924E0"/>
    <w:rsid w:val="00E9792A"/>
    <w:rsid w:val="00EA2E64"/>
    <w:rsid w:val="00EA59ED"/>
    <w:rsid w:val="00EA5EF1"/>
    <w:rsid w:val="00EB1179"/>
    <w:rsid w:val="00EB149E"/>
    <w:rsid w:val="00EB1E3B"/>
    <w:rsid w:val="00EB2910"/>
    <w:rsid w:val="00EB38D7"/>
    <w:rsid w:val="00EC02B0"/>
    <w:rsid w:val="00EC2EA0"/>
    <w:rsid w:val="00EC5B47"/>
    <w:rsid w:val="00EC7F7E"/>
    <w:rsid w:val="00ED3D85"/>
    <w:rsid w:val="00ED4243"/>
    <w:rsid w:val="00ED675D"/>
    <w:rsid w:val="00EE1CB8"/>
    <w:rsid w:val="00EE658E"/>
    <w:rsid w:val="00EF04F9"/>
    <w:rsid w:val="00EF4FC5"/>
    <w:rsid w:val="00F02403"/>
    <w:rsid w:val="00F06C07"/>
    <w:rsid w:val="00F07027"/>
    <w:rsid w:val="00F10027"/>
    <w:rsid w:val="00F11D8B"/>
    <w:rsid w:val="00F1396A"/>
    <w:rsid w:val="00F17969"/>
    <w:rsid w:val="00F20FA5"/>
    <w:rsid w:val="00F2421F"/>
    <w:rsid w:val="00F3739A"/>
    <w:rsid w:val="00F37CC7"/>
    <w:rsid w:val="00F50EA4"/>
    <w:rsid w:val="00F52571"/>
    <w:rsid w:val="00F60CCD"/>
    <w:rsid w:val="00F61E18"/>
    <w:rsid w:val="00F62E11"/>
    <w:rsid w:val="00F64CBB"/>
    <w:rsid w:val="00F65296"/>
    <w:rsid w:val="00F6739D"/>
    <w:rsid w:val="00F678BB"/>
    <w:rsid w:val="00F7087E"/>
    <w:rsid w:val="00F7610D"/>
    <w:rsid w:val="00F77F08"/>
    <w:rsid w:val="00F802E1"/>
    <w:rsid w:val="00F8033F"/>
    <w:rsid w:val="00F810A0"/>
    <w:rsid w:val="00F81132"/>
    <w:rsid w:val="00F82DBD"/>
    <w:rsid w:val="00F84533"/>
    <w:rsid w:val="00F84CF4"/>
    <w:rsid w:val="00F85C19"/>
    <w:rsid w:val="00F86328"/>
    <w:rsid w:val="00F91EF3"/>
    <w:rsid w:val="00F939DA"/>
    <w:rsid w:val="00F952C5"/>
    <w:rsid w:val="00FA2FF9"/>
    <w:rsid w:val="00FA679D"/>
    <w:rsid w:val="00FA7721"/>
    <w:rsid w:val="00FB22B2"/>
    <w:rsid w:val="00FB5363"/>
    <w:rsid w:val="00FB67A9"/>
    <w:rsid w:val="00FB7C53"/>
    <w:rsid w:val="00FB7F9B"/>
    <w:rsid w:val="00FC154A"/>
    <w:rsid w:val="00FC1C8C"/>
    <w:rsid w:val="00FD1454"/>
    <w:rsid w:val="00FD2FD3"/>
    <w:rsid w:val="00FE14A8"/>
    <w:rsid w:val="00FE29E1"/>
    <w:rsid w:val="00FE453B"/>
    <w:rsid w:val="00FE654D"/>
    <w:rsid w:val="00FE6DF0"/>
    <w:rsid w:val="00FE72FB"/>
    <w:rsid w:val="00FF17E5"/>
    <w:rsid w:val="00FF3850"/>
    <w:rsid w:val="00FF4A2F"/>
    <w:rsid w:val="00FF7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DECCE7"/>
  <w15:docId w15:val="{F3D40AAA-2433-4C89-8DE1-77817175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3">
    <w:name w:val="heading 3"/>
    <w:basedOn w:val="Normal"/>
    <w:link w:val="Heading3Char"/>
    <w:uiPriority w:val="9"/>
    <w:qFormat/>
    <w:rsid w:val="00F7087E"/>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763"/>
    <w:rPr>
      <w:color w:val="0000FF" w:themeColor="hyperlink"/>
      <w:u w:val="single"/>
    </w:rPr>
  </w:style>
  <w:style w:type="character" w:styleId="Strong">
    <w:name w:val="Strong"/>
    <w:basedOn w:val="DefaultParagraphFont"/>
    <w:uiPriority w:val="22"/>
    <w:qFormat/>
    <w:rsid w:val="00661DB4"/>
    <w:rPr>
      <w:b/>
      <w:bCs/>
    </w:rPr>
  </w:style>
  <w:style w:type="table" w:styleId="TableGrid">
    <w:name w:val="Table Grid"/>
    <w:basedOn w:val="TableNormal"/>
    <w:uiPriority w:val="39"/>
    <w:rsid w:val="00D11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2946"/>
    <w:rPr>
      <w:sz w:val="16"/>
      <w:szCs w:val="16"/>
    </w:rPr>
  </w:style>
  <w:style w:type="paragraph" w:styleId="CommentText">
    <w:name w:val="annotation text"/>
    <w:basedOn w:val="Normal"/>
    <w:link w:val="CommentTextChar"/>
    <w:uiPriority w:val="99"/>
    <w:unhideWhenUsed/>
    <w:rsid w:val="00152946"/>
    <w:pPr>
      <w:spacing w:line="240" w:lineRule="auto"/>
    </w:pPr>
    <w:rPr>
      <w:sz w:val="20"/>
      <w:szCs w:val="20"/>
    </w:rPr>
  </w:style>
  <w:style w:type="character" w:customStyle="1" w:styleId="CommentTextChar">
    <w:name w:val="Comment Text Char"/>
    <w:basedOn w:val="DefaultParagraphFont"/>
    <w:link w:val="CommentText"/>
    <w:uiPriority w:val="99"/>
    <w:rsid w:val="00152946"/>
    <w:rPr>
      <w:sz w:val="20"/>
      <w:szCs w:val="20"/>
      <w:lang w:val="en-US"/>
    </w:rPr>
  </w:style>
  <w:style w:type="paragraph" w:styleId="CommentSubject">
    <w:name w:val="annotation subject"/>
    <w:basedOn w:val="CommentText"/>
    <w:next w:val="CommentText"/>
    <w:link w:val="CommentSubjectChar"/>
    <w:uiPriority w:val="99"/>
    <w:semiHidden/>
    <w:unhideWhenUsed/>
    <w:rsid w:val="00152946"/>
    <w:rPr>
      <w:b/>
      <w:bCs/>
    </w:rPr>
  </w:style>
  <w:style w:type="character" w:customStyle="1" w:styleId="CommentSubjectChar">
    <w:name w:val="Comment Subject Char"/>
    <w:basedOn w:val="CommentTextChar"/>
    <w:link w:val="CommentSubject"/>
    <w:uiPriority w:val="99"/>
    <w:semiHidden/>
    <w:rsid w:val="00152946"/>
    <w:rPr>
      <w:b/>
      <w:bCs/>
      <w:sz w:val="20"/>
      <w:szCs w:val="20"/>
      <w:lang w:val="en-US"/>
    </w:rPr>
  </w:style>
  <w:style w:type="paragraph" w:styleId="BalloonText">
    <w:name w:val="Balloon Text"/>
    <w:basedOn w:val="Normal"/>
    <w:link w:val="BalloonTextChar"/>
    <w:uiPriority w:val="99"/>
    <w:semiHidden/>
    <w:unhideWhenUsed/>
    <w:rsid w:val="00152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946"/>
    <w:rPr>
      <w:rFonts w:ascii="Tahoma" w:hAnsi="Tahoma" w:cs="Tahoma"/>
      <w:sz w:val="16"/>
      <w:szCs w:val="16"/>
      <w:lang w:val="en-US"/>
    </w:rPr>
  </w:style>
  <w:style w:type="paragraph" w:styleId="FootnoteText">
    <w:name w:val="footnote text"/>
    <w:basedOn w:val="Normal"/>
    <w:link w:val="FootnoteTextChar"/>
    <w:uiPriority w:val="99"/>
    <w:semiHidden/>
    <w:unhideWhenUsed/>
    <w:rsid w:val="00D53D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D2B"/>
    <w:rPr>
      <w:sz w:val="20"/>
      <w:szCs w:val="20"/>
      <w:lang w:val="en-US"/>
    </w:rPr>
  </w:style>
  <w:style w:type="character" w:styleId="FootnoteReference">
    <w:name w:val="footnote reference"/>
    <w:basedOn w:val="DefaultParagraphFont"/>
    <w:uiPriority w:val="99"/>
    <w:semiHidden/>
    <w:unhideWhenUsed/>
    <w:rsid w:val="00D53D2B"/>
    <w:rPr>
      <w:vertAlign w:val="superscript"/>
    </w:rPr>
  </w:style>
  <w:style w:type="character" w:styleId="FollowedHyperlink">
    <w:name w:val="FollowedHyperlink"/>
    <w:basedOn w:val="DefaultParagraphFont"/>
    <w:uiPriority w:val="99"/>
    <w:semiHidden/>
    <w:unhideWhenUsed/>
    <w:rsid w:val="00B16762"/>
    <w:rPr>
      <w:color w:val="800080" w:themeColor="followedHyperlink"/>
      <w:u w:val="single"/>
    </w:rPr>
  </w:style>
  <w:style w:type="paragraph" w:styleId="ListParagraph">
    <w:name w:val="List Paragraph"/>
    <w:basedOn w:val="Normal"/>
    <w:uiPriority w:val="34"/>
    <w:qFormat/>
    <w:rsid w:val="00645F96"/>
    <w:pPr>
      <w:ind w:left="720"/>
      <w:contextualSpacing/>
    </w:pPr>
  </w:style>
  <w:style w:type="paragraph" w:styleId="NormalWeb">
    <w:name w:val="Normal (Web)"/>
    <w:basedOn w:val="Normal"/>
    <w:uiPriority w:val="99"/>
    <w:semiHidden/>
    <w:unhideWhenUsed/>
    <w:rsid w:val="009966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F7087E"/>
    <w:rPr>
      <w:rFonts w:ascii="Times New Roman" w:eastAsia="Times New Roman" w:hAnsi="Times New Roman" w:cs="Times New Roman"/>
      <w:b/>
      <w:bCs/>
      <w:sz w:val="27"/>
      <w:szCs w:val="27"/>
      <w:lang w:eastAsia="en-GB"/>
    </w:rPr>
  </w:style>
  <w:style w:type="character" w:customStyle="1" w:styleId="fn-label">
    <w:name w:val="fn-label"/>
    <w:basedOn w:val="DefaultParagraphFont"/>
    <w:rsid w:val="0023496E"/>
  </w:style>
  <w:style w:type="character" w:styleId="Emphasis">
    <w:name w:val="Emphasis"/>
    <w:basedOn w:val="DefaultParagraphFont"/>
    <w:uiPriority w:val="20"/>
    <w:qFormat/>
    <w:rsid w:val="0064645F"/>
    <w:rPr>
      <w:i/>
      <w:iCs/>
    </w:rPr>
  </w:style>
  <w:style w:type="character" w:styleId="LineNumber">
    <w:name w:val="line number"/>
    <w:basedOn w:val="DefaultParagraphFont"/>
    <w:uiPriority w:val="99"/>
    <w:semiHidden/>
    <w:unhideWhenUsed/>
    <w:rsid w:val="003818BD"/>
  </w:style>
  <w:style w:type="character" w:customStyle="1" w:styleId="street-address">
    <w:name w:val="street-address"/>
    <w:basedOn w:val="DefaultParagraphFont"/>
    <w:rsid w:val="0012700E"/>
  </w:style>
  <w:style w:type="character" w:customStyle="1" w:styleId="locality">
    <w:name w:val="locality"/>
    <w:basedOn w:val="DefaultParagraphFont"/>
    <w:rsid w:val="0012700E"/>
  </w:style>
  <w:style w:type="character" w:customStyle="1" w:styleId="postal-code">
    <w:name w:val="postal-code"/>
    <w:basedOn w:val="DefaultParagraphFont"/>
    <w:rsid w:val="0012700E"/>
  </w:style>
  <w:style w:type="character" w:customStyle="1" w:styleId="highlight">
    <w:name w:val="highlight"/>
    <w:basedOn w:val="DefaultParagraphFont"/>
    <w:rsid w:val="00FF4A2F"/>
  </w:style>
  <w:style w:type="paragraph" w:styleId="Header">
    <w:name w:val="header"/>
    <w:basedOn w:val="Normal"/>
    <w:link w:val="HeaderChar"/>
    <w:uiPriority w:val="99"/>
    <w:unhideWhenUsed/>
    <w:rsid w:val="00BF4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2DD"/>
    <w:rPr>
      <w:lang w:val="en-US"/>
    </w:rPr>
  </w:style>
  <w:style w:type="paragraph" w:styleId="Footer">
    <w:name w:val="footer"/>
    <w:basedOn w:val="Normal"/>
    <w:link w:val="FooterChar"/>
    <w:uiPriority w:val="99"/>
    <w:unhideWhenUsed/>
    <w:rsid w:val="00BF4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2DD"/>
    <w:rPr>
      <w:lang w:val="en-US"/>
    </w:rPr>
  </w:style>
  <w:style w:type="character" w:customStyle="1" w:styleId="bibref">
    <w:name w:val="bibref"/>
    <w:basedOn w:val="DefaultParagraphFont"/>
    <w:rsid w:val="00C31630"/>
  </w:style>
  <w:style w:type="paragraph" w:styleId="HTMLPreformatted">
    <w:name w:val="HTML Preformatted"/>
    <w:basedOn w:val="Normal"/>
    <w:link w:val="HTMLPreformattedChar"/>
    <w:uiPriority w:val="99"/>
    <w:unhideWhenUsed/>
    <w:rsid w:val="00F8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F8033F"/>
    <w:rPr>
      <w:rFonts w:ascii="Courier New" w:eastAsia="Times New Roman" w:hAnsi="Courier New" w:cs="Courier New"/>
      <w:sz w:val="20"/>
      <w:szCs w:val="20"/>
      <w:lang w:eastAsia="en-GB"/>
    </w:rPr>
  </w:style>
  <w:style w:type="character" w:customStyle="1" w:styleId="gd15mcfceub">
    <w:name w:val="gd15mcfceub"/>
    <w:basedOn w:val="DefaultParagraphFont"/>
    <w:rsid w:val="00F80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1294">
      <w:bodyDiv w:val="1"/>
      <w:marLeft w:val="0"/>
      <w:marRight w:val="0"/>
      <w:marTop w:val="0"/>
      <w:marBottom w:val="0"/>
      <w:divBdr>
        <w:top w:val="none" w:sz="0" w:space="0" w:color="auto"/>
        <w:left w:val="none" w:sz="0" w:space="0" w:color="auto"/>
        <w:bottom w:val="none" w:sz="0" w:space="0" w:color="auto"/>
        <w:right w:val="none" w:sz="0" w:space="0" w:color="auto"/>
      </w:divBdr>
    </w:div>
    <w:div w:id="273638678">
      <w:bodyDiv w:val="1"/>
      <w:marLeft w:val="0"/>
      <w:marRight w:val="0"/>
      <w:marTop w:val="0"/>
      <w:marBottom w:val="0"/>
      <w:divBdr>
        <w:top w:val="none" w:sz="0" w:space="0" w:color="auto"/>
        <w:left w:val="none" w:sz="0" w:space="0" w:color="auto"/>
        <w:bottom w:val="none" w:sz="0" w:space="0" w:color="auto"/>
        <w:right w:val="none" w:sz="0" w:space="0" w:color="auto"/>
      </w:divBdr>
    </w:div>
    <w:div w:id="798575814">
      <w:bodyDiv w:val="1"/>
      <w:marLeft w:val="0"/>
      <w:marRight w:val="0"/>
      <w:marTop w:val="0"/>
      <w:marBottom w:val="0"/>
      <w:divBdr>
        <w:top w:val="none" w:sz="0" w:space="0" w:color="auto"/>
        <w:left w:val="none" w:sz="0" w:space="0" w:color="auto"/>
        <w:bottom w:val="none" w:sz="0" w:space="0" w:color="auto"/>
        <w:right w:val="none" w:sz="0" w:space="0" w:color="auto"/>
      </w:divBdr>
    </w:div>
    <w:div w:id="920066410">
      <w:bodyDiv w:val="1"/>
      <w:marLeft w:val="0"/>
      <w:marRight w:val="0"/>
      <w:marTop w:val="0"/>
      <w:marBottom w:val="0"/>
      <w:divBdr>
        <w:top w:val="none" w:sz="0" w:space="0" w:color="auto"/>
        <w:left w:val="none" w:sz="0" w:space="0" w:color="auto"/>
        <w:bottom w:val="none" w:sz="0" w:space="0" w:color="auto"/>
        <w:right w:val="none" w:sz="0" w:space="0" w:color="auto"/>
      </w:divBdr>
    </w:div>
    <w:div w:id="1171942525">
      <w:bodyDiv w:val="1"/>
      <w:marLeft w:val="0"/>
      <w:marRight w:val="0"/>
      <w:marTop w:val="0"/>
      <w:marBottom w:val="0"/>
      <w:divBdr>
        <w:top w:val="none" w:sz="0" w:space="0" w:color="auto"/>
        <w:left w:val="none" w:sz="0" w:space="0" w:color="auto"/>
        <w:bottom w:val="none" w:sz="0" w:space="0" w:color="auto"/>
        <w:right w:val="none" w:sz="0" w:space="0" w:color="auto"/>
      </w:divBdr>
    </w:div>
    <w:div w:id="1490515365">
      <w:bodyDiv w:val="1"/>
      <w:marLeft w:val="0"/>
      <w:marRight w:val="0"/>
      <w:marTop w:val="0"/>
      <w:marBottom w:val="0"/>
      <w:divBdr>
        <w:top w:val="none" w:sz="0" w:space="0" w:color="auto"/>
        <w:left w:val="none" w:sz="0" w:space="0" w:color="auto"/>
        <w:bottom w:val="none" w:sz="0" w:space="0" w:color="auto"/>
        <w:right w:val="none" w:sz="0" w:space="0" w:color="auto"/>
      </w:divBdr>
    </w:div>
    <w:div w:id="1688754990">
      <w:bodyDiv w:val="1"/>
      <w:marLeft w:val="0"/>
      <w:marRight w:val="0"/>
      <w:marTop w:val="0"/>
      <w:marBottom w:val="0"/>
      <w:divBdr>
        <w:top w:val="none" w:sz="0" w:space="0" w:color="auto"/>
        <w:left w:val="none" w:sz="0" w:space="0" w:color="auto"/>
        <w:bottom w:val="none" w:sz="0" w:space="0" w:color="auto"/>
        <w:right w:val="none" w:sz="0" w:space="0" w:color="auto"/>
      </w:divBdr>
      <w:divsChild>
        <w:div w:id="1835149734">
          <w:marLeft w:val="0"/>
          <w:marRight w:val="0"/>
          <w:marTop w:val="135"/>
          <w:marBottom w:val="0"/>
          <w:divBdr>
            <w:top w:val="none" w:sz="0" w:space="0" w:color="auto"/>
            <w:left w:val="none" w:sz="0" w:space="0" w:color="auto"/>
            <w:bottom w:val="none" w:sz="0" w:space="0" w:color="auto"/>
            <w:right w:val="none" w:sz="0" w:space="0" w:color="auto"/>
          </w:divBdr>
          <w:divsChild>
            <w:div w:id="232593306">
              <w:marLeft w:val="0"/>
              <w:marRight w:val="0"/>
              <w:marTop w:val="135"/>
              <w:marBottom w:val="0"/>
              <w:divBdr>
                <w:top w:val="none" w:sz="0" w:space="0" w:color="auto"/>
                <w:left w:val="none" w:sz="0" w:space="0" w:color="auto"/>
                <w:bottom w:val="none" w:sz="0" w:space="0" w:color="auto"/>
                <w:right w:val="none" w:sz="0" w:space="0" w:color="auto"/>
              </w:divBdr>
            </w:div>
          </w:divsChild>
        </w:div>
        <w:div w:id="846988218">
          <w:marLeft w:val="0"/>
          <w:marRight w:val="0"/>
          <w:marTop w:val="135"/>
          <w:marBottom w:val="0"/>
          <w:divBdr>
            <w:top w:val="none" w:sz="0" w:space="0" w:color="auto"/>
            <w:left w:val="none" w:sz="0" w:space="0" w:color="auto"/>
            <w:bottom w:val="none" w:sz="0" w:space="0" w:color="auto"/>
            <w:right w:val="none" w:sz="0" w:space="0" w:color="auto"/>
          </w:divBdr>
          <w:divsChild>
            <w:div w:id="1418281606">
              <w:marLeft w:val="0"/>
              <w:marRight w:val="0"/>
              <w:marTop w:val="135"/>
              <w:marBottom w:val="0"/>
              <w:divBdr>
                <w:top w:val="none" w:sz="0" w:space="0" w:color="auto"/>
                <w:left w:val="none" w:sz="0" w:space="0" w:color="auto"/>
                <w:bottom w:val="none" w:sz="0" w:space="0" w:color="auto"/>
                <w:right w:val="none" w:sz="0" w:space="0" w:color="auto"/>
              </w:divBdr>
            </w:div>
          </w:divsChild>
        </w:div>
        <w:div w:id="480854179">
          <w:marLeft w:val="0"/>
          <w:marRight w:val="0"/>
          <w:marTop w:val="135"/>
          <w:marBottom w:val="0"/>
          <w:divBdr>
            <w:top w:val="none" w:sz="0" w:space="0" w:color="auto"/>
            <w:left w:val="none" w:sz="0" w:space="0" w:color="auto"/>
            <w:bottom w:val="none" w:sz="0" w:space="0" w:color="auto"/>
            <w:right w:val="none" w:sz="0" w:space="0" w:color="auto"/>
          </w:divBdr>
          <w:divsChild>
            <w:div w:id="2143426522">
              <w:marLeft w:val="0"/>
              <w:marRight w:val="0"/>
              <w:marTop w:val="135"/>
              <w:marBottom w:val="0"/>
              <w:divBdr>
                <w:top w:val="none" w:sz="0" w:space="0" w:color="auto"/>
                <w:left w:val="none" w:sz="0" w:space="0" w:color="auto"/>
                <w:bottom w:val="none" w:sz="0" w:space="0" w:color="auto"/>
                <w:right w:val="none" w:sz="0" w:space="0" w:color="auto"/>
              </w:divBdr>
            </w:div>
          </w:divsChild>
        </w:div>
        <w:div w:id="163473074">
          <w:marLeft w:val="0"/>
          <w:marRight w:val="0"/>
          <w:marTop w:val="135"/>
          <w:marBottom w:val="0"/>
          <w:divBdr>
            <w:top w:val="none" w:sz="0" w:space="0" w:color="auto"/>
            <w:left w:val="none" w:sz="0" w:space="0" w:color="auto"/>
            <w:bottom w:val="none" w:sz="0" w:space="0" w:color="auto"/>
            <w:right w:val="none" w:sz="0" w:space="0" w:color="auto"/>
          </w:divBdr>
          <w:divsChild>
            <w:div w:id="151037180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2011709976">
      <w:bodyDiv w:val="1"/>
      <w:marLeft w:val="0"/>
      <w:marRight w:val="0"/>
      <w:marTop w:val="0"/>
      <w:marBottom w:val="0"/>
      <w:divBdr>
        <w:top w:val="none" w:sz="0" w:space="0" w:color="auto"/>
        <w:left w:val="none" w:sz="0" w:space="0" w:color="auto"/>
        <w:bottom w:val="none" w:sz="0" w:space="0" w:color="auto"/>
        <w:right w:val="none" w:sz="0" w:space="0" w:color="auto"/>
      </w:divBdr>
    </w:div>
    <w:div w:id="2040621887">
      <w:bodyDiv w:val="1"/>
      <w:marLeft w:val="0"/>
      <w:marRight w:val="0"/>
      <w:marTop w:val="0"/>
      <w:marBottom w:val="0"/>
      <w:divBdr>
        <w:top w:val="none" w:sz="0" w:space="0" w:color="auto"/>
        <w:left w:val="none" w:sz="0" w:space="0" w:color="auto"/>
        <w:bottom w:val="none" w:sz="0" w:space="0" w:color="auto"/>
        <w:right w:val="none" w:sz="0" w:space="0" w:color="auto"/>
      </w:divBdr>
    </w:div>
    <w:div w:id="213170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ulloch@liverpoo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F13D6-BA9B-49D5-8EF2-640EE531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29098</Words>
  <Characters>165860</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c:creator>
  <cp:lastModifiedBy>John Tulloch</cp:lastModifiedBy>
  <cp:revision>5</cp:revision>
  <dcterms:created xsi:type="dcterms:W3CDTF">2020-03-18T11:48:00Z</dcterms:created>
  <dcterms:modified xsi:type="dcterms:W3CDTF">2020-03-18T12:21:00Z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http://www.zotero.org/styles/bmj</vt:lpwstr>
  </property>
  <property fmtid="{D5CDD505-2E9C-101B-9397-08002B2CF9AE}" pid="12" name="Mendeley Recent Style Name 4_1">
    <vt:lpwstr>BMJ</vt:lpwstr>
  </property>
  <property fmtid="{D5CDD505-2E9C-101B-9397-08002B2CF9AE}" pid="13" name="Mendeley Recent Style Id 5_1">
    <vt:lpwstr>http://www.zotero.org/styles/clinical-infectious-diseases</vt:lpwstr>
  </property>
  <property fmtid="{D5CDD505-2E9C-101B-9397-08002B2CF9AE}" pid="14" name="Mendeley Recent Style Name 5_1">
    <vt:lpwstr>Clinical Infectious Diseases</vt:lpwstr>
  </property>
  <property fmtid="{D5CDD505-2E9C-101B-9397-08002B2CF9AE}" pid="15" name="Mendeley Recent Style Id 6_1">
    <vt:lpwstr>http://www.zotero.org/styles/emerging-infectious-diseases</vt:lpwstr>
  </property>
  <property fmtid="{D5CDD505-2E9C-101B-9397-08002B2CF9AE}" pid="16" name="Mendeley Recent Style Name 6_1">
    <vt:lpwstr>Emerging Infectious Diseases</vt:lpwstr>
  </property>
  <property fmtid="{D5CDD505-2E9C-101B-9397-08002B2CF9AE}" pid="17" name="Mendeley Recent Style Id 7_1">
    <vt:lpwstr>http://www.zotero.org/styles/journal-of-biomedical-informatics</vt:lpwstr>
  </property>
  <property fmtid="{D5CDD505-2E9C-101B-9397-08002B2CF9AE}" pid="18" name="Mendeley Recent Style Name 7_1">
    <vt:lpwstr>Journal of Biomedical Informatics</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2831b07d-3915-321e-b60f-be08efeaa05e</vt:lpwstr>
  </property>
  <property fmtid="{D5CDD505-2E9C-101B-9397-08002B2CF9AE}" pid="24" name="Mendeley Citation Style_1">
    <vt:lpwstr>http://www.zotero.org/styles/vancouver</vt:lpwstr>
  </property>
</Properties>
</file>