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FC74E" w14:textId="7EB5B2DC" w:rsidR="00E13538" w:rsidRPr="004842AA" w:rsidRDefault="00BA354C" w:rsidP="004842AA">
      <w:pPr>
        <w:jc w:val="both"/>
        <w:rPr>
          <w:rFonts w:ascii="Times New Roman" w:hAnsi="Times New Roman" w:cs="Times New Roman"/>
          <w:b/>
        </w:rPr>
      </w:pPr>
      <w:r>
        <w:rPr>
          <w:rFonts w:ascii="Times New Roman" w:hAnsi="Times New Roman" w:cs="Times New Roman"/>
          <w:b/>
        </w:rPr>
        <w:t xml:space="preserve">So Long, </w:t>
      </w:r>
      <w:r w:rsidR="00C66D47" w:rsidRPr="004842AA">
        <w:rPr>
          <w:rFonts w:ascii="Times New Roman" w:hAnsi="Times New Roman" w:cs="Times New Roman"/>
          <w:b/>
        </w:rPr>
        <w:t xml:space="preserve">Farewell, </w:t>
      </w:r>
      <w:r w:rsidR="002C4516" w:rsidRPr="004842AA">
        <w:rPr>
          <w:rFonts w:ascii="Times New Roman" w:hAnsi="Times New Roman" w:cs="Times New Roman"/>
          <w:b/>
        </w:rPr>
        <w:t>Auf Wiederse</w:t>
      </w:r>
      <w:r w:rsidR="00972653" w:rsidRPr="004842AA">
        <w:rPr>
          <w:rFonts w:ascii="Times New Roman" w:hAnsi="Times New Roman" w:cs="Times New Roman"/>
          <w:b/>
        </w:rPr>
        <w:t>he</w:t>
      </w:r>
      <w:r w:rsidR="002C4516" w:rsidRPr="004842AA">
        <w:rPr>
          <w:rFonts w:ascii="Times New Roman" w:hAnsi="Times New Roman" w:cs="Times New Roman"/>
          <w:b/>
        </w:rPr>
        <w:t>n</w:t>
      </w:r>
      <w:r w:rsidR="00972653" w:rsidRPr="004842AA">
        <w:rPr>
          <w:rFonts w:ascii="Times New Roman" w:hAnsi="Times New Roman" w:cs="Times New Roman"/>
          <w:b/>
        </w:rPr>
        <w:t xml:space="preserve">, </w:t>
      </w:r>
      <w:r w:rsidR="002C4516" w:rsidRPr="004842AA">
        <w:rPr>
          <w:rFonts w:ascii="Times New Roman" w:hAnsi="Times New Roman" w:cs="Times New Roman"/>
          <w:b/>
        </w:rPr>
        <w:t>Good</w:t>
      </w:r>
      <w:r w:rsidR="00F72214">
        <w:rPr>
          <w:rFonts w:ascii="Times New Roman" w:hAnsi="Times New Roman" w:cs="Times New Roman"/>
          <w:b/>
        </w:rPr>
        <w:t>bye</w:t>
      </w:r>
      <w:r w:rsidR="002C4516" w:rsidRPr="004842AA">
        <w:rPr>
          <w:rFonts w:ascii="Times New Roman" w:hAnsi="Times New Roman" w:cs="Times New Roman"/>
          <w:b/>
        </w:rPr>
        <w:t xml:space="preserve">: The UK’s </w:t>
      </w:r>
      <w:r w:rsidR="00E13538" w:rsidRPr="004842AA">
        <w:rPr>
          <w:rFonts w:ascii="Times New Roman" w:hAnsi="Times New Roman" w:cs="Times New Roman"/>
          <w:b/>
        </w:rPr>
        <w:t xml:space="preserve">Withdrawal </w:t>
      </w:r>
      <w:r w:rsidR="002C4516" w:rsidRPr="004842AA">
        <w:rPr>
          <w:rFonts w:ascii="Times New Roman" w:hAnsi="Times New Roman" w:cs="Times New Roman"/>
          <w:b/>
        </w:rPr>
        <w:t>Package</w:t>
      </w:r>
    </w:p>
    <w:p w14:paraId="61813444" w14:textId="77777777" w:rsidR="00E13538" w:rsidRPr="004842AA" w:rsidRDefault="00E13538" w:rsidP="004842AA">
      <w:pPr>
        <w:jc w:val="both"/>
        <w:rPr>
          <w:rFonts w:ascii="Times New Roman" w:hAnsi="Times New Roman" w:cs="Times New Roman"/>
          <w:b/>
        </w:rPr>
      </w:pPr>
    </w:p>
    <w:p w14:paraId="20B1A40B" w14:textId="01A70830" w:rsidR="00E13538" w:rsidRPr="004842AA" w:rsidRDefault="00E13538" w:rsidP="004842AA">
      <w:pPr>
        <w:jc w:val="both"/>
        <w:rPr>
          <w:rFonts w:ascii="Times New Roman" w:hAnsi="Times New Roman" w:cs="Times New Roman"/>
          <w:i/>
        </w:rPr>
      </w:pPr>
      <w:r w:rsidRPr="004842AA">
        <w:rPr>
          <w:rFonts w:ascii="Times New Roman" w:hAnsi="Times New Roman" w:cs="Times New Roman"/>
          <w:i/>
        </w:rPr>
        <w:t>Michael Dougan</w:t>
      </w:r>
      <w:r w:rsidR="003C6A4B" w:rsidRPr="004842AA">
        <w:rPr>
          <w:rFonts w:ascii="Times New Roman" w:hAnsi="Times New Roman" w:cs="Times New Roman"/>
          <w:i/>
        </w:rPr>
        <w:t>*</w:t>
      </w:r>
    </w:p>
    <w:p w14:paraId="462DAE36" w14:textId="77777777" w:rsidR="00E13538" w:rsidRPr="004842AA" w:rsidRDefault="00E13538" w:rsidP="004842AA">
      <w:pPr>
        <w:jc w:val="both"/>
        <w:rPr>
          <w:rFonts w:ascii="Times New Roman" w:hAnsi="Times New Roman" w:cs="Times New Roman"/>
          <w:b/>
        </w:rPr>
      </w:pPr>
    </w:p>
    <w:p w14:paraId="40B4BEB8" w14:textId="2259066C" w:rsidR="003B3151" w:rsidRPr="008C201F" w:rsidRDefault="003B3151" w:rsidP="004842AA">
      <w:pPr>
        <w:jc w:val="both"/>
        <w:rPr>
          <w:rFonts w:ascii="Times New Roman" w:hAnsi="Times New Roman" w:cs="Times New Roman"/>
          <w:i/>
        </w:rPr>
      </w:pPr>
      <w:r w:rsidRPr="003B3151">
        <w:rPr>
          <w:rFonts w:ascii="Times New Roman" w:hAnsi="Times New Roman" w:cs="Times New Roman"/>
          <w:i/>
        </w:rPr>
        <w:t>Abstract:</w:t>
      </w:r>
      <w:r w:rsidR="008C201F">
        <w:rPr>
          <w:rFonts w:ascii="Times New Roman" w:hAnsi="Times New Roman" w:cs="Times New Roman"/>
          <w:i/>
        </w:rPr>
        <w:t xml:space="preserve"> </w:t>
      </w:r>
      <w:r w:rsidRPr="008C201F">
        <w:rPr>
          <w:rFonts w:ascii="Times New Roman" w:hAnsi="Times New Roman" w:cs="Times New Roman"/>
          <w:i/>
        </w:rPr>
        <w:t>The United Kingdom left the European Union at midnight CET on 31 January 2020.  This article provides a critical analysis of the Withdrawal Package concluded by the Union and the UK.  As regards the Withdrawal Agreement designed to facilitate an orderly departure, we analyse the provisions on: governance arrangements; the transition period; citizens’ rights</w:t>
      </w:r>
      <w:proofErr w:type="gramStart"/>
      <w:r w:rsidRPr="008C201F">
        <w:rPr>
          <w:rFonts w:ascii="Times New Roman" w:hAnsi="Times New Roman" w:cs="Times New Roman"/>
          <w:i/>
        </w:rPr>
        <w:t>;</w:t>
      </w:r>
      <w:proofErr w:type="gramEnd"/>
      <w:r w:rsidRPr="008C201F">
        <w:rPr>
          <w:rFonts w:ascii="Times New Roman" w:hAnsi="Times New Roman" w:cs="Times New Roman"/>
          <w:i/>
        </w:rPr>
        <w:t xml:space="preserve"> and the Ireland / Northern Ireland border.  </w:t>
      </w:r>
      <w:r w:rsidR="00F37052">
        <w:rPr>
          <w:rFonts w:ascii="Times New Roman" w:hAnsi="Times New Roman" w:cs="Times New Roman"/>
          <w:i/>
        </w:rPr>
        <w:t>We then discuss</w:t>
      </w:r>
      <w:r w:rsidRPr="008C201F">
        <w:rPr>
          <w:rFonts w:ascii="Times New Roman" w:hAnsi="Times New Roman" w:cs="Times New Roman"/>
          <w:i/>
        </w:rPr>
        <w:t xml:space="preserve"> the </w:t>
      </w:r>
      <w:r w:rsidR="008C201F" w:rsidRPr="008C201F">
        <w:rPr>
          <w:rFonts w:ascii="Times New Roman" w:hAnsi="Times New Roman" w:cs="Times New Roman"/>
          <w:i/>
        </w:rPr>
        <w:t xml:space="preserve">prospects for </w:t>
      </w:r>
      <w:r w:rsidRPr="008C201F">
        <w:rPr>
          <w:rFonts w:ascii="Times New Roman" w:hAnsi="Times New Roman" w:cs="Times New Roman"/>
          <w:i/>
        </w:rPr>
        <w:t xml:space="preserve">future </w:t>
      </w:r>
      <w:r w:rsidR="008C201F" w:rsidRPr="008C201F">
        <w:rPr>
          <w:rFonts w:ascii="Times New Roman" w:hAnsi="Times New Roman" w:cs="Times New Roman"/>
          <w:i/>
        </w:rPr>
        <w:t xml:space="preserve">EU-UK </w:t>
      </w:r>
      <w:r w:rsidR="008C201F">
        <w:rPr>
          <w:rFonts w:ascii="Times New Roman" w:hAnsi="Times New Roman" w:cs="Times New Roman"/>
          <w:i/>
        </w:rPr>
        <w:t>relations</w:t>
      </w:r>
      <w:r w:rsidR="008C201F" w:rsidRPr="008C201F">
        <w:rPr>
          <w:rFonts w:ascii="Times New Roman" w:hAnsi="Times New Roman" w:cs="Times New Roman"/>
          <w:i/>
        </w:rPr>
        <w:t xml:space="preserve"> as expressed in their </w:t>
      </w:r>
      <w:r w:rsidR="00F37052">
        <w:rPr>
          <w:rFonts w:ascii="Times New Roman" w:hAnsi="Times New Roman" w:cs="Times New Roman"/>
          <w:i/>
        </w:rPr>
        <w:t xml:space="preserve">joint </w:t>
      </w:r>
      <w:r w:rsidR="008C201F" w:rsidRPr="008C201F">
        <w:rPr>
          <w:rFonts w:ascii="Times New Roman" w:hAnsi="Times New Roman" w:cs="Times New Roman"/>
          <w:i/>
        </w:rPr>
        <w:t xml:space="preserve">Political Declaration and developed in their </w:t>
      </w:r>
      <w:r w:rsidR="00F37052">
        <w:rPr>
          <w:rFonts w:ascii="Times New Roman" w:hAnsi="Times New Roman" w:cs="Times New Roman"/>
          <w:i/>
        </w:rPr>
        <w:t xml:space="preserve">respective </w:t>
      </w:r>
      <w:r w:rsidR="008C201F" w:rsidRPr="008C201F">
        <w:rPr>
          <w:rFonts w:ascii="Times New Roman" w:hAnsi="Times New Roman" w:cs="Times New Roman"/>
          <w:i/>
        </w:rPr>
        <w:t>post-withdrawal negotiating positions</w:t>
      </w:r>
      <w:r w:rsidRPr="008C201F">
        <w:rPr>
          <w:rFonts w:ascii="Times New Roman" w:hAnsi="Times New Roman" w:cs="Times New Roman"/>
          <w:i/>
        </w:rPr>
        <w:t xml:space="preserve">.  </w:t>
      </w:r>
    </w:p>
    <w:p w14:paraId="71056E7C" w14:textId="77777777" w:rsidR="003B3151" w:rsidRPr="004842AA" w:rsidRDefault="003B3151" w:rsidP="004842AA">
      <w:pPr>
        <w:jc w:val="both"/>
        <w:rPr>
          <w:rFonts w:ascii="Times New Roman" w:hAnsi="Times New Roman" w:cs="Times New Roman"/>
          <w:b/>
        </w:rPr>
      </w:pPr>
    </w:p>
    <w:p w14:paraId="3BA0FB2B" w14:textId="6528535A" w:rsidR="008850A9" w:rsidRPr="004842AA" w:rsidRDefault="008850A9" w:rsidP="004842AA">
      <w:pPr>
        <w:jc w:val="both"/>
        <w:rPr>
          <w:rFonts w:ascii="Times New Roman" w:hAnsi="Times New Roman" w:cs="Times New Roman"/>
          <w:b/>
        </w:rPr>
      </w:pPr>
      <w:r w:rsidRPr="004842AA">
        <w:rPr>
          <w:rFonts w:ascii="Times New Roman" w:hAnsi="Times New Roman" w:cs="Times New Roman"/>
          <w:b/>
        </w:rPr>
        <w:t xml:space="preserve">1. </w:t>
      </w:r>
      <w:r w:rsidRPr="004842AA">
        <w:rPr>
          <w:rFonts w:ascii="Times New Roman" w:hAnsi="Times New Roman" w:cs="Times New Roman"/>
          <w:b/>
        </w:rPr>
        <w:tab/>
        <w:t>Introduction</w:t>
      </w:r>
    </w:p>
    <w:p w14:paraId="3A399D9B" w14:textId="77777777" w:rsidR="008850A9" w:rsidRPr="004842AA" w:rsidRDefault="008850A9" w:rsidP="004842AA">
      <w:pPr>
        <w:jc w:val="both"/>
        <w:rPr>
          <w:rFonts w:ascii="Times New Roman" w:hAnsi="Times New Roman" w:cs="Times New Roman"/>
          <w:b/>
        </w:rPr>
      </w:pPr>
    </w:p>
    <w:p w14:paraId="341486D0" w14:textId="77777777" w:rsidR="006861A1" w:rsidRDefault="00F72214" w:rsidP="004842AA">
      <w:pPr>
        <w:jc w:val="both"/>
        <w:rPr>
          <w:rFonts w:ascii="Times New Roman" w:hAnsi="Times New Roman" w:cs="Times New Roman"/>
        </w:rPr>
      </w:pPr>
      <w:r>
        <w:rPr>
          <w:rFonts w:ascii="Times New Roman" w:hAnsi="Times New Roman" w:cs="Times New Roman"/>
        </w:rPr>
        <w:t xml:space="preserve">Or should that be “good luck”?  </w:t>
      </w:r>
    </w:p>
    <w:p w14:paraId="5B77192C" w14:textId="52876625" w:rsidR="008A5E8F" w:rsidRDefault="002E3E2B" w:rsidP="006861A1">
      <w:pPr>
        <w:ind w:firstLine="720"/>
        <w:jc w:val="both"/>
        <w:rPr>
          <w:rFonts w:ascii="Times New Roman" w:hAnsi="Times New Roman" w:cs="Times New Roman"/>
        </w:rPr>
      </w:pPr>
      <w:r w:rsidRPr="004842AA">
        <w:rPr>
          <w:rFonts w:ascii="Times New Roman" w:hAnsi="Times New Roman" w:cs="Times New Roman"/>
        </w:rPr>
        <w:t xml:space="preserve">The </w:t>
      </w:r>
      <w:r w:rsidR="002C5D84" w:rsidRPr="004842AA">
        <w:rPr>
          <w:rFonts w:ascii="Times New Roman" w:hAnsi="Times New Roman" w:cs="Times New Roman"/>
        </w:rPr>
        <w:t>U</w:t>
      </w:r>
      <w:r w:rsidRPr="004842AA">
        <w:rPr>
          <w:rFonts w:ascii="Times New Roman" w:hAnsi="Times New Roman" w:cs="Times New Roman"/>
        </w:rPr>
        <w:t xml:space="preserve">nited </w:t>
      </w:r>
      <w:r w:rsidR="002C5D84" w:rsidRPr="004842AA">
        <w:rPr>
          <w:rFonts w:ascii="Times New Roman" w:hAnsi="Times New Roman" w:cs="Times New Roman"/>
        </w:rPr>
        <w:t>K</w:t>
      </w:r>
      <w:r w:rsidRPr="004842AA">
        <w:rPr>
          <w:rFonts w:ascii="Times New Roman" w:hAnsi="Times New Roman" w:cs="Times New Roman"/>
        </w:rPr>
        <w:t>ingdom</w:t>
      </w:r>
      <w:r w:rsidR="002C5D84" w:rsidRPr="004842AA">
        <w:rPr>
          <w:rFonts w:ascii="Times New Roman" w:hAnsi="Times New Roman" w:cs="Times New Roman"/>
        </w:rPr>
        <w:t xml:space="preserve"> left </w:t>
      </w:r>
      <w:r w:rsidRPr="004842AA">
        <w:rPr>
          <w:rFonts w:ascii="Times New Roman" w:hAnsi="Times New Roman" w:cs="Times New Roman"/>
        </w:rPr>
        <w:t xml:space="preserve">the European Union </w:t>
      </w:r>
      <w:r w:rsidR="006865B8" w:rsidRPr="004842AA">
        <w:rPr>
          <w:rFonts w:ascii="Times New Roman" w:hAnsi="Times New Roman" w:cs="Times New Roman"/>
        </w:rPr>
        <w:t xml:space="preserve">at </w:t>
      </w:r>
      <w:r w:rsidR="00D46F91">
        <w:rPr>
          <w:rFonts w:ascii="Times New Roman" w:hAnsi="Times New Roman" w:cs="Times New Roman"/>
        </w:rPr>
        <w:t xml:space="preserve">midnight </w:t>
      </w:r>
      <w:r w:rsidR="006861A1">
        <w:rPr>
          <w:rFonts w:ascii="Times New Roman" w:hAnsi="Times New Roman" w:cs="Times New Roman"/>
        </w:rPr>
        <w:t xml:space="preserve">CET </w:t>
      </w:r>
      <w:r w:rsidR="006865B8" w:rsidRPr="004842AA">
        <w:rPr>
          <w:rFonts w:ascii="Times New Roman" w:hAnsi="Times New Roman" w:cs="Times New Roman"/>
        </w:rPr>
        <w:t xml:space="preserve">on </w:t>
      </w:r>
      <w:r w:rsidR="002C5D84" w:rsidRPr="004842AA">
        <w:rPr>
          <w:rFonts w:ascii="Times New Roman" w:hAnsi="Times New Roman" w:cs="Times New Roman"/>
        </w:rPr>
        <w:t>31 Jan</w:t>
      </w:r>
      <w:r w:rsidR="008E1A1A" w:rsidRPr="004842AA">
        <w:rPr>
          <w:rFonts w:ascii="Times New Roman" w:hAnsi="Times New Roman" w:cs="Times New Roman"/>
        </w:rPr>
        <w:t>uary 2020.</w:t>
      </w:r>
      <w:r w:rsidR="009A6A4D">
        <w:rPr>
          <w:rStyle w:val="FootnoteReference"/>
          <w:rFonts w:ascii="Times New Roman" w:hAnsi="Times New Roman" w:cs="Times New Roman"/>
        </w:rPr>
        <w:footnoteReference w:id="1"/>
      </w:r>
      <w:r w:rsidRPr="004842AA">
        <w:rPr>
          <w:rFonts w:ascii="Times New Roman" w:hAnsi="Times New Roman" w:cs="Times New Roman"/>
        </w:rPr>
        <w:t xml:space="preserve"> </w:t>
      </w:r>
      <w:r w:rsidR="009F3C4D">
        <w:rPr>
          <w:rFonts w:ascii="Times New Roman" w:hAnsi="Times New Roman" w:cs="Times New Roman"/>
        </w:rPr>
        <w:t xml:space="preserve"> </w:t>
      </w:r>
      <w:r w:rsidR="008E1A1A" w:rsidRPr="004842AA">
        <w:rPr>
          <w:rFonts w:ascii="Times New Roman" w:hAnsi="Times New Roman" w:cs="Times New Roman"/>
        </w:rPr>
        <w:t xml:space="preserve">This </w:t>
      </w:r>
      <w:r w:rsidRPr="004842AA">
        <w:rPr>
          <w:rFonts w:ascii="Times New Roman" w:hAnsi="Times New Roman" w:cs="Times New Roman"/>
        </w:rPr>
        <w:t xml:space="preserve">article provides a </w:t>
      </w:r>
      <w:r w:rsidR="008E1A1A" w:rsidRPr="004842AA">
        <w:rPr>
          <w:rFonts w:ascii="Times New Roman" w:hAnsi="Times New Roman" w:cs="Times New Roman"/>
        </w:rPr>
        <w:t xml:space="preserve">critical analysis of </w:t>
      </w:r>
      <w:r w:rsidRPr="004842AA">
        <w:rPr>
          <w:rFonts w:ascii="Times New Roman" w:hAnsi="Times New Roman" w:cs="Times New Roman"/>
        </w:rPr>
        <w:t xml:space="preserve">the </w:t>
      </w:r>
      <w:r w:rsidR="008E1A1A" w:rsidRPr="004842AA">
        <w:rPr>
          <w:rFonts w:ascii="Times New Roman" w:hAnsi="Times New Roman" w:cs="Times New Roman"/>
        </w:rPr>
        <w:t>Withdrawal Package</w:t>
      </w:r>
      <w:r w:rsidRPr="004842AA">
        <w:rPr>
          <w:rFonts w:ascii="Times New Roman" w:hAnsi="Times New Roman" w:cs="Times New Roman"/>
        </w:rPr>
        <w:t xml:space="preserve"> concluded by the </w:t>
      </w:r>
      <w:r w:rsidR="006861A1">
        <w:rPr>
          <w:rFonts w:ascii="Times New Roman" w:hAnsi="Times New Roman" w:cs="Times New Roman"/>
        </w:rPr>
        <w:t xml:space="preserve">Union and the UK </w:t>
      </w:r>
      <w:r w:rsidRPr="004842AA">
        <w:rPr>
          <w:rFonts w:ascii="Times New Roman" w:hAnsi="Times New Roman" w:cs="Times New Roman"/>
        </w:rPr>
        <w:t xml:space="preserve">in order to facilitate an orderly departure </w:t>
      </w:r>
      <w:r w:rsidR="00E50137" w:rsidRPr="004842AA">
        <w:rPr>
          <w:rFonts w:ascii="Times New Roman" w:hAnsi="Times New Roman" w:cs="Times New Roman"/>
        </w:rPr>
        <w:t xml:space="preserve">(Withdrawal Agreement) </w:t>
      </w:r>
      <w:r w:rsidRPr="004842AA">
        <w:rPr>
          <w:rFonts w:ascii="Times New Roman" w:hAnsi="Times New Roman" w:cs="Times New Roman"/>
        </w:rPr>
        <w:t>and outline the nature of their future relationship</w:t>
      </w:r>
      <w:r w:rsidR="00E50137" w:rsidRPr="004842AA">
        <w:rPr>
          <w:rFonts w:ascii="Times New Roman" w:hAnsi="Times New Roman" w:cs="Times New Roman"/>
        </w:rPr>
        <w:t xml:space="preserve"> (Political Declaration)</w:t>
      </w:r>
      <w:r w:rsidR="008E1A1A" w:rsidRPr="004842AA">
        <w:rPr>
          <w:rFonts w:ascii="Times New Roman" w:hAnsi="Times New Roman" w:cs="Times New Roman"/>
        </w:rPr>
        <w:t>.</w:t>
      </w:r>
      <w:r w:rsidR="00E50137" w:rsidRPr="004842AA">
        <w:rPr>
          <w:rStyle w:val="FootnoteReference"/>
          <w:rFonts w:ascii="Times New Roman" w:hAnsi="Times New Roman" w:cs="Times New Roman"/>
        </w:rPr>
        <w:footnoteReference w:id="2"/>
      </w:r>
      <w:r w:rsidR="0071163D" w:rsidRPr="004842AA">
        <w:rPr>
          <w:rFonts w:ascii="Times New Roman" w:hAnsi="Times New Roman" w:cs="Times New Roman"/>
        </w:rPr>
        <w:t xml:space="preserve"> </w:t>
      </w:r>
      <w:r w:rsidRPr="004842AA">
        <w:rPr>
          <w:rFonts w:ascii="Times New Roman" w:hAnsi="Times New Roman" w:cs="Times New Roman"/>
        </w:rPr>
        <w:t xml:space="preserve"> </w:t>
      </w:r>
    </w:p>
    <w:p w14:paraId="1CE95CD4" w14:textId="4C5830A1" w:rsidR="008A5E8F" w:rsidRDefault="002E3E2B" w:rsidP="008A5E8F">
      <w:pPr>
        <w:ind w:firstLine="720"/>
        <w:jc w:val="both"/>
        <w:rPr>
          <w:rFonts w:ascii="Times New Roman" w:hAnsi="Times New Roman" w:cs="Times New Roman"/>
        </w:rPr>
      </w:pPr>
      <w:r w:rsidRPr="004842AA">
        <w:rPr>
          <w:rFonts w:ascii="Times New Roman" w:hAnsi="Times New Roman" w:cs="Times New Roman"/>
        </w:rPr>
        <w:t xml:space="preserve">We will not revisit, but simply take for granted that readers are familiar with, many of the broader </w:t>
      </w:r>
      <w:r w:rsidR="006861A1">
        <w:rPr>
          <w:rFonts w:ascii="Times New Roman" w:hAnsi="Times New Roman" w:cs="Times New Roman"/>
        </w:rPr>
        <w:t>factors and debates</w:t>
      </w:r>
      <w:r w:rsidRPr="004842AA">
        <w:rPr>
          <w:rFonts w:ascii="Times New Roman" w:hAnsi="Times New Roman" w:cs="Times New Roman"/>
        </w:rPr>
        <w:t xml:space="preserve"> that led to this outcome: for example, the </w:t>
      </w:r>
      <w:r w:rsidR="006C6B57" w:rsidRPr="004842AA">
        <w:rPr>
          <w:rFonts w:ascii="Times New Roman" w:hAnsi="Times New Roman" w:cs="Times New Roman"/>
        </w:rPr>
        <w:t>gaping chasm</w:t>
      </w:r>
      <w:r w:rsidRPr="004842AA">
        <w:rPr>
          <w:rFonts w:ascii="Times New Roman" w:hAnsi="Times New Roman" w:cs="Times New Roman"/>
        </w:rPr>
        <w:t xml:space="preserve"> between the reality of the UK as a leading Member State </w:t>
      </w:r>
      <w:r w:rsidR="006C6B57" w:rsidRPr="004842AA">
        <w:rPr>
          <w:rFonts w:ascii="Times New Roman" w:hAnsi="Times New Roman" w:cs="Times New Roman"/>
        </w:rPr>
        <w:t>and</w:t>
      </w:r>
      <w:r w:rsidRPr="004842AA">
        <w:rPr>
          <w:rFonts w:ascii="Times New Roman" w:hAnsi="Times New Roman" w:cs="Times New Roman"/>
        </w:rPr>
        <w:t xml:space="preserve"> the distorted </w:t>
      </w:r>
      <w:r w:rsidR="006C6B57" w:rsidRPr="004842AA">
        <w:rPr>
          <w:rFonts w:ascii="Times New Roman" w:hAnsi="Times New Roman" w:cs="Times New Roman"/>
        </w:rPr>
        <w:t xml:space="preserve">portrayal / </w:t>
      </w:r>
      <w:r w:rsidRPr="004842AA">
        <w:rPr>
          <w:rFonts w:ascii="Times New Roman" w:hAnsi="Times New Roman" w:cs="Times New Roman"/>
        </w:rPr>
        <w:t xml:space="preserve">perception of Union membership among large parts of the British media </w:t>
      </w:r>
      <w:r w:rsidR="006C6B57" w:rsidRPr="004842AA">
        <w:rPr>
          <w:rFonts w:ascii="Times New Roman" w:hAnsi="Times New Roman" w:cs="Times New Roman"/>
        </w:rPr>
        <w:t xml:space="preserve">/ </w:t>
      </w:r>
      <w:r w:rsidRPr="004842AA">
        <w:rPr>
          <w:rFonts w:ascii="Times New Roman" w:hAnsi="Times New Roman" w:cs="Times New Roman"/>
        </w:rPr>
        <w:t xml:space="preserve">public opinion; the </w:t>
      </w:r>
      <w:r w:rsidR="008D6281">
        <w:rPr>
          <w:rFonts w:ascii="Times New Roman" w:hAnsi="Times New Roman" w:cs="Times New Roman"/>
        </w:rPr>
        <w:t xml:space="preserve">alleged </w:t>
      </w:r>
      <w:r w:rsidR="0071163D" w:rsidRPr="004842AA">
        <w:rPr>
          <w:rFonts w:ascii="Times New Roman" w:hAnsi="Times New Roman" w:cs="Times New Roman"/>
        </w:rPr>
        <w:t>origin</w:t>
      </w:r>
      <w:r w:rsidRPr="004842AA">
        <w:rPr>
          <w:rFonts w:ascii="Times New Roman" w:hAnsi="Times New Roman" w:cs="Times New Roman"/>
        </w:rPr>
        <w:t>s</w:t>
      </w:r>
      <w:r w:rsidR="0071163D" w:rsidRPr="004842AA">
        <w:rPr>
          <w:rFonts w:ascii="Times New Roman" w:hAnsi="Times New Roman" w:cs="Times New Roman"/>
        </w:rPr>
        <w:t xml:space="preserve"> </w:t>
      </w:r>
      <w:r w:rsidRPr="004842AA">
        <w:rPr>
          <w:rFonts w:ascii="Times New Roman" w:hAnsi="Times New Roman" w:cs="Times New Roman"/>
        </w:rPr>
        <w:t xml:space="preserve">of the 2016 referendum as a </w:t>
      </w:r>
      <w:r w:rsidR="006C6B57" w:rsidRPr="004842AA">
        <w:rPr>
          <w:rFonts w:ascii="Times New Roman" w:hAnsi="Times New Roman" w:cs="Times New Roman"/>
        </w:rPr>
        <w:t xml:space="preserve">tool </w:t>
      </w:r>
      <w:r w:rsidR="008D6281">
        <w:rPr>
          <w:rFonts w:ascii="Times New Roman" w:hAnsi="Times New Roman" w:cs="Times New Roman"/>
        </w:rPr>
        <w:t xml:space="preserve">primarily </w:t>
      </w:r>
      <w:r w:rsidRPr="004842AA">
        <w:rPr>
          <w:rFonts w:ascii="Times New Roman" w:hAnsi="Times New Roman" w:cs="Times New Roman"/>
        </w:rPr>
        <w:t xml:space="preserve">of </w:t>
      </w:r>
      <w:r w:rsidR="006C6B57" w:rsidRPr="004842AA">
        <w:rPr>
          <w:rFonts w:ascii="Times New Roman" w:hAnsi="Times New Roman" w:cs="Times New Roman"/>
        </w:rPr>
        <w:t xml:space="preserve">internal </w:t>
      </w:r>
      <w:r w:rsidRPr="004842AA">
        <w:rPr>
          <w:rFonts w:ascii="Times New Roman" w:hAnsi="Times New Roman" w:cs="Times New Roman"/>
        </w:rPr>
        <w:t xml:space="preserve">Conservative Party management and </w:t>
      </w:r>
      <w:r w:rsidR="006C6B57" w:rsidRPr="004842AA">
        <w:rPr>
          <w:rFonts w:ascii="Times New Roman" w:hAnsi="Times New Roman" w:cs="Times New Roman"/>
        </w:rPr>
        <w:t>electoral posturing</w:t>
      </w:r>
      <w:r w:rsidRPr="004842AA">
        <w:rPr>
          <w:rFonts w:ascii="Times New Roman" w:hAnsi="Times New Roman" w:cs="Times New Roman"/>
        </w:rPr>
        <w:t xml:space="preserve">; </w:t>
      </w:r>
      <w:r w:rsidR="006C6B57" w:rsidRPr="004842AA">
        <w:rPr>
          <w:rFonts w:ascii="Times New Roman" w:hAnsi="Times New Roman" w:cs="Times New Roman"/>
        </w:rPr>
        <w:t xml:space="preserve">a referendum campaign in which the </w:t>
      </w:r>
      <w:r w:rsidR="006861A1">
        <w:rPr>
          <w:rFonts w:ascii="Times New Roman" w:hAnsi="Times New Roman" w:cs="Times New Roman"/>
        </w:rPr>
        <w:t xml:space="preserve">lacklustre </w:t>
      </w:r>
      <w:r w:rsidR="006C6B57" w:rsidRPr="004842AA">
        <w:rPr>
          <w:rFonts w:ascii="Times New Roman" w:hAnsi="Times New Roman" w:cs="Times New Roman"/>
        </w:rPr>
        <w:t>Remain effort was far surpassed by the systematic dishonesty of the Leave movement</w:t>
      </w:r>
      <w:r w:rsidRPr="004842AA">
        <w:rPr>
          <w:rFonts w:ascii="Times New Roman" w:hAnsi="Times New Roman" w:cs="Times New Roman"/>
        </w:rPr>
        <w:t>;</w:t>
      </w:r>
      <w:r w:rsidR="008D6281">
        <w:rPr>
          <w:rStyle w:val="FootnoteReference"/>
          <w:rFonts w:ascii="Times New Roman" w:hAnsi="Times New Roman" w:cs="Times New Roman"/>
        </w:rPr>
        <w:footnoteReference w:id="3"/>
      </w:r>
      <w:r w:rsidRPr="004842AA">
        <w:rPr>
          <w:rFonts w:ascii="Times New Roman" w:hAnsi="Times New Roman" w:cs="Times New Roman"/>
        </w:rPr>
        <w:t xml:space="preserve"> extensive academic as well as journalistic and political efforts both to explain the factors behind, and interpret the sig</w:t>
      </w:r>
      <w:r w:rsidR="002C7A8B">
        <w:rPr>
          <w:rFonts w:ascii="Times New Roman" w:hAnsi="Times New Roman" w:cs="Times New Roman"/>
        </w:rPr>
        <w:t>nificance of, Leave’s 51.9</w:t>
      </w:r>
      <w:r w:rsidRPr="004842AA">
        <w:rPr>
          <w:rFonts w:ascii="Times New Roman" w:hAnsi="Times New Roman" w:cs="Times New Roman"/>
        </w:rPr>
        <w:t>%-48</w:t>
      </w:r>
      <w:r w:rsidR="002C7A8B">
        <w:rPr>
          <w:rFonts w:ascii="Times New Roman" w:hAnsi="Times New Roman" w:cs="Times New Roman"/>
        </w:rPr>
        <w:t>.1</w:t>
      </w:r>
      <w:r w:rsidRPr="004842AA">
        <w:rPr>
          <w:rFonts w:ascii="Times New Roman" w:hAnsi="Times New Roman" w:cs="Times New Roman"/>
        </w:rPr>
        <w:t xml:space="preserve">% </w:t>
      </w:r>
      <w:r w:rsidR="003364E8" w:rsidRPr="004842AA">
        <w:rPr>
          <w:rFonts w:ascii="Times New Roman" w:hAnsi="Times New Roman" w:cs="Times New Roman"/>
        </w:rPr>
        <w:t>victory</w:t>
      </w:r>
      <w:r w:rsidRPr="004842AA">
        <w:rPr>
          <w:rFonts w:ascii="Times New Roman" w:hAnsi="Times New Roman" w:cs="Times New Roman"/>
        </w:rPr>
        <w:t xml:space="preserve">; </w:t>
      </w:r>
      <w:r w:rsidR="006C6B57" w:rsidRPr="004842AA">
        <w:rPr>
          <w:rFonts w:ascii="Times New Roman" w:hAnsi="Times New Roman" w:cs="Times New Roman"/>
        </w:rPr>
        <w:t xml:space="preserve">the intense scholarly </w:t>
      </w:r>
      <w:r w:rsidR="00D90399" w:rsidRPr="004842AA">
        <w:rPr>
          <w:rFonts w:ascii="Times New Roman" w:hAnsi="Times New Roman" w:cs="Times New Roman"/>
        </w:rPr>
        <w:t xml:space="preserve">investigation </w:t>
      </w:r>
      <w:r w:rsidR="006C6B57" w:rsidRPr="004842AA">
        <w:rPr>
          <w:rFonts w:ascii="Times New Roman" w:hAnsi="Times New Roman" w:cs="Times New Roman"/>
        </w:rPr>
        <w:t xml:space="preserve">which erupted into the legal framework for withdrawal provided for under </w:t>
      </w:r>
      <w:r w:rsidR="006E6079" w:rsidRPr="004842AA">
        <w:rPr>
          <w:rFonts w:ascii="Times New Roman" w:hAnsi="Times New Roman" w:cs="Times New Roman"/>
        </w:rPr>
        <w:t>Article 50 TEU</w:t>
      </w:r>
      <w:r w:rsidR="006C6B57" w:rsidRPr="004842AA">
        <w:rPr>
          <w:rFonts w:ascii="Times New Roman" w:hAnsi="Times New Roman" w:cs="Times New Roman"/>
        </w:rPr>
        <w:t xml:space="preserve">; </w:t>
      </w:r>
      <w:r w:rsidR="00E50137" w:rsidRPr="004842AA">
        <w:rPr>
          <w:rFonts w:ascii="Times New Roman" w:hAnsi="Times New Roman" w:cs="Times New Roman"/>
        </w:rPr>
        <w:t xml:space="preserve">and not least, </w:t>
      </w:r>
      <w:r w:rsidR="006C6B57" w:rsidRPr="004842AA">
        <w:rPr>
          <w:rFonts w:ascii="Times New Roman" w:hAnsi="Times New Roman" w:cs="Times New Roman"/>
        </w:rPr>
        <w:t xml:space="preserve">the </w:t>
      </w:r>
      <w:r w:rsidR="0079297C">
        <w:rPr>
          <w:rFonts w:ascii="Times New Roman" w:hAnsi="Times New Roman" w:cs="Times New Roman"/>
        </w:rPr>
        <w:t xml:space="preserve">often </w:t>
      </w:r>
      <w:r w:rsidR="00041C94" w:rsidRPr="004842AA">
        <w:rPr>
          <w:rFonts w:ascii="Times New Roman" w:hAnsi="Times New Roman" w:cs="Times New Roman"/>
        </w:rPr>
        <w:t xml:space="preserve">wearisome experience </w:t>
      </w:r>
      <w:r w:rsidR="00645D2D" w:rsidRPr="004842AA">
        <w:rPr>
          <w:rFonts w:ascii="Times New Roman" w:hAnsi="Times New Roman" w:cs="Times New Roman"/>
        </w:rPr>
        <w:t xml:space="preserve">of </w:t>
      </w:r>
      <w:r w:rsidR="006C6B57" w:rsidRPr="004842AA">
        <w:rPr>
          <w:rFonts w:ascii="Times New Roman" w:hAnsi="Times New Roman" w:cs="Times New Roman"/>
        </w:rPr>
        <w:t xml:space="preserve">the </w:t>
      </w:r>
      <w:r w:rsidR="00041C94" w:rsidRPr="004842AA">
        <w:rPr>
          <w:rFonts w:ascii="Times New Roman" w:hAnsi="Times New Roman" w:cs="Times New Roman"/>
        </w:rPr>
        <w:t xml:space="preserve">EU-UK </w:t>
      </w:r>
      <w:r w:rsidR="00645D2D" w:rsidRPr="004842AA">
        <w:rPr>
          <w:rFonts w:ascii="Times New Roman" w:hAnsi="Times New Roman" w:cs="Times New Roman"/>
        </w:rPr>
        <w:t>negotiations</w:t>
      </w:r>
      <w:r w:rsidR="00041C94" w:rsidRPr="004842AA">
        <w:rPr>
          <w:rFonts w:ascii="Times New Roman" w:hAnsi="Times New Roman" w:cs="Times New Roman"/>
        </w:rPr>
        <w:t xml:space="preserve"> together with the equally protracted (though at least entertainingly tragi-comedic-dramatic) process of British parliamentary approval.</w:t>
      </w:r>
    </w:p>
    <w:p w14:paraId="45FDA0FF" w14:textId="5C09A10E" w:rsidR="003F1E55" w:rsidRPr="004842AA" w:rsidRDefault="00041C94" w:rsidP="008A5E8F">
      <w:pPr>
        <w:ind w:firstLine="720"/>
        <w:jc w:val="both"/>
        <w:rPr>
          <w:rFonts w:ascii="Times New Roman" w:hAnsi="Times New Roman" w:cs="Times New Roman"/>
        </w:rPr>
      </w:pPr>
      <w:r w:rsidRPr="004842AA">
        <w:rPr>
          <w:rFonts w:ascii="Times New Roman" w:hAnsi="Times New Roman" w:cs="Times New Roman"/>
        </w:rPr>
        <w:t xml:space="preserve">That said, </w:t>
      </w:r>
      <w:r w:rsidR="003F1E55" w:rsidRPr="004842AA">
        <w:rPr>
          <w:rFonts w:ascii="Times New Roman" w:hAnsi="Times New Roman" w:cs="Times New Roman"/>
        </w:rPr>
        <w:t>Section 2</w:t>
      </w:r>
      <w:r w:rsidRPr="004842AA">
        <w:rPr>
          <w:rFonts w:ascii="Times New Roman" w:hAnsi="Times New Roman" w:cs="Times New Roman"/>
        </w:rPr>
        <w:t xml:space="preserve"> </w:t>
      </w:r>
      <w:proofErr w:type="gramStart"/>
      <w:r w:rsidRPr="004842AA">
        <w:rPr>
          <w:rFonts w:ascii="Times New Roman" w:hAnsi="Times New Roman" w:cs="Times New Roman"/>
        </w:rPr>
        <w:t>will</w:t>
      </w:r>
      <w:proofErr w:type="gramEnd"/>
      <w:r w:rsidRPr="004842AA">
        <w:rPr>
          <w:rFonts w:ascii="Times New Roman" w:hAnsi="Times New Roman" w:cs="Times New Roman"/>
        </w:rPr>
        <w:t xml:space="preserve"> summarise the </w:t>
      </w:r>
      <w:r w:rsidR="003F1E55" w:rsidRPr="004842AA">
        <w:rPr>
          <w:rFonts w:ascii="Times New Roman" w:hAnsi="Times New Roman" w:cs="Times New Roman"/>
        </w:rPr>
        <w:t xml:space="preserve">essential legal and political factors that </w:t>
      </w:r>
      <w:r w:rsidRPr="004842AA">
        <w:rPr>
          <w:rFonts w:ascii="Times New Roman" w:hAnsi="Times New Roman" w:cs="Times New Roman"/>
        </w:rPr>
        <w:t xml:space="preserve">decisively </w:t>
      </w:r>
      <w:r w:rsidR="003F1E55" w:rsidRPr="004842AA">
        <w:rPr>
          <w:rFonts w:ascii="Times New Roman" w:hAnsi="Times New Roman" w:cs="Times New Roman"/>
        </w:rPr>
        <w:t xml:space="preserve">shaped </w:t>
      </w:r>
      <w:r w:rsidRPr="004842AA">
        <w:rPr>
          <w:rFonts w:ascii="Times New Roman" w:hAnsi="Times New Roman" w:cs="Times New Roman"/>
        </w:rPr>
        <w:t xml:space="preserve">the nature and contents of the final </w:t>
      </w:r>
      <w:r w:rsidR="003F1E55" w:rsidRPr="004842AA">
        <w:rPr>
          <w:rFonts w:ascii="Times New Roman" w:hAnsi="Times New Roman" w:cs="Times New Roman"/>
        </w:rPr>
        <w:t>Withdrawal Package</w:t>
      </w:r>
      <w:r w:rsidRPr="004842AA">
        <w:rPr>
          <w:rFonts w:ascii="Times New Roman" w:hAnsi="Times New Roman" w:cs="Times New Roman"/>
        </w:rPr>
        <w:t xml:space="preserve"> – </w:t>
      </w:r>
      <w:r w:rsidR="00E50137" w:rsidRPr="004842AA">
        <w:rPr>
          <w:rFonts w:ascii="Times New Roman" w:hAnsi="Times New Roman" w:cs="Times New Roman"/>
        </w:rPr>
        <w:t xml:space="preserve">particularly </w:t>
      </w:r>
      <w:r w:rsidRPr="004842AA">
        <w:rPr>
          <w:rFonts w:ascii="Times New Roman" w:hAnsi="Times New Roman" w:cs="Times New Roman"/>
        </w:rPr>
        <w:t xml:space="preserve">when it came to the crucial question of </w:t>
      </w:r>
      <w:r w:rsidR="00C862A2" w:rsidRPr="004842AA">
        <w:rPr>
          <w:rFonts w:ascii="Times New Roman" w:hAnsi="Times New Roman" w:cs="Times New Roman"/>
        </w:rPr>
        <w:t xml:space="preserve">defining </w:t>
      </w:r>
      <w:r w:rsidRPr="004842AA">
        <w:rPr>
          <w:rFonts w:ascii="Times New Roman" w:hAnsi="Times New Roman" w:cs="Times New Roman"/>
        </w:rPr>
        <w:t xml:space="preserve">the </w:t>
      </w:r>
      <w:r w:rsidR="00C862A2" w:rsidRPr="004842AA">
        <w:rPr>
          <w:rFonts w:ascii="Times New Roman" w:hAnsi="Times New Roman" w:cs="Times New Roman"/>
        </w:rPr>
        <w:t xml:space="preserve">proper </w:t>
      </w:r>
      <w:r w:rsidRPr="004842AA">
        <w:rPr>
          <w:rFonts w:ascii="Times New Roman" w:hAnsi="Times New Roman" w:cs="Times New Roman"/>
        </w:rPr>
        <w:t>scope, sequen</w:t>
      </w:r>
      <w:r w:rsidR="00C862A2" w:rsidRPr="004842AA">
        <w:rPr>
          <w:rFonts w:ascii="Times New Roman" w:hAnsi="Times New Roman" w:cs="Times New Roman"/>
        </w:rPr>
        <w:t>ce</w:t>
      </w:r>
      <w:r w:rsidRPr="004842AA">
        <w:rPr>
          <w:rFonts w:ascii="Times New Roman" w:hAnsi="Times New Roman" w:cs="Times New Roman"/>
        </w:rPr>
        <w:t xml:space="preserve"> and timing of negotiations </w:t>
      </w:r>
      <w:r w:rsidR="00C862A2" w:rsidRPr="004842AA">
        <w:rPr>
          <w:rFonts w:ascii="Times New Roman" w:hAnsi="Times New Roman" w:cs="Times New Roman"/>
        </w:rPr>
        <w:t>under Article 50 TEU</w:t>
      </w:r>
      <w:r w:rsidR="004309F7" w:rsidRPr="004842AA">
        <w:rPr>
          <w:rFonts w:ascii="Times New Roman" w:hAnsi="Times New Roman" w:cs="Times New Roman"/>
        </w:rPr>
        <w:t>.  Section 3</w:t>
      </w:r>
      <w:r w:rsidRPr="004842AA">
        <w:rPr>
          <w:rFonts w:ascii="Times New Roman" w:hAnsi="Times New Roman" w:cs="Times New Roman"/>
        </w:rPr>
        <w:t xml:space="preserve"> will then provide a critical overview of the </w:t>
      </w:r>
      <w:r w:rsidR="00DD59F6" w:rsidRPr="004842AA">
        <w:rPr>
          <w:rFonts w:ascii="Times New Roman" w:hAnsi="Times New Roman" w:cs="Times New Roman"/>
        </w:rPr>
        <w:t xml:space="preserve">Withdrawal Agreement </w:t>
      </w:r>
      <w:r w:rsidR="007A23C7">
        <w:rPr>
          <w:rFonts w:ascii="Times New Roman" w:hAnsi="Times New Roman" w:cs="Times New Roman"/>
        </w:rPr>
        <w:t xml:space="preserve">(hereafter: the Agreement) </w:t>
      </w:r>
      <w:r w:rsidR="00DD59F6" w:rsidRPr="004842AA">
        <w:rPr>
          <w:rFonts w:ascii="Times New Roman" w:hAnsi="Times New Roman" w:cs="Times New Roman"/>
        </w:rPr>
        <w:t xml:space="preserve">on </w:t>
      </w:r>
      <w:r w:rsidRPr="004842AA">
        <w:rPr>
          <w:rFonts w:ascii="Times New Roman" w:hAnsi="Times New Roman" w:cs="Times New Roman"/>
        </w:rPr>
        <w:t xml:space="preserve">the UK’s </w:t>
      </w:r>
      <w:r w:rsidR="00DD59F6" w:rsidRPr="004842AA">
        <w:rPr>
          <w:rFonts w:ascii="Times New Roman" w:hAnsi="Times New Roman" w:cs="Times New Roman"/>
        </w:rPr>
        <w:t>orderly departure</w:t>
      </w:r>
      <w:r w:rsidRPr="004842AA">
        <w:rPr>
          <w:rFonts w:ascii="Times New Roman" w:hAnsi="Times New Roman" w:cs="Times New Roman"/>
        </w:rPr>
        <w:t xml:space="preserve"> from </w:t>
      </w:r>
      <w:r w:rsidRPr="004842AA">
        <w:rPr>
          <w:rFonts w:ascii="Times New Roman" w:hAnsi="Times New Roman" w:cs="Times New Roman"/>
        </w:rPr>
        <w:lastRenderedPageBreak/>
        <w:t xml:space="preserve">the Union – focusing on </w:t>
      </w:r>
      <w:r w:rsidR="002C7A8B">
        <w:rPr>
          <w:rFonts w:ascii="Times New Roman" w:hAnsi="Times New Roman" w:cs="Times New Roman"/>
        </w:rPr>
        <w:t xml:space="preserve">the </w:t>
      </w:r>
      <w:r w:rsidRPr="004842AA">
        <w:rPr>
          <w:rFonts w:ascii="Times New Roman" w:hAnsi="Times New Roman" w:cs="Times New Roman"/>
        </w:rPr>
        <w:t xml:space="preserve">key issues </w:t>
      </w:r>
      <w:r w:rsidR="002C7A8B">
        <w:rPr>
          <w:rFonts w:ascii="Times New Roman" w:hAnsi="Times New Roman" w:cs="Times New Roman"/>
        </w:rPr>
        <w:t xml:space="preserve">of </w:t>
      </w:r>
      <w:r w:rsidRPr="004842AA">
        <w:rPr>
          <w:rFonts w:ascii="Times New Roman" w:hAnsi="Times New Roman" w:cs="Times New Roman"/>
        </w:rPr>
        <w:t>governanc</w:t>
      </w:r>
      <w:r w:rsidR="006861A1">
        <w:rPr>
          <w:rFonts w:ascii="Times New Roman" w:hAnsi="Times New Roman" w:cs="Times New Roman"/>
        </w:rPr>
        <w:t>e arrangements, the transition</w:t>
      </w:r>
      <w:r w:rsidRPr="004842AA">
        <w:rPr>
          <w:rFonts w:ascii="Times New Roman" w:hAnsi="Times New Roman" w:cs="Times New Roman"/>
        </w:rPr>
        <w:t xml:space="preserve"> period, citizens’ rights and the Irish border</w:t>
      </w:r>
      <w:r w:rsidR="00DD59F6" w:rsidRPr="004842AA">
        <w:rPr>
          <w:rFonts w:ascii="Times New Roman" w:hAnsi="Times New Roman" w:cs="Times New Roman"/>
        </w:rPr>
        <w:t xml:space="preserve">.  </w:t>
      </w:r>
      <w:r w:rsidR="00C862A2" w:rsidRPr="004842AA">
        <w:rPr>
          <w:rFonts w:ascii="Times New Roman" w:hAnsi="Times New Roman" w:cs="Times New Roman"/>
        </w:rPr>
        <w:t xml:space="preserve">In </w:t>
      </w:r>
      <w:r w:rsidR="00DD59F6" w:rsidRPr="004842AA">
        <w:rPr>
          <w:rFonts w:ascii="Times New Roman" w:hAnsi="Times New Roman" w:cs="Times New Roman"/>
        </w:rPr>
        <w:t>Section 4</w:t>
      </w:r>
      <w:r w:rsidR="00C862A2" w:rsidRPr="004842AA">
        <w:rPr>
          <w:rFonts w:ascii="Times New Roman" w:hAnsi="Times New Roman" w:cs="Times New Roman"/>
        </w:rPr>
        <w:t>, we will discuss the prospects for future EU-UK relations</w:t>
      </w:r>
      <w:r w:rsidR="009F3C4D">
        <w:rPr>
          <w:rFonts w:ascii="Times New Roman" w:hAnsi="Times New Roman" w:cs="Times New Roman"/>
        </w:rPr>
        <w:t xml:space="preserve"> </w:t>
      </w:r>
      <w:r w:rsidR="00C862A2" w:rsidRPr="004842AA">
        <w:rPr>
          <w:rFonts w:ascii="Times New Roman" w:hAnsi="Times New Roman" w:cs="Times New Roman"/>
        </w:rPr>
        <w:t xml:space="preserve">as set out in the </w:t>
      </w:r>
      <w:r w:rsidR="00DD59F6" w:rsidRPr="004842AA">
        <w:rPr>
          <w:rFonts w:ascii="Times New Roman" w:hAnsi="Times New Roman" w:cs="Times New Roman"/>
        </w:rPr>
        <w:t xml:space="preserve">Political Declaration </w:t>
      </w:r>
      <w:r w:rsidR="00C862A2" w:rsidRPr="004842AA">
        <w:rPr>
          <w:rFonts w:ascii="Times New Roman" w:hAnsi="Times New Roman" w:cs="Times New Roman"/>
        </w:rPr>
        <w:t>and fur</w:t>
      </w:r>
      <w:r w:rsidR="006861A1">
        <w:rPr>
          <w:rFonts w:ascii="Times New Roman" w:hAnsi="Times New Roman" w:cs="Times New Roman"/>
        </w:rPr>
        <w:t>ther developed in each party’s post-withdrawal</w:t>
      </w:r>
      <w:r w:rsidR="00C862A2" w:rsidRPr="004842AA">
        <w:rPr>
          <w:rFonts w:ascii="Times New Roman" w:hAnsi="Times New Roman" w:cs="Times New Roman"/>
        </w:rPr>
        <w:t xml:space="preserve"> negotiating positions</w:t>
      </w:r>
      <w:r w:rsidR="00DD59F6" w:rsidRPr="004842AA">
        <w:rPr>
          <w:rFonts w:ascii="Times New Roman" w:hAnsi="Times New Roman" w:cs="Times New Roman"/>
        </w:rPr>
        <w:t xml:space="preserve">.  </w:t>
      </w:r>
      <w:r w:rsidR="00C862A2" w:rsidRPr="009F3C4D">
        <w:rPr>
          <w:rFonts w:ascii="Times New Roman" w:hAnsi="Times New Roman" w:cs="Times New Roman"/>
        </w:rPr>
        <w:t>Section 5</w:t>
      </w:r>
      <w:r w:rsidR="009F3C4D">
        <w:rPr>
          <w:rFonts w:ascii="Times New Roman" w:hAnsi="Times New Roman" w:cs="Times New Roman"/>
        </w:rPr>
        <w:t xml:space="preserve"> offers some brief concluding observations.</w:t>
      </w:r>
    </w:p>
    <w:p w14:paraId="51CA56E6" w14:textId="77777777" w:rsidR="002C5D84" w:rsidRPr="004842AA" w:rsidRDefault="002C5D84" w:rsidP="004842AA">
      <w:pPr>
        <w:jc w:val="both"/>
        <w:rPr>
          <w:rFonts w:ascii="Times New Roman" w:hAnsi="Times New Roman" w:cs="Times New Roman"/>
          <w:b/>
        </w:rPr>
      </w:pPr>
    </w:p>
    <w:p w14:paraId="0AD9CB50" w14:textId="4033BD2D" w:rsidR="00947667" w:rsidRPr="004842AA" w:rsidRDefault="008850A9" w:rsidP="004842AA">
      <w:pPr>
        <w:jc w:val="both"/>
        <w:rPr>
          <w:rFonts w:ascii="Times New Roman" w:hAnsi="Times New Roman" w:cs="Times New Roman"/>
          <w:b/>
        </w:rPr>
      </w:pPr>
      <w:r w:rsidRPr="004842AA">
        <w:rPr>
          <w:rFonts w:ascii="Times New Roman" w:hAnsi="Times New Roman" w:cs="Times New Roman"/>
          <w:b/>
        </w:rPr>
        <w:t xml:space="preserve">2. </w:t>
      </w:r>
      <w:r w:rsidRPr="004842AA">
        <w:rPr>
          <w:rFonts w:ascii="Times New Roman" w:hAnsi="Times New Roman" w:cs="Times New Roman"/>
          <w:b/>
        </w:rPr>
        <w:tab/>
      </w:r>
      <w:r w:rsidR="001D34AA" w:rsidRPr="004842AA">
        <w:rPr>
          <w:rFonts w:ascii="Times New Roman" w:hAnsi="Times New Roman" w:cs="Times New Roman"/>
          <w:b/>
        </w:rPr>
        <w:t xml:space="preserve">Legal and Political </w:t>
      </w:r>
      <w:r w:rsidR="00947667" w:rsidRPr="004842AA">
        <w:rPr>
          <w:rFonts w:ascii="Times New Roman" w:hAnsi="Times New Roman" w:cs="Times New Roman"/>
          <w:b/>
        </w:rPr>
        <w:t>Context</w:t>
      </w:r>
      <w:r w:rsidR="001D34AA" w:rsidRPr="004842AA">
        <w:rPr>
          <w:rFonts w:ascii="Times New Roman" w:hAnsi="Times New Roman" w:cs="Times New Roman"/>
          <w:b/>
        </w:rPr>
        <w:t xml:space="preserve"> of </w:t>
      </w:r>
      <w:r w:rsidR="00656A8C" w:rsidRPr="004842AA">
        <w:rPr>
          <w:rFonts w:ascii="Times New Roman" w:hAnsi="Times New Roman" w:cs="Times New Roman"/>
          <w:b/>
        </w:rPr>
        <w:t xml:space="preserve">the </w:t>
      </w:r>
      <w:r w:rsidR="001D34AA" w:rsidRPr="004842AA">
        <w:rPr>
          <w:rFonts w:ascii="Times New Roman" w:hAnsi="Times New Roman" w:cs="Times New Roman"/>
          <w:b/>
        </w:rPr>
        <w:t>Withdrawal Package</w:t>
      </w:r>
    </w:p>
    <w:p w14:paraId="63C7FF67" w14:textId="77777777" w:rsidR="00947667" w:rsidRPr="004842AA" w:rsidRDefault="00947667" w:rsidP="004842AA">
      <w:pPr>
        <w:jc w:val="both"/>
        <w:rPr>
          <w:rFonts w:ascii="Times New Roman" w:hAnsi="Times New Roman" w:cs="Times New Roman"/>
        </w:rPr>
      </w:pPr>
    </w:p>
    <w:p w14:paraId="77535096" w14:textId="77777777" w:rsidR="0050377A" w:rsidRDefault="00D90399" w:rsidP="004842AA">
      <w:pPr>
        <w:jc w:val="both"/>
        <w:rPr>
          <w:rFonts w:ascii="Times New Roman" w:hAnsi="Times New Roman" w:cs="Times New Roman"/>
        </w:rPr>
      </w:pPr>
      <w:r w:rsidRPr="004842AA">
        <w:rPr>
          <w:rFonts w:ascii="Times New Roman" w:hAnsi="Times New Roman" w:cs="Times New Roman"/>
        </w:rPr>
        <w:t xml:space="preserve">The principal </w:t>
      </w:r>
      <w:r w:rsidR="00413C29" w:rsidRPr="004842AA">
        <w:rPr>
          <w:rFonts w:ascii="Times New Roman" w:hAnsi="Times New Roman" w:cs="Times New Roman"/>
        </w:rPr>
        <w:t xml:space="preserve">aim of Article 50 </w:t>
      </w:r>
      <w:r w:rsidRPr="004842AA">
        <w:rPr>
          <w:rFonts w:ascii="Times New Roman" w:hAnsi="Times New Roman" w:cs="Times New Roman"/>
        </w:rPr>
        <w:t xml:space="preserve">TEU </w:t>
      </w:r>
      <w:r w:rsidR="00413C29" w:rsidRPr="004842AA">
        <w:rPr>
          <w:rFonts w:ascii="Times New Roman" w:hAnsi="Times New Roman" w:cs="Times New Roman"/>
        </w:rPr>
        <w:t xml:space="preserve">is </w:t>
      </w:r>
      <w:r w:rsidR="00F76A4F" w:rsidRPr="004842AA">
        <w:rPr>
          <w:rFonts w:ascii="Times New Roman" w:hAnsi="Times New Roman" w:cs="Times New Roman"/>
        </w:rPr>
        <w:t>not to grant Member States</w:t>
      </w:r>
      <w:r w:rsidRPr="004842AA">
        <w:rPr>
          <w:rFonts w:ascii="Times New Roman" w:hAnsi="Times New Roman" w:cs="Times New Roman"/>
        </w:rPr>
        <w:t xml:space="preserve"> a right to withdraw from the Union: </w:t>
      </w:r>
      <w:r w:rsidR="00F76A4F" w:rsidRPr="004842AA">
        <w:rPr>
          <w:rFonts w:ascii="Times New Roman" w:hAnsi="Times New Roman" w:cs="Times New Roman"/>
        </w:rPr>
        <w:t xml:space="preserve">that prerogative </w:t>
      </w:r>
      <w:r w:rsidRPr="004842AA">
        <w:rPr>
          <w:rFonts w:ascii="Times New Roman" w:hAnsi="Times New Roman" w:cs="Times New Roman"/>
        </w:rPr>
        <w:t>was widely assumed to exist well before and regardless of the Lisbon Treaty reforms.</w:t>
      </w:r>
      <w:r w:rsidR="00E50137" w:rsidRPr="004842AA">
        <w:rPr>
          <w:rStyle w:val="FootnoteReference"/>
          <w:rFonts w:ascii="Times New Roman" w:hAnsi="Times New Roman" w:cs="Times New Roman"/>
        </w:rPr>
        <w:footnoteReference w:id="4"/>
      </w:r>
      <w:r w:rsidRPr="004842AA">
        <w:rPr>
          <w:rFonts w:ascii="Times New Roman" w:hAnsi="Times New Roman" w:cs="Times New Roman"/>
        </w:rPr>
        <w:t xml:space="preserve">  Rather, Article 50 TEU is intended to facilitate a Member State’s </w:t>
      </w:r>
      <w:r w:rsidR="00413C29" w:rsidRPr="004842AA">
        <w:rPr>
          <w:rFonts w:ascii="Times New Roman" w:hAnsi="Times New Roman" w:cs="Times New Roman"/>
        </w:rPr>
        <w:t xml:space="preserve">orderly withdrawal </w:t>
      </w:r>
      <w:r w:rsidRPr="004842AA">
        <w:rPr>
          <w:rFonts w:ascii="Times New Roman" w:hAnsi="Times New Roman" w:cs="Times New Roman"/>
        </w:rPr>
        <w:t xml:space="preserve">from the Union on the basis of a </w:t>
      </w:r>
      <w:r w:rsidR="00413C29" w:rsidRPr="004842AA">
        <w:rPr>
          <w:rFonts w:ascii="Times New Roman" w:hAnsi="Times New Roman" w:cs="Times New Roman"/>
        </w:rPr>
        <w:t xml:space="preserve">negotiated </w:t>
      </w:r>
      <w:r w:rsidRPr="004842AA">
        <w:rPr>
          <w:rFonts w:ascii="Times New Roman" w:hAnsi="Times New Roman" w:cs="Times New Roman"/>
        </w:rPr>
        <w:t xml:space="preserve">settlement and, to that end, lays down the </w:t>
      </w:r>
      <w:r w:rsidR="004E2EC3" w:rsidRPr="004842AA">
        <w:rPr>
          <w:rFonts w:ascii="Times New Roman" w:hAnsi="Times New Roman" w:cs="Times New Roman"/>
        </w:rPr>
        <w:t xml:space="preserve">bare bones </w:t>
      </w:r>
      <w:r w:rsidRPr="004842AA">
        <w:rPr>
          <w:rFonts w:ascii="Times New Roman" w:hAnsi="Times New Roman" w:cs="Times New Roman"/>
        </w:rPr>
        <w:t xml:space="preserve">of the legal </w:t>
      </w:r>
      <w:r w:rsidR="001C121B" w:rsidRPr="004842AA">
        <w:rPr>
          <w:rFonts w:ascii="Times New Roman" w:hAnsi="Times New Roman" w:cs="Times New Roman"/>
        </w:rPr>
        <w:t xml:space="preserve">process </w:t>
      </w:r>
      <w:r w:rsidR="00F76A4F" w:rsidRPr="004842AA">
        <w:rPr>
          <w:rFonts w:ascii="Times New Roman" w:hAnsi="Times New Roman" w:cs="Times New Roman"/>
        </w:rPr>
        <w:t xml:space="preserve">required to achieve </w:t>
      </w:r>
      <w:r w:rsidR="001C121B" w:rsidRPr="004842AA">
        <w:rPr>
          <w:rFonts w:ascii="Times New Roman" w:hAnsi="Times New Roman" w:cs="Times New Roman"/>
        </w:rPr>
        <w:t xml:space="preserve">such </w:t>
      </w:r>
      <w:r w:rsidR="00F76A4F" w:rsidRPr="004842AA">
        <w:rPr>
          <w:rFonts w:ascii="Times New Roman" w:hAnsi="Times New Roman" w:cs="Times New Roman"/>
        </w:rPr>
        <w:t xml:space="preserve">an </w:t>
      </w:r>
      <w:r w:rsidR="001C121B" w:rsidRPr="004842AA">
        <w:rPr>
          <w:rFonts w:ascii="Times New Roman" w:hAnsi="Times New Roman" w:cs="Times New Roman"/>
        </w:rPr>
        <w:t>outcome.</w:t>
      </w:r>
      <w:r w:rsidR="00E50137" w:rsidRPr="004842AA">
        <w:rPr>
          <w:rStyle w:val="FootnoteReference"/>
          <w:rFonts w:ascii="Times New Roman" w:hAnsi="Times New Roman" w:cs="Times New Roman"/>
        </w:rPr>
        <w:footnoteReference w:id="5"/>
      </w:r>
      <w:r w:rsidR="00F76A4F" w:rsidRPr="004842AA">
        <w:rPr>
          <w:rFonts w:ascii="Times New Roman" w:hAnsi="Times New Roman" w:cs="Times New Roman"/>
        </w:rPr>
        <w:t xml:space="preserve">  </w:t>
      </w:r>
    </w:p>
    <w:p w14:paraId="71B3BC8E" w14:textId="1698029A" w:rsidR="0050377A" w:rsidRDefault="00F76A4F" w:rsidP="0050377A">
      <w:pPr>
        <w:ind w:firstLine="720"/>
        <w:jc w:val="both"/>
        <w:rPr>
          <w:rFonts w:ascii="Times New Roman" w:hAnsi="Times New Roman" w:cs="Times New Roman"/>
        </w:rPr>
      </w:pPr>
      <w:r w:rsidRPr="0050377A">
        <w:rPr>
          <w:rFonts w:ascii="Times New Roman" w:hAnsi="Times New Roman" w:cs="Times New Roman"/>
        </w:rPr>
        <w:t xml:space="preserve">Of course: the very act of </w:t>
      </w:r>
      <w:r w:rsidR="001C121B" w:rsidRPr="0050377A">
        <w:rPr>
          <w:rFonts w:ascii="Times New Roman" w:hAnsi="Times New Roman" w:cs="Times New Roman"/>
        </w:rPr>
        <w:t xml:space="preserve">withdrawal </w:t>
      </w:r>
      <w:r w:rsidRPr="0050377A">
        <w:rPr>
          <w:rFonts w:ascii="Times New Roman" w:hAnsi="Times New Roman" w:cs="Times New Roman"/>
        </w:rPr>
        <w:t xml:space="preserve">will, </w:t>
      </w:r>
      <w:r w:rsidR="001C121B" w:rsidRPr="0050377A">
        <w:rPr>
          <w:rFonts w:ascii="Times New Roman" w:hAnsi="Times New Roman" w:cs="Times New Roman"/>
        </w:rPr>
        <w:t>in any event</w:t>
      </w:r>
      <w:r w:rsidRPr="0050377A">
        <w:rPr>
          <w:rFonts w:ascii="Times New Roman" w:hAnsi="Times New Roman" w:cs="Times New Roman"/>
        </w:rPr>
        <w:t>, require</w:t>
      </w:r>
      <w:r w:rsidR="001C121B" w:rsidRPr="0050377A">
        <w:rPr>
          <w:rFonts w:ascii="Times New Roman" w:hAnsi="Times New Roman" w:cs="Times New Roman"/>
        </w:rPr>
        <w:t xml:space="preserve"> certain unilateral measures by </w:t>
      </w:r>
      <w:r w:rsidRPr="0050377A">
        <w:rPr>
          <w:rFonts w:ascii="Times New Roman" w:hAnsi="Times New Roman" w:cs="Times New Roman"/>
        </w:rPr>
        <w:t xml:space="preserve">the relevant State, the Union institutions and the remaining Member States, so as to prepare their respective </w:t>
      </w:r>
      <w:r w:rsidR="001C121B" w:rsidRPr="0050377A">
        <w:rPr>
          <w:rFonts w:ascii="Times New Roman" w:hAnsi="Times New Roman" w:cs="Times New Roman"/>
        </w:rPr>
        <w:t xml:space="preserve">internal legal orders for </w:t>
      </w:r>
      <w:r w:rsidRPr="0050377A">
        <w:rPr>
          <w:rFonts w:ascii="Times New Roman" w:hAnsi="Times New Roman" w:cs="Times New Roman"/>
        </w:rPr>
        <w:t>those consequences which are inherent in or inevitable from departure</w:t>
      </w:r>
      <w:r w:rsidR="001C121B" w:rsidRPr="0050377A">
        <w:rPr>
          <w:rFonts w:ascii="Times New Roman" w:hAnsi="Times New Roman" w:cs="Times New Roman"/>
        </w:rPr>
        <w:t xml:space="preserve">.  </w:t>
      </w:r>
      <w:r w:rsidRPr="0050377A">
        <w:rPr>
          <w:rFonts w:ascii="Times New Roman" w:hAnsi="Times New Roman" w:cs="Times New Roman"/>
        </w:rPr>
        <w:t>For example</w:t>
      </w:r>
      <w:r w:rsidR="000751B1">
        <w:rPr>
          <w:rFonts w:ascii="Times New Roman" w:hAnsi="Times New Roman" w:cs="Times New Roman"/>
        </w:rPr>
        <w:t>,</w:t>
      </w:r>
      <w:r w:rsidRPr="0050377A">
        <w:rPr>
          <w:rFonts w:ascii="Times New Roman" w:hAnsi="Times New Roman" w:cs="Times New Roman"/>
        </w:rPr>
        <w:t xml:space="preserve"> </w:t>
      </w:r>
      <w:r w:rsidR="00313F1A" w:rsidRPr="0050377A">
        <w:rPr>
          <w:rFonts w:ascii="Times New Roman" w:hAnsi="Times New Roman" w:cs="Times New Roman"/>
        </w:rPr>
        <w:t>as regards the Union</w:t>
      </w:r>
      <w:r w:rsidR="000751B1">
        <w:rPr>
          <w:rFonts w:ascii="Times New Roman" w:hAnsi="Times New Roman" w:cs="Times New Roman"/>
        </w:rPr>
        <w:t>:</w:t>
      </w:r>
      <w:r w:rsidR="00313F1A" w:rsidRPr="0050377A">
        <w:rPr>
          <w:rFonts w:ascii="Times New Roman" w:hAnsi="Times New Roman" w:cs="Times New Roman"/>
        </w:rPr>
        <w:t xml:space="preserve"> </w:t>
      </w:r>
      <w:r w:rsidR="000751B1">
        <w:rPr>
          <w:rFonts w:ascii="Times New Roman" w:hAnsi="Times New Roman" w:cs="Times New Roman"/>
        </w:rPr>
        <w:t xml:space="preserve">besides the physical relocation of UK-based </w:t>
      </w:r>
      <w:r w:rsidR="004D5245">
        <w:rPr>
          <w:rFonts w:ascii="Times New Roman" w:hAnsi="Times New Roman" w:cs="Times New Roman"/>
        </w:rPr>
        <w:t xml:space="preserve">EU </w:t>
      </w:r>
      <w:r w:rsidR="000751B1">
        <w:rPr>
          <w:rFonts w:ascii="Times New Roman" w:hAnsi="Times New Roman" w:cs="Times New Roman"/>
        </w:rPr>
        <w:t>agencies,</w:t>
      </w:r>
      <w:r w:rsidR="000751B1">
        <w:rPr>
          <w:rStyle w:val="FootnoteReference"/>
          <w:rFonts w:ascii="Times New Roman" w:hAnsi="Times New Roman" w:cs="Times New Roman"/>
        </w:rPr>
        <w:footnoteReference w:id="6"/>
      </w:r>
      <w:r w:rsidR="000751B1">
        <w:rPr>
          <w:rFonts w:ascii="Times New Roman" w:hAnsi="Times New Roman" w:cs="Times New Roman"/>
        </w:rPr>
        <w:t xml:space="preserve"> </w:t>
      </w:r>
      <w:r w:rsidR="00313F1A" w:rsidRPr="0050377A">
        <w:rPr>
          <w:rFonts w:ascii="Times New Roman" w:hAnsi="Times New Roman" w:cs="Times New Roman"/>
        </w:rPr>
        <w:t xml:space="preserve">the Commission undertook a screening exercise which resulted in amendments to various Union regulatory regimes so as to reflect the </w:t>
      </w:r>
      <w:r w:rsidR="0050377A">
        <w:rPr>
          <w:rFonts w:ascii="Times New Roman" w:hAnsi="Times New Roman" w:cs="Times New Roman"/>
        </w:rPr>
        <w:t xml:space="preserve">fact of </w:t>
      </w:r>
      <w:r w:rsidR="00313F1A" w:rsidRPr="0050377A">
        <w:rPr>
          <w:rFonts w:ascii="Times New Roman" w:hAnsi="Times New Roman" w:cs="Times New Roman"/>
        </w:rPr>
        <w:t xml:space="preserve">UK departure – but otherwise assumed that references to the UK in primary and all remaining secondary </w:t>
      </w:r>
      <w:r w:rsidR="0050377A">
        <w:rPr>
          <w:rFonts w:ascii="Times New Roman" w:hAnsi="Times New Roman" w:cs="Times New Roman"/>
        </w:rPr>
        <w:t xml:space="preserve">Union </w:t>
      </w:r>
      <w:r w:rsidR="00313F1A" w:rsidRPr="0050377A">
        <w:rPr>
          <w:rFonts w:ascii="Times New Roman" w:hAnsi="Times New Roman" w:cs="Times New Roman"/>
        </w:rPr>
        <w:t xml:space="preserve">law could </w:t>
      </w:r>
      <w:r w:rsidR="0050377A">
        <w:rPr>
          <w:rFonts w:ascii="Times New Roman" w:hAnsi="Times New Roman" w:cs="Times New Roman"/>
        </w:rPr>
        <w:t xml:space="preserve">effectively </w:t>
      </w:r>
      <w:r w:rsidR="00313F1A" w:rsidRPr="0050377A">
        <w:rPr>
          <w:rFonts w:ascii="Times New Roman" w:hAnsi="Times New Roman" w:cs="Times New Roman"/>
        </w:rPr>
        <w:t xml:space="preserve">be treated as defunct pending </w:t>
      </w:r>
      <w:r w:rsidR="0050377A">
        <w:rPr>
          <w:rFonts w:ascii="Times New Roman" w:hAnsi="Times New Roman" w:cs="Times New Roman"/>
        </w:rPr>
        <w:t xml:space="preserve">their </w:t>
      </w:r>
      <w:r w:rsidR="00313F1A" w:rsidRPr="0050377A">
        <w:rPr>
          <w:rFonts w:ascii="Times New Roman" w:hAnsi="Times New Roman" w:cs="Times New Roman"/>
        </w:rPr>
        <w:t>formal amendment or repeal in due course</w:t>
      </w:r>
      <w:r w:rsidR="005E2420" w:rsidRPr="0050377A">
        <w:rPr>
          <w:rFonts w:ascii="Times New Roman" w:hAnsi="Times New Roman" w:cs="Times New Roman"/>
        </w:rPr>
        <w:t>.</w:t>
      </w:r>
      <w:r w:rsidR="00E50137" w:rsidRPr="0050377A">
        <w:rPr>
          <w:rStyle w:val="FootnoteReference"/>
          <w:rFonts w:ascii="Times New Roman" w:hAnsi="Times New Roman" w:cs="Times New Roman"/>
        </w:rPr>
        <w:footnoteReference w:id="7"/>
      </w:r>
      <w:r w:rsidRPr="0050377A">
        <w:rPr>
          <w:rFonts w:ascii="Times New Roman" w:hAnsi="Times New Roman" w:cs="Times New Roman"/>
        </w:rPr>
        <w:t xml:space="preserve"> </w:t>
      </w:r>
      <w:r w:rsidR="005E2420" w:rsidRPr="0050377A">
        <w:rPr>
          <w:rFonts w:ascii="Times New Roman" w:hAnsi="Times New Roman" w:cs="Times New Roman"/>
        </w:rPr>
        <w:t xml:space="preserve"> </w:t>
      </w:r>
      <w:r w:rsidR="00313F1A" w:rsidRPr="0050377A">
        <w:rPr>
          <w:rFonts w:ascii="Times New Roman" w:hAnsi="Times New Roman" w:cs="Times New Roman"/>
        </w:rPr>
        <w:t xml:space="preserve">For its part, the task facing the </w:t>
      </w:r>
      <w:r w:rsidRPr="0050377A">
        <w:rPr>
          <w:rFonts w:ascii="Times New Roman" w:hAnsi="Times New Roman" w:cs="Times New Roman"/>
        </w:rPr>
        <w:t>UK</w:t>
      </w:r>
      <w:r w:rsidR="00313F1A" w:rsidRPr="0050377A">
        <w:rPr>
          <w:rFonts w:ascii="Times New Roman" w:hAnsi="Times New Roman" w:cs="Times New Roman"/>
        </w:rPr>
        <w:t xml:space="preserve"> was significantly more daunting: </w:t>
      </w:r>
      <w:r w:rsidR="0019108E" w:rsidRPr="0050377A">
        <w:rPr>
          <w:rFonts w:ascii="Times New Roman" w:hAnsi="Times New Roman" w:cs="Times New Roman"/>
        </w:rPr>
        <w:t xml:space="preserve">given the high degree to which Union law is integrated into the legal system of </w:t>
      </w:r>
      <w:r w:rsidR="0050377A" w:rsidRPr="0050377A">
        <w:rPr>
          <w:rFonts w:ascii="Times New Roman" w:hAnsi="Times New Roman" w:cs="Times New Roman"/>
        </w:rPr>
        <w:t xml:space="preserve">every </w:t>
      </w:r>
      <w:r w:rsidR="0019108E" w:rsidRPr="0050377A">
        <w:rPr>
          <w:rFonts w:ascii="Times New Roman" w:hAnsi="Times New Roman" w:cs="Times New Roman"/>
        </w:rPr>
        <w:t xml:space="preserve">Member State, the UK </w:t>
      </w:r>
      <w:r w:rsidR="00313F1A" w:rsidRPr="0050377A">
        <w:rPr>
          <w:rFonts w:ascii="Times New Roman" w:hAnsi="Times New Roman" w:cs="Times New Roman"/>
        </w:rPr>
        <w:t xml:space="preserve">had to </w:t>
      </w:r>
      <w:r w:rsidR="003B15B2" w:rsidRPr="0050377A">
        <w:rPr>
          <w:rFonts w:ascii="Times New Roman" w:hAnsi="Times New Roman" w:cs="Times New Roman"/>
        </w:rPr>
        <w:t xml:space="preserve">implement a scheme that would </w:t>
      </w:r>
      <w:r w:rsidR="00313F1A" w:rsidRPr="0050377A">
        <w:rPr>
          <w:rFonts w:ascii="Times New Roman" w:hAnsi="Times New Roman" w:cs="Times New Roman"/>
        </w:rPr>
        <w:t>protect basic standards of legal continuity</w:t>
      </w:r>
      <w:r w:rsidR="004D5245">
        <w:rPr>
          <w:rFonts w:ascii="Times New Roman" w:hAnsi="Times New Roman" w:cs="Times New Roman"/>
        </w:rPr>
        <w:t xml:space="preserve"> and </w:t>
      </w:r>
      <w:r w:rsidR="00313F1A" w:rsidRPr="0050377A">
        <w:rPr>
          <w:rFonts w:ascii="Times New Roman" w:hAnsi="Times New Roman" w:cs="Times New Roman"/>
        </w:rPr>
        <w:t>certainty</w:t>
      </w:r>
      <w:r w:rsidR="003B15B2" w:rsidRPr="0050377A">
        <w:rPr>
          <w:rFonts w:ascii="Times New Roman" w:hAnsi="Times New Roman" w:cs="Times New Roman"/>
        </w:rPr>
        <w:t xml:space="preserve"> by retaining and adapting all existing </w:t>
      </w:r>
      <w:r w:rsidR="0050377A" w:rsidRPr="0050377A">
        <w:rPr>
          <w:rFonts w:ascii="Times New Roman" w:hAnsi="Times New Roman" w:cs="Times New Roman"/>
        </w:rPr>
        <w:t xml:space="preserve">provisions of </w:t>
      </w:r>
      <w:r w:rsidR="003B15B2" w:rsidRPr="0050377A">
        <w:rPr>
          <w:rFonts w:ascii="Times New Roman" w:hAnsi="Times New Roman" w:cs="Times New Roman"/>
        </w:rPr>
        <w:t>Union law</w:t>
      </w:r>
      <w:r w:rsidR="0050377A" w:rsidRPr="0050377A">
        <w:rPr>
          <w:rFonts w:ascii="Times New Roman" w:hAnsi="Times New Roman" w:cs="Times New Roman"/>
        </w:rPr>
        <w:t>;</w:t>
      </w:r>
      <w:r w:rsidR="0050377A">
        <w:rPr>
          <w:rStyle w:val="FootnoteReference"/>
          <w:rFonts w:ascii="Times New Roman" w:hAnsi="Times New Roman" w:cs="Times New Roman"/>
        </w:rPr>
        <w:footnoteReference w:id="8"/>
      </w:r>
      <w:r w:rsidR="0050377A" w:rsidRPr="0050377A">
        <w:rPr>
          <w:rFonts w:ascii="Times New Roman" w:hAnsi="Times New Roman" w:cs="Times New Roman"/>
        </w:rPr>
        <w:t xml:space="preserve"> at the same time as designing entirely new regimes in fields (such as trade, customs, agriculture, fisheries and immigration) where </w:t>
      </w:r>
      <w:r w:rsidR="0050377A">
        <w:rPr>
          <w:rFonts w:ascii="Times New Roman" w:hAnsi="Times New Roman" w:cs="Times New Roman"/>
        </w:rPr>
        <w:t xml:space="preserve">the </w:t>
      </w:r>
      <w:r w:rsidR="0050377A" w:rsidRPr="0050377A">
        <w:rPr>
          <w:rFonts w:ascii="Times New Roman" w:hAnsi="Times New Roman" w:cs="Times New Roman"/>
        </w:rPr>
        <w:t xml:space="preserve">replication of Union rules (even with extensive changes) </w:t>
      </w:r>
      <w:r w:rsidR="006861A1">
        <w:rPr>
          <w:rFonts w:ascii="Times New Roman" w:hAnsi="Times New Roman" w:cs="Times New Roman"/>
        </w:rPr>
        <w:t>would be</w:t>
      </w:r>
      <w:r w:rsidR="0050377A" w:rsidRPr="0050377A">
        <w:rPr>
          <w:rFonts w:ascii="Times New Roman" w:hAnsi="Times New Roman" w:cs="Times New Roman"/>
        </w:rPr>
        <w:t xml:space="preserve"> insufficient to plug the regulatory gap directly resulting from withdrawal</w:t>
      </w:r>
      <w:r w:rsidR="00313F1A" w:rsidRPr="0050377A">
        <w:rPr>
          <w:rFonts w:ascii="Times New Roman" w:hAnsi="Times New Roman" w:cs="Times New Roman"/>
        </w:rPr>
        <w:t>.</w:t>
      </w:r>
      <w:r w:rsidR="00E50137" w:rsidRPr="0050377A">
        <w:rPr>
          <w:rStyle w:val="FootnoteReference"/>
          <w:rFonts w:ascii="Times New Roman" w:hAnsi="Times New Roman" w:cs="Times New Roman"/>
        </w:rPr>
        <w:footnoteReference w:id="9"/>
      </w:r>
      <w:r w:rsidRPr="004842AA">
        <w:rPr>
          <w:rFonts w:ascii="Times New Roman" w:hAnsi="Times New Roman" w:cs="Times New Roman"/>
        </w:rPr>
        <w:t xml:space="preserve">  </w:t>
      </w:r>
      <w:r w:rsidR="007A43C8">
        <w:rPr>
          <w:rFonts w:ascii="Times New Roman" w:hAnsi="Times New Roman" w:cs="Times New Roman"/>
        </w:rPr>
        <w:t xml:space="preserve">And all that is just the basic prelude to the longer term processes </w:t>
      </w:r>
      <w:r w:rsidR="00E75446">
        <w:rPr>
          <w:rFonts w:ascii="Times New Roman" w:hAnsi="Times New Roman" w:cs="Times New Roman"/>
        </w:rPr>
        <w:t xml:space="preserve">of constitutional change </w:t>
      </w:r>
      <w:r w:rsidR="007A43C8">
        <w:rPr>
          <w:rFonts w:ascii="Times New Roman" w:hAnsi="Times New Roman" w:cs="Times New Roman"/>
        </w:rPr>
        <w:t xml:space="preserve">unleashed by </w:t>
      </w:r>
      <w:proofErr w:type="spellStart"/>
      <w:r w:rsidR="007A43C8">
        <w:rPr>
          <w:rFonts w:ascii="Times New Roman" w:hAnsi="Times New Roman" w:cs="Times New Roman"/>
        </w:rPr>
        <w:t>Brexit</w:t>
      </w:r>
      <w:proofErr w:type="spellEnd"/>
      <w:r w:rsidR="007A43C8">
        <w:rPr>
          <w:rFonts w:ascii="Times New Roman" w:hAnsi="Times New Roman" w:cs="Times New Roman"/>
        </w:rPr>
        <w:t xml:space="preserve">: </w:t>
      </w:r>
      <w:r w:rsidR="007A43C8">
        <w:rPr>
          <w:rFonts w:ascii="Times New Roman" w:hAnsi="Times New Roman" w:cs="Times New Roman"/>
        </w:rPr>
        <w:lastRenderedPageBreak/>
        <w:t>de-</w:t>
      </w:r>
      <w:proofErr w:type="spellStart"/>
      <w:r w:rsidR="007A43C8">
        <w:rPr>
          <w:rFonts w:ascii="Times New Roman" w:hAnsi="Times New Roman" w:cs="Times New Roman"/>
        </w:rPr>
        <w:t>Europeanisation</w:t>
      </w:r>
      <w:proofErr w:type="spellEnd"/>
      <w:r w:rsidR="007A43C8">
        <w:rPr>
          <w:rFonts w:ascii="Times New Roman" w:hAnsi="Times New Roman" w:cs="Times New Roman"/>
        </w:rPr>
        <w:t xml:space="preserve"> of the UK legal system;</w:t>
      </w:r>
      <w:r w:rsidR="00E75446">
        <w:rPr>
          <w:rStyle w:val="FootnoteReference"/>
          <w:rFonts w:ascii="Times New Roman" w:hAnsi="Times New Roman" w:cs="Times New Roman"/>
        </w:rPr>
        <w:footnoteReference w:id="10"/>
      </w:r>
      <w:r w:rsidR="007A43C8">
        <w:rPr>
          <w:rFonts w:ascii="Times New Roman" w:hAnsi="Times New Roman" w:cs="Times New Roman"/>
        </w:rPr>
        <w:t xml:space="preserve"> </w:t>
      </w:r>
      <w:r w:rsidR="00E75446">
        <w:rPr>
          <w:rFonts w:ascii="Times New Roman" w:hAnsi="Times New Roman" w:cs="Times New Roman"/>
        </w:rPr>
        <w:t>and the future institutional and legal evolution of the Union itself now free (for better and for worse) from British influence</w:t>
      </w:r>
      <w:r w:rsidR="007A43C8">
        <w:rPr>
          <w:rFonts w:ascii="Times New Roman" w:hAnsi="Times New Roman" w:cs="Times New Roman"/>
        </w:rPr>
        <w:t>.</w:t>
      </w:r>
      <w:r w:rsidR="00E75446">
        <w:rPr>
          <w:rStyle w:val="FootnoteReference"/>
          <w:rFonts w:ascii="Times New Roman" w:hAnsi="Times New Roman" w:cs="Times New Roman"/>
        </w:rPr>
        <w:footnoteReference w:id="11"/>
      </w:r>
    </w:p>
    <w:p w14:paraId="59304B9D" w14:textId="27EC65F7" w:rsidR="0050377A" w:rsidRDefault="00F76A4F" w:rsidP="0050377A">
      <w:pPr>
        <w:ind w:firstLine="720"/>
        <w:jc w:val="both"/>
        <w:rPr>
          <w:rFonts w:ascii="Times New Roman" w:hAnsi="Times New Roman" w:cs="Times New Roman"/>
        </w:rPr>
      </w:pPr>
      <w:r w:rsidRPr="004842AA">
        <w:rPr>
          <w:rFonts w:ascii="Times New Roman" w:hAnsi="Times New Roman" w:cs="Times New Roman"/>
        </w:rPr>
        <w:t>And of course: Union law allows for outcomes other than a negotiated withdrawal under Article 50 TEU.  For example</w:t>
      </w:r>
      <w:r w:rsidR="00A856A1" w:rsidRPr="004842AA">
        <w:rPr>
          <w:rFonts w:ascii="Times New Roman" w:hAnsi="Times New Roman" w:cs="Times New Roman"/>
        </w:rPr>
        <w:t>:</w:t>
      </w:r>
      <w:r w:rsidRPr="004842AA">
        <w:rPr>
          <w:rFonts w:ascii="Times New Roman" w:hAnsi="Times New Roman" w:cs="Times New Roman"/>
        </w:rPr>
        <w:t xml:space="preserve"> it remained a substantial possibility, throughout the </w:t>
      </w:r>
      <w:r w:rsidR="00A856A1" w:rsidRPr="004842AA">
        <w:rPr>
          <w:rFonts w:ascii="Times New Roman" w:hAnsi="Times New Roman" w:cs="Times New Roman"/>
        </w:rPr>
        <w:t xml:space="preserve">entire </w:t>
      </w:r>
      <w:r w:rsidRPr="004842AA">
        <w:rPr>
          <w:rFonts w:ascii="Times New Roman" w:hAnsi="Times New Roman" w:cs="Times New Roman"/>
        </w:rPr>
        <w:t xml:space="preserve">period </w:t>
      </w:r>
      <w:r w:rsidR="00A856A1" w:rsidRPr="004842AA">
        <w:rPr>
          <w:rFonts w:ascii="Times New Roman" w:hAnsi="Times New Roman" w:cs="Times New Roman"/>
        </w:rPr>
        <w:t xml:space="preserve">after </w:t>
      </w:r>
      <w:r w:rsidRPr="004842AA">
        <w:rPr>
          <w:rFonts w:ascii="Times New Roman" w:hAnsi="Times New Roman" w:cs="Times New Roman"/>
        </w:rPr>
        <w:t xml:space="preserve">June 2016, that the UK might leave </w:t>
      </w:r>
      <w:r w:rsidR="002C7A8B">
        <w:rPr>
          <w:rFonts w:ascii="Times New Roman" w:hAnsi="Times New Roman" w:cs="Times New Roman"/>
        </w:rPr>
        <w:t xml:space="preserve">(by default) </w:t>
      </w:r>
      <w:r w:rsidRPr="004842AA">
        <w:rPr>
          <w:rFonts w:ascii="Times New Roman" w:hAnsi="Times New Roman" w:cs="Times New Roman"/>
        </w:rPr>
        <w:t>without any agreement – forcing the Union</w:t>
      </w:r>
      <w:r w:rsidR="00A856A1" w:rsidRPr="004842AA">
        <w:rPr>
          <w:rFonts w:ascii="Times New Roman" w:hAnsi="Times New Roman" w:cs="Times New Roman"/>
        </w:rPr>
        <w:t>,</w:t>
      </w:r>
      <w:r w:rsidRPr="004842AA">
        <w:rPr>
          <w:rFonts w:ascii="Times New Roman" w:hAnsi="Times New Roman" w:cs="Times New Roman"/>
        </w:rPr>
        <w:t xml:space="preserve"> as well as the UK itself</w:t>
      </w:r>
      <w:r w:rsidR="00A856A1" w:rsidRPr="004842AA">
        <w:rPr>
          <w:rFonts w:ascii="Times New Roman" w:hAnsi="Times New Roman" w:cs="Times New Roman"/>
        </w:rPr>
        <w:t>,</w:t>
      </w:r>
      <w:r w:rsidRPr="004842AA">
        <w:rPr>
          <w:rFonts w:ascii="Times New Roman" w:hAnsi="Times New Roman" w:cs="Times New Roman"/>
        </w:rPr>
        <w:t xml:space="preserve"> to undertake contingency plans </w:t>
      </w:r>
      <w:r w:rsidR="00A856A1" w:rsidRPr="004842AA">
        <w:rPr>
          <w:rFonts w:ascii="Times New Roman" w:hAnsi="Times New Roman" w:cs="Times New Roman"/>
        </w:rPr>
        <w:t xml:space="preserve">aimed at reducing the adverse impacts of such a </w:t>
      </w:r>
      <w:r w:rsidRPr="004842AA">
        <w:rPr>
          <w:rFonts w:ascii="Times New Roman" w:hAnsi="Times New Roman" w:cs="Times New Roman"/>
        </w:rPr>
        <w:t>“no deal Brexit”.</w:t>
      </w:r>
      <w:r w:rsidR="00E50137" w:rsidRPr="004842AA">
        <w:rPr>
          <w:rStyle w:val="FootnoteReference"/>
          <w:rFonts w:ascii="Times New Roman" w:hAnsi="Times New Roman" w:cs="Times New Roman"/>
        </w:rPr>
        <w:footnoteReference w:id="12"/>
      </w:r>
      <w:r w:rsidRPr="004842AA">
        <w:rPr>
          <w:rFonts w:ascii="Times New Roman" w:hAnsi="Times New Roman" w:cs="Times New Roman"/>
        </w:rPr>
        <w:t xml:space="preserve">  </w:t>
      </w:r>
      <w:r w:rsidR="00A856A1" w:rsidRPr="004842AA">
        <w:rPr>
          <w:rFonts w:ascii="Times New Roman" w:hAnsi="Times New Roman" w:cs="Times New Roman"/>
        </w:rPr>
        <w:t xml:space="preserve">Or again: there was a chance </w:t>
      </w:r>
      <w:r w:rsidR="002C7A8B" w:rsidRPr="004842AA">
        <w:rPr>
          <w:rFonts w:ascii="Times New Roman" w:hAnsi="Times New Roman" w:cs="Times New Roman"/>
        </w:rPr>
        <w:t xml:space="preserve">(albeit only ever slim) </w:t>
      </w:r>
      <w:r w:rsidR="00A856A1" w:rsidRPr="004842AA">
        <w:rPr>
          <w:rFonts w:ascii="Times New Roman" w:hAnsi="Times New Roman" w:cs="Times New Roman"/>
        </w:rPr>
        <w:t xml:space="preserve">that the UK might change its mind and exercise its right (as confirmed by the CJEU in </w:t>
      </w:r>
      <w:r w:rsidR="00967D31" w:rsidRPr="004842AA">
        <w:rPr>
          <w:rFonts w:ascii="Times New Roman" w:hAnsi="Times New Roman" w:cs="Times New Roman"/>
          <w:i/>
        </w:rPr>
        <w:t>Wightman</w:t>
      </w:r>
      <w:r w:rsidR="00A856A1" w:rsidRPr="004842AA">
        <w:rPr>
          <w:rFonts w:ascii="Times New Roman" w:hAnsi="Times New Roman" w:cs="Times New Roman"/>
        </w:rPr>
        <w:t>) to revoke its original notification of intention to withdraw and simply remain a Member State under its current constitutional terms.</w:t>
      </w:r>
      <w:r w:rsidR="00E50137" w:rsidRPr="004842AA">
        <w:rPr>
          <w:rStyle w:val="FootnoteReference"/>
          <w:rFonts w:ascii="Times New Roman" w:hAnsi="Times New Roman" w:cs="Times New Roman"/>
        </w:rPr>
        <w:footnoteReference w:id="13"/>
      </w:r>
      <w:r w:rsidR="00A856A1" w:rsidRPr="004842AA">
        <w:rPr>
          <w:rFonts w:ascii="Times New Roman" w:hAnsi="Times New Roman" w:cs="Times New Roman"/>
        </w:rPr>
        <w:t xml:space="preserve">  But each of those alternative outcomes </w:t>
      </w:r>
      <w:r w:rsidR="00E50137" w:rsidRPr="004842AA">
        <w:rPr>
          <w:rFonts w:ascii="Times New Roman" w:hAnsi="Times New Roman" w:cs="Times New Roman"/>
        </w:rPr>
        <w:t>was</w:t>
      </w:r>
      <w:r w:rsidR="00A856A1" w:rsidRPr="004842AA">
        <w:rPr>
          <w:rFonts w:ascii="Times New Roman" w:hAnsi="Times New Roman" w:cs="Times New Roman"/>
        </w:rPr>
        <w:t xml:space="preserve"> effectively ruled out following the Conservative Party victory in the UK’s general election of December 2019</w:t>
      </w:r>
      <w:r w:rsidR="004209A2" w:rsidRPr="004842AA">
        <w:rPr>
          <w:rFonts w:ascii="Times New Roman" w:hAnsi="Times New Roman" w:cs="Times New Roman"/>
        </w:rPr>
        <w:t xml:space="preserve">: there would indeed be a deal; though there would be no second referendum to </w:t>
      </w:r>
      <w:r w:rsidR="00E50137" w:rsidRPr="004842AA">
        <w:rPr>
          <w:rFonts w:ascii="Times New Roman" w:hAnsi="Times New Roman" w:cs="Times New Roman"/>
        </w:rPr>
        <w:t>verify whether</w:t>
      </w:r>
      <w:r w:rsidR="004209A2" w:rsidRPr="004842AA">
        <w:rPr>
          <w:rFonts w:ascii="Times New Roman" w:hAnsi="Times New Roman" w:cs="Times New Roman"/>
        </w:rPr>
        <w:t xml:space="preserve"> withdrawal on those terms still reflected the will of the UK population</w:t>
      </w:r>
      <w:r w:rsidR="00A856A1" w:rsidRPr="004842AA">
        <w:rPr>
          <w:rFonts w:ascii="Times New Roman" w:hAnsi="Times New Roman" w:cs="Times New Roman"/>
        </w:rPr>
        <w:t xml:space="preserve">.  </w:t>
      </w:r>
    </w:p>
    <w:p w14:paraId="6E6A91BA" w14:textId="2CD1BE72" w:rsidR="00967D31" w:rsidRPr="004842AA" w:rsidRDefault="00A856A1" w:rsidP="0050377A">
      <w:pPr>
        <w:ind w:firstLine="720"/>
        <w:jc w:val="both"/>
        <w:rPr>
          <w:rFonts w:ascii="Times New Roman" w:hAnsi="Times New Roman" w:cs="Times New Roman"/>
        </w:rPr>
      </w:pPr>
      <w:r w:rsidRPr="004842AA">
        <w:rPr>
          <w:rFonts w:ascii="Times New Roman" w:hAnsi="Times New Roman" w:cs="Times New Roman"/>
        </w:rPr>
        <w:t xml:space="preserve">And so, in the end, </w:t>
      </w:r>
      <w:r w:rsidR="00967D31" w:rsidRPr="004842AA">
        <w:rPr>
          <w:rFonts w:ascii="Times New Roman" w:hAnsi="Times New Roman" w:cs="Times New Roman"/>
        </w:rPr>
        <w:t xml:space="preserve">Article 50 </w:t>
      </w:r>
      <w:r w:rsidRPr="004842AA">
        <w:rPr>
          <w:rFonts w:ascii="Times New Roman" w:hAnsi="Times New Roman" w:cs="Times New Roman"/>
        </w:rPr>
        <w:t xml:space="preserve">TEU </w:t>
      </w:r>
      <w:r w:rsidR="00D90399" w:rsidRPr="004842AA">
        <w:rPr>
          <w:rFonts w:ascii="Times New Roman" w:hAnsi="Times New Roman" w:cs="Times New Roman"/>
        </w:rPr>
        <w:t xml:space="preserve">fulfilled its purpose of </w:t>
      </w:r>
      <w:r w:rsidRPr="004842AA">
        <w:rPr>
          <w:rFonts w:ascii="Times New Roman" w:hAnsi="Times New Roman" w:cs="Times New Roman"/>
        </w:rPr>
        <w:t xml:space="preserve">producing an orderly withdrawal based on a negotiated settlement.  To some extent, the final Withdrawal Package is the </w:t>
      </w:r>
      <w:r w:rsidR="004209A2" w:rsidRPr="004842AA">
        <w:rPr>
          <w:rFonts w:ascii="Times New Roman" w:hAnsi="Times New Roman" w:cs="Times New Roman"/>
        </w:rPr>
        <w:t xml:space="preserve">natural </w:t>
      </w:r>
      <w:r w:rsidR="003522C6" w:rsidRPr="004842AA">
        <w:rPr>
          <w:rFonts w:ascii="Times New Roman" w:hAnsi="Times New Roman" w:cs="Times New Roman"/>
        </w:rPr>
        <w:t>product of logical deduction and responsible management</w:t>
      </w:r>
      <w:r w:rsidRPr="004842AA">
        <w:rPr>
          <w:rFonts w:ascii="Times New Roman" w:hAnsi="Times New Roman" w:cs="Times New Roman"/>
        </w:rPr>
        <w:t>: conscientious civil servants identifying relevant issues and working out appropriate solutions</w:t>
      </w:r>
      <w:r w:rsidR="004209A2" w:rsidRPr="004842AA">
        <w:rPr>
          <w:rFonts w:ascii="Times New Roman" w:hAnsi="Times New Roman" w:cs="Times New Roman"/>
        </w:rPr>
        <w:t xml:space="preserve"> informed by insight and experience</w:t>
      </w:r>
      <w:r w:rsidR="003522C6" w:rsidRPr="004842AA">
        <w:rPr>
          <w:rFonts w:ascii="Times New Roman" w:hAnsi="Times New Roman" w:cs="Times New Roman"/>
        </w:rPr>
        <w:t xml:space="preserve">.  </w:t>
      </w:r>
      <w:r w:rsidR="004209A2" w:rsidRPr="004842AA">
        <w:rPr>
          <w:rFonts w:ascii="Times New Roman" w:hAnsi="Times New Roman" w:cs="Times New Roman"/>
        </w:rPr>
        <w:t xml:space="preserve">However, the Withdrawal Package is also the direct spawn of various </w:t>
      </w:r>
      <w:r w:rsidR="003522C6" w:rsidRPr="004842AA">
        <w:rPr>
          <w:rFonts w:ascii="Times New Roman" w:hAnsi="Times New Roman" w:cs="Times New Roman"/>
        </w:rPr>
        <w:t>legal and political factors</w:t>
      </w:r>
      <w:r w:rsidR="004209A2" w:rsidRPr="004842AA">
        <w:rPr>
          <w:rFonts w:ascii="Times New Roman" w:hAnsi="Times New Roman" w:cs="Times New Roman"/>
        </w:rPr>
        <w:t>,</w:t>
      </w:r>
      <w:r w:rsidR="003522C6" w:rsidRPr="004842AA">
        <w:rPr>
          <w:rFonts w:ascii="Times New Roman" w:hAnsi="Times New Roman" w:cs="Times New Roman"/>
        </w:rPr>
        <w:t xml:space="preserve"> affecting both </w:t>
      </w:r>
      <w:r w:rsidR="004209A2" w:rsidRPr="004842AA">
        <w:rPr>
          <w:rFonts w:ascii="Times New Roman" w:hAnsi="Times New Roman" w:cs="Times New Roman"/>
        </w:rPr>
        <w:t xml:space="preserve">the </w:t>
      </w:r>
      <w:r w:rsidR="003522C6" w:rsidRPr="004842AA">
        <w:rPr>
          <w:rFonts w:ascii="Times New Roman" w:hAnsi="Times New Roman" w:cs="Times New Roman"/>
        </w:rPr>
        <w:t xml:space="preserve">EU and </w:t>
      </w:r>
      <w:r w:rsidR="004209A2" w:rsidRPr="004842AA">
        <w:rPr>
          <w:rFonts w:ascii="Times New Roman" w:hAnsi="Times New Roman" w:cs="Times New Roman"/>
        </w:rPr>
        <w:t xml:space="preserve">the </w:t>
      </w:r>
      <w:r w:rsidR="003522C6" w:rsidRPr="004842AA">
        <w:rPr>
          <w:rFonts w:ascii="Times New Roman" w:hAnsi="Times New Roman" w:cs="Times New Roman"/>
        </w:rPr>
        <w:t>UK</w:t>
      </w:r>
      <w:r w:rsidR="004209A2" w:rsidRPr="004842AA">
        <w:rPr>
          <w:rFonts w:ascii="Times New Roman" w:hAnsi="Times New Roman" w:cs="Times New Roman"/>
        </w:rPr>
        <w:t>, which together had a decisive impact upon the very agenda of the Article 50 TEU negotiations as well as the more detailed contents of the parties’ ultimate agreement</w:t>
      </w:r>
      <w:r w:rsidR="003522C6" w:rsidRPr="004842AA">
        <w:rPr>
          <w:rFonts w:ascii="Times New Roman" w:hAnsi="Times New Roman" w:cs="Times New Roman"/>
        </w:rPr>
        <w:t xml:space="preserve">.      </w:t>
      </w:r>
    </w:p>
    <w:p w14:paraId="2327A616" w14:textId="77777777" w:rsidR="00947667" w:rsidRPr="004842AA" w:rsidRDefault="00947667" w:rsidP="004842AA">
      <w:pPr>
        <w:jc w:val="both"/>
        <w:rPr>
          <w:rFonts w:ascii="Times New Roman" w:hAnsi="Times New Roman" w:cs="Times New Roman"/>
        </w:rPr>
      </w:pPr>
    </w:p>
    <w:p w14:paraId="67C0E714" w14:textId="0499E767" w:rsidR="008850A9" w:rsidRPr="004842AA" w:rsidRDefault="009D1FD7" w:rsidP="004842AA">
      <w:pPr>
        <w:jc w:val="both"/>
        <w:rPr>
          <w:rFonts w:ascii="Times New Roman" w:hAnsi="Times New Roman" w:cs="Times New Roman"/>
          <w:i/>
        </w:rPr>
      </w:pPr>
      <w:r w:rsidRPr="004842AA">
        <w:rPr>
          <w:rFonts w:ascii="Times New Roman" w:hAnsi="Times New Roman" w:cs="Times New Roman"/>
          <w:i/>
        </w:rPr>
        <w:t>2.1</w:t>
      </w:r>
      <w:r w:rsidR="003522C6" w:rsidRPr="004842AA">
        <w:rPr>
          <w:rFonts w:ascii="Times New Roman" w:hAnsi="Times New Roman" w:cs="Times New Roman"/>
          <w:i/>
        </w:rPr>
        <w:t>.</w:t>
      </w:r>
      <w:r w:rsidR="008850A9" w:rsidRPr="004842AA">
        <w:rPr>
          <w:rFonts w:ascii="Times New Roman" w:hAnsi="Times New Roman" w:cs="Times New Roman"/>
          <w:i/>
        </w:rPr>
        <w:tab/>
      </w:r>
      <w:r w:rsidR="00435255" w:rsidRPr="004842AA">
        <w:rPr>
          <w:rFonts w:ascii="Times New Roman" w:hAnsi="Times New Roman" w:cs="Times New Roman"/>
          <w:i/>
        </w:rPr>
        <w:t>The</w:t>
      </w:r>
      <w:r w:rsidR="004209A2" w:rsidRPr="004842AA">
        <w:rPr>
          <w:rFonts w:ascii="Times New Roman" w:hAnsi="Times New Roman" w:cs="Times New Roman"/>
          <w:i/>
        </w:rPr>
        <w:t xml:space="preserve"> </w:t>
      </w:r>
      <w:r w:rsidR="00435255" w:rsidRPr="004842AA">
        <w:rPr>
          <w:rFonts w:ascii="Times New Roman" w:hAnsi="Times New Roman" w:cs="Times New Roman"/>
          <w:i/>
        </w:rPr>
        <w:t>EU’s negotiating position</w:t>
      </w:r>
      <w:r w:rsidR="00E50137" w:rsidRPr="004842AA">
        <w:rPr>
          <w:rFonts w:ascii="Times New Roman" w:hAnsi="Times New Roman" w:cs="Times New Roman"/>
          <w:i/>
        </w:rPr>
        <w:t xml:space="preserve"> under Article 50 TEU</w:t>
      </w:r>
    </w:p>
    <w:p w14:paraId="7322DC18" w14:textId="77777777" w:rsidR="00AB566E" w:rsidRPr="004842AA" w:rsidRDefault="00AB566E" w:rsidP="004842AA">
      <w:pPr>
        <w:jc w:val="both"/>
        <w:rPr>
          <w:rFonts w:ascii="Times New Roman" w:hAnsi="Times New Roman" w:cs="Times New Roman"/>
        </w:rPr>
      </w:pPr>
    </w:p>
    <w:p w14:paraId="059ED03C" w14:textId="759955A7" w:rsidR="00435255" w:rsidRPr="004842AA" w:rsidRDefault="00435255" w:rsidP="004842AA">
      <w:pPr>
        <w:jc w:val="both"/>
        <w:rPr>
          <w:rFonts w:ascii="Times New Roman" w:hAnsi="Times New Roman" w:cs="Times New Roman"/>
          <w:i/>
        </w:rPr>
      </w:pPr>
      <w:r w:rsidRPr="004842AA">
        <w:rPr>
          <w:rFonts w:ascii="Times New Roman" w:hAnsi="Times New Roman" w:cs="Times New Roman"/>
          <w:i/>
        </w:rPr>
        <w:t>2.1.1.</w:t>
      </w:r>
      <w:r w:rsidRPr="004842AA">
        <w:rPr>
          <w:rFonts w:ascii="Times New Roman" w:hAnsi="Times New Roman" w:cs="Times New Roman"/>
          <w:i/>
        </w:rPr>
        <w:tab/>
        <w:t>Institutional roles and responsibilities</w:t>
      </w:r>
    </w:p>
    <w:p w14:paraId="0579D558" w14:textId="77777777" w:rsidR="00435255" w:rsidRPr="004842AA" w:rsidRDefault="00435255" w:rsidP="004842AA">
      <w:pPr>
        <w:jc w:val="both"/>
        <w:rPr>
          <w:rFonts w:ascii="Times New Roman" w:hAnsi="Times New Roman" w:cs="Times New Roman"/>
        </w:rPr>
      </w:pPr>
    </w:p>
    <w:p w14:paraId="61C27D15" w14:textId="759786D5" w:rsidR="00051C1D" w:rsidRDefault="009F23CB" w:rsidP="004842AA">
      <w:pPr>
        <w:widowControl w:val="0"/>
        <w:autoSpaceDE w:val="0"/>
        <w:autoSpaceDN w:val="0"/>
        <w:adjustRightInd w:val="0"/>
        <w:jc w:val="both"/>
        <w:rPr>
          <w:rFonts w:ascii="Times New Roman" w:hAnsi="Times New Roman" w:cs="Times New Roman"/>
        </w:rPr>
      </w:pPr>
      <w:r w:rsidRPr="004842AA">
        <w:rPr>
          <w:rFonts w:ascii="Times New Roman" w:hAnsi="Times New Roman" w:cs="Times New Roman"/>
        </w:rPr>
        <w:t xml:space="preserve">The UK delivered its formal notification of intention to withdraw on </w:t>
      </w:r>
      <w:r w:rsidR="009F3C4D">
        <w:rPr>
          <w:rFonts w:ascii="Times New Roman" w:hAnsi="Times New Roman" w:cs="Times New Roman"/>
        </w:rPr>
        <w:t>29 March 2017</w:t>
      </w:r>
      <w:r w:rsidRPr="004842AA">
        <w:rPr>
          <w:rFonts w:ascii="Times New Roman" w:hAnsi="Times New Roman" w:cs="Times New Roman"/>
        </w:rPr>
        <w:t>.</w:t>
      </w:r>
      <w:r w:rsidRPr="004842AA">
        <w:rPr>
          <w:rStyle w:val="FootnoteReference"/>
          <w:rFonts w:ascii="Times New Roman" w:hAnsi="Times New Roman" w:cs="Times New Roman"/>
        </w:rPr>
        <w:footnoteReference w:id="14"/>
      </w:r>
      <w:r w:rsidRPr="004842AA">
        <w:rPr>
          <w:rFonts w:ascii="Times New Roman" w:hAnsi="Times New Roman" w:cs="Times New Roman"/>
        </w:rPr>
        <w:t xml:space="preserve">  In accordance with </w:t>
      </w:r>
      <w:r w:rsidR="001204FE" w:rsidRPr="004842AA">
        <w:rPr>
          <w:rFonts w:ascii="Times New Roman" w:hAnsi="Times New Roman" w:cs="Times New Roman"/>
        </w:rPr>
        <w:t>Article 50 TEU</w:t>
      </w:r>
      <w:r w:rsidRPr="004842AA">
        <w:rPr>
          <w:rFonts w:ascii="Times New Roman" w:hAnsi="Times New Roman" w:cs="Times New Roman"/>
        </w:rPr>
        <w:t>,</w:t>
      </w:r>
      <w:r w:rsidR="001204FE" w:rsidRPr="004842AA">
        <w:rPr>
          <w:rFonts w:ascii="Times New Roman" w:hAnsi="Times New Roman" w:cs="Times New Roman"/>
        </w:rPr>
        <w:t xml:space="preserve"> </w:t>
      </w:r>
      <w:r w:rsidRPr="004842AA">
        <w:rPr>
          <w:rFonts w:ascii="Times New Roman" w:hAnsi="Times New Roman" w:cs="Times New Roman"/>
        </w:rPr>
        <w:t xml:space="preserve">the </w:t>
      </w:r>
      <w:r w:rsidR="001204FE" w:rsidRPr="004842AA">
        <w:rPr>
          <w:rFonts w:ascii="Times New Roman" w:hAnsi="Times New Roman" w:cs="Times New Roman"/>
        </w:rPr>
        <w:t xml:space="preserve">European Council </w:t>
      </w:r>
      <w:r w:rsidR="00051C1D">
        <w:rPr>
          <w:rFonts w:ascii="Times New Roman" w:hAnsi="Times New Roman" w:cs="Times New Roman"/>
        </w:rPr>
        <w:t xml:space="preserve">then </w:t>
      </w:r>
      <w:r w:rsidRPr="004842AA">
        <w:rPr>
          <w:rFonts w:ascii="Times New Roman" w:hAnsi="Times New Roman" w:cs="Times New Roman"/>
        </w:rPr>
        <w:t xml:space="preserve">drew </w:t>
      </w:r>
      <w:r w:rsidR="001204FE" w:rsidRPr="004842AA">
        <w:rPr>
          <w:rFonts w:ascii="Times New Roman" w:hAnsi="Times New Roman" w:cs="Times New Roman"/>
        </w:rPr>
        <w:t xml:space="preserve">up </w:t>
      </w:r>
      <w:r w:rsidR="002925A1" w:rsidRPr="004842AA">
        <w:rPr>
          <w:rFonts w:ascii="Times New Roman" w:hAnsi="Times New Roman" w:cs="Times New Roman"/>
        </w:rPr>
        <w:t xml:space="preserve">initial </w:t>
      </w:r>
      <w:r w:rsidR="00BE1FC0" w:rsidRPr="004842AA">
        <w:rPr>
          <w:rFonts w:ascii="Times New Roman" w:hAnsi="Times New Roman" w:cs="Times New Roman"/>
        </w:rPr>
        <w:t>g</w:t>
      </w:r>
      <w:r w:rsidR="001204FE" w:rsidRPr="004842AA">
        <w:rPr>
          <w:rFonts w:ascii="Times New Roman" w:hAnsi="Times New Roman" w:cs="Times New Roman"/>
        </w:rPr>
        <w:t xml:space="preserve">uidelines for handling the </w:t>
      </w:r>
      <w:r w:rsidRPr="004842AA">
        <w:rPr>
          <w:rFonts w:ascii="Times New Roman" w:hAnsi="Times New Roman" w:cs="Times New Roman"/>
        </w:rPr>
        <w:t xml:space="preserve">UK’s </w:t>
      </w:r>
      <w:r w:rsidR="001204FE" w:rsidRPr="004842AA">
        <w:rPr>
          <w:rFonts w:ascii="Times New Roman" w:hAnsi="Times New Roman" w:cs="Times New Roman"/>
        </w:rPr>
        <w:t>intended withdrawal.</w:t>
      </w:r>
      <w:r w:rsidR="001204FE" w:rsidRPr="004842AA">
        <w:rPr>
          <w:rStyle w:val="FootnoteReference"/>
          <w:rFonts w:ascii="Times New Roman" w:hAnsi="Times New Roman" w:cs="Times New Roman"/>
        </w:rPr>
        <w:footnoteReference w:id="15"/>
      </w:r>
      <w:r w:rsidR="001204FE" w:rsidRPr="004842AA">
        <w:rPr>
          <w:rFonts w:ascii="Times New Roman" w:hAnsi="Times New Roman" w:cs="Times New Roman"/>
        </w:rPr>
        <w:t xml:space="preserve">  On the basis of a Commission recommendation,</w:t>
      </w:r>
      <w:r w:rsidR="001204FE" w:rsidRPr="004842AA">
        <w:rPr>
          <w:rStyle w:val="FootnoteReference"/>
          <w:rFonts w:ascii="Times New Roman" w:hAnsi="Times New Roman" w:cs="Times New Roman"/>
        </w:rPr>
        <w:footnoteReference w:id="16"/>
      </w:r>
      <w:r w:rsidR="001204FE" w:rsidRPr="004842AA">
        <w:rPr>
          <w:rFonts w:ascii="Times New Roman" w:hAnsi="Times New Roman" w:cs="Times New Roman"/>
        </w:rPr>
        <w:t xml:space="preserve"> the Council open</w:t>
      </w:r>
      <w:r w:rsidRPr="004842AA">
        <w:rPr>
          <w:rFonts w:ascii="Times New Roman" w:hAnsi="Times New Roman" w:cs="Times New Roman"/>
        </w:rPr>
        <w:t>ed</w:t>
      </w:r>
      <w:r w:rsidR="001204FE" w:rsidRPr="004842AA">
        <w:rPr>
          <w:rFonts w:ascii="Times New Roman" w:hAnsi="Times New Roman" w:cs="Times New Roman"/>
        </w:rPr>
        <w:t xml:space="preserve"> negotiations and appoint</w:t>
      </w:r>
      <w:r w:rsidRPr="004842AA">
        <w:rPr>
          <w:rFonts w:ascii="Times New Roman" w:hAnsi="Times New Roman" w:cs="Times New Roman"/>
        </w:rPr>
        <w:t>ed</w:t>
      </w:r>
      <w:r w:rsidR="001204FE" w:rsidRPr="004842AA">
        <w:rPr>
          <w:rFonts w:ascii="Times New Roman" w:hAnsi="Times New Roman" w:cs="Times New Roman"/>
        </w:rPr>
        <w:t xml:space="preserve"> the Union </w:t>
      </w:r>
      <w:r w:rsidR="001204FE" w:rsidRPr="004842AA">
        <w:rPr>
          <w:rFonts w:ascii="Times New Roman" w:hAnsi="Times New Roman" w:cs="Times New Roman"/>
        </w:rPr>
        <w:lastRenderedPageBreak/>
        <w:t>negotiator.</w:t>
      </w:r>
      <w:r w:rsidR="001204FE" w:rsidRPr="004842AA">
        <w:rPr>
          <w:rStyle w:val="FootnoteReference"/>
          <w:rFonts w:ascii="Times New Roman" w:hAnsi="Times New Roman" w:cs="Times New Roman"/>
        </w:rPr>
        <w:footnoteReference w:id="17"/>
      </w:r>
      <w:r w:rsidR="001204FE" w:rsidRPr="004842AA">
        <w:rPr>
          <w:rFonts w:ascii="Times New Roman" w:hAnsi="Times New Roman" w:cs="Times New Roman"/>
        </w:rPr>
        <w:t xml:space="preserve">  Formal talks with the UK commenced on 19 June 2017</w:t>
      </w:r>
      <w:r w:rsidRPr="004842AA">
        <w:rPr>
          <w:rFonts w:ascii="Times New Roman" w:hAnsi="Times New Roman" w:cs="Times New Roman"/>
        </w:rPr>
        <w:t xml:space="preserve"> (after another delay created by </w:t>
      </w:r>
      <w:r w:rsidR="00051C1D">
        <w:rPr>
          <w:rFonts w:ascii="Times New Roman" w:hAnsi="Times New Roman" w:cs="Times New Roman"/>
        </w:rPr>
        <w:t xml:space="preserve">its </w:t>
      </w:r>
      <w:r w:rsidRPr="004842AA">
        <w:rPr>
          <w:rFonts w:ascii="Times New Roman" w:hAnsi="Times New Roman" w:cs="Times New Roman"/>
        </w:rPr>
        <w:t xml:space="preserve">Government’s decision to call an early general election in </w:t>
      </w:r>
      <w:r w:rsidR="004D5245">
        <w:rPr>
          <w:rFonts w:ascii="Times New Roman" w:hAnsi="Times New Roman" w:cs="Times New Roman"/>
        </w:rPr>
        <w:t>June</w:t>
      </w:r>
      <w:r w:rsidRPr="004842AA">
        <w:rPr>
          <w:rFonts w:ascii="Times New Roman" w:hAnsi="Times New Roman" w:cs="Times New Roman"/>
        </w:rPr>
        <w:t xml:space="preserve"> 2017)</w:t>
      </w:r>
      <w:r w:rsidR="001204FE" w:rsidRPr="004842AA">
        <w:rPr>
          <w:rFonts w:ascii="Times New Roman" w:hAnsi="Times New Roman" w:cs="Times New Roman"/>
        </w:rPr>
        <w:t>.</w:t>
      </w:r>
      <w:r w:rsidR="001204FE" w:rsidRPr="004842AA">
        <w:rPr>
          <w:rStyle w:val="FootnoteReference"/>
          <w:rFonts w:ascii="Times New Roman" w:hAnsi="Times New Roman" w:cs="Times New Roman"/>
        </w:rPr>
        <w:footnoteReference w:id="18"/>
      </w:r>
      <w:r w:rsidR="001204FE" w:rsidRPr="004842AA">
        <w:rPr>
          <w:rFonts w:ascii="Times New Roman" w:hAnsi="Times New Roman" w:cs="Times New Roman"/>
        </w:rPr>
        <w:t xml:space="preserve">  </w:t>
      </w:r>
      <w:r w:rsidRPr="004842AA">
        <w:rPr>
          <w:rFonts w:ascii="Times New Roman" w:hAnsi="Times New Roman" w:cs="Times New Roman"/>
        </w:rPr>
        <w:t>T</w:t>
      </w:r>
      <w:r w:rsidR="001204FE" w:rsidRPr="004842AA">
        <w:rPr>
          <w:rFonts w:ascii="Times New Roman" w:hAnsi="Times New Roman" w:cs="Times New Roman"/>
        </w:rPr>
        <w:t xml:space="preserve">he Council and the Commission maintained a close working relationship </w:t>
      </w:r>
      <w:r w:rsidRPr="004842AA">
        <w:rPr>
          <w:rFonts w:ascii="Times New Roman" w:hAnsi="Times New Roman" w:cs="Times New Roman"/>
        </w:rPr>
        <w:t>throughout the process</w:t>
      </w:r>
      <w:r w:rsidR="001204FE" w:rsidRPr="004842AA">
        <w:rPr>
          <w:rFonts w:ascii="Times New Roman" w:hAnsi="Times New Roman" w:cs="Times New Roman"/>
        </w:rPr>
        <w:t>: for example, an ad hoc Working Party on Article 50 TEU held regular meetings;</w:t>
      </w:r>
      <w:r w:rsidR="001204FE" w:rsidRPr="004842AA">
        <w:rPr>
          <w:rStyle w:val="FootnoteReference"/>
          <w:rFonts w:ascii="Times New Roman" w:hAnsi="Times New Roman" w:cs="Times New Roman"/>
        </w:rPr>
        <w:footnoteReference w:id="19"/>
      </w:r>
      <w:r w:rsidR="001204FE" w:rsidRPr="004842AA">
        <w:rPr>
          <w:rFonts w:ascii="Times New Roman" w:hAnsi="Times New Roman" w:cs="Times New Roman"/>
        </w:rPr>
        <w:t xml:space="preserve"> additional negotiating directives were proposed and adopted as the discussions proceeded.</w:t>
      </w:r>
      <w:r w:rsidR="001204FE" w:rsidRPr="004842AA">
        <w:rPr>
          <w:rStyle w:val="FootnoteReference"/>
          <w:rFonts w:ascii="Times New Roman" w:hAnsi="Times New Roman" w:cs="Times New Roman"/>
        </w:rPr>
        <w:footnoteReference w:id="20"/>
      </w:r>
      <w:r w:rsidRPr="004842AA">
        <w:rPr>
          <w:rFonts w:ascii="Times New Roman" w:hAnsi="Times New Roman" w:cs="Times New Roman"/>
        </w:rPr>
        <w:t xml:space="preserve">  </w:t>
      </w:r>
      <w:r w:rsidR="002925A1" w:rsidRPr="004842AA">
        <w:rPr>
          <w:rFonts w:ascii="Times New Roman" w:hAnsi="Times New Roman" w:cs="Times New Roman"/>
        </w:rPr>
        <w:t xml:space="preserve">Ultimately, </w:t>
      </w:r>
      <w:r w:rsidRPr="004842AA">
        <w:rPr>
          <w:rFonts w:ascii="Times New Roman" w:hAnsi="Times New Roman" w:cs="Times New Roman"/>
        </w:rPr>
        <w:t>Article 50 TEU</w:t>
      </w:r>
      <w:r w:rsidR="002925A1" w:rsidRPr="004842AA">
        <w:rPr>
          <w:rFonts w:ascii="Times New Roman" w:hAnsi="Times New Roman" w:cs="Times New Roman"/>
        </w:rPr>
        <w:t xml:space="preserve"> provides </w:t>
      </w:r>
      <w:proofErr w:type="gramStart"/>
      <w:r w:rsidR="002925A1" w:rsidRPr="004842AA">
        <w:rPr>
          <w:rFonts w:ascii="Times New Roman" w:hAnsi="Times New Roman" w:cs="Times New Roman"/>
        </w:rPr>
        <w:t>that any withdrawal a</w:t>
      </w:r>
      <w:r w:rsidRPr="004842AA">
        <w:rPr>
          <w:rFonts w:ascii="Times New Roman" w:hAnsi="Times New Roman" w:cs="Times New Roman"/>
        </w:rPr>
        <w:t xml:space="preserve">greement </w:t>
      </w:r>
      <w:r w:rsidR="002925A1" w:rsidRPr="004842AA">
        <w:rPr>
          <w:rFonts w:ascii="Times New Roman" w:hAnsi="Times New Roman" w:cs="Times New Roman"/>
        </w:rPr>
        <w:t xml:space="preserve">must </w:t>
      </w:r>
      <w:r w:rsidRPr="004842AA">
        <w:rPr>
          <w:rFonts w:ascii="Times New Roman" w:hAnsi="Times New Roman" w:cs="Times New Roman"/>
        </w:rPr>
        <w:t>be concluded by the Council</w:t>
      </w:r>
      <w:proofErr w:type="gramEnd"/>
      <w:r w:rsidRPr="004842AA">
        <w:rPr>
          <w:rFonts w:ascii="Times New Roman" w:hAnsi="Times New Roman" w:cs="Times New Roman"/>
        </w:rPr>
        <w:t xml:space="preserve"> (acting by </w:t>
      </w:r>
      <w:r w:rsidR="008E4057" w:rsidRPr="004842AA">
        <w:rPr>
          <w:rFonts w:ascii="Times New Roman" w:hAnsi="Times New Roman" w:cs="Times New Roman"/>
        </w:rPr>
        <w:t>super-</w:t>
      </w:r>
      <w:r w:rsidRPr="004842AA">
        <w:rPr>
          <w:rFonts w:ascii="Times New Roman" w:hAnsi="Times New Roman" w:cs="Times New Roman"/>
        </w:rPr>
        <w:t>QMV) after obtaining the consent of the European Parliament.</w:t>
      </w:r>
      <w:r w:rsidR="000478FB">
        <w:rPr>
          <w:rStyle w:val="FootnoteReference"/>
          <w:rFonts w:ascii="Times New Roman" w:hAnsi="Times New Roman" w:cs="Times New Roman"/>
        </w:rPr>
        <w:footnoteReference w:id="21"/>
      </w:r>
      <w:r w:rsidRPr="004842AA">
        <w:rPr>
          <w:rFonts w:ascii="Times New Roman" w:hAnsi="Times New Roman" w:cs="Times New Roman"/>
        </w:rPr>
        <w:t xml:space="preserve"> </w:t>
      </w:r>
      <w:r w:rsidR="002925A1" w:rsidRPr="004842AA">
        <w:rPr>
          <w:rFonts w:ascii="Times New Roman" w:hAnsi="Times New Roman" w:cs="Times New Roman"/>
        </w:rPr>
        <w:t xml:space="preserve"> </w:t>
      </w:r>
      <w:r w:rsidR="00C63EFF" w:rsidRPr="004842AA">
        <w:rPr>
          <w:rFonts w:ascii="Times New Roman" w:hAnsi="Times New Roman" w:cs="Times New Roman"/>
        </w:rPr>
        <w:t xml:space="preserve">There is no express provision for </w:t>
      </w:r>
      <w:r w:rsidR="00E50137" w:rsidRPr="004842AA">
        <w:rPr>
          <w:rFonts w:ascii="Times New Roman" w:hAnsi="Times New Roman" w:cs="Times New Roman"/>
        </w:rPr>
        <w:t xml:space="preserve">the </w:t>
      </w:r>
      <w:r w:rsidR="00C63EFF" w:rsidRPr="004842AA">
        <w:rPr>
          <w:rFonts w:ascii="Times New Roman" w:hAnsi="Times New Roman" w:cs="Times New Roman"/>
        </w:rPr>
        <w:t xml:space="preserve">approval of </w:t>
      </w:r>
      <w:r w:rsidR="002925A1" w:rsidRPr="004842AA">
        <w:rPr>
          <w:rFonts w:ascii="Times New Roman" w:hAnsi="Times New Roman" w:cs="Times New Roman"/>
        </w:rPr>
        <w:t xml:space="preserve">any </w:t>
      </w:r>
      <w:r w:rsidR="004D5245">
        <w:rPr>
          <w:rFonts w:ascii="Times New Roman" w:hAnsi="Times New Roman" w:cs="Times New Roman"/>
        </w:rPr>
        <w:t xml:space="preserve">accompanying </w:t>
      </w:r>
      <w:r w:rsidR="002925A1" w:rsidRPr="004842AA">
        <w:rPr>
          <w:rFonts w:ascii="Times New Roman" w:hAnsi="Times New Roman" w:cs="Times New Roman"/>
        </w:rPr>
        <w:t>political d</w:t>
      </w:r>
      <w:r w:rsidR="00C63EFF" w:rsidRPr="004842AA">
        <w:rPr>
          <w:rFonts w:ascii="Times New Roman" w:hAnsi="Times New Roman" w:cs="Times New Roman"/>
        </w:rPr>
        <w:t>eclaration</w:t>
      </w:r>
      <w:r w:rsidR="004D5245">
        <w:rPr>
          <w:rFonts w:ascii="Times New Roman" w:hAnsi="Times New Roman" w:cs="Times New Roman"/>
        </w:rPr>
        <w:t xml:space="preserve"> </w:t>
      </w:r>
      <w:r w:rsidR="00FB6B3D">
        <w:rPr>
          <w:rFonts w:ascii="Times New Roman" w:hAnsi="Times New Roman" w:cs="Times New Roman"/>
        </w:rPr>
        <w:t>ou</w:t>
      </w:r>
      <w:r w:rsidR="004D5245">
        <w:rPr>
          <w:rFonts w:ascii="Times New Roman" w:hAnsi="Times New Roman" w:cs="Times New Roman"/>
        </w:rPr>
        <w:t>tlining the future relationship</w:t>
      </w:r>
      <w:r w:rsidR="00C63EFF" w:rsidRPr="004842AA">
        <w:rPr>
          <w:rFonts w:ascii="Times New Roman" w:hAnsi="Times New Roman" w:cs="Times New Roman"/>
        </w:rPr>
        <w:t xml:space="preserve">: </w:t>
      </w:r>
      <w:r w:rsidR="002925A1" w:rsidRPr="004842AA">
        <w:rPr>
          <w:rFonts w:ascii="Times New Roman" w:hAnsi="Times New Roman" w:cs="Times New Roman"/>
        </w:rPr>
        <w:t xml:space="preserve">it was simply assumed that </w:t>
      </w:r>
      <w:r w:rsidR="006861A1">
        <w:rPr>
          <w:rFonts w:ascii="Times New Roman" w:hAnsi="Times New Roman" w:cs="Times New Roman"/>
        </w:rPr>
        <w:t xml:space="preserve">that </w:t>
      </w:r>
      <w:r w:rsidR="00051C1D">
        <w:rPr>
          <w:rFonts w:ascii="Times New Roman" w:hAnsi="Times New Roman" w:cs="Times New Roman"/>
        </w:rPr>
        <w:t xml:space="preserve">would </w:t>
      </w:r>
      <w:r w:rsidR="002925A1" w:rsidRPr="004842AA">
        <w:rPr>
          <w:rFonts w:ascii="Times New Roman" w:hAnsi="Times New Roman" w:cs="Times New Roman"/>
        </w:rPr>
        <w:t xml:space="preserve">be </w:t>
      </w:r>
      <w:r w:rsidR="00C63EFF" w:rsidRPr="004842AA">
        <w:rPr>
          <w:rFonts w:ascii="Times New Roman" w:hAnsi="Times New Roman" w:cs="Times New Roman"/>
        </w:rPr>
        <w:t>granted directly by the European Council and indirectly by the other institutions (for example, by the European Parliament when endorsing the withdrawal treaty</w:t>
      </w:r>
      <w:r w:rsidR="00051C1D">
        <w:rPr>
          <w:rFonts w:ascii="Times New Roman" w:hAnsi="Times New Roman" w:cs="Times New Roman"/>
        </w:rPr>
        <w:t>).</w:t>
      </w:r>
    </w:p>
    <w:p w14:paraId="6C03CF37" w14:textId="25608F12" w:rsidR="00051C1D" w:rsidRDefault="001204FE" w:rsidP="00051C1D">
      <w:pPr>
        <w:widowControl w:val="0"/>
        <w:autoSpaceDE w:val="0"/>
        <w:autoSpaceDN w:val="0"/>
        <w:adjustRightInd w:val="0"/>
        <w:ind w:firstLine="720"/>
        <w:jc w:val="both"/>
        <w:rPr>
          <w:rFonts w:ascii="Times New Roman" w:hAnsi="Times New Roman" w:cs="Times New Roman"/>
        </w:rPr>
      </w:pPr>
      <w:r w:rsidRPr="004842AA">
        <w:rPr>
          <w:rFonts w:ascii="Times New Roman" w:hAnsi="Times New Roman" w:cs="Times New Roman"/>
        </w:rPr>
        <w:t xml:space="preserve">Beyond </w:t>
      </w:r>
      <w:r w:rsidR="006C5351" w:rsidRPr="004842AA">
        <w:rPr>
          <w:rFonts w:ascii="Times New Roman" w:hAnsi="Times New Roman" w:cs="Times New Roman"/>
        </w:rPr>
        <w:t>the</w:t>
      </w:r>
      <w:r w:rsidRPr="004842AA">
        <w:rPr>
          <w:rFonts w:ascii="Times New Roman" w:hAnsi="Times New Roman" w:cs="Times New Roman"/>
        </w:rPr>
        <w:t xml:space="preserve"> basic institutional responsibilities laid down in Article 50 TEU itself, </w:t>
      </w:r>
      <w:r w:rsidR="006C5351" w:rsidRPr="004842AA">
        <w:rPr>
          <w:rFonts w:ascii="Times New Roman" w:hAnsi="Times New Roman" w:cs="Times New Roman"/>
        </w:rPr>
        <w:t xml:space="preserve">several </w:t>
      </w:r>
      <w:r w:rsidRPr="004842AA">
        <w:rPr>
          <w:rFonts w:ascii="Times New Roman" w:hAnsi="Times New Roman" w:cs="Times New Roman"/>
        </w:rPr>
        <w:t xml:space="preserve">features of the </w:t>
      </w:r>
      <w:r w:rsidR="00523DEB" w:rsidRPr="004842AA">
        <w:rPr>
          <w:rFonts w:ascii="Times New Roman" w:hAnsi="Times New Roman" w:cs="Times New Roman"/>
        </w:rPr>
        <w:t xml:space="preserve">Union’s approach to </w:t>
      </w:r>
      <w:r w:rsidRPr="004842AA">
        <w:rPr>
          <w:rFonts w:ascii="Times New Roman" w:hAnsi="Times New Roman" w:cs="Times New Roman"/>
        </w:rPr>
        <w:t>withdrawal</w:t>
      </w:r>
      <w:r w:rsidR="002925A1" w:rsidRPr="004842AA">
        <w:rPr>
          <w:rFonts w:ascii="Times New Roman" w:hAnsi="Times New Roman" w:cs="Times New Roman"/>
        </w:rPr>
        <w:t>,</w:t>
      </w:r>
      <w:r w:rsidRPr="004842AA">
        <w:rPr>
          <w:rFonts w:ascii="Times New Roman" w:hAnsi="Times New Roman" w:cs="Times New Roman"/>
        </w:rPr>
        <w:t xml:space="preserve"> </w:t>
      </w:r>
      <w:r w:rsidR="006C5351" w:rsidRPr="004842AA">
        <w:rPr>
          <w:rFonts w:ascii="Times New Roman" w:hAnsi="Times New Roman" w:cs="Times New Roman"/>
        </w:rPr>
        <w:t xml:space="preserve">perhaps </w:t>
      </w:r>
      <w:r w:rsidRPr="004842AA">
        <w:rPr>
          <w:rFonts w:ascii="Times New Roman" w:hAnsi="Times New Roman" w:cs="Times New Roman"/>
        </w:rPr>
        <w:t>not so immediately obvious from the bare text of the Treaties</w:t>
      </w:r>
      <w:r w:rsidR="002925A1" w:rsidRPr="004842AA">
        <w:rPr>
          <w:rFonts w:ascii="Times New Roman" w:hAnsi="Times New Roman" w:cs="Times New Roman"/>
        </w:rPr>
        <w:t>,</w:t>
      </w:r>
      <w:r w:rsidRPr="004842AA">
        <w:rPr>
          <w:rFonts w:ascii="Times New Roman" w:hAnsi="Times New Roman" w:cs="Times New Roman"/>
        </w:rPr>
        <w:t xml:space="preserve"> nevertheless </w:t>
      </w:r>
      <w:r w:rsidR="006C5351" w:rsidRPr="004842AA">
        <w:rPr>
          <w:rFonts w:ascii="Times New Roman" w:hAnsi="Times New Roman" w:cs="Times New Roman"/>
        </w:rPr>
        <w:t xml:space="preserve">proved </w:t>
      </w:r>
      <w:r w:rsidRPr="004842AA">
        <w:rPr>
          <w:rFonts w:ascii="Times New Roman" w:hAnsi="Times New Roman" w:cs="Times New Roman"/>
        </w:rPr>
        <w:t xml:space="preserve">central to the conduct and outcome of the </w:t>
      </w:r>
      <w:r w:rsidR="006C5351" w:rsidRPr="004842AA">
        <w:rPr>
          <w:rFonts w:ascii="Times New Roman" w:hAnsi="Times New Roman" w:cs="Times New Roman"/>
        </w:rPr>
        <w:t>EU-</w:t>
      </w:r>
      <w:r w:rsidRPr="004842AA">
        <w:rPr>
          <w:rFonts w:ascii="Times New Roman" w:hAnsi="Times New Roman" w:cs="Times New Roman"/>
        </w:rPr>
        <w:t>UK negotiations.</w:t>
      </w:r>
      <w:r w:rsidR="008046BF">
        <w:rPr>
          <w:rStyle w:val="FootnoteReference"/>
          <w:rFonts w:ascii="Times New Roman" w:hAnsi="Times New Roman" w:cs="Times New Roman"/>
        </w:rPr>
        <w:footnoteReference w:id="22"/>
      </w:r>
      <w:r w:rsidRPr="004842AA">
        <w:rPr>
          <w:rFonts w:ascii="Times New Roman" w:hAnsi="Times New Roman" w:cs="Times New Roman"/>
        </w:rPr>
        <w:t xml:space="preserve">  </w:t>
      </w:r>
    </w:p>
    <w:p w14:paraId="76D52E8C" w14:textId="10C58835" w:rsidR="00051C1D" w:rsidRDefault="006C5351" w:rsidP="00051C1D">
      <w:pPr>
        <w:widowControl w:val="0"/>
        <w:autoSpaceDE w:val="0"/>
        <w:autoSpaceDN w:val="0"/>
        <w:adjustRightInd w:val="0"/>
        <w:ind w:firstLine="720"/>
        <w:jc w:val="both"/>
        <w:rPr>
          <w:rFonts w:ascii="Times New Roman" w:hAnsi="Times New Roman" w:cs="Times New Roman"/>
        </w:rPr>
      </w:pPr>
      <w:r w:rsidRPr="004842AA">
        <w:rPr>
          <w:rFonts w:ascii="Times New Roman" w:hAnsi="Times New Roman" w:cs="Times New Roman"/>
        </w:rPr>
        <w:t xml:space="preserve">First, </w:t>
      </w:r>
      <w:r w:rsidR="001204FE" w:rsidRPr="004842AA">
        <w:rPr>
          <w:rFonts w:ascii="Times New Roman" w:hAnsi="Times New Roman" w:cs="Times New Roman"/>
        </w:rPr>
        <w:t xml:space="preserve">the role and influence of the European Council were far from exhausted by </w:t>
      </w:r>
      <w:r w:rsidRPr="004842AA">
        <w:rPr>
          <w:rFonts w:ascii="Times New Roman" w:hAnsi="Times New Roman" w:cs="Times New Roman"/>
        </w:rPr>
        <w:t xml:space="preserve">adoption of </w:t>
      </w:r>
      <w:r w:rsidR="00BE1FC0" w:rsidRPr="004842AA">
        <w:rPr>
          <w:rFonts w:ascii="Times New Roman" w:hAnsi="Times New Roman" w:cs="Times New Roman"/>
        </w:rPr>
        <w:t>the initial g</w:t>
      </w:r>
      <w:r w:rsidR="001204FE" w:rsidRPr="004842AA">
        <w:rPr>
          <w:rFonts w:ascii="Times New Roman" w:hAnsi="Times New Roman" w:cs="Times New Roman"/>
        </w:rPr>
        <w:t xml:space="preserve">uidelines foreseen under Article 50 TEU.  </w:t>
      </w:r>
      <w:r w:rsidR="00FB6B3D">
        <w:rPr>
          <w:rFonts w:ascii="Times New Roman" w:hAnsi="Times New Roman" w:cs="Times New Roman"/>
        </w:rPr>
        <w:t xml:space="preserve">On the contrary: those very guidelines declared that the </w:t>
      </w:r>
      <w:r w:rsidR="001204FE" w:rsidRPr="004842AA">
        <w:rPr>
          <w:rFonts w:ascii="Times New Roman" w:hAnsi="Times New Roman" w:cs="Times New Roman"/>
        </w:rPr>
        <w:t xml:space="preserve">European Council </w:t>
      </w:r>
      <w:r w:rsidR="00FB6B3D">
        <w:rPr>
          <w:rFonts w:ascii="Times New Roman" w:hAnsi="Times New Roman" w:cs="Times New Roman"/>
        </w:rPr>
        <w:t>would remain permanently seiz</w:t>
      </w:r>
      <w:r w:rsidR="001204FE" w:rsidRPr="004842AA">
        <w:rPr>
          <w:rFonts w:ascii="Times New Roman" w:hAnsi="Times New Roman" w:cs="Times New Roman"/>
        </w:rPr>
        <w:t>ed of the Article 50 TEU situation:</w:t>
      </w:r>
      <w:r w:rsidR="00EF0418">
        <w:rPr>
          <w:rStyle w:val="FootnoteReference"/>
          <w:rFonts w:ascii="Times New Roman" w:hAnsi="Times New Roman" w:cs="Times New Roman"/>
        </w:rPr>
        <w:footnoteReference w:id="23"/>
      </w:r>
      <w:r w:rsidR="001204FE" w:rsidRPr="004842AA">
        <w:rPr>
          <w:rFonts w:ascii="Times New Roman" w:hAnsi="Times New Roman" w:cs="Times New Roman"/>
        </w:rPr>
        <w:t xml:space="preserve"> for example, reviewing the state of play at regular points in the negotiations;</w:t>
      </w:r>
      <w:r w:rsidR="001204FE" w:rsidRPr="004842AA">
        <w:rPr>
          <w:rStyle w:val="FootnoteReference"/>
          <w:rFonts w:ascii="Times New Roman" w:hAnsi="Times New Roman" w:cs="Times New Roman"/>
        </w:rPr>
        <w:footnoteReference w:id="24"/>
      </w:r>
      <w:r w:rsidR="001204FE" w:rsidRPr="004842AA">
        <w:rPr>
          <w:rFonts w:ascii="Times New Roman" w:hAnsi="Times New Roman" w:cs="Times New Roman"/>
        </w:rPr>
        <w:t xml:space="preserve"> deciding whether sufficient progress had been achieved as to justify broadening or deepening the agenda;</w:t>
      </w:r>
      <w:r w:rsidR="001204FE" w:rsidRPr="004842AA">
        <w:rPr>
          <w:rStyle w:val="FootnoteReference"/>
          <w:rFonts w:ascii="Times New Roman" w:hAnsi="Times New Roman" w:cs="Times New Roman"/>
        </w:rPr>
        <w:footnoteReference w:id="25"/>
      </w:r>
      <w:r w:rsidR="001204FE" w:rsidRPr="004842AA">
        <w:rPr>
          <w:rFonts w:ascii="Times New Roman" w:hAnsi="Times New Roman" w:cs="Times New Roman"/>
        </w:rPr>
        <w:t xml:space="preserve"> adopting additional guidelines to </w:t>
      </w:r>
      <w:r w:rsidR="00051C1D">
        <w:rPr>
          <w:rFonts w:ascii="Times New Roman" w:hAnsi="Times New Roman" w:cs="Times New Roman"/>
        </w:rPr>
        <w:t xml:space="preserve">determine </w:t>
      </w:r>
      <w:r w:rsidR="001204FE" w:rsidRPr="004842AA">
        <w:rPr>
          <w:rFonts w:ascii="Times New Roman" w:hAnsi="Times New Roman" w:cs="Times New Roman"/>
        </w:rPr>
        <w:t>the scope and conduct of the withdrawal discussions;</w:t>
      </w:r>
      <w:r w:rsidR="001204FE" w:rsidRPr="004842AA">
        <w:rPr>
          <w:rStyle w:val="FootnoteReference"/>
          <w:rFonts w:ascii="Times New Roman" w:hAnsi="Times New Roman" w:cs="Times New Roman"/>
        </w:rPr>
        <w:footnoteReference w:id="26"/>
      </w:r>
      <w:r w:rsidR="001204FE" w:rsidRPr="004842AA">
        <w:rPr>
          <w:rFonts w:ascii="Times New Roman" w:hAnsi="Times New Roman" w:cs="Times New Roman"/>
        </w:rPr>
        <w:t xml:space="preserve"> and granting political approval to the proposed withdrawal package as a </w:t>
      </w:r>
      <w:r w:rsidR="00C63EFF" w:rsidRPr="004842AA">
        <w:rPr>
          <w:rFonts w:ascii="Times New Roman" w:hAnsi="Times New Roman" w:cs="Times New Roman"/>
        </w:rPr>
        <w:t xml:space="preserve">whole and in </w:t>
      </w:r>
      <w:r w:rsidR="001204FE" w:rsidRPr="004842AA">
        <w:rPr>
          <w:rFonts w:ascii="Times New Roman" w:hAnsi="Times New Roman" w:cs="Times New Roman"/>
        </w:rPr>
        <w:t xml:space="preserve">prelude to initiating the formal procedure for approval </w:t>
      </w:r>
      <w:r w:rsidR="00C63EFF" w:rsidRPr="004842AA">
        <w:rPr>
          <w:rFonts w:ascii="Times New Roman" w:hAnsi="Times New Roman" w:cs="Times New Roman"/>
        </w:rPr>
        <w:t xml:space="preserve">of the withdrawal agreement </w:t>
      </w:r>
      <w:r w:rsidR="001204FE" w:rsidRPr="004842AA">
        <w:rPr>
          <w:rFonts w:ascii="Times New Roman" w:hAnsi="Times New Roman" w:cs="Times New Roman"/>
        </w:rPr>
        <w:t>under Union law.</w:t>
      </w:r>
      <w:r w:rsidR="001204FE" w:rsidRPr="004842AA">
        <w:rPr>
          <w:rStyle w:val="FootnoteReference"/>
          <w:rFonts w:ascii="Times New Roman" w:hAnsi="Times New Roman" w:cs="Times New Roman"/>
        </w:rPr>
        <w:footnoteReference w:id="27"/>
      </w:r>
      <w:r w:rsidR="001204FE" w:rsidRPr="004842AA">
        <w:rPr>
          <w:rFonts w:ascii="Times New Roman" w:hAnsi="Times New Roman" w:cs="Times New Roman"/>
        </w:rPr>
        <w:t xml:space="preserve">  Needless to say, that continuing oversight of a major event in the Union’s constitutional life falls squarely within the European Council’s mandate to provide the Union with the necessary impetus for its development and define its general political directions and priorities.</w:t>
      </w:r>
      <w:r w:rsidR="001204FE" w:rsidRPr="004842AA">
        <w:rPr>
          <w:rStyle w:val="FootnoteReference"/>
          <w:rFonts w:ascii="Times New Roman" w:hAnsi="Times New Roman" w:cs="Times New Roman"/>
        </w:rPr>
        <w:footnoteReference w:id="28"/>
      </w:r>
      <w:r w:rsidR="001204FE" w:rsidRPr="004842AA">
        <w:rPr>
          <w:rFonts w:ascii="Times New Roman" w:hAnsi="Times New Roman" w:cs="Times New Roman"/>
        </w:rPr>
        <w:t xml:space="preserve">  </w:t>
      </w:r>
    </w:p>
    <w:p w14:paraId="13B321E0" w14:textId="3B89F241" w:rsidR="00051C1D" w:rsidRDefault="006C5351" w:rsidP="00051C1D">
      <w:pPr>
        <w:widowControl w:val="0"/>
        <w:autoSpaceDE w:val="0"/>
        <w:autoSpaceDN w:val="0"/>
        <w:adjustRightInd w:val="0"/>
        <w:ind w:firstLine="720"/>
        <w:jc w:val="both"/>
        <w:rPr>
          <w:rFonts w:ascii="Times New Roman" w:hAnsi="Times New Roman" w:cs="Times New Roman"/>
        </w:rPr>
      </w:pPr>
      <w:r w:rsidRPr="004842AA">
        <w:rPr>
          <w:rFonts w:ascii="Times New Roman" w:hAnsi="Times New Roman" w:cs="Times New Roman"/>
        </w:rPr>
        <w:lastRenderedPageBreak/>
        <w:t>Secondly,</w:t>
      </w:r>
      <w:r w:rsidR="001204FE" w:rsidRPr="004842AA">
        <w:rPr>
          <w:rFonts w:ascii="Times New Roman" w:hAnsi="Times New Roman" w:cs="Times New Roman"/>
        </w:rPr>
        <w:t xml:space="preserve"> not only the European Council but also the European Parliament made an important contribution to th</w:t>
      </w:r>
      <w:r w:rsidR="00523DEB" w:rsidRPr="004842AA">
        <w:rPr>
          <w:rFonts w:ascii="Times New Roman" w:hAnsi="Times New Roman" w:cs="Times New Roman"/>
        </w:rPr>
        <w:t>e conduct of negotiations with</w:t>
      </w:r>
      <w:r w:rsidR="001204FE" w:rsidRPr="004842AA">
        <w:rPr>
          <w:rFonts w:ascii="Times New Roman" w:hAnsi="Times New Roman" w:cs="Times New Roman"/>
        </w:rPr>
        <w:t xml:space="preserve"> the UK under the Article 50 TEU process.  </w:t>
      </w:r>
      <w:r w:rsidR="00FB6B3D">
        <w:rPr>
          <w:rFonts w:ascii="Times New Roman" w:hAnsi="Times New Roman" w:cs="Times New Roman"/>
        </w:rPr>
        <w:t>In fact</w:t>
      </w:r>
      <w:r w:rsidR="001204FE" w:rsidRPr="004842AA">
        <w:rPr>
          <w:rFonts w:ascii="Times New Roman" w:hAnsi="Times New Roman" w:cs="Times New Roman"/>
        </w:rPr>
        <w:t xml:space="preserve">, the European Parliament made it clear almost from the very moment of the 2016 referendum result that it wished to </w:t>
      </w:r>
      <w:r w:rsidRPr="004842AA">
        <w:rPr>
          <w:rFonts w:ascii="Times New Roman" w:hAnsi="Times New Roman" w:cs="Times New Roman"/>
        </w:rPr>
        <w:t xml:space="preserve">use the requirement for its eventual consent to any agreement as leverage to play an </w:t>
      </w:r>
      <w:r w:rsidR="001204FE" w:rsidRPr="004842AA">
        <w:rPr>
          <w:rFonts w:ascii="Times New Roman" w:hAnsi="Times New Roman" w:cs="Times New Roman"/>
        </w:rPr>
        <w:t xml:space="preserve">active and influential role in shaping the </w:t>
      </w:r>
      <w:r w:rsidRPr="004842AA">
        <w:rPr>
          <w:rFonts w:ascii="Times New Roman" w:hAnsi="Times New Roman" w:cs="Times New Roman"/>
        </w:rPr>
        <w:t xml:space="preserve">terms of </w:t>
      </w:r>
      <w:r w:rsidR="001204FE" w:rsidRPr="004842AA">
        <w:rPr>
          <w:rFonts w:ascii="Times New Roman" w:hAnsi="Times New Roman" w:cs="Times New Roman"/>
        </w:rPr>
        <w:t>UK withdrawal.</w:t>
      </w:r>
      <w:r w:rsidR="001204FE" w:rsidRPr="004842AA">
        <w:rPr>
          <w:rStyle w:val="FootnoteReference"/>
          <w:rFonts w:ascii="Times New Roman" w:hAnsi="Times New Roman" w:cs="Times New Roman"/>
        </w:rPr>
        <w:footnoteReference w:id="29"/>
      </w:r>
      <w:r w:rsidR="001204FE" w:rsidRPr="004842AA">
        <w:rPr>
          <w:rFonts w:ascii="Times New Roman" w:hAnsi="Times New Roman" w:cs="Times New Roman"/>
        </w:rPr>
        <w:t xml:space="preserve">  </w:t>
      </w:r>
      <w:r w:rsidR="00FB6B3D">
        <w:rPr>
          <w:rFonts w:ascii="Times New Roman" w:hAnsi="Times New Roman" w:cs="Times New Roman"/>
        </w:rPr>
        <w:t>And indeed</w:t>
      </w:r>
      <w:r w:rsidRPr="004842AA">
        <w:rPr>
          <w:rFonts w:ascii="Times New Roman" w:hAnsi="Times New Roman" w:cs="Times New Roman"/>
        </w:rPr>
        <w:t xml:space="preserve">, </w:t>
      </w:r>
      <w:r w:rsidR="00FB6B3D">
        <w:rPr>
          <w:rFonts w:ascii="Times New Roman" w:hAnsi="Times New Roman" w:cs="Times New Roman"/>
        </w:rPr>
        <w:t xml:space="preserve">by passing well-timed resolutions expressing its own </w:t>
      </w:r>
      <w:r w:rsidR="004D5245">
        <w:rPr>
          <w:rFonts w:ascii="Times New Roman" w:hAnsi="Times New Roman" w:cs="Times New Roman"/>
        </w:rPr>
        <w:t xml:space="preserve">(often detailed and </w:t>
      </w:r>
      <w:r w:rsidR="00C33EA5">
        <w:rPr>
          <w:rFonts w:ascii="Times New Roman" w:hAnsi="Times New Roman" w:cs="Times New Roman"/>
        </w:rPr>
        <w:t xml:space="preserve">critical) </w:t>
      </w:r>
      <w:r w:rsidR="00FB6B3D">
        <w:rPr>
          <w:rFonts w:ascii="Times New Roman" w:hAnsi="Times New Roman" w:cs="Times New Roman"/>
        </w:rPr>
        <w:t xml:space="preserve">assessment of the negotiations, </w:t>
      </w:r>
      <w:r w:rsidRPr="004842AA">
        <w:rPr>
          <w:rFonts w:ascii="Times New Roman" w:hAnsi="Times New Roman" w:cs="Times New Roman"/>
        </w:rPr>
        <w:t xml:space="preserve">the </w:t>
      </w:r>
      <w:r w:rsidR="001204FE" w:rsidRPr="004842AA">
        <w:rPr>
          <w:rFonts w:ascii="Times New Roman" w:hAnsi="Times New Roman" w:cs="Times New Roman"/>
        </w:rPr>
        <w:t xml:space="preserve">European Parliament </w:t>
      </w:r>
      <w:r w:rsidR="00FB6B3D">
        <w:rPr>
          <w:rFonts w:ascii="Times New Roman" w:hAnsi="Times New Roman" w:cs="Times New Roman"/>
        </w:rPr>
        <w:t xml:space="preserve">sought to exercise </w:t>
      </w:r>
      <w:r w:rsidR="001204FE" w:rsidRPr="004842AA">
        <w:rPr>
          <w:rFonts w:ascii="Times New Roman" w:hAnsi="Times New Roman" w:cs="Times New Roman"/>
        </w:rPr>
        <w:t xml:space="preserve">significant </w:t>
      </w:r>
      <w:r w:rsidRPr="004842AA">
        <w:rPr>
          <w:rFonts w:ascii="Times New Roman" w:hAnsi="Times New Roman" w:cs="Times New Roman"/>
        </w:rPr>
        <w:t xml:space="preserve">influence </w:t>
      </w:r>
      <w:r w:rsidR="001204FE" w:rsidRPr="004842AA">
        <w:rPr>
          <w:rFonts w:ascii="Times New Roman" w:hAnsi="Times New Roman" w:cs="Times New Roman"/>
        </w:rPr>
        <w:t xml:space="preserve">over the formulation of Union positions, not only by the Commission, but also by the European Council (in adopting its periodic assessments and guidelines) and the Council (in settling the detailed negotiating directives and liaising with the Commission </w:t>
      </w:r>
      <w:r w:rsidR="004D5245">
        <w:rPr>
          <w:rFonts w:ascii="Times New Roman" w:hAnsi="Times New Roman" w:cs="Times New Roman"/>
        </w:rPr>
        <w:t xml:space="preserve">via </w:t>
      </w:r>
      <w:r w:rsidR="001204FE" w:rsidRPr="004842AA">
        <w:rPr>
          <w:rFonts w:ascii="Times New Roman" w:hAnsi="Times New Roman" w:cs="Times New Roman"/>
        </w:rPr>
        <w:t>the ad hoc Working Party).</w:t>
      </w:r>
      <w:r w:rsidR="001204FE" w:rsidRPr="004842AA">
        <w:rPr>
          <w:rStyle w:val="FootnoteReference"/>
          <w:rFonts w:ascii="Times New Roman" w:hAnsi="Times New Roman" w:cs="Times New Roman"/>
        </w:rPr>
        <w:footnoteReference w:id="30"/>
      </w:r>
    </w:p>
    <w:p w14:paraId="73DDBF84" w14:textId="361F70F8" w:rsidR="00051C1D" w:rsidRDefault="006C5351" w:rsidP="00051C1D">
      <w:pPr>
        <w:widowControl w:val="0"/>
        <w:autoSpaceDE w:val="0"/>
        <w:autoSpaceDN w:val="0"/>
        <w:adjustRightInd w:val="0"/>
        <w:ind w:firstLine="720"/>
        <w:jc w:val="both"/>
        <w:rPr>
          <w:rFonts w:ascii="Times New Roman" w:hAnsi="Times New Roman" w:cs="Times New Roman"/>
        </w:rPr>
      </w:pPr>
      <w:r w:rsidRPr="004842AA">
        <w:rPr>
          <w:rFonts w:ascii="Times New Roman" w:hAnsi="Times New Roman" w:cs="Times New Roman"/>
        </w:rPr>
        <w:t>Thirdly</w:t>
      </w:r>
      <w:r w:rsidR="001204FE" w:rsidRPr="004842AA">
        <w:rPr>
          <w:rFonts w:ascii="Times New Roman" w:hAnsi="Times New Roman" w:cs="Times New Roman"/>
        </w:rPr>
        <w:t xml:space="preserve">, the withdrawal negotiations quickly identified certain </w:t>
      </w:r>
      <w:proofErr w:type="gramStart"/>
      <w:r w:rsidR="001204FE" w:rsidRPr="004842AA">
        <w:rPr>
          <w:rFonts w:ascii="Times New Roman" w:hAnsi="Times New Roman" w:cs="Times New Roman"/>
        </w:rPr>
        <w:t>issues which</w:t>
      </w:r>
      <w:proofErr w:type="gramEnd"/>
      <w:r w:rsidR="001204FE" w:rsidRPr="004842AA">
        <w:rPr>
          <w:rFonts w:ascii="Times New Roman" w:hAnsi="Times New Roman" w:cs="Times New Roman"/>
        </w:rPr>
        <w:t xml:space="preserve"> were to be considered of major co</w:t>
      </w:r>
      <w:r w:rsidR="006866E4" w:rsidRPr="004842AA">
        <w:rPr>
          <w:rFonts w:ascii="Times New Roman" w:hAnsi="Times New Roman" w:cs="Times New Roman"/>
        </w:rPr>
        <w:t>ncern to specific Member States.  T</w:t>
      </w:r>
      <w:r w:rsidR="001204FE" w:rsidRPr="004842AA">
        <w:rPr>
          <w:rFonts w:ascii="Times New Roman" w:hAnsi="Times New Roman" w:cs="Times New Roman"/>
        </w:rPr>
        <w:t>he prime example is the extraordinary economic and political impact of the UK’s departure on Ireland; but important issues were also raised by Cyprus as regards the future of the UK’s Sovereign Base Areas in that Member State</w:t>
      </w:r>
      <w:r w:rsidR="006866E4" w:rsidRPr="004842AA">
        <w:rPr>
          <w:rFonts w:ascii="Times New Roman" w:hAnsi="Times New Roman" w:cs="Times New Roman"/>
        </w:rPr>
        <w:t>;</w:t>
      </w:r>
      <w:r w:rsidR="001204FE" w:rsidRPr="004842AA">
        <w:rPr>
          <w:rFonts w:ascii="Times New Roman" w:hAnsi="Times New Roman" w:cs="Times New Roman"/>
        </w:rPr>
        <w:t xml:space="preserve"> and by Spain when it came to the treatment of Gibraltar in the context of UK withdrawal.  </w:t>
      </w:r>
      <w:r w:rsidRPr="004842AA">
        <w:rPr>
          <w:rFonts w:ascii="Times New Roman" w:hAnsi="Times New Roman" w:cs="Times New Roman"/>
        </w:rPr>
        <w:t xml:space="preserve">The Union institutions </w:t>
      </w:r>
      <w:r w:rsidR="001204FE" w:rsidRPr="004842AA">
        <w:rPr>
          <w:rFonts w:ascii="Times New Roman" w:hAnsi="Times New Roman" w:cs="Times New Roman"/>
        </w:rPr>
        <w:t>sought to respect the importance and sensitivity of those special national interests when making political judgments about the overall progress and outcomes of the negotiations.</w:t>
      </w:r>
      <w:r w:rsidR="001204FE" w:rsidRPr="004842AA">
        <w:rPr>
          <w:rStyle w:val="FootnoteReference"/>
          <w:rFonts w:ascii="Times New Roman" w:hAnsi="Times New Roman" w:cs="Times New Roman"/>
        </w:rPr>
        <w:footnoteReference w:id="31"/>
      </w:r>
      <w:r w:rsidRPr="004842AA">
        <w:rPr>
          <w:rFonts w:ascii="Times New Roman" w:hAnsi="Times New Roman" w:cs="Times New Roman"/>
        </w:rPr>
        <w:t xml:space="preserve"> </w:t>
      </w:r>
      <w:r w:rsidR="006866E4" w:rsidRPr="004842AA">
        <w:rPr>
          <w:rFonts w:ascii="Times New Roman" w:hAnsi="Times New Roman" w:cs="Times New Roman"/>
        </w:rPr>
        <w:t xml:space="preserve"> </w:t>
      </w:r>
      <w:r w:rsidRPr="004842AA">
        <w:rPr>
          <w:rFonts w:ascii="Times New Roman" w:hAnsi="Times New Roman" w:cs="Times New Roman"/>
        </w:rPr>
        <w:t xml:space="preserve">Even if no Member State </w:t>
      </w:r>
      <w:r w:rsidR="006866E4" w:rsidRPr="004842AA">
        <w:rPr>
          <w:rFonts w:ascii="Times New Roman" w:hAnsi="Times New Roman" w:cs="Times New Roman"/>
        </w:rPr>
        <w:t xml:space="preserve">held a formal </w:t>
      </w:r>
      <w:r w:rsidRPr="004842AA">
        <w:rPr>
          <w:rFonts w:ascii="Times New Roman" w:hAnsi="Times New Roman" w:cs="Times New Roman"/>
        </w:rPr>
        <w:t xml:space="preserve">veto over </w:t>
      </w:r>
      <w:r w:rsidR="006866E4" w:rsidRPr="004842AA">
        <w:rPr>
          <w:rFonts w:ascii="Times New Roman" w:hAnsi="Times New Roman" w:cs="Times New Roman"/>
        </w:rPr>
        <w:t>conclusion of the withdrawal agreement</w:t>
      </w:r>
      <w:r w:rsidR="00523DEB" w:rsidRPr="004842AA">
        <w:rPr>
          <w:rFonts w:ascii="Times New Roman" w:hAnsi="Times New Roman" w:cs="Times New Roman"/>
        </w:rPr>
        <w:t xml:space="preserve"> as a matter of Union law</w:t>
      </w:r>
      <w:r w:rsidR="006866E4" w:rsidRPr="004842AA">
        <w:rPr>
          <w:rFonts w:ascii="Times New Roman" w:hAnsi="Times New Roman" w:cs="Times New Roman"/>
        </w:rPr>
        <w:t>, it is arguable that the Union in practice acted only with the consent of certain Member States, at least on certain issues – and in the case of Ireland, even for the agreement as a whole.</w:t>
      </w:r>
      <w:r w:rsidR="00C65C99">
        <w:rPr>
          <w:rStyle w:val="FootnoteReference"/>
          <w:rFonts w:ascii="Times New Roman" w:hAnsi="Times New Roman" w:cs="Times New Roman"/>
        </w:rPr>
        <w:footnoteReference w:id="32"/>
      </w:r>
      <w:r w:rsidR="006866E4" w:rsidRPr="004842AA">
        <w:rPr>
          <w:rFonts w:ascii="Times New Roman" w:hAnsi="Times New Roman" w:cs="Times New Roman"/>
        </w:rPr>
        <w:t xml:space="preserve">  </w:t>
      </w:r>
    </w:p>
    <w:p w14:paraId="1D7B9AD8" w14:textId="7CD01ACB" w:rsidR="00C63EFF" w:rsidRPr="004842AA" w:rsidRDefault="006C5351" w:rsidP="00051C1D">
      <w:pPr>
        <w:widowControl w:val="0"/>
        <w:autoSpaceDE w:val="0"/>
        <w:autoSpaceDN w:val="0"/>
        <w:adjustRightInd w:val="0"/>
        <w:ind w:firstLine="720"/>
        <w:jc w:val="both"/>
        <w:rPr>
          <w:rFonts w:ascii="Times New Roman" w:hAnsi="Times New Roman" w:cs="Times New Roman"/>
        </w:rPr>
      </w:pPr>
      <w:r w:rsidRPr="004842AA">
        <w:rPr>
          <w:rFonts w:ascii="Times New Roman" w:hAnsi="Times New Roman" w:cs="Times New Roman"/>
        </w:rPr>
        <w:t xml:space="preserve">Fourthly, </w:t>
      </w:r>
      <w:r w:rsidR="006866E4" w:rsidRPr="004842AA">
        <w:rPr>
          <w:rFonts w:ascii="Times New Roman" w:hAnsi="Times New Roman" w:cs="Times New Roman"/>
        </w:rPr>
        <w:t xml:space="preserve">however, the Union did not go so far as to contemplate any possibility of the Agreement being treated as a mixed agreement and as such open for the Member States to insist upon the need for </w:t>
      </w:r>
      <w:r w:rsidR="00C63EFF" w:rsidRPr="004842AA">
        <w:rPr>
          <w:rFonts w:ascii="Times New Roman" w:hAnsi="Times New Roman" w:cs="Times New Roman"/>
        </w:rPr>
        <w:t xml:space="preserve">ratification by their </w:t>
      </w:r>
      <w:r w:rsidR="006866E4" w:rsidRPr="004842AA">
        <w:rPr>
          <w:rFonts w:ascii="Times New Roman" w:hAnsi="Times New Roman" w:cs="Times New Roman"/>
        </w:rPr>
        <w:t xml:space="preserve">national </w:t>
      </w:r>
      <w:r w:rsidR="00C63EFF" w:rsidRPr="004842AA">
        <w:rPr>
          <w:rFonts w:ascii="Times New Roman" w:hAnsi="Times New Roman" w:cs="Times New Roman"/>
        </w:rPr>
        <w:t xml:space="preserve">institutions </w:t>
      </w:r>
      <w:r w:rsidR="006866E4" w:rsidRPr="004842AA">
        <w:rPr>
          <w:rFonts w:ascii="Times New Roman" w:hAnsi="Times New Roman" w:cs="Times New Roman"/>
        </w:rPr>
        <w:t xml:space="preserve">as well </w:t>
      </w:r>
      <w:r w:rsidR="00C63EFF" w:rsidRPr="004842AA">
        <w:rPr>
          <w:rFonts w:ascii="Times New Roman" w:hAnsi="Times New Roman" w:cs="Times New Roman"/>
        </w:rPr>
        <w:t xml:space="preserve">by the </w:t>
      </w:r>
      <w:r w:rsidR="006866E4" w:rsidRPr="004842AA">
        <w:rPr>
          <w:rFonts w:ascii="Times New Roman" w:hAnsi="Times New Roman" w:cs="Times New Roman"/>
        </w:rPr>
        <w:t>Union</w:t>
      </w:r>
      <w:r w:rsidR="00C63EFF" w:rsidRPr="004842AA">
        <w:rPr>
          <w:rFonts w:ascii="Times New Roman" w:hAnsi="Times New Roman" w:cs="Times New Roman"/>
        </w:rPr>
        <w:t xml:space="preserve"> itself </w:t>
      </w:r>
      <w:r w:rsidR="006866E4" w:rsidRPr="004842AA">
        <w:rPr>
          <w:rFonts w:ascii="Times New Roman" w:hAnsi="Times New Roman" w:cs="Times New Roman"/>
        </w:rPr>
        <w:t xml:space="preserve">– </w:t>
      </w:r>
      <w:r w:rsidR="00C63EFF" w:rsidRPr="004842AA">
        <w:rPr>
          <w:rFonts w:ascii="Times New Roman" w:hAnsi="Times New Roman" w:cs="Times New Roman"/>
        </w:rPr>
        <w:t xml:space="preserve">and this was so, </w:t>
      </w:r>
      <w:r w:rsidR="006866E4" w:rsidRPr="004842AA">
        <w:rPr>
          <w:rFonts w:ascii="Times New Roman" w:hAnsi="Times New Roman" w:cs="Times New Roman"/>
        </w:rPr>
        <w:t>even despite the fact that certain provisions of the draft treaty (</w:t>
      </w:r>
      <w:r w:rsidR="00C63EFF" w:rsidRPr="004842AA">
        <w:rPr>
          <w:rFonts w:ascii="Times New Roman" w:hAnsi="Times New Roman" w:cs="Times New Roman"/>
        </w:rPr>
        <w:t xml:space="preserve">such as </w:t>
      </w:r>
      <w:r w:rsidR="006866E4" w:rsidRPr="004842AA">
        <w:rPr>
          <w:rFonts w:ascii="Times New Roman" w:hAnsi="Times New Roman" w:cs="Times New Roman"/>
        </w:rPr>
        <w:t xml:space="preserve">those concerning the </w:t>
      </w:r>
      <w:r w:rsidR="006861A1">
        <w:rPr>
          <w:rFonts w:ascii="Times New Roman" w:hAnsi="Times New Roman" w:cs="Times New Roman"/>
        </w:rPr>
        <w:t xml:space="preserve">future </w:t>
      </w:r>
      <w:r w:rsidR="006866E4" w:rsidRPr="004842AA">
        <w:rPr>
          <w:rFonts w:ascii="Times New Roman" w:hAnsi="Times New Roman" w:cs="Times New Roman"/>
        </w:rPr>
        <w:t xml:space="preserve">treatment of UK citizens </w:t>
      </w:r>
      <w:r w:rsidR="00997E2B">
        <w:rPr>
          <w:rFonts w:ascii="Times New Roman" w:hAnsi="Times New Roman" w:cs="Times New Roman"/>
        </w:rPr>
        <w:t xml:space="preserve">residing </w:t>
      </w:r>
      <w:r w:rsidR="006866E4" w:rsidRPr="004842AA">
        <w:rPr>
          <w:rFonts w:ascii="Times New Roman" w:hAnsi="Times New Roman" w:cs="Times New Roman"/>
        </w:rPr>
        <w:t>within the EU27) clearly intruded upon issues of national competence.</w:t>
      </w:r>
      <w:r w:rsidR="00C63EFF" w:rsidRPr="004842AA">
        <w:rPr>
          <w:rFonts w:ascii="Times New Roman" w:hAnsi="Times New Roman" w:cs="Times New Roman"/>
        </w:rPr>
        <w:t xml:space="preserve">  In particular, the Council explicitly endorsed the Commission’s proposed understanding that Article 50 TEU gives the Union an exceptional horizontal power to negotiate all matters necessary to arrange </w:t>
      </w:r>
      <w:r w:rsidR="00523DEB" w:rsidRPr="004842AA">
        <w:rPr>
          <w:rFonts w:ascii="Times New Roman" w:hAnsi="Times New Roman" w:cs="Times New Roman"/>
        </w:rPr>
        <w:t>for</w:t>
      </w:r>
      <w:r w:rsidR="00C63EFF" w:rsidRPr="004842AA">
        <w:rPr>
          <w:rFonts w:ascii="Times New Roman" w:hAnsi="Times New Roman" w:cs="Times New Roman"/>
        </w:rPr>
        <w:t xml:space="preserve"> withdrawal – exceptional at least to the extent that it empowers the Union alone to reach agreement with the UK, on behalf of the remaining Member States, even as regards issues which would normally </w:t>
      </w:r>
      <w:r w:rsidR="004D5245">
        <w:rPr>
          <w:rFonts w:ascii="Times New Roman" w:hAnsi="Times New Roman" w:cs="Times New Roman"/>
        </w:rPr>
        <w:t>fall</w:t>
      </w:r>
      <w:r w:rsidR="00C63EFF" w:rsidRPr="004842AA">
        <w:rPr>
          <w:rFonts w:ascii="Times New Roman" w:hAnsi="Times New Roman" w:cs="Times New Roman"/>
        </w:rPr>
        <w:t xml:space="preserve"> within shared competence.</w:t>
      </w:r>
      <w:r w:rsidR="00C63EFF" w:rsidRPr="004842AA">
        <w:rPr>
          <w:rStyle w:val="FootnoteReference"/>
          <w:rFonts w:ascii="Times New Roman" w:hAnsi="Times New Roman" w:cs="Times New Roman"/>
        </w:rPr>
        <w:footnoteReference w:id="33"/>
      </w:r>
      <w:r w:rsidR="00C63EFF" w:rsidRPr="004842AA">
        <w:rPr>
          <w:rFonts w:ascii="Times New Roman" w:hAnsi="Times New Roman" w:cs="Times New Roman"/>
        </w:rPr>
        <w:t xml:space="preserve"> </w:t>
      </w:r>
      <w:r w:rsidR="00BE1FC0" w:rsidRPr="004842AA">
        <w:rPr>
          <w:rFonts w:ascii="Times New Roman" w:hAnsi="Times New Roman" w:cs="Times New Roman"/>
        </w:rPr>
        <w:t xml:space="preserve"> </w:t>
      </w:r>
      <w:r w:rsidR="008E4057" w:rsidRPr="004842AA">
        <w:rPr>
          <w:rFonts w:ascii="Times New Roman" w:hAnsi="Times New Roman" w:cs="Times New Roman"/>
        </w:rPr>
        <w:t>But the</w:t>
      </w:r>
      <w:r w:rsidR="00C63EFF" w:rsidRPr="004842AA">
        <w:rPr>
          <w:rFonts w:ascii="Times New Roman" w:hAnsi="Times New Roman" w:cs="Times New Roman"/>
        </w:rPr>
        <w:t xml:space="preserve"> Council </w:t>
      </w:r>
      <w:r w:rsidR="00BE1FC0" w:rsidRPr="004842AA">
        <w:rPr>
          <w:rFonts w:ascii="Times New Roman" w:hAnsi="Times New Roman" w:cs="Times New Roman"/>
        </w:rPr>
        <w:t xml:space="preserve">also stressed that </w:t>
      </w:r>
      <w:r w:rsidR="008E4057" w:rsidRPr="004842AA">
        <w:rPr>
          <w:rFonts w:ascii="Times New Roman" w:hAnsi="Times New Roman" w:cs="Times New Roman"/>
        </w:rPr>
        <w:t xml:space="preserve">this exceptional </w:t>
      </w:r>
      <w:r w:rsidR="00C63EFF" w:rsidRPr="004842AA">
        <w:rPr>
          <w:rFonts w:ascii="Times New Roman" w:hAnsi="Times New Roman" w:cs="Times New Roman"/>
        </w:rPr>
        <w:t xml:space="preserve">power </w:t>
      </w:r>
      <w:r w:rsidR="004D5245">
        <w:rPr>
          <w:rFonts w:ascii="Times New Roman" w:hAnsi="Times New Roman" w:cs="Times New Roman"/>
        </w:rPr>
        <w:t xml:space="preserve">was solely and </w:t>
      </w:r>
      <w:r w:rsidR="00C63EFF" w:rsidRPr="004842AA">
        <w:rPr>
          <w:rFonts w:ascii="Times New Roman" w:hAnsi="Times New Roman" w:cs="Times New Roman"/>
        </w:rPr>
        <w:t xml:space="preserve">strictly for the purposes of arranging withdrawal; it </w:t>
      </w:r>
      <w:r w:rsidR="00BE1FC0" w:rsidRPr="004842AA">
        <w:rPr>
          <w:rFonts w:ascii="Times New Roman" w:hAnsi="Times New Roman" w:cs="Times New Roman"/>
        </w:rPr>
        <w:t xml:space="preserve">would </w:t>
      </w:r>
      <w:r w:rsidR="00C63EFF" w:rsidRPr="004842AA">
        <w:rPr>
          <w:rFonts w:ascii="Times New Roman" w:hAnsi="Times New Roman" w:cs="Times New Roman"/>
        </w:rPr>
        <w:t>not affect in any way the distribution of competences between the Union and the Member States as regards future instruments in the areas concerned.</w:t>
      </w:r>
      <w:r w:rsidR="00C63EFF" w:rsidRPr="004842AA">
        <w:rPr>
          <w:rStyle w:val="FootnoteReference"/>
          <w:rFonts w:ascii="Times New Roman" w:hAnsi="Times New Roman" w:cs="Times New Roman"/>
        </w:rPr>
        <w:footnoteReference w:id="34"/>
      </w:r>
      <w:r w:rsidR="00C63EFF" w:rsidRPr="004842AA">
        <w:rPr>
          <w:rFonts w:ascii="Times New Roman" w:hAnsi="Times New Roman" w:cs="Times New Roman"/>
        </w:rPr>
        <w:t xml:space="preserve"> </w:t>
      </w:r>
    </w:p>
    <w:p w14:paraId="3FB3B959" w14:textId="77777777" w:rsidR="001204FE" w:rsidRPr="004842AA" w:rsidRDefault="001204FE" w:rsidP="004842AA">
      <w:pPr>
        <w:jc w:val="both"/>
        <w:rPr>
          <w:rFonts w:ascii="Times New Roman" w:hAnsi="Times New Roman" w:cs="Times New Roman"/>
        </w:rPr>
      </w:pPr>
    </w:p>
    <w:p w14:paraId="1677D3CB" w14:textId="11DF91D6" w:rsidR="00435255" w:rsidRPr="004842AA" w:rsidRDefault="00435255" w:rsidP="004842AA">
      <w:pPr>
        <w:jc w:val="both"/>
        <w:rPr>
          <w:rFonts w:ascii="Times New Roman" w:hAnsi="Times New Roman" w:cs="Times New Roman"/>
          <w:i/>
        </w:rPr>
      </w:pPr>
      <w:r w:rsidRPr="004842AA">
        <w:rPr>
          <w:rFonts w:ascii="Times New Roman" w:hAnsi="Times New Roman" w:cs="Times New Roman"/>
          <w:i/>
        </w:rPr>
        <w:t>2.1.2.</w:t>
      </w:r>
      <w:r w:rsidRPr="004842AA">
        <w:rPr>
          <w:rFonts w:ascii="Times New Roman" w:hAnsi="Times New Roman" w:cs="Times New Roman"/>
          <w:i/>
        </w:rPr>
        <w:tab/>
        <w:t>The European Council’s “core principles”</w:t>
      </w:r>
    </w:p>
    <w:p w14:paraId="06CB1C72" w14:textId="77777777" w:rsidR="00435255" w:rsidRPr="004842AA" w:rsidRDefault="00435255" w:rsidP="004842AA">
      <w:pPr>
        <w:jc w:val="both"/>
        <w:rPr>
          <w:rFonts w:ascii="Times New Roman" w:hAnsi="Times New Roman" w:cs="Times New Roman"/>
        </w:rPr>
      </w:pPr>
    </w:p>
    <w:p w14:paraId="0EF2B1E8" w14:textId="77777777" w:rsidR="00051C1D" w:rsidRDefault="00435255" w:rsidP="004842AA">
      <w:pPr>
        <w:jc w:val="both"/>
        <w:rPr>
          <w:rFonts w:ascii="Times New Roman" w:hAnsi="Times New Roman" w:cs="Times New Roman"/>
        </w:rPr>
      </w:pPr>
      <w:r w:rsidRPr="004842AA">
        <w:rPr>
          <w:rFonts w:ascii="Times New Roman" w:hAnsi="Times New Roman" w:cs="Times New Roman"/>
        </w:rPr>
        <w:t>T</w:t>
      </w:r>
      <w:r w:rsidR="00BE1FC0" w:rsidRPr="004842AA">
        <w:rPr>
          <w:rFonts w:ascii="Times New Roman" w:hAnsi="Times New Roman" w:cs="Times New Roman"/>
        </w:rPr>
        <w:t>he initial g</w:t>
      </w:r>
      <w:r w:rsidRPr="004842AA">
        <w:rPr>
          <w:rFonts w:ascii="Times New Roman" w:hAnsi="Times New Roman" w:cs="Times New Roman"/>
        </w:rPr>
        <w:t>uidelines adopted by the European Council in April 2019 assumed a position of central importance in the entire withdrawal process, insofar as they identified a series of “core principles” which would be treated as applicable to any and all negotiations conducted under the auspices of Article 50 TEU.</w:t>
      </w:r>
      <w:r w:rsidRPr="004842AA">
        <w:rPr>
          <w:rStyle w:val="FootnoteReference"/>
          <w:rFonts w:ascii="Times New Roman" w:hAnsi="Times New Roman" w:cs="Times New Roman"/>
        </w:rPr>
        <w:footnoteReference w:id="35"/>
      </w:r>
      <w:r w:rsidRPr="004842AA">
        <w:rPr>
          <w:rFonts w:ascii="Times New Roman" w:hAnsi="Times New Roman" w:cs="Times New Roman"/>
        </w:rPr>
        <w:t xml:space="preserve">  </w:t>
      </w:r>
    </w:p>
    <w:p w14:paraId="1187ABEB" w14:textId="4B715656" w:rsidR="00051C1D" w:rsidRDefault="00CD29F4" w:rsidP="00051C1D">
      <w:pPr>
        <w:ind w:firstLine="720"/>
        <w:jc w:val="both"/>
        <w:rPr>
          <w:rFonts w:ascii="Times New Roman" w:hAnsi="Times New Roman" w:cs="Times New Roman"/>
        </w:rPr>
      </w:pPr>
      <w:r w:rsidRPr="004842AA">
        <w:rPr>
          <w:rFonts w:ascii="Times New Roman" w:hAnsi="Times New Roman" w:cs="Times New Roman"/>
        </w:rPr>
        <w:t xml:space="preserve">Many of those </w:t>
      </w:r>
      <w:r w:rsidR="00435255" w:rsidRPr="004842AA">
        <w:rPr>
          <w:rFonts w:ascii="Times New Roman" w:hAnsi="Times New Roman" w:cs="Times New Roman"/>
        </w:rPr>
        <w:t xml:space="preserve">“core principles” </w:t>
      </w:r>
      <w:r w:rsidRPr="004842AA">
        <w:rPr>
          <w:rFonts w:ascii="Times New Roman" w:hAnsi="Times New Roman" w:cs="Times New Roman"/>
        </w:rPr>
        <w:t xml:space="preserve">were primarily legal in character: </w:t>
      </w:r>
      <w:r w:rsidR="00435255" w:rsidRPr="004842AA">
        <w:rPr>
          <w:rFonts w:ascii="Times New Roman" w:hAnsi="Times New Roman" w:cs="Times New Roman"/>
        </w:rPr>
        <w:t xml:space="preserve">the European Council </w:t>
      </w:r>
      <w:r w:rsidRPr="004842AA">
        <w:rPr>
          <w:rFonts w:ascii="Times New Roman" w:hAnsi="Times New Roman" w:cs="Times New Roman"/>
        </w:rPr>
        <w:t xml:space="preserve">sought to recall </w:t>
      </w:r>
      <w:r w:rsidR="00435255" w:rsidRPr="004842AA">
        <w:rPr>
          <w:rFonts w:ascii="Times New Roman" w:hAnsi="Times New Roman" w:cs="Times New Roman"/>
        </w:rPr>
        <w:t xml:space="preserve">certain basic </w:t>
      </w:r>
      <w:r w:rsidR="006861A1">
        <w:rPr>
          <w:rFonts w:ascii="Times New Roman" w:hAnsi="Times New Roman" w:cs="Times New Roman"/>
        </w:rPr>
        <w:t>rules</w:t>
      </w:r>
      <w:r w:rsidR="00891DC8" w:rsidRPr="004842AA">
        <w:rPr>
          <w:rFonts w:ascii="Times New Roman" w:hAnsi="Times New Roman" w:cs="Times New Roman"/>
        </w:rPr>
        <w:t xml:space="preserve"> </w:t>
      </w:r>
      <w:r w:rsidRPr="004842AA">
        <w:rPr>
          <w:rFonts w:ascii="Times New Roman" w:hAnsi="Times New Roman" w:cs="Times New Roman"/>
        </w:rPr>
        <w:t>that should underpin</w:t>
      </w:r>
      <w:r w:rsidR="00891DC8" w:rsidRPr="004842AA">
        <w:rPr>
          <w:rFonts w:ascii="Times New Roman" w:hAnsi="Times New Roman" w:cs="Times New Roman"/>
        </w:rPr>
        <w:t xml:space="preserve"> the Article 50 TEU process</w:t>
      </w:r>
      <w:r w:rsidRPr="004842AA">
        <w:rPr>
          <w:rFonts w:ascii="Times New Roman" w:hAnsi="Times New Roman" w:cs="Times New Roman"/>
        </w:rPr>
        <w:t xml:space="preserve">, </w:t>
      </w:r>
      <w:r w:rsidR="00891DC8" w:rsidRPr="004842AA">
        <w:rPr>
          <w:rFonts w:ascii="Times New Roman" w:hAnsi="Times New Roman" w:cs="Times New Roman"/>
        </w:rPr>
        <w:t xml:space="preserve">often derived </w:t>
      </w:r>
      <w:r w:rsidR="00BE1FC0" w:rsidRPr="004842AA">
        <w:rPr>
          <w:rFonts w:ascii="Times New Roman" w:hAnsi="Times New Roman" w:cs="Times New Roman"/>
        </w:rPr>
        <w:t>/</w:t>
      </w:r>
      <w:r w:rsidR="00891DC8" w:rsidRPr="004842AA">
        <w:rPr>
          <w:rFonts w:ascii="Times New Roman" w:hAnsi="Times New Roman" w:cs="Times New Roman"/>
        </w:rPr>
        <w:t xml:space="preserve"> adapted from the existing </w:t>
      </w:r>
      <w:proofErr w:type="spellStart"/>
      <w:r w:rsidR="00891DC8" w:rsidRPr="004842AA">
        <w:rPr>
          <w:rFonts w:ascii="Times New Roman" w:hAnsi="Times New Roman" w:cs="Times New Roman"/>
        </w:rPr>
        <w:t>caselaw</w:t>
      </w:r>
      <w:proofErr w:type="spellEnd"/>
      <w:r w:rsidR="00891DC8" w:rsidRPr="004842AA">
        <w:rPr>
          <w:rFonts w:ascii="Times New Roman" w:hAnsi="Times New Roman" w:cs="Times New Roman"/>
        </w:rPr>
        <w:t xml:space="preserve"> of the </w:t>
      </w:r>
      <w:r w:rsidR="00051C1D">
        <w:rPr>
          <w:rFonts w:ascii="Times New Roman" w:hAnsi="Times New Roman" w:cs="Times New Roman"/>
        </w:rPr>
        <w:t>Court of Justice</w:t>
      </w:r>
      <w:r w:rsidR="00891DC8" w:rsidRPr="004842AA">
        <w:rPr>
          <w:rFonts w:ascii="Times New Roman" w:hAnsi="Times New Roman" w:cs="Times New Roman"/>
        </w:rPr>
        <w:t xml:space="preserve">.  For example: the Union must preserve its own autonomy as regards both decision-making and the role of the </w:t>
      </w:r>
      <w:r w:rsidR="00051C1D">
        <w:rPr>
          <w:rFonts w:ascii="Times New Roman" w:hAnsi="Times New Roman" w:cs="Times New Roman"/>
        </w:rPr>
        <w:t xml:space="preserve">CJEU </w:t>
      </w:r>
      <w:r w:rsidR="00891DC8" w:rsidRPr="004842AA">
        <w:rPr>
          <w:rFonts w:ascii="Times New Roman" w:hAnsi="Times New Roman" w:cs="Times New Roman"/>
        </w:rPr>
        <w:t xml:space="preserve">– an obvious reference to the constitutional principles developed by the Court in its </w:t>
      </w:r>
      <w:proofErr w:type="spellStart"/>
      <w:r w:rsidR="00891DC8" w:rsidRPr="004842AA">
        <w:rPr>
          <w:rFonts w:ascii="Times New Roman" w:hAnsi="Times New Roman" w:cs="Times New Roman"/>
        </w:rPr>
        <w:t>caselaw</w:t>
      </w:r>
      <w:proofErr w:type="spellEnd"/>
      <w:r w:rsidR="00891DC8" w:rsidRPr="004842AA">
        <w:rPr>
          <w:rFonts w:ascii="Times New Roman" w:hAnsi="Times New Roman" w:cs="Times New Roman"/>
        </w:rPr>
        <w:t xml:space="preserve"> </w:t>
      </w:r>
      <w:r w:rsidR="001E525C">
        <w:rPr>
          <w:rFonts w:ascii="Times New Roman" w:hAnsi="Times New Roman" w:cs="Times New Roman"/>
        </w:rPr>
        <w:t xml:space="preserve">and </w:t>
      </w:r>
      <w:r w:rsidR="00891DC8" w:rsidRPr="004842AA">
        <w:rPr>
          <w:rFonts w:ascii="Times New Roman" w:hAnsi="Times New Roman" w:cs="Times New Roman"/>
        </w:rPr>
        <w:t>designed to protect the Union legal order from external interference.</w:t>
      </w:r>
      <w:r w:rsidR="00891DC8" w:rsidRPr="004842AA">
        <w:rPr>
          <w:rStyle w:val="FootnoteReference"/>
          <w:rFonts w:ascii="Times New Roman" w:hAnsi="Times New Roman" w:cs="Times New Roman"/>
        </w:rPr>
        <w:footnoteReference w:id="36"/>
      </w:r>
      <w:r w:rsidR="00891DC8" w:rsidRPr="004842AA">
        <w:rPr>
          <w:rFonts w:ascii="Times New Roman" w:hAnsi="Times New Roman" w:cs="Times New Roman"/>
        </w:rPr>
        <w:t xml:space="preserve">  Or again: there should be no separate negotiations by individual Member States on matters pertaining to the UK’s withdrawal – this time implicitly referencing the special obligations </w:t>
      </w:r>
      <w:r w:rsidR="00BE1FC0" w:rsidRPr="004842AA">
        <w:rPr>
          <w:rFonts w:ascii="Times New Roman" w:hAnsi="Times New Roman" w:cs="Times New Roman"/>
        </w:rPr>
        <w:t xml:space="preserve">of loyal </w:t>
      </w:r>
      <w:r w:rsidR="00891DC8" w:rsidRPr="004842AA">
        <w:rPr>
          <w:rFonts w:ascii="Times New Roman" w:hAnsi="Times New Roman" w:cs="Times New Roman"/>
        </w:rPr>
        <w:t>cooperation</w:t>
      </w:r>
      <w:r w:rsidR="00BE1FC0" w:rsidRPr="004842AA">
        <w:rPr>
          <w:rFonts w:ascii="Times New Roman" w:hAnsi="Times New Roman" w:cs="Times New Roman"/>
        </w:rPr>
        <w:t xml:space="preserve"> </w:t>
      </w:r>
      <w:r w:rsidR="007802FA" w:rsidRPr="004842AA">
        <w:rPr>
          <w:rFonts w:ascii="Times New Roman" w:hAnsi="Times New Roman" w:cs="Times New Roman"/>
        </w:rPr>
        <w:t xml:space="preserve">previously identified by the </w:t>
      </w:r>
      <w:r w:rsidR="00BE1FC0" w:rsidRPr="004842AA">
        <w:rPr>
          <w:rFonts w:ascii="Times New Roman" w:hAnsi="Times New Roman" w:cs="Times New Roman"/>
        </w:rPr>
        <w:t xml:space="preserve">Court </w:t>
      </w:r>
      <w:r w:rsidR="00891DC8" w:rsidRPr="004842AA">
        <w:rPr>
          <w:rFonts w:ascii="Times New Roman" w:hAnsi="Times New Roman" w:cs="Times New Roman"/>
        </w:rPr>
        <w:t xml:space="preserve">in situations where the Commission </w:t>
      </w:r>
      <w:r w:rsidR="001E525C">
        <w:rPr>
          <w:rFonts w:ascii="Times New Roman" w:hAnsi="Times New Roman" w:cs="Times New Roman"/>
        </w:rPr>
        <w:t>submits</w:t>
      </w:r>
      <w:r w:rsidR="00891DC8" w:rsidRPr="004842AA">
        <w:rPr>
          <w:rFonts w:ascii="Times New Roman" w:hAnsi="Times New Roman" w:cs="Times New Roman"/>
        </w:rPr>
        <w:t xml:space="preserve"> proposals for concerted action by the Union institutions.</w:t>
      </w:r>
      <w:r w:rsidR="00891DC8" w:rsidRPr="004842AA">
        <w:rPr>
          <w:rStyle w:val="FootnoteReference"/>
          <w:rFonts w:ascii="Times New Roman" w:hAnsi="Times New Roman" w:cs="Times New Roman"/>
        </w:rPr>
        <w:footnoteReference w:id="37"/>
      </w:r>
      <w:r w:rsidR="00891DC8" w:rsidRPr="004842AA">
        <w:rPr>
          <w:rFonts w:ascii="Times New Roman" w:hAnsi="Times New Roman" w:cs="Times New Roman"/>
        </w:rPr>
        <w:t xml:space="preserve">  A final </w:t>
      </w:r>
      <w:r w:rsidR="007802FA" w:rsidRPr="004842AA">
        <w:rPr>
          <w:rFonts w:ascii="Times New Roman" w:hAnsi="Times New Roman" w:cs="Times New Roman"/>
        </w:rPr>
        <w:t>illustration</w:t>
      </w:r>
      <w:r w:rsidR="00891DC8" w:rsidRPr="004842AA">
        <w:rPr>
          <w:rFonts w:ascii="Times New Roman" w:hAnsi="Times New Roman" w:cs="Times New Roman"/>
        </w:rPr>
        <w:t xml:space="preserve">: the European Council </w:t>
      </w:r>
      <w:r w:rsidR="001E525C">
        <w:rPr>
          <w:rFonts w:ascii="Times New Roman" w:hAnsi="Times New Roman" w:cs="Times New Roman"/>
        </w:rPr>
        <w:t xml:space="preserve">also </w:t>
      </w:r>
      <w:r w:rsidR="00891DC8" w:rsidRPr="004842AA">
        <w:rPr>
          <w:rFonts w:ascii="Times New Roman" w:hAnsi="Times New Roman" w:cs="Times New Roman"/>
        </w:rPr>
        <w:t xml:space="preserve">sought to </w:t>
      </w:r>
      <w:r w:rsidR="00997E2B">
        <w:rPr>
          <w:rFonts w:ascii="Times New Roman" w:hAnsi="Times New Roman" w:cs="Times New Roman"/>
        </w:rPr>
        <w:t xml:space="preserve">explain how the </w:t>
      </w:r>
      <w:r w:rsidR="00BE1FC0" w:rsidRPr="004842AA">
        <w:rPr>
          <w:rFonts w:ascii="Times New Roman" w:hAnsi="Times New Roman" w:cs="Times New Roman"/>
        </w:rPr>
        <w:t xml:space="preserve">general </w:t>
      </w:r>
      <w:r w:rsidR="00891DC8" w:rsidRPr="004842AA">
        <w:rPr>
          <w:rFonts w:ascii="Times New Roman" w:hAnsi="Times New Roman" w:cs="Times New Roman"/>
        </w:rPr>
        <w:t xml:space="preserve">duty of sincere cooperation under Article 4(3) TEU </w:t>
      </w:r>
      <w:r w:rsidR="00997E2B">
        <w:rPr>
          <w:rFonts w:ascii="Times New Roman" w:hAnsi="Times New Roman" w:cs="Times New Roman"/>
        </w:rPr>
        <w:t xml:space="preserve">should be adapted to </w:t>
      </w:r>
      <w:r w:rsidR="00A072F8">
        <w:rPr>
          <w:rFonts w:ascii="Times New Roman" w:hAnsi="Times New Roman" w:cs="Times New Roman"/>
        </w:rPr>
        <w:t>the</w:t>
      </w:r>
      <w:r w:rsidR="00997E2B">
        <w:rPr>
          <w:rFonts w:ascii="Times New Roman" w:hAnsi="Times New Roman" w:cs="Times New Roman"/>
        </w:rPr>
        <w:t xml:space="preserve"> </w:t>
      </w:r>
      <w:r w:rsidR="00891DC8" w:rsidRPr="004842AA">
        <w:rPr>
          <w:rFonts w:ascii="Times New Roman" w:hAnsi="Times New Roman" w:cs="Times New Roman"/>
        </w:rPr>
        <w:t xml:space="preserve">unprecedented situation </w:t>
      </w:r>
      <w:r w:rsidR="00997E2B">
        <w:rPr>
          <w:rFonts w:ascii="Times New Roman" w:hAnsi="Times New Roman" w:cs="Times New Roman"/>
        </w:rPr>
        <w:t xml:space="preserve">in which the UK continued to be a Member State but was also actively engaged in </w:t>
      </w:r>
      <w:r w:rsidR="00A072F8">
        <w:rPr>
          <w:rFonts w:ascii="Times New Roman" w:hAnsi="Times New Roman" w:cs="Times New Roman"/>
        </w:rPr>
        <w:t xml:space="preserve">proceeding to </w:t>
      </w:r>
      <w:r w:rsidR="00997E2B">
        <w:rPr>
          <w:rFonts w:ascii="Times New Roman" w:hAnsi="Times New Roman" w:cs="Times New Roman"/>
        </w:rPr>
        <w:t xml:space="preserve">its own eventual </w:t>
      </w:r>
      <w:r w:rsidR="00891DC8" w:rsidRPr="004842AA">
        <w:rPr>
          <w:rFonts w:ascii="Times New Roman" w:hAnsi="Times New Roman" w:cs="Times New Roman"/>
        </w:rPr>
        <w:t>withdrawal</w:t>
      </w:r>
      <w:r w:rsidR="00997E2B">
        <w:rPr>
          <w:rFonts w:ascii="Times New Roman" w:hAnsi="Times New Roman" w:cs="Times New Roman"/>
        </w:rPr>
        <w:t xml:space="preserve">: the </w:t>
      </w:r>
      <w:r w:rsidR="00110C6C" w:rsidRPr="004842AA">
        <w:rPr>
          <w:rFonts w:ascii="Times New Roman" w:hAnsi="Times New Roman" w:cs="Times New Roman"/>
        </w:rPr>
        <w:t xml:space="preserve">general </w:t>
      </w:r>
      <w:r w:rsidR="00891DC8" w:rsidRPr="004842AA">
        <w:rPr>
          <w:rFonts w:ascii="Times New Roman" w:hAnsi="Times New Roman" w:cs="Times New Roman"/>
        </w:rPr>
        <w:t xml:space="preserve">principle </w:t>
      </w:r>
      <w:r w:rsidR="00997E2B">
        <w:rPr>
          <w:rFonts w:ascii="Times New Roman" w:hAnsi="Times New Roman" w:cs="Times New Roman"/>
        </w:rPr>
        <w:t>should be “business as usual”;</w:t>
      </w:r>
      <w:r w:rsidR="00891DC8" w:rsidRPr="004842AA">
        <w:rPr>
          <w:rFonts w:ascii="Times New Roman" w:hAnsi="Times New Roman" w:cs="Times New Roman"/>
        </w:rPr>
        <w:t xml:space="preserve"> </w:t>
      </w:r>
      <w:r w:rsidR="007802FA" w:rsidRPr="004842AA">
        <w:rPr>
          <w:rFonts w:ascii="Times New Roman" w:hAnsi="Times New Roman" w:cs="Times New Roman"/>
        </w:rPr>
        <w:t xml:space="preserve">but </w:t>
      </w:r>
      <w:r w:rsidR="00891DC8" w:rsidRPr="004842AA">
        <w:rPr>
          <w:rFonts w:ascii="Times New Roman" w:hAnsi="Times New Roman" w:cs="Times New Roman"/>
        </w:rPr>
        <w:t xml:space="preserve">subject to </w:t>
      </w:r>
      <w:r w:rsidR="007802FA" w:rsidRPr="004842AA">
        <w:rPr>
          <w:rFonts w:ascii="Times New Roman" w:hAnsi="Times New Roman" w:cs="Times New Roman"/>
        </w:rPr>
        <w:t xml:space="preserve">various </w:t>
      </w:r>
      <w:r w:rsidR="00891DC8" w:rsidRPr="004842AA">
        <w:rPr>
          <w:rFonts w:ascii="Times New Roman" w:hAnsi="Times New Roman" w:cs="Times New Roman"/>
        </w:rPr>
        <w:t xml:space="preserve">adaptations (for example) as regards </w:t>
      </w:r>
      <w:r w:rsidR="00997E2B">
        <w:rPr>
          <w:rFonts w:ascii="Times New Roman" w:hAnsi="Times New Roman" w:cs="Times New Roman"/>
        </w:rPr>
        <w:t xml:space="preserve">the UK’s exclusion from all relevant </w:t>
      </w:r>
      <w:r w:rsidR="00891DC8" w:rsidRPr="004842AA">
        <w:rPr>
          <w:rFonts w:ascii="Times New Roman" w:hAnsi="Times New Roman" w:cs="Times New Roman"/>
        </w:rPr>
        <w:t>institutional discussion</w:t>
      </w:r>
      <w:r w:rsidR="00110C6C" w:rsidRPr="004842AA">
        <w:rPr>
          <w:rFonts w:ascii="Times New Roman" w:hAnsi="Times New Roman" w:cs="Times New Roman"/>
        </w:rPr>
        <w:t>s</w:t>
      </w:r>
      <w:r w:rsidR="00891DC8" w:rsidRPr="004842AA">
        <w:rPr>
          <w:rFonts w:ascii="Times New Roman" w:hAnsi="Times New Roman" w:cs="Times New Roman"/>
        </w:rPr>
        <w:t xml:space="preserve"> and decision</w:t>
      </w:r>
      <w:r w:rsidR="00A072F8">
        <w:rPr>
          <w:rFonts w:ascii="Times New Roman" w:hAnsi="Times New Roman" w:cs="Times New Roman"/>
        </w:rPr>
        <w:t xml:space="preserve">s </w:t>
      </w:r>
      <w:r w:rsidR="00891DC8" w:rsidRPr="004842AA">
        <w:rPr>
          <w:rFonts w:ascii="Times New Roman" w:hAnsi="Times New Roman" w:cs="Times New Roman"/>
        </w:rPr>
        <w:t>– an approach again</w:t>
      </w:r>
      <w:r w:rsidR="007802FA" w:rsidRPr="004842AA">
        <w:rPr>
          <w:rFonts w:ascii="Times New Roman" w:hAnsi="Times New Roman" w:cs="Times New Roman"/>
        </w:rPr>
        <w:t xml:space="preserve"> (</w:t>
      </w:r>
      <w:r w:rsidR="00997E2B">
        <w:rPr>
          <w:rFonts w:ascii="Times New Roman" w:hAnsi="Times New Roman" w:cs="Times New Roman"/>
        </w:rPr>
        <w:t>though</w:t>
      </w:r>
      <w:r w:rsidR="007802FA" w:rsidRPr="004842AA">
        <w:rPr>
          <w:rFonts w:ascii="Times New Roman" w:hAnsi="Times New Roman" w:cs="Times New Roman"/>
        </w:rPr>
        <w:t xml:space="preserve"> this time </w:t>
      </w:r>
      <w:r w:rsidR="00997E2B">
        <w:rPr>
          <w:rFonts w:ascii="Times New Roman" w:hAnsi="Times New Roman" w:cs="Times New Roman"/>
        </w:rPr>
        <w:t xml:space="preserve">only </w:t>
      </w:r>
      <w:r w:rsidR="007802FA" w:rsidRPr="004842AA">
        <w:rPr>
          <w:rFonts w:ascii="Times New Roman" w:hAnsi="Times New Roman" w:cs="Times New Roman"/>
        </w:rPr>
        <w:t>later)</w:t>
      </w:r>
      <w:r w:rsidR="00891DC8" w:rsidRPr="004842AA">
        <w:rPr>
          <w:rFonts w:ascii="Times New Roman" w:hAnsi="Times New Roman" w:cs="Times New Roman"/>
        </w:rPr>
        <w:t xml:space="preserve"> endorsed by the CJEU</w:t>
      </w:r>
      <w:r w:rsidR="00110C6C" w:rsidRPr="004842AA">
        <w:rPr>
          <w:rFonts w:ascii="Times New Roman" w:hAnsi="Times New Roman" w:cs="Times New Roman"/>
        </w:rPr>
        <w:t xml:space="preserve"> in rulings such as </w:t>
      </w:r>
      <w:r w:rsidR="00110C6C" w:rsidRPr="004842AA">
        <w:rPr>
          <w:rFonts w:ascii="Times New Roman" w:hAnsi="Times New Roman" w:cs="Times New Roman"/>
          <w:i/>
        </w:rPr>
        <w:t xml:space="preserve">R O </w:t>
      </w:r>
      <w:r w:rsidR="00110C6C" w:rsidRPr="004842AA">
        <w:rPr>
          <w:rFonts w:ascii="Times New Roman" w:hAnsi="Times New Roman" w:cs="Times New Roman"/>
        </w:rPr>
        <w:t xml:space="preserve">and </w:t>
      </w:r>
      <w:r w:rsidR="00110C6C" w:rsidRPr="004842AA">
        <w:rPr>
          <w:rFonts w:ascii="Times New Roman" w:hAnsi="Times New Roman" w:cs="Times New Roman"/>
          <w:i/>
        </w:rPr>
        <w:t>Wightman</w:t>
      </w:r>
      <w:r w:rsidR="00891DC8" w:rsidRPr="004842AA">
        <w:rPr>
          <w:rFonts w:ascii="Times New Roman" w:hAnsi="Times New Roman" w:cs="Times New Roman"/>
        </w:rPr>
        <w:t>.</w:t>
      </w:r>
      <w:r w:rsidR="00891DC8" w:rsidRPr="004842AA">
        <w:rPr>
          <w:rStyle w:val="FootnoteReference"/>
          <w:rFonts w:ascii="Times New Roman" w:hAnsi="Times New Roman" w:cs="Times New Roman"/>
        </w:rPr>
        <w:footnoteReference w:id="38"/>
      </w:r>
      <w:r w:rsidR="00891DC8" w:rsidRPr="004842AA">
        <w:rPr>
          <w:rFonts w:ascii="Times New Roman" w:hAnsi="Times New Roman" w:cs="Times New Roman"/>
        </w:rPr>
        <w:t xml:space="preserve"> </w:t>
      </w:r>
    </w:p>
    <w:p w14:paraId="10E1D5B1" w14:textId="16D1B8DA" w:rsidR="00051C1D" w:rsidRDefault="00CD29F4" w:rsidP="00051C1D">
      <w:pPr>
        <w:ind w:firstLine="720"/>
        <w:jc w:val="both"/>
        <w:rPr>
          <w:rFonts w:ascii="Times New Roman" w:hAnsi="Times New Roman" w:cs="Times New Roman"/>
        </w:rPr>
      </w:pPr>
      <w:r w:rsidRPr="004842AA">
        <w:rPr>
          <w:rFonts w:ascii="Times New Roman" w:hAnsi="Times New Roman" w:cs="Times New Roman"/>
        </w:rPr>
        <w:t xml:space="preserve">Other </w:t>
      </w:r>
      <w:r w:rsidR="00110C6C" w:rsidRPr="004842AA">
        <w:rPr>
          <w:rFonts w:ascii="Times New Roman" w:hAnsi="Times New Roman" w:cs="Times New Roman"/>
        </w:rPr>
        <w:t xml:space="preserve">“core principles” </w:t>
      </w:r>
      <w:r w:rsidRPr="004842AA">
        <w:rPr>
          <w:rFonts w:ascii="Times New Roman" w:hAnsi="Times New Roman" w:cs="Times New Roman"/>
        </w:rPr>
        <w:t xml:space="preserve">identified by the European Council </w:t>
      </w:r>
      <w:proofErr w:type="gramStart"/>
      <w:r w:rsidRPr="004842AA">
        <w:rPr>
          <w:rFonts w:ascii="Times New Roman" w:hAnsi="Times New Roman" w:cs="Times New Roman"/>
        </w:rPr>
        <w:t>were</w:t>
      </w:r>
      <w:proofErr w:type="gramEnd"/>
      <w:r w:rsidRPr="004842AA">
        <w:rPr>
          <w:rFonts w:ascii="Times New Roman" w:hAnsi="Times New Roman" w:cs="Times New Roman"/>
        </w:rPr>
        <w:t xml:space="preserve"> </w:t>
      </w:r>
      <w:r w:rsidR="00FF3EDB" w:rsidRPr="004842AA">
        <w:rPr>
          <w:rFonts w:ascii="Times New Roman" w:hAnsi="Times New Roman" w:cs="Times New Roman"/>
        </w:rPr>
        <w:t xml:space="preserve">more </w:t>
      </w:r>
      <w:r w:rsidR="00435255" w:rsidRPr="004842AA">
        <w:rPr>
          <w:rFonts w:ascii="Times New Roman" w:hAnsi="Times New Roman" w:cs="Times New Roman"/>
        </w:rPr>
        <w:t xml:space="preserve">political </w:t>
      </w:r>
      <w:r w:rsidRPr="004842AA">
        <w:rPr>
          <w:rFonts w:ascii="Times New Roman" w:hAnsi="Times New Roman" w:cs="Times New Roman"/>
        </w:rPr>
        <w:t xml:space="preserve">in </w:t>
      </w:r>
      <w:r w:rsidR="00435255" w:rsidRPr="004842AA">
        <w:rPr>
          <w:rFonts w:ascii="Times New Roman" w:hAnsi="Times New Roman" w:cs="Times New Roman"/>
        </w:rPr>
        <w:t>nature</w:t>
      </w:r>
      <w:r w:rsidR="00FF3EDB" w:rsidRPr="004842AA">
        <w:rPr>
          <w:rFonts w:ascii="Times New Roman" w:hAnsi="Times New Roman" w:cs="Times New Roman"/>
        </w:rPr>
        <w:t xml:space="preserve">.  </w:t>
      </w:r>
      <w:r w:rsidR="007802FA" w:rsidRPr="004842AA">
        <w:rPr>
          <w:rFonts w:ascii="Times New Roman" w:hAnsi="Times New Roman" w:cs="Times New Roman"/>
        </w:rPr>
        <w:t>In particular</w:t>
      </w:r>
      <w:r w:rsidR="00FF3EDB" w:rsidRPr="004842AA">
        <w:rPr>
          <w:rFonts w:ascii="Times New Roman" w:hAnsi="Times New Roman" w:cs="Times New Roman"/>
        </w:rPr>
        <w:t>, the April 2017 Guidelines</w:t>
      </w:r>
      <w:r w:rsidR="00110C6C" w:rsidRPr="004842AA">
        <w:rPr>
          <w:rFonts w:ascii="Times New Roman" w:hAnsi="Times New Roman" w:cs="Times New Roman"/>
        </w:rPr>
        <w:t xml:space="preserve"> </w:t>
      </w:r>
      <w:r w:rsidR="001E525C">
        <w:rPr>
          <w:rFonts w:ascii="Times New Roman" w:hAnsi="Times New Roman" w:cs="Times New Roman"/>
        </w:rPr>
        <w:t xml:space="preserve">contain the seeds of the Union’s </w:t>
      </w:r>
      <w:r w:rsidR="00435255" w:rsidRPr="004842AA">
        <w:rPr>
          <w:rFonts w:ascii="Times New Roman" w:hAnsi="Times New Roman" w:cs="Times New Roman"/>
        </w:rPr>
        <w:t xml:space="preserve">four key </w:t>
      </w:r>
      <w:r w:rsidR="00FF3EDB" w:rsidRPr="004842AA">
        <w:rPr>
          <w:rFonts w:ascii="Times New Roman" w:hAnsi="Times New Roman" w:cs="Times New Roman"/>
        </w:rPr>
        <w:t xml:space="preserve">negotiating </w:t>
      </w:r>
      <w:r w:rsidR="007802FA" w:rsidRPr="004842AA">
        <w:rPr>
          <w:rFonts w:ascii="Times New Roman" w:hAnsi="Times New Roman" w:cs="Times New Roman"/>
        </w:rPr>
        <w:t>objectives</w:t>
      </w:r>
      <w:r w:rsidR="006861A1">
        <w:rPr>
          <w:rFonts w:ascii="Times New Roman" w:hAnsi="Times New Roman" w:cs="Times New Roman"/>
        </w:rPr>
        <w:t>,</w:t>
      </w:r>
      <w:r w:rsidR="001E525C">
        <w:rPr>
          <w:rFonts w:ascii="Times New Roman" w:hAnsi="Times New Roman" w:cs="Times New Roman"/>
        </w:rPr>
        <w:t xml:space="preserve"> </w:t>
      </w:r>
      <w:r w:rsidR="007802FA" w:rsidRPr="004842AA">
        <w:rPr>
          <w:rFonts w:ascii="Times New Roman" w:hAnsi="Times New Roman" w:cs="Times New Roman"/>
        </w:rPr>
        <w:t xml:space="preserve">in </w:t>
      </w:r>
      <w:r w:rsidR="006861A1">
        <w:rPr>
          <w:rFonts w:ascii="Times New Roman" w:hAnsi="Times New Roman" w:cs="Times New Roman"/>
        </w:rPr>
        <w:t xml:space="preserve">a </w:t>
      </w:r>
      <w:r w:rsidR="00435255" w:rsidRPr="004842AA">
        <w:rPr>
          <w:rFonts w:ascii="Times New Roman" w:hAnsi="Times New Roman" w:cs="Times New Roman"/>
        </w:rPr>
        <w:t>clear order of prio</w:t>
      </w:r>
      <w:r w:rsidR="00FF3EDB" w:rsidRPr="004842AA">
        <w:rPr>
          <w:rFonts w:ascii="Times New Roman" w:hAnsi="Times New Roman" w:cs="Times New Roman"/>
        </w:rPr>
        <w:t>rity.  First, the Union attached</w:t>
      </w:r>
      <w:r w:rsidR="00435255" w:rsidRPr="004842AA">
        <w:rPr>
          <w:rFonts w:ascii="Times New Roman" w:hAnsi="Times New Roman" w:cs="Times New Roman"/>
        </w:rPr>
        <w:t xml:space="preserve"> overriding importance to preserving its own unity within and between the Union institutions and the 27 remaining Member States.  </w:t>
      </w:r>
      <w:r w:rsidRPr="004842AA">
        <w:rPr>
          <w:rFonts w:ascii="Times New Roman" w:hAnsi="Times New Roman" w:cs="Times New Roman"/>
        </w:rPr>
        <w:t xml:space="preserve">Brexit </w:t>
      </w:r>
      <w:r w:rsidR="00435255" w:rsidRPr="004842AA">
        <w:rPr>
          <w:rFonts w:ascii="Times New Roman" w:hAnsi="Times New Roman" w:cs="Times New Roman"/>
        </w:rPr>
        <w:t xml:space="preserve">cannot endanger the solidarity or indeed the survival of the Union as a whole.  </w:t>
      </w:r>
      <w:r w:rsidRPr="004842AA">
        <w:rPr>
          <w:rFonts w:ascii="Times New Roman" w:hAnsi="Times New Roman" w:cs="Times New Roman"/>
        </w:rPr>
        <w:t>E</w:t>
      </w:r>
      <w:r w:rsidR="00435255" w:rsidRPr="004842AA">
        <w:rPr>
          <w:rFonts w:ascii="Times New Roman" w:hAnsi="Times New Roman" w:cs="Times New Roman"/>
        </w:rPr>
        <w:t xml:space="preserve">very competent actor should </w:t>
      </w:r>
      <w:r w:rsidR="00FF3EDB" w:rsidRPr="004842AA">
        <w:rPr>
          <w:rFonts w:ascii="Times New Roman" w:hAnsi="Times New Roman" w:cs="Times New Roman"/>
        </w:rPr>
        <w:t xml:space="preserve">therefore </w:t>
      </w:r>
      <w:r w:rsidR="00435255" w:rsidRPr="004842AA">
        <w:rPr>
          <w:rFonts w:ascii="Times New Roman" w:hAnsi="Times New Roman" w:cs="Times New Roman"/>
        </w:rPr>
        <w:t>present a common front in the Article 50 TEU process – going above and beyond whatever formal institutional roles might be prescribed under the Treaties and surpassing whatever basic legal requirements might derive from the duty of sincere cooperation.  Thus</w:t>
      </w:r>
      <w:r w:rsidR="001E525C">
        <w:rPr>
          <w:rFonts w:ascii="Times New Roman" w:hAnsi="Times New Roman" w:cs="Times New Roman"/>
        </w:rPr>
        <w:t xml:space="preserve"> (for example) </w:t>
      </w:r>
      <w:r w:rsidR="00435255" w:rsidRPr="004842AA">
        <w:rPr>
          <w:rFonts w:ascii="Times New Roman" w:hAnsi="Times New Roman" w:cs="Times New Roman"/>
        </w:rPr>
        <w:t>t</w:t>
      </w:r>
      <w:r w:rsidRPr="004842AA">
        <w:rPr>
          <w:rFonts w:ascii="Times New Roman" w:hAnsi="Times New Roman" w:cs="Times New Roman"/>
        </w:rPr>
        <w:t>he European Council proclaimed</w:t>
      </w:r>
      <w:r w:rsidR="00435255" w:rsidRPr="004842AA">
        <w:rPr>
          <w:rFonts w:ascii="Times New Roman" w:hAnsi="Times New Roman" w:cs="Times New Roman"/>
        </w:rPr>
        <w:t xml:space="preserve"> that the Union </w:t>
      </w:r>
      <w:r w:rsidRPr="004842AA">
        <w:rPr>
          <w:rFonts w:ascii="Times New Roman" w:hAnsi="Times New Roman" w:cs="Times New Roman"/>
        </w:rPr>
        <w:t xml:space="preserve">should </w:t>
      </w:r>
      <w:r w:rsidR="00435255" w:rsidRPr="004842AA">
        <w:rPr>
          <w:rFonts w:ascii="Times New Roman" w:hAnsi="Times New Roman" w:cs="Times New Roman"/>
        </w:rPr>
        <w:t>approach the negotiations with unified positions and engage with the UK exclusively through the channels provided for under Article 50 TEU.</w:t>
      </w:r>
      <w:r w:rsidR="00435255" w:rsidRPr="004842AA">
        <w:rPr>
          <w:rStyle w:val="FootnoteReference"/>
          <w:rFonts w:ascii="Times New Roman" w:hAnsi="Times New Roman" w:cs="Times New Roman"/>
        </w:rPr>
        <w:footnoteReference w:id="39"/>
      </w:r>
      <w:r w:rsidR="00435255" w:rsidRPr="004842AA">
        <w:rPr>
          <w:rFonts w:ascii="Times New Roman" w:hAnsi="Times New Roman" w:cs="Times New Roman"/>
        </w:rPr>
        <w:t xml:space="preserve"> </w:t>
      </w:r>
    </w:p>
    <w:p w14:paraId="18446347" w14:textId="4222DB37" w:rsidR="00051C1D" w:rsidRDefault="00435255" w:rsidP="00051C1D">
      <w:pPr>
        <w:ind w:firstLine="720"/>
        <w:jc w:val="both"/>
        <w:rPr>
          <w:rFonts w:ascii="Times New Roman" w:hAnsi="Times New Roman" w:cs="Times New Roman"/>
        </w:rPr>
      </w:pPr>
      <w:r w:rsidRPr="004842AA">
        <w:rPr>
          <w:rFonts w:ascii="Times New Roman" w:hAnsi="Times New Roman" w:cs="Times New Roman"/>
        </w:rPr>
        <w:t xml:space="preserve">Secondly and of equal importance, the Union </w:t>
      </w:r>
      <w:r w:rsidR="00FF3EDB" w:rsidRPr="004842AA">
        <w:rPr>
          <w:rFonts w:ascii="Times New Roman" w:hAnsi="Times New Roman" w:cs="Times New Roman"/>
        </w:rPr>
        <w:t xml:space="preserve">must </w:t>
      </w:r>
      <w:r w:rsidRPr="004842AA">
        <w:rPr>
          <w:rFonts w:ascii="Times New Roman" w:hAnsi="Times New Roman" w:cs="Times New Roman"/>
        </w:rPr>
        <w:t xml:space="preserve">protect the cohesion </w:t>
      </w:r>
      <w:r w:rsidR="00FF3EDB" w:rsidRPr="004842AA">
        <w:rPr>
          <w:rFonts w:ascii="Times New Roman" w:hAnsi="Times New Roman" w:cs="Times New Roman"/>
        </w:rPr>
        <w:t xml:space="preserve">and legitimacy </w:t>
      </w:r>
      <w:r w:rsidRPr="004842AA">
        <w:rPr>
          <w:rFonts w:ascii="Times New Roman" w:hAnsi="Times New Roman" w:cs="Times New Roman"/>
        </w:rPr>
        <w:t xml:space="preserve">of the EU legal order as a whole.  The UK cannot be allowed to enjoy better </w:t>
      </w:r>
      <w:r w:rsidRPr="004842AA">
        <w:rPr>
          <w:rFonts w:ascii="Times New Roman" w:hAnsi="Times New Roman" w:cs="Times New Roman"/>
        </w:rPr>
        <w:lastRenderedPageBreak/>
        <w:t xml:space="preserve">treatment by leaving the Union than it enjoyed as a (particularly privileged) Member State or indeed as compared to the </w:t>
      </w:r>
      <w:r w:rsidR="00FF3EDB" w:rsidRPr="004842AA">
        <w:rPr>
          <w:rFonts w:ascii="Times New Roman" w:hAnsi="Times New Roman" w:cs="Times New Roman"/>
        </w:rPr>
        <w:t xml:space="preserve">situation </w:t>
      </w:r>
      <w:r w:rsidRPr="004842AA">
        <w:rPr>
          <w:rFonts w:ascii="Times New Roman" w:hAnsi="Times New Roman" w:cs="Times New Roman"/>
        </w:rPr>
        <w:t>of the remaining Member States</w:t>
      </w:r>
      <w:r w:rsidR="00CD29F4" w:rsidRPr="004842AA">
        <w:rPr>
          <w:rFonts w:ascii="Times New Roman" w:hAnsi="Times New Roman" w:cs="Times New Roman"/>
        </w:rPr>
        <w:t xml:space="preserve">.  Such concessions </w:t>
      </w:r>
      <w:r w:rsidRPr="004842AA">
        <w:rPr>
          <w:rFonts w:ascii="Times New Roman" w:hAnsi="Times New Roman" w:cs="Times New Roman"/>
        </w:rPr>
        <w:t>could call into question the very principle of Union membership based on the reciprocity of a particularly far-reaching ne</w:t>
      </w:r>
      <w:r w:rsidR="00CD29F4" w:rsidRPr="004842AA">
        <w:rPr>
          <w:rFonts w:ascii="Times New Roman" w:hAnsi="Times New Roman" w:cs="Times New Roman"/>
        </w:rPr>
        <w:t xml:space="preserve">twork of rights and obligations.  It </w:t>
      </w:r>
      <w:r w:rsidRPr="004842AA">
        <w:rPr>
          <w:rFonts w:ascii="Times New Roman" w:hAnsi="Times New Roman" w:cs="Times New Roman"/>
        </w:rPr>
        <w:t xml:space="preserve">would also risk destabilising the Union’s existing relations with a wider range of third countries.  </w:t>
      </w:r>
      <w:r w:rsidR="00363A9C">
        <w:rPr>
          <w:rFonts w:ascii="Times New Roman" w:hAnsi="Times New Roman" w:cs="Times New Roman"/>
        </w:rPr>
        <w:t>So</w:t>
      </w:r>
      <w:r w:rsidR="001E525C">
        <w:rPr>
          <w:rFonts w:ascii="Times New Roman" w:hAnsi="Times New Roman" w:cs="Times New Roman"/>
        </w:rPr>
        <w:t xml:space="preserve"> (for example) </w:t>
      </w:r>
      <w:r w:rsidRPr="004842AA">
        <w:rPr>
          <w:rFonts w:ascii="Times New Roman" w:hAnsi="Times New Roman" w:cs="Times New Roman"/>
        </w:rPr>
        <w:t xml:space="preserve">the European Council recalls that no third country can enjoy the same rights and benefits as a Member State; any agreement with the UK must be based on a balance of rights and </w:t>
      </w:r>
      <w:proofErr w:type="gramStart"/>
      <w:r w:rsidRPr="004842AA">
        <w:rPr>
          <w:rFonts w:ascii="Times New Roman" w:hAnsi="Times New Roman" w:cs="Times New Roman"/>
        </w:rPr>
        <w:t>obligations,</w:t>
      </w:r>
      <w:proofErr w:type="gramEnd"/>
      <w:r w:rsidRPr="004842AA">
        <w:rPr>
          <w:rFonts w:ascii="Times New Roman" w:hAnsi="Times New Roman" w:cs="Times New Roman"/>
        </w:rPr>
        <w:t xml:space="preserve"> ensure a level playing field and preserve the integrity of the Single Market.</w:t>
      </w:r>
      <w:r w:rsidRPr="004842AA">
        <w:rPr>
          <w:rStyle w:val="FootnoteReference"/>
          <w:rFonts w:ascii="Times New Roman" w:hAnsi="Times New Roman" w:cs="Times New Roman"/>
        </w:rPr>
        <w:footnoteReference w:id="40"/>
      </w:r>
      <w:r w:rsidRPr="004842AA">
        <w:rPr>
          <w:rFonts w:ascii="Times New Roman" w:hAnsi="Times New Roman" w:cs="Times New Roman"/>
        </w:rPr>
        <w:t xml:space="preserve">  Again</w:t>
      </w:r>
      <w:r w:rsidR="006861A1">
        <w:rPr>
          <w:rFonts w:ascii="Times New Roman" w:hAnsi="Times New Roman" w:cs="Times New Roman"/>
        </w:rPr>
        <w:t>,</w:t>
      </w:r>
      <w:r w:rsidRPr="004842AA">
        <w:rPr>
          <w:rFonts w:ascii="Times New Roman" w:hAnsi="Times New Roman" w:cs="Times New Roman"/>
        </w:rPr>
        <w:t xml:space="preserve"> those political imperatives </w:t>
      </w:r>
      <w:r w:rsidR="00FF3EDB" w:rsidRPr="004842AA">
        <w:rPr>
          <w:rFonts w:ascii="Times New Roman" w:hAnsi="Times New Roman" w:cs="Times New Roman"/>
        </w:rPr>
        <w:t xml:space="preserve">arguably </w:t>
      </w:r>
      <w:r w:rsidRPr="004842AA">
        <w:rPr>
          <w:rFonts w:ascii="Times New Roman" w:hAnsi="Times New Roman" w:cs="Times New Roman"/>
        </w:rPr>
        <w:t>go beyond the strict legal or technical limits inherent in constitutional principles such as those protecting the autonomy of Union law</w:t>
      </w:r>
      <w:r w:rsidR="00FF3EDB" w:rsidRPr="004842AA">
        <w:rPr>
          <w:rFonts w:ascii="Times New Roman" w:hAnsi="Times New Roman" w:cs="Times New Roman"/>
        </w:rPr>
        <w:t>.</w:t>
      </w:r>
      <w:r w:rsidRPr="004842AA">
        <w:rPr>
          <w:rStyle w:val="FootnoteReference"/>
          <w:rFonts w:ascii="Times New Roman" w:hAnsi="Times New Roman" w:cs="Times New Roman"/>
        </w:rPr>
        <w:footnoteReference w:id="41"/>
      </w:r>
      <w:r w:rsidRPr="004842AA">
        <w:rPr>
          <w:rFonts w:ascii="Times New Roman" w:hAnsi="Times New Roman" w:cs="Times New Roman"/>
        </w:rPr>
        <w:t xml:space="preserve"> </w:t>
      </w:r>
    </w:p>
    <w:p w14:paraId="361876B5" w14:textId="47A71C0B" w:rsidR="00051C1D" w:rsidRDefault="00435255" w:rsidP="00051C1D">
      <w:pPr>
        <w:ind w:firstLine="720"/>
        <w:jc w:val="both"/>
        <w:rPr>
          <w:rFonts w:ascii="Times New Roman" w:hAnsi="Times New Roman" w:cs="Times New Roman"/>
        </w:rPr>
      </w:pPr>
      <w:r w:rsidRPr="004842AA">
        <w:rPr>
          <w:rFonts w:ascii="Times New Roman" w:hAnsi="Times New Roman" w:cs="Times New Roman"/>
        </w:rPr>
        <w:t xml:space="preserve">The Union’s remaining negotiating objectives </w:t>
      </w:r>
      <w:r w:rsidR="007802FA" w:rsidRPr="004842AA">
        <w:rPr>
          <w:rFonts w:ascii="Times New Roman" w:hAnsi="Times New Roman" w:cs="Times New Roman"/>
        </w:rPr>
        <w:t>were</w:t>
      </w:r>
      <w:r w:rsidRPr="004842AA">
        <w:rPr>
          <w:rFonts w:ascii="Times New Roman" w:hAnsi="Times New Roman" w:cs="Times New Roman"/>
        </w:rPr>
        <w:t xml:space="preserve"> to be pursued entirely subject to those two overriding political aims.  Thirdly, the Union </w:t>
      </w:r>
      <w:r w:rsidR="007802FA" w:rsidRPr="004842AA">
        <w:rPr>
          <w:rFonts w:ascii="Times New Roman" w:hAnsi="Times New Roman" w:cs="Times New Roman"/>
        </w:rPr>
        <w:t>would</w:t>
      </w:r>
      <w:r w:rsidRPr="004842AA">
        <w:rPr>
          <w:rFonts w:ascii="Times New Roman" w:hAnsi="Times New Roman" w:cs="Times New Roman"/>
        </w:rPr>
        <w:t xml:space="preserve"> seek to deliver the UK’s withdrawal in a smooth and orderly (rather than</w:t>
      </w:r>
      <w:r w:rsidR="006861A1">
        <w:rPr>
          <w:rFonts w:ascii="Times New Roman" w:hAnsi="Times New Roman" w:cs="Times New Roman"/>
        </w:rPr>
        <w:t xml:space="preserve"> </w:t>
      </w:r>
      <w:r w:rsidRPr="004842AA">
        <w:rPr>
          <w:rFonts w:ascii="Times New Roman" w:hAnsi="Times New Roman" w:cs="Times New Roman"/>
        </w:rPr>
        <w:t>chaotic and damaging) manner – as far as possible, preserving legal certainty and minimising disruption for public authorities, private businesses and individual citizens.  Thus</w:t>
      </w:r>
      <w:r w:rsidR="001E525C">
        <w:rPr>
          <w:rFonts w:ascii="Times New Roman" w:hAnsi="Times New Roman" w:cs="Times New Roman"/>
        </w:rPr>
        <w:t xml:space="preserve"> (for example) </w:t>
      </w:r>
      <w:r w:rsidRPr="004842AA">
        <w:rPr>
          <w:rFonts w:ascii="Times New Roman" w:hAnsi="Times New Roman" w:cs="Times New Roman"/>
        </w:rPr>
        <w:t xml:space="preserve">the April 2017 Guidelines provide that the Article 50 TEU negotiations </w:t>
      </w:r>
      <w:r w:rsidR="008969FE">
        <w:rPr>
          <w:rFonts w:ascii="Times New Roman" w:hAnsi="Times New Roman" w:cs="Times New Roman"/>
        </w:rPr>
        <w:t>should</w:t>
      </w:r>
      <w:r w:rsidRPr="004842AA">
        <w:rPr>
          <w:rFonts w:ascii="Times New Roman" w:hAnsi="Times New Roman" w:cs="Times New Roman"/>
        </w:rPr>
        <w:t xml:space="preserve"> be carefully phased so as to prioritise reaching an agreement that addresses the immediate challenges posed by the very fact of UK withdrawal.</w:t>
      </w:r>
      <w:r w:rsidRPr="004842AA">
        <w:rPr>
          <w:rStyle w:val="FootnoteReference"/>
          <w:rFonts w:ascii="Times New Roman" w:hAnsi="Times New Roman" w:cs="Times New Roman"/>
        </w:rPr>
        <w:footnoteReference w:id="42"/>
      </w:r>
      <w:r w:rsidRPr="004842AA">
        <w:rPr>
          <w:rFonts w:ascii="Times New Roman" w:hAnsi="Times New Roman" w:cs="Times New Roman"/>
        </w:rPr>
        <w:t xml:space="preserve"> </w:t>
      </w:r>
      <w:r w:rsidR="00CD29F4" w:rsidRPr="004842AA">
        <w:rPr>
          <w:rFonts w:ascii="Times New Roman" w:hAnsi="Times New Roman" w:cs="Times New Roman"/>
        </w:rPr>
        <w:t xml:space="preserve"> </w:t>
      </w:r>
      <w:r w:rsidRPr="004842AA">
        <w:rPr>
          <w:rFonts w:ascii="Times New Roman" w:hAnsi="Times New Roman" w:cs="Times New Roman"/>
        </w:rPr>
        <w:t xml:space="preserve">Fourthly and finally: the Union’s longer term objective is to reach a future relationship with the UK that will succeed (if at all possible) in keeping its erstwhile Member State still firmly within the Union’s own legal orbit and sphere of influence.  </w:t>
      </w:r>
      <w:r w:rsidR="00363A9C">
        <w:rPr>
          <w:rFonts w:ascii="Times New Roman" w:hAnsi="Times New Roman" w:cs="Times New Roman"/>
        </w:rPr>
        <w:t>So</w:t>
      </w:r>
      <w:r w:rsidR="001E525C">
        <w:rPr>
          <w:rFonts w:ascii="Times New Roman" w:hAnsi="Times New Roman" w:cs="Times New Roman"/>
        </w:rPr>
        <w:t xml:space="preserve"> (for example) </w:t>
      </w:r>
      <w:r w:rsidRPr="004842AA">
        <w:rPr>
          <w:rFonts w:ascii="Times New Roman" w:hAnsi="Times New Roman" w:cs="Times New Roman"/>
        </w:rPr>
        <w:t>the April 2017 Guidelines insist that</w:t>
      </w:r>
      <w:r w:rsidR="00FF3EDB" w:rsidRPr="004842AA">
        <w:rPr>
          <w:rFonts w:ascii="Times New Roman" w:hAnsi="Times New Roman" w:cs="Times New Roman"/>
        </w:rPr>
        <w:t>, once</w:t>
      </w:r>
      <w:r w:rsidRPr="004842AA">
        <w:rPr>
          <w:rFonts w:ascii="Times New Roman" w:hAnsi="Times New Roman" w:cs="Times New Roman"/>
        </w:rPr>
        <w:t xml:space="preserve"> formal negotiations </w:t>
      </w:r>
      <w:r w:rsidR="00FF3EDB" w:rsidRPr="004842AA">
        <w:rPr>
          <w:rFonts w:ascii="Times New Roman" w:hAnsi="Times New Roman" w:cs="Times New Roman"/>
        </w:rPr>
        <w:t xml:space="preserve">over </w:t>
      </w:r>
      <w:r w:rsidRPr="004842AA">
        <w:rPr>
          <w:rFonts w:ascii="Times New Roman" w:hAnsi="Times New Roman" w:cs="Times New Roman"/>
        </w:rPr>
        <w:t>a new EU-UK relationship commence</w:t>
      </w:r>
      <w:r w:rsidR="00FF3EDB" w:rsidRPr="004842AA">
        <w:rPr>
          <w:rFonts w:ascii="Times New Roman" w:hAnsi="Times New Roman" w:cs="Times New Roman"/>
        </w:rPr>
        <w:t xml:space="preserve">, </w:t>
      </w:r>
      <w:r w:rsidRPr="004842AA">
        <w:rPr>
          <w:rFonts w:ascii="Times New Roman" w:hAnsi="Times New Roman" w:cs="Times New Roman"/>
        </w:rPr>
        <w:t xml:space="preserve">the </w:t>
      </w:r>
      <w:r w:rsidR="00FF3EDB" w:rsidRPr="004842AA">
        <w:rPr>
          <w:rFonts w:ascii="Times New Roman" w:hAnsi="Times New Roman" w:cs="Times New Roman"/>
        </w:rPr>
        <w:t xml:space="preserve">Union’s </w:t>
      </w:r>
      <w:r w:rsidRPr="004842AA">
        <w:rPr>
          <w:rFonts w:ascii="Times New Roman" w:hAnsi="Times New Roman" w:cs="Times New Roman"/>
        </w:rPr>
        <w:t xml:space="preserve">clear desire </w:t>
      </w:r>
      <w:r w:rsidR="00FF3EDB" w:rsidRPr="004842AA">
        <w:rPr>
          <w:rFonts w:ascii="Times New Roman" w:hAnsi="Times New Roman" w:cs="Times New Roman"/>
        </w:rPr>
        <w:t xml:space="preserve">is </w:t>
      </w:r>
      <w:r w:rsidRPr="004842AA">
        <w:rPr>
          <w:rFonts w:ascii="Times New Roman" w:hAnsi="Times New Roman" w:cs="Times New Roman"/>
        </w:rPr>
        <w:t>to have the UK as a close partner into the future.</w:t>
      </w:r>
      <w:r w:rsidRPr="004842AA">
        <w:rPr>
          <w:rStyle w:val="FootnoteReference"/>
          <w:rFonts w:ascii="Times New Roman" w:hAnsi="Times New Roman" w:cs="Times New Roman"/>
        </w:rPr>
        <w:footnoteReference w:id="43"/>
      </w:r>
      <w:r w:rsidRPr="004842AA">
        <w:rPr>
          <w:rFonts w:ascii="Times New Roman" w:hAnsi="Times New Roman" w:cs="Times New Roman"/>
        </w:rPr>
        <w:t xml:space="preserve">  </w:t>
      </w:r>
    </w:p>
    <w:p w14:paraId="1A81F6E0" w14:textId="1EABF63A" w:rsidR="00435255" w:rsidRPr="004842AA" w:rsidRDefault="00435255" w:rsidP="00051C1D">
      <w:pPr>
        <w:ind w:firstLine="720"/>
        <w:jc w:val="both"/>
        <w:rPr>
          <w:rFonts w:ascii="Times New Roman" w:hAnsi="Times New Roman" w:cs="Times New Roman"/>
        </w:rPr>
      </w:pPr>
      <w:r w:rsidRPr="004842AA">
        <w:rPr>
          <w:rFonts w:ascii="Times New Roman" w:hAnsi="Times New Roman" w:cs="Times New Roman"/>
        </w:rPr>
        <w:t>Those four political objectives effectively governed the Union’s entire subsequent interpretation and application of Article 50 TEU as a legal basis for managing the process and outcomes of UK withdrawal.  The Union was always going to be the dominant party in</w:t>
      </w:r>
      <w:r w:rsidR="00FF3EDB" w:rsidRPr="004842AA">
        <w:rPr>
          <w:rFonts w:ascii="Times New Roman" w:hAnsi="Times New Roman" w:cs="Times New Roman"/>
        </w:rPr>
        <w:t xml:space="preserve"> the negotiations</w:t>
      </w:r>
      <w:r w:rsidRPr="004842AA">
        <w:rPr>
          <w:rFonts w:ascii="Times New Roman" w:hAnsi="Times New Roman" w:cs="Times New Roman"/>
        </w:rPr>
        <w:t xml:space="preserve">.  But the EU’s natural position of strength was considerably reinforced and amplified by the </w:t>
      </w:r>
      <w:r w:rsidR="00A072F8">
        <w:rPr>
          <w:rFonts w:ascii="Times New Roman" w:hAnsi="Times New Roman" w:cs="Times New Roman"/>
        </w:rPr>
        <w:t xml:space="preserve">(perhaps surprising) </w:t>
      </w:r>
      <w:r w:rsidRPr="004842AA">
        <w:rPr>
          <w:rFonts w:ascii="Times New Roman" w:hAnsi="Times New Roman" w:cs="Times New Roman"/>
        </w:rPr>
        <w:t xml:space="preserve">determination and success of both the Union institutions and the remaining Member States in defending and promoting their </w:t>
      </w:r>
      <w:r w:rsidR="008969FE">
        <w:rPr>
          <w:rFonts w:ascii="Times New Roman" w:hAnsi="Times New Roman" w:cs="Times New Roman"/>
        </w:rPr>
        <w:t xml:space="preserve">shared </w:t>
      </w:r>
      <w:r w:rsidRPr="004842AA">
        <w:rPr>
          <w:rFonts w:ascii="Times New Roman" w:hAnsi="Times New Roman" w:cs="Times New Roman"/>
        </w:rPr>
        <w:t>fundamental political interests as expressed in the April 2017 Guidelines.</w:t>
      </w:r>
    </w:p>
    <w:p w14:paraId="37DB7BED" w14:textId="77777777" w:rsidR="009F7C0A" w:rsidRPr="004842AA" w:rsidRDefault="009F7C0A" w:rsidP="004842AA">
      <w:pPr>
        <w:jc w:val="both"/>
        <w:rPr>
          <w:rFonts w:ascii="Times New Roman" w:hAnsi="Times New Roman" w:cs="Times New Roman"/>
        </w:rPr>
      </w:pPr>
    </w:p>
    <w:p w14:paraId="4E272FE4" w14:textId="0AEC5150" w:rsidR="008850A9" w:rsidRPr="004842AA" w:rsidRDefault="003522C6" w:rsidP="004842AA">
      <w:pPr>
        <w:jc w:val="both"/>
        <w:rPr>
          <w:rFonts w:ascii="Times New Roman" w:hAnsi="Times New Roman" w:cs="Times New Roman"/>
          <w:i/>
        </w:rPr>
      </w:pPr>
      <w:r w:rsidRPr="004842AA">
        <w:rPr>
          <w:rFonts w:ascii="Times New Roman" w:hAnsi="Times New Roman" w:cs="Times New Roman"/>
          <w:i/>
        </w:rPr>
        <w:t>2.</w:t>
      </w:r>
      <w:r w:rsidR="008850A9" w:rsidRPr="004842AA">
        <w:rPr>
          <w:rFonts w:ascii="Times New Roman" w:hAnsi="Times New Roman" w:cs="Times New Roman"/>
          <w:i/>
        </w:rPr>
        <w:t>2.</w:t>
      </w:r>
      <w:r w:rsidR="008850A9" w:rsidRPr="004842AA">
        <w:rPr>
          <w:rFonts w:ascii="Times New Roman" w:hAnsi="Times New Roman" w:cs="Times New Roman"/>
          <w:i/>
        </w:rPr>
        <w:tab/>
      </w:r>
      <w:r w:rsidR="004209A2" w:rsidRPr="004842AA">
        <w:rPr>
          <w:rFonts w:ascii="Times New Roman" w:hAnsi="Times New Roman" w:cs="Times New Roman"/>
          <w:i/>
        </w:rPr>
        <w:t xml:space="preserve">Legal and political factors affecting the </w:t>
      </w:r>
      <w:r w:rsidR="009F7C0A" w:rsidRPr="004842AA">
        <w:rPr>
          <w:rFonts w:ascii="Times New Roman" w:hAnsi="Times New Roman" w:cs="Times New Roman"/>
          <w:i/>
        </w:rPr>
        <w:t xml:space="preserve">UK </w:t>
      </w:r>
    </w:p>
    <w:p w14:paraId="52917E0D" w14:textId="77777777" w:rsidR="008850A9" w:rsidRPr="004842AA" w:rsidRDefault="008850A9" w:rsidP="004842AA">
      <w:pPr>
        <w:jc w:val="both"/>
        <w:rPr>
          <w:rFonts w:ascii="Times New Roman" w:hAnsi="Times New Roman" w:cs="Times New Roman"/>
        </w:rPr>
      </w:pPr>
    </w:p>
    <w:p w14:paraId="5E48CCBF" w14:textId="0CC47271" w:rsidR="00110C6C" w:rsidRPr="004842AA" w:rsidRDefault="00110C6C" w:rsidP="004842AA">
      <w:pPr>
        <w:jc w:val="both"/>
        <w:rPr>
          <w:rFonts w:ascii="Times New Roman" w:hAnsi="Times New Roman" w:cs="Times New Roman"/>
          <w:i/>
        </w:rPr>
      </w:pPr>
      <w:r w:rsidRPr="004842AA">
        <w:rPr>
          <w:rFonts w:ascii="Times New Roman" w:hAnsi="Times New Roman" w:cs="Times New Roman"/>
          <w:i/>
        </w:rPr>
        <w:t>2.2.1.</w:t>
      </w:r>
      <w:r w:rsidRPr="004842AA">
        <w:rPr>
          <w:rFonts w:ascii="Times New Roman" w:hAnsi="Times New Roman" w:cs="Times New Roman"/>
          <w:i/>
        </w:rPr>
        <w:tab/>
      </w:r>
      <w:proofErr w:type="gramStart"/>
      <w:r w:rsidRPr="004842AA">
        <w:rPr>
          <w:rFonts w:ascii="Times New Roman" w:hAnsi="Times New Roman" w:cs="Times New Roman"/>
          <w:i/>
        </w:rPr>
        <w:t>An</w:t>
      </w:r>
      <w:proofErr w:type="gramEnd"/>
      <w:r w:rsidRPr="004842AA">
        <w:rPr>
          <w:rFonts w:ascii="Times New Roman" w:hAnsi="Times New Roman" w:cs="Times New Roman"/>
          <w:i/>
        </w:rPr>
        <w:t xml:space="preserve"> unorthodox allocation of institutional responsibilities</w:t>
      </w:r>
    </w:p>
    <w:p w14:paraId="29E392C1" w14:textId="77777777" w:rsidR="00110C6C" w:rsidRPr="004842AA" w:rsidRDefault="00110C6C" w:rsidP="004842AA">
      <w:pPr>
        <w:jc w:val="both"/>
        <w:rPr>
          <w:rFonts w:ascii="Times New Roman" w:hAnsi="Times New Roman" w:cs="Times New Roman"/>
        </w:rPr>
      </w:pPr>
    </w:p>
    <w:p w14:paraId="55F68ADA" w14:textId="1A3185FF" w:rsidR="001E525C" w:rsidRDefault="00854CB2" w:rsidP="004842AA">
      <w:pPr>
        <w:jc w:val="both"/>
        <w:rPr>
          <w:rFonts w:ascii="Times New Roman" w:hAnsi="Times New Roman" w:cs="Times New Roman"/>
        </w:rPr>
      </w:pPr>
      <w:r w:rsidRPr="004842AA">
        <w:rPr>
          <w:rFonts w:ascii="Times New Roman" w:hAnsi="Times New Roman" w:cs="Times New Roman"/>
        </w:rPr>
        <w:t xml:space="preserve">Although the Supreme Court in </w:t>
      </w:r>
      <w:r w:rsidR="00696E6F" w:rsidRPr="004842AA">
        <w:rPr>
          <w:rFonts w:ascii="Times New Roman" w:hAnsi="Times New Roman" w:cs="Times New Roman"/>
          <w:i/>
        </w:rPr>
        <w:t xml:space="preserve">Miller </w:t>
      </w:r>
      <w:r w:rsidRPr="004842AA">
        <w:rPr>
          <w:rFonts w:ascii="Times New Roman" w:hAnsi="Times New Roman" w:cs="Times New Roman"/>
        </w:rPr>
        <w:t xml:space="preserve">insisted that the UK’s initial </w:t>
      </w:r>
      <w:r w:rsidR="00696E6F" w:rsidRPr="004842AA">
        <w:rPr>
          <w:rFonts w:ascii="Times New Roman" w:hAnsi="Times New Roman" w:cs="Times New Roman"/>
        </w:rPr>
        <w:t xml:space="preserve">notification </w:t>
      </w:r>
      <w:r w:rsidRPr="004842AA">
        <w:rPr>
          <w:rFonts w:ascii="Times New Roman" w:hAnsi="Times New Roman" w:cs="Times New Roman"/>
        </w:rPr>
        <w:t xml:space="preserve">of intention to withdraw </w:t>
      </w:r>
      <w:r w:rsidR="003522C6" w:rsidRPr="004842AA">
        <w:rPr>
          <w:rFonts w:ascii="Times New Roman" w:hAnsi="Times New Roman" w:cs="Times New Roman"/>
        </w:rPr>
        <w:t xml:space="preserve">must be </w:t>
      </w:r>
      <w:r w:rsidRPr="004842AA">
        <w:rPr>
          <w:rFonts w:ascii="Times New Roman" w:hAnsi="Times New Roman" w:cs="Times New Roman"/>
        </w:rPr>
        <w:t xml:space="preserve">directly </w:t>
      </w:r>
      <w:r w:rsidR="003522C6" w:rsidRPr="004842AA">
        <w:rPr>
          <w:rFonts w:ascii="Times New Roman" w:hAnsi="Times New Roman" w:cs="Times New Roman"/>
        </w:rPr>
        <w:t>authorised by Parliament</w:t>
      </w:r>
      <w:r w:rsidRPr="004842AA">
        <w:rPr>
          <w:rFonts w:ascii="Times New Roman" w:hAnsi="Times New Roman" w:cs="Times New Roman"/>
        </w:rPr>
        <w:t>,</w:t>
      </w:r>
      <w:r w:rsidR="00C76E88" w:rsidRPr="004842AA">
        <w:rPr>
          <w:rStyle w:val="FootnoteReference"/>
          <w:rFonts w:ascii="Times New Roman" w:hAnsi="Times New Roman" w:cs="Times New Roman"/>
        </w:rPr>
        <w:footnoteReference w:id="44"/>
      </w:r>
      <w:r w:rsidRPr="004842AA">
        <w:rPr>
          <w:rFonts w:ascii="Times New Roman" w:hAnsi="Times New Roman" w:cs="Times New Roman"/>
        </w:rPr>
        <w:t xml:space="preserve"> one would then normally expect that the subsequent </w:t>
      </w:r>
      <w:r w:rsidR="001333BA" w:rsidRPr="004842AA">
        <w:rPr>
          <w:rFonts w:ascii="Times New Roman" w:hAnsi="Times New Roman" w:cs="Times New Roman"/>
        </w:rPr>
        <w:t>negotiation</w:t>
      </w:r>
      <w:r w:rsidR="00FC4186" w:rsidRPr="004842AA">
        <w:rPr>
          <w:rFonts w:ascii="Times New Roman" w:hAnsi="Times New Roman" w:cs="Times New Roman"/>
        </w:rPr>
        <w:t>, conclusion</w:t>
      </w:r>
      <w:r w:rsidR="001333BA" w:rsidRPr="004842AA">
        <w:rPr>
          <w:rFonts w:ascii="Times New Roman" w:hAnsi="Times New Roman" w:cs="Times New Roman"/>
        </w:rPr>
        <w:t xml:space="preserve"> </w:t>
      </w:r>
      <w:r w:rsidR="00FC4186" w:rsidRPr="004842AA">
        <w:rPr>
          <w:rFonts w:ascii="Times New Roman" w:hAnsi="Times New Roman" w:cs="Times New Roman"/>
        </w:rPr>
        <w:t xml:space="preserve">and ratification </w:t>
      </w:r>
      <w:r w:rsidR="001333BA" w:rsidRPr="004842AA">
        <w:rPr>
          <w:rFonts w:ascii="Times New Roman" w:hAnsi="Times New Roman" w:cs="Times New Roman"/>
        </w:rPr>
        <w:t xml:space="preserve">of </w:t>
      </w:r>
      <w:r w:rsidRPr="004842AA">
        <w:rPr>
          <w:rFonts w:ascii="Times New Roman" w:hAnsi="Times New Roman" w:cs="Times New Roman"/>
        </w:rPr>
        <w:t xml:space="preserve">any </w:t>
      </w:r>
      <w:r w:rsidRPr="004842AA">
        <w:rPr>
          <w:rFonts w:ascii="Times New Roman" w:hAnsi="Times New Roman" w:cs="Times New Roman"/>
        </w:rPr>
        <w:lastRenderedPageBreak/>
        <w:t xml:space="preserve">international </w:t>
      </w:r>
      <w:r w:rsidR="001333BA" w:rsidRPr="004842AA">
        <w:rPr>
          <w:rFonts w:ascii="Times New Roman" w:hAnsi="Times New Roman" w:cs="Times New Roman"/>
        </w:rPr>
        <w:t xml:space="preserve">agreement </w:t>
      </w:r>
      <w:r w:rsidRPr="004842AA">
        <w:rPr>
          <w:rFonts w:ascii="Times New Roman" w:hAnsi="Times New Roman" w:cs="Times New Roman"/>
        </w:rPr>
        <w:t xml:space="preserve">falls within the prerogatives of the </w:t>
      </w:r>
      <w:r w:rsidR="00696E6F" w:rsidRPr="004842AA">
        <w:rPr>
          <w:rFonts w:ascii="Times New Roman" w:hAnsi="Times New Roman" w:cs="Times New Roman"/>
        </w:rPr>
        <w:t xml:space="preserve">central </w:t>
      </w:r>
      <w:r w:rsidRPr="004842AA">
        <w:rPr>
          <w:rFonts w:ascii="Times New Roman" w:hAnsi="Times New Roman" w:cs="Times New Roman"/>
        </w:rPr>
        <w:t xml:space="preserve">UK </w:t>
      </w:r>
      <w:r w:rsidR="00696E6F" w:rsidRPr="004842AA">
        <w:rPr>
          <w:rFonts w:ascii="Times New Roman" w:hAnsi="Times New Roman" w:cs="Times New Roman"/>
        </w:rPr>
        <w:t>government</w:t>
      </w:r>
      <w:r w:rsidRPr="004842AA">
        <w:rPr>
          <w:rFonts w:ascii="Times New Roman" w:hAnsi="Times New Roman" w:cs="Times New Roman"/>
        </w:rPr>
        <w:t>.</w:t>
      </w:r>
      <w:r w:rsidR="00C76E88" w:rsidRPr="004842AA">
        <w:rPr>
          <w:rStyle w:val="FootnoteReference"/>
          <w:rFonts w:ascii="Times New Roman" w:hAnsi="Times New Roman" w:cs="Times New Roman"/>
        </w:rPr>
        <w:footnoteReference w:id="45"/>
      </w:r>
      <w:r w:rsidRPr="004842AA">
        <w:rPr>
          <w:rFonts w:ascii="Times New Roman" w:hAnsi="Times New Roman" w:cs="Times New Roman"/>
        </w:rPr>
        <w:t xml:space="preserve">  UK law generally provides that Parliament plays only a limited role in the pre-ratification scrutiny of proposed treaties;</w:t>
      </w:r>
      <w:r w:rsidR="00C76E88" w:rsidRPr="004842AA">
        <w:rPr>
          <w:rStyle w:val="FootnoteReference"/>
          <w:rFonts w:ascii="Times New Roman" w:hAnsi="Times New Roman" w:cs="Times New Roman"/>
        </w:rPr>
        <w:footnoteReference w:id="46"/>
      </w:r>
      <w:r w:rsidRPr="004842AA">
        <w:rPr>
          <w:rFonts w:ascii="Times New Roman" w:hAnsi="Times New Roman" w:cs="Times New Roman"/>
        </w:rPr>
        <w:t xml:space="preserve"> its main responsibility lies in the post-ratification implementation of the UK’s international commitments into domestic law.</w:t>
      </w:r>
      <w:r w:rsidR="00C76E88" w:rsidRPr="004842AA">
        <w:rPr>
          <w:rStyle w:val="FootnoteReference"/>
          <w:rFonts w:ascii="Times New Roman" w:hAnsi="Times New Roman" w:cs="Times New Roman"/>
        </w:rPr>
        <w:footnoteReference w:id="47"/>
      </w:r>
      <w:r w:rsidRPr="004842AA">
        <w:rPr>
          <w:rFonts w:ascii="Times New Roman" w:hAnsi="Times New Roman" w:cs="Times New Roman"/>
        </w:rPr>
        <w:t xml:space="preserve">  </w:t>
      </w:r>
    </w:p>
    <w:p w14:paraId="4256EC4B" w14:textId="13936E18" w:rsidR="009D1FD7" w:rsidRPr="004842AA" w:rsidRDefault="00854CB2" w:rsidP="001E525C">
      <w:pPr>
        <w:ind w:firstLine="720"/>
        <w:jc w:val="both"/>
        <w:rPr>
          <w:rFonts w:ascii="Times New Roman" w:hAnsi="Times New Roman" w:cs="Times New Roman"/>
        </w:rPr>
      </w:pPr>
      <w:r w:rsidRPr="004842AA">
        <w:rPr>
          <w:rFonts w:ascii="Times New Roman" w:hAnsi="Times New Roman" w:cs="Times New Roman"/>
        </w:rPr>
        <w:t xml:space="preserve">However, at an early stage in the withdrawal process, even the UK </w:t>
      </w:r>
      <w:r w:rsidR="001333BA" w:rsidRPr="004842AA">
        <w:rPr>
          <w:rFonts w:ascii="Times New Roman" w:hAnsi="Times New Roman" w:cs="Times New Roman"/>
        </w:rPr>
        <w:t xml:space="preserve">Government </w:t>
      </w:r>
      <w:r w:rsidRPr="004842AA">
        <w:rPr>
          <w:rFonts w:ascii="Times New Roman" w:hAnsi="Times New Roman" w:cs="Times New Roman"/>
        </w:rPr>
        <w:t>recognised that this exceptional situation called for a different approach –</w:t>
      </w:r>
      <w:r w:rsidR="00582794" w:rsidRPr="004842AA">
        <w:rPr>
          <w:rFonts w:ascii="Times New Roman" w:hAnsi="Times New Roman" w:cs="Times New Roman"/>
        </w:rPr>
        <w:t xml:space="preserve"> </w:t>
      </w:r>
      <w:r w:rsidRPr="004842AA">
        <w:rPr>
          <w:rFonts w:ascii="Times New Roman" w:hAnsi="Times New Roman" w:cs="Times New Roman"/>
        </w:rPr>
        <w:t xml:space="preserve">promising </w:t>
      </w:r>
      <w:r w:rsidR="00582794" w:rsidRPr="004842AA">
        <w:rPr>
          <w:rFonts w:ascii="Times New Roman" w:hAnsi="Times New Roman" w:cs="Times New Roman"/>
        </w:rPr>
        <w:t xml:space="preserve">(albeit </w:t>
      </w:r>
      <w:r w:rsidR="00134857" w:rsidRPr="004842AA">
        <w:rPr>
          <w:rFonts w:ascii="Times New Roman" w:hAnsi="Times New Roman" w:cs="Times New Roman"/>
        </w:rPr>
        <w:t>obscurely</w:t>
      </w:r>
      <w:r w:rsidR="00582794" w:rsidRPr="004842AA">
        <w:rPr>
          <w:rFonts w:ascii="Times New Roman" w:hAnsi="Times New Roman" w:cs="Times New Roman"/>
        </w:rPr>
        <w:t xml:space="preserve">) </w:t>
      </w:r>
      <w:r w:rsidRPr="004842AA">
        <w:rPr>
          <w:rFonts w:ascii="Times New Roman" w:hAnsi="Times New Roman" w:cs="Times New Roman"/>
        </w:rPr>
        <w:t xml:space="preserve">that any </w:t>
      </w:r>
      <w:r w:rsidR="001333BA" w:rsidRPr="004842AA">
        <w:rPr>
          <w:rFonts w:ascii="Times New Roman" w:hAnsi="Times New Roman" w:cs="Times New Roman"/>
        </w:rPr>
        <w:t xml:space="preserve">draft </w:t>
      </w:r>
      <w:r w:rsidR="00696E6F" w:rsidRPr="004842AA">
        <w:rPr>
          <w:rFonts w:ascii="Times New Roman" w:hAnsi="Times New Roman" w:cs="Times New Roman"/>
        </w:rPr>
        <w:t xml:space="preserve">withdrawal </w:t>
      </w:r>
      <w:r w:rsidR="002A6CF7">
        <w:rPr>
          <w:rFonts w:ascii="Times New Roman" w:hAnsi="Times New Roman" w:cs="Times New Roman"/>
        </w:rPr>
        <w:t>deal</w:t>
      </w:r>
      <w:r w:rsidR="00696E6F" w:rsidRPr="004842AA">
        <w:rPr>
          <w:rFonts w:ascii="Times New Roman" w:hAnsi="Times New Roman" w:cs="Times New Roman"/>
        </w:rPr>
        <w:t xml:space="preserve"> </w:t>
      </w:r>
      <w:r w:rsidR="00582794" w:rsidRPr="004842AA">
        <w:rPr>
          <w:rFonts w:ascii="Times New Roman" w:hAnsi="Times New Roman" w:cs="Times New Roman"/>
        </w:rPr>
        <w:t xml:space="preserve">would </w:t>
      </w:r>
      <w:r w:rsidRPr="004842AA">
        <w:rPr>
          <w:rFonts w:ascii="Times New Roman" w:hAnsi="Times New Roman" w:cs="Times New Roman"/>
        </w:rPr>
        <w:t xml:space="preserve">be </w:t>
      </w:r>
      <w:r w:rsidR="00582794" w:rsidRPr="004842AA">
        <w:rPr>
          <w:rFonts w:ascii="Times New Roman" w:hAnsi="Times New Roman" w:cs="Times New Roman"/>
        </w:rPr>
        <w:t xml:space="preserve">presented to </w:t>
      </w:r>
      <w:r w:rsidRPr="004842AA">
        <w:rPr>
          <w:rFonts w:ascii="Times New Roman" w:hAnsi="Times New Roman" w:cs="Times New Roman"/>
        </w:rPr>
        <w:t xml:space="preserve">Parliament </w:t>
      </w:r>
      <w:r w:rsidR="00582794" w:rsidRPr="004842AA">
        <w:rPr>
          <w:rFonts w:ascii="Times New Roman" w:hAnsi="Times New Roman" w:cs="Times New Roman"/>
        </w:rPr>
        <w:t xml:space="preserve">for approval </w:t>
      </w:r>
      <w:r w:rsidR="001333BA" w:rsidRPr="004842AA">
        <w:rPr>
          <w:rFonts w:ascii="Times New Roman" w:hAnsi="Times New Roman" w:cs="Times New Roman"/>
        </w:rPr>
        <w:t>before its formal conclusion</w:t>
      </w:r>
      <w:r w:rsidRPr="004842AA">
        <w:rPr>
          <w:rFonts w:ascii="Times New Roman" w:hAnsi="Times New Roman" w:cs="Times New Roman"/>
        </w:rPr>
        <w:t>.</w:t>
      </w:r>
      <w:r w:rsidR="00C76E88" w:rsidRPr="004842AA">
        <w:rPr>
          <w:rStyle w:val="FootnoteReference"/>
          <w:rFonts w:ascii="Times New Roman" w:hAnsi="Times New Roman" w:cs="Times New Roman"/>
        </w:rPr>
        <w:footnoteReference w:id="48"/>
      </w:r>
      <w:r w:rsidRPr="004842AA">
        <w:rPr>
          <w:rFonts w:ascii="Times New Roman" w:hAnsi="Times New Roman" w:cs="Times New Roman"/>
        </w:rPr>
        <w:t xml:space="preserve">  After the loss of its parliamentary majority in the </w:t>
      </w:r>
      <w:r w:rsidR="001465B8">
        <w:rPr>
          <w:rFonts w:ascii="Times New Roman" w:hAnsi="Times New Roman" w:cs="Times New Roman"/>
        </w:rPr>
        <w:t>June</w:t>
      </w:r>
      <w:r w:rsidRPr="004842AA">
        <w:rPr>
          <w:rFonts w:ascii="Times New Roman" w:hAnsi="Times New Roman" w:cs="Times New Roman"/>
        </w:rPr>
        <w:t xml:space="preserve"> 2017 general election, the UK Government was forced into further concessions, which were eventually enshrined in section 13 of the European Union (Withdrawal) Act 2018: </w:t>
      </w:r>
      <w:r w:rsidR="00582794" w:rsidRPr="004842AA">
        <w:rPr>
          <w:rFonts w:ascii="Times New Roman" w:hAnsi="Times New Roman" w:cs="Times New Roman"/>
        </w:rPr>
        <w:t xml:space="preserve">any </w:t>
      </w:r>
      <w:r w:rsidRPr="004842AA">
        <w:rPr>
          <w:rFonts w:ascii="Times New Roman" w:hAnsi="Times New Roman" w:cs="Times New Roman"/>
        </w:rPr>
        <w:t>proposed Withdrawal Package (</w:t>
      </w:r>
      <w:r w:rsidR="00050636">
        <w:rPr>
          <w:rFonts w:ascii="Times New Roman" w:hAnsi="Times New Roman" w:cs="Times New Roman"/>
        </w:rPr>
        <w:t xml:space="preserve">formal </w:t>
      </w:r>
      <w:r w:rsidRPr="004842AA">
        <w:rPr>
          <w:rFonts w:ascii="Times New Roman" w:hAnsi="Times New Roman" w:cs="Times New Roman"/>
        </w:rPr>
        <w:t xml:space="preserve">agreement and </w:t>
      </w:r>
      <w:r w:rsidR="00050636">
        <w:rPr>
          <w:rFonts w:ascii="Times New Roman" w:hAnsi="Times New Roman" w:cs="Times New Roman"/>
        </w:rPr>
        <w:t xml:space="preserve">political </w:t>
      </w:r>
      <w:r w:rsidRPr="004842AA">
        <w:rPr>
          <w:rFonts w:ascii="Times New Roman" w:hAnsi="Times New Roman" w:cs="Times New Roman"/>
        </w:rPr>
        <w:t>declaration) must be approved by the House of Commons</w:t>
      </w:r>
      <w:r w:rsidR="00582794" w:rsidRPr="004842AA">
        <w:rPr>
          <w:rFonts w:ascii="Times New Roman" w:hAnsi="Times New Roman" w:cs="Times New Roman"/>
        </w:rPr>
        <w:t xml:space="preserve">; even then, Parliament must adopt the necessary implementing legislation, as well as conduct its normal treaty scrutiny functions, before the Government may proceed to </w:t>
      </w:r>
      <w:r w:rsidR="00050636">
        <w:rPr>
          <w:rFonts w:ascii="Times New Roman" w:hAnsi="Times New Roman" w:cs="Times New Roman"/>
        </w:rPr>
        <w:t xml:space="preserve">final </w:t>
      </w:r>
      <w:r w:rsidR="00582794" w:rsidRPr="004842AA">
        <w:rPr>
          <w:rFonts w:ascii="Times New Roman" w:hAnsi="Times New Roman" w:cs="Times New Roman"/>
        </w:rPr>
        <w:t>ratification of the Agreement.</w:t>
      </w:r>
      <w:r w:rsidR="00C76E88" w:rsidRPr="004842AA">
        <w:rPr>
          <w:rStyle w:val="FootnoteReference"/>
          <w:rFonts w:ascii="Times New Roman" w:hAnsi="Times New Roman" w:cs="Times New Roman"/>
        </w:rPr>
        <w:footnoteReference w:id="49"/>
      </w:r>
      <w:r w:rsidR="00582794" w:rsidRPr="004842AA">
        <w:rPr>
          <w:rFonts w:ascii="Times New Roman" w:hAnsi="Times New Roman" w:cs="Times New Roman"/>
        </w:rPr>
        <w:t xml:space="preserve">  The section 13 process decisively changed the institutional dynamic of the UK’s engagement in the Article 50 TEU process – though it is worth noting that Parliament also sought to influence the conduct of the withdrawal negoti</w:t>
      </w:r>
      <w:r w:rsidR="00050636">
        <w:rPr>
          <w:rFonts w:ascii="Times New Roman" w:hAnsi="Times New Roman" w:cs="Times New Roman"/>
        </w:rPr>
        <w:t>ations through additional means:</w:t>
      </w:r>
      <w:r w:rsidR="00582794" w:rsidRPr="004842AA">
        <w:rPr>
          <w:rFonts w:ascii="Times New Roman" w:hAnsi="Times New Roman" w:cs="Times New Roman"/>
        </w:rPr>
        <w:t xml:space="preserve"> for example, by issuing various statutory instructions about how the Government should approach discussions over the Northern Irish border.</w:t>
      </w:r>
      <w:r w:rsidR="00582794" w:rsidRPr="004842AA">
        <w:rPr>
          <w:rStyle w:val="FootnoteReference"/>
          <w:rFonts w:ascii="Times New Roman" w:hAnsi="Times New Roman" w:cs="Times New Roman"/>
        </w:rPr>
        <w:footnoteReference w:id="50"/>
      </w:r>
      <w:r w:rsidR="00134857" w:rsidRPr="004842AA">
        <w:rPr>
          <w:rFonts w:ascii="Times New Roman" w:hAnsi="Times New Roman" w:cs="Times New Roman"/>
        </w:rPr>
        <w:t xml:space="preserve"> </w:t>
      </w:r>
    </w:p>
    <w:p w14:paraId="1BB3DB08" w14:textId="77777777" w:rsidR="009D1FD7" w:rsidRPr="004842AA" w:rsidRDefault="009D1FD7" w:rsidP="004842AA">
      <w:pPr>
        <w:jc w:val="both"/>
        <w:rPr>
          <w:rFonts w:ascii="Times New Roman" w:hAnsi="Times New Roman" w:cs="Times New Roman"/>
        </w:rPr>
      </w:pPr>
    </w:p>
    <w:p w14:paraId="68F3042F" w14:textId="08279736" w:rsidR="00110C6C" w:rsidRPr="004842AA" w:rsidRDefault="00110C6C" w:rsidP="004842AA">
      <w:pPr>
        <w:jc w:val="both"/>
        <w:rPr>
          <w:rFonts w:ascii="Times New Roman" w:hAnsi="Times New Roman" w:cs="Times New Roman"/>
          <w:i/>
        </w:rPr>
      </w:pPr>
      <w:r w:rsidRPr="004842AA">
        <w:rPr>
          <w:rFonts w:ascii="Times New Roman" w:hAnsi="Times New Roman" w:cs="Times New Roman"/>
          <w:i/>
        </w:rPr>
        <w:t>2.2.2.</w:t>
      </w:r>
      <w:r w:rsidRPr="004842AA">
        <w:rPr>
          <w:rFonts w:ascii="Times New Roman" w:hAnsi="Times New Roman" w:cs="Times New Roman"/>
          <w:i/>
        </w:rPr>
        <w:tab/>
      </w:r>
      <w:proofErr w:type="gramStart"/>
      <w:r w:rsidRPr="004842AA">
        <w:rPr>
          <w:rFonts w:ascii="Times New Roman" w:hAnsi="Times New Roman" w:cs="Times New Roman"/>
          <w:i/>
        </w:rPr>
        <w:t>An</w:t>
      </w:r>
      <w:proofErr w:type="gramEnd"/>
      <w:r w:rsidRPr="004842AA">
        <w:rPr>
          <w:rFonts w:ascii="Times New Roman" w:hAnsi="Times New Roman" w:cs="Times New Roman"/>
          <w:i/>
        </w:rPr>
        <w:t xml:space="preserve"> unusual degree of political instability and incoherence</w:t>
      </w:r>
      <w:r w:rsidRPr="004842AA">
        <w:rPr>
          <w:rFonts w:ascii="Times New Roman" w:hAnsi="Times New Roman" w:cs="Times New Roman"/>
          <w:i/>
        </w:rPr>
        <w:tab/>
      </w:r>
    </w:p>
    <w:p w14:paraId="4DF477C8" w14:textId="77777777" w:rsidR="00110C6C" w:rsidRPr="004842AA" w:rsidRDefault="00110C6C" w:rsidP="004842AA">
      <w:pPr>
        <w:jc w:val="both"/>
        <w:rPr>
          <w:rFonts w:ascii="Times New Roman" w:hAnsi="Times New Roman" w:cs="Times New Roman"/>
        </w:rPr>
      </w:pPr>
    </w:p>
    <w:p w14:paraId="2A42A3A1" w14:textId="1A0FE9E5" w:rsidR="001E525C" w:rsidRDefault="00134857" w:rsidP="004842AA">
      <w:pPr>
        <w:jc w:val="both"/>
        <w:rPr>
          <w:rFonts w:ascii="Times New Roman" w:hAnsi="Times New Roman" w:cs="Times New Roman"/>
        </w:rPr>
      </w:pPr>
      <w:r w:rsidRPr="004842AA">
        <w:rPr>
          <w:rFonts w:ascii="Times New Roman" w:hAnsi="Times New Roman" w:cs="Times New Roman"/>
        </w:rPr>
        <w:t xml:space="preserve">Managing the Article 50 TEU process may well have prompted the UK into some unorthodox constitutional experiments.  But </w:t>
      </w:r>
      <w:r w:rsidR="00BD0EF1">
        <w:rPr>
          <w:rFonts w:ascii="Times New Roman" w:hAnsi="Times New Roman" w:cs="Times New Roman"/>
        </w:rPr>
        <w:t>in addition</w:t>
      </w:r>
      <w:r w:rsidRPr="004842AA">
        <w:rPr>
          <w:rFonts w:ascii="Times New Roman" w:hAnsi="Times New Roman" w:cs="Times New Roman"/>
        </w:rPr>
        <w:t xml:space="preserve">, Brexit </w:t>
      </w:r>
      <w:r w:rsidR="00BD0EF1">
        <w:rPr>
          <w:rFonts w:ascii="Times New Roman" w:hAnsi="Times New Roman" w:cs="Times New Roman"/>
        </w:rPr>
        <w:t xml:space="preserve">rather dented </w:t>
      </w:r>
      <w:r w:rsidRPr="004842AA">
        <w:rPr>
          <w:rFonts w:ascii="Times New Roman" w:hAnsi="Times New Roman" w:cs="Times New Roman"/>
        </w:rPr>
        <w:t>the UK’s reputation for stable</w:t>
      </w:r>
      <w:r w:rsidR="00A072F8">
        <w:rPr>
          <w:rFonts w:ascii="Times New Roman" w:hAnsi="Times New Roman" w:cs="Times New Roman"/>
        </w:rPr>
        <w:t xml:space="preserve"> and </w:t>
      </w:r>
      <w:r w:rsidRPr="004842AA">
        <w:rPr>
          <w:rFonts w:ascii="Times New Roman" w:hAnsi="Times New Roman" w:cs="Times New Roman"/>
        </w:rPr>
        <w:t xml:space="preserve">competent government.  The political </w:t>
      </w:r>
      <w:proofErr w:type="gramStart"/>
      <w:r w:rsidRPr="004842AA">
        <w:rPr>
          <w:rFonts w:ascii="Times New Roman" w:hAnsi="Times New Roman" w:cs="Times New Roman"/>
        </w:rPr>
        <w:t>chaos which immediately followed the June 2016 referendum</w:t>
      </w:r>
      <w:proofErr w:type="gramEnd"/>
      <w:r w:rsidRPr="004842AA">
        <w:rPr>
          <w:rFonts w:ascii="Times New Roman" w:hAnsi="Times New Roman" w:cs="Times New Roman"/>
        </w:rPr>
        <w:t xml:space="preserve"> revealed the full extent of the </w:t>
      </w:r>
      <w:r w:rsidR="00FC4186" w:rsidRPr="004842AA">
        <w:rPr>
          <w:rFonts w:ascii="Times New Roman" w:hAnsi="Times New Roman" w:cs="Times New Roman"/>
        </w:rPr>
        <w:t xml:space="preserve">Government’s lack of preparation </w:t>
      </w:r>
      <w:r w:rsidRPr="004842AA">
        <w:rPr>
          <w:rFonts w:ascii="Times New Roman" w:hAnsi="Times New Roman" w:cs="Times New Roman"/>
        </w:rPr>
        <w:t xml:space="preserve">or </w:t>
      </w:r>
      <w:r w:rsidR="00FC4186" w:rsidRPr="004842AA">
        <w:rPr>
          <w:rFonts w:ascii="Times New Roman" w:hAnsi="Times New Roman" w:cs="Times New Roman"/>
        </w:rPr>
        <w:t xml:space="preserve">planning </w:t>
      </w:r>
      <w:r w:rsidRPr="004842AA">
        <w:rPr>
          <w:rFonts w:ascii="Times New Roman" w:hAnsi="Times New Roman" w:cs="Times New Roman"/>
        </w:rPr>
        <w:t xml:space="preserve">for a Leave victory.  </w:t>
      </w:r>
      <w:r w:rsidR="003B566A" w:rsidRPr="004842AA">
        <w:rPr>
          <w:rFonts w:ascii="Times New Roman" w:hAnsi="Times New Roman" w:cs="Times New Roman"/>
        </w:rPr>
        <w:t xml:space="preserve">For their part, the </w:t>
      </w:r>
      <w:r w:rsidRPr="004842AA">
        <w:rPr>
          <w:rFonts w:ascii="Times New Roman" w:hAnsi="Times New Roman" w:cs="Times New Roman"/>
        </w:rPr>
        <w:t xml:space="preserve">leading advocates of withdrawal had failed to offer any credible and coherent vision for the future, preferring to flood the public domain with a torrent of vague, </w:t>
      </w:r>
      <w:r w:rsidR="00FC4186" w:rsidRPr="004842AA">
        <w:rPr>
          <w:rFonts w:ascii="Times New Roman" w:hAnsi="Times New Roman" w:cs="Times New Roman"/>
        </w:rPr>
        <w:t xml:space="preserve">contradictory and undeliverable promises.  </w:t>
      </w:r>
      <w:r w:rsidR="003B566A" w:rsidRPr="004842AA">
        <w:rPr>
          <w:rFonts w:ascii="Times New Roman" w:hAnsi="Times New Roman" w:cs="Times New Roman"/>
        </w:rPr>
        <w:t xml:space="preserve">When the Government eventually </w:t>
      </w:r>
      <w:r w:rsidR="00A072F8">
        <w:rPr>
          <w:rFonts w:ascii="Times New Roman" w:hAnsi="Times New Roman" w:cs="Times New Roman"/>
        </w:rPr>
        <w:t>bega</w:t>
      </w:r>
      <w:r w:rsidR="003B566A" w:rsidRPr="004842AA">
        <w:rPr>
          <w:rFonts w:ascii="Times New Roman" w:hAnsi="Times New Roman" w:cs="Times New Roman"/>
        </w:rPr>
        <w:t xml:space="preserve">n to define its position, albeit without any serious parliamentary or public discussion, it </w:t>
      </w:r>
      <w:r w:rsidR="00AB0F5C" w:rsidRPr="004842AA">
        <w:rPr>
          <w:rFonts w:ascii="Times New Roman" w:hAnsi="Times New Roman" w:cs="Times New Roman"/>
        </w:rPr>
        <w:t xml:space="preserve">insisted </w:t>
      </w:r>
      <w:r w:rsidR="003B566A" w:rsidRPr="004842AA">
        <w:rPr>
          <w:rFonts w:ascii="Times New Roman" w:hAnsi="Times New Roman" w:cs="Times New Roman"/>
        </w:rPr>
        <w:t xml:space="preserve">that </w:t>
      </w:r>
      <w:r w:rsidR="00995C3F">
        <w:rPr>
          <w:rFonts w:ascii="Times New Roman" w:hAnsi="Times New Roman" w:cs="Times New Roman"/>
        </w:rPr>
        <w:t>withdrawal</w:t>
      </w:r>
      <w:r w:rsidR="003B566A" w:rsidRPr="004842AA">
        <w:rPr>
          <w:rFonts w:ascii="Times New Roman" w:hAnsi="Times New Roman" w:cs="Times New Roman"/>
        </w:rPr>
        <w:t xml:space="preserve"> should lead to a much more distant EU-UK relationship – “taking back control of our </w:t>
      </w:r>
      <w:r w:rsidR="00A072F8">
        <w:rPr>
          <w:rFonts w:ascii="Times New Roman" w:hAnsi="Times New Roman" w:cs="Times New Roman"/>
        </w:rPr>
        <w:t xml:space="preserve">borders, </w:t>
      </w:r>
      <w:r w:rsidR="003B566A" w:rsidRPr="004842AA">
        <w:rPr>
          <w:rFonts w:ascii="Times New Roman" w:hAnsi="Times New Roman" w:cs="Times New Roman"/>
        </w:rPr>
        <w:t>money</w:t>
      </w:r>
      <w:r w:rsidR="00A072F8">
        <w:rPr>
          <w:rFonts w:ascii="Times New Roman" w:hAnsi="Times New Roman" w:cs="Times New Roman"/>
        </w:rPr>
        <w:t xml:space="preserve"> and </w:t>
      </w:r>
      <w:r w:rsidR="003B566A" w:rsidRPr="004842AA">
        <w:rPr>
          <w:rFonts w:ascii="Times New Roman" w:hAnsi="Times New Roman" w:cs="Times New Roman"/>
        </w:rPr>
        <w:lastRenderedPageBreak/>
        <w:t>laws”</w:t>
      </w:r>
      <w:r w:rsidR="00995C3F">
        <w:rPr>
          <w:rFonts w:ascii="Times New Roman" w:hAnsi="Times New Roman" w:cs="Times New Roman"/>
        </w:rPr>
        <w:t>, to use the phrase which came to define just how “Brexit means Brexit”</w:t>
      </w:r>
      <w:r w:rsidR="003B566A" w:rsidRPr="004842AA">
        <w:rPr>
          <w:rFonts w:ascii="Times New Roman" w:hAnsi="Times New Roman" w:cs="Times New Roman"/>
        </w:rPr>
        <w:t xml:space="preserve"> </w:t>
      </w:r>
      <w:r w:rsidR="00995C3F">
        <w:rPr>
          <w:rFonts w:ascii="Times New Roman" w:hAnsi="Times New Roman" w:cs="Times New Roman"/>
        </w:rPr>
        <w:t>– which involved</w:t>
      </w:r>
      <w:r w:rsidR="003B566A" w:rsidRPr="004842AA">
        <w:rPr>
          <w:rFonts w:ascii="Times New Roman" w:hAnsi="Times New Roman" w:cs="Times New Roman"/>
        </w:rPr>
        <w:t xml:space="preserve"> leaving not just the Union but also the Customs Union and Single Market.</w:t>
      </w:r>
      <w:r w:rsidR="00C80E78" w:rsidRPr="004842AA">
        <w:rPr>
          <w:rStyle w:val="FootnoteReference"/>
          <w:rFonts w:ascii="Times New Roman" w:hAnsi="Times New Roman" w:cs="Times New Roman"/>
        </w:rPr>
        <w:footnoteReference w:id="51"/>
      </w:r>
    </w:p>
    <w:p w14:paraId="71C358A6" w14:textId="0BA766EC" w:rsidR="001E525C" w:rsidRDefault="00AB0F5C" w:rsidP="001E525C">
      <w:pPr>
        <w:ind w:firstLine="720"/>
        <w:jc w:val="both"/>
        <w:rPr>
          <w:rFonts w:ascii="Times New Roman" w:hAnsi="Times New Roman" w:cs="Times New Roman"/>
        </w:rPr>
      </w:pPr>
      <w:r w:rsidRPr="004842AA">
        <w:rPr>
          <w:rFonts w:ascii="Times New Roman" w:hAnsi="Times New Roman" w:cs="Times New Roman"/>
        </w:rPr>
        <w:t xml:space="preserve">Once </w:t>
      </w:r>
      <w:r w:rsidR="00FC4186" w:rsidRPr="004842AA">
        <w:rPr>
          <w:rFonts w:ascii="Times New Roman" w:hAnsi="Times New Roman" w:cs="Times New Roman"/>
        </w:rPr>
        <w:t xml:space="preserve">again, </w:t>
      </w:r>
      <w:r w:rsidRPr="004842AA">
        <w:rPr>
          <w:rFonts w:ascii="Times New Roman" w:hAnsi="Times New Roman" w:cs="Times New Roman"/>
        </w:rPr>
        <w:t xml:space="preserve">however, the </w:t>
      </w:r>
      <w:r w:rsidR="001465B8">
        <w:rPr>
          <w:rFonts w:ascii="Times New Roman" w:hAnsi="Times New Roman" w:cs="Times New Roman"/>
        </w:rPr>
        <w:t>June</w:t>
      </w:r>
      <w:r w:rsidRPr="004842AA">
        <w:rPr>
          <w:rFonts w:ascii="Times New Roman" w:hAnsi="Times New Roman" w:cs="Times New Roman"/>
        </w:rPr>
        <w:t xml:space="preserve"> </w:t>
      </w:r>
      <w:r w:rsidR="00FC4186" w:rsidRPr="004842AA">
        <w:rPr>
          <w:rFonts w:ascii="Times New Roman" w:hAnsi="Times New Roman" w:cs="Times New Roman"/>
        </w:rPr>
        <w:t xml:space="preserve">2017 general election </w:t>
      </w:r>
      <w:r w:rsidRPr="004842AA">
        <w:rPr>
          <w:rFonts w:ascii="Times New Roman" w:hAnsi="Times New Roman" w:cs="Times New Roman"/>
        </w:rPr>
        <w:t xml:space="preserve">proved a decisive moment.  </w:t>
      </w:r>
      <w:r w:rsidR="00C80E78" w:rsidRPr="004842AA">
        <w:rPr>
          <w:rFonts w:ascii="Times New Roman" w:hAnsi="Times New Roman" w:cs="Times New Roman"/>
        </w:rPr>
        <w:t>Rather than</w:t>
      </w:r>
      <w:r w:rsidRPr="004842AA">
        <w:rPr>
          <w:rFonts w:ascii="Times New Roman" w:hAnsi="Times New Roman" w:cs="Times New Roman"/>
        </w:rPr>
        <w:t xml:space="preserve"> </w:t>
      </w:r>
      <w:r w:rsidR="00C80E78" w:rsidRPr="004842AA">
        <w:rPr>
          <w:rFonts w:ascii="Times New Roman" w:hAnsi="Times New Roman" w:cs="Times New Roman"/>
        </w:rPr>
        <w:t>admit</w:t>
      </w:r>
      <w:r w:rsidRPr="004842AA">
        <w:rPr>
          <w:rFonts w:ascii="Times New Roman" w:hAnsi="Times New Roman" w:cs="Times New Roman"/>
        </w:rPr>
        <w:t xml:space="preserve"> that the public had recoiled from the Government’s </w:t>
      </w:r>
      <w:proofErr w:type="spellStart"/>
      <w:r w:rsidRPr="004842AA">
        <w:rPr>
          <w:rFonts w:ascii="Times New Roman" w:hAnsi="Times New Roman" w:cs="Times New Roman"/>
        </w:rPr>
        <w:t>hardline</w:t>
      </w:r>
      <w:proofErr w:type="spellEnd"/>
      <w:r w:rsidRPr="004842AA">
        <w:rPr>
          <w:rFonts w:ascii="Times New Roman" w:hAnsi="Times New Roman" w:cs="Times New Roman"/>
        </w:rPr>
        <w:t xml:space="preserve"> interpretation of th</w:t>
      </w:r>
      <w:r w:rsidR="00C60126">
        <w:rPr>
          <w:rFonts w:ascii="Times New Roman" w:hAnsi="Times New Roman" w:cs="Times New Roman"/>
        </w:rPr>
        <w:t>e referendum result, and seek</w:t>
      </w:r>
      <w:r w:rsidRPr="004842AA">
        <w:rPr>
          <w:rFonts w:ascii="Times New Roman" w:hAnsi="Times New Roman" w:cs="Times New Roman"/>
        </w:rPr>
        <w:t xml:space="preserve"> to engage in </w:t>
      </w:r>
      <w:r w:rsidR="00FC4186" w:rsidRPr="004842AA">
        <w:rPr>
          <w:rFonts w:ascii="Times New Roman" w:hAnsi="Times New Roman" w:cs="Times New Roman"/>
        </w:rPr>
        <w:t xml:space="preserve">cross-party dialogue </w:t>
      </w:r>
      <w:r w:rsidRPr="004842AA">
        <w:rPr>
          <w:rFonts w:ascii="Times New Roman" w:hAnsi="Times New Roman" w:cs="Times New Roman"/>
        </w:rPr>
        <w:t xml:space="preserve">with a view to building some meaningful </w:t>
      </w:r>
      <w:r w:rsidR="00FC4186" w:rsidRPr="004842AA">
        <w:rPr>
          <w:rFonts w:ascii="Times New Roman" w:hAnsi="Times New Roman" w:cs="Times New Roman"/>
        </w:rPr>
        <w:t>consensus</w:t>
      </w:r>
      <w:r w:rsidRPr="004842AA">
        <w:rPr>
          <w:rFonts w:ascii="Times New Roman" w:hAnsi="Times New Roman" w:cs="Times New Roman"/>
        </w:rPr>
        <w:t xml:space="preserve"> on an alternative way forward</w:t>
      </w:r>
      <w:r w:rsidR="00FC4186" w:rsidRPr="004842AA">
        <w:rPr>
          <w:rFonts w:ascii="Times New Roman" w:hAnsi="Times New Roman" w:cs="Times New Roman"/>
        </w:rPr>
        <w:t xml:space="preserve">, </w:t>
      </w:r>
      <w:r w:rsidRPr="004842AA">
        <w:rPr>
          <w:rFonts w:ascii="Times New Roman" w:hAnsi="Times New Roman" w:cs="Times New Roman"/>
        </w:rPr>
        <w:t xml:space="preserve">Prime Minister May </w:t>
      </w:r>
      <w:r w:rsidR="00C80E78" w:rsidRPr="004842AA">
        <w:rPr>
          <w:rFonts w:ascii="Times New Roman" w:hAnsi="Times New Roman" w:cs="Times New Roman"/>
        </w:rPr>
        <w:t xml:space="preserve">instead </w:t>
      </w:r>
      <w:r w:rsidRPr="004842AA">
        <w:rPr>
          <w:rFonts w:ascii="Times New Roman" w:hAnsi="Times New Roman" w:cs="Times New Roman"/>
        </w:rPr>
        <w:t xml:space="preserve">preferred to focus her efforts on maintaining the fragile coalition between moderates and extremists within </w:t>
      </w:r>
      <w:r w:rsidR="006861A1">
        <w:rPr>
          <w:rFonts w:ascii="Times New Roman" w:hAnsi="Times New Roman" w:cs="Times New Roman"/>
        </w:rPr>
        <w:t>her</w:t>
      </w:r>
      <w:r w:rsidRPr="004842AA">
        <w:rPr>
          <w:rFonts w:ascii="Times New Roman" w:hAnsi="Times New Roman" w:cs="Times New Roman"/>
        </w:rPr>
        <w:t xml:space="preserve"> own Conservative Party</w:t>
      </w:r>
      <w:r w:rsidR="00C80E78" w:rsidRPr="004842AA">
        <w:rPr>
          <w:rFonts w:ascii="Times New Roman" w:hAnsi="Times New Roman" w:cs="Times New Roman"/>
        </w:rPr>
        <w:t xml:space="preserve"> – </w:t>
      </w:r>
      <w:r w:rsidRPr="004842AA">
        <w:rPr>
          <w:rFonts w:ascii="Times New Roman" w:hAnsi="Times New Roman" w:cs="Times New Roman"/>
        </w:rPr>
        <w:t xml:space="preserve">forming a minority administration </w:t>
      </w:r>
      <w:r w:rsidR="00C80E78" w:rsidRPr="004842AA">
        <w:rPr>
          <w:rFonts w:ascii="Times New Roman" w:hAnsi="Times New Roman" w:cs="Times New Roman"/>
        </w:rPr>
        <w:t>that was</w:t>
      </w:r>
      <w:r w:rsidR="00C60126">
        <w:rPr>
          <w:rFonts w:ascii="Times New Roman" w:hAnsi="Times New Roman" w:cs="Times New Roman"/>
        </w:rPr>
        <w:t>, moreover,</w:t>
      </w:r>
      <w:r w:rsidR="00C80E78" w:rsidRPr="004842AA">
        <w:rPr>
          <w:rFonts w:ascii="Times New Roman" w:hAnsi="Times New Roman" w:cs="Times New Roman"/>
        </w:rPr>
        <w:t xml:space="preserve"> only </w:t>
      </w:r>
      <w:r w:rsidRPr="004842AA">
        <w:rPr>
          <w:rFonts w:ascii="Times New Roman" w:hAnsi="Times New Roman" w:cs="Times New Roman"/>
        </w:rPr>
        <w:t xml:space="preserve">propped up in power </w:t>
      </w:r>
      <w:r w:rsidR="00C80E78" w:rsidRPr="004842AA">
        <w:rPr>
          <w:rFonts w:ascii="Times New Roman" w:hAnsi="Times New Roman" w:cs="Times New Roman"/>
        </w:rPr>
        <w:t xml:space="preserve">through </w:t>
      </w:r>
      <w:r w:rsidRPr="004842AA">
        <w:rPr>
          <w:rFonts w:ascii="Times New Roman" w:hAnsi="Times New Roman" w:cs="Times New Roman"/>
        </w:rPr>
        <w:t xml:space="preserve">the </w:t>
      </w:r>
      <w:r w:rsidR="00FC4186" w:rsidRPr="004842AA">
        <w:rPr>
          <w:rFonts w:ascii="Times New Roman" w:hAnsi="Times New Roman" w:cs="Times New Roman"/>
        </w:rPr>
        <w:t xml:space="preserve">support of </w:t>
      </w:r>
      <w:r w:rsidRPr="004842AA">
        <w:rPr>
          <w:rFonts w:ascii="Times New Roman" w:hAnsi="Times New Roman" w:cs="Times New Roman"/>
        </w:rPr>
        <w:t xml:space="preserve">the </w:t>
      </w:r>
      <w:r w:rsidR="00FC4186" w:rsidRPr="004842AA">
        <w:rPr>
          <w:rFonts w:ascii="Times New Roman" w:hAnsi="Times New Roman" w:cs="Times New Roman"/>
        </w:rPr>
        <w:t>D</w:t>
      </w:r>
      <w:r w:rsidRPr="004842AA">
        <w:rPr>
          <w:rFonts w:ascii="Times New Roman" w:hAnsi="Times New Roman" w:cs="Times New Roman"/>
        </w:rPr>
        <w:t xml:space="preserve">emocratic </w:t>
      </w:r>
      <w:r w:rsidR="00FC4186" w:rsidRPr="004842AA">
        <w:rPr>
          <w:rFonts w:ascii="Times New Roman" w:hAnsi="Times New Roman" w:cs="Times New Roman"/>
        </w:rPr>
        <w:t>U</w:t>
      </w:r>
      <w:r w:rsidRPr="004842AA">
        <w:rPr>
          <w:rFonts w:ascii="Times New Roman" w:hAnsi="Times New Roman" w:cs="Times New Roman"/>
        </w:rPr>
        <w:t xml:space="preserve">nionist </w:t>
      </w:r>
      <w:r w:rsidR="00FC4186" w:rsidRPr="004842AA">
        <w:rPr>
          <w:rFonts w:ascii="Times New Roman" w:hAnsi="Times New Roman" w:cs="Times New Roman"/>
        </w:rPr>
        <w:t>P</w:t>
      </w:r>
      <w:r w:rsidRPr="004842AA">
        <w:rPr>
          <w:rFonts w:ascii="Times New Roman" w:hAnsi="Times New Roman" w:cs="Times New Roman"/>
        </w:rPr>
        <w:t>arty</w:t>
      </w:r>
      <w:r w:rsidR="00FC4186" w:rsidRPr="004842AA">
        <w:rPr>
          <w:rFonts w:ascii="Times New Roman" w:hAnsi="Times New Roman" w:cs="Times New Roman"/>
        </w:rPr>
        <w:t xml:space="preserve"> </w:t>
      </w:r>
      <w:r w:rsidRPr="004842AA">
        <w:rPr>
          <w:rFonts w:ascii="Times New Roman" w:hAnsi="Times New Roman" w:cs="Times New Roman"/>
        </w:rPr>
        <w:t xml:space="preserve">– </w:t>
      </w:r>
      <w:r w:rsidR="00C80E78" w:rsidRPr="004842AA">
        <w:rPr>
          <w:rFonts w:ascii="Times New Roman" w:hAnsi="Times New Roman" w:cs="Times New Roman"/>
        </w:rPr>
        <w:t xml:space="preserve">a hard </w:t>
      </w:r>
      <w:r w:rsidRPr="004842AA">
        <w:rPr>
          <w:rFonts w:ascii="Times New Roman" w:hAnsi="Times New Roman" w:cs="Times New Roman"/>
        </w:rPr>
        <w:t xml:space="preserve">right, pro-leave, </w:t>
      </w:r>
      <w:r w:rsidR="00C80E78" w:rsidRPr="004842AA">
        <w:rPr>
          <w:rFonts w:ascii="Times New Roman" w:hAnsi="Times New Roman" w:cs="Times New Roman"/>
        </w:rPr>
        <w:t>essentially sectarian (protestant) and certainly partisan (l</w:t>
      </w:r>
      <w:r w:rsidRPr="004842AA">
        <w:rPr>
          <w:rFonts w:ascii="Times New Roman" w:hAnsi="Times New Roman" w:cs="Times New Roman"/>
        </w:rPr>
        <w:t>oyalist</w:t>
      </w:r>
      <w:r w:rsidR="00C80E78" w:rsidRPr="004842AA">
        <w:rPr>
          <w:rFonts w:ascii="Times New Roman" w:hAnsi="Times New Roman" w:cs="Times New Roman"/>
        </w:rPr>
        <w:t>) party from Northern Ireland</w:t>
      </w:r>
      <w:r w:rsidR="00FC4186" w:rsidRPr="004842AA">
        <w:rPr>
          <w:rFonts w:ascii="Times New Roman" w:hAnsi="Times New Roman" w:cs="Times New Roman"/>
        </w:rPr>
        <w:t>.</w:t>
      </w:r>
      <w:r w:rsidR="00C76E88" w:rsidRPr="004842AA">
        <w:rPr>
          <w:rStyle w:val="FootnoteReference"/>
          <w:rFonts w:ascii="Times New Roman" w:hAnsi="Times New Roman" w:cs="Times New Roman"/>
        </w:rPr>
        <w:footnoteReference w:id="52"/>
      </w:r>
    </w:p>
    <w:p w14:paraId="707B23C2" w14:textId="2DCFE535" w:rsidR="001E525C" w:rsidRDefault="00C80E78" w:rsidP="001E525C">
      <w:pPr>
        <w:ind w:firstLine="720"/>
        <w:jc w:val="both"/>
        <w:rPr>
          <w:rFonts w:ascii="Times New Roman" w:hAnsi="Times New Roman" w:cs="Times New Roman"/>
        </w:rPr>
      </w:pPr>
      <w:r w:rsidRPr="004842AA">
        <w:rPr>
          <w:rFonts w:ascii="Times New Roman" w:hAnsi="Times New Roman" w:cs="Times New Roman"/>
        </w:rPr>
        <w:t xml:space="preserve">The consequences </w:t>
      </w:r>
      <w:r w:rsidR="00995C3F">
        <w:rPr>
          <w:rFonts w:ascii="Times New Roman" w:hAnsi="Times New Roman" w:cs="Times New Roman"/>
        </w:rPr>
        <w:t xml:space="preserve">of all those political shenanigans </w:t>
      </w:r>
      <w:r w:rsidRPr="004842AA">
        <w:rPr>
          <w:rFonts w:ascii="Times New Roman" w:hAnsi="Times New Roman" w:cs="Times New Roman"/>
        </w:rPr>
        <w:t xml:space="preserve">were predictable.  The UK’s official policy towards negotiations under Article 50 TEU was (as the now wearisome colloquial phrase goes) to </w:t>
      </w:r>
      <w:r w:rsidR="008B01C0">
        <w:rPr>
          <w:rFonts w:ascii="Times New Roman" w:hAnsi="Times New Roman" w:cs="Times New Roman"/>
        </w:rPr>
        <w:t>“</w:t>
      </w:r>
      <w:r w:rsidRPr="004842AA">
        <w:rPr>
          <w:rFonts w:ascii="Times New Roman" w:hAnsi="Times New Roman" w:cs="Times New Roman"/>
        </w:rPr>
        <w:t>have its cake and eat it</w:t>
      </w:r>
      <w:r w:rsidR="008B01C0">
        <w:rPr>
          <w:rFonts w:ascii="Times New Roman" w:hAnsi="Times New Roman" w:cs="Times New Roman"/>
        </w:rPr>
        <w:t>”</w:t>
      </w:r>
      <w:r w:rsidRPr="004842AA">
        <w:rPr>
          <w:rFonts w:ascii="Times New Roman" w:hAnsi="Times New Roman" w:cs="Times New Roman"/>
        </w:rPr>
        <w:t>.</w:t>
      </w:r>
      <w:r w:rsidR="00C76E88" w:rsidRPr="004842AA">
        <w:rPr>
          <w:rStyle w:val="FootnoteReference"/>
          <w:rFonts w:ascii="Times New Roman" w:hAnsi="Times New Roman" w:cs="Times New Roman"/>
        </w:rPr>
        <w:footnoteReference w:id="53"/>
      </w:r>
      <w:r w:rsidR="008B01C0">
        <w:rPr>
          <w:rFonts w:ascii="Times New Roman" w:hAnsi="Times New Roman" w:cs="Times New Roman"/>
        </w:rPr>
        <w:t xml:space="preserve">  On the one hand, the UK wished</w:t>
      </w:r>
      <w:r w:rsidRPr="004842AA">
        <w:rPr>
          <w:rFonts w:ascii="Times New Roman" w:hAnsi="Times New Roman" w:cs="Times New Roman"/>
        </w:rPr>
        <w:t xml:space="preserve"> to enjoy a </w:t>
      </w:r>
      <w:r w:rsidR="00542BC0" w:rsidRPr="004842AA">
        <w:rPr>
          <w:rFonts w:ascii="Times New Roman" w:hAnsi="Times New Roman" w:cs="Times New Roman"/>
        </w:rPr>
        <w:t xml:space="preserve">deep and special partnership </w:t>
      </w:r>
      <w:r w:rsidRPr="004842AA">
        <w:rPr>
          <w:rFonts w:ascii="Times New Roman" w:hAnsi="Times New Roman" w:cs="Times New Roman"/>
        </w:rPr>
        <w:t>with the EU</w:t>
      </w:r>
      <w:r w:rsidR="00BA345C" w:rsidRPr="004842AA">
        <w:rPr>
          <w:rFonts w:ascii="Times New Roman" w:hAnsi="Times New Roman" w:cs="Times New Roman"/>
        </w:rPr>
        <w:t>,</w:t>
      </w:r>
      <w:r w:rsidRPr="004842AA">
        <w:rPr>
          <w:rFonts w:ascii="Times New Roman" w:hAnsi="Times New Roman" w:cs="Times New Roman"/>
        </w:rPr>
        <w:t xml:space="preserve"> which would in practice </w:t>
      </w:r>
      <w:r w:rsidR="00BA345C" w:rsidRPr="004842AA">
        <w:rPr>
          <w:rFonts w:ascii="Times New Roman" w:hAnsi="Times New Roman" w:cs="Times New Roman"/>
        </w:rPr>
        <w:t>amount to preserving</w:t>
      </w:r>
      <w:r w:rsidR="00542BC0" w:rsidRPr="004842AA">
        <w:rPr>
          <w:rFonts w:ascii="Times New Roman" w:hAnsi="Times New Roman" w:cs="Times New Roman"/>
        </w:rPr>
        <w:t xml:space="preserve"> many of </w:t>
      </w:r>
      <w:r w:rsidR="00C60126">
        <w:rPr>
          <w:rFonts w:ascii="Times New Roman" w:hAnsi="Times New Roman" w:cs="Times New Roman"/>
        </w:rPr>
        <w:t xml:space="preserve">the </w:t>
      </w:r>
      <w:r w:rsidR="00542BC0" w:rsidRPr="004842AA">
        <w:rPr>
          <w:rFonts w:ascii="Times New Roman" w:hAnsi="Times New Roman" w:cs="Times New Roman"/>
        </w:rPr>
        <w:t xml:space="preserve">same benefits as </w:t>
      </w:r>
      <w:r w:rsidRPr="004842AA">
        <w:rPr>
          <w:rFonts w:ascii="Times New Roman" w:hAnsi="Times New Roman" w:cs="Times New Roman"/>
        </w:rPr>
        <w:t xml:space="preserve">its </w:t>
      </w:r>
      <w:r w:rsidR="00BA345C" w:rsidRPr="004842AA">
        <w:rPr>
          <w:rFonts w:ascii="Times New Roman" w:hAnsi="Times New Roman" w:cs="Times New Roman"/>
        </w:rPr>
        <w:t xml:space="preserve">former </w:t>
      </w:r>
      <w:r w:rsidR="00542BC0" w:rsidRPr="004842AA">
        <w:rPr>
          <w:rFonts w:ascii="Times New Roman" w:hAnsi="Times New Roman" w:cs="Times New Roman"/>
        </w:rPr>
        <w:t>membership</w:t>
      </w:r>
      <w:r w:rsidR="00BA345C" w:rsidRPr="004842AA">
        <w:rPr>
          <w:rFonts w:ascii="Times New Roman" w:hAnsi="Times New Roman" w:cs="Times New Roman"/>
        </w:rPr>
        <w:t xml:space="preserve"> in the fields of economic and security cooperation</w:t>
      </w:r>
      <w:r w:rsidR="00542BC0" w:rsidRPr="004842AA">
        <w:rPr>
          <w:rFonts w:ascii="Times New Roman" w:hAnsi="Times New Roman" w:cs="Times New Roman"/>
        </w:rPr>
        <w:t xml:space="preserve">.  </w:t>
      </w:r>
      <w:r w:rsidR="00BA345C" w:rsidRPr="004842AA">
        <w:rPr>
          <w:rFonts w:ascii="Times New Roman" w:hAnsi="Times New Roman" w:cs="Times New Roman"/>
        </w:rPr>
        <w:t xml:space="preserve">On the other hand, the UK </w:t>
      </w:r>
      <w:r w:rsidR="00C60126">
        <w:rPr>
          <w:rFonts w:ascii="Times New Roman" w:hAnsi="Times New Roman" w:cs="Times New Roman"/>
        </w:rPr>
        <w:t>insist</w:t>
      </w:r>
      <w:r w:rsidR="008B01C0">
        <w:rPr>
          <w:rFonts w:ascii="Times New Roman" w:hAnsi="Times New Roman" w:cs="Times New Roman"/>
        </w:rPr>
        <w:t>ed</w:t>
      </w:r>
      <w:r w:rsidR="00C60126">
        <w:rPr>
          <w:rFonts w:ascii="Times New Roman" w:hAnsi="Times New Roman" w:cs="Times New Roman"/>
        </w:rPr>
        <w:t xml:space="preserve"> upon various </w:t>
      </w:r>
      <w:r w:rsidR="00FC4186" w:rsidRPr="004842AA">
        <w:rPr>
          <w:rFonts w:ascii="Times New Roman" w:hAnsi="Times New Roman" w:cs="Times New Roman"/>
        </w:rPr>
        <w:t xml:space="preserve">red lines </w:t>
      </w:r>
      <w:r w:rsidR="00BA345C" w:rsidRPr="004842AA">
        <w:rPr>
          <w:rFonts w:ascii="Times New Roman" w:hAnsi="Times New Roman" w:cs="Times New Roman"/>
        </w:rPr>
        <w:t xml:space="preserve">around issues such as the free movement of persons and the jurisdiction of the CJEU – indeed, thanks to the DUP, new red lines </w:t>
      </w:r>
      <w:r w:rsidR="008B01C0">
        <w:rPr>
          <w:rFonts w:ascii="Times New Roman" w:hAnsi="Times New Roman" w:cs="Times New Roman"/>
        </w:rPr>
        <w:t>were</w:t>
      </w:r>
      <w:r w:rsidR="00BA345C" w:rsidRPr="004842AA">
        <w:rPr>
          <w:rFonts w:ascii="Times New Roman" w:hAnsi="Times New Roman" w:cs="Times New Roman"/>
        </w:rPr>
        <w:t xml:space="preserve"> introduced, concerning also the Northern Irish border – all of which place</w:t>
      </w:r>
      <w:r w:rsidR="008B01C0">
        <w:rPr>
          <w:rFonts w:ascii="Times New Roman" w:hAnsi="Times New Roman" w:cs="Times New Roman"/>
        </w:rPr>
        <w:t>d</w:t>
      </w:r>
      <w:r w:rsidR="00BA345C" w:rsidRPr="004842AA">
        <w:rPr>
          <w:rFonts w:ascii="Times New Roman" w:hAnsi="Times New Roman" w:cs="Times New Roman"/>
        </w:rPr>
        <w:t xml:space="preserve"> </w:t>
      </w:r>
      <w:r w:rsidR="00542BC0" w:rsidRPr="004842AA">
        <w:rPr>
          <w:rFonts w:ascii="Times New Roman" w:hAnsi="Times New Roman" w:cs="Times New Roman"/>
        </w:rPr>
        <w:t xml:space="preserve">inherent </w:t>
      </w:r>
      <w:r w:rsidR="00FC4186" w:rsidRPr="004842AA">
        <w:rPr>
          <w:rFonts w:ascii="Times New Roman" w:hAnsi="Times New Roman" w:cs="Times New Roman"/>
        </w:rPr>
        <w:t xml:space="preserve">limits </w:t>
      </w:r>
      <w:r w:rsidR="00BA345C" w:rsidRPr="004842AA">
        <w:rPr>
          <w:rFonts w:ascii="Times New Roman" w:hAnsi="Times New Roman" w:cs="Times New Roman"/>
        </w:rPr>
        <w:t>up</w:t>
      </w:r>
      <w:r w:rsidR="00FC4186" w:rsidRPr="004842AA">
        <w:rPr>
          <w:rFonts w:ascii="Times New Roman" w:hAnsi="Times New Roman" w:cs="Times New Roman"/>
        </w:rPr>
        <w:t xml:space="preserve">on </w:t>
      </w:r>
      <w:r w:rsidR="00BA345C" w:rsidRPr="004842AA">
        <w:rPr>
          <w:rFonts w:ascii="Times New Roman" w:hAnsi="Times New Roman" w:cs="Times New Roman"/>
        </w:rPr>
        <w:t xml:space="preserve">the </w:t>
      </w:r>
      <w:r w:rsidR="00FC4186" w:rsidRPr="004842AA">
        <w:rPr>
          <w:rFonts w:ascii="Times New Roman" w:hAnsi="Times New Roman" w:cs="Times New Roman"/>
        </w:rPr>
        <w:t xml:space="preserve">scope for </w:t>
      </w:r>
      <w:r w:rsidR="00BA345C" w:rsidRPr="004842AA">
        <w:rPr>
          <w:rFonts w:ascii="Times New Roman" w:hAnsi="Times New Roman" w:cs="Times New Roman"/>
        </w:rPr>
        <w:t xml:space="preserve">/ </w:t>
      </w:r>
      <w:r w:rsidR="00FC4186" w:rsidRPr="004842AA">
        <w:rPr>
          <w:rFonts w:ascii="Times New Roman" w:hAnsi="Times New Roman" w:cs="Times New Roman"/>
        </w:rPr>
        <w:t xml:space="preserve">nature of </w:t>
      </w:r>
      <w:r w:rsidR="00BA345C" w:rsidRPr="004842AA">
        <w:rPr>
          <w:rFonts w:ascii="Times New Roman" w:hAnsi="Times New Roman" w:cs="Times New Roman"/>
        </w:rPr>
        <w:t xml:space="preserve">any </w:t>
      </w:r>
      <w:r w:rsidR="00FC4186" w:rsidRPr="004842AA">
        <w:rPr>
          <w:rFonts w:ascii="Times New Roman" w:hAnsi="Times New Roman" w:cs="Times New Roman"/>
        </w:rPr>
        <w:t xml:space="preserve">negotiated agreement </w:t>
      </w:r>
      <w:r w:rsidR="00BA345C" w:rsidRPr="004842AA">
        <w:rPr>
          <w:rFonts w:ascii="Times New Roman" w:hAnsi="Times New Roman" w:cs="Times New Roman"/>
        </w:rPr>
        <w:t xml:space="preserve">/ </w:t>
      </w:r>
      <w:r w:rsidR="00FC4186" w:rsidRPr="004842AA">
        <w:rPr>
          <w:rFonts w:ascii="Times New Roman" w:hAnsi="Times New Roman" w:cs="Times New Roman"/>
        </w:rPr>
        <w:t>future relationship</w:t>
      </w:r>
      <w:r w:rsidR="00BA345C" w:rsidRPr="004842AA">
        <w:rPr>
          <w:rFonts w:ascii="Times New Roman" w:hAnsi="Times New Roman" w:cs="Times New Roman"/>
        </w:rPr>
        <w:t xml:space="preserve"> between the Union and the UK</w:t>
      </w:r>
      <w:r w:rsidR="00FC4186" w:rsidRPr="004842AA">
        <w:rPr>
          <w:rFonts w:ascii="Times New Roman" w:hAnsi="Times New Roman" w:cs="Times New Roman"/>
        </w:rPr>
        <w:t xml:space="preserve">.  </w:t>
      </w:r>
      <w:r w:rsidR="00DC24DE" w:rsidRPr="004842AA">
        <w:rPr>
          <w:rFonts w:ascii="Times New Roman" w:hAnsi="Times New Roman" w:cs="Times New Roman"/>
        </w:rPr>
        <w:t xml:space="preserve">Yet to </w:t>
      </w:r>
      <w:r w:rsidR="00BA345C" w:rsidRPr="004842AA">
        <w:rPr>
          <w:rFonts w:ascii="Times New Roman" w:hAnsi="Times New Roman" w:cs="Times New Roman"/>
        </w:rPr>
        <w:t xml:space="preserve">keep its powerbase intact, the Government </w:t>
      </w:r>
      <w:r w:rsidR="008B01C0">
        <w:rPr>
          <w:rFonts w:ascii="Times New Roman" w:hAnsi="Times New Roman" w:cs="Times New Roman"/>
        </w:rPr>
        <w:t>had to</w:t>
      </w:r>
      <w:r w:rsidR="00BA345C" w:rsidRPr="004842AA">
        <w:rPr>
          <w:rFonts w:ascii="Times New Roman" w:hAnsi="Times New Roman" w:cs="Times New Roman"/>
        </w:rPr>
        <w:t xml:space="preserve"> avoid </w:t>
      </w:r>
      <w:r w:rsidR="00C60126">
        <w:rPr>
          <w:rFonts w:ascii="Times New Roman" w:hAnsi="Times New Roman" w:cs="Times New Roman"/>
        </w:rPr>
        <w:t xml:space="preserve">either </w:t>
      </w:r>
      <w:r w:rsidR="00BA345C" w:rsidRPr="004842AA">
        <w:rPr>
          <w:rFonts w:ascii="Times New Roman" w:hAnsi="Times New Roman" w:cs="Times New Roman"/>
        </w:rPr>
        <w:t>confessing</w:t>
      </w:r>
      <w:r w:rsidR="00FC4186" w:rsidRPr="004842AA">
        <w:rPr>
          <w:rFonts w:ascii="Times New Roman" w:hAnsi="Times New Roman" w:cs="Times New Roman"/>
        </w:rPr>
        <w:t xml:space="preserve"> </w:t>
      </w:r>
      <w:r w:rsidR="00BA345C" w:rsidRPr="004842AA">
        <w:rPr>
          <w:rFonts w:ascii="Times New Roman" w:hAnsi="Times New Roman" w:cs="Times New Roman"/>
        </w:rPr>
        <w:t xml:space="preserve">that </w:t>
      </w:r>
      <w:r w:rsidR="00DC24DE" w:rsidRPr="004842AA">
        <w:rPr>
          <w:rFonts w:ascii="Times New Roman" w:hAnsi="Times New Roman" w:cs="Times New Roman"/>
        </w:rPr>
        <w:t xml:space="preserve">that </w:t>
      </w:r>
      <w:r w:rsidR="00BA345C" w:rsidRPr="004842AA">
        <w:rPr>
          <w:rFonts w:ascii="Times New Roman" w:hAnsi="Times New Roman" w:cs="Times New Roman"/>
        </w:rPr>
        <w:t xml:space="preserve">policy </w:t>
      </w:r>
      <w:r w:rsidR="00DC24DE" w:rsidRPr="004842AA">
        <w:rPr>
          <w:rFonts w:ascii="Times New Roman" w:hAnsi="Times New Roman" w:cs="Times New Roman"/>
        </w:rPr>
        <w:t xml:space="preserve">was </w:t>
      </w:r>
      <w:r w:rsidR="00BA345C" w:rsidRPr="004842AA">
        <w:rPr>
          <w:rFonts w:ascii="Times New Roman" w:hAnsi="Times New Roman" w:cs="Times New Roman"/>
        </w:rPr>
        <w:t xml:space="preserve">unsustainable, admitting the true </w:t>
      </w:r>
      <w:r w:rsidR="00FC4186" w:rsidRPr="004842AA">
        <w:rPr>
          <w:rFonts w:ascii="Times New Roman" w:hAnsi="Times New Roman" w:cs="Times New Roman"/>
        </w:rPr>
        <w:t xml:space="preserve">nature of </w:t>
      </w:r>
      <w:r w:rsidR="00BA345C" w:rsidRPr="004842AA">
        <w:rPr>
          <w:rFonts w:ascii="Times New Roman" w:hAnsi="Times New Roman" w:cs="Times New Roman"/>
        </w:rPr>
        <w:t xml:space="preserve">the challenge </w:t>
      </w:r>
      <w:r w:rsidR="00C60126">
        <w:rPr>
          <w:rFonts w:ascii="Times New Roman" w:hAnsi="Times New Roman" w:cs="Times New Roman"/>
        </w:rPr>
        <w:t xml:space="preserve">or </w:t>
      </w:r>
      <w:r w:rsidR="00BA345C" w:rsidRPr="004842AA">
        <w:rPr>
          <w:rFonts w:ascii="Times New Roman" w:hAnsi="Times New Roman" w:cs="Times New Roman"/>
        </w:rPr>
        <w:t xml:space="preserve">explaining the </w:t>
      </w:r>
      <w:r w:rsidR="00FC4186" w:rsidRPr="004842AA">
        <w:rPr>
          <w:rFonts w:ascii="Times New Roman" w:hAnsi="Times New Roman" w:cs="Times New Roman"/>
        </w:rPr>
        <w:t>compromises required</w:t>
      </w:r>
      <w:r w:rsidR="00DC24DE" w:rsidRPr="004842AA">
        <w:rPr>
          <w:rFonts w:ascii="Times New Roman" w:hAnsi="Times New Roman" w:cs="Times New Roman"/>
        </w:rPr>
        <w:t xml:space="preserve">. </w:t>
      </w:r>
      <w:r w:rsidR="00BD0EF1">
        <w:rPr>
          <w:rFonts w:ascii="Times New Roman" w:hAnsi="Times New Roman" w:cs="Times New Roman"/>
        </w:rPr>
        <w:t xml:space="preserve"> </w:t>
      </w:r>
      <w:r w:rsidR="007D5FA7" w:rsidRPr="004842AA">
        <w:rPr>
          <w:rFonts w:ascii="Times New Roman" w:hAnsi="Times New Roman" w:cs="Times New Roman"/>
        </w:rPr>
        <w:t>But such</w:t>
      </w:r>
      <w:r w:rsidR="00DC24DE" w:rsidRPr="004842AA">
        <w:rPr>
          <w:rFonts w:ascii="Times New Roman" w:hAnsi="Times New Roman" w:cs="Times New Roman"/>
        </w:rPr>
        <w:t xml:space="preserve"> tactics could not be sustained </w:t>
      </w:r>
      <w:r w:rsidR="007D5FA7" w:rsidRPr="004842AA">
        <w:rPr>
          <w:rFonts w:ascii="Times New Roman" w:hAnsi="Times New Roman" w:cs="Times New Roman"/>
        </w:rPr>
        <w:t>indefinitely</w:t>
      </w:r>
      <w:r w:rsidR="00DC24DE" w:rsidRPr="004842AA">
        <w:rPr>
          <w:rFonts w:ascii="Times New Roman" w:hAnsi="Times New Roman" w:cs="Times New Roman"/>
        </w:rPr>
        <w:t xml:space="preserve">.  When reality finally arrived, the combination of (first) a mutually incompatible governing coalition, (secondly) a jilted and hostile opposition and (thirdly) the need nevertheless to secure positive parliamentary approval for the outcome of negotiations, virtually guaranteed a political </w:t>
      </w:r>
      <w:r w:rsidR="00542BC0" w:rsidRPr="004842AA">
        <w:rPr>
          <w:rFonts w:ascii="Times New Roman" w:hAnsi="Times New Roman" w:cs="Times New Roman"/>
        </w:rPr>
        <w:t>implosion.</w:t>
      </w:r>
      <w:r w:rsidR="00656A8C" w:rsidRPr="004842AA">
        <w:rPr>
          <w:rFonts w:ascii="Times New Roman" w:hAnsi="Times New Roman" w:cs="Times New Roman"/>
        </w:rPr>
        <w:t xml:space="preserve">  </w:t>
      </w:r>
    </w:p>
    <w:p w14:paraId="69B703F5" w14:textId="3F17B453" w:rsidR="00DC24DE" w:rsidRPr="004842AA" w:rsidRDefault="007027AA" w:rsidP="001E525C">
      <w:pPr>
        <w:ind w:firstLine="720"/>
        <w:jc w:val="both"/>
        <w:rPr>
          <w:rFonts w:ascii="Times New Roman" w:hAnsi="Times New Roman" w:cs="Times New Roman"/>
        </w:rPr>
      </w:pPr>
      <w:r w:rsidRPr="004842AA">
        <w:rPr>
          <w:rFonts w:ascii="Times New Roman" w:hAnsi="Times New Roman" w:cs="Times New Roman"/>
        </w:rPr>
        <w:t xml:space="preserve">In comparison to the Union, the UK was always </w:t>
      </w:r>
      <w:r w:rsidR="00DC24DE" w:rsidRPr="004842AA">
        <w:rPr>
          <w:rFonts w:ascii="Times New Roman" w:hAnsi="Times New Roman" w:cs="Times New Roman"/>
        </w:rPr>
        <w:t xml:space="preserve">going to </w:t>
      </w:r>
      <w:r w:rsidRPr="004842AA">
        <w:rPr>
          <w:rFonts w:ascii="Times New Roman" w:hAnsi="Times New Roman" w:cs="Times New Roman"/>
        </w:rPr>
        <w:t xml:space="preserve">occupy a weaker position </w:t>
      </w:r>
      <w:r w:rsidR="00DC24DE" w:rsidRPr="004842AA">
        <w:rPr>
          <w:rFonts w:ascii="Times New Roman" w:hAnsi="Times New Roman" w:cs="Times New Roman"/>
        </w:rPr>
        <w:t xml:space="preserve">in the </w:t>
      </w:r>
      <w:r w:rsidRPr="004842AA">
        <w:rPr>
          <w:rFonts w:ascii="Times New Roman" w:hAnsi="Times New Roman" w:cs="Times New Roman"/>
        </w:rPr>
        <w:t>Article 50 TEU process</w:t>
      </w:r>
      <w:r w:rsidR="00DC24DE" w:rsidRPr="004842AA">
        <w:rPr>
          <w:rFonts w:ascii="Times New Roman" w:hAnsi="Times New Roman" w:cs="Times New Roman"/>
        </w:rPr>
        <w:t xml:space="preserve">.  But the </w:t>
      </w:r>
      <w:r w:rsidRPr="004842AA">
        <w:rPr>
          <w:rFonts w:ascii="Times New Roman" w:hAnsi="Times New Roman" w:cs="Times New Roman"/>
        </w:rPr>
        <w:t xml:space="preserve">UK’s </w:t>
      </w:r>
      <w:r w:rsidR="00DC24DE" w:rsidRPr="004842AA">
        <w:rPr>
          <w:rFonts w:ascii="Times New Roman" w:hAnsi="Times New Roman" w:cs="Times New Roman"/>
        </w:rPr>
        <w:t xml:space="preserve">natural </w:t>
      </w:r>
      <w:r w:rsidRPr="004842AA">
        <w:rPr>
          <w:rFonts w:ascii="Times New Roman" w:hAnsi="Times New Roman" w:cs="Times New Roman"/>
        </w:rPr>
        <w:t xml:space="preserve">disadvantage </w:t>
      </w:r>
      <w:r w:rsidR="00DC24DE" w:rsidRPr="004842AA">
        <w:rPr>
          <w:rFonts w:ascii="Times New Roman" w:hAnsi="Times New Roman" w:cs="Times New Roman"/>
        </w:rPr>
        <w:t xml:space="preserve">was considerably reinforced and amplified by the </w:t>
      </w:r>
      <w:r w:rsidRPr="004842AA">
        <w:rPr>
          <w:rFonts w:ascii="Times New Roman" w:hAnsi="Times New Roman" w:cs="Times New Roman"/>
        </w:rPr>
        <w:t>abject disunity of its political class, the self-inflicted fragility of its governing administration and the blatant contradiction of its official negotiating objectives</w:t>
      </w:r>
      <w:r w:rsidR="00DC24DE" w:rsidRPr="004842AA">
        <w:rPr>
          <w:rFonts w:ascii="Times New Roman" w:hAnsi="Times New Roman" w:cs="Times New Roman"/>
        </w:rPr>
        <w:t>.</w:t>
      </w:r>
    </w:p>
    <w:p w14:paraId="6F935209" w14:textId="77777777" w:rsidR="001A4F89" w:rsidRPr="004842AA" w:rsidRDefault="001A4F89" w:rsidP="004842AA">
      <w:pPr>
        <w:jc w:val="both"/>
        <w:rPr>
          <w:rFonts w:ascii="Times New Roman" w:hAnsi="Times New Roman" w:cs="Times New Roman"/>
          <w:i/>
        </w:rPr>
      </w:pPr>
    </w:p>
    <w:p w14:paraId="4A14C3A0" w14:textId="4F19AD1F" w:rsidR="007B1C29" w:rsidRPr="004842AA" w:rsidRDefault="008A5678" w:rsidP="004842AA">
      <w:pPr>
        <w:jc w:val="both"/>
        <w:rPr>
          <w:rFonts w:ascii="Times New Roman" w:hAnsi="Times New Roman" w:cs="Times New Roman"/>
        </w:rPr>
      </w:pPr>
      <w:r w:rsidRPr="004842AA">
        <w:rPr>
          <w:rFonts w:ascii="Times New Roman" w:hAnsi="Times New Roman" w:cs="Times New Roman"/>
          <w:i/>
        </w:rPr>
        <w:t>2.3</w:t>
      </w:r>
      <w:r w:rsidR="008850A9" w:rsidRPr="004842AA">
        <w:rPr>
          <w:rFonts w:ascii="Times New Roman" w:hAnsi="Times New Roman" w:cs="Times New Roman"/>
          <w:i/>
        </w:rPr>
        <w:t xml:space="preserve">. </w:t>
      </w:r>
      <w:r w:rsidR="008850A9" w:rsidRPr="004842AA">
        <w:rPr>
          <w:rFonts w:ascii="Times New Roman" w:hAnsi="Times New Roman" w:cs="Times New Roman"/>
          <w:i/>
        </w:rPr>
        <w:tab/>
      </w:r>
      <w:r w:rsidR="00110C6C" w:rsidRPr="004842AA">
        <w:rPr>
          <w:rFonts w:ascii="Times New Roman" w:hAnsi="Times New Roman" w:cs="Times New Roman"/>
          <w:i/>
        </w:rPr>
        <w:t xml:space="preserve">Negotiating with </w:t>
      </w:r>
      <w:r w:rsidR="004209A2" w:rsidRPr="004842AA">
        <w:rPr>
          <w:rFonts w:ascii="Times New Roman" w:hAnsi="Times New Roman" w:cs="Times New Roman"/>
          <w:i/>
        </w:rPr>
        <w:t xml:space="preserve">Theresa </w:t>
      </w:r>
      <w:r w:rsidRPr="004842AA">
        <w:rPr>
          <w:rFonts w:ascii="Times New Roman" w:hAnsi="Times New Roman" w:cs="Times New Roman"/>
          <w:i/>
        </w:rPr>
        <w:t xml:space="preserve">May </w:t>
      </w:r>
      <w:r w:rsidR="00110C6C" w:rsidRPr="004842AA">
        <w:rPr>
          <w:rFonts w:ascii="Times New Roman" w:hAnsi="Times New Roman" w:cs="Times New Roman"/>
          <w:i/>
        </w:rPr>
        <w:t xml:space="preserve">and then with </w:t>
      </w:r>
      <w:r w:rsidR="004209A2" w:rsidRPr="004842AA">
        <w:rPr>
          <w:rFonts w:ascii="Times New Roman" w:hAnsi="Times New Roman" w:cs="Times New Roman"/>
          <w:i/>
        </w:rPr>
        <w:t xml:space="preserve">Boris </w:t>
      </w:r>
      <w:r w:rsidRPr="004842AA">
        <w:rPr>
          <w:rFonts w:ascii="Times New Roman" w:hAnsi="Times New Roman" w:cs="Times New Roman"/>
          <w:i/>
        </w:rPr>
        <w:t>Johnson</w:t>
      </w:r>
    </w:p>
    <w:p w14:paraId="2310480D" w14:textId="77777777" w:rsidR="001A4F89" w:rsidRPr="004842AA" w:rsidRDefault="001A4F89" w:rsidP="004842AA">
      <w:pPr>
        <w:jc w:val="both"/>
        <w:rPr>
          <w:rFonts w:ascii="Times New Roman" w:hAnsi="Times New Roman" w:cs="Times New Roman"/>
        </w:rPr>
      </w:pPr>
    </w:p>
    <w:p w14:paraId="4779CBBD" w14:textId="1B98EC10" w:rsidR="0085066C" w:rsidRDefault="007027AA" w:rsidP="004842AA">
      <w:pPr>
        <w:jc w:val="both"/>
        <w:rPr>
          <w:rFonts w:ascii="Times New Roman" w:hAnsi="Times New Roman" w:cs="Times New Roman"/>
        </w:rPr>
      </w:pPr>
      <w:r w:rsidRPr="004842AA">
        <w:rPr>
          <w:rFonts w:ascii="Times New Roman" w:hAnsi="Times New Roman" w:cs="Times New Roman"/>
        </w:rPr>
        <w:t xml:space="preserve">Putting together the legal and political factors affecting both the Union and the UK, it is easy to understand the relative </w:t>
      </w:r>
      <w:r w:rsidR="00EB45D0" w:rsidRPr="004842AA">
        <w:rPr>
          <w:rFonts w:ascii="Times New Roman" w:hAnsi="Times New Roman" w:cs="Times New Roman"/>
        </w:rPr>
        <w:t xml:space="preserve">chaos </w:t>
      </w:r>
      <w:r w:rsidRPr="004842AA">
        <w:rPr>
          <w:rFonts w:ascii="Times New Roman" w:hAnsi="Times New Roman" w:cs="Times New Roman"/>
        </w:rPr>
        <w:t xml:space="preserve">that marked so much of the </w:t>
      </w:r>
      <w:r w:rsidR="00EB45D0" w:rsidRPr="004842AA">
        <w:rPr>
          <w:rFonts w:ascii="Times New Roman" w:hAnsi="Times New Roman" w:cs="Times New Roman"/>
        </w:rPr>
        <w:t>negotiations</w:t>
      </w:r>
      <w:r w:rsidRPr="004842AA">
        <w:rPr>
          <w:rFonts w:ascii="Times New Roman" w:hAnsi="Times New Roman" w:cs="Times New Roman"/>
        </w:rPr>
        <w:t xml:space="preserve"> during the Prime Ministerial tenancy of Theresa May</w:t>
      </w:r>
      <w:r w:rsidR="00EB45D0" w:rsidRPr="004842AA">
        <w:rPr>
          <w:rFonts w:ascii="Times New Roman" w:hAnsi="Times New Roman" w:cs="Times New Roman"/>
        </w:rPr>
        <w:t>.</w:t>
      </w:r>
      <w:r w:rsidR="00554EAD">
        <w:rPr>
          <w:rStyle w:val="FootnoteReference"/>
          <w:rFonts w:ascii="Times New Roman" w:hAnsi="Times New Roman" w:cs="Times New Roman"/>
        </w:rPr>
        <w:footnoteReference w:id="54"/>
      </w:r>
      <w:r w:rsidR="00EB45D0" w:rsidRPr="004842AA">
        <w:rPr>
          <w:rFonts w:ascii="Times New Roman" w:hAnsi="Times New Roman" w:cs="Times New Roman"/>
        </w:rPr>
        <w:t xml:space="preserve">  </w:t>
      </w:r>
      <w:r w:rsidRPr="004842AA">
        <w:rPr>
          <w:rFonts w:ascii="Times New Roman" w:hAnsi="Times New Roman" w:cs="Times New Roman"/>
        </w:rPr>
        <w:t xml:space="preserve">It took nearly a year </w:t>
      </w:r>
      <w:r w:rsidR="00EB45D0" w:rsidRPr="004842AA">
        <w:rPr>
          <w:rFonts w:ascii="Times New Roman" w:hAnsi="Times New Roman" w:cs="Times New Roman"/>
        </w:rPr>
        <w:t xml:space="preserve">from </w:t>
      </w:r>
      <w:r w:rsidRPr="004842AA">
        <w:rPr>
          <w:rFonts w:ascii="Times New Roman" w:hAnsi="Times New Roman" w:cs="Times New Roman"/>
        </w:rPr>
        <w:t xml:space="preserve">the </w:t>
      </w:r>
      <w:r w:rsidR="00EB45D0" w:rsidRPr="004842AA">
        <w:rPr>
          <w:rFonts w:ascii="Times New Roman" w:hAnsi="Times New Roman" w:cs="Times New Roman"/>
        </w:rPr>
        <w:t xml:space="preserve">referendum </w:t>
      </w:r>
      <w:r w:rsidR="00E033A4" w:rsidRPr="004842AA">
        <w:rPr>
          <w:rFonts w:ascii="Times New Roman" w:hAnsi="Times New Roman" w:cs="Times New Roman"/>
        </w:rPr>
        <w:lastRenderedPageBreak/>
        <w:t>for withdrawal talks to commence</w:t>
      </w:r>
      <w:r w:rsidR="0038541F" w:rsidRPr="004842AA">
        <w:rPr>
          <w:rFonts w:ascii="Times New Roman" w:hAnsi="Times New Roman" w:cs="Times New Roman"/>
        </w:rPr>
        <w:t xml:space="preserve"> – </w:t>
      </w:r>
      <w:r w:rsidR="00EB45D0" w:rsidRPr="004842AA">
        <w:rPr>
          <w:rFonts w:ascii="Times New Roman" w:hAnsi="Times New Roman" w:cs="Times New Roman"/>
        </w:rPr>
        <w:t xml:space="preserve">including several months of formal negotiating time lost </w:t>
      </w:r>
      <w:r w:rsidR="00E033A4" w:rsidRPr="004842AA">
        <w:rPr>
          <w:rFonts w:ascii="Times New Roman" w:hAnsi="Times New Roman" w:cs="Times New Roman"/>
        </w:rPr>
        <w:t xml:space="preserve">thanks to the early UK </w:t>
      </w:r>
      <w:r w:rsidR="0038541F" w:rsidRPr="004842AA">
        <w:rPr>
          <w:rFonts w:ascii="Times New Roman" w:hAnsi="Times New Roman" w:cs="Times New Roman"/>
        </w:rPr>
        <w:t>general election</w:t>
      </w:r>
      <w:r w:rsidR="00EB45D0" w:rsidRPr="004842AA">
        <w:rPr>
          <w:rFonts w:ascii="Times New Roman" w:hAnsi="Times New Roman" w:cs="Times New Roman"/>
        </w:rPr>
        <w:t>.</w:t>
      </w:r>
      <w:r w:rsidR="00C76E88" w:rsidRPr="004842AA">
        <w:rPr>
          <w:rStyle w:val="FootnoteReference"/>
          <w:rFonts w:ascii="Times New Roman" w:hAnsi="Times New Roman" w:cs="Times New Roman"/>
        </w:rPr>
        <w:footnoteReference w:id="55"/>
      </w:r>
      <w:r w:rsidR="00EB45D0" w:rsidRPr="004842AA">
        <w:rPr>
          <w:rFonts w:ascii="Times New Roman" w:hAnsi="Times New Roman" w:cs="Times New Roman"/>
        </w:rPr>
        <w:t xml:space="preserve">  </w:t>
      </w:r>
      <w:r w:rsidR="0038541F" w:rsidRPr="004842AA">
        <w:rPr>
          <w:rFonts w:ascii="Times New Roman" w:hAnsi="Times New Roman" w:cs="Times New Roman"/>
        </w:rPr>
        <w:t>Nevertheless</w:t>
      </w:r>
      <w:r w:rsidR="0085066C">
        <w:rPr>
          <w:rFonts w:ascii="Times New Roman" w:hAnsi="Times New Roman" w:cs="Times New Roman"/>
        </w:rPr>
        <w:t>, the two parties hoped that a withdrawal p</w:t>
      </w:r>
      <w:r w:rsidR="0038541F" w:rsidRPr="004842AA">
        <w:rPr>
          <w:rFonts w:ascii="Times New Roman" w:hAnsi="Times New Roman" w:cs="Times New Roman"/>
        </w:rPr>
        <w:t>ackage could still be concluded and approved in time for the UK’s planned departure on 31 March 2019.</w:t>
      </w:r>
      <w:r w:rsidR="0085066C">
        <w:rPr>
          <w:rStyle w:val="FootnoteReference"/>
          <w:rFonts w:ascii="Times New Roman" w:hAnsi="Times New Roman" w:cs="Times New Roman"/>
        </w:rPr>
        <w:footnoteReference w:id="56"/>
      </w:r>
      <w:r w:rsidR="0038541F" w:rsidRPr="004842AA">
        <w:rPr>
          <w:rFonts w:ascii="Times New Roman" w:hAnsi="Times New Roman" w:cs="Times New Roman"/>
        </w:rPr>
        <w:t xml:space="preserve">  However, several major </w:t>
      </w:r>
      <w:r w:rsidR="00E033A4" w:rsidRPr="004842AA">
        <w:rPr>
          <w:rFonts w:ascii="Times New Roman" w:hAnsi="Times New Roman" w:cs="Times New Roman"/>
        </w:rPr>
        <w:t xml:space="preserve">stumbling blocks to </w:t>
      </w:r>
      <w:r w:rsidR="007D5FA7" w:rsidRPr="004842AA">
        <w:rPr>
          <w:rFonts w:ascii="Times New Roman" w:hAnsi="Times New Roman" w:cs="Times New Roman"/>
        </w:rPr>
        <w:t xml:space="preserve">any </w:t>
      </w:r>
      <w:r w:rsidR="00E033A4" w:rsidRPr="004842AA">
        <w:rPr>
          <w:rFonts w:ascii="Times New Roman" w:hAnsi="Times New Roman" w:cs="Times New Roman"/>
        </w:rPr>
        <w:t>agreement on an orderly withdrawal rapidly emerged, driven largely by the (</w:t>
      </w:r>
      <w:proofErr w:type="spellStart"/>
      <w:r w:rsidR="00E033A4" w:rsidRPr="004842AA">
        <w:rPr>
          <w:rFonts w:ascii="Times New Roman" w:hAnsi="Times New Roman" w:cs="Times New Roman"/>
        </w:rPr>
        <w:t>mis</w:t>
      </w:r>
      <w:proofErr w:type="spellEnd"/>
      <w:r w:rsidR="00E033A4" w:rsidRPr="004842AA">
        <w:rPr>
          <w:rFonts w:ascii="Times New Roman" w:hAnsi="Times New Roman" w:cs="Times New Roman"/>
        </w:rPr>
        <w:t>-</w:t>
      </w:r>
      <w:proofErr w:type="gramStart"/>
      <w:r w:rsidR="00E033A4" w:rsidRPr="004842AA">
        <w:rPr>
          <w:rFonts w:ascii="Times New Roman" w:hAnsi="Times New Roman" w:cs="Times New Roman"/>
        </w:rPr>
        <w:t>)management</w:t>
      </w:r>
      <w:proofErr w:type="gramEnd"/>
      <w:r w:rsidR="00E033A4" w:rsidRPr="004842AA">
        <w:rPr>
          <w:rFonts w:ascii="Times New Roman" w:hAnsi="Times New Roman" w:cs="Times New Roman"/>
        </w:rPr>
        <w:t xml:space="preserve"> of domestic UK political tensions: for example, disputes about the extent of protection for citizens’ rights; posturing about the methodology for calculating the UK’s financial settlement towards the Union; arguments about political </w:t>
      </w:r>
      <w:r w:rsidR="00EB45D0" w:rsidRPr="004842AA">
        <w:rPr>
          <w:rFonts w:ascii="Times New Roman" w:hAnsi="Times New Roman" w:cs="Times New Roman"/>
        </w:rPr>
        <w:t>governance</w:t>
      </w:r>
      <w:r w:rsidR="00E033A4" w:rsidRPr="004842AA">
        <w:rPr>
          <w:rFonts w:ascii="Times New Roman" w:hAnsi="Times New Roman" w:cs="Times New Roman"/>
        </w:rPr>
        <w:t>, dispute settlement</w:t>
      </w:r>
      <w:r w:rsidR="00EB45D0" w:rsidRPr="004842AA">
        <w:rPr>
          <w:rFonts w:ascii="Times New Roman" w:hAnsi="Times New Roman" w:cs="Times New Roman"/>
        </w:rPr>
        <w:t xml:space="preserve"> </w:t>
      </w:r>
      <w:r w:rsidR="00E033A4" w:rsidRPr="004842AA">
        <w:rPr>
          <w:rFonts w:ascii="Times New Roman" w:hAnsi="Times New Roman" w:cs="Times New Roman"/>
        </w:rPr>
        <w:t>and legal interpretation of the withdrawal treaty</w:t>
      </w:r>
      <w:r w:rsidR="00EB45D0" w:rsidRPr="004842AA">
        <w:rPr>
          <w:rFonts w:ascii="Times New Roman" w:hAnsi="Times New Roman" w:cs="Times New Roman"/>
        </w:rPr>
        <w:t xml:space="preserve">; </w:t>
      </w:r>
      <w:r w:rsidR="00E033A4" w:rsidRPr="004842AA">
        <w:rPr>
          <w:rFonts w:ascii="Times New Roman" w:hAnsi="Times New Roman" w:cs="Times New Roman"/>
        </w:rPr>
        <w:t>above all, trying to untangle the knot created by the UK Government around the Ireland/Northern Ireland border.</w:t>
      </w:r>
      <w:r w:rsidR="0085066C">
        <w:rPr>
          <w:rStyle w:val="FootnoteReference"/>
          <w:rFonts w:ascii="Times New Roman" w:hAnsi="Times New Roman" w:cs="Times New Roman"/>
        </w:rPr>
        <w:footnoteReference w:id="57"/>
      </w:r>
      <w:r w:rsidR="00E033A4" w:rsidRPr="004842AA">
        <w:rPr>
          <w:rFonts w:ascii="Times New Roman" w:hAnsi="Times New Roman" w:cs="Times New Roman"/>
        </w:rPr>
        <w:t xml:space="preserve">  </w:t>
      </w:r>
    </w:p>
    <w:p w14:paraId="690AA20F" w14:textId="54A4D211" w:rsidR="00C60126" w:rsidRDefault="00E033A4" w:rsidP="0085066C">
      <w:pPr>
        <w:ind w:firstLine="720"/>
        <w:jc w:val="both"/>
        <w:rPr>
          <w:rFonts w:ascii="Times New Roman" w:hAnsi="Times New Roman" w:cs="Times New Roman"/>
        </w:rPr>
      </w:pPr>
      <w:r w:rsidRPr="004842AA">
        <w:rPr>
          <w:rFonts w:ascii="Times New Roman" w:hAnsi="Times New Roman" w:cs="Times New Roman"/>
        </w:rPr>
        <w:t xml:space="preserve">Finding common ground on </w:t>
      </w:r>
      <w:r w:rsidR="007D5FA7" w:rsidRPr="004842AA">
        <w:rPr>
          <w:rFonts w:ascii="Times New Roman" w:hAnsi="Times New Roman" w:cs="Times New Roman"/>
        </w:rPr>
        <w:t xml:space="preserve">the terms for </w:t>
      </w:r>
      <w:r w:rsidRPr="004842AA">
        <w:rPr>
          <w:rFonts w:ascii="Times New Roman" w:hAnsi="Times New Roman" w:cs="Times New Roman"/>
        </w:rPr>
        <w:t>future EU-UK relations was no easier.  It took until July 2018 for the UK Government even to publish its “</w:t>
      </w:r>
      <w:r w:rsidR="00EB45D0" w:rsidRPr="004842AA">
        <w:rPr>
          <w:rFonts w:ascii="Times New Roman" w:hAnsi="Times New Roman" w:cs="Times New Roman"/>
        </w:rPr>
        <w:t>Chequers Plan</w:t>
      </w:r>
      <w:r w:rsidRPr="004842AA">
        <w:rPr>
          <w:rFonts w:ascii="Times New Roman" w:hAnsi="Times New Roman" w:cs="Times New Roman"/>
        </w:rPr>
        <w:t>”:</w:t>
      </w:r>
      <w:r w:rsidR="00C76E88" w:rsidRPr="004842AA">
        <w:rPr>
          <w:rStyle w:val="FootnoteReference"/>
          <w:rFonts w:ascii="Times New Roman" w:hAnsi="Times New Roman" w:cs="Times New Roman"/>
        </w:rPr>
        <w:footnoteReference w:id="58"/>
      </w:r>
      <w:r w:rsidRPr="004842AA">
        <w:rPr>
          <w:rFonts w:ascii="Times New Roman" w:hAnsi="Times New Roman" w:cs="Times New Roman"/>
        </w:rPr>
        <w:t xml:space="preserve"> a series of senior ministerial resignations </w:t>
      </w:r>
      <w:r w:rsidR="007D5FA7" w:rsidRPr="004842AA">
        <w:rPr>
          <w:rFonts w:ascii="Times New Roman" w:hAnsi="Times New Roman" w:cs="Times New Roman"/>
        </w:rPr>
        <w:t>immediately revealed just how fractious and unstable the UK administration really was;</w:t>
      </w:r>
      <w:r w:rsidR="009C325E">
        <w:rPr>
          <w:rStyle w:val="FootnoteReference"/>
          <w:rFonts w:ascii="Times New Roman" w:hAnsi="Times New Roman" w:cs="Times New Roman"/>
        </w:rPr>
        <w:footnoteReference w:id="59"/>
      </w:r>
      <w:r w:rsidR="007D5FA7" w:rsidRPr="004842AA">
        <w:rPr>
          <w:rFonts w:ascii="Times New Roman" w:hAnsi="Times New Roman" w:cs="Times New Roman"/>
        </w:rPr>
        <w:t xml:space="preserve"> while the critical reaction of the European Council, at the informal Salzburg summit in September 2018, demonstrated how little attention the UK was paying to finding proposals that might prove acceptable to its actual negotiating partners.</w:t>
      </w:r>
      <w:r w:rsidR="00C76E88" w:rsidRPr="004842AA">
        <w:rPr>
          <w:rStyle w:val="FootnoteReference"/>
          <w:rFonts w:ascii="Times New Roman" w:hAnsi="Times New Roman" w:cs="Times New Roman"/>
        </w:rPr>
        <w:footnoteReference w:id="60"/>
      </w:r>
      <w:r w:rsidR="007D5FA7" w:rsidRPr="004842AA">
        <w:rPr>
          <w:rFonts w:ascii="Times New Roman" w:hAnsi="Times New Roman" w:cs="Times New Roman"/>
        </w:rPr>
        <w:t xml:space="preserve">  All the while, </w:t>
      </w:r>
      <w:r w:rsidR="002A263A" w:rsidRPr="004842AA">
        <w:rPr>
          <w:rFonts w:ascii="Times New Roman" w:hAnsi="Times New Roman" w:cs="Times New Roman"/>
        </w:rPr>
        <w:t xml:space="preserve">even senior UK Government figures </w:t>
      </w:r>
      <w:r w:rsidR="007D5FA7" w:rsidRPr="004842AA">
        <w:rPr>
          <w:rFonts w:ascii="Times New Roman" w:hAnsi="Times New Roman" w:cs="Times New Roman"/>
        </w:rPr>
        <w:t xml:space="preserve">pandered to their domestic </w:t>
      </w:r>
      <w:r w:rsidR="002A263A" w:rsidRPr="004842AA">
        <w:rPr>
          <w:rFonts w:ascii="Times New Roman" w:hAnsi="Times New Roman" w:cs="Times New Roman"/>
        </w:rPr>
        <w:t>supporters</w:t>
      </w:r>
      <w:r w:rsidR="008B01C0">
        <w:rPr>
          <w:rFonts w:ascii="Times New Roman" w:hAnsi="Times New Roman" w:cs="Times New Roman"/>
        </w:rPr>
        <w:t>:</w:t>
      </w:r>
      <w:r w:rsidR="002A263A" w:rsidRPr="004842AA">
        <w:rPr>
          <w:rFonts w:ascii="Times New Roman" w:hAnsi="Times New Roman" w:cs="Times New Roman"/>
        </w:rPr>
        <w:t xml:space="preserve"> </w:t>
      </w:r>
      <w:r w:rsidR="007D5FA7" w:rsidRPr="004842AA">
        <w:rPr>
          <w:rFonts w:ascii="Times New Roman" w:hAnsi="Times New Roman" w:cs="Times New Roman"/>
        </w:rPr>
        <w:t xml:space="preserve">(for example) with threats to </w:t>
      </w:r>
      <w:r w:rsidR="002A263A" w:rsidRPr="004842AA">
        <w:rPr>
          <w:rFonts w:ascii="Times New Roman" w:hAnsi="Times New Roman" w:cs="Times New Roman"/>
        </w:rPr>
        <w:t>renege on the UK’s due financial obligations under any withdrawal agreement</w:t>
      </w:r>
      <w:r w:rsidR="0085066C">
        <w:rPr>
          <w:rFonts w:ascii="Times New Roman" w:hAnsi="Times New Roman" w:cs="Times New Roman"/>
        </w:rPr>
        <w:t>,</w:t>
      </w:r>
      <w:r w:rsidR="002A263A" w:rsidRPr="004842AA">
        <w:rPr>
          <w:rFonts w:ascii="Times New Roman" w:hAnsi="Times New Roman" w:cs="Times New Roman"/>
        </w:rPr>
        <w:t xml:space="preserve"> as </w:t>
      </w:r>
      <w:r w:rsidR="0085066C">
        <w:rPr>
          <w:rFonts w:ascii="Times New Roman" w:hAnsi="Times New Roman" w:cs="Times New Roman"/>
        </w:rPr>
        <w:t>a means to pressurise</w:t>
      </w:r>
      <w:r w:rsidR="002A263A" w:rsidRPr="004842AA">
        <w:rPr>
          <w:rFonts w:ascii="Times New Roman" w:hAnsi="Times New Roman" w:cs="Times New Roman"/>
        </w:rPr>
        <w:t xml:space="preserve"> the EU into offering improved future trading terms</w:t>
      </w:r>
      <w:r w:rsidR="00C76E88" w:rsidRPr="004842AA">
        <w:rPr>
          <w:rFonts w:ascii="Times New Roman" w:hAnsi="Times New Roman" w:cs="Times New Roman"/>
        </w:rPr>
        <w:t>;</w:t>
      </w:r>
      <w:r w:rsidR="00C76E88" w:rsidRPr="004842AA">
        <w:rPr>
          <w:rStyle w:val="FootnoteReference"/>
          <w:rFonts w:ascii="Times New Roman" w:hAnsi="Times New Roman" w:cs="Times New Roman"/>
        </w:rPr>
        <w:footnoteReference w:id="61"/>
      </w:r>
      <w:r w:rsidR="002A263A" w:rsidRPr="004842AA">
        <w:rPr>
          <w:rFonts w:ascii="Times New Roman" w:hAnsi="Times New Roman" w:cs="Times New Roman"/>
        </w:rPr>
        <w:t xml:space="preserve"> and (above all) under the mantra that “no deal </w:t>
      </w:r>
      <w:r w:rsidR="0085066C">
        <w:rPr>
          <w:rFonts w:ascii="Times New Roman" w:hAnsi="Times New Roman" w:cs="Times New Roman"/>
        </w:rPr>
        <w:t xml:space="preserve">is </w:t>
      </w:r>
      <w:r w:rsidR="002A263A" w:rsidRPr="004842AA">
        <w:rPr>
          <w:rFonts w:ascii="Times New Roman" w:hAnsi="Times New Roman" w:cs="Times New Roman"/>
        </w:rPr>
        <w:t>better than a bad deal”</w:t>
      </w:r>
      <w:r w:rsidR="0085066C">
        <w:rPr>
          <w:rFonts w:ascii="Times New Roman" w:hAnsi="Times New Roman" w:cs="Times New Roman"/>
        </w:rPr>
        <w:t>,</w:t>
      </w:r>
      <w:r w:rsidR="002A263A" w:rsidRPr="004842AA">
        <w:rPr>
          <w:rFonts w:ascii="Times New Roman" w:hAnsi="Times New Roman" w:cs="Times New Roman"/>
        </w:rPr>
        <w:t xml:space="preserve"> despite the overwhelming evidence of how deeply damaging any such outcome would be not only to the EU27 but especially for the </w:t>
      </w:r>
      <w:r w:rsidR="00EB45D0" w:rsidRPr="004842AA">
        <w:rPr>
          <w:rFonts w:ascii="Times New Roman" w:hAnsi="Times New Roman" w:cs="Times New Roman"/>
        </w:rPr>
        <w:t xml:space="preserve">UK </w:t>
      </w:r>
      <w:r w:rsidR="002A263A" w:rsidRPr="004842AA">
        <w:rPr>
          <w:rFonts w:ascii="Times New Roman" w:hAnsi="Times New Roman" w:cs="Times New Roman"/>
        </w:rPr>
        <w:t>itself</w:t>
      </w:r>
      <w:r w:rsidR="00EB45D0" w:rsidRPr="004842AA">
        <w:rPr>
          <w:rFonts w:ascii="Times New Roman" w:hAnsi="Times New Roman" w:cs="Times New Roman"/>
        </w:rPr>
        <w:t>.</w:t>
      </w:r>
      <w:r w:rsidR="00C76E88" w:rsidRPr="004842AA">
        <w:rPr>
          <w:rStyle w:val="FootnoteReference"/>
          <w:rFonts w:ascii="Times New Roman" w:hAnsi="Times New Roman" w:cs="Times New Roman"/>
        </w:rPr>
        <w:footnoteReference w:id="62"/>
      </w:r>
      <w:r w:rsidR="00EB45D0" w:rsidRPr="004842AA">
        <w:rPr>
          <w:rFonts w:ascii="Times New Roman" w:hAnsi="Times New Roman" w:cs="Times New Roman"/>
        </w:rPr>
        <w:t xml:space="preserve">  </w:t>
      </w:r>
    </w:p>
    <w:p w14:paraId="150197F6" w14:textId="42CABEBB" w:rsidR="00C60126" w:rsidRDefault="002A263A" w:rsidP="00C60126">
      <w:pPr>
        <w:ind w:firstLine="720"/>
        <w:jc w:val="both"/>
        <w:rPr>
          <w:rFonts w:ascii="Times New Roman" w:hAnsi="Times New Roman" w:cs="Times New Roman"/>
        </w:rPr>
      </w:pPr>
      <w:r w:rsidRPr="004842AA">
        <w:rPr>
          <w:rFonts w:ascii="Times New Roman" w:hAnsi="Times New Roman" w:cs="Times New Roman"/>
        </w:rPr>
        <w:lastRenderedPageBreak/>
        <w:t>Even when a first Withdrawal Package was finally agreed between the UK Government and the European Council in November 2018,</w:t>
      </w:r>
      <w:r w:rsidR="00C76E88" w:rsidRPr="004842AA">
        <w:rPr>
          <w:rStyle w:val="FootnoteReference"/>
          <w:rFonts w:ascii="Times New Roman" w:hAnsi="Times New Roman" w:cs="Times New Roman"/>
        </w:rPr>
        <w:footnoteReference w:id="63"/>
      </w:r>
      <w:r w:rsidRPr="004842AA">
        <w:rPr>
          <w:rFonts w:ascii="Times New Roman" w:hAnsi="Times New Roman" w:cs="Times New Roman"/>
        </w:rPr>
        <w:t xml:space="preserve"> that only heralded a new period of chaos as Theresa May sought to steer her deal through the section 13 </w:t>
      </w:r>
      <w:r w:rsidR="00055550" w:rsidRPr="004842AA">
        <w:rPr>
          <w:rFonts w:ascii="Times New Roman" w:hAnsi="Times New Roman" w:cs="Times New Roman"/>
        </w:rPr>
        <w:t xml:space="preserve">parliamentary </w:t>
      </w:r>
      <w:r w:rsidRPr="004842AA">
        <w:rPr>
          <w:rFonts w:ascii="Times New Roman" w:hAnsi="Times New Roman" w:cs="Times New Roman"/>
        </w:rPr>
        <w:t>approval process</w:t>
      </w:r>
      <w:r w:rsidR="00055550" w:rsidRPr="004842AA">
        <w:rPr>
          <w:rFonts w:ascii="Times New Roman" w:hAnsi="Times New Roman" w:cs="Times New Roman"/>
        </w:rPr>
        <w:t>,</w:t>
      </w:r>
      <w:r w:rsidRPr="004842AA">
        <w:rPr>
          <w:rFonts w:ascii="Times New Roman" w:hAnsi="Times New Roman" w:cs="Times New Roman"/>
        </w:rPr>
        <w:t xml:space="preserve"> just as her unhappy governing coalition finally began to unravel.  </w:t>
      </w:r>
      <w:r w:rsidR="00055550" w:rsidRPr="004842AA">
        <w:rPr>
          <w:rFonts w:ascii="Times New Roman" w:hAnsi="Times New Roman" w:cs="Times New Roman"/>
        </w:rPr>
        <w:t xml:space="preserve">Perhaps underestimating how far “no deal” had morphed into the </w:t>
      </w:r>
      <w:proofErr w:type="gramStart"/>
      <w:r w:rsidR="00055550" w:rsidRPr="004842AA">
        <w:rPr>
          <w:rFonts w:ascii="Times New Roman" w:hAnsi="Times New Roman" w:cs="Times New Roman"/>
        </w:rPr>
        <w:t>positively-preferred</w:t>
      </w:r>
      <w:proofErr w:type="gramEnd"/>
      <w:r w:rsidR="00055550" w:rsidRPr="004842AA">
        <w:rPr>
          <w:rFonts w:ascii="Times New Roman" w:hAnsi="Times New Roman" w:cs="Times New Roman"/>
        </w:rPr>
        <w:t xml:space="preserve"> outcome of many Tory MPs, the Prime Minister attributed opposition to the proposed Withdrawal </w:t>
      </w:r>
      <w:r w:rsidR="0085066C">
        <w:rPr>
          <w:rFonts w:ascii="Times New Roman" w:hAnsi="Times New Roman" w:cs="Times New Roman"/>
        </w:rPr>
        <w:t xml:space="preserve">Package </w:t>
      </w:r>
      <w:r w:rsidR="00055550" w:rsidRPr="004842AA">
        <w:rPr>
          <w:rFonts w:ascii="Times New Roman" w:hAnsi="Times New Roman" w:cs="Times New Roman"/>
        </w:rPr>
        <w:t>primarily to the compromises reached in order to avoid a “hard border” across the island of Ireland.</w:t>
      </w:r>
      <w:r w:rsidR="00C76E88" w:rsidRPr="004842AA">
        <w:rPr>
          <w:rStyle w:val="FootnoteReference"/>
          <w:rFonts w:ascii="Times New Roman" w:hAnsi="Times New Roman" w:cs="Times New Roman"/>
        </w:rPr>
        <w:footnoteReference w:id="64"/>
      </w:r>
      <w:r w:rsidR="00055550" w:rsidRPr="004842AA">
        <w:rPr>
          <w:rFonts w:ascii="Times New Roman" w:hAnsi="Times New Roman" w:cs="Times New Roman"/>
        </w:rPr>
        <w:t xml:space="preserve">  Over </w:t>
      </w:r>
      <w:r w:rsidR="00FB61C0">
        <w:rPr>
          <w:rFonts w:ascii="Times New Roman" w:hAnsi="Times New Roman" w:cs="Times New Roman"/>
        </w:rPr>
        <w:t>the</w:t>
      </w:r>
      <w:r w:rsidR="0038541F" w:rsidRPr="004842AA">
        <w:rPr>
          <w:rFonts w:ascii="Times New Roman" w:hAnsi="Times New Roman" w:cs="Times New Roman"/>
        </w:rPr>
        <w:t xml:space="preserve"> </w:t>
      </w:r>
      <w:r w:rsidR="00055550" w:rsidRPr="004842AA">
        <w:rPr>
          <w:rFonts w:ascii="Times New Roman" w:hAnsi="Times New Roman" w:cs="Times New Roman"/>
        </w:rPr>
        <w:t xml:space="preserve">succeeding months, the UK Government sought additional political assurances from the </w:t>
      </w:r>
      <w:r w:rsidR="00FB61C0">
        <w:rPr>
          <w:rFonts w:ascii="Times New Roman" w:hAnsi="Times New Roman" w:cs="Times New Roman"/>
        </w:rPr>
        <w:t xml:space="preserve">Union </w:t>
      </w:r>
      <w:r w:rsidR="00055550" w:rsidRPr="004842AA">
        <w:rPr>
          <w:rFonts w:ascii="Times New Roman" w:hAnsi="Times New Roman" w:cs="Times New Roman"/>
        </w:rPr>
        <w:t xml:space="preserve">about the full legal implications of the </w:t>
      </w:r>
      <w:r w:rsidR="0038541F" w:rsidRPr="004842AA">
        <w:rPr>
          <w:rFonts w:ascii="Times New Roman" w:hAnsi="Times New Roman" w:cs="Times New Roman"/>
        </w:rPr>
        <w:t xml:space="preserve">proposed </w:t>
      </w:r>
      <w:r w:rsidR="00055550" w:rsidRPr="004842AA">
        <w:rPr>
          <w:rFonts w:ascii="Times New Roman" w:hAnsi="Times New Roman" w:cs="Times New Roman"/>
        </w:rPr>
        <w:t>Irish border arrangements</w:t>
      </w:r>
      <w:r w:rsidR="00C76E88" w:rsidRPr="004842AA">
        <w:rPr>
          <w:rFonts w:ascii="Times New Roman" w:hAnsi="Times New Roman" w:cs="Times New Roman"/>
        </w:rPr>
        <w:t>.</w:t>
      </w:r>
      <w:r w:rsidR="00C76E88" w:rsidRPr="004842AA">
        <w:rPr>
          <w:rStyle w:val="FootnoteReference"/>
          <w:rFonts w:ascii="Times New Roman" w:hAnsi="Times New Roman" w:cs="Times New Roman"/>
        </w:rPr>
        <w:footnoteReference w:id="65"/>
      </w:r>
      <w:r w:rsidR="00055550" w:rsidRPr="004842AA">
        <w:rPr>
          <w:rFonts w:ascii="Times New Roman" w:hAnsi="Times New Roman" w:cs="Times New Roman"/>
        </w:rPr>
        <w:t xml:space="preserve"> </w:t>
      </w:r>
      <w:r w:rsidR="00C76E88" w:rsidRPr="004842AA">
        <w:rPr>
          <w:rFonts w:ascii="Times New Roman" w:hAnsi="Times New Roman" w:cs="Times New Roman"/>
        </w:rPr>
        <w:t xml:space="preserve"> But </w:t>
      </w:r>
      <w:r w:rsidR="00055550" w:rsidRPr="004842AA">
        <w:rPr>
          <w:rFonts w:ascii="Times New Roman" w:hAnsi="Times New Roman" w:cs="Times New Roman"/>
        </w:rPr>
        <w:t xml:space="preserve">those assurances did nothing to prevent a series of </w:t>
      </w:r>
      <w:r w:rsidR="0085066C">
        <w:rPr>
          <w:rFonts w:ascii="Times New Roman" w:hAnsi="Times New Roman" w:cs="Times New Roman"/>
        </w:rPr>
        <w:t xml:space="preserve">humiliating </w:t>
      </w:r>
      <w:r w:rsidR="00055550" w:rsidRPr="004842AA">
        <w:rPr>
          <w:rFonts w:ascii="Times New Roman" w:hAnsi="Times New Roman" w:cs="Times New Roman"/>
        </w:rPr>
        <w:t>parliamentary defeats</w:t>
      </w:r>
      <w:r w:rsidR="0038541F" w:rsidRPr="004842AA">
        <w:rPr>
          <w:rFonts w:ascii="Times New Roman" w:hAnsi="Times New Roman" w:cs="Times New Roman"/>
        </w:rPr>
        <w:t>;</w:t>
      </w:r>
      <w:r w:rsidR="00C76E88" w:rsidRPr="004842AA">
        <w:rPr>
          <w:rStyle w:val="FootnoteReference"/>
          <w:rFonts w:ascii="Times New Roman" w:hAnsi="Times New Roman" w:cs="Times New Roman"/>
        </w:rPr>
        <w:footnoteReference w:id="66"/>
      </w:r>
      <w:r w:rsidR="0038541F" w:rsidRPr="004842AA">
        <w:rPr>
          <w:rFonts w:ascii="Times New Roman" w:hAnsi="Times New Roman" w:cs="Times New Roman"/>
        </w:rPr>
        <w:t xml:space="preserve"> successive requests for the European Council to defer the effective date of UK withdrawal;</w:t>
      </w:r>
      <w:r w:rsidR="00C76E88" w:rsidRPr="004842AA">
        <w:rPr>
          <w:rStyle w:val="FootnoteReference"/>
          <w:rFonts w:ascii="Times New Roman" w:hAnsi="Times New Roman" w:cs="Times New Roman"/>
        </w:rPr>
        <w:footnoteReference w:id="67"/>
      </w:r>
      <w:r w:rsidR="0038541F" w:rsidRPr="004842AA">
        <w:rPr>
          <w:rFonts w:ascii="Times New Roman" w:hAnsi="Times New Roman" w:cs="Times New Roman"/>
        </w:rPr>
        <w:t xml:space="preserve"> and the Conservative Party’s electoral </w:t>
      </w:r>
      <w:r w:rsidR="0085066C">
        <w:rPr>
          <w:rFonts w:ascii="Times New Roman" w:hAnsi="Times New Roman" w:cs="Times New Roman"/>
        </w:rPr>
        <w:t xml:space="preserve">embarrassment </w:t>
      </w:r>
      <w:r w:rsidR="0038541F" w:rsidRPr="004842AA">
        <w:rPr>
          <w:rFonts w:ascii="Times New Roman" w:hAnsi="Times New Roman" w:cs="Times New Roman"/>
        </w:rPr>
        <w:t xml:space="preserve">in the European elections </w:t>
      </w:r>
      <w:r w:rsidR="00B5782C">
        <w:rPr>
          <w:rFonts w:ascii="Times New Roman" w:hAnsi="Times New Roman" w:cs="Times New Roman"/>
        </w:rPr>
        <w:t xml:space="preserve">of </w:t>
      </w:r>
      <w:r w:rsidR="0038541F" w:rsidRPr="004842AA">
        <w:rPr>
          <w:rFonts w:ascii="Times New Roman" w:hAnsi="Times New Roman" w:cs="Times New Roman"/>
        </w:rPr>
        <w:t>May 2019.</w:t>
      </w:r>
      <w:r w:rsidR="00C76E88" w:rsidRPr="004842AA">
        <w:rPr>
          <w:rStyle w:val="FootnoteReference"/>
          <w:rFonts w:ascii="Times New Roman" w:hAnsi="Times New Roman" w:cs="Times New Roman"/>
        </w:rPr>
        <w:footnoteReference w:id="68"/>
      </w:r>
      <w:r w:rsidR="0038541F" w:rsidRPr="004842AA">
        <w:rPr>
          <w:rFonts w:ascii="Times New Roman" w:hAnsi="Times New Roman" w:cs="Times New Roman"/>
        </w:rPr>
        <w:t xml:space="preserve">  </w:t>
      </w:r>
    </w:p>
    <w:p w14:paraId="0D123059" w14:textId="5794376F" w:rsidR="00C60126" w:rsidRDefault="0038541F" w:rsidP="00C60126">
      <w:pPr>
        <w:ind w:firstLine="720"/>
        <w:jc w:val="both"/>
        <w:rPr>
          <w:rFonts w:ascii="Times New Roman" w:hAnsi="Times New Roman" w:cs="Times New Roman"/>
        </w:rPr>
      </w:pPr>
      <w:r w:rsidRPr="004842AA">
        <w:rPr>
          <w:rFonts w:ascii="Times New Roman" w:hAnsi="Times New Roman" w:cs="Times New Roman"/>
        </w:rPr>
        <w:t xml:space="preserve">Theresa </w:t>
      </w:r>
      <w:r w:rsidR="00EB45D0" w:rsidRPr="004842AA">
        <w:rPr>
          <w:rFonts w:ascii="Times New Roman" w:hAnsi="Times New Roman" w:cs="Times New Roman"/>
        </w:rPr>
        <w:t xml:space="preserve">May’s replacement </w:t>
      </w:r>
      <w:r w:rsidRPr="004842AA">
        <w:rPr>
          <w:rFonts w:ascii="Times New Roman" w:hAnsi="Times New Roman" w:cs="Times New Roman"/>
        </w:rPr>
        <w:t xml:space="preserve">as Prime Minister by Boris </w:t>
      </w:r>
      <w:r w:rsidR="00EB45D0" w:rsidRPr="004842AA">
        <w:rPr>
          <w:rFonts w:ascii="Times New Roman" w:hAnsi="Times New Roman" w:cs="Times New Roman"/>
        </w:rPr>
        <w:t xml:space="preserve">Johnson </w:t>
      </w:r>
      <w:r w:rsidRPr="004842AA">
        <w:rPr>
          <w:rFonts w:ascii="Times New Roman" w:hAnsi="Times New Roman" w:cs="Times New Roman"/>
        </w:rPr>
        <w:t xml:space="preserve">in July 2019 brought about a </w:t>
      </w:r>
      <w:r w:rsidR="00FD0F2E" w:rsidRPr="004842AA">
        <w:rPr>
          <w:rFonts w:ascii="Times New Roman" w:hAnsi="Times New Roman" w:cs="Times New Roman"/>
        </w:rPr>
        <w:t xml:space="preserve">decisive change in </w:t>
      </w:r>
      <w:r w:rsidRPr="004842AA">
        <w:rPr>
          <w:rFonts w:ascii="Times New Roman" w:hAnsi="Times New Roman" w:cs="Times New Roman"/>
        </w:rPr>
        <w:t>the UK’s political orientation</w:t>
      </w:r>
      <w:r w:rsidR="00FD0F2E" w:rsidRPr="004842AA">
        <w:rPr>
          <w:rFonts w:ascii="Times New Roman" w:hAnsi="Times New Roman" w:cs="Times New Roman"/>
        </w:rPr>
        <w:t xml:space="preserve">. </w:t>
      </w:r>
      <w:r w:rsidR="00680418" w:rsidRPr="004842AA">
        <w:rPr>
          <w:rFonts w:ascii="Times New Roman" w:hAnsi="Times New Roman" w:cs="Times New Roman"/>
        </w:rPr>
        <w:t xml:space="preserve"> </w:t>
      </w:r>
      <w:r w:rsidR="0085066C">
        <w:rPr>
          <w:rFonts w:ascii="Times New Roman" w:hAnsi="Times New Roman" w:cs="Times New Roman"/>
        </w:rPr>
        <w:t xml:space="preserve">Proudly reprising his role as </w:t>
      </w:r>
      <w:proofErr w:type="spellStart"/>
      <w:r w:rsidR="0085066C">
        <w:rPr>
          <w:rFonts w:ascii="Times New Roman" w:hAnsi="Times New Roman" w:cs="Times New Roman"/>
        </w:rPr>
        <w:t>Brexiter</w:t>
      </w:r>
      <w:proofErr w:type="spellEnd"/>
      <w:r w:rsidR="0085066C">
        <w:rPr>
          <w:rFonts w:ascii="Times New Roman" w:hAnsi="Times New Roman" w:cs="Times New Roman"/>
        </w:rPr>
        <w:t xml:space="preserve">-in-Chief, </w:t>
      </w:r>
      <w:r w:rsidR="00680418" w:rsidRPr="004842AA">
        <w:rPr>
          <w:rFonts w:ascii="Times New Roman" w:hAnsi="Times New Roman" w:cs="Times New Roman"/>
        </w:rPr>
        <w:t xml:space="preserve">Johnson </w:t>
      </w:r>
      <w:r w:rsidRPr="004842AA">
        <w:rPr>
          <w:rFonts w:ascii="Times New Roman" w:hAnsi="Times New Roman" w:cs="Times New Roman"/>
        </w:rPr>
        <w:t>promise</w:t>
      </w:r>
      <w:r w:rsidR="00680418" w:rsidRPr="004842AA">
        <w:rPr>
          <w:rFonts w:ascii="Times New Roman" w:hAnsi="Times New Roman" w:cs="Times New Roman"/>
        </w:rPr>
        <w:t>d</w:t>
      </w:r>
      <w:r w:rsidRPr="004842AA">
        <w:rPr>
          <w:rFonts w:ascii="Times New Roman" w:hAnsi="Times New Roman" w:cs="Times New Roman"/>
        </w:rPr>
        <w:t xml:space="preserve"> to </w:t>
      </w:r>
      <w:r w:rsidR="00680418" w:rsidRPr="004842AA">
        <w:rPr>
          <w:rFonts w:ascii="Times New Roman" w:hAnsi="Times New Roman" w:cs="Times New Roman"/>
        </w:rPr>
        <w:t xml:space="preserve">deliver </w:t>
      </w:r>
      <w:r w:rsidRPr="004842AA">
        <w:rPr>
          <w:rFonts w:ascii="Times New Roman" w:hAnsi="Times New Roman" w:cs="Times New Roman"/>
        </w:rPr>
        <w:t xml:space="preserve">an entirely new withdrawal settlement </w:t>
      </w:r>
      <w:r w:rsidR="00495A84">
        <w:rPr>
          <w:rFonts w:ascii="Times New Roman" w:hAnsi="Times New Roman" w:cs="Times New Roman"/>
        </w:rPr>
        <w:t xml:space="preserve">(or at least Irish border plan) </w:t>
      </w:r>
      <w:r w:rsidRPr="004842AA">
        <w:rPr>
          <w:rFonts w:ascii="Times New Roman" w:hAnsi="Times New Roman" w:cs="Times New Roman"/>
        </w:rPr>
        <w:t>with the EU</w:t>
      </w:r>
      <w:r w:rsidR="00680418" w:rsidRPr="004842AA">
        <w:rPr>
          <w:rFonts w:ascii="Times New Roman" w:hAnsi="Times New Roman" w:cs="Times New Roman"/>
        </w:rPr>
        <w:t>.</w:t>
      </w:r>
      <w:r w:rsidR="0085066C">
        <w:rPr>
          <w:rStyle w:val="FootnoteReference"/>
          <w:rFonts w:ascii="Times New Roman" w:hAnsi="Times New Roman" w:cs="Times New Roman"/>
        </w:rPr>
        <w:footnoteReference w:id="69"/>
      </w:r>
      <w:r w:rsidR="00680418" w:rsidRPr="004842AA">
        <w:rPr>
          <w:rFonts w:ascii="Times New Roman" w:hAnsi="Times New Roman" w:cs="Times New Roman"/>
        </w:rPr>
        <w:t xml:space="preserve">  However, </w:t>
      </w:r>
      <w:r w:rsidRPr="004842AA">
        <w:rPr>
          <w:rFonts w:ascii="Times New Roman" w:hAnsi="Times New Roman" w:cs="Times New Roman"/>
        </w:rPr>
        <w:t xml:space="preserve">many commentators assumed </w:t>
      </w:r>
      <w:r w:rsidR="0085066C">
        <w:rPr>
          <w:rFonts w:ascii="Times New Roman" w:hAnsi="Times New Roman" w:cs="Times New Roman"/>
        </w:rPr>
        <w:t xml:space="preserve">(primarily from the evidence of his own behaviour) </w:t>
      </w:r>
      <w:r w:rsidRPr="004842AA">
        <w:rPr>
          <w:rFonts w:ascii="Times New Roman" w:hAnsi="Times New Roman" w:cs="Times New Roman"/>
        </w:rPr>
        <w:t xml:space="preserve">that Johnson </w:t>
      </w:r>
      <w:r w:rsidR="00680418" w:rsidRPr="004842AA">
        <w:rPr>
          <w:rFonts w:ascii="Times New Roman" w:hAnsi="Times New Roman" w:cs="Times New Roman"/>
        </w:rPr>
        <w:t xml:space="preserve">was planning merely a sham </w:t>
      </w:r>
      <w:r w:rsidR="00FD0F2E" w:rsidRPr="004842AA">
        <w:rPr>
          <w:rFonts w:ascii="Times New Roman" w:hAnsi="Times New Roman" w:cs="Times New Roman"/>
        </w:rPr>
        <w:t>renegotiation</w:t>
      </w:r>
      <w:r w:rsidR="00680418" w:rsidRPr="004842AA">
        <w:rPr>
          <w:rFonts w:ascii="Times New Roman" w:hAnsi="Times New Roman" w:cs="Times New Roman"/>
        </w:rPr>
        <w:t xml:space="preserve">, to hide his true preference for a “no deal Brexit” on </w:t>
      </w:r>
      <w:r w:rsidR="00F545D0">
        <w:rPr>
          <w:rFonts w:ascii="Times New Roman" w:hAnsi="Times New Roman" w:cs="Times New Roman"/>
        </w:rPr>
        <w:t xml:space="preserve">the revised </w:t>
      </w:r>
      <w:r w:rsidR="00D630F4">
        <w:rPr>
          <w:rFonts w:ascii="Times New Roman" w:hAnsi="Times New Roman" w:cs="Times New Roman"/>
        </w:rPr>
        <w:t xml:space="preserve">departure date </w:t>
      </w:r>
      <w:r w:rsidR="00F545D0">
        <w:rPr>
          <w:rFonts w:ascii="Times New Roman" w:hAnsi="Times New Roman" w:cs="Times New Roman"/>
        </w:rPr>
        <w:t xml:space="preserve">of </w:t>
      </w:r>
      <w:r w:rsidR="00680418" w:rsidRPr="004842AA">
        <w:rPr>
          <w:rFonts w:ascii="Times New Roman" w:hAnsi="Times New Roman" w:cs="Times New Roman"/>
        </w:rPr>
        <w:t>31 October 2019.</w:t>
      </w:r>
      <w:r w:rsidR="00D630F4">
        <w:rPr>
          <w:rStyle w:val="FootnoteReference"/>
          <w:rFonts w:ascii="Times New Roman" w:hAnsi="Times New Roman" w:cs="Times New Roman"/>
        </w:rPr>
        <w:footnoteReference w:id="70"/>
      </w:r>
      <w:r w:rsidR="00680418" w:rsidRPr="004842AA">
        <w:rPr>
          <w:rFonts w:ascii="Times New Roman" w:hAnsi="Times New Roman" w:cs="Times New Roman"/>
        </w:rPr>
        <w:t xml:space="preserve">  If </w:t>
      </w:r>
      <w:r w:rsidR="00D630F4">
        <w:rPr>
          <w:rFonts w:ascii="Times New Roman" w:hAnsi="Times New Roman" w:cs="Times New Roman"/>
        </w:rPr>
        <w:t>that was indeed his plan</w:t>
      </w:r>
      <w:r w:rsidR="00680418" w:rsidRPr="004842AA">
        <w:rPr>
          <w:rFonts w:ascii="Times New Roman" w:hAnsi="Times New Roman" w:cs="Times New Roman"/>
        </w:rPr>
        <w:t xml:space="preserve">, </w:t>
      </w:r>
      <w:r w:rsidR="008A53EC" w:rsidRPr="004842AA">
        <w:rPr>
          <w:rFonts w:ascii="Times New Roman" w:hAnsi="Times New Roman" w:cs="Times New Roman"/>
        </w:rPr>
        <w:t xml:space="preserve">then </w:t>
      </w:r>
      <w:r w:rsidR="00680418" w:rsidRPr="004842AA">
        <w:rPr>
          <w:rFonts w:ascii="Times New Roman" w:hAnsi="Times New Roman" w:cs="Times New Roman"/>
        </w:rPr>
        <w:t>successful p</w:t>
      </w:r>
      <w:r w:rsidR="00FD0F2E" w:rsidRPr="004842AA">
        <w:rPr>
          <w:rFonts w:ascii="Times New Roman" w:hAnsi="Times New Roman" w:cs="Times New Roman"/>
        </w:rPr>
        <w:t xml:space="preserve">arliamentary </w:t>
      </w:r>
      <w:r w:rsidR="00680418" w:rsidRPr="004842AA">
        <w:rPr>
          <w:rFonts w:ascii="Times New Roman" w:hAnsi="Times New Roman" w:cs="Times New Roman"/>
        </w:rPr>
        <w:t xml:space="preserve">efforts to rule out any such denouement </w:t>
      </w:r>
      <w:r w:rsidR="00D630F4">
        <w:rPr>
          <w:rFonts w:ascii="Times New Roman" w:hAnsi="Times New Roman" w:cs="Times New Roman"/>
        </w:rPr>
        <w:t xml:space="preserve">effectively </w:t>
      </w:r>
      <w:r w:rsidR="00FD0F2E" w:rsidRPr="004842AA">
        <w:rPr>
          <w:rFonts w:ascii="Times New Roman" w:hAnsi="Times New Roman" w:cs="Times New Roman"/>
        </w:rPr>
        <w:t xml:space="preserve">forced </w:t>
      </w:r>
      <w:r w:rsidR="00680418" w:rsidRPr="004842AA">
        <w:rPr>
          <w:rFonts w:ascii="Times New Roman" w:hAnsi="Times New Roman" w:cs="Times New Roman"/>
        </w:rPr>
        <w:t xml:space="preserve">Johnson into </w:t>
      </w:r>
      <w:r w:rsidR="008A53EC" w:rsidRPr="004842AA">
        <w:rPr>
          <w:rFonts w:ascii="Times New Roman" w:hAnsi="Times New Roman" w:cs="Times New Roman"/>
        </w:rPr>
        <w:t xml:space="preserve">undertaking </w:t>
      </w:r>
      <w:r w:rsidR="00FD0F2E" w:rsidRPr="004842AA">
        <w:rPr>
          <w:rFonts w:ascii="Times New Roman" w:hAnsi="Times New Roman" w:cs="Times New Roman"/>
        </w:rPr>
        <w:t xml:space="preserve">more serious </w:t>
      </w:r>
      <w:r w:rsidR="00680418" w:rsidRPr="004842AA">
        <w:rPr>
          <w:rFonts w:ascii="Times New Roman" w:hAnsi="Times New Roman" w:cs="Times New Roman"/>
        </w:rPr>
        <w:t>talks with the EU.</w:t>
      </w:r>
      <w:r w:rsidR="00C76E88" w:rsidRPr="004842AA">
        <w:rPr>
          <w:rStyle w:val="FootnoteReference"/>
          <w:rFonts w:ascii="Times New Roman" w:hAnsi="Times New Roman" w:cs="Times New Roman"/>
        </w:rPr>
        <w:footnoteReference w:id="71"/>
      </w:r>
      <w:r w:rsidR="00680418" w:rsidRPr="004842AA">
        <w:rPr>
          <w:rFonts w:ascii="Times New Roman" w:hAnsi="Times New Roman" w:cs="Times New Roman"/>
        </w:rPr>
        <w:t xml:space="preserve">  </w:t>
      </w:r>
      <w:r w:rsidR="00C76E88" w:rsidRPr="004842AA">
        <w:rPr>
          <w:rFonts w:ascii="Times New Roman" w:hAnsi="Times New Roman" w:cs="Times New Roman"/>
        </w:rPr>
        <w:t>A final round of intense negotiations produced the revised Withdrawal Package of October 2019,</w:t>
      </w:r>
      <w:r w:rsidR="00C76E88" w:rsidRPr="004842AA">
        <w:rPr>
          <w:rStyle w:val="FootnoteReference"/>
          <w:rFonts w:ascii="Times New Roman" w:hAnsi="Times New Roman" w:cs="Times New Roman"/>
        </w:rPr>
        <w:footnoteReference w:id="72"/>
      </w:r>
      <w:r w:rsidR="00C76E88" w:rsidRPr="004842AA">
        <w:rPr>
          <w:rFonts w:ascii="Times New Roman" w:hAnsi="Times New Roman" w:cs="Times New Roman"/>
        </w:rPr>
        <w:t xml:space="preserve"> which contained </w:t>
      </w:r>
      <w:r w:rsidR="008A53EC" w:rsidRPr="004842AA">
        <w:rPr>
          <w:rFonts w:ascii="Times New Roman" w:hAnsi="Times New Roman" w:cs="Times New Roman"/>
        </w:rPr>
        <w:t xml:space="preserve">two main (inter-related) changes </w:t>
      </w:r>
      <w:r w:rsidR="00C76E88" w:rsidRPr="004842AA">
        <w:rPr>
          <w:rFonts w:ascii="Times New Roman" w:hAnsi="Times New Roman" w:cs="Times New Roman"/>
        </w:rPr>
        <w:t xml:space="preserve">as compared to </w:t>
      </w:r>
      <w:r w:rsidR="008A53EC" w:rsidRPr="004842AA">
        <w:rPr>
          <w:rFonts w:ascii="Times New Roman" w:hAnsi="Times New Roman" w:cs="Times New Roman"/>
        </w:rPr>
        <w:t xml:space="preserve">the </w:t>
      </w:r>
      <w:r w:rsidR="00D630F4">
        <w:rPr>
          <w:rFonts w:ascii="Times New Roman" w:hAnsi="Times New Roman" w:cs="Times New Roman"/>
        </w:rPr>
        <w:t xml:space="preserve">parties’ </w:t>
      </w:r>
      <w:r w:rsidR="008A53EC" w:rsidRPr="004842AA">
        <w:rPr>
          <w:rFonts w:ascii="Times New Roman" w:hAnsi="Times New Roman" w:cs="Times New Roman"/>
        </w:rPr>
        <w:t>previous</w:t>
      </w:r>
      <w:r w:rsidR="00D630F4">
        <w:rPr>
          <w:rFonts w:ascii="Times New Roman" w:hAnsi="Times New Roman" w:cs="Times New Roman"/>
        </w:rPr>
        <w:t xml:space="preserve"> </w:t>
      </w:r>
      <w:r w:rsidR="008A53EC" w:rsidRPr="004842AA">
        <w:rPr>
          <w:rFonts w:ascii="Times New Roman" w:hAnsi="Times New Roman" w:cs="Times New Roman"/>
        </w:rPr>
        <w:t xml:space="preserve">arrangements: significant amendments to the border plans </w:t>
      </w:r>
      <w:r w:rsidR="00D630F4">
        <w:rPr>
          <w:rFonts w:ascii="Times New Roman" w:hAnsi="Times New Roman" w:cs="Times New Roman"/>
        </w:rPr>
        <w:t xml:space="preserve">that </w:t>
      </w:r>
      <w:r w:rsidR="008A53EC" w:rsidRPr="004842AA">
        <w:rPr>
          <w:rFonts w:ascii="Times New Roman" w:hAnsi="Times New Roman" w:cs="Times New Roman"/>
        </w:rPr>
        <w:t xml:space="preserve">would apply </w:t>
      </w:r>
      <w:r w:rsidR="00D630F4">
        <w:rPr>
          <w:rFonts w:ascii="Times New Roman" w:hAnsi="Times New Roman" w:cs="Times New Roman"/>
        </w:rPr>
        <w:t xml:space="preserve">under </w:t>
      </w:r>
      <w:r w:rsidR="00D630F4" w:rsidRPr="004842AA">
        <w:rPr>
          <w:rFonts w:ascii="Times New Roman" w:hAnsi="Times New Roman" w:cs="Times New Roman"/>
        </w:rPr>
        <w:t xml:space="preserve">the Agreement </w:t>
      </w:r>
      <w:r w:rsidR="008A53EC" w:rsidRPr="004842AA">
        <w:rPr>
          <w:rFonts w:ascii="Times New Roman" w:hAnsi="Times New Roman" w:cs="Times New Roman"/>
        </w:rPr>
        <w:t xml:space="preserve">to the island of </w:t>
      </w:r>
      <w:r w:rsidR="008A53EC" w:rsidRPr="004842AA">
        <w:rPr>
          <w:rFonts w:ascii="Times New Roman" w:hAnsi="Times New Roman" w:cs="Times New Roman"/>
        </w:rPr>
        <w:lastRenderedPageBreak/>
        <w:t xml:space="preserve">Ireland (much to the horror of </w:t>
      </w:r>
      <w:r w:rsidR="008D3B9F">
        <w:rPr>
          <w:rFonts w:ascii="Times New Roman" w:hAnsi="Times New Roman" w:cs="Times New Roman"/>
        </w:rPr>
        <w:t>Johnson’s</w:t>
      </w:r>
      <w:r w:rsidR="008A53EC" w:rsidRPr="004842AA">
        <w:rPr>
          <w:rFonts w:ascii="Times New Roman" w:hAnsi="Times New Roman" w:cs="Times New Roman"/>
        </w:rPr>
        <w:t xml:space="preserve"> former DUP allies);</w:t>
      </w:r>
      <w:r w:rsidR="00C76E88" w:rsidRPr="004842AA">
        <w:rPr>
          <w:rStyle w:val="FootnoteReference"/>
          <w:rFonts w:ascii="Times New Roman" w:hAnsi="Times New Roman" w:cs="Times New Roman"/>
        </w:rPr>
        <w:footnoteReference w:id="73"/>
      </w:r>
      <w:r w:rsidR="008A53EC" w:rsidRPr="004842AA">
        <w:rPr>
          <w:rFonts w:ascii="Times New Roman" w:hAnsi="Times New Roman" w:cs="Times New Roman"/>
        </w:rPr>
        <w:t xml:space="preserve"> and </w:t>
      </w:r>
      <w:r w:rsidR="00D630F4">
        <w:rPr>
          <w:rFonts w:ascii="Times New Roman" w:hAnsi="Times New Roman" w:cs="Times New Roman"/>
        </w:rPr>
        <w:t xml:space="preserve">various alterations </w:t>
      </w:r>
      <w:r w:rsidR="008A53EC" w:rsidRPr="004842AA">
        <w:rPr>
          <w:rFonts w:ascii="Times New Roman" w:hAnsi="Times New Roman" w:cs="Times New Roman"/>
        </w:rPr>
        <w:t xml:space="preserve">to the Political Declaration that </w:t>
      </w:r>
      <w:r w:rsidR="00B5782C">
        <w:rPr>
          <w:rFonts w:ascii="Times New Roman" w:hAnsi="Times New Roman" w:cs="Times New Roman"/>
        </w:rPr>
        <w:t>foretold</w:t>
      </w:r>
      <w:r w:rsidR="008A53EC" w:rsidRPr="004842AA">
        <w:rPr>
          <w:rFonts w:ascii="Times New Roman" w:hAnsi="Times New Roman" w:cs="Times New Roman"/>
        </w:rPr>
        <w:t xml:space="preserve"> a </w:t>
      </w:r>
      <w:r w:rsidR="00160BD3">
        <w:rPr>
          <w:rFonts w:ascii="Times New Roman" w:hAnsi="Times New Roman" w:cs="Times New Roman"/>
        </w:rPr>
        <w:t xml:space="preserve">significantly </w:t>
      </w:r>
      <w:r w:rsidR="008A53EC" w:rsidRPr="004842AA">
        <w:rPr>
          <w:rFonts w:ascii="Times New Roman" w:hAnsi="Times New Roman" w:cs="Times New Roman"/>
        </w:rPr>
        <w:t xml:space="preserve">more distant future EU-UK relationship than even Theresa May had suggested (much to </w:t>
      </w:r>
      <w:r w:rsidR="00D630F4">
        <w:rPr>
          <w:rFonts w:ascii="Times New Roman" w:hAnsi="Times New Roman" w:cs="Times New Roman"/>
        </w:rPr>
        <w:t>the delight of Tory U</w:t>
      </w:r>
      <w:r w:rsidR="008A53EC" w:rsidRPr="004842AA">
        <w:rPr>
          <w:rFonts w:ascii="Times New Roman" w:hAnsi="Times New Roman" w:cs="Times New Roman"/>
        </w:rPr>
        <w:t>ltras).</w:t>
      </w:r>
      <w:r w:rsidR="00C76E88" w:rsidRPr="004842AA">
        <w:rPr>
          <w:rStyle w:val="FootnoteReference"/>
          <w:rFonts w:ascii="Times New Roman" w:hAnsi="Times New Roman" w:cs="Times New Roman"/>
        </w:rPr>
        <w:footnoteReference w:id="74"/>
      </w:r>
      <w:r w:rsidR="008A53EC" w:rsidRPr="004842AA">
        <w:rPr>
          <w:rFonts w:ascii="Times New Roman" w:hAnsi="Times New Roman" w:cs="Times New Roman"/>
        </w:rPr>
        <w:t xml:space="preserve">  </w:t>
      </w:r>
    </w:p>
    <w:p w14:paraId="5918102C" w14:textId="5BFB68CB" w:rsidR="00C60126" w:rsidRDefault="0063059D" w:rsidP="00C60126">
      <w:pPr>
        <w:ind w:firstLine="720"/>
        <w:jc w:val="both"/>
        <w:rPr>
          <w:rFonts w:ascii="Times New Roman" w:hAnsi="Times New Roman" w:cs="Times New Roman"/>
        </w:rPr>
      </w:pPr>
      <w:r w:rsidRPr="004842AA">
        <w:rPr>
          <w:rFonts w:ascii="Times New Roman" w:hAnsi="Times New Roman" w:cs="Times New Roman"/>
        </w:rPr>
        <w:t xml:space="preserve">If Johnson had still </w:t>
      </w:r>
      <w:r w:rsidR="00D630F4">
        <w:rPr>
          <w:rFonts w:ascii="Times New Roman" w:hAnsi="Times New Roman" w:cs="Times New Roman"/>
        </w:rPr>
        <w:t xml:space="preserve">genuinely </w:t>
      </w:r>
      <w:r w:rsidRPr="004842AA">
        <w:rPr>
          <w:rFonts w:ascii="Times New Roman" w:hAnsi="Times New Roman" w:cs="Times New Roman"/>
        </w:rPr>
        <w:t>hoped to complete the section 13 parliamentary process in time for the UK’s projected withdrawal on 31 October</w:t>
      </w:r>
      <w:r w:rsidR="00D630F4">
        <w:rPr>
          <w:rFonts w:ascii="Times New Roman" w:hAnsi="Times New Roman" w:cs="Times New Roman"/>
        </w:rPr>
        <w:t xml:space="preserve"> 2019</w:t>
      </w:r>
      <w:r w:rsidRPr="004842AA">
        <w:rPr>
          <w:rFonts w:ascii="Times New Roman" w:hAnsi="Times New Roman" w:cs="Times New Roman"/>
        </w:rPr>
        <w:t>, the House of Commons again managed to defy him</w:t>
      </w:r>
      <w:r w:rsidR="00195B48">
        <w:rPr>
          <w:rFonts w:ascii="Times New Roman" w:hAnsi="Times New Roman" w:cs="Times New Roman"/>
        </w:rPr>
        <w:t>:</w:t>
      </w:r>
      <w:r w:rsidRPr="004842AA">
        <w:rPr>
          <w:rFonts w:ascii="Times New Roman" w:hAnsi="Times New Roman" w:cs="Times New Roman"/>
        </w:rPr>
        <w:t xml:space="preserve"> voting to delay </w:t>
      </w:r>
      <w:r w:rsidR="00D630F4">
        <w:rPr>
          <w:rFonts w:ascii="Times New Roman" w:hAnsi="Times New Roman" w:cs="Times New Roman"/>
        </w:rPr>
        <w:t xml:space="preserve">any </w:t>
      </w:r>
      <w:r w:rsidRPr="004842AA">
        <w:rPr>
          <w:rFonts w:ascii="Times New Roman" w:hAnsi="Times New Roman" w:cs="Times New Roman"/>
        </w:rPr>
        <w:t>further approval of the revised Withdrawal Package</w:t>
      </w:r>
      <w:r w:rsidR="00195B48">
        <w:rPr>
          <w:rFonts w:ascii="Times New Roman" w:hAnsi="Times New Roman" w:cs="Times New Roman"/>
        </w:rPr>
        <w:t>;</w:t>
      </w:r>
      <w:r w:rsidR="00195B48">
        <w:rPr>
          <w:rStyle w:val="FootnoteReference"/>
          <w:rFonts w:ascii="Times New Roman" w:hAnsi="Times New Roman" w:cs="Times New Roman"/>
        </w:rPr>
        <w:footnoteReference w:id="75"/>
      </w:r>
      <w:r w:rsidRPr="004842AA">
        <w:rPr>
          <w:rFonts w:ascii="Times New Roman" w:hAnsi="Times New Roman" w:cs="Times New Roman"/>
        </w:rPr>
        <w:t xml:space="preserve"> </w:t>
      </w:r>
      <w:r w:rsidR="00195B48">
        <w:rPr>
          <w:rFonts w:ascii="Times New Roman" w:hAnsi="Times New Roman" w:cs="Times New Roman"/>
        </w:rPr>
        <w:t xml:space="preserve">and thereby </w:t>
      </w:r>
      <w:r w:rsidRPr="004842AA">
        <w:rPr>
          <w:rFonts w:ascii="Times New Roman" w:hAnsi="Times New Roman" w:cs="Times New Roman"/>
        </w:rPr>
        <w:t xml:space="preserve">directly forcing </w:t>
      </w:r>
      <w:r w:rsidR="00195B48">
        <w:rPr>
          <w:rFonts w:ascii="Times New Roman" w:hAnsi="Times New Roman" w:cs="Times New Roman"/>
        </w:rPr>
        <w:t>the</w:t>
      </w:r>
      <w:r w:rsidRPr="004842AA">
        <w:rPr>
          <w:rFonts w:ascii="Times New Roman" w:hAnsi="Times New Roman" w:cs="Times New Roman"/>
        </w:rPr>
        <w:t xml:space="preserve"> Government to request </w:t>
      </w:r>
      <w:r w:rsidR="00EF6558" w:rsidRPr="004842AA">
        <w:rPr>
          <w:rFonts w:ascii="Times New Roman" w:hAnsi="Times New Roman" w:cs="Times New Roman"/>
        </w:rPr>
        <w:t xml:space="preserve">yet </w:t>
      </w:r>
      <w:r w:rsidRPr="004842AA">
        <w:rPr>
          <w:rFonts w:ascii="Times New Roman" w:hAnsi="Times New Roman" w:cs="Times New Roman"/>
        </w:rPr>
        <w:t>another extension to the UK’s “exit day”</w:t>
      </w:r>
      <w:r w:rsidR="00EF6558" w:rsidRPr="004842AA">
        <w:rPr>
          <w:rFonts w:ascii="Times New Roman" w:hAnsi="Times New Roman" w:cs="Times New Roman"/>
        </w:rPr>
        <w:t xml:space="preserve"> – this time until 31 January 2020.</w:t>
      </w:r>
      <w:r w:rsidR="00C76E88" w:rsidRPr="004842AA">
        <w:rPr>
          <w:rStyle w:val="FootnoteReference"/>
          <w:rFonts w:ascii="Times New Roman" w:hAnsi="Times New Roman" w:cs="Times New Roman"/>
        </w:rPr>
        <w:footnoteReference w:id="76"/>
      </w:r>
      <w:r w:rsidR="00EF6558" w:rsidRPr="004842AA">
        <w:rPr>
          <w:rFonts w:ascii="Times New Roman" w:hAnsi="Times New Roman" w:cs="Times New Roman"/>
        </w:rPr>
        <w:t xml:space="preserve">  </w:t>
      </w:r>
      <w:r w:rsidR="00B936EB">
        <w:rPr>
          <w:rFonts w:ascii="Times New Roman" w:hAnsi="Times New Roman" w:cs="Times New Roman"/>
        </w:rPr>
        <w:t xml:space="preserve">Johnson may not have “got </w:t>
      </w:r>
      <w:proofErr w:type="spellStart"/>
      <w:r w:rsidR="00B936EB">
        <w:rPr>
          <w:rFonts w:ascii="Times New Roman" w:hAnsi="Times New Roman" w:cs="Times New Roman"/>
        </w:rPr>
        <w:t>Brexit</w:t>
      </w:r>
      <w:proofErr w:type="spellEnd"/>
      <w:r w:rsidR="00B936EB">
        <w:rPr>
          <w:rFonts w:ascii="Times New Roman" w:hAnsi="Times New Roman" w:cs="Times New Roman"/>
        </w:rPr>
        <w:t xml:space="preserve"> done” by his very own “do or die” deadline – but b</w:t>
      </w:r>
      <w:r w:rsidRPr="004842AA">
        <w:rPr>
          <w:rFonts w:ascii="Times New Roman" w:hAnsi="Times New Roman" w:cs="Times New Roman"/>
        </w:rPr>
        <w:t xml:space="preserve">y this stage, it was </w:t>
      </w:r>
      <w:r w:rsidR="00B936EB">
        <w:rPr>
          <w:rFonts w:ascii="Times New Roman" w:hAnsi="Times New Roman" w:cs="Times New Roman"/>
        </w:rPr>
        <w:t xml:space="preserve">nevertheless </w:t>
      </w:r>
      <w:r w:rsidRPr="004842AA">
        <w:rPr>
          <w:rFonts w:ascii="Times New Roman" w:hAnsi="Times New Roman" w:cs="Times New Roman"/>
        </w:rPr>
        <w:t xml:space="preserve">evident that Johnson stood a </w:t>
      </w:r>
      <w:r w:rsidR="00B936EB">
        <w:rPr>
          <w:rFonts w:ascii="Times New Roman" w:hAnsi="Times New Roman" w:cs="Times New Roman"/>
        </w:rPr>
        <w:t xml:space="preserve">strong </w:t>
      </w:r>
      <w:r w:rsidRPr="004842AA">
        <w:rPr>
          <w:rFonts w:ascii="Times New Roman" w:hAnsi="Times New Roman" w:cs="Times New Roman"/>
        </w:rPr>
        <w:t xml:space="preserve">chance of </w:t>
      </w:r>
      <w:r w:rsidR="008D3B9F" w:rsidRPr="004842AA">
        <w:rPr>
          <w:rFonts w:ascii="Times New Roman" w:hAnsi="Times New Roman" w:cs="Times New Roman"/>
        </w:rPr>
        <w:t xml:space="preserve">eventually </w:t>
      </w:r>
      <w:r w:rsidRPr="004842AA">
        <w:rPr>
          <w:rFonts w:ascii="Times New Roman" w:hAnsi="Times New Roman" w:cs="Times New Roman"/>
        </w:rPr>
        <w:t xml:space="preserve">succeeding where May had repeatedly failed: even though his new approach to the Irish border had cost him the support of the DUP, his more </w:t>
      </w:r>
      <w:proofErr w:type="spellStart"/>
      <w:r w:rsidRPr="004842AA">
        <w:rPr>
          <w:rFonts w:ascii="Times New Roman" w:hAnsi="Times New Roman" w:cs="Times New Roman"/>
        </w:rPr>
        <w:t>hardline</w:t>
      </w:r>
      <w:proofErr w:type="spellEnd"/>
      <w:r w:rsidRPr="004842AA">
        <w:rPr>
          <w:rFonts w:ascii="Times New Roman" w:hAnsi="Times New Roman" w:cs="Times New Roman"/>
        </w:rPr>
        <w:t xml:space="preserve"> stance on future EU-UK relations had won him ba</w:t>
      </w:r>
      <w:r w:rsidR="008D3B9F">
        <w:rPr>
          <w:rFonts w:ascii="Times New Roman" w:hAnsi="Times New Roman" w:cs="Times New Roman"/>
        </w:rPr>
        <w:t>ck the more extreme Tory rebels;</w:t>
      </w:r>
      <w:r w:rsidRPr="004842AA">
        <w:rPr>
          <w:rFonts w:ascii="Times New Roman" w:hAnsi="Times New Roman" w:cs="Times New Roman"/>
        </w:rPr>
        <w:t xml:space="preserve"> and it seemed likely that sheer “Brexit fatigue” would now persuade enough moderate Conservatives as well as several Labour MPs also to support the Government under section 13.  Yet </w:t>
      </w:r>
      <w:r w:rsidR="00EF6558" w:rsidRPr="004842AA">
        <w:rPr>
          <w:rFonts w:ascii="Times New Roman" w:hAnsi="Times New Roman" w:cs="Times New Roman"/>
        </w:rPr>
        <w:t xml:space="preserve">rather than continue with the search for parliamentary approval of his revised Withdrawal Package, </w:t>
      </w:r>
      <w:r w:rsidRPr="004842AA">
        <w:rPr>
          <w:rFonts w:ascii="Times New Roman" w:hAnsi="Times New Roman" w:cs="Times New Roman"/>
        </w:rPr>
        <w:t xml:space="preserve">Johnson </w:t>
      </w:r>
      <w:r w:rsidR="00EF6558" w:rsidRPr="004842AA">
        <w:rPr>
          <w:rFonts w:ascii="Times New Roman" w:hAnsi="Times New Roman" w:cs="Times New Roman"/>
        </w:rPr>
        <w:t>instead pressed for a different route: calling another UK general election.  Despite having refused to agree to that request several times already,</w:t>
      </w:r>
      <w:r w:rsidR="00C76E88" w:rsidRPr="004842AA">
        <w:rPr>
          <w:rStyle w:val="FootnoteReference"/>
          <w:rFonts w:ascii="Times New Roman" w:hAnsi="Times New Roman" w:cs="Times New Roman"/>
        </w:rPr>
        <w:footnoteReference w:id="77"/>
      </w:r>
      <w:r w:rsidR="00EF6558" w:rsidRPr="004842AA">
        <w:rPr>
          <w:rFonts w:ascii="Times New Roman" w:hAnsi="Times New Roman" w:cs="Times New Roman"/>
        </w:rPr>
        <w:t xml:space="preserve"> the main UK opposition parties were eventually persuaded to acquiesce – perhaps hoping that voters would swing against the Conservatives altogether, or at least do so in sufficient numbers as to make a second referendum on EU membership part of any future coalition talks.</w:t>
      </w:r>
      <w:r w:rsidR="00C76E88" w:rsidRPr="004842AA">
        <w:rPr>
          <w:rStyle w:val="FootnoteReference"/>
          <w:rFonts w:ascii="Times New Roman" w:hAnsi="Times New Roman" w:cs="Times New Roman"/>
        </w:rPr>
        <w:footnoteReference w:id="78"/>
      </w:r>
      <w:r w:rsidR="00EF6558" w:rsidRPr="004842AA">
        <w:rPr>
          <w:rFonts w:ascii="Times New Roman" w:hAnsi="Times New Roman" w:cs="Times New Roman"/>
        </w:rPr>
        <w:t xml:space="preserve"> </w:t>
      </w:r>
    </w:p>
    <w:p w14:paraId="1D76F06D" w14:textId="03B51F5C" w:rsidR="00FD0F2E" w:rsidRPr="004842AA" w:rsidRDefault="00EF6558" w:rsidP="00C60126">
      <w:pPr>
        <w:ind w:firstLine="720"/>
        <w:jc w:val="both"/>
        <w:rPr>
          <w:rFonts w:ascii="Times New Roman" w:hAnsi="Times New Roman" w:cs="Times New Roman"/>
        </w:rPr>
      </w:pPr>
      <w:r w:rsidRPr="004842AA">
        <w:rPr>
          <w:rFonts w:ascii="Times New Roman" w:hAnsi="Times New Roman" w:cs="Times New Roman"/>
        </w:rPr>
        <w:t>If that was their calculation, the opposition parties could not have been more wrong.  The Conservatives won 43.6% of the popular vote</w:t>
      </w:r>
      <w:r w:rsidR="00957CB3" w:rsidRPr="004842AA">
        <w:rPr>
          <w:rFonts w:ascii="Times New Roman" w:hAnsi="Times New Roman" w:cs="Times New Roman"/>
        </w:rPr>
        <w:t xml:space="preserve"> in December 2019</w:t>
      </w:r>
      <w:r w:rsidRPr="004842AA">
        <w:rPr>
          <w:rFonts w:ascii="Times New Roman" w:hAnsi="Times New Roman" w:cs="Times New Roman"/>
        </w:rPr>
        <w:t xml:space="preserve">, which translated into an 80-seat majority in the House of Commons.  Moreover, the Tories were now a very different political movement </w:t>
      </w:r>
      <w:r w:rsidR="00957CB3" w:rsidRPr="004842AA">
        <w:rPr>
          <w:rFonts w:ascii="Times New Roman" w:hAnsi="Times New Roman" w:cs="Times New Roman"/>
        </w:rPr>
        <w:t>from previous generations: entirely purged of moderate pro-Europeans; significantly more right</w:t>
      </w:r>
      <w:r w:rsidR="00D630F4">
        <w:rPr>
          <w:rFonts w:ascii="Times New Roman" w:hAnsi="Times New Roman" w:cs="Times New Roman"/>
        </w:rPr>
        <w:t xml:space="preserve"> </w:t>
      </w:r>
      <w:r w:rsidR="00957CB3" w:rsidRPr="004842AA">
        <w:rPr>
          <w:rFonts w:ascii="Times New Roman" w:hAnsi="Times New Roman" w:cs="Times New Roman"/>
        </w:rPr>
        <w:t xml:space="preserve">wing in orientation.  For his part, Johnson’s gamble had paid off handsomely: at this point, for the first time since June 2016, </w:t>
      </w:r>
      <w:r w:rsidR="00FD0F2E" w:rsidRPr="004842AA">
        <w:rPr>
          <w:rFonts w:ascii="Times New Roman" w:hAnsi="Times New Roman" w:cs="Times New Roman"/>
        </w:rPr>
        <w:t xml:space="preserve">Brexit became inevitable.  </w:t>
      </w:r>
      <w:r w:rsidR="00957CB3" w:rsidRPr="004842AA">
        <w:rPr>
          <w:rFonts w:ascii="Times New Roman" w:hAnsi="Times New Roman" w:cs="Times New Roman"/>
        </w:rPr>
        <w:t xml:space="preserve">The UK Government published </w:t>
      </w:r>
      <w:r w:rsidR="00FD0F2E" w:rsidRPr="004842AA">
        <w:rPr>
          <w:rFonts w:ascii="Times New Roman" w:hAnsi="Times New Roman" w:cs="Times New Roman"/>
        </w:rPr>
        <w:t>draft legislation</w:t>
      </w:r>
      <w:r w:rsidR="00957CB3" w:rsidRPr="004842AA">
        <w:rPr>
          <w:rFonts w:ascii="Times New Roman" w:hAnsi="Times New Roman" w:cs="Times New Roman"/>
        </w:rPr>
        <w:t xml:space="preserve"> which </w:t>
      </w:r>
      <w:r w:rsidR="00D630F4">
        <w:rPr>
          <w:rFonts w:ascii="Times New Roman" w:hAnsi="Times New Roman" w:cs="Times New Roman"/>
        </w:rPr>
        <w:t>would abolish</w:t>
      </w:r>
      <w:r w:rsidR="00FD0F2E" w:rsidRPr="004842AA">
        <w:rPr>
          <w:rFonts w:ascii="Times New Roman" w:hAnsi="Times New Roman" w:cs="Times New Roman"/>
        </w:rPr>
        <w:t xml:space="preserve"> </w:t>
      </w:r>
      <w:r w:rsidR="00957CB3" w:rsidRPr="004842AA">
        <w:rPr>
          <w:rFonts w:ascii="Times New Roman" w:hAnsi="Times New Roman" w:cs="Times New Roman"/>
        </w:rPr>
        <w:t xml:space="preserve">the troublesome </w:t>
      </w:r>
      <w:r w:rsidR="00FD0F2E" w:rsidRPr="004842AA">
        <w:rPr>
          <w:rFonts w:ascii="Times New Roman" w:hAnsi="Times New Roman" w:cs="Times New Roman"/>
        </w:rPr>
        <w:t>section 13 process</w:t>
      </w:r>
      <w:r w:rsidR="00957CB3" w:rsidRPr="004842AA">
        <w:rPr>
          <w:rFonts w:ascii="Times New Roman" w:hAnsi="Times New Roman" w:cs="Times New Roman"/>
        </w:rPr>
        <w:t xml:space="preserve"> altoge</w:t>
      </w:r>
      <w:r w:rsidR="00D630F4">
        <w:rPr>
          <w:rFonts w:ascii="Times New Roman" w:hAnsi="Times New Roman" w:cs="Times New Roman"/>
        </w:rPr>
        <w:t>ther and instead simply provide</w:t>
      </w:r>
      <w:r w:rsidR="00957CB3" w:rsidRPr="004842AA">
        <w:rPr>
          <w:rFonts w:ascii="Times New Roman" w:hAnsi="Times New Roman" w:cs="Times New Roman"/>
        </w:rPr>
        <w:t xml:space="preserve"> for domestic implementation of the Agreement in those situations where it was positively required – as well as (for example) explicitly ruling out any extension to the post-withdrawal, status quo </w:t>
      </w:r>
      <w:r w:rsidR="006861A1">
        <w:rPr>
          <w:rFonts w:ascii="Times New Roman" w:hAnsi="Times New Roman" w:cs="Times New Roman"/>
        </w:rPr>
        <w:t>transition</w:t>
      </w:r>
      <w:r w:rsidR="00FD0F2E" w:rsidRPr="004842AA">
        <w:rPr>
          <w:rFonts w:ascii="Times New Roman" w:hAnsi="Times New Roman" w:cs="Times New Roman"/>
        </w:rPr>
        <w:t xml:space="preserve"> </w:t>
      </w:r>
      <w:r w:rsidR="00957CB3" w:rsidRPr="004842AA">
        <w:rPr>
          <w:rFonts w:ascii="Times New Roman" w:hAnsi="Times New Roman" w:cs="Times New Roman"/>
        </w:rPr>
        <w:t>period</w:t>
      </w:r>
      <w:r w:rsidR="00D630F4">
        <w:rPr>
          <w:rFonts w:ascii="Times New Roman" w:hAnsi="Times New Roman" w:cs="Times New Roman"/>
        </w:rPr>
        <w:t>;</w:t>
      </w:r>
      <w:r w:rsidR="002A7FC7">
        <w:rPr>
          <w:rStyle w:val="FootnoteReference"/>
          <w:rFonts w:ascii="Times New Roman" w:hAnsi="Times New Roman" w:cs="Times New Roman"/>
        </w:rPr>
        <w:footnoteReference w:id="79"/>
      </w:r>
      <w:r w:rsidR="00957CB3" w:rsidRPr="004842AA">
        <w:rPr>
          <w:rFonts w:ascii="Times New Roman" w:hAnsi="Times New Roman" w:cs="Times New Roman"/>
        </w:rPr>
        <w:t xml:space="preserve"> and </w:t>
      </w:r>
      <w:r w:rsidR="00F52311">
        <w:rPr>
          <w:rFonts w:ascii="Times New Roman" w:hAnsi="Times New Roman" w:cs="Times New Roman"/>
        </w:rPr>
        <w:t>re-</w:t>
      </w:r>
      <w:r w:rsidR="00957CB3" w:rsidRPr="004842AA">
        <w:rPr>
          <w:rFonts w:ascii="Times New Roman" w:hAnsi="Times New Roman" w:cs="Times New Roman"/>
        </w:rPr>
        <w:t xml:space="preserve">diluting Parliament’s </w:t>
      </w:r>
      <w:r w:rsidR="00F52311">
        <w:rPr>
          <w:rFonts w:ascii="Times New Roman" w:hAnsi="Times New Roman" w:cs="Times New Roman"/>
        </w:rPr>
        <w:t xml:space="preserve">promised </w:t>
      </w:r>
      <w:r w:rsidR="00FD0F2E" w:rsidRPr="004842AA">
        <w:rPr>
          <w:rFonts w:ascii="Times New Roman" w:hAnsi="Times New Roman" w:cs="Times New Roman"/>
        </w:rPr>
        <w:t xml:space="preserve">role in </w:t>
      </w:r>
      <w:r w:rsidR="00957CB3" w:rsidRPr="004842AA">
        <w:rPr>
          <w:rFonts w:ascii="Times New Roman" w:hAnsi="Times New Roman" w:cs="Times New Roman"/>
        </w:rPr>
        <w:t xml:space="preserve">the forthcoming negotiations over </w:t>
      </w:r>
      <w:r w:rsidR="00FD0F2E" w:rsidRPr="004842AA">
        <w:rPr>
          <w:rFonts w:ascii="Times New Roman" w:hAnsi="Times New Roman" w:cs="Times New Roman"/>
        </w:rPr>
        <w:t xml:space="preserve">future </w:t>
      </w:r>
      <w:r w:rsidR="00957CB3" w:rsidRPr="004842AA">
        <w:rPr>
          <w:rFonts w:ascii="Times New Roman" w:hAnsi="Times New Roman" w:cs="Times New Roman"/>
        </w:rPr>
        <w:t>EU-UK relations.</w:t>
      </w:r>
      <w:r w:rsidR="00C76E88" w:rsidRPr="004842AA">
        <w:rPr>
          <w:rStyle w:val="FootnoteReference"/>
          <w:rFonts w:ascii="Times New Roman" w:hAnsi="Times New Roman" w:cs="Times New Roman"/>
        </w:rPr>
        <w:footnoteReference w:id="80"/>
      </w:r>
      <w:r w:rsidR="00957CB3" w:rsidRPr="004842AA">
        <w:rPr>
          <w:rFonts w:ascii="Times New Roman" w:hAnsi="Times New Roman" w:cs="Times New Roman"/>
        </w:rPr>
        <w:t xml:space="preserve">  The European Union (Withdrawal Agreement) Act 2020 was duly adopted by a now-compliant </w:t>
      </w:r>
      <w:r w:rsidR="00FD0F2E" w:rsidRPr="004842AA">
        <w:rPr>
          <w:rFonts w:ascii="Times New Roman" w:hAnsi="Times New Roman" w:cs="Times New Roman"/>
        </w:rPr>
        <w:t>Parliament</w:t>
      </w:r>
      <w:r w:rsidR="00957CB3" w:rsidRPr="004842AA">
        <w:rPr>
          <w:rFonts w:ascii="Times New Roman" w:hAnsi="Times New Roman" w:cs="Times New Roman"/>
        </w:rPr>
        <w:t xml:space="preserve"> – </w:t>
      </w:r>
      <w:r w:rsidR="00957CB3" w:rsidRPr="004842AA">
        <w:rPr>
          <w:rFonts w:ascii="Times New Roman" w:hAnsi="Times New Roman" w:cs="Times New Roman"/>
        </w:rPr>
        <w:lastRenderedPageBreak/>
        <w:t xml:space="preserve">paving the way for </w:t>
      </w:r>
      <w:r w:rsidR="003C4BCA">
        <w:rPr>
          <w:rFonts w:ascii="Times New Roman" w:hAnsi="Times New Roman" w:cs="Times New Roman"/>
        </w:rPr>
        <w:t>formal signature</w:t>
      </w:r>
      <w:r w:rsidR="00957CB3" w:rsidRPr="004842AA">
        <w:rPr>
          <w:rFonts w:ascii="Times New Roman" w:hAnsi="Times New Roman" w:cs="Times New Roman"/>
        </w:rPr>
        <w:t xml:space="preserve"> of the Agreement by the UK Government;</w:t>
      </w:r>
      <w:r w:rsidR="00C76E88" w:rsidRPr="004842AA">
        <w:rPr>
          <w:rStyle w:val="FootnoteReference"/>
          <w:rFonts w:ascii="Times New Roman" w:hAnsi="Times New Roman" w:cs="Times New Roman"/>
        </w:rPr>
        <w:footnoteReference w:id="81"/>
      </w:r>
      <w:r w:rsidR="00957CB3" w:rsidRPr="004842AA">
        <w:rPr>
          <w:rFonts w:ascii="Times New Roman" w:hAnsi="Times New Roman" w:cs="Times New Roman"/>
        </w:rPr>
        <w:t xml:space="preserve"> as well as the granting of consent by the </w:t>
      </w:r>
      <w:r w:rsidR="00FD0F2E" w:rsidRPr="004842AA">
        <w:rPr>
          <w:rFonts w:ascii="Times New Roman" w:hAnsi="Times New Roman" w:cs="Times New Roman"/>
        </w:rPr>
        <w:t xml:space="preserve">European Parliament and </w:t>
      </w:r>
      <w:r w:rsidR="00957CB3" w:rsidRPr="004842AA">
        <w:rPr>
          <w:rFonts w:ascii="Times New Roman" w:hAnsi="Times New Roman" w:cs="Times New Roman"/>
        </w:rPr>
        <w:t xml:space="preserve">conclusion by the </w:t>
      </w:r>
      <w:r w:rsidR="00FD0F2E" w:rsidRPr="004842AA">
        <w:rPr>
          <w:rFonts w:ascii="Times New Roman" w:hAnsi="Times New Roman" w:cs="Times New Roman"/>
        </w:rPr>
        <w:t>Council.</w:t>
      </w:r>
      <w:r w:rsidR="00957CB3" w:rsidRPr="004842AA">
        <w:rPr>
          <w:rStyle w:val="FootnoteReference"/>
          <w:rFonts w:ascii="Times New Roman" w:hAnsi="Times New Roman" w:cs="Times New Roman"/>
        </w:rPr>
        <w:footnoteReference w:id="82"/>
      </w:r>
    </w:p>
    <w:p w14:paraId="4A5867F7" w14:textId="77777777" w:rsidR="00FD0F2E" w:rsidRPr="004842AA" w:rsidRDefault="00FD0F2E" w:rsidP="004842AA">
      <w:pPr>
        <w:widowControl w:val="0"/>
        <w:autoSpaceDE w:val="0"/>
        <w:autoSpaceDN w:val="0"/>
        <w:adjustRightInd w:val="0"/>
        <w:jc w:val="both"/>
        <w:rPr>
          <w:rFonts w:ascii="Times New Roman" w:hAnsi="Times New Roman" w:cs="Times New Roman"/>
        </w:rPr>
      </w:pPr>
    </w:p>
    <w:p w14:paraId="2A61E3B0" w14:textId="15927408" w:rsidR="00EB45D0" w:rsidRPr="004842AA" w:rsidRDefault="00FD0F2E" w:rsidP="004842AA">
      <w:pPr>
        <w:widowControl w:val="0"/>
        <w:autoSpaceDE w:val="0"/>
        <w:autoSpaceDN w:val="0"/>
        <w:adjustRightInd w:val="0"/>
        <w:jc w:val="both"/>
        <w:rPr>
          <w:rFonts w:ascii="Times New Roman" w:hAnsi="Times New Roman" w:cs="Times New Roman"/>
          <w:i/>
        </w:rPr>
      </w:pPr>
      <w:r w:rsidRPr="004842AA">
        <w:rPr>
          <w:rFonts w:ascii="Times New Roman" w:hAnsi="Times New Roman" w:cs="Times New Roman"/>
          <w:i/>
        </w:rPr>
        <w:t>2.4.</w:t>
      </w:r>
      <w:r w:rsidR="004209A2" w:rsidRPr="004842AA">
        <w:rPr>
          <w:rFonts w:ascii="Times New Roman" w:hAnsi="Times New Roman" w:cs="Times New Roman"/>
          <w:i/>
        </w:rPr>
        <w:tab/>
        <w:t>Scop</w:t>
      </w:r>
      <w:r w:rsidR="00B5782C">
        <w:rPr>
          <w:rFonts w:ascii="Times New Roman" w:hAnsi="Times New Roman" w:cs="Times New Roman"/>
          <w:i/>
        </w:rPr>
        <w:t>e, sequence</w:t>
      </w:r>
      <w:r w:rsidR="004209A2" w:rsidRPr="004842AA">
        <w:rPr>
          <w:rFonts w:ascii="Times New Roman" w:hAnsi="Times New Roman" w:cs="Times New Roman"/>
          <w:i/>
        </w:rPr>
        <w:t xml:space="preserve"> and t</w:t>
      </w:r>
      <w:r w:rsidRPr="004842AA">
        <w:rPr>
          <w:rFonts w:ascii="Times New Roman" w:hAnsi="Times New Roman" w:cs="Times New Roman"/>
          <w:i/>
        </w:rPr>
        <w:t xml:space="preserve">iming </w:t>
      </w:r>
      <w:r w:rsidR="004209A2" w:rsidRPr="004842AA">
        <w:rPr>
          <w:rFonts w:ascii="Times New Roman" w:hAnsi="Times New Roman" w:cs="Times New Roman"/>
          <w:i/>
        </w:rPr>
        <w:t>of the n</w:t>
      </w:r>
      <w:r w:rsidRPr="004842AA">
        <w:rPr>
          <w:rFonts w:ascii="Times New Roman" w:hAnsi="Times New Roman" w:cs="Times New Roman"/>
          <w:i/>
        </w:rPr>
        <w:t xml:space="preserve">egotiations </w:t>
      </w:r>
    </w:p>
    <w:p w14:paraId="599DA677" w14:textId="77777777" w:rsidR="009F7C0A" w:rsidRPr="004842AA" w:rsidRDefault="009F7C0A" w:rsidP="004842AA">
      <w:pPr>
        <w:jc w:val="both"/>
        <w:rPr>
          <w:rFonts w:ascii="Times New Roman" w:hAnsi="Times New Roman" w:cs="Times New Roman"/>
        </w:rPr>
      </w:pPr>
    </w:p>
    <w:p w14:paraId="5D92E0E1" w14:textId="11F9CC17" w:rsidR="00D630F4" w:rsidRDefault="00FD0F2E" w:rsidP="004842AA">
      <w:pPr>
        <w:jc w:val="both"/>
        <w:rPr>
          <w:rFonts w:ascii="Times New Roman" w:hAnsi="Times New Roman" w:cs="Times New Roman"/>
        </w:rPr>
      </w:pPr>
      <w:r w:rsidRPr="004842AA">
        <w:rPr>
          <w:rFonts w:ascii="Times New Roman" w:hAnsi="Times New Roman" w:cs="Times New Roman"/>
        </w:rPr>
        <w:t xml:space="preserve">Among </w:t>
      </w:r>
      <w:r w:rsidR="00095338" w:rsidRPr="004842AA">
        <w:rPr>
          <w:rFonts w:ascii="Times New Roman" w:hAnsi="Times New Roman" w:cs="Times New Roman"/>
        </w:rPr>
        <w:t xml:space="preserve">the </w:t>
      </w:r>
      <w:r w:rsidRPr="004842AA">
        <w:rPr>
          <w:rFonts w:ascii="Times New Roman" w:hAnsi="Times New Roman" w:cs="Times New Roman"/>
        </w:rPr>
        <w:t xml:space="preserve">legal and political factors that shaped </w:t>
      </w:r>
      <w:r w:rsidR="00095338" w:rsidRPr="004842AA">
        <w:rPr>
          <w:rFonts w:ascii="Times New Roman" w:hAnsi="Times New Roman" w:cs="Times New Roman"/>
        </w:rPr>
        <w:t xml:space="preserve">the conduct and </w:t>
      </w:r>
      <w:r w:rsidRPr="004842AA">
        <w:rPr>
          <w:rFonts w:ascii="Times New Roman" w:hAnsi="Times New Roman" w:cs="Times New Roman"/>
        </w:rPr>
        <w:t xml:space="preserve">outcome of </w:t>
      </w:r>
      <w:r w:rsidR="00095338" w:rsidRPr="004842AA">
        <w:rPr>
          <w:rFonts w:ascii="Times New Roman" w:hAnsi="Times New Roman" w:cs="Times New Roman"/>
        </w:rPr>
        <w:t xml:space="preserve">the </w:t>
      </w:r>
      <w:r w:rsidRPr="004842AA">
        <w:rPr>
          <w:rFonts w:ascii="Times New Roman" w:hAnsi="Times New Roman" w:cs="Times New Roman"/>
        </w:rPr>
        <w:t xml:space="preserve">Article 50 </w:t>
      </w:r>
      <w:r w:rsidR="00095338" w:rsidRPr="004842AA">
        <w:rPr>
          <w:rFonts w:ascii="Times New Roman" w:hAnsi="Times New Roman" w:cs="Times New Roman"/>
        </w:rPr>
        <w:t xml:space="preserve">TEU </w:t>
      </w:r>
      <w:r w:rsidRPr="004842AA">
        <w:rPr>
          <w:rFonts w:ascii="Times New Roman" w:hAnsi="Times New Roman" w:cs="Times New Roman"/>
        </w:rPr>
        <w:t xml:space="preserve">process, perhaps </w:t>
      </w:r>
      <w:r w:rsidR="00095338" w:rsidRPr="004842AA">
        <w:rPr>
          <w:rFonts w:ascii="Times New Roman" w:hAnsi="Times New Roman" w:cs="Times New Roman"/>
        </w:rPr>
        <w:t xml:space="preserve">the </w:t>
      </w:r>
      <w:r w:rsidRPr="004842AA">
        <w:rPr>
          <w:rFonts w:ascii="Times New Roman" w:hAnsi="Times New Roman" w:cs="Times New Roman"/>
        </w:rPr>
        <w:t xml:space="preserve">single most important </w:t>
      </w:r>
      <w:r w:rsidR="00095338" w:rsidRPr="004842AA">
        <w:rPr>
          <w:rFonts w:ascii="Times New Roman" w:hAnsi="Times New Roman" w:cs="Times New Roman"/>
        </w:rPr>
        <w:t xml:space="preserve">concerned the </w:t>
      </w:r>
      <w:r w:rsidRPr="004842AA">
        <w:rPr>
          <w:rFonts w:ascii="Times New Roman" w:hAnsi="Times New Roman" w:cs="Times New Roman"/>
        </w:rPr>
        <w:t>scope</w:t>
      </w:r>
      <w:r w:rsidR="00095338" w:rsidRPr="004842AA">
        <w:rPr>
          <w:rFonts w:ascii="Times New Roman" w:hAnsi="Times New Roman" w:cs="Times New Roman"/>
        </w:rPr>
        <w:t>,</w:t>
      </w:r>
      <w:r w:rsidRPr="004842AA">
        <w:rPr>
          <w:rFonts w:ascii="Times New Roman" w:hAnsi="Times New Roman" w:cs="Times New Roman"/>
        </w:rPr>
        <w:t xml:space="preserve"> </w:t>
      </w:r>
      <w:r w:rsidR="00B5782C">
        <w:rPr>
          <w:rFonts w:ascii="Times New Roman" w:hAnsi="Times New Roman" w:cs="Times New Roman"/>
        </w:rPr>
        <w:t>sequence</w:t>
      </w:r>
      <w:r w:rsidR="00095338" w:rsidRPr="004842AA">
        <w:rPr>
          <w:rFonts w:ascii="Times New Roman" w:hAnsi="Times New Roman" w:cs="Times New Roman"/>
        </w:rPr>
        <w:t xml:space="preserve"> and </w:t>
      </w:r>
      <w:r w:rsidRPr="004842AA">
        <w:rPr>
          <w:rFonts w:ascii="Times New Roman" w:hAnsi="Times New Roman" w:cs="Times New Roman"/>
        </w:rPr>
        <w:t xml:space="preserve">timing of </w:t>
      </w:r>
      <w:r w:rsidR="00095338" w:rsidRPr="004842AA">
        <w:rPr>
          <w:rFonts w:ascii="Times New Roman" w:hAnsi="Times New Roman" w:cs="Times New Roman"/>
        </w:rPr>
        <w:t xml:space="preserve">the UK’s withdrawal </w:t>
      </w:r>
      <w:r w:rsidRPr="004842AA">
        <w:rPr>
          <w:rFonts w:ascii="Times New Roman" w:hAnsi="Times New Roman" w:cs="Times New Roman"/>
        </w:rPr>
        <w:t>negotiations</w:t>
      </w:r>
      <w:r w:rsidR="00095338" w:rsidRPr="004842AA">
        <w:rPr>
          <w:rFonts w:ascii="Times New Roman" w:hAnsi="Times New Roman" w:cs="Times New Roman"/>
        </w:rPr>
        <w:t>.</w:t>
      </w:r>
      <w:r w:rsidRPr="004842AA">
        <w:rPr>
          <w:rFonts w:ascii="Times New Roman" w:hAnsi="Times New Roman" w:cs="Times New Roman"/>
        </w:rPr>
        <w:t xml:space="preserve"> </w:t>
      </w:r>
    </w:p>
    <w:p w14:paraId="26E66C2D" w14:textId="1EDB2738" w:rsidR="00D630F4" w:rsidRDefault="00095338" w:rsidP="00D630F4">
      <w:pPr>
        <w:ind w:firstLine="720"/>
        <w:jc w:val="both"/>
        <w:rPr>
          <w:rFonts w:ascii="Times New Roman" w:hAnsi="Times New Roman" w:cs="Times New Roman"/>
        </w:rPr>
      </w:pPr>
      <w:r w:rsidRPr="004842AA">
        <w:rPr>
          <w:rFonts w:ascii="Times New Roman" w:hAnsi="Times New Roman" w:cs="Times New Roman"/>
        </w:rPr>
        <w:t xml:space="preserve">It was evident from </w:t>
      </w:r>
      <w:r w:rsidR="005E5BF9">
        <w:rPr>
          <w:rFonts w:ascii="Times New Roman" w:hAnsi="Times New Roman" w:cs="Times New Roman"/>
        </w:rPr>
        <w:t xml:space="preserve">soon </w:t>
      </w:r>
      <w:r w:rsidRPr="004842AA">
        <w:rPr>
          <w:rFonts w:ascii="Times New Roman" w:hAnsi="Times New Roman" w:cs="Times New Roman"/>
        </w:rPr>
        <w:t>after the 2016 referendum that UK</w:t>
      </w:r>
      <w:r w:rsidR="00C978AD" w:rsidRPr="004842AA">
        <w:rPr>
          <w:rFonts w:ascii="Times New Roman" w:hAnsi="Times New Roman" w:cs="Times New Roman"/>
        </w:rPr>
        <w:t xml:space="preserve"> withdrawal would </w:t>
      </w:r>
      <w:r w:rsidR="00B5782C">
        <w:rPr>
          <w:rFonts w:ascii="Times New Roman" w:hAnsi="Times New Roman" w:cs="Times New Roman"/>
        </w:rPr>
        <w:t xml:space="preserve">entail </w:t>
      </w:r>
      <w:r w:rsidR="00C978AD" w:rsidRPr="004842AA">
        <w:rPr>
          <w:rFonts w:ascii="Times New Roman" w:hAnsi="Times New Roman" w:cs="Times New Roman"/>
        </w:rPr>
        <w:t xml:space="preserve">three distinct </w:t>
      </w:r>
      <w:r w:rsidR="005E5BF9">
        <w:rPr>
          <w:rFonts w:ascii="Times New Roman" w:hAnsi="Times New Roman" w:cs="Times New Roman"/>
        </w:rPr>
        <w:t xml:space="preserve">if </w:t>
      </w:r>
      <w:r w:rsidR="00C978AD" w:rsidRPr="004842AA">
        <w:rPr>
          <w:rFonts w:ascii="Times New Roman" w:hAnsi="Times New Roman" w:cs="Times New Roman"/>
        </w:rPr>
        <w:t>inter-related se</w:t>
      </w:r>
      <w:r w:rsidRPr="004842AA">
        <w:rPr>
          <w:rFonts w:ascii="Times New Roman" w:hAnsi="Times New Roman" w:cs="Times New Roman"/>
        </w:rPr>
        <w:t>ts of discussions.  First, the separation issues</w:t>
      </w:r>
      <w:r w:rsidR="00C978AD" w:rsidRPr="004842AA">
        <w:rPr>
          <w:rFonts w:ascii="Times New Roman" w:hAnsi="Times New Roman" w:cs="Times New Roman"/>
        </w:rPr>
        <w:t xml:space="preserve"> involved in ensuring that the very act of </w:t>
      </w:r>
      <w:r w:rsidR="00B5782C">
        <w:rPr>
          <w:rFonts w:ascii="Times New Roman" w:hAnsi="Times New Roman" w:cs="Times New Roman"/>
        </w:rPr>
        <w:t xml:space="preserve">departure </w:t>
      </w:r>
      <w:r w:rsidR="00C978AD" w:rsidRPr="004842AA">
        <w:rPr>
          <w:rFonts w:ascii="Times New Roman" w:hAnsi="Times New Roman" w:cs="Times New Roman"/>
        </w:rPr>
        <w:t>took place in an orderly fashion</w:t>
      </w:r>
      <w:r w:rsidRPr="004842AA">
        <w:rPr>
          <w:rFonts w:ascii="Times New Roman" w:hAnsi="Times New Roman" w:cs="Times New Roman"/>
        </w:rPr>
        <w:t xml:space="preserve">: for example, citizens’ rights; the </w:t>
      </w:r>
      <w:r w:rsidR="00C978AD" w:rsidRPr="004842AA">
        <w:rPr>
          <w:rFonts w:ascii="Times New Roman" w:hAnsi="Times New Roman" w:cs="Times New Roman"/>
        </w:rPr>
        <w:t>financial settlement</w:t>
      </w:r>
      <w:proofErr w:type="gramStart"/>
      <w:r w:rsidRPr="004842AA">
        <w:rPr>
          <w:rFonts w:ascii="Times New Roman" w:hAnsi="Times New Roman" w:cs="Times New Roman"/>
        </w:rPr>
        <w:t>;</w:t>
      </w:r>
      <w:proofErr w:type="gramEnd"/>
      <w:r w:rsidRPr="004842AA">
        <w:rPr>
          <w:rFonts w:ascii="Times New Roman" w:hAnsi="Times New Roman" w:cs="Times New Roman"/>
        </w:rPr>
        <w:t xml:space="preserve"> the Irish border</w:t>
      </w:r>
      <w:r w:rsidR="00C978AD" w:rsidRPr="004842AA">
        <w:rPr>
          <w:rFonts w:ascii="Times New Roman" w:hAnsi="Times New Roman" w:cs="Times New Roman"/>
        </w:rPr>
        <w:t xml:space="preserve">.  Secondly, the </w:t>
      </w:r>
      <w:r w:rsidRPr="004842AA">
        <w:rPr>
          <w:rFonts w:ascii="Times New Roman" w:hAnsi="Times New Roman" w:cs="Times New Roman"/>
        </w:rPr>
        <w:t>terms of the future relationship</w:t>
      </w:r>
      <w:r w:rsidR="00C978AD" w:rsidRPr="004842AA">
        <w:rPr>
          <w:rFonts w:ascii="Times New Roman" w:hAnsi="Times New Roman" w:cs="Times New Roman"/>
        </w:rPr>
        <w:t xml:space="preserve"> between the Union and the </w:t>
      </w:r>
      <w:proofErr w:type="gramStart"/>
      <w:r w:rsidR="00C978AD" w:rsidRPr="004842AA">
        <w:rPr>
          <w:rFonts w:ascii="Times New Roman" w:hAnsi="Times New Roman" w:cs="Times New Roman"/>
        </w:rPr>
        <w:t>UK</w:t>
      </w:r>
      <w:r w:rsidR="005E5BF9">
        <w:rPr>
          <w:rFonts w:ascii="Times New Roman" w:hAnsi="Times New Roman" w:cs="Times New Roman"/>
        </w:rPr>
        <w:t xml:space="preserve"> which should apply</w:t>
      </w:r>
      <w:r w:rsidR="00C978AD" w:rsidRPr="004842AA">
        <w:rPr>
          <w:rFonts w:ascii="Times New Roman" w:hAnsi="Times New Roman" w:cs="Times New Roman"/>
        </w:rPr>
        <w:t xml:space="preserve"> after withdrawal </w:t>
      </w:r>
      <w:r w:rsidR="005E5BF9">
        <w:rPr>
          <w:rFonts w:ascii="Times New Roman" w:hAnsi="Times New Roman" w:cs="Times New Roman"/>
        </w:rPr>
        <w:t>itself</w:t>
      </w:r>
      <w:proofErr w:type="gramEnd"/>
      <w:r w:rsidR="005E5BF9">
        <w:rPr>
          <w:rFonts w:ascii="Times New Roman" w:hAnsi="Times New Roman" w:cs="Times New Roman"/>
        </w:rPr>
        <w:t xml:space="preserve"> was </w:t>
      </w:r>
      <w:r w:rsidR="00C978AD" w:rsidRPr="004842AA">
        <w:rPr>
          <w:rFonts w:ascii="Times New Roman" w:hAnsi="Times New Roman" w:cs="Times New Roman"/>
        </w:rPr>
        <w:t>completed</w:t>
      </w:r>
      <w:r w:rsidR="005E5BF9">
        <w:rPr>
          <w:rFonts w:ascii="Times New Roman" w:hAnsi="Times New Roman" w:cs="Times New Roman"/>
        </w:rPr>
        <w:t>:</w:t>
      </w:r>
      <w:r w:rsidRPr="004842AA">
        <w:rPr>
          <w:rFonts w:ascii="Times New Roman" w:hAnsi="Times New Roman" w:cs="Times New Roman"/>
        </w:rPr>
        <w:t xml:space="preserve"> in fields such as trade, security and research.  </w:t>
      </w:r>
      <w:r w:rsidR="00C978AD" w:rsidRPr="004842AA">
        <w:rPr>
          <w:rFonts w:ascii="Times New Roman" w:hAnsi="Times New Roman" w:cs="Times New Roman"/>
        </w:rPr>
        <w:t>Thirdly, there was the possibili</w:t>
      </w:r>
      <w:r w:rsidRPr="004842AA">
        <w:rPr>
          <w:rFonts w:ascii="Times New Roman" w:hAnsi="Times New Roman" w:cs="Times New Roman"/>
        </w:rPr>
        <w:t>ty of negot</w:t>
      </w:r>
      <w:r w:rsidR="006861A1">
        <w:rPr>
          <w:rFonts w:ascii="Times New Roman" w:hAnsi="Times New Roman" w:cs="Times New Roman"/>
        </w:rPr>
        <w:t>iating some form of transition</w:t>
      </w:r>
      <w:r w:rsidRPr="004842AA">
        <w:rPr>
          <w:rFonts w:ascii="Times New Roman" w:hAnsi="Times New Roman" w:cs="Times New Roman"/>
        </w:rPr>
        <w:t xml:space="preserve"> period</w:t>
      </w:r>
      <w:r w:rsidR="00C978AD" w:rsidRPr="004842AA">
        <w:rPr>
          <w:rFonts w:ascii="Times New Roman" w:hAnsi="Times New Roman" w:cs="Times New Roman"/>
        </w:rPr>
        <w:t xml:space="preserve"> </w:t>
      </w:r>
      <w:r w:rsidRPr="004842AA">
        <w:rPr>
          <w:rFonts w:ascii="Times New Roman" w:hAnsi="Times New Roman" w:cs="Times New Roman"/>
        </w:rPr>
        <w:t xml:space="preserve">to </w:t>
      </w:r>
      <w:r w:rsidR="00C978AD" w:rsidRPr="004842AA">
        <w:rPr>
          <w:rFonts w:ascii="Times New Roman" w:hAnsi="Times New Roman" w:cs="Times New Roman"/>
        </w:rPr>
        <w:t xml:space="preserve">help smooth the way between the immediate priority of delivering an orderly withdrawal and the eventual entry into force of the framework for </w:t>
      </w:r>
      <w:r w:rsidR="005E5BF9">
        <w:rPr>
          <w:rFonts w:ascii="Times New Roman" w:hAnsi="Times New Roman" w:cs="Times New Roman"/>
        </w:rPr>
        <w:t>future EU-UK relations</w:t>
      </w:r>
      <w:r w:rsidR="00C978AD" w:rsidRPr="004842AA">
        <w:rPr>
          <w:rFonts w:ascii="Times New Roman" w:hAnsi="Times New Roman" w:cs="Times New Roman"/>
        </w:rPr>
        <w:t xml:space="preserve">. </w:t>
      </w:r>
    </w:p>
    <w:p w14:paraId="2D1ABE27" w14:textId="5E0C9FAF" w:rsidR="00D630F4" w:rsidRDefault="00C978AD" w:rsidP="00D630F4">
      <w:pPr>
        <w:ind w:firstLine="720"/>
        <w:jc w:val="both"/>
        <w:rPr>
          <w:rFonts w:ascii="Times New Roman" w:hAnsi="Times New Roman" w:cs="Times New Roman"/>
        </w:rPr>
      </w:pPr>
      <w:r w:rsidRPr="004842AA">
        <w:rPr>
          <w:rFonts w:ascii="Times New Roman" w:hAnsi="Times New Roman" w:cs="Times New Roman"/>
        </w:rPr>
        <w:t xml:space="preserve">However, </w:t>
      </w:r>
      <w:r w:rsidR="00095338" w:rsidRPr="004842AA">
        <w:rPr>
          <w:rFonts w:ascii="Times New Roman" w:hAnsi="Times New Roman" w:cs="Times New Roman"/>
        </w:rPr>
        <w:t xml:space="preserve">more serious </w:t>
      </w:r>
      <w:r w:rsidRPr="004842AA">
        <w:rPr>
          <w:rFonts w:ascii="Times New Roman" w:hAnsi="Times New Roman" w:cs="Times New Roman"/>
        </w:rPr>
        <w:t xml:space="preserve">differences in </w:t>
      </w:r>
      <w:r w:rsidR="005E5BF9">
        <w:rPr>
          <w:rFonts w:ascii="Times New Roman" w:hAnsi="Times New Roman" w:cs="Times New Roman"/>
        </w:rPr>
        <w:t xml:space="preserve">approach between </w:t>
      </w:r>
      <w:r w:rsidR="00095338" w:rsidRPr="004842AA">
        <w:rPr>
          <w:rFonts w:ascii="Times New Roman" w:hAnsi="Times New Roman" w:cs="Times New Roman"/>
        </w:rPr>
        <w:t xml:space="preserve">the </w:t>
      </w:r>
      <w:r w:rsidR="005E5BF9">
        <w:rPr>
          <w:rFonts w:ascii="Times New Roman" w:hAnsi="Times New Roman" w:cs="Times New Roman"/>
        </w:rPr>
        <w:t xml:space="preserve">Union </w:t>
      </w:r>
      <w:r w:rsidR="00095338" w:rsidRPr="004842AA">
        <w:rPr>
          <w:rFonts w:ascii="Times New Roman" w:hAnsi="Times New Roman" w:cs="Times New Roman"/>
        </w:rPr>
        <w:t xml:space="preserve">and </w:t>
      </w:r>
      <w:r w:rsidR="00660CCC">
        <w:rPr>
          <w:rFonts w:ascii="Times New Roman" w:hAnsi="Times New Roman" w:cs="Times New Roman"/>
        </w:rPr>
        <w:t xml:space="preserve">the </w:t>
      </w:r>
      <w:r w:rsidR="00095338" w:rsidRPr="004842AA">
        <w:rPr>
          <w:rFonts w:ascii="Times New Roman" w:hAnsi="Times New Roman" w:cs="Times New Roman"/>
        </w:rPr>
        <w:t xml:space="preserve">UK </w:t>
      </w:r>
      <w:r w:rsidR="005E5BF9">
        <w:rPr>
          <w:rFonts w:ascii="Times New Roman" w:hAnsi="Times New Roman" w:cs="Times New Roman"/>
        </w:rPr>
        <w:t xml:space="preserve">emerged </w:t>
      </w:r>
      <w:r w:rsidRPr="004842AA">
        <w:rPr>
          <w:rFonts w:ascii="Times New Roman" w:hAnsi="Times New Roman" w:cs="Times New Roman"/>
        </w:rPr>
        <w:t>c</w:t>
      </w:r>
      <w:r w:rsidR="00660CCC">
        <w:rPr>
          <w:rFonts w:ascii="Times New Roman" w:hAnsi="Times New Roman" w:cs="Times New Roman"/>
        </w:rPr>
        <w:t>oncerning the precise sequence</w:t>
      </w:r>
      <w:r w:rsidRPr="004842AA">
        <w:rPr>
          <w:rFonts w:ascii="Times New Roman" w:hAnsi="Times New Roman" w:cs="Times New Roman"/>
        </w:rPr>
        <w:t xml:space="preserve"> </w:t>
      </w:r>
      <w:r w:rsidR="005E5BF9">
        <w:rPr>
          <w:rFonts w:ascii="Times New Roman" w:hAnsi="Times New Roman" w:cs="Times New Roman"/>
        </w:rPr>
        <w:t xml:space="preserve">and timing </w:t>
      </w:r>
      <w:r w:rsidRPr="004842AA">
        <w:rPr>
          <w:rFonts w:ascii="Times New Roman" w:hAnsi="Times New Roman" w:cs="Times New Roman"/>
        </w:rPr>
        <w:t xml:space="preserve">of </w:t>
      </w:r>
      <w:r w:rsidR="00095338" w:rsidRPr="004842AA">
        <w:rPr>
          <w:rFonts w:ascii="Times New Roman" w:hAnsi="Times New Roman" w:cs="Times New Roman"/>
        </w:rPr>
        <w:t>those various sets of discussions</w:t>
      </w:r>
      <w:r w:rsidRPr="004842AA">
        <w:rPr>
          <w:rFonts w:ascii="Times New Roman" w:hAnsi="Times New Roman" w:cs="Times New Roman"/>
        </w:rPr>
        <w:t xml:space="preserve">.  </w:t>
      </w:r>
      <w:r w:rsidR="00095338" w:rsidRPr="004842AA">
        <w:rPr>
          <w:rFonts w:ascii="Times New Roman" w:hAnsi="Times New Roman" w:cs="Times New Roman"/>
        </w:rPr>
        <w:t xml:space="preserve">On the one hand, the UK Government claimed in its </w:t>
      </w:r>
      <w:r w:rsidRPr="004842AA">
        <w:rPr>
          <w:rFonts w:ascii="Times New Roman" w:hAnsi="Times New Roman" w:cs="Times New Roman"/>
        </w:rPr>
        <w:t>White Paper from February 2017</w:t>
      </w:r>
      <w:r w:rsidR="00095338" w:rsidRPr="004842AA">
        <w:rPr>
          <w:rFonts w:ascii="Times New Roman" w:hAnsi="Times New Roman" w:cs="Times New Roman"/>
        </w:rPr>
        <w:t xml:space="preserve"> that</w:t>
      </w:r>
      <w:r w:rsidRPr="004842AA">
        <w:rPr>
          <w:rFonts w:ascii="Times New Roman" w:hAnsi="Times New Roman" w:cs="Times New Roman"/>
        </w:rPr>
        <w:t xml:space="preserve"> there should be single (or at least parallel) negotiations covering both the immediate separation issues and the future relationship, to be concluded and ratified before the </w:t>
      </w:r>
      <w:r w:rsidR="00660CCC">
        <w:rPr>
          <w:rFonts w:ascii="Times New Roman" w:hAnsi="Times New Roman" w:cs="Times New Roman"/>
        </w:rPr>
        <w:t>effective date of UK withdrawal;</w:t>
      </w:r>
      <w:r w:rsidRPr="004842AA">
        <w:rPr>
          <w:rFonts w:ascii="Times New Roman" w:hAnsi="Times New Roman" w:cs="Times New Roman"/>
        </w:rPr>
        <w:t xml:space="preserve"> followed by a phased implementation of the new arrangements – allowing public and private actors to prepare for the introduction of new regulatory regimes which had already been agreed and were simply awaiting entry into force.</w:t>
      </w:r>
      <w:r w:rsidRPr="004842AA">
        <w:rPr>
          <w:rStyle w:val="FootnoteReference"/>
          <w:rFonts w:ascii="Times New Roman" w:hAnsi="Times New Roman" w:cs="Times New Roman"/>
        </w:rPr>
        <w:footnoteReference w:id="83"/>
      </w:r>
      <w:r w:rsidRPr="004842AA">
        <w:rPr>
          <w:rFonts w:ascii="Times New Roman" w:hAnsi="Times New Roman" w:cs="Times New Roman"/>
        </w:rPr>
        <w:t xml:space="preserve">  That approach was consistently reflected in subsequent UK official statements</w:t>
      </w:r>
      <w:r w:rsidR="00095338" w:rsidRPr="004842AA">
        <w:rPr>
          <w:rFonts w:ascii="Times New Roman" w:hAnsi="Times New Roman" w:cs="Times New Roman"/>
        </w:rPr>
        <w:t>.</w:t>
      </w:r>
      <w:r w:rsidRPr="004842AA">
        <w:rPr>
          <w:rStyle w:val="FootnoteReference"/>
          <w:rFonts w:ascii="Times New Roman" w:hAnsi="Times New Roman" w:cs="Times New Roman"/>
        </w:rPr>
        <w:footnoteReference w:id="84"/>
      </w:r>
      <w:r w:rsidR="00095338" w:rsidRPr="004842AA">
        <w:rPr>
          <w:rFonts w:ascii="Times New Roman" w:hAnsi="Times New Roman" w:cs="Times New Roman"/>
        </w:rPr>
        <w:t xml:space="preserve"> </w:t>
      </w:r>
      <w:r w:rsidR="000630D0" w:rsidRPr="004842AA">
        <w:rPr>
          <w:rFonts w:ascii="Times New Roman" w:hAnsi="Times New Roman" w:cs="Times New Roman"/>
        </w:rPr>
        <w:t xml:space="preserve"> </w:t>
      </w:r>
      <w:r w:rsidR="00095338" w:rsidRPr="004842AA">
        <w:rPr>
          <w:rFonts w:ascii="Times New Roman" w:hAnsi="Times New Roman" w:cs="Times New Roman"/>
        </w:rPr>
        <w:t xml:space="preserve">It was arguably </w:t>
      </w:r>
      <w:r w:rsidRPr="004842AA">
        <w:rPr>
          <w:rFonts w:ascii="Times New Roman" w:hAnsi="Times New Roman" w:cs="Times New Roman"/>
        </w:rPr>
        <w:t xml:space="preserve">a logical extension of </w:t>
      </w:r>
      <w:r w:rsidR="00095338" w:rsidRPr="004842AA">
        <w:rPr>
          <w:rFonts w:ascii="Times New Roman" w:hAnsi="Times New Roman" w:cs="Times New Roman"/>
        </w:rPr>
        <w:t xml:space="preserve">the UK’s </w:t>
      </w:r>
      <w:r w:rsidRPr="004842AA">
        <w:rPr>
          <w:rFonts w:ascii="Times New Roman" w:hAnsi="Times New Roman" w:cs="Times New Roman"/>
        </w:rPr>
        <w:t>“cake and eat it” philosophy towards the entire Article 50 TEU process – particularly in seeking to reassure businesses and investors that the economic impacts and disruptions of withdrawal would be minimal.</w:t>
      </w:r>
      <w:r w:rsidR="00095338" w:rsidRPr="004842AA">
        <w:rPr>
          <w:rFonts w:ascii="Times New Roman" w:hAnsi="Times New Roman" w:cs="Times New Roman"/>
        </w:rPr>
        <w:t xml:space="preserve">  </w:t>
      </w:r>
    </w:p>
    <w:p w14:paraId="18CBF170" w14:textId="7EB62EBF" w:rsidR="00D630F4" w:rsidRDefault="00095338" w:rsidP="00D630F4">
      <w:pPr>
        <w:ind w:firstLine="720"/>
        <w:jc w:val="both"/>
        <w:rPr>
          <w:rFonts w:ascii="Times New Roman" w:hAnsi="Times New Roman" w:cs="Times New Roman"/>
        </w:rPr>
      </w:pPr>
      <w:r w:rsidRPr="004842AA">
        <w:rPr>
          <w:rFonts w:ascii="Times New Roman" w:hAnsi="Times New Roman" w:cs="Times New Roman"/>
        </w:rPr>
        <w:t xml:space="preserve">On the other hand, the </w:t>
      </w:r>
      <w:r w:rsidR="00C978AD" w:rsidRPr="004842AA">
        <w:rPr>
          <w:rFonts w:ascii="Times New Roman" w:hAnsi="Times New Roman" w:cs="Times New Roman"/>
        </w:rPr>
        <w:t xml:space="preserve">European Council’s April 2017 </w:t>
      </w:r>
      <w:r w:rsidR="00FF7DCA">
        <w:rPr>
          <w:rFonts w:ascii="Times New Roman" w:hAnsi="Times New Roman" w:cs="Times New Roman"/>
        </w:rPr>
        <w:t xml:space="preserve">Guidelines </w:t>
      </w:r>
      <w:r w:rsidRPr="004842AA">
        <w:rPr>
          <w:rFonts w:ascii="Times New Roman" w:hAnsi="Times New Roman" w:cs="Times New Roman"/>
        </w:rPr>
        <w:t xml:space="preserve">declared that </w:t>
      </w:r>
      <w:r w:rsidR="00C978AD" w:rsidRPr="004842AA">
        <w:rPr>
          <w:rFonts w:ascii="Times New Roman" w:hAnsi="Times New Roman" w:cs="Times New Roman"/>
        </w:rPr>
        <w:t xml:space="preserve">the </w:t>
      </w:r>
      <w:r w:rsidR="00FF7DCA">
        <w:rPr>
          <w:rFonts w:ascii="Times New Roman" w:hAnsi="Times New Roman" w:cs="Times New Roman"/>
        </w:rPr>
        <w:t xml:space="preserve">main </w:t>
      </w:r>
      <w:r w:rsidR="00C978AD" w:rsidRPr="004842AA">
        <w:rPr>
          <w:rFonts w:ascii="Times New Roman" w:hAnsi="Times New Roman" w:cs="Times New Roman"/>
        </w:rPr>
        <w:t xml:space="preserve">purpose of the Article 50 TEU negotiations </w:t>
      </w:r>
      <w:r w:rsidRPr="004842AA">
        <w:rPr>
          <w:rFonts w:ascii="Times New Roman" w:hAnsi="Times New Roman" w:cs="Times New Roman"/>
        </w:rPr>
        <w:t xml:space="preserve">was </w:t>
      </w:r>
      <w:r w:rsidR="00C978AD" w:rsidRPr="004842AA">
        <w:rPr>
          <w:rFonts w:ascii="Times New Roman" w:hAnsi="Times New Roman" w:cs="Times New Roman"/>
        </w:rPr>
        <w:t xml:space="preserve">to ensure an orderly withdrawal.  The process should therefore commence with a “first phase” aimed at providing as much clarity and certainty as possible on the immediate effects of UK withdrawal.  By contrast, any agreement on the future EU-UK relationship could only be finalised and concluded </w:t>
      </w:r>
      <w:r w:rsidR="00C978AD" w:rsidRPr="004842AA">
        <w:rPr>
          <w:rFonts w:ascii="Times New Roman" w:hAnsi="Times New Roman" w:cs="Times New Roman"/>
          <w:i/>
        </w:rPr>
        <w:t>after</w:t>
      </w:r>
      <w:r w:rsidR="00C978AD" w:rsidRPr="004842AA">
        <w:rPr>
          <w:rFonts w:ascii="Times New Roman" w:hAnsi="Times New Roman" w:cs="Times New Roman"/>
        </w:rPr>
        <w:t xml:space="preserve"> the UK’s withdrawal.  However, an overall understanding of that future relationship could and should be identified during a “second phase” of the Article 50 TEU negotiations.  To that end, the Union would be ready to engage in preliminary and preparatory discussions with the UK, as soon as the European Council were to decide that sufficient progress had been made on the “first phase” issues.  </w:t>
      </w:r>
      <w:r w:rsidRPr="004842AA">
        <w:rPr>
          <w:rFonts w:ascii="Times New Roman" w:hAnsi="Times New Roman" w:cs="Times New Roman"/>
        </w:rPr>
        <w:t>T</w:t>
      </w:r>
      <w:r w:rsidR="00C978AD" w:rsidRPr="004842AA">
        <w:rPr>
          <w:rFonts w:ascii="Times New Roman" w:hAnsi="Times New Roman" w:cs="Times New Roman"/>
        </w:rPr>
        <w:t xml:space="preserve">o the extent necessary and legally possible, the Article 50 TEU negotiations might also seek to </w:t>
      </w:r>
      <w:r w:rsidR="00C978AD" w:rsidRPr="004842AA">
        <w:rPr>
          <w:rFonts w:ascii="Times New Roman" w:hAnsi="Times New Roman" w:cs="Times New Roman"/>
        </w:rPr>
        <w:lastRenderedPageBreak/>
        <w:t>determine transitional arrangements</w:t>
      </w:r>
      <w:r w:rsidR="00FF7DCA">
        <w:rPr>
          <w:rFonts w:ascii="Times New Roman" w:hAnsi="Times New Roman" w:cs="Times New Roman"/>
        </w:rPr>
        <w:t>,</w:t>
      </w:r>
      <w:r w:rsidR="00C978AD" w:rsidRPr="004842AA">
        <w:rPr>
          <w:rFonts w:ascii="Times New Roman" w:hAnsi="Times New Roman" w:cs="Times New Roman"/>
        </w:rPr>
        <w:t xml:space="preserve"> in order to provide a </w:t>
      </w:r>
      <w:r w:rsidR="00FF7DCA">
        <w:rPr>
          <w:rFonts w:ascii="Times New Roman" w:hAnsi="Times New Roman" w:cs="Times New Roman"/>
        </w:rPr>
        <w:t xml:space="preserve">post-withdrawal </w:t>
      </w:r>
      <w:r w:rsidR="00C978AD" w:rsidRPr="004842AA">
        <w:rPr>
          <w:rFonts w:ascii="Times New Roman" w:hAnsi="Times New Roman" w:cs="Times New Roman"/>
        </w:rPr>
        <w:t>bridge towards some foreseeable future relationship.</w:t>
      </w:r>
      <w:r w:rsidR="000630D0" w:rsidRPr="004842AA">
        <w:rPr>
          <w:rStyle w:val="FootnoteReference"/>
          <w:rFonts w:ascii="Times New Roman" w:hAnsi="Times New Roman" w:cs="Times New Roman"/>
        </w:rPr>
        <w:footnoteReference w:id="85"/>
      </w:r>
      <w:r w:rsidR="00E154AE" w:rsidRPr="004842AA">
        <w:rPr>
          <w:rFonts w:ascii="Times New Roman" w:hAnsi="Times New Roman" w:cs="Times New Roman"/>
        </w:rPr>
        <w:t xml:space="preserve">  </w:t>
      </w:r>
    </w:p>
    <w:p w14:paraId="15EDE03F" w14:textId="5065E6A3" w:rsidR="00D630F4" w:rsidRDefault="00C978AD" w:rsidP="00D630F4">
      <w:pPr>
        <w:ind w:firstLine="720"/>
        <w:jc w:val="both"/>
        <w:rPr>
          <w:rFonts w:ascii="Times New Roman" w:hAnsi="Times New Roman" w:cs="Times New Roman"/>
        </w:rPr>
      </w:pPr>
      <w:r w:rsidRPr="004842AA">
        <w:rPr>
          <w:rFonts w:ascii="Times New Roman" w:hAnsi="Times New Roman" w:cs="Times New Roman"/>
        </w:rPr>
        <w:t>The European Council’s approa</w:t>
      </w:r>
      <w:r w:rsidR="00660CCC">
        <w:rPr>
          <w:rFonts w:ascii="Times New Roman" w:hAnsi="Times New Roman" w:cs="Times New Roman"/>
        </w:rPr>
        <w:t>ch to the question of sequence</w:t>
      </w:r>
      <w:r w:rsidRPr="004842AA">
        <w:rPr>
          <w:rFonts w:ascii="Times New Roman" w:hAnsi="Times New Roman" w:cs="Times New Roman"/>
        </w:rPr>
        <w:t xml:space="preserve"> </w:t>
      </w:r>
      <w:r w:rsidR="00FF7DCA">
        <w:rPr>
          <w:rFonts w:ascii="Times New Roman" w:hAnsi="Times New Roman" w:cs="Times New Roman"/>
        </w:rPr>
        <w:t xml:space="preserve">and timing </w:t>
      </w:r>
      <w:r w:rsidRPr="004842AA">
        <w:rPr>
          <w:rFonts w:ascii="Times New Roman" w:hAnsi="Times New Roman" w:cs="Times New Roman"/>
        </w:rPr>
        <w:t>was evidently and radically different from that of the UK Government.  But the European Council’s plan was fully supported by other Union actors;</w:t>
      </w:r>
      <w:r w:rsidRPr="004842AA">
        <w:rPr>
          <w:rStyle w:val="FootnoteReference"/>
          <w:rFonts w:ascii="Times New Roman" w:hAnsi="Times New Roman" w:cs="Times New Roman"/>
        </w:rPr>
        <w:footnoteReference w:id="86"/>
      </w:r>
      <w:r w:rsidRPr="004842AA">
        <w:rPr>
          <w:rFonts w:ascii="Times New Roman" w:hAnsi="Times New Roman" w:cs="Times New Roman"/>
        </w:rPr>
        <w:t xml:space="preserve"> and (unsurprisingly) was subsequently confirmed in the Council’s negotiating directives for the Commission from May 2017.</w:t>
      </w:r>
      <w:r w:rsidRPr="004842AA">
        <w:rPr>
          <w:rStyle w:val="FootnoteReference"/>
          <w:rFonts w:ascii="Times New Roman" w:hAnsi="Times New Roman" w:cs="Times New Roman"/>
        </w:rPr>
        <w:footnoteReference w:id="87"/>
      </w:r>
      <w:r w:rsidRPr="004842AA">
        <w:rPr>
          <w:rFonts w:ascii="Times New Roman" w:hAnsi="Times New Roman" w:cs="Times New Roman"/>
        </w:rPr>
        <w:t xml:space="preserve">  The UK Government s</w:t>
      </w:r>
      <w:r w:rsidR="00F52311">
        <w:rPr>
          <w:rFonts w:ascii="Times New Roman" w:hAnsi="Times New Roman" w:cs="Times New Roman"/>
        </w:rPr>
        <w:t xml:space="preserve">uggested </w:t>
      </w:r>
      <w:r w:rsidR="00660CCC">
        <w:rPr>
          <w:rFonts w:ascii="Times New Roman" w:hAnsi="Times New Roman" w:cs="Times New Roman"/>
        </w:rPr>
        <w:t>that a major row over sequence</w:t>
      </w:r>
      <w:r w:rsidR="00F52311">
        <w:rPr>
          <w:rFonts w:ascii="Times New Roman" w:hAnsi="Times New Roman" w:cs="Times New Roman"/>
        </w:rPr>
        <w:t xml:space="preserve"> and </w:t>
      </w:r>
      <w:r w:rsidRPr="004842AA">
        <w:rPr>
          <w:rFonts w:ascii="Times New Roman" w:hAnsi="Times New Roman" w:cs="Times New Roman"/>
        </w:rPr>
        <w:t>timing could consume the negotiations just as soon as they had (finally) started.</w:t>
      </w:r>
      <w:r w:rsidRPr="004842AA">
        <w:rPr>
          <w:rStyle w:val="FootnoteReference"/>
          <w:rFonts w:ascii="Times New Roman" w:hAnsi="Times New Roman" w:cs="Times New Roman"/>
        </w:rPr>
        <w:footnoteReference w:id="88"/>
      </w:r>
      <w:r w:rsidRPr="004842AA">
        <w:rPr>
          <w:rFonts w:ascii="Times New Roman" w:hAnsi="Times New Roman" w:cs="Times New Roman"/>
        </w:rPr>
        <w:t xml:space="preserve">  </w:t>
      </w:r>
      <w:r w:rsidR="00FF7DCA">
        <w:rPr>
          <w:rFonts w:ascii="Times New Roman" w:hAnsi="Times New Roman" w:cs="Times New Roman"/>
        </w:rPr>
        <w:t xml:space="preserve">And indeed, it </w:t>
      </w:r>
      <w:r w:rsidR="00E154AE" w:rsidRPr="004842AA">
        <w:rPr>
          <w:rFonts w:ascii="Times New Roman" w:hAnsi="Times New Roman" w:cs="Times New Roman"/>
        </w:rPr>
        <w:t xml:space="preserve">was only with Theresa May’s “Florence Speech” in September 2017 that the UK finally accepted </w:t>
      </w:r>
      <w:r w:rsidR="00857E2C" w:rsidRPr="004842AA">
        <w:rPr>
          <w:rFonts w:ascii="Times New Roman" w:hAnsi="Times New Roman" w:cs="Times New Roman"/>
        </w:rPr>
        <w:t xml:space="preserve">the reality of the situation and began to work within the </w:t>
      </w:r>
      <w:r w:rsidR="00E154AE" w:rsidRPr="004842AA">
        <w:rPr>
          <w:rFonts w:ascii="Times New Roman" w:hAnsi="Times New Roman" w:cs="Times New Roman"/>
        </w:rPr>
        <w:t xml:space="preserve">parameters laid down by the Union </w:t>
      </w:r>
      <w:r w:rsidR="00857E2C" w:rsidRPr="004842AA">
        <w:rPr>
          <w:rFonts w:ascii="Times New Roman" w:hAnsi="Times New Roman" w:cs="Times New Roman"/>
        </w:rPr>
        <w:t>institutions</w:t>
      </w:r>
      <w:r w:rsidR="00E154AE" w:rsidRPr="004842AA">
        <w:rPr>
          <w:rFonts w:ascii="Times New Roman" w:hAnsi="Times New Roman" w:cs="Times New Roman"/>
        </w:rPr>
        <w:t>.</w:t>
      </w:r>
      <w:r w:rsidR="00E154AE" w:rsidRPr="004842AA">
        <w:rPr>
          <w:rStyle w:val="FootnoteReference"/>
          <w:rFonts w:ascii="Times New Roman" w:hAnsi="Times New Roman" w:cs="Times New Roman"/>
        </w:rPr>
        <w:footnoteReference w:id="89"/>
      </w:r>
      <w:r w:rsidR="00E154AE" w:rsidRPr="004842AA">
        <w:rPr>
          <w:rFonts w:ascii="Times New Roman" w:hAnsi="Times New Roman" w:cs="Times New Roman"/>
        </w:rPr>
        <w:t xml:space="preserve">    </w:t>
      </w:r>
      <w:r w:rsidRPr="004842AA">
        <w:rPr>
          <w:rFonts w:ascii="Times New Roman" w:hAnsi="Times New Roman" w:cs="Times New Roman"/>
        </w:rPr>
        <w:t xml:space="preserve"> </w:t>
      </w:r>
    </w:p>
    <w:p w14:paraId="70DCA2CF" w14:textId="2E5DED37" w:rsidR="00D630F4" w:rsidRDefault="00C978AD" w:rsidP="00D630F4">
      <w:pPr>
        <w:ind w:firstLine="720"/>
        <w:jc w:val="both"/>
        <w:rPr>
          <w:rFonts w:ascii="Times New Roman" w:hAnsi="Times New Roman" w:cs="Times New Roman"/>
        </w:rPr>
      </w:pPr>
      <w:r w:rsidRPr="004842AA">
        <w:rPr>
          <w:rFonts w:ascii="Times New Roman" w:hAnsi="Times New Roman" w:cs="Times New Roman"/>
        </w:rPr>
        <w:t>The dispute over</w:t>
      </w:r>
      <w:r w:rsidR="00FF7DCA">
        <w:rPr>
          <w:rFonts w:ascii="Times New Roman" w:hAnsi="Times New Roman" w:cs="Times New Roman"/>
        </w:rPr>
        <w:t xml:space="preserve"> </w:t>
      </w:r>
      <w:r w:rsidR="00660CCC">
        <w:rPr>
          <w:rFonts w:ascii="Times New Roman" w:hAnsi="Times New Roman" w:cs="Times New Roman"/>
        </w:rPr>
        <w:t>sequence</w:t>
      </w:r>
      <w:r w:rsidRPr="004842AA">
        <w:rPr>
          <w:rFonts w:ascii="Times New Roman" w:hAnsi="Times New Roman" w:cs="Times New Roman"/>
        </w:rPr>
        <w:t xml:space="preserve"> </w:t>
      </w:r>
      <w:r w:rsidR="00FF7DCA">
        <w:rPr>
          <w:rFonts w:ascii="Times New Roman" w:hAnsi="Times New Roman" w:cs="Times New Roman"/>
        </w:rPr>
        <w:t xml:space="preserve">and timing </w:t>
      </w:r>
      <w:r w:rsidRPr="004842AA">
        <w:rPr>
          <w:rFonts w:ascii="Times New Roman" w:hAnsi="Times New Roman" w:cs="Times New Roman"/>
        </w:rPr>
        <w:t>proved fundamental to the entire Article 50 TEU process</w:t>
      </w:r>
      <w:r w:rsidR="00FF7DCA">
        <w:rPr>
          <w:rFonts w:ascii="Times New Roman" w:hAnsi="Times New Roman" w:cs="Times New Roman"/>
        </w:rPr>
        <w:t xml:space="preserve"> and its </w:t>
      </w:r>
      <w:r w:rsidRPr="004842AA">
        <w:rPr>
          <w:rFonts w:ascii="Times New Roman" w:hAnsi="Times New Roman" w:cs="Times New Roman"/>
        </w:rPr>
        <w:t xml:space="preserve">resolution had far reaching consequences not only for the conduct but also the eventual outcomes of </w:t>
      </w:r>
      <w:r w:rsidR="00FF7DCA">
        <w:rPr>
          <w:rFonts w:ascii="Times New Roman" w:hAnsi="Times New Roman" w:cs="Times New Roman"/>
        </w:rPr>
        <w:t xml:space="preserve">the withdrawal negotiations: </w:t>
      </w:r>
      <w:r w:rsidRPr="004842AA">
        <w:rPr>
          <w:rFonts w:ascii="Times New Roman" w:hAnsi="Times New Roman" w:cs="Times New Roman"/>
        </w:rPr>
        <w:t xml:space="preserve">for example, concentrating time and attention on </w:t>
      </w:r>
      <w:r w:rsidR="000630D0" w:rsidRPr="004842AA">
        <w:rPr>
          <w:rFonts w:ascii="Times New Roman" w:hAnsi="Times New Roman" w:cs="Times New Roman"/>
        </w:rPr>
        <w:t xml:space="preserve">the Agreement as a </w:t>
      </w:r>
      <w:r w:rsidRPr="004842AA">
        <w:rPr>
          <w:rFonts w:ascii="Times New Roman" w:hAnsi="Times New Roman" w:cs="Times New Roman"/>
        </w:rPr>
        <w:t xml:space="preserve">legal text that would resolve the immediate separation issues in an orderly manner; ruling out any possibility of the future EU-UK relationship being formally negotiated (let alone concluded) before withdrawal had already taken place; </w:t>
      </w:r>
      <w:r w:rsidR="000630D0" w:rsidRPr="004842AA">
        <w:rPr>
          <w:rFonts w:ascii="Times New Roman" w:hAnsi="Times New Roman" w:cs="Times New Roman"/>
        </w:rPr>
        <w:t>conjuring</w:t>
      </w:r>
      <w:r w:rsidR="00FF7DCA">
        <w:rPr>
          <w:rFonts w:ascii="Times New Roman" w:hAnsi="Times New Roman" w:cs="Times New Roman"/>
        </w:rPr>
        <w:t xml:space="preserve"> into existence the need for a political d</w:t>
      </w:r>
      <w:r w:rsidR="000630D0" w:rsidRPr="004842AA">
        <w:rPr>
          <w:rFonts w:ascii="Times New Roman" w:hAnsi="Times New Roman" w:cs="Times New Roman"/>
        </w:rPr>
        <w:t xml:space="preserve">eclaration that would nevertheless outline the parties’ mutual understanding and aspirations for what that future relationship might consist of; </w:t>
      </w:r>
      <w:r w:rsidRPr="004842AA">
        <w:rPr>
          <w:rFonts w:ascii="Times New Roman" w:hAnsi="Times New Roman" w:cs="Times New Roman"/>
        </w:rPr>
        <w:t xml:space="preserve">and </w:t>
      </w:r>
      <w:r w:rsidR="000630D0" w:rsidRPr="004842AA">
        <w:rPr>
          <w:rFonts w:ascii="Times New Roman" w:hAnsi="Times New Roman" w:cs="Times New Roman"/>
        </w:rPr>
        <w:t xml:space="preserve">creating the pressing need for an appropriate </w:t>
      </w:r>
      <w:r w:rsidRPr="004842AA">
        <w:rPr>
          <w:rFonts w:ascii="Times New Roman" w:hAnsi="Times New Roman" w:cs="Times New Roman"/>
        </w:rPr>
        <w:t xml:space="preserve">transitional regime, more wide-ranging </w:t>
      </w:r>
      <w:r w:rsidR="000630D0" w:rsidRPr="004842AA">
        <w:rPr>
          <w:rFonts w:ascii="Times New Roman" w:hAnsi="Times New Roman" w:cs="Times New Roman"/>
        </w:rPr>
        <w:t xml:space="preserve">in scope </w:t>
      </w:r>
      <w:r w:rsidRPr="004842AA">
        <w:rPr>
          <w:rFonts w:ascii="Times New Roman" w:hAnsi="Times New Roman" w:cs="Times New Roman"/>
        </w:rPr>
        <w:t xml:space="preserve">and more onerous </w:t>
      </w:r>
      <w:r w:rsidR="000630D0" w:rsidRPr="004842AA">
        <w:rPr>
          <w:rFonts w:ascii="Times New Roman" w:hAnsi="Times New Roman" w:cs="Times New Roman"/>
        </w:rPr>
        <w:t xml:space="preserve">in character </w:t>
      </w:r>
      <w:r w:rsidRPr="004842AA">
        <w:rPr>
          <w:rFonts w:ascii="Times New Roman" w:hAnsi="Times New Roman" w:cs="Times New Roman"/>
        </w:rPr>
        <w:t>than either party had originally envisaged</w:t>
      </w:r>
      <w:r w:rsidR="000630D0" w:rsidRPr="004842AA">
        <w:rPr>
          <w:rFonts w:ascii="Times New Roman" w:hAnsi="Times New Roman" w:cs="Times New Roman"/>
        </w:rPr>
        <w:t>, so as to bridge the inevitable gap which would arise between the act of withdrawal and the subsequent conclusion of a new relationship</w:t>
      </w:r>
      <w:r w:rsidRPr="004842AA">
        <w:rPr>
          <w:rFonts w:ascii="Times New Roman" w:hAnsi="Times New Roman" w:cs="Times New Roman"/>
        </w:rPr>
        <w:t xml:space="preserve">.  </w:t>
      </w:r>
    </w:p>
    <w:p w14:paraId="25D8C9F9" w14:textId="25F7B9F6" w:rsidR="00D630F4" w:rsidRDefault="00E154AE" w:rsidP="00D630F4">
      <w:pPr>
        <w:ind w:firstLine="720"/>
        <w:jc w:val="both"/>
        <w:rPr>
          <w:rFonts w:ascii="Times New Roman" w:hAnsi="Times New Roman" w:cs="Times New Roman"/>
        </w:rPr>
      </w:pPr>
      <w:r w:rsidRPr="004842AA">
        <w:rPr>
          <w:rFonts w:ascii="Times New Roman" w:hAnsi="Times New Roman" w:cs="Times New Roman"/>
        </w:rPr>
        <w:t xml:space="preserve">To some extent, the </w:t>
      </w:r>
      <w:r w:rsidR="00C978AD" w:rsidRPr="004842AA">
        <w:rPr>
          <w:rFonts w:ascii="Times New Roman" w:hAnsi="Times New Roman" w:cs="Times New Roman"/>
        </w:rPr>
        <w:t xml:space="preserve">European Council’s </w:t>
      </w:r>
      <w:r w:rsidR="00660CCC">
        <w:rPr>
          <w:rFonts w:ascii="Times New Roman" w:hAnsi="Times New Roman" w:cs="Times New Roman"/>
        </w:rPr>
        <w:t>decision on sequence</w:t>
      </w:r>
      <w:r w:rsidRPr="004842AA">
        <w:rPr>
          <w:rFonts w:ascii="Times New Roman" w:hAnsi="Times New Roman" w:cs="Times New Roman"/>
        </w:rPr>
        <w:t xml:space="preserve"> and timing was </w:t>
      </w:r>
      <w:r w:rsidR="00C978AD" w:rsidRPr="004842AA">
        <w:rPr>
          <w:rFonts w:ascii="Times New Roman" w:hAnsi="Times New Roman" w:cs="Times New Roman"/>
        </w:rPr>
        <w:t xml:space="preserve">a direct product of its </w:t>
      </w:r>
      <w:r w:rsidRPr="004842AA">
        <w:rPr>
          <w:rFonts w:ascii="Times New Roman" w:hAnsi="Times New Roman" w:cs="Times New Roman"/>
        </w:rPr>
        <w:t xml:space="preserve">four-tiered </w:t>
      </w:r>
      <w:r w:rsidR="00C978AD" w:rsidRPr="004842AA">
        <w:rPr>
          <w:rFonts w:ascii="Times New Roman" w:hAnsi="Times New Roman" w:cs="Times New Roman"/>
        </w:rPr>
        <w:t xml:space="preserve">political </w:t>
      </w:r>
      <w:r w:rsidRPr="004842AA">
        <w:rPr>
          <w:rFonts w:ascii="Times New Roman" w:hAnsi="Times New Roman" w:cs="Times New Roman"/>
        </w:rPr>
        <w:t xml:space="preserve">objectives </w:t>
      </w:r>
      <w:r w:rsidR="00C978AD" w:rsidRPr="004842AA">
        <w:rPr>
          <w:rFonts w:ascii="Times New Roman" w:hAnsi="Times New Roman" w:cs="Times New Roman"/>
        </w:rPr>
        <w:t>about how to manage the UK’s withdrawal</w:t>
      </w:r>
      <w:r w:rsidRPr="004842AA">
        <w:rPr>
          <w:rFonts w:ascii="Times New Roman" w:hAnsi="Times New Roman" w:cs="Times New Roman"/>
        </w:rPr>
        <w:t xml:space="preserve">: maintaining the unity of the Union and protecting the integrity of its legal order took overriding priority; </w:t>
      </w:r>
      <w:r w:rsidR="00160BD3">
        <w:rPr>
          <w:rFonts w:ascii="Times New Roman" w:hAnsi="Times New Roman" w:cs="Times New Roman"/>
        </w:rPr>
        <w:t>in light of which,</w:t>
      </w:r>
      <w:r w:rsidRPr="004842AA">
        <w:rPr>
          <w:rFonts w:ascii="Times New Roman" w:hAnsi="Times New Roman" w:cs="Times New Roman"/>
        </w:rPr>
        <w:t xml:space="preserve"> the limited time available for negotiations should focus on delivering a smooth and orderly withdrawal; with that job done, the parties could address the significantly more difficult challenge of forging a new relationship together.  </w:t>
      </w:r>
      <w:r w:rsidR="00FF7DCA">
        <w:rPr>
          <w:rFonts w:ascii="Times New Roman" w:hAnsi="Times New Roman" w:cs="Times New Roman"/>
        </w:rPr>
        <w:t xml:space="preserve">And of course, that </w:t>
      </w:r>
      <w:r w:rsidR="00857E2C" w:rsidRPr="004842AA">
        <w:rPr>
          <w:rFonts w:ascii="Times New Roman" w:hAnsi="Times New Roman" w:cs="Times New Roman"/>
        </w:rPr>
        <w:t>political understanding was much more realistic</w:t>
      </w:r>
      <w:r w:rsidR="00003DF6" w:rsidRPr="004842AA">
        <w:rPr>
          <w:rFonts w:ascii="Times New Roman" w:hAnsi="Times New Roman" w:cs="Times New Roman"/>
        </w:rPr>
        <w:t xml:space="preserve"> than the preference expressed by the UK Government</w:t>
      </w:r>
      <w:r w:rsidR="00857E2C" w:rsidRPr="004842AA">
        <w:rPr>
          <w:rFonts w:ascii="Times New Roman" w:hAnsi="Times New Roman" w:cs="Times New Roman"/>
        </w:rPr>
        <w:t xml:space="preserve">: </w:t>
      </w:r>
      <w:r w:rsidR="00003DF6" w:rsidRPr="004842AA">
        <w:rPr>
          <w:rFonts w:ascii="Times New Roman" w:hAnsi="Times New Roman" w:cs="Times New Roman"/>
        </w:rPr>
        <w:t xml:space="preserve">after all, </w:t>
      </w:r>
      <w:r w:rsidRPr="004842AA">
        <w:rPr>
          <w:rFonts w:ascii="Times New Roman" w:hAnsi="Times New Roman" w:cs="Times New Roman"/>
        </w:rPr>
        <w:t xml:space="preserve">the time required to settle </w:t>
      </w:r>
      <w:r w:rsidR="00857E2C" w:rsidRPr="004842AA">
        <w:rPr>
          <w:rFonts w:ascii="Times New Roman" w:hAnsi="Times New Roman" w:cs="Times New Roman"/>
        </w:rPr>
        <w:t xml:space="preserve">not just the separation </w:t>
      </w:r>
      <w:r w:rsidR="00003DF6" w:rsidRPr="004842AA">
        <w:rPr>
          <w:rFonts w:ascii="Times New Roman" w:hAnsi="Times New Roman" w:cs="Times New Roman"/>
        </w:rPr>
        <w:t xml:space="preserve">issues </w:t>
      </w:r>
      <w:r w:rsidR="00857E2C" w:rsidRPr="004842AA">
        <w:rPr>
          <w:rFonts w:ascii="Times New Roman" w:hAnsi="Times New Roman" w:cs="Times New Roman"/>
        </w:rPr>
        <w:t xml:space="preserve">but also the </w:t>
      </w:r>
      <w:r w:rsidRPr="004842AA">
        <w:rPr>
          <w:rFonts w:ascii="Times New Roman" w:hAnsi="Times New Roman" w:cs="Times New Roman"/>
        </w:rPr>
        <w:t xml:space="preserve">future relationship would </w:t>
      </w:r>
      <w:r w:rsidR="00857E2C" w:rsidRPr="004842AA">
        <w:rPr>
          <w:rFonts w:ascii="Times New Roman" w:hAnsi="Times New Roman" w:cs="Times New Roman"/>
        </w:rPr>
        <w:t xml:space="preserve">surely </w:t>
      </w:r>
      <w:r w:rsidRPr="004842AA">
        <w:rPr>
          <w:rFonts w:ascii="Times New Roman" w:hAnsi="Times New Roman" w:cs="Times New Roman"/>
        </w:rPr>
        <w:t>exceed the two years available by default under the Treaties</w:t>
      </w:r>
      <w:r w:rsidR="00857E2C" w:rsidRPr="004842AA">
        <w:rPr>
          <w:rFonts w:ascii="Times New Roman" w:hAnsi="Times New Roman" w:cs="Times New Roman"/>
        </w:rPr>
        <w:t xml:space="preserve">; to </w:t>
      </w:r>
      <w:r w:rsidRPr="004842AA">
        <w:rPr>
          <w:rFonts w:ascii="Times New Roman" w:hAnsi="Times New Roman" w:cs="Times New Roman"/>
        </w:rPr>
        <w:t>have followed the UK approach would have incorporated a substantial risk of outright failure into the entire withdrawal negotiations right from the</w:t>
      </w:r>
      <w:r w:rsidR="00857E2C" w:rsidRPr="004842AA">
        <w:rPr>
          <w:rFonts w:ascii="Times New Roman" w:hAnsi="Times New Roman" w:cs="Times New Roman"/>
        </w:rPr>
        <w:t>ir</w:t>
      </w:r>
      <w:r w:rsidRPr="004842AA">
        <w:rPr>
          <w:rFonts w:ascii="Times New Roman" w:hAnsi="Times New Roman" w:cs="Times New Roman"/>
        </w:rPr>
        <w:t xml:space="preserve"> very outset.  </w:t>
      </w:r>
      <w:r w:rsidR="00857E2C" w:rsidRPr="004842AA">
        <w:rPr>
          <w:rFonts w:ascii="Times New Roman" w:hAnsi="Times New Roman" w:cs="Times New Roman"/>
        </w:rPr>
        <w:t>Needless to say</w:t>
      </w:r>
      <w:r w:rsidRPr="004842AA">
        <w:rPr>
          <w:rFonts w:ascii="Times New Roman" w:hAnsi="Times New Roman" w:cs="Times New Roman"/>
        </w:rPr>
        <w:t xml:space="preserve">, subsequent events undoubtedly proved the European Council’s initial political evaluation to be entirely sound.  </w:t>
      </w:r>
    </w:p>
    <w:p w14:paraId="142362F0" w14:textId="4962A825" w:rsidR="00D630F4" w:rsidRDefault="00E154AE" w:rsidP="00D630F4">
      <w:pPr>
        <w:ind w:firstLine="720"/>
        <w:jc w:val="both"/>
        <w:rPr>
          <w:rFonts w:ascii="Times New Roman" w:hAnsi="Times New Roman" w:cs="Times New Roman"/>
        </w:rPr>
      </w:pPr>
      <w:r w:rsidRPr="004842AA">
        <w:rPr>
          <w:rFonts w:ascii="Times New Roman" w:hAnsi="Times New Roman" w:cs="Times New Roman"/>
        </w:rPr>
        <w:t xml:space="preserve">But the European </w:t>
      </w:r>
      <w:r w:rsidR="00660CCC">
        <w:rPr>
          <w:rFonts w:ascii="Times New Roman" w:hAnsi="Times New Roman" w:cs="Times New Roman"/>
        </w:rPr>
        <w:t>Council’s decision on sequence</w:t>
      </w:r>
      <w:r w:rsidRPr="004842AA">
        <w:rPr>
          <w:rFonts w:ascii="Times New Roman" w:hAnsi="Times New Roman" w:cs="Times New Roman"/>
        </w:rPr>
        <w:t xml:space="preserve"> and timing was not solely political.  It also </w:t>
      </w:r>
      <w:r w:rsidR="00C978AD" w:rsidRPr="004842AA">
        <w:rPr>
          <w:rFonts w:ascii="Times New Roman" w:hAnsi="Times New Roman" w:cs="Times New Roman"/>
        </w:rPr>
        <w:t xml:space="preserve">reflected </w:t>
      </w:r>
      <w:r w:rsidR="00857E2C" w:rsidRPr="004842AA">
        <w:rPr>
          <w:rFonts w:ascii="Times New Roman" w:hAnsi="Times New Roman" w:cs="Times New Roman"/>
        </w:rPr>
        <w:t xml:space="preserve">the desire </w:t>
      </w:r>
      <w:r w:rsidR="00C978AD" w:rsidRPr="004842AA">
        <w:rPr>
          <w:rFonts w:ascii="Times New Roman" w:hAnsi="Times New Roman" w:cs="Times New Roman"/>
        </w:rPr>
        <w:t xml:space="preserve">to find </w:t>
      </w:r>
      <w:r w:rsidR="00857E2C" w:rsidRPr="004842AA">
        <w:rPr>
          <w:rFonts w:ascii="Times New Roman" w:hAnsi="Times New Roman" w:cs="Times New Roman"/>
        </w:rPr>
        <w:t xml:space="preserve">an </w:t>
      </w:r>
      <w:r w:rsidR="00C978AD" w:rsidRPr="004842AA">
        <w:rPr>
          <w:rFonts w:ascii="Times New Roman" w:hAnsi="Times New Roman" w:cs="Times New Roman"/>
        </w:rPr>
        <w:t>interpretation of Article 50 TEU that would fit satisfactorily within the wider constitutional framework of the EU legal system</w:t>
      </w:r>
      <w:r w:rsidR="00857E2C" w:rsidRPr="004842AA">
        <w:rPr>
          <w:rFonts w:ascii="Times New Roman" w:hAnsi="Times New Roman" w:cs="Times New Roman"/>
        </w:rPr>
        <w:t xml:space="preserve">: </w:t>
      </w:r>
      <w:r w:rsidR="00C978AD" w:rsidRPr="004842AA">
        <w:rPr>
          <w:rFonts w:ascii="Times New Roman" w:hAnsi="Times New Roman" w:cs="Times New Roman"/>
        </w:rPr>
        <w:lastRenderedPageBreak/>
        <w:t xml:space="preserve">the treaty governing the nuts-and-bolts of withdrawal </w:t>
      </w:r>
      <w:r w:rsidR="00857E2C" w:rsidRPr="004842AA">
        <w:rPr>
          <w:rFonts w:ascii="Times New Roman" w:hAnsi="Times New Roman" w:cs="Times New Roman"/>
        </w:rPr>
        <w:t xml:space="preserve">should be </w:t>
      </w:r>
      <w:r w:rsidR="00C978AD" w:rsidRPr="004842AA">
        <w:rPr>
          <w:rFonts w:ascii="Times New Roman" w:hAnsi="Times New Roman" w:cs="Times New Roman"/>
        </w:rPr>
        <w:t>separate and distinct from any agreement on the longer term EU-UK relationship.  After all, the very text of Article 50 TEU explicitly distinguishes between (on the one hand) “an agreement… setting out the arrangements for [the relevant State’s] withdrawal” and (on the other hand) “the framework for [the relevant State’s] future relationship with the Union”: the former agreement is to be negotiated and concluded simply “taking account of” (not addressing or incorporating or otherwise giving concrete legal expression to) the latter framework.</w:t>
      </w:r>
      <w:r w:rsidR="00160BD3">
        <w:rPr>
          <w:rStyle w:val="FootnoteReference"/>
          <w:rFonts w:ascii="Times New Roman" w:hAnsi="Times New Roman" w:cs="Times New Roman"/>
        </w:rPr>
        <w:footnoteReference w:id="90"/>
      </w:r>
      <w:r w:rsidR="00C978AD" w:rsidRPr="004842AA">
        <w:rPr>
          <w:rFonts w:ascii="Times New Roman" w:hAnsi="Times New Roman" w:cs="Times New Roman"/>
        </w:rPr>
        <w:t xml:space="preserve">  </w:t>
      </w:r>
      <w:r w:rsidR="00857E2C" w:rsidRPr="004842AA">
        <w:rPr>
          <w:rFonts w:ascii="Times New Roman" w:hAnsi="Times New Roman" w:cs="Times New Roman"/>
        </w:rPr>
        <w:t>E</w:t>
      </w:r>
      <w:r w:rsidR="00C978AD" w:rsidRPr="004842AA">
        <w:rPr>
          <w:rFonts w:ascii="Times New Roman" w:hAnsi="Times New Roman" w:cs="Times New Roman"/>
        </w:rPr>
        <w:t>arlier versions of the withdrawal clause</w:t>
      </w:r>
      <w:r w:rsidR="00857E2C" w:rsidRPr="004842AA">
        <w:rPr>
          <w:rFonts w:ascii="Times New Roman" w:hAnsi="Times New Roman" w:cs="Times New Roman"/>
        </w:rPr>
        <w:t>, drafted during the Convention on the Future of Europe,</w:t>
      </w:r>
      <w:r w:rsidR="00C978AD" w:rsidRPr="004842AA">
        <w:rPr>
          <w:rFonts w:ascii="Times New Roman" w:hAnsi="Times New Roman" w:cs="Times New Roman"/>
        </w:rPr>
        <w:t xml:space="preserve"> had indeed suggested that the withdrawal agreement should directly settle both the separation issues and the future relationship – but the final text of Article 50 TEU was amended to make clear that the two issues were to be handled separately.</w:t>
      </w:r>
      <w:r w:rsidR="00857E2C" w:rsidRPr="004842AA">
        <w:rPr>
          <w:rStyle w:val="FootnoteReference"/>
          <w:rFonts w:ascii="Times New Roman" w:hAnsi="Times New Roman" w:cs="Times New Roman"/>
        </w:rPr>
        <w:footnoteReference w:id="91"/>
      </w:r>
      <w:r w:rsidR="00C978AD" w:rsidRPr="004842AA">
        <w:rPr>
          <w:rFonts w:ascii="Times New Roman" w:hAnsi="Times New Roman" w:cs="Times New Roman"/>
        </w:rPr>
        <w:t xml:space="preserve">  </w:t>
      </w:r>
    </w:p>
    <w:p w14:paraId="4441B856" w14:textId="7571A967" w:rsidR="00D630F4" w:rsidRDefault="00857E2C" w:rsidP="00D630F4">
      <w:pPr>
        <w:ind w:firstLine="720"/>
        <w:jc w:val="both"/>
        <w:rPr>
          <w:rFonts w:ascii="Times New Roman" w:hAnsi="Times New Roman" w:cs="Times New Roman"/>
        </w:rPr>
      </w:pPr>
      <w:r w:rsidRPr="004842AA">
        <w:rPr>
          <w:rFonts w:ascii="Times New Roman" w:hAnsi="Times New Roman" w:cs="Times New Roman"/>
        </w:rPr>
        <w:t>Moreover</w:t>
      </w:r>
      <w:r w:rsidR="00C978AD" w:rsidRPr="004842AA">
        <w:rPr>
          <w:rFonts w:ascii="Times New Roman" w:hAnsi="Times New Roman" w:cs="Times New Roman"/>
        </w:rPr>
        <w:t xml:space="preserve">, the Treaty drafters decided that conclusion of a withdrawal </w:t>
      </w:r>
      <w:r w:rsidR="00660CCC">
        <w:rPr>
          <w:rFonts w:ascii="Times New Roman" w:hAnsi="Times New Roman" w:cs="Times New Roman"/>
        </w:rPr>
        <w:t>agreement</w:t>
      </w:r>
      <w:r w:rsidR="00C978AD" w:rsidRPr="004842AA">
        <w:rPr>
          <w:rFonts w:ascii="Times New Roman" w:hAnsi="Times New Roman" w:cs="Times New Roman"/>
        </w:rPr>
        <w:t xml:space="preserve"> under Article 50 TEU should be possible with the support of a (super-</w:t>
      </w:r>
      <w:proofErr w:type="gramStart"/>
      <w:r w:rsidR="00660CCC">
        <w:rPr>
          <w:rFonts w:ascii="Times New Roman" w:hAnsi="Times New Roman" w:cs="Times New Roman"/>
        </w:rPr>
        <w:t>)</w:t>
      </w:r>
      <w:r w:rsidR="00C978AD" w:rsidRPr="004842AA">
        <w:rPr>
          <w:rFonts w:ascii="Times New Roman" w:hAnsi="Times New Roman" w:cs="Times New Roman"/>
        </w:rPr>
        <w:t>majority</w:t>
      </w:r>
      <w:proofErr w:type="gramEnd"/>
      <w:r w:rsidR="00C978AD" w:rsidRPr="004842AA">
        <w:rPr>
          <w:rFonts w:ascii="Times New Roman" w:hAnsi="Times New Roman" w:cs="Times New Roman"/>
        </w:rPr>
        <w:t xml:space="preserve"> in the Council</w:t>
      </w:r>
      <w:r w:rsidR="008954A1" w:rsidRPr="004842AA">
        <w:rPr>
          <w:rFonts w:ascii="Times New Roman" w:hAnsi="Times New Roman" w:cs="Times New Roman"/>
        </w:rPr>
        <w:t xml:space="preserve">; and (as we have seen) the </w:t>
      </w:r>
      <w:r w:rsidR="00660CCC">
        <w:rPr>
          <w:rFonts w:ascii="Times New Roman" w:hAnsi="Times New Roman" w:cs="Times New Roman"/>
        </w:rPr>
        <w:t xml:space="preserve">Council </w:t>
      </w:r>
      <w:r w:rsidR="008954A1" w:rsidRPr="004842AA">
        <w:rPr>
          <w:rFonts w:ascii="Times New Roman" w:hAnsi="Times New Roman" w:cs="Times New Roman"/>
        </w:rPr>
        <w:t>further agreed that Article 50 TEU conferred an exceptional competence upon the Union institutions alone to conclude any withdrawal treaty (even as regards areas falling within shared competence</w:t>
      </w:r>
      <w:r w:rsidR="00660CCC">
        <w:rPr>
          <w:rFonts w:ascii="Times New Roman" w:hAnsi="Times New Roman" w:cs="Times New Roman"/>
        </w:rPr>
        <w:t>,</w:t>
      </w:r>
      <w:r w:rsidR="008954A1" w:rsidRPr="004842AA">
        <w:rPr>
          <w:rFonts w:ascii="Times New Roman" w:hAnsi="Times New Roman" w:cs="Times New Roman"/>
        </w:rPr>
        <w:t xml:space="preserve"> with no possibility of ratification also by domestic institutions).</w:t>
      </w:r>
      <w:r w:rsidR="00003DF6" w:rsidRPr="004842AA">
        <w:rPr>
          <w:rStyle w:val="FootnoteReference"/>
          <w:rFonts w:ascii="Times New Roman" w:hAnsi="Times New Roman" w:cs="Times New Roman"/>
        </w:rPr>
        <w:footnoteReference w:id="92"/>
      </w:r>
      <w:r w:rsidR="008954A1" w:rsidRPr="004842AA">
        <w:rPr>
          <w:rFonts w:ascii="Times New Roman" w:hAnsi="Times New Roman" w:cs="Times New Roman"/>
        </w:rPr>
        <w:t xml:space="preserve">  That approach and understanding may well have been constitutionally tolerable in respect of an agreement dealing only with the immediate and inherent challenges of withdrawal.  But it would not be near</w:t>
      </w:r>
      <w:r w:rsidR="00660CCC">
        <w:rPr>
          <w:rFonts w:ascii="Times New Roman" w:hAnsi="Times New Roman" w:cs="Times New Roman"/>
        </w:rPr>
        <w:t xml:space="preserve">ly so </w:t>
      </w:r>
      <w:r w:rsidR="008954A1" w:rsidRPr="004842AA">
        <w:rPr>
          <w:rFonts w:ascii="Times New Roman" w:hAnsi="Times New Roman" w:cs="Times New Roman"/>
        </w:rPr>
        <w:t xml:space="preserve">persuasive in the case of a </w:t>
      </w:r>
      <w:r w:rsidR="00C978AD" w:rsidRPr="004842AA">
        <w:rPr>
          <w:rFonts w:ascii="Times New Roman" w:hAnsi="Times New Roman" w:cs="Times New Roman"/>
        </w:rPr>
        <w:t xml:space="preserve">wide-ranging cooperation agreement between the Union and an external partner </w:t>
      </w:r>
      <w:r w:rsidR="008954A1" w:rsidRPr="004842AA">
        <w:rPr>
          <w:rFonts w:ascii="Times New Roman" w:hAnsi="Times New Roman" w:cs="Times New Roman"/>
        </w:rPr>
        <w:t xml:space="preserve">intended to last far into the future: </w:t>
      </w:r>
      <w:r w:rsidR="00C978AD" w:rsidRPr="004842AA">
        <w:rPr>
          <w:rFonts w:ascii="Times New Roman" w:hAnsi="Times New Roman" w:cs="Times New Roman"/>
        </w:rPr>
        <w:t xml:space="preserve">to interpret Article 50 TEU as a valid legal basis </w:t>
      </w:r>
      <w:r w:rsidR="008954A1" w:rsidRPr="004842AA">
        <w:rPr>
          <w:rFonts w:ascii="Times New Roman" w:hAnsi="Times New Roman" w:cs="Times New Roman"/>
        </w:rPr>
        <w:t xml:space="preserve">not only for </w:t>
      </w:r>
      <w:r w:rsidR="00C978AD" w:rsidRPr="004842AA">
        <w:rPr>
          <w:rFonts w:ascii="Times New Roman" w:hAnsi="Times New Roman" w:cs="Times New Roman"/>
        </w:rPr>
        <w:t xml:space="preserve">separation </w:t>
      </w:r>
      <w:r w:rsidR="008954A1" w:rsidRPr="004842AA">
        <w:rPr>
          <w:rFonts w:ascii="Times New Roman" w:hAnsi="Times New Roman" w:cs="Times New Roman"/>
        </w:rPr>
        <w:t xml:space="preserve">issues but also the </w:t>
      </w:r>
      <w:r w:rsidR="00C978AD" w:rsidRPr="004842AA">
        <w:rPr>
          <w:rFonts w:ascii="Times New Roman" w:hAnsi="Times New Roman" w:cs="Times New Roman"/>
        </w:rPr>
        <w:t xml:space="preserve">future relationship, exempted from the normal constitutional rules </w:t>
      </w:r>
      <w:r w:rsidR="008954A1" w:rsidRPr="004842AA">
        <w:rPr>
          <w:rFonts w:ascii="Times New Roman" w:hAnsi="Times New Roman" w:cs="Times New Roman"/>
        </w:rPr>
        <w:t xml:space="preserve">governing issues such as </w:t>
      </w:r>
      <w:proofErr w:type="spellStart"/>
      <w:r w:rsidR="00C978AD" w:rsidRPr="004842AA">
        <w:rPr>
          <w:rFonts w:ascii="Times New Roman" w:hAnsi="Times New Roman" w:cs="Times New Roman"/>
        </w:rPr>
        <w:t>mixity</w:t>
      </w:r>
      <w:proofErr w:type="spellEnd"/>
      <w:r w:rsidR="008954A1" w:rsidRPr="004842AA">
        <w:rPr>
          <w:rFonts w:ascii="Times New Roman" w:hAnsi="Times New Roman" w:cs="Times New Roman"/>
        </w:rPr>
        <w:t xml:space="preserve">, </w:t>
      </w:r>
      <w:r w:rsidR="00FF7DCA">
        <w:rPr>
          <w:rFonts w:ascii="Times New Roman" w:hAnsi="Times New Roman" w:cs="Times New Roman"/>
        </w:rPr>
        <w:t xml:space="preserve">and </w:t>
      </w:r>
      <w:r w:rsidR="00C978AD" w:rsidRPr="004842AA">
        <w:rPr>
          <w:rFonts w:ascii="Times New Roman" w:hAnsi="Times New Roman" w:cs="Times New Roman"/>
        </w:rPr>
        <w:t xml:space="preserve">without any compelling textual or contextual reason </w:t>
      </w:r>
      <w:r w:rsidR="008954A1" w:rsidRPr="004842AA">
        <w:rPr>
          <w:rFonts w:ascii="Times New Roman" w:hAnsi="Times New Roman" w:cs="Times New Roman"/>
        </w:rPr>
        <w:t>for doing so other than political convenience for the withdrawing State</w:t>
      </w:r>
      <w:r w:rsidR="00C978AD" w:rsidRPr="004842AA">
        <w:rPr>
          <w:rFonts w:ascii="Times New Roman" w:hAnsi="Times New Roman" w:cs="Times New Roman"/>
        </w:rPr>
        <w:t xml:space="preserve">, </w:t>
      </w:r>
      <w:r w:rsidR="008954A1" w:rsidRPr="004842AA">
        <w:rPr>
          <w:rFonts w:ascii="Times New Roman" w:hAnsi="Times New Roman" w:cs="Times New Roman"/>
        </w:rPr>
        <w:t>would override</w:t>
      </w:r>
      <w:r w:rsidR="00C978AD" w:rsidRPr="004842AA">
        <w:rPr>
          <w:rFonts w:ascii="Times New Roman" w:hAnsi="Times New Roman" w:cs="Times New Roman"/>
        </w:rPr>
        <w:t xml:space="preserve"> </w:t>
      </w:r>
      <w:r w:rsidR="00660CCC">
        <w:rPr>
          <w:rFonts w:ascii="Times New Roman" w:hAnsi="Times New Roman" w:cs="Times New Roman"/>
        </w:rPr>
        <w:t>our standard</w:t>
      </w:r>
      <w:r w:rsidR="00C978AD" w:rsidRPr="004842AA">
        <w:rPr>
          <w:rFonts w:ascii="Times New Roman" w:hAnsi="Times New Roman" w:cs="Times New Roman"/>
        </w:rPr>
        <w:t xml:space="preserve"> expectations concerning the division of competence between the Union and its Member States. </w:t>
      </w:r>
    </w:p>
    <w:p w14:paraId="1F57BE3E" w14:textId="4E1D5105" w:rsidR="00D630F4" w:rsidRDefault="00C978AD" w:rsidP="00D630F4">
      <w:pPr>
        <w:ind w:firstLine="720"/>
        <w:jc w:val="both"/>
        <w:rPr>
          <w:rFonts w:ascii="Times New Roman" w:hAnsi="Times New Roman" w:cs="Times New Roman"/>
        </w:rPr>
      </w:pPr>
      <w:r w:rsidRPr="004842AA">
        <w:rPr>
          <w:rFonts w:ascii="Times New Roman" w:hAnsi="Times New Roman" w:cs="Times New Roman"/>
        </w:rPr>
        <w:t xml:space="preserve">If Article 50 TEU </w:t>
      </w:r>
      <w:r w:rsidR="00003DF6" w:rsidRPr="004842AA">
        <w:rPr>
          <w:rFonts w:ascii="Times New Roman" w:hAnsi="Times New Roman" w:cs="Times New Roman"/>
        </w:rPr>
        <w:t>could not</w:t>
      </w:r>
      <w:r w:rsidRPr="004842AA">
        <w:rPr>
          <w:rFonts w:ascii="Times New Roman" w:hAnsi="Times New Roman" w:cs="Times New Roman"/>
        </w:rPr>
        <w:t xml:space="preserve"> provide an appropriate legal basis for the Union to conclude </w:t>
      </w:r>
      <w:r w:rsidR="008954A1" w:rsidRPr="004842AA">
        <w:rPr>
          <w:rFonts w:ascii="Times New Roman" w:hAnsi="Times New Roman" w:cs="Times New Roman"/>
        </w:rPr>
        <w:t xml:space="preserve">an </w:t>
      </w:r>
      <w:r w:rsidRPr="004842AA">
        <w:rPr>
          <w:rFonts w:ascii="Times New Roman" w:hAnsi="Times New Roman" w:cs="Times New Roman"/>
        </w:rPr>
        <w:t xml:space="preserve">agreement also covering the future relationship with the UK, that </w:t>
      </w:r>
      <w:r w:rsidR="00003DF6" w:rsidRPr="004842AA">
        <w:rPr>
          <w:rFonts w:ascii="Times New Roman" w:hAnsi="Times New Roman" w:cs="Times New Roman"/>
        </w:rPr>
        <w:t xml:space="preserve">left </w:t>
      </w:r>
      <w:r w:rsidRPr="004842AA">
        <w:rPr>
          <w:rFonts w:ascii="Times New Roman" w:hAnsi="Times New Roman" w:cs="Times New Roman"/>
        </w:rPr>
        <w:t xml:space="preserve">the question: which </w:t>
      </w:r>
      <w:r w:rsidR="00003DF6" w:rsidRPr="004842AA">
        <w:rPr>
          <w:rFonts w:ascii="Times New Roman" w:hAnsi="Times New Roman" w:cs="Times New Roman"/>
        </w:rPr>
        <w:t xml:space="preserve">other </w:t>
      </w:r>
      <w:r w:rsidRPr="004842AA">
        <w:rPr>
          <w:rFonts w:ascii="Times New Roman" w:hAnsi="Times New Roman" w:cs="Times New Roman"/>
        </w:rPr>
        <w:t xml:space="preserve">Treaty provisions might provide an alternative legal basis for the Union to reach a parallel agreement on that future relationship, before withdrawal </w:t>
      </w:r>
      <w:r w:rsidR="00FF7DCA">
        <w:rPr>
          <w:rFonts w:ascii="Times New Roman" w:hAnsi="Times New Roman" w:cs="Times New Roman"/>
        </w:rPr>
        <w:t xml:space="preserve">had </w:t>
      </w:r>
      <w:r w:rsidRPr="004842AA">
        <w:rPr>
          <w:rFonts w:ascii="Times New Roman" w:hAnsi="Times New Roman" w:cs="Times New Roman"/>
        </w:rPr>
        <w:t xml:space="preserve">actually taken place?  Here, </w:t>
      </w:r>
      <w:r w:rsidR="00660CCC">
        <w:rPr>
          <w:rFonts w:ascii="Times New Roman" w:hAnsi="Times New Roman" w:cs="Times New Roman"/>
        </w:rPr>
        <w:t xml:space="preserve">there was </w:t>
      </w:r>
      <w:r w:rsidRPr="004842AA">
        <w:rPr>
          <w:rFonts w:ascii="Times New Roman" w:hAnsi="Times New Roman" w:cs="Times New Roman"/>
        </w:rPr>
        <w:t>little room for ambiguity: all of the relevant alternative provisions and legal bases provided for under the Treaties make clear that the Union can negotiate and conclude agreements “with third countries”.</w:t>
      </w:r>
      <w:r w:rsidRPr="004842AA">
        <w:rPr>
          <w:rStyle w:val="FootnoteReference"/>
          <w:rFonts w:ascii="Times New Roman" w:hAnsi="Times New Roman" w:cs="Times New Roman"/>
        </w:rPr>
        <w:footnoteReference w:id="93"/>
      </w:r>
      <w:r w:rsidRPr="004842AA">
        <w:rPr>
          <w:rFonts w:ascii="Times New Roman" w:hAnsi="Times New Roman" w:cs="Times New Roman"/>
        </w:rPr>
        <w:t xml:space="preserve">  For that reason, the European Council adopted the view that the Union institutions could not legitimately exercise their existing external relations competences so as to engage in (let alone conclude) formal negotiations with an existing Member State – even one which has notified its intention to withdraw under Article 50 TEU, but which otherwise remains a Member State subject to all of the relevant provisions of Union law.</w:t>
      </w:r>
      <w:r w:rsidRPr="004842AA">
        <w:rPr>
          <w:rStyle w:val="FootnoteReference"/>
          <w:rFonts w:ascii="Times New Roman" w:hAnsi="Times New Roman" w:cs="Times New Roman"/>
        </w:rPr>
        <w:footnoteReference w:id="94"/>
      </w:r>
      <w:r w:rsidRPr="004842AA">
        <w:rPr>
          <w:rFonts w:ascii="Times New Roman" w:hAnsi="Times New Roman" w:cs="Times New Roman"/>
        </w:rPr>
        <w:t xml:space="preserve">  </w:t>
      </w:r>
    </w:p>
    <w:p w14:paraId="286BBCB2" w14:textId="5EB7B485" w:rsidR="00095338" w:rsidRPr="004842AA" w:rsidRDefault="00C978AD" w:rsidP="00D630F4">
      <w:pPr>
        <w:ind w:firstLine="720"/>
        <w:jc w:val="both"/>
        <w:rPr>
          <w:rFonts w:ascii="Times New Roman" w:hAnsi="Times New Roman" w:cs="Times New Roman"/>
        </w:rPr>
      </w:pPr>
      <w:r w:rsidRPr="004842AA">
        <w:rPr>
          <w:rFonts w:ascii="Times New Roman" w:hAnsi="Times New Roman" w:cs="Times New Roman"/>
        </w:rPr>
        <w:t>For those reasons, there are strong grounds for arguing that the European Coun</w:t>
      </w:r>
      <w:r w:rsidR="00660CCC">
        <w:rPr>
          <w:rFonts w:ascii="Times New Roman" w:hAnsi="Times New Roman" w:cs="Times New Roman"/>
        </w:rPr>
        <w:t>cil’s approach to the sequence</w:t>
      </w:r>
      <w:r w:rsidRPr="004842AA">
        <w:rPr>
          <w:rFonts w:ascii="Times New Roman" w:hAnsi="Times New Roman" w:cs="Times New Roman"/>
        </w:rPr>
        <w:t xml:space="preserve"> </w:t>
      </w:r>
      <w:r w:rsidR="00FF7DCA">
        <w:rPr>
          <w:rFonts w:ascii="Times New Roman" w:hAnsi="Times New Roman" w:cs="Times New Roman"/>
        </w:rPr>
        <w:t xml:space="preserve">and timing </w:t>
      </w:r>
      <w:r w:rsidRPr="004842AA">
        <w:rPr>
          <w:rFonts w:ascii="Times New Roman" w:hAnsi="Times New Roman" w:cs="Times New Roman"/>
        </w:rPr>
        <w:t xml:space="preserve">of negotiations was not only politically </w:t>
      </w:r>
      <w:r w:rsidRPr="004842AA">
        <w:rPr>
          <w:rFonts w:ascii="Times New Roman" w:hAnsi="Times New Roman" w:cs="Times New Roman"/>
        </w:rPr>
        <w:lastRenderedPageBreak/>
        <w:t xml:space="preserve">more realistic and empirically grounded, but also legally more robust than the alternative interpretation championed by the UK.  Ultimately, however, the issue was decided at the political rather than the </w:t>
      </w:r>
      <w:r w:rsidR="00FF7DCA">
        <w:rPr>
          <w:rFonts w:ascii="Times New Roman" w:hAnsi="Times New Roman" w:cs="Times New Roman"/>
        </w:rPr>
        <w:t xml:space="preserve">strictly </w:t>
      </w:r>
      <w:r w:rsidRPr="004842AA">
        <w:rPr>
          <w:rFonts w:ascii="Times New Roman" w:hAnsi="Times New Roman" w:cs="Times New Roman"/>
        </w:rPr>
        <w:t>legal level: the Court was never called upon to clarify the precise nature of the Union’s competences under Article 50 TEU.</w:t>
      </w:r>
      <w:r w:rsidR="000630D0" w:rsidRPr="004842AA">
        <w:rPr>
          <w:rStyle w:val="FootnoteReference"/>
          <w:rFonts w:ascii="Times New Roman" w:hAnsi="Times New Roman" w:cs="Times New Roman"/>
        </w:rPr>
        <w:footnoteReference w:id="95"/>
      </w:r>
    </w:p>
    <w:p w14:paraId="4832CD08" w14:textId="77777777" w:rsidR="00095338" w:rsidRPr="004842AA" w:rsidRDefault="00095338" w:rsidP="004842AA">
      <w:pPr>
        <w:jc w:val="both"/>
        <w:rPr>
          <w:rFonts w:ascii="Times New Roman" w:hAnsi="Times New Roman" w:cs="Times New Roman"/>
        </w:rPr>
      </w:pPr>
    </w:p>
    <w:p w14:paraId="78C74794" w14:textId="27DB1E8D" w:rsidR="00947667" w:rsidRPr="004842AA" w:rsidRDefault="008850A9" w:rsidP="004842AA">
      <w:pPr>
        <w:jc w:val="both"/>
        <w:rPr>
          <w:rFonts w:ascii="Times New Roman" w:hAnsi="Times New Roman" w:cs="Times New Roman"/>
          <w:b/>
        </w:rPr>
      </w:pPr>
      <w:r w:rsidRPr="004842AA">
        <w:rPr>
          <w:rFonts w:ascii="Times New Roman" w:hAnsi="Times New Roman" w:cs="Times New Roman"/>
          <w:b/>
        </w:rPr>
        <w:t xml:space="preserve">3. </w:t>
      </w:r>
      <w:r w:rsidRPr="004842AA">
        <w:rPr>
          <w:rFonts w:ascii="Times New Roman" w:hAnsi="Times New Roman" w:cs="Times New Roman"/>
          <w:b/>
        </w:rPr>
        <w:tab/>
      </w:r>
      <w:r w:rsidR="005244A1" w:rsidRPr="004842AA">
        <w:rPr>
          <w:rFonts w:ascii="Times New Roman" w:hAnsi="Times New Roman" w:cs="Times New Roman"/>
          <w:b/>
        </w:rPr>
        <w:t xml:space="preserve">The </w:t>
      </w:r>
      <w:r w:rsidR="00947667" w:rsidRPr="004842AA">
        <w:rPr>
          <w:rFonts w:ascii="Times New Roman" w:hAnsi="Times New Roman" w:cs="Times New Roman"/>
          <w:b/>
        </w:rPr>
        <w:t xml:space="preserve">Withdrawal Agreement </w:t>
      </w:r>
    </w:p>
    <w:p w14:paraId="5E99CE7C" w14:textId="77777777" w:rsidR="00947667" w:rsidRPr="004842AA" w:rsidRDefault="00947667" w:rsidP="004842AA">
      <w:pPr>
        <w:jc w:val="both"/>
        <w:rPr>
          <w:rFonts w:ascii="Times New Roman" w:hAnsi="Times New Roman" w:cs="Times New Roman"/>
          <w:b/>
        </w:rPr>
      </w:pPr>
    </w:p>
    <w:p w14:paraId="0F1EC441" w14:textId="365EA7DB" w:rsidR="00FF7DCA" w:rsidRDefault="00D45C84" w:rsidP="004842AA">
      <w:pPr>
        <w:widowControl w:val="0"/>
        <w:autoSpaceDE w:val="0"/>
        <w:autoSpaceDN w:val="0"/>
        <w:adjustRightInd w:val="0"/>
        <w:jc w:val="both"/>
        <w:rPr>
          <w:rFonts w:ascii="Times New Roman" w:hAnsi="Times New Roman" w:cs="Times New Roman"/>
        </w:rPr>
      </w:pPr>
      <w:r w:rsidRPr="004842AA">
        <w:rPr>
          <w:rFonts w:ascii="Times New Roman" w:hAnsi="Times New Roman" w:cs="Times New Roman"/>
        </w:rPr>
        <w:t xml:space="preserve">Besides its preamble, the Agreement comprises six main parts, three protocols and nine </w:t>
      </w:r>
      <w:r w:rsidR="00B365A3" w:rsidRPr="004842AA">
        <w:rPr>
          <w:rFonts w:ascii="Times New Roman" w:hAnsi="Times New Roman" w:cs="Times New Roman"/>
        </w:rPr>
        <w:t>annexes</w:t>
      </w:r>
      <w:r w:rsidRPr="004842AA">
        <w:rPr>
          <w:rFonts w:ascii="Times New Roman" w:hAnsi="Times New Roman" w:cs="Times New Roman"/>
        </w:rPr>
        <w:t>.</w:t>
      </w:r>
      <w:r w:rsidR="009A6A4D">
        <w:rPr>
          <w:rStyle w:val="FootnoteReference"/>
          <w:rFonts w:ascii="Times New Roman" w:hAnsi="Times New Roman" w:cs="Times New Roman"/>
        </w:rPr>
        <w:footnoteReference w:id="96"/>
      </w:r>
      <w:r w:rsidRPr="004842AA">
        <w:rPr>
          <w:rFonts w:ascii="Times New Roman" w:hAnsi="Times New Roman" w:cs="Times New Roman"/>
        </w:rPr>
        <w:t xml:space="preserve">  </w:t>
      </w:r>
      <w:r w:rsidR="0096565E" w:rsidRPr="004842AA">
        <w:rPr>
          <w:rFonts w:ascii="Times New Roman" w:hAnsi="Times New Roman" w:cs="Times New Roman"/>
        </w:rPr>
        <w:t xml:space="preserve">However, our </w:t>
      </w:r>
      <w:r w:rsidRPr="004842AA">
        <w:rPr>
          <w:rFonts w:ascii="Times New Roman" w:hAnsi="Times New Roman" w:cs="Times New Roman"/>
        </w:rPr>
        <w:t xml:space="preserve">discussion will focus on four key issues of high legal as well as political importance: governance of the </w:t>
      </w:r>
      <w:r w:rsidR="00083E04">
        <w:rPr>
          <w:rFonts w:ascii="Times New Roman" w:hAnsi="Times New Roman" w:cs="Times New Roman"/>
        </w:rPr>
        <w:t>Agreement</w:t>
      </w:r>
      <w:r w:rsidR="00E4733B">
        <w:rPr>
          <w:rFonts w:ascii="Times New Roman" w:hAnsi="Times New Roman" w:cs="Times New Roman"/>
        </w:rPr>
        <w:t>,</w:t>
      </w:r>
      <w:r w:rsidRPr="004842AA">
        <w:rPr>
          <w:rFonts w:ascii="Times New Roman" w:hAnsi="Times New Roman" w:cs="Times New Roman"/>
        </w:rPr>
        <w:t xml:space="preserve"> including its interpretation, dispute settlement and internal legal effects</w:t>
      </w:r>
      <w:r w:rsidR="002F426A" w:rsidRPr="004842AA">
        <w:rPr>
          <w:rFonts w:ascii="Times New Roman" w:hAnsi="Times New Roman" w:cs="Times New Roman"/>
        </w:rPr>
        <w:t xml:space="preserve"> (3.1)</w:t>
      </w:r>
      <w:r w:rsidRPr="004842AA">
        <w:rPr>
          <w:rFonts w:ascii="Times New Roman" w:hAnsi="Times New Roman" w:cs="Times New Roman"/>
        </w:rPr>
        <w:t>; the post-withdrawal</w:t>
      </w:r>
      <w:r w:rsidR="00E4733B">
        <w:rPr>
          <w:rFonts w:ascii="Times New Roman" w:hAnsi="Times New Roman" w:cs="Times New Roman"/>
        </w:rPr>
        <w:t>,</w:t>
      </w:r>
      <w:r w:rsidRPr="004842AA">
        <w:rPr>
          <w:rFonts w:ascii="Times New Roman" w:hAnsi="Times New Roman" w:cs="Times New Roman"/>
        </w:rPr>
        <w:t xml:space="preserve"> status quo transi</w:t>
      </w:r>
      <w:r w:rsidR="006861A1">
        <w:rPr>
          <w:rFonts w:ascii="Times New Roman" w:hAnsi="Times New Roman" w:cs="Times New Roman"/>
        </w:rPr>
        <w:t>tion</w:t>
      </w:r>
      <w:r w:rsidRPr="004842AA">
        <w:rPr>
          <w:rFonts w:ascii="Times New Roman" w:hAnsi="Times New Roman" w:cs="Times New Roman"/>
        </w:rPr>
        <w:t xml:space="preserve"> period</w:t>
      </w:r>
      <w:r w:rsidR="002F426A" w:rsidRPr="004842AA">
        <w:rPr>
          <w:rFonts w:ascii="Times New Roman" w:hAnsi="Times New Roman" w:cs="Times New Roman"/>
        </w:rPr>
        <w:t xml:space="preserve"> (3.2)</w:t>
      </w:r>
      <w:r w:rsidRPr="004842AA">
        <w:rPr>
          <w:rFonts w:ascii="Times New Roman" w:hAnsi="Times New Roman" w:cs="Times New Roman"/>
        </w:rPr>
        <w:t>; the protection of citizens’ rights</w:t>
      </w:r>
      <w:r w:rsidR="002F426A" w:rsidRPr="004842AA">
        <w:rPr>
          <w:rFonts w:ascii="Times New Roman" w:hAnsi="Times New Roman" w:cs="Times New Roman"/>
        </w:rPr>
        <w:t xml:space="preserve"> (3.3)</w:t>
      </w:r>
      <w:r w:rsidRPr="004842AA">
        <w:rPr>
          <w:rFonts w:ascii="Times New Roman" w:hAnsi="Times New Roman" w:cs="Times New Roman"/>
        </w:rPr>
        <w:t>; and the challenge of avoiding a “hard border” across the island of Ireland</w:t>
      </w:r>
      <w:r w:rsidR="002F426A" w:rsidRPr="004842AA">
        <w:rPr>
          <w:rFonts w:ascii="Times New Roman" w:hAnsi="Times New Roman" w:cs="Times New Roman"/>
        </w:rPr>
        <w:t xml:space="preserve"> (3.4)</w:t>
      </w:r>
      <w:r w:rsidRPr="004842AA">
        <w:rPr>
          <w:rFonts w:ascii="Times New Roman" w:hAnsi="Times New Roman" w:cs="Times New Roman"/>
        </w:rPr>
        <w:t xml:space="preserve">.  </w:t>
      </w:r>
    </w:p>
    <w:p w14:paraId="02E9FBD6" w14:textId="0823698E" w:rsidR="00FF7DCA" w:rsidRDefault="00D45C84" w:rsidP="00FF7DCA">
      <w:pPr>
        <w:widowControl w:val="0"/>
        <w:autoSpaceDE w:val="0"/>
        <w:autoSpaceDN w:val="0"/>
        <w:adjustRightInd w:val="0"/>
        <w:ind w:firstLine="720"/>
        <w:jc w:val="both"/>
        <w:rPr>
          <w:rFonts w:ascii="Times New Roman" w:hAnsi="Times New Roman" w:cs="Times New Roman"/>
        </w:rPr>
      </w:pPr>
      <w:r w:rsidRPr="004842AA">
        <w:rPr>
          <w:rFonts w:ascii="Times New Roman" w:hAnsi="Times New Roman" w:cs="Times New Roman"/>
        </w:rPr>
        <w:t>Needless to say, the Agreement</w:t>
      </w:r>
      <w:r w:rsidR="0096565E" w:rsidRPr="004842AA">
        <w:rPr>
          <w:rFonts w:ascii="Times New Roman" w:hAnsi="Times New Roman" w:cs="Times New Roman"/>
        </w:rPr>
        <w:t xml:space="preserve"> addresses a host of other salient issues – but considerations of space </w:t>
      </w:r>
      <w:r w:rsidR="002F426A" w:rsidRPr="004842AA">
        <w:rPr>
          <w:rFonts w:ascii="Times New Roman" w:hAnsi="Times New Roman" w:cs="Times New Roman"/>
        </w:rPr>
        <w:t xml:space="preserve">and </w:t>
      </w:r>
      <w:r w:rsidR="0096565E" w:rsidRPr="004842AA">
        <w:rPr>
          <w:rFonts w:ascii="Times New Roman" w:hAnsi="Times New Roman" w:cs="Times New Roman"/>
        </w:rPr>
        <w:t>relative significance preclude any further discussion</w:t>
      </w:r>
      <w:r w:rsidR="00E4733B">
        <w:rPr>
          <w:rFonts w:ascii="Times New Roman" w:hAnsi="Times New Roman" w:cs="Times New Roman"/>
        </w:rPr>
        <w:t>: for example,</w:t>
      </w:r>
      <w:r w:rsidR="0096565E" w:rsidRPr="004842AA">
        <w:rPr>
          <w:rFonts w:ascii="Times New Roman" w:hAnsi="Times New Roman" w:cs="Times New Roman"/>
        </w:rPr>
        <w:t xml:space="preserve"> </w:t>
      </w:r>
      <w:r w:rsidR="00E4733B">
        <w:rPr>
          <w:rFonts w:ascii="Times New Roman" w:hAnsi="Times New Roman" w:cs="Times New Roman"/>
        </w:rPr>
        <w:t>of</w:t>
      </w:r>
      <w:r w:rsidR="002F426A" w:rsidRPr="004842AA">
        <w:rPr>
          <w:rFonts w:ascii="Times New Roman" w:hAnsi="Times New Roman" w:cs="Times New Roman"/>
        </w:rPr>
        <w:t xml:space="preserve"> </w:t>
      </w:r>
      <w:r w:rsidR="0096565E" w:rsidRPr="004842AA">
        <w:rPr>
          <w:rFonts w:ascii="Times New Roman" w:hAnsi="Times New Roman" w:cs="Times New Roman"/>
        </w:rPr>
        <w:t xml:space="preserve">the </w:t>
      </w:r>
      <w:r w:rsidR="00BC68E9" w:rsidRPr="004842AA">
        <w:rPr>
          <w:rFonts w:ascii="Times New Roman" w:hAnsi="Times New Roman" w:cs="Times New Roman"/>
        </w:rPr>
        <w:t xml:space="preserve">precise </w:t>
      </w:r>
      <w:r w:rsidR="0096565E" w:rsidRPr="004842AA">
        <w:rPr>
          <w:rFonts w:ascii="Times New Roman" w:hAnsi="Times New Roman" w:cs="Times New Roman"/>
        </w:rPr>
        <w:t xml:space="preserve">methodology for calculating the UK’s </w:t>
      </w:r>
      <w:r w:rsidR="00035FEA" w:rsidRPr="004842AA">
        <w:rPr>
          <w:rFonts w:ascii="Times New Roman" w:hAnsi="Times New Roman" w:cs="Times New Roman"/>
        </w:rPr>
        <w:t>financial settlement</w:t>
      </w:r>
      <w:r w:rsidR="0096565E" w:rsidRPr="004842AA">
        <w:rPr>
          <w:rFonts w:ascii="Times New Roman" w:hAnsi="Times New Roman" w:cs="Times New Roman"/>
        </w:rPr>
        <w:t>;</w:t>
      </w:r>
      <w:r w:rsidR="002F426A" w:rsidRPr="004842AA">
        <w:rPr>
          <w:rStyle w:val="FootnoteReference"/>
          <w:rFonts w:ascii="Times New Roman" w:hAnsi="Times New Roman" w:cs="Times New Roman"/>
        </w:rPr>
        <w:footnoteReference w:id="97"/>
      </w:r>
      <w:r w:rsidR="0096565E" w:rsidRPr="004842AA">
        <w:rPr>
          <w:rFonts w:ascii="Times New Roman" w:hAnsi="Times New Roman" w:cs="Times New Roman"/>
        </w:rPr>
        <w:t xml:space="preserve"> </w:t>
      </w:r>
      <w:r w:rsidR="002F426A" w:rsidRPr="004842AA">
        <w:rPr>
          <w:rFonts w:ascii="Times New Roman" w:hAnsi="Times New Roman" w:cs="Times New Roman"/>
        </w:rPr>
        <w:t xml:space="preserve">the </w:t>
      </w:r>
      <w:r w:rsidR="0096565E" w:rsidRPr="004842AA">
        <w:rPr>
          <w:rFonts w:ascii="Times New Roman" w:hAnsi="Times New Roman" w:cs="Times New Roman"/>
        </w:rPr>
        <w:t xml:space="preserve">detailed rules </w:t>
      </w:r>
      <w:r w:rsidR="002F426A" w:rsidRPr="004842AA">
        <w:rPr>
          <w:rFonts w:ascii="Times New Roman" w:hAnsi="Times New Roman" w:cs="Times New Roman"/>
        </w:rPr>
        <w:t xml:space="preserve">regulating </w:t>
      </w:r>
      <w:r w:rsidR="0096565E" w:rsidRPr="004842AA">
        <w:rPr>
          <w:rFonts w:ascii="Times New Roman" w:hAnsi="Times New Roman" w:cs="Times New Roman"/>
        </w:rPr>
        <w:t>a lengthy series of “</w:t>
      </w:r>
      <w:r w:rsidR="002F426A" w:rsidRPr="004842AA">
        <w:rPr>
          <w:rFonts w:ascii="Times New Roman" w:hAnsi="Times New Roman" w:cs="Times New Roman"/>
        </w:rPr>
        <w:t xml:space="preserve">other </w:t>
      </w:r>
      <w:r w:rsidR="00035FEA" w:rsidRPr="004842AA">
        <w:rPr>
          <w:rFonts w:ascii="Times New Roman" w:hAnsi="Times New Roman" w:cs="Times New Roman"/>
        </w:rPr>
        <w:t>separation issues</w:t>
      </w:r>
      <w:r w:rsidR="0096565E" w:rsidRPr="004842AA">
        <w:rPr>
          <w:rFonts w:ascii="Times New Roman" w:hAnsi="Times New Roman" w:cs="Times New Roman"/>
        </w:rPr>
        <w:t>”</w:t>
      </w:r>
      <w:r w:rsidR="00C40883">
        <w:rPr>
          <w:rFonts w:ascii="Times New Roman" w:hAnsi="Times New Roman" w:cs="Times New Roman"/>
        </w:rPr>
        <w:t xml:space="preserve"> involving the orderly completion of various ongoing procedures under Union law and / or the future treatment of certain existing legal rights, obligations and relationships</w:t>
      </w:r>
      <w:r w:rsidR="0096565E" w:rsidRPr="004842AA">
        <w:rPr>
          <w:rFonts w:ascii="Times New Roman" w:hAnsi="Times New Roman" w:cs="Times New Roman"/>
        </w:rPr>
        <w:t>;</w:t>
      </w:r>
      <w:r w:rsidR="002F426A" w:rsidRPr="004842AA">
        <w:rPr>
          <w:rStyle w:val="FootnoteReference"/>
          <w:rFonts w:ascii="Times New Roman" w:hAnsi="Times New Roman" w:cs="Times New Roman"/>
        </w:rPr>
        <w:footnoteReference w:id="98"/>
      </w:r>
      <w:r w:rsidR="0096565E" w:rsidRPr="004842AA">
        <w:rPr>
          <w:rFonts w:ascii="Times New Roman" w:hAnsi="Times New Roman" w:cs="Times New Roman"/>
        </w:rPr>
        <w:t xml:space="preserve"> </w:t>
      </w:r>
      <w:r w:rsidR="00BC68E9" w:rsidRPr="004842AA">
        <w:rPr>
          <w:rFonts w:ascii="Times New Roman" w:hAnsi="Times New Roman" w:cs="Times New Roman"/>
        </w:rPr>
        <w:t xml:space="preserve">those </w:t>
      </w:r>
      <w:r w:rsidR="002F426A" w:rsidRPr="004842AA">
        <w:rPr>
          <w:rFonts w:ascii="Times New Roman" w:hAnsi="Times New Roman" w:cs="Times New Roman"/>
        </w:rPr>
        <w:t xml:space="preserve">provisions addressing the specific situation of </w:t>
      </w:r>
      <w:r w:rsidR="0096565E" w:rsidRPr="004842AA">
        <w:rPr>
          <w:rFonts w:ascii="Times New Roman" w:hAnsi="Times New Roman" w:cs="Times New Roman"/>
        </w:rPr>
        <w:t>the UK</w:t>
      </w:r>
      <w:r w:rsidR="002F426A" w:rsidRPr="004842AA">
        <w:rPr>
          <w:rFonts w:ascii="Times New Roman" w:hAnsi="Times New Roman" w:cs="Times New Roman"/>
        </w:rPr>
        <w:t>’s</w:t>
      </w:r>
      <w:r w:rsidR="0096565E" w:rsidRPr="004842AA">
        <w:rPr>
          <w:rFonts w:ascii="Times New Roman" w:hAnsi="Times New Roman" w:cs="Times New Roman"/>
        </w:rPr>
        <w:t xml:space="preserve"> Sovereign Base Areas in the Republic of </w:t>
      </w:r>
      <w:r w:rsidR="00035FEA" w:rsidRPr="004842AA">
        <w:rPr>
          <w:rFonts w:ascii="Times New Roman" w:hAnsi="Times New Roman" w:cs="Times New Roman"/>
        </w:rPr>
        <w:t>Cyprus</w:t>
      </w:r>
      <w:r w:rsidR="0096565E" w:rsidRPr="004842AA">
        <w:rPr>
          <w:rFonts w:ascii="Times New Roman" w:hAnsi="Times New Roman" w:cs="Times New Roman"/>
        </w:rPr>
        <w:t>;</w:t>
      </w:r>
      <w:r w:rsidR="002F426A" w:rsidRPr="004842AA">
        <w:rPr>
          <w:rStyle w:val="FootnoteReference"/>
          <w:rFonts w:ascii="Times New Roman" w:hAnsi="Times New Roman" w:cs="Times New Roman"/>
        </w:rPr>
        <w:footnoteReference w:id="99"/>
      </w:r>
      <w:r w:rsidR="0096565E" w:rsidRPr="004842AA">
        <w:rPr>
          <w:rFonts w:ascii="Times New Roman" w:hAnsi="Times New Roman" w:cs="Times New Roman"/>
        </w:rPr>
        <w:t xml:space="preserve"> </w:t>
      </w:r>
      <w:r w:rsidR="002F426A" w:rsidRPr="004842AA">
        <w:rPr>
          <w:rFonts w:ascii="Times New Roman" w:hAnsi="Times New Roman" w:cs="Times New Roman"/>
        </w:rPr>
        <w:t xml:space="preserve">and the </w:t>
      </w:r>
      <w:r w:rsidR="007A23C7">
        <w:rPr>
          <w:rFonts w:ascii="Times New Roman" w:hAnsi="Times New Roman" w:cs="Times New Roman"/>
        </w:rPr>
        <w:t xml:space="preserve">settlement </w:t>
      </w:r>
      <w:r w:rsidR="002F426A" w:rsidRPr="004842AA">
        <w:rPr>
          <w:rFonts w:ascii="Times New Roman" w:hAnsi="Times New Roman" w:cs="Times New Roman"/>
        </w:rPr>
        <w:t xml:space="preserve">reached in respect of </w:t>
      </w:r>
      <w:r w:rsidR="00035FEA" w:rsidRPr="004842AA">
        <w:rPr>
          <w:rFonts w:ascii="Times New Roman" w:hAnsi="Times New Roman" w:cs="Times New Roman"/>
        </w:rPr>
        <w:t>Gibraltar.</w:t>
      </w:r>
      <w:r w:rsidR="002F426A" w:rsidRPr="004842AA">
        <w:rPr>
          <w:rStyle w:val="FootnoteReference"/>
          <w:rFonts w:ascii="Times New Roman" w:hAnsi="Times New Roman" w:cs="Times New Roman"/>
        </w:rPr>
        <w:footnoteReference w:id="100"/>
      </w:r>
    </w:p>
    <w:p w14:paraId="613B81C1" w14:textId="28A0FCEF" w:rsidR="00035FEA" w:rsidRPr="004842AA" w:rsidRDefault="002F426A" w:rsidP="00FF7DCA">
      <w:pPr>
        <w:widowControl w:val="0"/>
        <w:autoSpaceDE w:val="0"/>
        <w:autoSpaceDN w:val="0"/>
        <w:adjustRightInd w:val="0"/>
        <w:ind w:firstLine="720"/>
        <w:jc w:val="both"/>
        <w:rPr>
          <w:rFonts w:ascii="Times New Roman" w:hAnsi="Times New Roman" w:cs="Times New Roman"/>
        </w:rPr>
      </w:pPr>
      <w:r w:rsidRPr="004842AA">
        <w:rPr>
          <w:rFonts w:ascii="Times New Roman" w:hAnsi="Times New Roman" w:cs="Times New Roman"/>
        </w:rPr>
        <w:t xml:space="preserve">It is worth noting that there </w:t>
      </w:r>
      <w:r w:rsidR="00BC68E9" w:rsidRPr="004842AA">
        <w:rPr>
          <w:rFonts w:ascii="Times New Roman" w:hAnsi="Times New Roman" w:cs="Times New Roman"/>
        </w:rPr>
        <w:t xml:space="preserve">were </w:t>
      </w:r>
      <w:r w:rsidRPr="004842AA">
        <w:rPr>
          <w:rFonts w:ascii="Times New Roman" w:hAnsi="Times New Roman" w:cs="Times New Roman"/>
        </w:rPr>
        <w:t xml:space="preserve">a series of additional “separation issues” </w:t>
      </w:r>
      <w:r w:rsidR="00BC68E9" w:rsidRPr="004842AA">
        <w:rPr>
          <w:rFonts w:ascii="Times New Roman" w:hAnsi="Times New Roman" w:cs="Times New Roman"/>
        </w:rPr>
        <w:t xml:space="preserve">which </w:t>
      </w:r>
      <w:r w:rsidRPr="004842AA">
        <w:rPr>
          <w:rFonts w:ascii="Times New Roman" w:hAnsi="Times New Roman" w:cs="Times New Roman"/>
        </w:rPr>
        <w:t xml:space="preserve">one or other </w:t>
      </w:r>
      <w:r w:rsidR="00BC68E9" w:rsidRPr="004842AA">
        <w:rPr>
          <w:rFonts w:ascii="Times New Roman" w:hAnsi="Times New Roman" w:cs="Times New Roman"/>
        </w:rPr>
        <w:t xml:space="preserve">party </w:t>
      </w:r>
      <w:r w:rsidRPr="004842AA">
        <w:rPr>
          <w:rFonts w:ascii="Times New Roman" w:hAnsi="Times New Roman" w:cs="Times New Roman"/>
        </w:rPr>
        <w:t xml:space="preserve">had hoped </w:t>
      </w:r>
      <w:r w:rsidR="00941D38">
        <w:rPr>
          <w:rFonts w:ascii="Times New Roman" w:hAnsi="Times New Roman" w:cs="Times New Roman"/>
        </w:rPr>
        <w:t>address</w:t>
      </w:r>
      <w:r w:rsidRPr="004842AA">
        <w:rPr>
          <w:rFonts w:ascii="Times New Roman" w:hAnsi="Times New Roman" w:cs="Times New Roman"/>
        </w:rPr>
        <w:t xml:space="preserve"> in the Agreement but </w:t>
      </w:r>
      <w:r w:rsidR="00F52311">
        <w:rPr>
          <w:rFonts w:ascii="Times New Roman" w:hAnsi="Times New Roman" w:cs="Times New Roman"/>
        </w:rPr>
        <w:t xml:space="preserve">that </w:t>
      </w:r>
      <w:r w:rsidRPr="004842AA">
        <w:rPr>
          <w:rFonts w:ascii="Times New Roman" w:hAnsi="Times New Roman" w:cs="Times New Roman"/>
        </w:rPr>
        <w:t xml:space="preserve">did not eventually form the basis of more detailed negotiations or ultimately benefit from any explicit provisions in the final </w:t>
      </w:r>
      <w:r w:rsidR="00083E04">
        <w:rPr>
          <w:rFonts w:ascii="Times New Roman" w:hAnsi="Times New Roman" w:cs="Times New Roman"/>
        </w:rPr>
        <w:t>Agreement</w:t>
      </w:r>
      <w:r w:rsidRPr="004842AA">
        <w:rPr>
          <w:rFonts w:ascii="Times New Roman" w:hAnsi="Times New Roman" w:cs="Times New Roman"/>
        </w:rPr>
        <w:t xml:space="preserve">: for example, the legal regime </w:t>
      </w:r>
      <w:r w:rsidR="00BC68E9" w:rsidRPr="004842AA">
        <w:rPr>
          <w:rFonts w:ascii="Times New Roman" w:hAnsi="Times New Roman" w:cs="Times New Roman"/>
        </w:rPr>
        <w:t xml:space="preserve">that should </w:t>
      </w:r>
      <w:r w:rsidRPr="004842AA">
        <w:rPr>
          <w:rFonts w:ascii="Times New Roman" w:hAnsi="Times New Roman" w:cs="Times New Roman"/>
        </w:rPr>
        <w:t>govern the winding-up of cross-border service</w:t>
      </w:r>
      <w:r w:rsidR="00BC68E9" w:rsidRPr="004842AA">
        <w:rPr>
          <w:rFonts w:ascii="Times New Roman" w:hAnsi="Times New Roman" w:cs="Times New Roman"/>
        </w:rPr>
        <w:t xml:space="preserve">s </w:t>
      </w:r>
      <w:r w:rsidR="0069239A">
        <w:rPr>
          <w:rFonts w:ascii="Times New Roman" w:hAnsi="Times New Roman" w:cs="Times New Roman"/>
        </w:rPr>
        <w:t xml:space="preserve">in the course of </w:t>
      </w:r>
      <w:r w:rsidR="00BC68E9" w:rsidRPr="004842AA">
        <w:rPr>
          <w:rFonts w:ascii="Times New Roman" w:hAnsi="Times New Roman" w:cs="Times New Roman"/>
        </w:rPr>
        <w:t xml:space="preserve">being provided </w:t>
      </w:r>
      <w:r w:rsidRPr="004842AA">
        <w:rPr>
          <w:rFonts w:ascii="Times New Roman" w:hAnsi="Times New Roman" w:cs="Times New Roman"/>
        </w:rPr>
        <w:t xml:space="preserve">between the Union and the UK </w:t>
      </w:r>
      <w:r w:rsidR="00BC68E9" w:rsidRPr="004842AA">
        <w:rPr>
          <w:rFonts w:ascii="Times New Roman" w:hAnsi="Times New Roman" w:cs="Times New Roman"/>
        </w:rPr>
        <w:t xml:space="preserve">on the basis of Article 56 TFEU </w:t>
      </w:r>
      <w:r w:rsidRPr="004842AA">
        <w:rPr>
          <w:rFonts w:ascii="Times New Roman" w:hAnsi="Times New Roman" w:cs="Times New Roman"/>
        </w:rPr>
        <w:t>as at the end of the transition period.</w:t>
      </w:r>
      <w:r w:rsidRPr="004842AA">
        <w:rPr>
          <w:rStyle w:val="FootnoteReference"/>
          <w:rFonts w:ascii="Times New Roman" w:hAnsi="Times New Roman" w:cs="Times New Roman"/>
        </w:rPr>
        <w:footnoteReference w:id="101"/>
      </w:r>
      <w:r w:rsidR="00C63883">
        <w:rPr>
          <w:rFonts w:ascii="Times New Roman" w:hAnsi="Times New Roman" w:cs="Times New Roman"/>
        </w:rPr>
        <w:t xml:space="preserve">  </w:t>
      </w:r>
      <w:r w:rsidR="00941D38">
        <w:rPr>
          <w:rFonts w:ascii="Times New Roman" w:hAnsi="Times New Roman" w:cs="Times New Roman"/>
        </w:rPr>
        <w:t>N</w:t>
      </w:r>
      <w:r w:rsidR="00C63883">
        <w:rPr>
          <w:rFonts w:ascii="Times New Roman" w:hAnsi="Times New Roman" w:cs="Times New Roman"/>
        </w:rPr>
        <w:t xml:space="preserve">or should </w:t>
      </w:r>
      <w:r w:rsidR="00941D38">
        <w:rPr>
          <w:rFonts w:ascii="Times New Roman" w:hAnsi="Times New Roman" w:cs="Times New Roman"/>
        </w:rPr>
        <w:t>one overlook</w:t>
      </w:r>
      <w:r w:rsidR="00C63883">
        <w:rPr>
          <w:rFonts w:ascii="Times New Roman" w:hAnsi="Times New Roman" w:cs="Times New Roman"/>
        </w:rPr>
        <w:t xml:space="preserve"> that the two parties </w:t>
      </w:r>
      <w:r w:rsidR="00F93E30">
        <w:rPr>
          <w:rFonts w:ascii="Times New Roman" w:hAnsi="Times New Roman" w:cs="Times New Roman"/>
        </w:rPr>
        <w:t xml:space="preserve">also </w:t>
      </w:r>
      <w:r w:rsidR="00C63883">
        <w:rPr>
          <w:rFonts w:ascii="Times New Roman" w:hAnsi="Times New Roman" w:cs="Times New Roman"/>
        </w:rPr>
        <w:t xml:space="preserve">sought to cooperate </w:t>
      </w:r>
      <w:r w:rsidR="00F93E30">
        <w:rPr>
          <w:rFonts w:ascii="Times New Roman" w:hAnsi="Times New Roman" w:cs="Times New Roman"/>
        </w:rPr>
        <w:t xml:space="preserve">together for </w:t>
      </w:r>
      <w:r w:rsidR="00C63883">
        <w:rPr>
          <w:rFonts w:ascii="Times New Roman" w:hAnsi="Times New Roman" w:cs="Times New Roman"/>
        </w:rPr>
        <w:t xml:space="preserve">the resolution of </w:t>
      </w:r>
      <w:r w:rsidR="00F93E30">
        <w:rPr>
          <w:rFonts w:ascii="Times New Roman" w:hAnsi="Times New Roman" w:cs="Times New Roman"/>
        </w:rPr>
        <w:t>various additional</w:t>
      </w:r>
      <w:r w:rsidR="00C63883">
        <w:rPr>
          <w:rFonts w:ascii="Times New Roman" w:hAnsi="Times New Roman" w:cs="Times New Roman"/>
        </w:rPr>
        <w:t xml:space="preserve"> </w:t>
      </w:r>
      <w:proofErr w:type="spellStart"/>
      <w:r w:rsidR="00F93E30">
        <w:rPr>
          <w:rFonts w:ascii="Times New Roman" w:hAnsi="Times New Roman" w:cs="Times New Roman"/>
        </w:rPr>
        <w:t>Brexit</w:t>
      </w:r>
      <w:proofErr w:type="spellEnd"/>
      <w:r w:rsidR="00F93E30">
        <w:rPr>
          <w:rFonts w:ascii="Times New Roman" w:hAnsi="Times New Roman" w:cs="Times New Roman"/>
        </w:rPr>
        <w:t xml:space="preserve"> </w:t>
      </w:r>
      <w:r w:rsidR="00C63883">
        <w:rPr>
          <w:rFonts w:ascii="Times New Roman" w:hAnsi="Times New Roman" w:cs="Times New Roman"/>
        </w:rPr>
        <w:t xml:space="preserve">problems </w:t>
      </w:r>
      <w:r w:rsidR="00F93E30">
        <w:rPr>
          <w:rFonts w:ascii="Times New Roman" w:hAnsi="Times New Roman" w:cs="Times New Roman"/>
        </w:rPr>
        <w:t xml:space="preserve">albeit </w:t>
      </w:r>
      <w:r w:rsidR="00C63883">
        <w:rPr>
          <w:rFonts w:ascii="Times New Roman" w:hAnsi="Times New Roman" w:cs="Times New Roman"/>
        </w:rPr>
        <w:t xml:space="preserve">outside the legal framework </w:t>
      </w:r>
      <w:r w:rsidR="00F93E30">
        <w:rPr>
          <w:rFonts w:ascii="Times New Roman" w:hAnsi="Times New Roman" w:cs="Times New Roman"/>
        </w:rPr>
        <w:t xml:space="preserve">provided by </w:t>
      </w:r>
      <w:r w:rsidR="00C63883">
        <w:rPr>
          <w:rFonts w:ascii="Times New Roman" w:hAnsi="Times New Roman" w:cs="Times New Roman"/>
        </w:rPr>
        <w:t xml:space="preserve">the Agreement itself: </w:t>
      </w:r>
      <w:r w:rsidR="00F93E30">
        <w:rPr>
          <w:rFonts w:ascii="Times New Roman" w:hAnsi="Times New Roman" w:cs="Times New Roman"/>
        </w:rPr>
        <w:t>for example, as regards working out the full implications of withdrawal for the position of both the Union and the UK within the WTO.</w:t>
      </w:r>
      <w:r w:rsidR="00F93E30">
        <w:rPr>
          <w:rStyle w:val="FootnoteReference"/>
          <w:rFonts w:ascii="Times New Roman" w:hAnsi="Times New Roman" w:cs="Times New Roman"/>
        </w:rPr>
        <w:footnoteReference w:id="102"/>
      </w:r>
    </w:p>
    <w:p w14:paraId="5552D56E" w14:textId="77777777" w:rsidR="0076752A" w:rsidRPr="004842AA" w:rsidRDefault="0076752A" w:rsidP="004842AA">
      <w:pPr>
        <w:jc w:val="both"/>
        <w:rPr>
          <w:rFonts w:ascii="Times New Roman" w:hAnsi="Times New Roman" w:cs="Times New Roman"/>
          <w:b/>
        </w:rPr>
      </w:pPr>
    </w:p>
    <w:p w14:paraId="14AF06B4" w14:textId="4BB5E77B" w:rsidR="00B365A3" w:rsidRPr="004842AA" w:rsidRDefault="00B365A3" w:rsidP="004842AA">
      <w:pPr>
        <w:jc w:val="both"/>
        <w:rPr>
          <w:rFonts w:ascii="Times New Roman" w:hAnsi="Times New Roman" w:cs="Times New Roman"/>
          <w:i/>
        </w:rPr>
      </w:pPr>
      <w:r w:rsidRPr="004842AA">
        <w:rPr>
          <w:rFonts w:ascii="Times New Roman" w:hAnsi="Times New Roman" w:cs="Times New Roman"/>
          <w:i/>
        </w:rPr>
        <w:t>3.1.</w:t>
      </w:r>
      <w:r w:rsidRPr="004842AA">
        <w:rPr>
          <w:rFonts w:ascii="Times New Roman" w:hAnsi="Times New Roman" w:cs="Times New Roman"/>
          <w:i/>
        </w:rPr>
        <w:tab/>
        <w:t>Governance</w:t>
      </w:r>
    </w:p>
    <w:p w14:paraId="19A0E5CF" w14:textId="77777777" w:rsidR="00B365A3" w:rsidRPr="004842AA" w:rsidRDefault="00B365A3" w:rsidP="004842AA">
      <w:pPr>
        <w:jc w:val="both"/>
        <w:rPr>
          <w:rFonts w:ascii="Times New Roman" w:hAnsi="Times New Roman" w:cs="Times New Roman"/>
        </w:rPr>
      </w:pPr>
    </w:p>
    <w:p w14:paraId="0436D53E" w14:textId="24A32BF5" w:rsidR="0069239A" w:rsidRDefault="00D45C84" w:rsidP="0069239A">
      <w:pPr>
        <w:widowControl w:val="0"/>
        <w:autoSpaceDE w:val="0"/>
        <w:autoSpaceDN w:val="0"/>
        <w:adjustRightInd w:val="0"/>
        <w:jc w:val="both"/>
        <w:rPr>
          <w:rFonts w:ascii="Times New Roman" w:hAnsi="Times New Roman" w:cs="Times New Roman"/>
        </w:rPr>
      </w:pPr>
      <w:r w:rsidRPr="004842AA">
        <w:rPr>
          <w:rFonts w:ascii="Times New Roman" w:hAnsi="Times New Roman" w:cs="Times New Roman"/>
        </w:rPr>
        <w:lastRenderedPageBreak/>
        <w:t xml:space="preserve">In certain respects, the </w:t>
      </w:r>
      <w:r w:rsidR="00235E17" w:rsidRPr="004842AA">
        <w:rPr>
          <w:rFonts w:ascii="Times New Roman" w:hAnsi="Times New Roman" w:cs="Times New Roman"/>
        </w:rPr>
        <w:t xml:space="preserve">governance provisions </w:t>
      </w:r>
      <w:r w:rsidRPr="004842AA">
        <w:rPr>
          <w:rFonts w:ascii="Times New Roman" w:hAnsi="Times New Roman" w:cs="Times New Roman"/>
        </w:rPr>
        <w:t xml:space="preserve">of the Agreement feel entirely familiar </w:t>
      </w:r>
      <w:r w:rsidR="006E440E">
        <w:rPr>
          <w:rFonts w:ascii="Times New Roman" w:hAnsi="Times New Roman" w:cs="Times New Roman"/>
        </w:rPr>
        <w:t xml:space="preserve">from </w:t>
      </w:r>
      <w:r w:rsidR="006E440E" w:rsidRPr="004842AA">
        <w:rPr>
          <w:rFonts w:ascii="Times New Roman" w:hAnsi="Times New Roman" w:cs="Times New Roman"/>
        </w:rPr>
        <w:t xml:space="preserve">standard international practice </w:t>
      </w:r>
      <w:r w:rsidRPr="004842AA">
        <w:rPr>
          <w:rFonts w:ascii="Times New Roman" w:hAnsi="Times New Roman" w:cs="Times New Roman"/>
        </w:rPr>
        <w:t xml:space="preserve">and caused no particular trouble in the negotiations.  In particular, </w:t>
      </w:r>
      <w:r w:rsidR="00235E17" w:rsidRPr="004842AA">
        <w:rPr>
          <w:rFonts w:ascii="Times New Roman" w:hAnsi="Times New Roman" w:cs="Times New Roman"/>
        </w:rPr>
        <w:t xml:space="preserve">Article 164 WA establishes a Joint Committee </w:t>
      </w:r>
      <w:r w:rsidR="00363A9C">
        <w:rPr>
          <w:rFonts w:ascii="Times New Roman" w:hAnsi="Times New Roman" w:cs="Times New Roman"/>
        </w:rPr>
        <w:t xml:space="preserve">(comprising representatives of the Union and the UK) </w:t>
      </w:r>
      <w:r w:rsidR="00235E17" w:rsidRPr="004842AA">
        <w:rPr>
          <w:rFonts w:ascii="Times New Roman" w:hAnsi="Times New Roman" w:cs="Times New Roman"/>
        </w:rPr>
        <w:t xml:space="preserve">responsible for </w:t>
      </w:r>
      <w:r w:rsidR="00C36693" w:rsidRPr="004842AA">
        <w:rPr>
          <w:rFonts w:ascii="Times New Roman" w:hAnsi="Times New Roman" w:cs="Times New Roman"/>
        </w:rPr>
        <w:t xml:space="preserve">the overall </w:t>
      </w:r>
      <w:r w:rsidR="00235E17" w:rsidRPr="004842AA">
        <w:rPr>
          <w:rFonts w:ascii="Times New Roman" w:hAnsi="Times New Roman" w:cs="Times New Roman"/>
        </w:rPr>
        <w:t>implementation and application of the Agreement</w:t>
      </w:r>
      <w:r w:rsidR="0058432B" w:rsidRPr="004842AA">
        <w:rPr>
          <w:rFonts w:ascii="Times New Roman" w:hAnsi="Times New Roman" w:cs="Times New Roman"/>
        </w:rPr>
        <w:t>.  Article 165 WA also creates various specialised committees (for example) on citizens’ rights, Ireland</w:t>
      </w:r>
      <w:r w:rsidR="0060120B" w:rsidRPr="004842AA">
        <w:rPr>
          <w:rFonts w:ascii="Times New Roman" w:hAnsi="Times New Roman" w:cs="Times New Roman"/>
        </w:rPr>
        <w:t>/Northern Ireland</w:t>
      </w:r>
      <w:r w:rsidR="0058432B" w:rsidRPr="004842AA">
        <w:rPr>
          <w:rFonts w:ascii="Times New Roman" w:hAnsi="Times New Roman" w:cs="Times New Roman"/>
        </w:rPr>
        <w:t xml:space="preserve"> and the financial settlement – though their existence shall not prevent either party raising any matter directly before the Joint Committee.</w:t>
      </w:r>
      <w:r w:rsidR="00C40883">
        <w:rPr>
          <w:rStyle w:val="FootnoteReference"/>
          <w:rFonts w:ascii="Times New Roman" w:hAnsi="Times New Roman" w:cs="Times New Roman"/>
        </w:rPr>
        <w:footnoteReference w:id="103"/>
      </w:r>
      <w:r w:rsidR="0058432B" w:rsidRPr="004842AA">
        <w:rPr>
          <w:rFonts w:ascii="Times New Roman" w:hAnsi="Times New Roman" w:cs="Times New Roman"/>
        </w:rPr>
        <w:t xml:space="preserve">  </w:t>
      </w:r>
      <w:r w:rsidR="006E440E">
        <w:rPr>
          <w:rFonts w:ascii="Times New Roman" w:hAnsi="Times New Roman" w:cs="Times New Roman"/>
        </w:rPr>
        <w:t>T</w:t>
      </w:r>
      <w:r w:rsidR="0058432B" w:rsidRPr="004842AA">
        <w:rPr>
          <w:rFonts w:ascii="Times New Roman" w:hAnsi="Times New Roman" w:cs="Times New Roman"/>
        </w:rPr>
        <w:t>he Joint Committee shall (</w:t>
      </w:r>
      <w:r w:rsidR="0058432B" w:rsidRPr="004842AA">
        <w:rPr>
          <w:rFonts w:ascii="Times New Roman" w:hAnsi="Times New Roman" w:cs="Times New Roman"/>
          <w:i/>
        </w:rPr>
        <w:t>inter alia</w:t>
      </w:r>
      <w:r w:rsidR="0058432B" w:rsidRPr="004842AA">
        <w:rPr>
          <w:rFonts w:ascii="Times New Roman" w:hAnsi="Times New Roman" w:cs="Times New Roman"/>
        </w:rPr>
        <w:t xml:space="preserve">): </w:t>
      </w:r>
      <w:r w:rsidR="00235E17" w:rsidRPr="004842AA">
        <w:rPr>
          <w:rFonts w:ascii="Times New Roman" w:hAnsi="Times New Roman" w:cs="Times New Roman"/>
        </w:rPr>
        <w:t xml:space="preserve">prevent problems in </w:t>
      </w:r>
      <w:r w:rsidR="0058432B" w:rsidRPr="004842AA">
        <w:rPr>
          <w:rFonts w:ascii="Times New Roman" w:hAnsi="Times New Roman" w:cs="Times New Roman"/>
        </w:rPr>
        <w:t xml:space="preserve">the </w:t>
      </w:r>
      <w:r w:rsidR="00235E17" w:rsidRPr="004842AA">
        <w:rPr>
          <w:rFonts w:ascii="Times New Roman" w:hAnsi="Times New Roman" w:cs="Times New Roman"/>
        </w:rPr>
        <w:t xml:space="preserve">areas covered by </w:t>
      </w:r>
      <w:r w:rsidR="0058432B" w:rsidRPr="004842AA">
        <w:rPr>
          <w:rFonts w:ascii="Times New Roman" w:hAnsi="Times New Roman" w:cs="Times New Roman"/>
        </w:rPr>
        <w:t xml:space="preserve">/ </w:t>
      </w:r>
      <w:r w:rsidR="00235E17" w:rsidRPr="004842AA">
        <w:rPr>
          <w:rFonts w:ascii="Times New Roman" w:hAnsi="Times New Roman" w:cs="Times New Roman"/>
        </w:rPr>
        <w:t xml:space="preserve">resolve disputes arising </w:t>
      </w:r>
      <w:r w:rsidR="0058432B" w:rsidRPr="004842AA">
        <w:rPr>
          <w:rFonts w:ascii="Times New Roman" w:hAnsi="Times New Roman" w:cs="Times New Roman"/>
        </w:rPr>
        <w:t>under the Agreement;</w:t>
      </w:r>
      <w:r w:rsidR="00C36693" w:rsidRPr="004842AA">
        <w:rPr>
          <w:rStyle w:val="FootnoteReference"/>
          <w:rFonts w:ascii="Times New Roman" w:hAnsi="Times New Roman" w:cs="Times New Roman"/>
        </w:rPr>
        <w:footnoteReference w:id="104"/>
      </w:r>
      <w:r w:rsidR="0058432B" w:rsidRPr="004842AA">
        <w:rPr>
          <w:rFonts w:ascii="Times New Roman" w:hAnsi="Times New Roman" w:cs="Times New Roman"/>
        </w:rPr>
        <w:t xml:space="preserve"> </w:t>
      </w:r>
      <w:r w:rsidR="00235E17" w:rsidRPr="004842AA">
        <w:rPr>
          <w:rFonts w:ascii="Times New Roman" w:hAnsi="Times New Roman" w:cs="Times New Roman"/>
        </w:rPr>
        <w:t xml:space="preserve">adopt decisions </w:t>
      </w:r>
      <w:r w:rsidR="0058432B" w:rsidRPr="004842AA">
        <w:rPr>
          <w:rFonts w:ascii="Times New Roman" w:hAnsi="Times New Roman" w:cs="Times New Roman"/>
        </w:rPr>
        <w:t xml:space="preserve">as provided for under the Agreement and make appropriate </w:t>
      </w:r>
      <w:r w:rsidR="00235E17" w:rsidRPr="004842AA">
        <w:rPr>
          <w:rFonts w:ascii="Times New Roman" w:hAnsi="Times New Roman" w:cs="Times New Roman"/>
        </w:rPr>
        <w:t xml:space="preserve">recommendations </w:t>
      </w:r>
      <w:r w:rsidR="0058432B" w:rsidRPr="004842AA">
        <w:rPr>
          <w:rFonts w:ascii="Times New Roman" w:hAnsi="Times New Roman" w:cs="Times New Roman"/>
        </w:rPr>
        <w:t>(</w:t>
      </w:r>
      <w:r w:rsidR="00C36693" w:rsidRPr="004842AA">
        <w:rPr>
          <w:rFonts w:ascii="Times New Roman" w:hAnsi="Times New Roman" w:cs="Times New Roman"/>
        </w:rPr>
        <w:t xml:space="preserve">always </w:t>
      </w:r>
      <w:r w:rsidR="0058432B" w:rsidRPr="004842AA">
        <w:rPr>
          <w:rFonts w:ascii="Times New Roman" w:hAnsi="Times New Roman" w:cs="Times New Roman"/>
        </w:rPr>
        <w:t>acting by mutual consent);</w:t>
      </w:r>
      <w:r w:rsidR="0058432B" w:rsidRPr="004842AA">
        <w:rPr>
          <w:rStyle w:val="FootnoteReference"/>
          <w:rFonts w:ascii="Times New Roman" w:hAnsi="Times New Roman" w:cs="Times New Roman"/>
        </w:rPr>
        <w:footnoteReference w:id="105"/>
      </w:r>
      <w:r w:rsidR="0058432B" w:rsidRPr="004842AA">
        <w:rPr>
          <w:rFonts w:ascii="Times New Roman" w:hAnsi="Times New Roman" w:cs="Times New Roman"/>
        </w:rPr>
        <w:t xml:space="preserve"> and adopt amendments as </w:t>
      </w:r>
      <w:r w:rsidR="00235E17" w:rsidRPr="004842AA">
        <w:rPr>
          <w:rFonts w:ascii="Times New Roman" w:hAnsi="Times New Roman" w:cs="Times New Roman"/>
        </w:rPr>
        <w:t xml:space="preserve">provided for under </w:t>
      </w:r>
      <w:r w:rsidR="0058432B" w:rsidRPr="004842AA">
        <w:rPr>
          <w:rFonts w:ascii="Times New Roman" w:hAnsi="Times New Roman" w:cs="Times New Roman"/>
        </w:rPr>
        <w:t>the Agreement.</w:t>
      </w:r>
      <w:r w:rsidR="00C36693" w:rsidRPr="004842AA">
        <w:rPr>
          <w:rStyle w:val="FootnoteReference"/>
          <w:rFonts w:ascii="Times New Roman" w:hAnsi="Times New Roman" w:cs="Times New Roman"/>
        </w:rPr>
        <w:footnoteReference w:id="106"/>
      </w:r>
      <w:r w:rsidR="0058432B" w:rsidRPr="004842AA">
        <w:rPr>
          <w:rFonts w:ascii="Times New Roman" w:hAnsi="Times New Roman" w:cs="Times New Roman"/>
        </w:rPr>
        <w:t xml:space="preserve">  Similarly, the Joint Committee may (</w:t>
      </w:r>
      <w:r w:rsidR="0058432B" w:rsidRPr="004842AA">
        <w:rPr>
          <w:rFonts w:ascii="Times New Roman" w:hAnsi="Times New Roman" w:cs="Times New Roman"/>
          <w:i/>
        </w:rPr>
        <w:t>inter alia</w:t>
      </w:r>
      <w:r w:rsidR="0058432B" w:rsidRPr="004842AA">
        <w:rPr>
          <w:rFonts w:ascii="Times New Roman" w:hAnsi="Times New Roman" w:cs="Times New Roman"/>
        </w:rPr>
        <w:t>):</w:t>
      </w:r>
      <w:r w:rsidR="00235E17" w:rsidRPr="004842AA">
        <w:rPr>
          <w:rFonts w:ascii="Times New Roman" w:hAnsi="Times New Roman" w:cs="Times New Roman"/>
        </w:rPr>
        <w:t xml:space="preserve"> delegate certain responsibilities to</w:t>
      </w:r>
      <w:r w:rsidR="0058432B" w:rsidRPr="004842AA">
        <w:rPr>
          <w:rFonts w:ascii="Times New Roman" w:hAnsi="Times New Roman" w:cs="Times New Roman"/>
        </w:rPr>
        <w:t>, change the tasks of,</w:t>
      </w:r>
      <w:r w:rsidR="00235E17" w:rsidRPr="004842AA">
        <w:rPr>
          <w:rFonts w:ascii="Times New Roman" w:hAnsi="Times New Roman" w:cs="Times New Roman"/>
        </w:rPr>
        <w:t xml:space="preserve"> </w:t>
      </w:r>
      <w:r w:rsidR="0058432B" w:rsidRPr="004842AA">
        <w:rPr>
          <w:rFonts w:ascii="Times New Roman" w:hAnsi="Times New Roman" w:cs="Times New Roman"/>
        </w:rPr>
        <w:t xml:space="preserve">establish additional or dissolve existing </w:t>
      </w:r>
      <w:r w:rsidR="00235E17" w:rsidRPr="004842AA">
        <w:rPr>
          <w:rFonts w:ascii="Times New Roman" w:hAnsi="Times New Roman" w:cs="Times New Roman"/>
        </w:rPr>
        <w:t>specialised committees</w:t>
      </w:r>
      <w:r w:rsidR="0058432B" w:rsidRPr="004842AA">
        <w:rPr>
          <w:rFonts w:ascii="Times New Roman" w:hAnsi="Times New Roman" w:cs="Times New Roman"/>
        </w:rPr>
        <w:t xml:space="preserve">; and amend certain parts of the Agreement in order </w:t>
      </w:r>
      <w:r w:rsidR="00235E17" w:rsidRPr="004842AA">
        <w:rPr>
          <w:rFonts w:ascii="Times New Roman" w:hAnsi="Times New Roman" w:cs="Times New Roman"/>
        </w:rPr>
        <w:t>to correct errors</w:t>
      </w:r>
      <w:r w:rsidR="0058432B" w:rsidRPr="004842AA">
        <w:rPr>
          <w:rFonts w:ascii="Times New Roman" w:hAnsi="Times New Roman" w:cs="Times New Roman"/>
        </w:rPr>
        <w:t xml:space="preserve">, </w:t>
      </w:r>
      <w:r w:rsidR="00235E17" w:rsidRPr="004842AA">
        <w:rPr>
          <w:rFonts w:ascii="Times New Roman" w:hAnsi="Times New Roman" w:cs="Times New Roman"/>
        </w:rPr>
        <w:t xml:space="preserve">address deficiencies </w:t>
      </w:r>
      <w:r w:rsidR="0058432B" w:rsidRPr="004842AA">
        <w:rPr>
          <w:rFonts w:ascii="Times New Roman" w:hAnsi="Times New Roman" w:cs="Times New Roman"/>
        </w:rPr>
        <w:t xml:space="preserve">or deal with </w:t>
      </w:r>
      <w:r w:rsidR="00235E17" w:rsidRPr="004842AA">
        <w:rPr>
          <w:rFonts w:ascii="Times New Roman" w:hAnsi="Times New Roman" w:cs="Times New Roman"/>
        </w:rPr>
        <w:t>unforeseen situations</w:t>
      </w:r>
      <w:r w:rsidR="0058432B" w:rsidRPr="004842AA">
        <w:rPr>
          <w:rFonts w:ascii="Times New Roman" w:hAnsi="Times New Roman" w:cs="Times New Roman"/>
        </w:rPr>
        <w:t>.</w:t>
      </w:r>
      <w:r w:rsidR="0058432B" w:rsidRPr="004842AA">
        <w:rPr>
          <w:rStyle w:val="FootnoteReference"/>
          <w:rFonts w:ascii="Times New Roman" w:hAnsi="Times New Roman" w:cs="Times New Roman"/>
        </w:rPr>
        <w:footnoteReference w:id="107"/>
      </w:r>
      <w:r w:rsidR="00C36693" w:rsidRPr="004842AA">
        <w:rPr>
          <w:rFonts w:ascii="Times New Roman" w:hAnsi="Times New Roman" w:cs="Times New Roman"/>
        </w:rPr>
        <w:t xml:space="preserve"> </w:t>
      </w:r>
      <w:r w:rsidR="00941D38">
        <w:rPr>
          <w:rFonts w:ascii="Times New Roman" w:hAnsi="Times New Roman" w:cs="Times New Roman"/>
        </w:rPr>
        <w:t xml:space="preserve"> D</w:t>
      </w:r>
      <w:r w:rsidR="00C36693" w:rsidRPr="004842AA">
        <w:rPr>
          <w:rFonts w:ascii="Times New Roman" w:hAnsi="Times New Roman" w:cs="Times New Roman"/>
        </w:rPr>
        <w:t xml:space="preserve">ecisions of the Joint Committee </w:t>
      </w:r>
      <w:r w:rsidR="00235E17" w:rsidRPr="004842AA">
        <w:rPr>
          <w:rFonts w:ascii="Times New Roman" w:hAnsi="Times New Roman" w:cs="Times New Roman"/>
        </w:rPr>
        <w:t xml:space="preserve">shall be binding on </w:t>
      </w:r>
      <w:r w:rsidR="00C36693" w:rsidRPr="004842AA">
        <w:rPr>
          <w:rFonts w:ascii="Times New Roman" w:hAnsi="Times New Roman" w:cs="Times New Roman"/>
        </w:rPr>
        <w:t xml:space="preserve">the parties </w:t>
      </w:r>
      <w:r w:rsidR="00235E17" w:rsidRPr="004842AA">
        <w:rPr>
          <w:rFonts w:ascii="Times New Roman" w:hAnsi="Times New Roman" w:cs="Times New Roman"/>
        </w:rPr>
        <w:t xml:space="preserve">and </w:t>
      </w:r>
      <w:r w:rsidR="00C36693" w:rsidRPr="004842AA">
        <w:rPr>
          <w:rFonts w:ascii="Times New Roman" w:hAnsi="Times New Roman" w:cs="Times New Roman"/>
        </w:rPr>
        <w:t xml:space="preserve">enjoy the </w:t>
      </w:r>
      <w:r w:rsidR="00235E17" w:rsidRPr="004842AA">
        <w:rPr>
          <w:rFonts w:ascii="Times New Roman" w:hAnsi="Times New Roman" w:cs="Times New Roman"/>
        </w:rPr>
        <w:t>same legal effect</w:t>
      </w:r>
      <w:r w:rsidR="00C36693" w:rsidRPr="004842AA">
        <w:rPr>
          <w:rFonts w:ascii="Times New Roman" w:hAnsi="Times New Roman" w:cs="Times New Roman"/>
        </w:rPr>
        <w:t>s</w:t>
      </w:r>
      <w:r w:rsidR="00235E17" w:rsidRPr="004842AA">
        <w:rPr>
          <w:rFonts w:ascii="Times New Roman" w:hAnsi="Times New Roman" w:cs="Times New Roman"/>
        </w:rPr>
        <w:t xml:space="preserve"> as </w:t>
      </w:r>
      <w:r w:rsidR="00C36693" w:rsidRPr="004842AA">
        <w:rPr>
          <w:rFonts w:ascii="Times New Roman" w:hAnsi="Times New Roman" w:cs="Times New Roman"/>
        </w:rPr>
        <w:t xml:space="preserve">the Agreement itself; the Union and the UK are obliged to </w:t>
      </w:r>
      <w:r w:rsidR="00235E17" w:rsidRPr="004842AA">
        <w:rPr>
          <w:rFonts w:ascii="Times New Roman" w:hAnsi="Times New Roman" w:cs="Times New Roman"/>
        </w:rPr>
        <w:t xml:space="preserve">implement </w:t>
      </w:r>
      <w:r w:rsidR="00941D38">
        <w:rPr>
          <w:rFonts w:ascii="Times New Roman" w:hAnsi="Times New Roman" w:cs="Times New Roman"/>
        </w:rPr>
        <w:t xml:space="preserve">those </w:t>
      </w:r>
      <w:r w:rsidR="00235E17" w:rsidRPr="004842AA">
        <w:rPr>
          <w:rFonts w:ascii="Times New Roman" w:hAnsi="Times New Roman" w:cs="Times New Roman"/>
        </w:rPr>
        <w:t>decisions.</w:t>
      </w:r>
      <w:r w:rsidR="00941D38">
        <w:rPr>
          <w:rStyle w:val="FootnoteReference"/>
          <w:rFonts w:ascii="Times New Roman" w:hAnsi="Times New Roman" w:cs="Times New Roman"/>
        </w:rPr>
        <w:footnoteReference w:id="108"/>
      </w:r>
      <w:r w:rsidR="00235E17" w:rsidRPr="004842AA">
        <w:rPr>
          <w:rFonts w:ascii="Times New Roman" w:hAnsi="Times New Roman" w:cs="Times New Roman"/>
        </w:rPr>
        <w:t xml:space="preserve">  </w:t>
      </w:r>
    </w:p>
    <w:p w14:paraId="3845B5C3" w14:textId="0D2C0E24" w:rsidR="00D45C84" w:rsidRPr="004842AA" w:rsidRDefault="00D45C84" w:rsidP="0069239A">
      <w:pPr>
        <w:widowControl w:val="0"/>
        <w:autoSpaceDE w:val="0"/>
        <w:autoSpaceDN w:val="0"/>
        <w:adjustRightInd w:val="0"/>
        <w:ind w:firstLine="720"/>
        <w:jc w:val="both"/>
        <w:rPr>
          <w:rFonts w:ascii="Times New Roman" w:hAnsi="Times New Roman" w:cs="Times New Roman"/>
        </w:rPr>
      </w:pPr>
      <w:r w:rsidRPr="004842AA">
        <w:rPr>
          <w:rFonts w:ascii="Times New Roman" w:hAnsi="Times New Roman" w:cs="Times New Roman"/>
        </w:rPr>
        <w:t xml:space="preserve">In other respects, however, the governance provisions proved to be a sore point in the Article 50 TEU process and were only settled in the </w:t>
      </w:r>
      <w:r w:rsidR="00457F8F" w:rsidRPr="004842AA">
        <w:rPr>
          <w:rFonts w:ascii="Times New Roman" w:hAnsi="Times New Roman" w:cs="Times New Roman"/>
        </w:rPr>
        <w:t xml:space="preserve">very </w:t>
      </w:r>
      <w:r w:rsidRPr="004842AA">
        <w:rPr>
          <w:rFonts w:ascii="Times New Roman" w:hAnsi="Times New Roman" w:cs="Times New Roman"/>
        </w:rPr>
        <w:t xml:space="preserve">final stages of the negotiations that resulted in the first Withdrawal Package of November 2018. </w:t>
      </w:r>
      <w:r w:rsidR="004A3E01">
        <w:rPr>
          <w:rFonts w:ascii="Times New Roman" w:hAnsi="Times New Roman" w:cs="Times New Roman"/>
        </w:rPr>
        <w:t xml:space="preserve"> </w:t>
      </w:r>
      <w:r w:rsidRPr="004842AA">
        <w:rPr>
          <w:rFonts w:ascii="Times New Roman" w:hAnsi="Times New Roman" w:cs="Times New Roman"/>
        </w:rPr>
        <w:t xml:space="preserve">Three issues </w:t>
      </w:r>
      <w:r w:rsidR="00C67C70">
        <w:rPr>
          <w:rFonts w:ascii="Times New Roman" w:hAnsi="Times New Roman" w:cs="Times New Roman"/>
        </w:rPr>
        <w:t>warrant discussion</w:t>
      </w:r>
      <w:r w:rsidR="007A23C7">
        <w:rPr>
          <w:rFonts w:ascii="Times New Roman" w:hAnsi="Times New Roman" w:cs="Times New Roman"/>
        </w:rPr>
        <w:t>: interpretation of the A</w:t>
      </w:r>
      <w:r w:rsidRPr="004842AA">
        <w:rPr>
          <w:rFonts w:ascii="Times New Roman" w:hAnsi="Times New Roman" w:cs="Times New Roman"/>
        </w:rPr>
        <w:t xml:space="preserve">greement; dispute settlement and enforcement; and the internal legal effects of the </w:t>
      </w:r>
      <w:r w:rsidR="00083E04">
        <w:rPr>
          <w:rFonts w:ascii="Times New Roman" w:hAnsi="Times New Roman" w:cs="Times New Roman"/>
        </w:rPr>
        <w:t>Agreement</w:t>
      </w:r>
      <w:r w:rsidRPr="004842AA">
        <w:rPr>
          <w:rFonts w:ascii="Times New Roman" w:hAnsi="Times New Roman" w:cs="Times New Roman"/>
        </w:rPr>
        <w:t xml:space="preserve">.  </w:t>
      </w:r>
    </w:p>
    <w:p w14:paraId="697A403E" w14:textId="77777777" w:rsidR="00D45C84" w:rsidRPr="004842AA" w:rsidRDefault="00D45C84" w:rsidP="004842AA">
      <w:pPr>
        <w:jc w:val="both"/>
        <w:rPr>
          <w:rFonts w:ascii="Times New Roman" w:hAnsi="Times New Roman" w:cs="Times New Roman"/>
        </w:rPr>
      </w:pPr>
    </w:p>
    <w:p w14:paraId="77FB37F0" w14:textId="4E469404" w:rsidR="00235E17" w:rsidRPr="004842AA" w:rsidRDefault="00235E17" w:rsidP="004842AA">
      <w:pPr>
        <w:pStyle w:val="ListParagraph"/>
        <w:numPr>
          <w:ilvl w:val="2"/>
          <w:numId w:val="3"/>
        </w:numPr>
        <w:jc w:val="both"/>
        <w:rPr>
          <w:rFonts w:ascii="Times New Roman" w:hAnsi="Times New Roman" w:cs="Times New Roman"/>
          <w:i/>
        </w:rPr>
      </w:pPr>
      <w:r w:rsidRPr="004842AA">
        <w:rPr>
          <w:rFonts w:ascii="Times New Roman" w:hAnsi="Times New Roman" w:cs="Times New Roman"/>
          <w:i/>
        </w:rPr>
        <w:t>Interpretation of</w:t>
      </w:r>
      <w:r w:rsidR="00F52311">
        <w:rPr>
          <w:rFonts w:ascii="Times New Roman" w:hAnsi="Times New Roman" w:cs="Times New Roman"/>
          <w:i/>
        </w:rPr>
        <w:t xml:space="preserve"> the</w:t>
      </w:r>
      <w:r w:rsidRPr="004842AA">
        <w:rPr>
          <w:rFonts w:ascii="Times New Roman" w:hAnsi="Times New Roman" w:cs="Times New Roman"/>
          <w:i/>
        </w:rPr>
        <w:t xml:space="preserve"> Agreement</w:t>
      </w:r>
      <w:r w:rsidR="00C36693" w:rsidRPr="004842AA">
        <w:rPr>
          <w:rFonts w:ascii="Times New Roman" w:hAnsi="Times New Roman" w:cs="Times New Roman"/>
          <w:i/>
        </w:rPr>
        <w:t xml:space="preserve"> by the Parties</w:t>
      </w:r>
    </w:p>
    <w:p w14:paraId="7B9DE340" w14:textId="5B36D565" w:rsidR="00235E17" w:rsidRPr="004842AA" w:rsidRDefault="00235E17" w:rsidP="004842AA">
      <w:pPr>
        <w:jc w:val="both"/>
        <w:rPr>
          <w:rFonts w:ascii="Times New Roman" w:hAnsi="Times New Roman" w:cs="Times New Roman"/>
        </w:rPr>
      </w:pPr>
    </w:p>
    <w:p w14:paraId="60A79A88" w14:textId="6828AF1D" w:rsidR="0069239A" w:rsidRDefault="00C36693" w:rsidP="004842AA">
      <w:pPr>
        <w:jc w:val="both"/>
        <w:rPr>
          <w:rFonts w:ascii="Times New Roman" w:hAnsi="Times New Roman" w:cs="Times New Roman"/>
        </w:rPr>
      </w:pPr>
      <w:r w:rsidRPr="004842AA">
        <w:rPr>
          <w:rFonts w:ascii="Times New Roman" w:hAnsi="Times New Roman" w:cs="Times New Roman"/>
        </w:rPr>
        <w:t xml:space="preserve">The Agreement contains various </w:t>
      </w:r>
      <w:r w:rsidR="000F2AB9" w:rsidRPr="004842AA">
        <w:rPr>
          <w:rFonts w:ascii="Times New Roman" w:hAnsi="Times New Roman" w:cs="Times New Roman"/>
        </w:rPr>
        <w:t xml:space="preserve">basic </w:t>
      </w:r>
      <w:r w:rsidRPr="004842AA">
        <w:rPr>
          <w:rFonts w:ascii="Times New Roman" w:hAnsi="Times New Roman" w:cs="Times New Roman"/>
        </w:rPr>
        <w:t>principles of interpretation which are binding on the parties individually as well as within the Joint Committee, for example: identifying the instruments that comprise “</w:t>
      </w:r>
      <w:r w:rsidR="00235E17" w:rsidRPr="004842AA">
        <w:rPr>
          <w:rFonts w:ascii="Times New Roman" w:hAnsi="Times New Roman" w:cs="Times New Roman"/>
        </w:rPr>
        <w:t>Union law</w:t>
      </w:r>
      <w:r w:rsidRPr="004842AA">
        <w:rPr>
          <w:rFonts w:ascii="Times New Roman" w:hAnsi="Times New Roman" w:cs="Times New Roman"/>
        </w:rPr>
        <w:t>” as referred to in the Agreement;</w:t>
      </w:r>
      <w:r w:rsidRPr="004842AA">
        <w:rPr>
          <w:rStyle w:val="FootnoteReference"/>
          <w:rFonts w:ascii="Times New Roman" w:hAnsi="Times New Roman" w:cs="Times New Roman"/>
        </w:rPr>
        <w:footnoteReference w:id="109"/>
      </w:r>
      <w:r w:rsidRPr="004842AA">
        <w:rPr>
          <w:rFonts w:ascii="Times New Roman" w:hAnsi="Times New Roman" w:cs="Times New Roman"/>
        </w:rPr>
        <w:t xml:space="preserve"> providing that “Union law” </w:t>
      </w:r>
      <w:r w:rsidR="000F2AB9" w:rsidRPr="004842AA">
        <w:rPr>
          <w:rFonts w:ascii="Times New Roman" w:hAnsi="Times New Roman" w:cs="Times New Roman"/>
        </w:rPr>
        <w:t xml:space="preserve">generally </w:t>
      </w:r>
      <w:r w:rsidRPr="004842AA">
        <w:rPr>
          <w:rFonts w:ascii="Times New Roman" w:hAnsi="Times New Roman" w:cs="Times New Roman"/>
        </w:rPr>
        <w:t xml:space="preserve">means the relevant instruments as </w:t>
      </w:r>
      <w:r w:rsidR="00F6572F">
        <w:rPr>
          <w:rFonts w:ascii="Times New Roman" w:hAnsi="Times New Roman" w:cs="Times New Roman"/>
        </w:rPr>
        <w:t xml:space="preserve">applicable </w:t>
      </w:r>
      <w:r w:rsidRPr="004842AA">
        <w:rPr>
          <w:rFonts w:ascii="Times New Roman" w:hAnsi="Times New Roman" w:cs="Times New Roman"/>
        </w:rPr>
        <w:t>on t</w:t>
      </w:r>
      <w:r w:rsidR="006861A1">
        <w:rPr>
          <w:rFonts w:ascii="Times New Roman" w:hAnsi="Times New Roman" w:cs="Times New Roman"/>
        </w:rPr>
        <w:t xml:space="preserve">he last day of the transition </w:t>
      </w:r>
      <w:r w:rsidRPr="004842AA">
        <w:rPr>
          <w:rFonts w:ascii="Times New Roman" w:hAnsi="Times New Roman" w:cs="Times New Roman"/>
        </w:rPr>
        <w:t>period</w:t>
      </w:r>
      <w:r w:rsidR="00F66282" w:rsidRPr="004842AA">
        <w:rPr>
          <w:rFonts w:ascii="Times New Roman" w:hAnsi="Times New Roman" w:cs="Times New Roman"/>
        </w:rPr>
        <w:t>;</w:t>
      </w:r>
      <w:r w:rsidR="000F2AB9" w:rsidRPr="004842AA">
        <w:rPr>
          <w:rStyle w:val="FootnoteReference"/>
          <w:rFonts w:ascii="Times New Roman" w:hAnsi="Times New Roman" w:cs="Times New Roman"/>
        </w:rPr>
        <w:footnoteReference w:id="110"/>
      </w:r>
      <w:r w:rsidRPr="004842AA">
        <w:rPr>
          <w:rFonts w:ascii="Times New Roman" w:hAnsi="Times New Roman" w:cs="Times New Roman"/>
        </w:rPr>
        <w:t xml:space="preserve"> </w:t>
      </w:r>
      <w:r w:rsidR="00F66282" w:rsidRPr="004842AA">
        <w:rPr>
          <w:rFonts w:ascii="Times New Roman" w:hAnsi="Times New Roman" w:cs="Times New Roman"/>
        </w:rPr>
        <w:t xml:space="preserve">defining the </w:t>
      </w:r>
      <w:r w:rsidR="00941D38">
        <w:rPr>
          <w:rFonts w:ascii="Times New Roman" w:hAnsi="Times New Roman" w:cs="Times New Roman"/>
        </w:rPr>
        <w:t>geographical</w:t>
      </w:r>
      <w:r w:rsidR="00F66282" w:rsidRPr="004842AA">
        <w:rPr>
          <w:rFonts w:ascii="Times New Roman" w:hAnsi="Times New Roman" w:cs="Times New Roman"/>
        </w:rPr>
        <w:t xml:space="preserve"> scope of the </w:t>
      </w:r>
      <w:r w:rsidR="00083E04">
        <w:rPr>
          <w:rFonts w:ascii="Times New Roman" w:hAnsi="Times New Roman" w:cs="Times New Roman"/>
        </w:rPr>
        <w:t>Agreement</w:t>
      </w:r>
      <w:r w:rsidR="00F66282" w:rsidRPr="004842AA">
        <w:rPr>
          <w:rFonts w:ascii="Times New Roman" w:hAnsi="Times New Roman" w:cs="Times New Roman"/>
        </w:rPr>
        <w:t xml:space="preserve">, particularly </w:t>
      </w:r>
      <w:r w:rsidR="00F66282" w:rsidRPr="004842AA">
        <w:rPr>
          <w:rFonts w:ascii="Times New Roman" w:hAnsi="Times New Roman" w:cs="Times New Roman"/>
        </w:rPr>
        <w:lastRenderedPageBreak/>
        <w:t>when it comes to the various territories associated with the UK;</w:t>
      </w:r>
      <w:r w:rsidR="00F66282" w:rsidRPr="004842AA">
        <w:rPr>
          <w:rStyle w:val="FootnoteReference"/>
          <w:rFonts w:ascii="Times New Roman" w:hAnsi="Times New Roman" w:cs="Times New Roman"/>
        </w:rPr>
        <w:footnoteReference w:id="111"/>
      </w:r>
      <w:r w:rsidR="00F66282" w:rsidRPr="004842AA">
        <w:rPr>
          <w:rFonts w:ascii="Times New Roman" w:hAnsi="Times New Roman" w:cs="Times New Roman"/>
        </w:rPr>
        <w:t xml:space="preserve"> and specifying the precise dates for entry into force of different provisions of the Agreement.</w:t>
      </w:r>
      <w:r w:rsidR="00F66282" w:rsidRPr="004842AA">
        <w:rPr>
          <w:rStyle w:val="FootnoteReference"/>
          <w:rFonts w:ascii="Times New Roman" w:hAnsi="Times New Roman" w:cs="Times New Roman"/>
        </w:rPr>
        <w:footnoteReference w:id="112"/>
      </w:r>
      <w:r w:rsidRPr="004842AA">
        <w:rPr>
          <w:rFonts w:ascii="Times New Roman" w:hAnsi="Times New Roman" w:cs="Times New Roman"/>
        </w:rPr>
        <w:t xml:space="preserve"> </w:t>
      </w:r>
      <w:r w:rsidR="00F66282" w:rsidRPr="004842AA">
        <w:rPr>
          <w:rFonts w:ascii="Times New Roman" w:hAnsi="Times New Roman" w:cs="Times New Roman"/>
        </w:rPr>
        <w:t xml:space="preserve"> </w:t>
      </w:r>
      <w:r w:rsidR="000F2AB9" w:rsidRPr="004842AA">
        <w:rPr>
          <w:rFonts w:ascii="Times New Roman" w:hAnsi="Times New Roman" w:cs="Times New Roman"/>
        </w:rPr>
        <w:t>Two provisions on interpretation are particularly important.</w:t>
      </w:r>
    </w:p>
    <w:p w14:paraId="49AD347B" w14:textId="7BD2E2AB" w:rsidR="0069239A" w:rsidRDefault="000F2AB9" w:rsidP="0069239A">
      <w:pPr>
        <w:ind w:firstLine="720"/>
        <w:jc w:val="both"/>
        <w:rPr>
          <w:rFonts w:ascii="Times New Roman" w:hAnsi="Times New Roman" w:cs="Times New Roman"/>
        </w:rPr>
      </w:pPr>
      <w:r w:rsidRPr="004842AA">
        <w:rPr>
          <w:rFonts w:ascii="Times New Roman" w:hAnsi="Times New Roman" w:cs="Times New Roman"/>
        </w:rPr>
        <w:t xml:space="preserve">First, </w:t>
      </w:r>
      <w:r w:rsidR="00235E17" w:rsidRPr="004842AA">
        <w:rPr>
          <w:rFonts w:ascii="Times New Roman" w:hAnsi="Times New Roman" w:cs="Times New Roman"/>
        </w:rPr>
        <w:t>Article 7(1)</w:t>
      </w:r>
      <w:r w:rsidRPr="004842AA">
        <w:rPr>
          <w:rFonts w:ascii="Times New Roman" w:hAnsi="Times New Roman" w:cs="Times New Roman"/>
        </w:rPr>
        <w:t xml:space="preserve"> WA provides that r</w:t>
      </w:r>
      <w:r w:rsidR="00235E17" w:rsidRPr="004842AA">
        <w:rPr>
          <w:rFonts w:ascii="Times New Roman" w:hAnsi="Times New Roman" w:cs="Times New Roman"/>
        </w:rPr>
        <w:t xml:space="preserve">eferences to </w:t>
      </w:r>
      <w:r w:rsidRPr="004842AA">
        <w:rPr>
          <w:rFonts w:ascii="Times New Roman" w:hAnsi="Times New Roman" w:cs="Times New Roman"/>
        </w:rPr>
        <w:t xml:space="preserve">Member States </w:t>
      </w:r>
      <w:r w:rsidR="00235E17" w:rsidRPr="004842AA">
        <w:rPr>
          <w:rFonts w:ascii="Times New Roman" w:hAnsi="Times New Roman" w:cs="Times New Roman"/>
        </w:rPr>
        <w:t xml:space="preserve">and competent national authorities in </w:t>
      </w:r>
      <w:r w:rsidRPr="004842AA">
        <w:rPr>
          <w:rFonts w:ascii="Times New Roman" w:hAnsi="Times New Roman" w:cs="Times New Roman"/>
        </w:rPr>
        <w:t xml:space="preserve">those </w:t>
      </w:r>
      <w:r w:rsidR="00235E17" w:rsidRPr="004842AA">
        <w:rPr>
          <w:rFonts w:ascii="Times New Roman" w:hAnsi="Times New Roman" w:cs="Times New Roman"/>
        </w:rPr>
        <w:t xml:space="preserve">provisions of Union law made applicable by </w:t>
      </w:r>
      <w:r w:rsidRPr="004842AA">
        <w:rPr>
          <w:rFonts w:ascii="Times New Roman" w:hAnsi="Times New Roman" w:cs="Times New Roman"/>
        </w:rPr>
        <w:t xml:space="preserve">the </w:t>
      </w:r>
      <w:r w:rsidR="00235E17" w:rsidRPr="004842AA">
        <w:rPr>
          <w:rFonts w:ascii="Times New Roman" w:hAnsi="Times New Roman" w:cs="Times New Roman"/>
        </w:rPr>
        <w:t>A</w:t>
      </w:r>
      <w:r w:rsidRPr="004842AA">
        <w:rPr>
          <w:rFonts w:ascii="Times New Roman" w:hAnsi="Times New Roman" w:cs="Times New Roman"/>
        </w:rPr>
        <w:t>greement shall</w:t>
      </w:r>
      <w:r w:rsidR="00235E17" w:rsidRPr="004842AA">
        <w:rPr>
          <w:rFonts w:ascii="Times New Roman" w:hAnsi="Times New Roman" w:cs="Times New Roman"/>
        </w:rPr>
        <w:t xml:space="preserve"> include </w:t>
      </w:r>
      <w:r w:rsidRPr="004842AA">
        <w:rPr>
          <w:rFonts w:ascii="Times New Roman" w:hAnsi="Times New Roman" w:cs="Times New Roman"/>
        </w:rPr>
        <w:t xml:space="preserve">the </w:t>
      </w:r>
      <w:r w:rsidR="00235E17" w:rsidRPr="004842AA">
        <w:rPr>
          <w:rFonts w:ascii="Times New Roman" w:hAnsi="Times New Roman" w:cs="Times New Roman"/>
        </w:rPr>
        <w:t xml:space="preserve">UK and </w:t>
      </w:r>
      <w:r w:rsidRPr="004842AA">
        <w:rPr>
          <w:rFonts w:ascii="Times New Roman" w:hAnsi="Times New Roman" w:cs="Times New Roman"/>
        </w:rPr>
        <w:t xml:space="preserve">its </w:t>
      </w:r>
      <w:r w:rsidR="00235E17" w:rsidRPr="004842AA">
        <w:rPr>
          <w:rFonts w:ascii="Times New Roman" w:hAnsi="Times New Roman" w:cs="Times New Roman"/>
        </w:rPr>
        <w:t>competent authorities</w:t>
      </w:r>
      <w:r w:rsidRPr="004842AA">
        <w:rPr>
          <w:rFonts w:ascii="Times New Roman" w:hAnsi="Times New Roman" w:cs="Times New Roman"/>
        </w:rPr>
        <w:t xml:space="preserve">; </w:t>
      </w:r>
      <w:r w:rsidR="00235E17" w:rsidRPr="004842AA">
        <w:rPr>
          <w:rFonts w:ascii="Times New Roman" w:hAnsi="Times New Roman" w:cs="Times New Roman"/>
        </w:rPr>
        <w:t>except as regards</w:t>
      </w:r>
      <w:r w:rsidRPr="004842AA">
        <w:rPr>
          <w:rFonts w:ascii="Times New Roman" w:hAnsi="Times New Roman" w:cs="Times New Roman"/>
        </w:rPr>
        <w:t xml:space="preserve"> </w:t>
      </w:r>
      <w:r w:rsidR="00235E17" w:rsidRPr="004842AA">
        <w:rPr>
          <w:rFonts w:ascii="Times New Roman" w:hAnsi="Times New Roman" w:cs="Times New Roman"/>
        </w:rPr>
        <w:t>membership of</w:t>
      </w:r>
      <w:r w:rsidRPr="004842AA">
        <w:rPr>
          <w:rFonts w:ascii="Times New Roman" w:hAnsi="Times New Roman" w:cs="Times New Roman"/>
        </w:rPr>
        <w:t>, attendance at meetings of</w:t>
      </w:r>
      <w:r w:rsidR="00941D38">
        <w:rPr>
          <w:rFonts w:ascii="Times New Roman" w:hAnsi="Times New Roman" w:cs="Times New Roman"/>
        </w:rPr>
        <w:t>,</w:t>
      </w:r>
      <w:r w:rsidRPr="004842AA">
        <w:rPr>
          <w:rFonts w:ascii="Times New Roman" w:hAnsi="Times New Roman" w:cs="Times New Roman"/>
        </w:rPr>
        <w:t xml:space="preserve"> or participation in decision-making by </w:t>
      </w:r>
      <w:r w:rsidR="00235E17" w:rsidRPr="004842AA">
        <w:rPr>
          <w:rFonts w:ascii="Times New Roman" w:hAnsi="Times New Roman" w:cs="Times New Roman"/>
        </w:rPr>
        <w:t>Union institutions</w:t>
      </w:r>
      <w:r w:rsidRPr="004842AA">
        <w:rPr>
          <w:rFonts w:ascii="Times New Roman" w:hAnsi="Times New Roman" w:cs="Times New Roman"/>
        </w:rPr>
        <w:t xml:space="preserve">, </w:t>
      </w:r>
      <w:r w:rsidR="00235E17" w:rsidRPr="004842AA">
        <w:rPr>
          <w:rFonts w:ascii="Times New Roman" w:hAnsi="Times New Roman" w:cs="Times New Roman"/>
        </w:rPr>
        <w:t xml:space="preserve">bodies </w:t>
      </w:r>
      <w:r w:rsidRPr="004842AA">
        <w:rPr>
          <w:rFonts w:ascii="Times New Roman" w:hAnsi="Times New Roman" w:cs="Times New Roman"/>
        </w:rPr>
        <w:t xml:space="preserve">and agencies </w:t>
      </w:r>
      <w:proofErr w:type="spellStart"/>
      <w:r w:rsidRPr="004842AA">
        <w:rPr>
          <w:rFonts w:ascii="Times New Roman" w:hAnsi="Times New Roman" w:cs="Times New Roman"/>
        </w:rPr>
        <w:t>etc</w:t>
      </w:r>
      <w:proofErr w:type="spellEnd"/>
      <w:r w:rsidRPr="004842AA">
        <w:rPr>
          <w:rFonts w:ascii="Times New Roman" w:hAnsi="Times New Roman" w:cs="Times New Roman"/>
        </w:rPr>
        <w:t xml:space="preserve">; and as regards </w:t>
      </w:r>
      <w:r w:rsidR="00235E17" w:rsidRPr="004842AA">
        <w:rPr>
          <w:rFonts w:ascii="Times New Roman" w:hAnsi="Times New Roman" w:cs="Times New Roman"/>
        </w:rPr>
        <w:t xml:space="preserve">attendance </w:t>
      </w:r>
      <w:r w:rsidRPr="004842AA">
        <w:rPr>
          <w:rFonts w:ascii="Times New Roman" w:hAnsi="Times New Roman" w:cs="Times New Roman"/>
        </w:rPr>
        <w:t xml:space="preserve">at </w:t>
      </w:r>
      <w:r w:rsidR="00235E17" w:rsidRPr="004842AA">
        <w:rPr>
          <w:rFonts w:ascii="Times New Roman" w:hAnsi="Times New Roman" w:cs="Times New Roman"/>
        </w:rPr>
        <w:t xml:space="preserve">meetings of comitology committees </w:t>
      </w:r>
      <w:r w:rsidRPr="004842AA">
        <w:rPr>
          <w:rFonts w:ascii="Times New Roman" w:hAnsi="Times New Roman" w:cs="Times New Roman"/>
        </w:rPr>
        <w:t xml:space="preserve">and </w:t>
      </w:r>
      <w:r w:rsidR="00235E17" w:rsidRPr="004842AA">
        <w:rPr>
          <w:rFonts w:ascii="Times New Roman" w:hAnsi="Times New Roman" w:cs="Times New Roman"/>
        </w:rPr>
        <w:t xml:space="preserve">expert groups </w:t>
      </w:r>
      <w:proofErr w:type="spellStart"/>
      <w:r w:rsidR="00235E17" w:rsidRPr="004842AA">
        <w:rPr>
          <w:rFonts w:ascii="Times New Roman" w:hAnsi="Times New Roman" w:cs="Times New Roman"/>
        </w:rPr>
        <w:t>etc</w:t>
      </w:r>
      <w:proofErr w:type="spellEnd"/>
      <w:r w:rsidR="00235E17" w:rsidRPr="004842AA">
        <w:rPr>
          <w:rFonts w:ascii="Times New Roman" w:hAnsi="Times New Roman" w:cs="Times New Roman"/>
        </w:rPr>
        <w:t xml:space="preserve"> of </w:t>
      </w:r>
      <w:r w:rsidRPr="004842AA">
        <w:rPr>
          <w:rFonts w:ascii="Times New Roman" w:hAnsi="Times New Roman" w:cs="Times New Roman"/>
        </w:rPr>
        <w:t xml:space="preserve">the </w:t>
      </w:r>
      <w:r w:rsidR="00235E17" w:rsidRPr="004842AA">
        <w:rPr>
          <w:rFonts w:ascii="Times New Roman" w:hAnsi="Times New Roman" w:cs="Times New Roman"/>
        </w:rPr>
        <w:t xml:space="preserve">Commission </w:t>
      </w:r>
      <w:r w:rsidRPr="004842AA">
        <w:rPr>
          <w:rFonts w:ascii="Times New Roman" w:hAnsi="Times New Roman" w:cs="Times New Roman"/>
        </w:rPr>
        <w:t xml:space="preserve">and </w:t>
      </w:r>
      <w:r w:rsidR="00235E17" w:rsidRPr="004842AA">
        <w:rPr>
          <w:rFonts w:ascii="Times New Roman" w:hAnsi="Times New Roman" w:cs="Times New Roman"/>
        </w:rPr>
        <w:t>Union bodies</w:t>
      </w:r>
      <w:r w:rsidRPr="004842AA">
        <w:rPr>
          <w:rFonts w:ascii="Times New Roman" w:hAnsi="Times New Roman" w:cs="Times New Roman"/>
        </w:rPr>
        <w:t xml:space="preserve"> and agencies</w:t>
      </w:r>
      <w:r w:rsidR="00235E17" w:rsidRPr="004842AA">
        <w:rPr>
          <w:rFonts w:ascii="Times New Roman" w:hAnsi="Times New Roman" w:cs="Times New Roman"/>
        </w:rPr>
        <w:t xml:space="preserve"> </w:t>
      </w:r>
      <w:proofErr w:type="spellStart"/>
      <w:r w:rsidR="00235E17" w:rsidRPr="004842AA">
        <w:rPr>
          <w:rFonts w:ascii="Times New Roman" w:hAnsi="Times New Roman" w:cs="Times New Roman"/>
        </w:rPr>
        <w:t>etc</w:t>
      </w:r>
      <w:proofErr w:type="spellEnd"/>
      <w:r w:rsidR="00235E17" w:rsidRPr="004842AA">
        <w:rPr>
          <w:rFonts w:ascii="Times New Roman" w:hAnsi="Times New Roman" w:cs="Times New Roman"/>
        </w:rPr>
        <w:t xml:space="preserve"> (unless otherwise provided for in </w:t>
      </w:r>
      <w:r w:rsidRPr="004842AA">
        <w:rPr>
          <w:rFonts w:ascii="Times New Roman" w:hAnsi="Times New Roman" w:cs="Times New Roman"/>
        </w:rPr>
        <w:t xml:space="preserve">the </w:t>
      </w:r>
      <w:r w:rsidR="00235E17" w:rsidRPr="004842AA">
        <w:rPr>
          <w:rFonts w:ascii="Times New Roman" w:hAnsi="Times New Roman" w:cs="Times New Roman"/>
        </w:rPr>
        <w:t>A</w:t>
      </w:r>
      <w:r w:rsidRPr="004842AA">
        <w:rPr>
          <w:rFonts w:ascii="Times New Roman" w:hAnsi="Times New Roman" w:cs="Times New Roman"/>
        </w:rPr>
        <w:t>greement</w:t>
      </w:r>
      <w:r w:rsidR="00235E17" w:rsidRPr="004842AA">
        <w:rPr>
          <w:rFonts w:ascii="Times New Roman" w:hAnsi="Times New Roman" w:cs="Times New Roman"/>
        </w:rPr>
        <w:t>)</w:t>
      </w:r>
      <w:r w:rsidRPr="004842AA">
        <w:rPr>
          <w:rFonts w:ascii="Times New Roman" w:hAnsi="Times New Roman" w:cs="Times New Roman"/>
        </w:rPr>
        <w:t>.</w:t>
      </w:r>
      <w:r w:rsidR="00F52311">
        <w:rPr>
          <w:rStyle w:val="FootnoteReference"/>
          <w:rFonts w:ascii="Times New Roman" w:hAnsi="Times New Roman" w:cs="Times New Roman"/>
        </w:rPr>
        <w:footnoteReference w:id="113"/>
      </w:r>
      <w:r w:rsidR="00235E17" w:rsidRPr="004842AA">
        <w:rPr>
          <w:rFonts w:ascii="Times New Roman" w:hAnsi="Times New Roman" w:cs="Times New Roman"/>
        </w:rPr>
        <w:t xml:space="preserve"> </w:t>
      </w:r>
    </w:p>
    <w:p w14:paraId="454BAEB0" w14:textId="5B9DACB3" w:rsidR="00235E17" w:rsidRPr="004842AA" w:rsidRDefault="000F2AB9" w:rsidP="0069239A">
      <w:pPr>
        <w:ind w:firstLine="720"/>
        <w:jc w:val="both"/>
        <w:rPr>
          <w:rFonts w:ascii="Times New Roman" w:hAnsi="Times New Roman" w:cs="Times New Roman"/>
        </w:rPr>
      </w:pPr>
      <w:r w:rsidRPr="004842AA">
        <w:rPr>
          <w:rFonts w:ascii="Times New Roman" w:hAnsi="Times New Roman" w:cs="Times New Roman"/>
        </w:rPr>
        <w:t xml:space="preserve">Secondly, </w:t>
      </w:r>
      <w:r w:rsidR="00235E17" w:rsidRPr="004842AA">
        <w:rPr>
          <w:rFonts w:ascii="Times New Roman" w:hAnsi="Times New Roman" w:cs="Times New Roman"/>
        </w:rPr>
        <w:t>Article</w:t>
      </w:r>
      <w:r w:rsidR="00F6572F">
        <w:rPr>
          <w:rFonts w:ascii="Times New Roman" w:hAnsi="Times New Roman" w:cs="Times New Roman"/>
        </w:rPr>
        <w:t>s</w:t>
      </w:r>
      <w:r w:rsidR="00235E17" w:rsidRPr="004842AA">
        <w:rPr>
          <w:rFonts w:ascii="Times New Roman" w:hAnsi="Times New Roman" w:cs="Times New Roman"/>
        </w:rPr>
        <w:t xml:space="preserve"> 4</w:t>
      </w:r>
      <w:r w:rsidR="00F6572F">
        <w:rPr>
          <w:rFonts w:ascii="Times New Roman" w:hAnsi="Times New Roman" w:cs="Times New Roman"/>
        </w:rPr>
        <w:t xml:space="preserve">(3)-(4) </w:t>
      </w:r>
      <w:r w:rsidRPr="004842AA">
        <w:rPr>
          <w:rFonts w:ascii="Times New Roman" w:hAnsi="Times New Roman" w:cs="Times New Roman"/>
        </w:rPr>
        <w:t xml:space="preserve">WA </w:t>
      </w:r>
      <w:r w:rsidR="006E440E">
        <w:rPr>
          <w:rFonts w:ascii="Times New Roman" w:hAnsi="Times New Roman" w:cs="Times New Roman"/>
        </w:rPr>
        <w:t>establishes</w:t>
      </w:r>
      <w:r w:rsidRPr="004842AA">
        <w:rPr>
          <w:rFonts w:ascii="Times New Roman" w:hAnsi="Times New Roman" w:cs="Times New Roman"/>
        </w:rPr>
        <w:t xml:space="preserve"> that p</w:t>
      </w:r>
      <w:r w:rsidR="00235E17" w:rsidRPr="004842AA">
        <w:rPr>
          <w:rFonts w:ascii="Times New Roman" w:hAnsi="Times New Roman" w:cs="Times New Roman"/>
        </w:rPr>
        <w:t xml:space="preserve">rovisions of </w:t>
      </w:r>
      <w:r w:rsidRPr="004842AA">
        <w:rPr>
          <w:rFonts w:ascii="Times New Roman" w:hAnsi="Times New Roman" w:cs="Times New Roman"/>
        </w:rPr>
        <w:t xml:space="preserve">the Agreement </w:t>
      </w:r>
      <w:r w:rsidR="00235E17" w:rsidRPr="004842AA">
        <w:rPr>
          <w:rFonts w:ascii="Times New Roman" w:hAnsi="Times New Roman" w:cs="Times New Roman"/>
        </w:rPr>
        <w:t xml:space="preserve">referring to </w:t>
      </w:r>
      <w:r w:rsidRPr="004842AA">
        <w:rPr>
          <w:rFonts w:ascii="Times New Roman" w:hAnsi="Times New Roman" w:cs="Times New Roman"/>
        </w:rPr>
        <w:t xml:space="preserve">concepts or provisions of </w:t>
      </w:r>
      <w:r w:rsidR="00235E17" w:rsidRPr="004842AA">
        <w:rPr>
          <w:rFonts w:ascii="Times New Roman" w:hAnsi="Times New Roman" w:cs="Times New Roman"/>
        </w:rPr>
        <w:t xml:space="preserve">Union law shall be interpreted and applied in accordance with </w:t>
      </w:r>
      <w:r w:rsidRPr="004842AA">
        <w:rPr>
          <w:rFonts w:ascii="Times New Roman" w:hAnsi="Times New Roman" w:cs="Times New Roman"/>
        </w:rPr>
        <w:t xml:space="preserve">the </w:t>
      </w:r>
      <w:r w:rsidR="00235E17" w:rsidRPr="004842AA">
        <w:rPr>
          <w:rFonts w:ascii="Times New Roman" w:hAnsi="Times New Roman" w:cs="Times New Roman"/>
        </w:rPr>
        <w:t>methods and general principles of Union law</w:t>
      </w:r>
      <w:r w:rsidRPr="004842AA">
        <w:rPr>
          <w:rFonts w:ascii="Times New Roman" w:hAnsi="Times New Roman" w:cs="Times New Roman"/>
        </w:rPr>
        <w:t xml:space="preserve"> itself; and in particular, </w:t>
      </w:r>
      <w:r w:rsidR="00235E17" w:rsidRPr="004842AA">
        <w:rPr>
          <w:rFonts w:ascii="Times New Roman" w:hAnsi="Times New Roman" w:cs="Times New Roman"/>
        </w:rPr>
        <w:t xml:space="preserve">in conformity with </w:t>
      </w:r>
      <w:r w:rsidRPr="004842AA">
        <w:rPr>
          <w:rFonts w:ascii="Times New Roman" w:hAnsi="Times New Roman" w:cs="Times New Roman"/>
        </w:rPr>
        <w:t xml:space="preserve">any </w:t>
      </w:r>
      <w:r w:rsidR="00235E17" w:rsidRPr="004842AA">
        <w:rPr>
          <w:rFonts w:ascii="Times New Roman" w:hAnsi="Times New Roman" w:cs="Times New Roman"/>
        </w:rPr>
        <w:t xml:space="preserve">relevant </w:t>
      </w:r>
      <w:proofErr w:type="spellStart"/>
      <w:r w:rsidR="00235E17" w:rsidRPr="004842AA">
        <w:rPr>
          <w:rFonts w:ascii="Times New Roman" w:hAnsi="Times New Roman" w:cs="Times New Roman"/>
        </w:rPr>
        <w:t>caselaw</w:t>
      </w:r>
      <w:proofErr w:type="spellEnd"/>
      <w:r w:rsidR="00235E17" w:rsidRPr="004842AA">
        <w:rPr>
          <w:rFonts w:ascii="Times New Roman" w:hAnsi="Times New Roman" w:cs="Times New Roman"/>
        </w:rPr>
        <w:t xml:space="preserve"> </w:t>
      </w:r>
      <w:r w:rsidRPr="004842AA">
        <w:rPr>
          <w:rFonts w:ascii="Times New Roman" w:hAnsi="Times New Roman" w:cs="Times New Roman"/>
        </w:rPr>
        <w:t xml:space="preserve">of the CJEU </w:t>
      </w:r>
      <w:r w:rsidR="00414AD0" w:rsidRPr="004842AA">
        <w:rPr>
          <w:rFonts w:ascii="Times New Roman" w:hAnsi="Times New Roman" w:cs="Times New Roman"/>
        </w:rPr>
        <w:t xml:space="preserve">delivered </w:t>
      </w:r>
      <w:r w:rsidR="00235E17" w:rsidRPr="004842AA">
        <w:rPr>
          <w:rFonts w:ascii="Times New Roman" w:hAnsi="Times New Roman" w:cs="Times New Roman"/>
        </w:rPr>
        <w:t xml:space="preserve">before </w:t>
      </w:r>
      <w:r w:rsidR="00414AD0" w:rsidRPr="004842AA">
        <w:rPr>
          <w:rFonts w:ascii="Times New Roman" w:hAnsi="Times New Roman" w:cs="Times New Roman"/>
        </w:rPr>
        <w:t xml:space="preserve">the </w:t>
      </w:r>
      <w:r w:rsidR="00235E17" w:rsidRPr="004842AA">
        <w:rPr>
          <w:rFonts w:ascii="Times New Roman" w:hAnsi="Times New Roman" w:cs="Times New Roman"/>
        </w:rPr>
        <w:t xml:space="preserve">end of </w:t>
      </w:r>
      <w:r w:rsidR="006861A1">
        <w:rPr>
          <w:rFonts w:ascii="Times New Roman" w:hAnsi="Times New Roman" w:cs="Times New Roman"/>
        </w:rPr>
        <w:t>the transition</w:t>
      </w:r>
      <w:r w:rsidR="00414AD0" w:rsidRPr="004842AA">
        <w:rPr>
          <w:rFonts w:ascii="Times New Roman" w:hAnsi="Times New Roman" w:cs="Times New Roman"/>
        </w:rPr>
        <w:t xml:space="preserve"> period. </w:t>
      </w:r>
      <w:r w:rsidR="001A3D67">
        <w:rPr>
          <w:rFonts w:ascii="Times New Roman" w:hAnsi="Times New Roman" w:cs="Times New Roman"/>
        </w:rPr>
        <w:t xml:space="preserve"> </w:t>
      </w:r>
      <w:r w:rsidR="00414AD0" w:rsidRPr="004842AA">
        <w:rPr>
          <w:rFonts w:ascii="Times New Roman" w:hAnsi="Times New Roman" w:cs="Times New Roman"/>
        </w:rPr>
        <w:t xml:space="preserve">There is no explicit provision to govern the relevance of </w:t>
      </w:r>
      <w:r w:rsidR="00235E17" w:rsidRPr="004842AA">
        <w:rPr>
          <w:rFonts w:ascii="Times New Roman" w:hAnsi="Times New Roman" w:cs="Times New Roman"/>
        </w:rPr>
        <w:t xml:space="preserve">subsequent CJEU </w:t>
      </w:r>
      <w:proofErr w:type="spellStart"/>
      <w:r w:rsidR="00235E17" w:rsidRPr="004842AA">
        <w:rPr>
          <w:rFonts w:ascii="Times New Roman" w:hAnsi="Times New Roman" w:cs="Times New Roman"/>
        </w:rPr>
        <w:t>caselaw</w:t>
      </w:r>
      <w:proofErr w:type="spellEnd"/>
      <w:r w:rsidR="00235E17" w:rsidRPr="004842AA">
        <w:rPr>
          <w:rFonts w:ascii="Times New Roman" w:hAnsi="Times New Roman" w:cs="Times New Roman"/>
        </w:rPr>
        <w:t xml:space="preserve"> </w:t>
      </w:r>
      <w:r w:rsidR="00414AD0" w:rsidRPr="004842AA">
        <w:rPr>
          <w:rFonts w:ascii="Times New Roman" w:hAnsi="Times New Roman" w:cs="Times New Roman"/>
        </w:rPr>
        <w:t xml:space="preserve">for </w:t>
      </w:r>
      <w:r w:rsidR="00A27930">
        <w:rPr>
          <w:rFonts w:ascii="Times New Roman" w:hAnsi="Times New Roman" w:cs="Times New Roman"/>
        </w:rPr>
        <w:t xml:space="preserve">the parties’ </w:t>
      </w:r>
      <w:r w:rsidR="00414AD0" w:rsidRPr="004842AA">
        <w:rPr>
          <w:rFonts w:ascii="Times New Roman" w:hAnsi="Times New Roman" w:cs="Times New Roman"/>
        </w:rPr>
        <w:t>interpretat</w:t>
      </w:r>
      <w:r w:rsidR="00A27930">
        <w:rPr>
          <w:rFonts w:ascii="Times New Roman" w:hAnsi="Times New Roman" w:cs="Times New Roman"/>
        </w:rPr>
        <w:t>ion of the Agreement</w:t>
      </w:r>
      <w:proofErr w:type="gramStart"/>
      <w:r w:rsidR="00A27930">
        <w:rPr>
          <w:rFonts w:ascii="Times New Roman" w:hAnsi="Times New Roman" w:cs="Times New Roman"/>
        </w:rPr>
        <w:t>;</w:t>
      </w:r>
      <w:proofErr w:type="gramEnd"/>
      <w:r w:rsidR="00414AD0" w:rsidRPr="004842AA">
        <w:rPr>
          <w:rFonts w:ascii="Times New Roman" w:hAnsi="Times New Roman" w:cs="Times New Roman"/>
        </w:rPr>
        <w:t xml:space="preserve"> though the Union’s representatives in the Joint Committee would obviously be bound to respect all relevant CJEU jurisprudence when exercising their functions and powers.</w:t>
      </w:r>
      <w:r w:rsidR="00A27930">
        <w:rPr>
          <w:rStyle w:val="FootnoteReference"/>
          <w:rFonts w:ascii="Times New Roman" w:hAnsi="Times New Roman" w:cs="Times New Roman"/>
        </w:rPr>
        <w:footnoteReference w:id="114"/>
      </w:r>
      <w:r w:rsidR="00414AD0" w:rsidRPr="004842AA">
        <w:rPr>
          <w:rFonts w:ascii="Times New Roman" w:hAnsi="Times New Roman" w:cs="Times New Roman"/>
        </w:rPr>
        <w:t xml:space="preserve">  </w:t>
      </w:r>
    </w:p>
    <w:p w14:paraId="037963CB" w14:textId="77777777" w:rsidR="00235E17" w:rsidRPr="004842AA" w:rsidRDefault="00235E17" w:rsidP="004842AA">
      <w:pPr>
        <w:jc w:val="both"/>
        <w:rPr>
          <w:rFonts w:ascii="Times New Roman" w:hAnsi="Times New Roman" w:cs="Times New Roman"/>
        </w:rPr>
      </w:pPr>
    </w:p>
    <w:p w14:paraId="62F60BA8" w14:textId="4AF7336E" w:rsidR="00235E17" w:rsidRPr="004842AA" w:rsidRDefault="00235E17" w:rsidP="004842AA">
      <w:pPr>
        <w:pStyle w:val="ListParagraph"/>
        <w:numPr>
          <w:ilvl w:val="2"/>
          <w:numId w:val="3"/>
        </w:numPr>
        <w:jc w:val="both"/>
        <w:rPr>
          <w:rFonts w:ascii="Times New Roman" w:hAnsi="Times New Roman" w:cs="Times New Roman"/>
          <w:i/>
        </w:rPr>
      </w:pPr>
      <w:r w:rsidRPr="004842AA">
        <w:rPr>
          <w:rFonts w:ascii="Times New Roman" w:hAnsi="Times New Roman" w:cs="Times New Roman"/>
          <w:i/>
        </w:rPr>
        <w:t xml:space="preserve">Dispute Settlement </w:t>
      </w:r>
      <w:r w:rsidR="00D45C84" w:rsidRPr="004842AA">
        <w:rPr>
          <w:rFonts w:ascii="Times New Roman" w:hAnsi="Times New Roman" w:cs="Times New Roman"/>
          <w:i/>
        </w:rPr>
        <w:t>and Enforcement under the Agreement</w:t>
      </w:r>
    </w:p>
    <w:p w14:paraId="142A0C9E" w14:textId="77777777" w:rsidR="00235E17" w:rsidRPr="004842AA" w:rsidRDefault="00235E17" w:rsidP="004842AA">
      <w:pPr>
        <w:jc w:val="both"/>
        <w:rPr>
          <w:rFonts w:ascii="Times New Roman" w:hAnsi="Times New Roman" w:cs="Times New Roman"/>
          <w:b/>
        </w:rPr>
      </w:pPr>
    </w:p>
    <w:p w14:paraId="185F22A2" w14:textId="672BAF80" w:rsidR="00D65EBE" w:rsidRDefault="00F6572F" w:rsidP="004842AA">
      <w:pPr>
        <w:jc w:val="both"/>
        <w:rPr>
          <w:rFonts w:ascii="Times New Roman" w:hAnsi="Times New Roman" w:cs="Times New Roman"/>
        </w:rPr>
      </w:pPr>
      <w:r>
        <w:rPr>
          <w:rFonts w:ascii="Times New Roman" w:hAnsi="Times New Roman" w:cs="Times New Roman"/>
        </w:rPr>
        <w:t>W</w:t>
      </w:r>
      <w:r w:rsidRPr="004842AA">
        <w:rPr>
          <w:rFonts w:ascii="Times New Roman" w:hAnsi="Times New Roman" w:cs="Times New Roman"/>
        </w:rPr>
        <w:t xml:space="preserve">ithout prejudice to the application of Union law pursuant to the </w:t>
      </w:r>
      <w:r w:rsidR="00083E04">
        <w:rPr>
          <w:rFonts w:ascii="Times New Roman" w:hAnsi="Times New Roman" w:cs="Times New Roman"/>
        </w:rPr>
        <w:t>Agreement</w:t>
      </w:r>
      <w:r w:rsidRPr="004842AA">
        <w:rPr>
          <w:rFonts w:ascii="Times New Roman" w:hAnsi="Times New Roman" w:cs="Times New Roman"/>
        </w:rPr>
        <w:t xml:space="preserve">, Article 5 WA provides that the parties shall (in full mutual respect and good faith) assist each other in carrying out </w:t>
      </w:r>
      <w:r w:rsidR="00EF52D5">
        <w:rPr>
          <w:rFonts w:ascii="Times New Roman" w:hAnsi="Times New Roman" w:cs="Times New Roman"/>
        </w:rPr>
        <w:t>the</w:t>
      </w:r>
      <w:r w:rsidRPr="004842AA">
        <w:rPr>
          <w:rFonts w:ascii="Times New Roman" w:hAnsi="Times New Roman" w:cs="Times New Roman"/>
        </w:rPr>
        <w:t xml:space="preserve"> tasks</w:t>
      </w:r>
      <w:r w:rsidR="00EF52D5">
        <w:rPr>
          <w:rFonts w:ascii="Times New Roman" w:hAnsi="Times New Roman" w:cs="Times New Roman"/>
        </w:rPr>
        <w:t xml:space="preserve"> which flow from the Agreement</w:t>
      </w:r>
      <w:r w:rsidRPr="004842AA">
        <w:rPr>
          <w:rFonts w:ascii="Times New Roman" w:hAnsi="Times New Roman" w:cs="Times New Roman"/>
        </w:rPr>
        <w:t xml:space="preserve">; take all appropriate measures (general or particular) to ensure fulfilment of their obligations; and refrain from any measure which could jeopardise attainment of the </w:t>
      </w:r>
      <w:r w:rsidR="00941D38">
        <w:rPr>
          <w:rFonts w:ascii="Times New Roman" w:hAnsi="Times New Roman" w:cs="Times New Roman"/>
        </w:rPr>
        <w:t>Agreement’s</w:t>
      </w:r>
      <w:r w:rsidRPr="004842AA">
        <w:rPr>
          <w:rFonts w:ascii="Times New Roman" w:hAnsi="Times New Roman" w:cs="Times New Roman"/>
        </w:rPr>
        <w:t xml:space="preserve"> objectives.  For those purposes, Article 167 WA states that the parties shall endeavour to agree on the interpretation and application of the </w:t>
      </w:r>
      <w:r w:rsidR="00CB1430">
        <w:rPr>
          <w:rFonts w:ascii="Times New Roman" w:hAnsi="Times New Roman" w:cs="Times New Roman"/>
        </w:rPr>
        <w:t>A</w:t>
      </w:r>
      <w:r w:rsidRPr="004842AA">
        <w:rPr>
          <w:rFonts w:ascii="Times New Roman" w:hAnsi="Times New Roman" w:cs="Times New Roman"/>
        </w:rPr>
        <w:t>greement and make every attempt to arrive at a mutually satisfactory resolution of any matter affecting its operation.  However, in the event that a dispute does arise, the Union and the UK agree to have recourse only to those procedures provided for under the Agreement.</w:t>
      </w:r>
      <w:r w:rsidRPr="004842AA">
        <w:rPr>
          <w:rStyle w:val="FootnoteReference"/>
          <w:rFonts w:ascii="Times New Roman" w:hAnsi="Times New Roman" w:cs="Times New Roman"/>
        </w:rPr>
        <w:footnoteReference w:id="115"/>
      </w:r>
      <w:r w:rsidRPr="004842AA">
        <w:rPr>
          <w:rFonts w:ascii="Times New Roman" w:hAnsi="Times New Roman" w:cs="Times New Roman"/>
        </w:rPr>
        <w:t xml:space="preserve">  </w:t>
      </w:r>
    </w:p>
    <w:p w14:paraId="77B87927" w14:textId="42B74FC4" w:rsidR="00E561B2" w:rsidRDefault="00D65EBE" w:rsidP="00E561B2">
      <w:pPr>
        <w:ind w:firstLine="720"/>
        <w:jc w:val="both"/>
        <w:rPr>
          <w:rFonts w:ascii="Times New Roman" w:hAnsi="Times New Roman" w:cs="Times New Roman"/>
        </w:rPr>
      </w:pPr>
      <w:r>
        <w:rPr>
          <w:rFonts w:ascii="Times New Roman" w:hAnsi="Times New Roman" w:cs="Times New Roman"/>
        </w:rPr>
        <w:t xml:space="preserve">For those purposes, the </w:t>
      </w:r>
      <w:r w:rsidR="00941D38">
        <w:rPr>
          <w:rFonts w:ascii="Times New Roman" w:hAnsi="Times New Roman" w:cs="Times New Roman"/>
        </w:rPr>
        <w:t>Commission</w:t>
      </w:r>
      <w:r w:rsidRPr="004842AA">
        <w:rPr>
          <w:rFonts w:ascii="Times New Roman" w:hAnsi="Times New Roman" w:cs="Times New Roman"/>
        </w:rPr>
        <w:t xml:space="preserve"> </w:t>
      </w:r>
      <w:r w:rsidR="00941D38">
        <w:rPr>
          <w:rFonts w:ascii="Times New Roman" w:hAnsi="Times New Roman" w:cs="Times New Roman"/>
        </w:rPr>
        <w:t>had</w:t>
      </w:r>
      <w:r w:rsidRPr="004842AA">
        <w:rPr>
          <w:rFonts w:ascii="Times New Roman" w:hAnsi="Times New Roman" w:cs="Times New Roman"/>
        </w:rPr>
        <w:t xml:space="preserve"> proposed that the CJEU should act as the primary dispute settlement body under the Agreement as a whole, including as regards the interpretation and application of those provisions applicable </w:t>
      </w:r>
      <w:r>
        <w:rPr>
          <w:rFonts w:ascii="Times New Roman" w:hAnsi="Times New Roman" w:cs="Times New Roman"/>
        </w:rPr>
        <w:t>after expiry of the transition</w:t>
      </w:r>
      <w:r w:rsidRPr="004842AA">
        <w:rPr>
          <w:rFonts w:ascii="Times New Roman" w:hAnsi="Times New Roman" w:cs="Times New Roman"/>
        </w:rPr>
        <w:t xml:space="preserve"> period.</w:t>
      </w:r>
      <w:r w:rsidRPr="004842AA">
        <w:rPr>
          <w:rStyle w:val="FootnoteReference"/>
          <w:rFonts w:ascii="Times New Roman" w:hAnsi="Times New Roman" w:cs="Times New Roman"/>
        </w:rPr>
        <w:footnoteReference w:id="116"/>
      </w:r>
      <w:r w:rsidRPr="004842AA">
        <w:rPr>
          <w:rFonts w:ascii="Times New Roman" w:hAnsi="Times New Roman" w:cs="Times New Roman"/>
        </w:rPr>
        <w:t xml:space="preserve">  The UK objected on the basis that its “red lines” included the UK breaking free of the jurisdiction of the CJEU; but in any case, it would be inappropriate for the court of one party to have jurisdiction over the agreement for both parties.  The UK argued instead for an independent arbitral body to settle post-transition disputes </w:t>
      </w:r>
      <w:r w:rsidRPr="004842AA">
        <w:rPr>
          <w:rFonts w:ascii="Times New Roman" w:hAnsi="Times New Roman" w:cs="Times New Roman"/>
        </w:rPr>
        <w:lastRenderedPageBreak/>
        <w:t xml:space="preserve">arising under the </w:t>
      </w:r>
      <w:r w:rsidR="00083E04">
        <w:rPr>
          <w:rFonts w:ascii="Times New Roman" w:hAnsi="Times New Roman" w:cs="Times New Roman"/>
        </w:rPr>
        <w:t>Agreement</w:t>
      </w:r>
      <w:r w:rsidRPr="004842AA">
        <w:rPr>
          <w:rFonts w:ascii="Times New Roman" w:hAnsi="Times New Roman" w:cs="Times New Roman"/>
        </w:rPr>
        <w:t>.</w:t>
      </w:r>
      <w:r w:rsidRPr="004842AA">
        <w:rPr>
          <w:rStyle w:val="FootnoteReference"/>
          <w:rFonts w:ascii="Times New Roman" w:hAnsi="Times New Roman" w:cs="Times New Roman"/>
        </w:rPr>
        <w:footnoteReference w:id="117"/>
      </w:r>
      <w:r w:rsidRPr="004842AA">
        <w:rPr>
          <w:rFonts w:ascii="Times New Roman" w:hAnsi="Times New Roman" w:cs="Times New Roman"/>
        </w:rPr>
        <w:t xml:space="preserve">  Although the Union was ultimately willing to concede that the CJEU would not act as the sole or even primary forum under the Agreement for the settlement of post-transitional disputes,</w:t>
      </w:r>
      <w:r w:rsidRPr="004842AA">
        <w:rPr>
          <w:rStyle w:val="FootnoteReference"/>
          <w:rFonts w:ascii="Times New Roman" w:hAnsi="Times New Roman" w:cs="Times New Roman"/>
        </w:rPr>
        <w:footnoteReference w:id="118"/>
      </w:r>
      <w:r w:rsidRPr="004842AA">
        <w:rPr>
          <w:rFonts w:ascii="Times New Roman" w:hAnsi="Times New Roman" w:cs="Times New Roman"/>
        </w:rPr>
        <w:t xml:space="preserve"> the Union also had its own red lines – including the non-</w:t>
      </w:r>
      <w:proofErr w:type="spellStart"/>
      <w:r w:rsidRPr="004842AA">
        <w:rPr>
          <w:rFonts w:ascii="Times New Roman" w:hAnsi="Times New Roman" w:cs="Times New Roman"/>
        </w:rPr>
        <w:t>derogable</w:t>
      </w:r>
      <w:proofErr w:type="spellEnd"/>
      <w:r w:rsidRPr="004842AA">
        <w:rPr>
          <w:rFonts w:ascii="Times New Roman" w:hAnsi="Times New Roman" w:cs="Times New Roman"/>
        </w:rPr>
        <w:t xml:space="preserve"> constitutional principle that the CJEU must enjoy final jurisdiction over the interpretation of Union law in any situation where such interpretation would become binding upon the Union institutions.</w:t>
      </w:r>
      <w:r w:rsidRPr="004842AA">
        <w:rPr>
          <w:rStyle w:val="FootnoteReference"/>
          <w:rFonts w:ascii="Times New Roman" w:hAnsi="Times New Roman" w:cs="Times New Roman"/>
        </w:rPr>
        <w:footnoteReference w:id="119"/>
      </w:r>
      <w:r w:rsidRPr="004842AA">
        <w:rPr>
          <w:rFonts w:ascii="Times New Roman" w:hAnsi="Times New Roman" w:cs="Times New Roman"/>
        </w:rPr>
        <w:t xml:space="preserve">  Given the extent to which the Agreement refers to and depends upon Union provisions and concepts, it was therefore imperative that any dedicated dispute settlement body created for the purposes o</w:t>
      </w:r>
      <w:r w:rsidR="00083E04">
        <w:rPr>
          <w:rFonts w:ascii="Times New Roman" w:hAnsi="Times New Roman" w:cs="Times New Roman"/>
        </w:rPr>
        <w:t>f this</w:t>
      </w:r>
      <w:r>
        <w:rPr>
          <w:rFonts w:ascii="Times New Roman" w:hAnsi="Times New Roman" w:cs="Times New Roman"/>
        </w:rPr>
        <w:t xml:space="preserve"> treaty should respect the</w:t>
      </w:r>
      <w:r w:rsidRPr="004842AA">
        <w:rPr>
          <w:rFonts w:ascii="Times New Roman" w:hAnsi="Times New Roman" w:cs="Times New Roman"/>
        </w:rPr>
        <w:t xml:space="preserve"> fundamental requirement to protect the autonomy of Union law, in particular, by creating a preliminary reference mechanism for the delivery of a binding CJEU ruling on the proper interpretation of Union law.</w:t>
      </w:r>
    </w:p>
    <w:p w14:paraId="42FAF7C3" w14:textId="63EB2112" w:rsidR="0069239A" w:rsidRDefault="00D65EBE" w:rsidP="0069239A">
      <w:pPr>
        <w:ind w:firstLine="720"/>
        <w:jc w:val="both"/>
        <w:rPr>
          <w:rFonts w:ascii="Times New Roman" w:hAnsi="Times New Roman" w:cs="Times New Roman"/>
        </w:rPr>
      </w:pPr>
      <w:r>
        <w:rPr>
          <w:rFonts w:ascii="Times New Roman" w:hAnsi="Times New Roman" w:cs="Times New Roman"/>
        </w:rPr>
        <w:t>Thus, in the case of disputes arising after expiry of the transition period, the following system shall apply.</w:t>
      </w:r>
      <w:r w:rsidR="00E561B2">
        <w:rPr>
          <w:rStyle w:val="FootnoteReference"/>
          <w:rFonts w:ascii="Times New Roman" w:hAnsi="Times New Roman" w:cs="Times New Roman"/>
        </w:rPr>
        <w:footnoteReference w:id="120"/>
      </w:r>
      <w:r>
        <w:rPr>
          <w:rFonts w:ascii="Times New Roman" w:hAnsi="Times New Roman" w:cs="Times New Roman"/>
        </w:rPr>
        <w:t xml:space="preserve">  </w:t>
      </w:r>
      <w:r w:rsidR="00553992" w:rsidRPr="004842AA">
        <w:rPr>
          <w:rFonts w:ascii="Times New Roman" w:hAnsi="Times New Roman" w:cs="Times New Roman"/>
        </w:rPr>
        <w:t xml:space="preserve">To begin with, the parties </w:t>
      </w:r>
      <w:r w:rsidR="00235E17" w:rsidRPr="004842AA">
        <w:rPr>
          <w:rFonts w:ascii="Times New Roman" w:hAnsi="Times New Roman" w:cs="Times New Roman"/>
        </w:rPr>
        <w:t xml:space="preserve">shall endeavour to resolve any dispute </w:t>
      </w:r>
      <w:r w:rsidR="00553992" w:rsidRPr="004842AA">
        <w:rPr>
          <w:rFonts w:ascii="Times New Roman" w:hAnsi="Times New Roman" w:cs="Times New Roman"/>
        </w:rPr>
        <w:t xml:space="preserve">through </w:t>
      </w:r>
      <w:r w:rsidR="00235E17" w:rsidRPr="004842AA">
        <w:rPr>
          <w:rFonts w:ascii="Times New Roman" w:hAnsi="Times New Roman" w:cs="Times New Roman"/>
        </w:rPr>
        <w:t>consultation</w:t>
      </w:r>
      <w:r w:rsidR="00553992" w:rsidRPr="004842AA">
        <w:rPr>
          <w:rFonts w:ascii="Times New Roman" w:hAnsi="Times New Roman" w:cs="Times New Roman"/>
        </w:rPr>
        <w:t>s in good faith</w:t>
      </w:r>
      <w:r w:rsidR="00235E17" w:rsidRPr="004842AA">
        <w:rPr>
          <w:rFonts w:ascii="Times New Roman" w:hAnsi="Times New Roman" w:cs="Times New Roman"/>
        </w:rPr>
        <w:t xml:space="preserve"> </w:t>
      </w:r>
      <w:r w:rsidR="00553992" w:rsidRPr="004842AA">
        <w:rPr>
          <w:rFonts w:ascii="Times New Roman" w:hAnsi="Times New Roman" w:cs="Times New Roman"/>
        </w:rPr>
        <w:t xml:space="preserve">within the Joint Committee in an attempt to </w:t>
      </w:r>
      <w:r w:rsidR="00235E17" w:rsidRPr="004842AA">
        <w:rPr>
          <w:rFonts w:ascii="Times New Roman" w:hAnsi="Times New Roman" w:cs="Times New Roman"/>
        </w:rPr>
        <w:t>reach</w:t>
      </w:r>
      <w:r w:rsidR="00553992" w:rsidRPr="004842AA">
        <w:rPr>
          <w:rFonts w:ascii="Times New Roman" w:hAnsi="Times New Roman" w:cs="Times New Roman"/>
        </w:rPr>
        <w:t xml:space="preserve"> a</w:t>
      </w:r>
      <w:r w:rsidR="00235E17" w:rsidRPr="004842AA">
        <w:rPr>
          <w:rFonts w:ascii="Times New Roman" w:hAnsi="Times New Roman" w:cs="Times New Roman"/>
        </w:rPr>
        <w:t xml:space="preserve"> mutually agreed solution.</w:t>
      </w:r>
      <w:r w:rsidR="00553992" w:rsidRPr="004842AA">
        <w:rPr>
          <w:rStyle w:val="FootnoteReference"/>
          <w:rFonts w:ascii="Times New Roman" w:hAnsi="Times New Roman" w:cs="Times New Roman"/>
        </w:rPr>
        <w:footnoteReference w:id="121"/>
      </w:r>
      <w:r w:rsidR="00553992" w:rsidRPr="004842AA">
        <w:rPr>
          <w:rFonts w:ascii="Times New Roman" w:hAnsi="Times New Roman" w:cs="Times New Roman"/>
        </w:rPr>
        <w:t xml:space="preserve">  If </w:t>
      </w:r>
      <w:proofErr w:type="gramStart"/>
      <w:r w:rsidR="00553992" w:rsidRPr="004842AA">
        <w:rPr>
          <w:rFonts w:ascii="Times New Roman" w:hAnsi="Times New Roman" w:cs="Times New Roman"/>
        </w:rPr>
        <w:t xml:space="preserve">no such </w:t>
      </w:r>
      <w:r w:rsidR="00235E17" w:rsidRPr="004842AA">
        <w:rPr>
          <w:rFonts w:ascii="Times New Roman" w:hAnsi="Times New Roman" w:cs="Times New Roman"/>
        </w:rPr>
        <w:t xml:space="preserve">solution has been reached </w:t>
      </w:r>
      <w:r w:rsidR="00553992" w:rsidRPr="004842AA">
        <w:rPr>
          <w:rFonts w:ascii="Times New Roman" w:hAnsi="Times New Roman" w:cs="Times New Roman"/>
        </w:rPr>
        <w:t>by the Joint Committee</w:t>
      </w:r>
      <w:proofErr w:type="gramEnd"/>
      <w:r w:rsidR="00553992" w:rsidRPr="004842AA">
        <w:rPr>
          <w:rFonts w:ascii="Times New Roman" w:hAnsi="Times New Roman" w:cs="Times New Roman"/>
        </w:rPr>
        <w:t xml:space="preserve"> </w:t>
      </w:r>
      <w:r w:rsidR="00235E17" w:rsidRPr="004842AA">
        <w:rPr>
          <w:rFonts w:ascii="Times New Roman" w:hAnsi="Times New Roman" w:cs="Times New Roman"/>
        </w:rPr>
        <w:t xml:space="preserve">within 3 months, </w:t>
      </w:r>
      <w:r w:rsidR="00553992" w:rsidRPr="004842AA">
        <w:rPr>
          <w:rFonts w:ascii="Times New Roman" w:hAnsi="Times New Roman" w:cs="Times New Roman"/>
        </w:rPr>
        <w:t xml:space="preserve">either party may </w:t>
      </w:r>
      <w:r w:rsidR="00235E17" w:rsidRPr="004842AA">
        <w:rPr>
          <w:rFonts w:ascii="Times New Roman" w:hAnsi="Times New Roman" w:cs="Times New Roman"/>
        </w:rPr>
        <w:t xml:space="preserve">request </w:t>
      </w:r>
      <w:r w:rsidR="00553992" w:rsidRPr="004842AA">
        <w:rPr>
          <w:rFonts w:ascii="Times New Roman" w:hAnsi="Times New Roman" w:cs="Times New Roman"/>
        </w:rPr>
        <w:t xml:space="preserve">the </w:t>
      </w:r>
      <w:r w:rsidR="00235E17" w:rsidRPr="004842AA">
        <w:rPr>
          <w:rFonts w:ascii="Times New Roman" w:hAnsi="Times New Roman" w:cs="Times New Roman"/>
        </w:rPr>
        <w:t xml:space="preserve">establishment of </w:t>
      </w:r>
      <w:r w:rsidR="00553992" w:rsidRPr="004842AA">
        <w:rPr>
          <w:rFonts w:ascii="Times New Roman" w:hAnsi="Times New Roman" w:cs="Times New Roman"/>
        </w:rPr>
        <w:t xml:space="preserve">an </w:t>
      </w:r>
      <w:r w:rsidR="00235E17" w:rsidRPr="004842AA">
        <w:rPr>
          <w:rFonts w:ascii="Times New Roman" w:hAnsi="Times New Roman" w:cs="Times New Roman"/>
        </w:rPr>
        <w:t>arbitration panel (</w:t>
      </w:r>
      <w:r w:rsidR="00553992" w:rsidRPr="004842AA">
        <w:rPr>
          <w:rFonts w:ascii="Times New Roman" w:hAnsi="Times New Roman" w:cs="Times New Roman"/>
        </w:rPr>
        <w:t xml:space="preserve">or </w:t>
      </w:r>
      <w:r w:rsidR="00235E17" w:rsidRPr="004842AA">
        <w:rPr>
          <w:rFonts w:ascii="Times New Roman" w:hAnsi="Times New Roman" w:cs="Times New Roman"/>
        </w:rPr>
        <w:t>sooner</w:t>
      </w:r>
      <w:r w:rsidR="00553992" w:rsidRPr="004842AA">
        <w:rPr>
          <w:rFonts w:ascii="Times New Roman" w:hAnsi="Times New Roman" w:cs="Times New Roman"/>
        </w:rPr>
        <w:t>,</w:t>
      </w:r>
      <w:r w:rsidR="00235E17" w:rsidRPr="004842AA">
        <w:rPr>
          <w:rFonts w:ascii="Times New Roman" w:hAnsi="Times New Roman" w:cs="Times New Roman"/>
        </w:rPr>
        <w:t xml:space="preserve"> by mutual agreement).</w:t>
      </w:r>
      <w:r w:rsidR="00553992" w:rsidRPr="004842AA">
        <w:rPr>
          <w:rStyle w:val="FootnoteReference"/>
          <w:rFonts w:ascii="Times New Roman" w:hAnsi="Times New Roman" w:cs="Times New Roman"/>
        </w:rPr>
        <w:footnoteReference w:id="122"/>
      </w:r>
      <w:r w:rsidR="00553992" w:rsidRPr="004842AA">
        <w:rPr>
          <w:rFonts w:ascii="Times New Roman" w:hAnsi="Times New Roman" w:cs="Times New Roman"/>
        </w:rPr>
        <w:t xml:space="preserve">  The Agreement contains detailed rules on the </w:t>
      </w:r>
      <w:r w:rsidR="00235E17" w:rsidRPr="004842AA">
        <w:rPr>
          <w:rFonts w:ascii="Times New Roman" w:hAnsi="Times New Roman" w:cs="Times New Roman"/>
        </w:rPr>
        <w:t xml:space="preserve">establishment and composition of </w:t>
      </w:r>
      <w:r w:rsidR="00553992" w:rsidRPr="004842AA">
        <w:rPr>
          <w:rFonts w:ascii="Times New Roman" w:hAnsi="Times New Roman" w:cs="Times New Roman"/>
        </w:rPr>
        <w:t xml:space="preserve">an arbitration panel </w:t>
      </w:r>
      <w:r w:rsidR="00F52311">
        <w:rPr>
          <w:rFonts w:ascii="Times New Roman" w:hAnsi="Times New Roman" w:cs="Times New Roman"/>
        </w:rPr>
        <w:t>as</w:t>
      </w:r>
      <w:r w:rsidR="00553992" w:rsidRPr="004842AA">
        <w:rPr>
          <w:rFonts w:ascii="Times New Roman" w:hAnsi="Times New Roman" w:cs="Times New Roman"/>
        </w:rPr>
        <w:t xml:space="preserve"> well as the </w:t>
      </w:r>
      <w:r w:rsidR="00235E17" w:rsidRPr="004842AA">
        <w:rPr>
          <w:rFonts w:ascii="Times New Roman" w:hAnsi="Times New Roman" w:cs="Times New Roman"/>
        </w:rPr>
        <w:t xml:space="preserve">procedure and </w:t>
      </w:r>
      <w:proofErr w:type="gramStart"/>
      <w:r w:rsidR="00235E17" w:rsidRPr="004842AA">
        <w:rPr>
          <w:rFonts w:ascii="Times New Roman" w:hAnsi="Times New Roman" w:cs="Times New Roman"/>
        </w:rPr>
        <w:t>time</w:t>
      </w:r>
      <w:r w:rsidR="00553992" w:rsidRPr="004842AA">
        <w:rPr>
          <w:rFonts w:ascii="Times New Roman" w:hAnsi="Times New Roman" w:cs="Times New Roman"/>
        </w:rPr>
        <w:t>-</w:t>
      </w:r>
      <w:r w:rsidR="00235E17" w:rsidRPr="004842AA">
        <w:rPr>
          <w:rFonts w:ascii="Times New Roman" w:hAnsi="Times New Roman" w:cs="Times New Roman"/>
        </w:rPr>
        <w:t>frames</w:t>
      </w:r>
      <w:proofErr w:type="gramEnd"/>
      <w:r w:rsidR="00235E17" w:rsidRPr="004842AA">
        <w:rPr>
          <w:rFonts w:ascii="Times New Roman" w:hAnsi="Times New Roman" w:cs="Times New Roman"/>
        </w:rPr>
        <w:t xml:space="preserve"> for </w:t>
      </w:r>
      <w:r w:rsidR="00553992" w:rsidRPr="004842AA">
        <w:rPr>
          <w:rFonts w:ascii="Times New Roman" w:hAnsi="Times New Roman" w:cs="Times New Roman"/>
        </w:rPr>
        <w:t>its proceedings</w:t>
      </w:r>
      <w:r w:rsidR="00235E17" w:rsidRPr="004842AA">
        <w:rPr>
          <w:rFonts w:ascii="Times New Roman" w:hAnsi="Times New Roman" w:cs="Times New Roman"/>
        </w:rPr>
        <w:t>.</w:t>
      </w:r>
      <w:r w:rsidR="00553992" w:rsidRPr="004842AA">
        <w:rPr>
          <w:rStyle w:val="FootnoteReference"/>
          <w:rFonts w:ascii="Times New Roman" w:hAnsi="Times New Roman" w:cs="Times New Roman"/>
        </w:rPr>
        <w:footnoteReference w:id="123"/>
      </w:r>
      <w:r w:rsidR="00235E17" w:rsidRPr="004842AA">
        <w:rPr>
          <w:rFonts w:ascii="Times New Roman" w:hAnsi="Times New Roman" w:cs="Times New Roman"/>
        </w:rPr>
        <w:t xml:space="preserve">  </w:t>
      </w:r>
      <w:r w:rsidR="00553992" w:rsidRPr="004842AA">
        <w:rPr>
          <w:rFonts w:ascii="Times New Roman" w:hAnsi="Times New Roman" w:cs="Times New Roman"/>
        </w:rPr>
        <w:t xml:space="preserve">However, under </w:t>
      </w:r>
      <w:r w:rsidR="00235E17" w:rsidRPr="004842AA">
        <w:rPr>
          <w:rFonts w:ascii="Times New Roman" w:hAnsi="Times New Roman" w:cs="Times New Roman"/>
        </w:rPr>
        <w:t>Article 174</w:t>
      </w:r>
      <w:r w:rsidR="00553992" w:rsidRPr="004842AA">
        <w:rPr>
          <w:rFonts w:ascii="Times New Roman" w:hAnsi="Times New Roman" w:cs="Times New Roman"/>
        </w:rPr>
        <w:t xml:space="preserve"> WA, where a d</w:t>
      </w:r>
      <w:r w:rsidR="00235E17" w:rsidRPr="004842AA">
        <w:rPr>
          <w:rFonts w:ascii="Times New Roman" w:hAnsi="Times New Roman" w:cs="Times New Roman"/>
        </w:rPr>
        <w:t xml:space="preserve">ispute submitted for arbitration raises </w:t>
      </w:r>
      <w:r w:rsidR="00553992" w:rsidRPr="004842AA">
        <w:rPr>
          <w:rFonts w:ascii="Times New Roman" w:hAnsi="Times New Roman" w:cs="Times New Roman"/>
        </w:rPr>
        <w:t xml:space="preserve">a </w:t>
      </w:r>
      <w:r w:rsidR="00235E17" w:rsidRPr="004842AA">
        <w:rPr>
          <w:rFonts w:ascii="Times New Roman" w:hAnsi="Times New Roman" w:cs="Times New Roman"/>
        </w:rPr>
        <w:t xml:space="preserve">question </w:t>
      </w:r>
      <w:r w:rsidR="00553992" w:rsidRPr="004842AA">
        <w:rPr>
          <w:rFonts w:ascii="Times New Roman" w:hAnsi="Times New Roman" w:cs="Times New Roman"/>
        </w:rPr>
        <w:t xml:space="preserve">about the </w:t>
      </w:r>
      <w:r w:rsidR="00235E17" w:rsidRPr="004842AA">
        <w:rPr>
          <w:rFonts w:ascii="Times New Roman" w:hAnsi="Times New Roman" w:cs="Times New Roman"/>
        </w:rPr>
        <w:t xml:space="preserve">interpretation of Union </w:t>
      </w:r>
      <w:r w:rsidR="00553992" w:rsidRPr="004842AA">
        <w:rPr>
          <w:rFonts w:ascii="Times New Roman" w:hAnsi="Times New Roman" w:cs="Times New Roman"/>
        </w:rPr>
        <w:t xml:space="preserve">law concepts or </w:t>
      </w:r>
      <w:r w:rsidR="00235E17" w:rsidRPr="004842AA">
        <w:rPr>
          <w:rFonts w:ascii="Times New Roman" w:hAnsi="Times New Roman" w:cs="Times New Roman"/>
        </w:rPr>
        <w:t>Union law provision</w:t>
      </w:r>
      <w:r w:rsidR="00553992" w:rsidRPr="004842AA">
        <w:rPr>
          <w:rFonts w:ascii="Times New Roman" w:hAnsi="Times New Roman" w:cs="Times New Roman"/>
        </w:rPr>
        <w:t>s as</w:t>
      </w:r>
      <w:r w:rsidR="00235E17" w:rsidRPr="004842AA">
        <w:rPr>
          <w:rFonts w:ascii="Times New Roman" w:hAnsi="Times New Roman" w:cs="Times New Roman"/>
        </w:rPr>
        <w:t xml:space="preserve"> referred to in </w:t>
      </w:r>
      <w:r w:rsidR="00553992" w:rsidRPr="004842AA">
        <w:rPr>
          <w:rFonts w:ascii="Times New Roman" w:hAnsi="Times New Roman" w:cs="Times New Roman"/>
        </w:rPr>
        <w:t xml:space="preserve">the </w:t>
      </w:r>
      <w:r w:rsidR="00083E04">
        <w:rPr>
          <w:rFonts w:ascii="Times New Roman" w:hAnsi="Times New Roman" w:cs="Times New Roman"/>
        </w:rPr>
        <w:t>Agreement</w:t>
      </w:r>
      <w:r w:rsidR="00235E17" w:rsidRPr="004842AA">
        <w:rPr>
          <w:rFonts w:ascii="Times New Roman" w:hAnsi="Times New Roman" w:cs="Times New Roman"/>
        </w:rPr>
        <w:t>,</w:t>
      </w:r>
      <w:r w:rsidR="00492FCB" w:rsidRPr="004842AA">
        <w:rPr>
          <w:rStyle w:val="FootnoteReference"/>
          <w:rFonts w:ascii="Times New Roman" w:hAnsi="Times New Roman" w:cs="Times New Roman"/>
        </w:rPr>
        <w:footnoteReference w:id="124"/>
      </w:r>
      <w:r w:rsidR="00235E17" w:rsidRPr="004842AA">
        <w:rPr>
          <w:rFonts w:ascii="Times New Roman" w:hAnsi="Times New Roman" w:cs="Times New Roman"/>
        </w:rPr>
        <w:t xml:space="preserve"> </w:t>
      </w:r>
      <w:r w:rsidR="00553992" w:rsidRPr="004842AA">
        <w:rPr>
          <w:rFonts w:ascii="Times New Roman" w:hAnsi="Times New Roman" w:cs="Times New Roman"/>
        </w:rPr>
        <w:t xml:space="preserve">the arbitration panel </w:t>
      </w:r>
      <w:r w:rsidR="00235E17" w:rsidRPr="004842AA">
        <w:rPr>
          <w:rFonts w:ascii="Times New Roman" w:hAnsi="Times New Roman" w:cs="Times New Roman"/>
        </w:rPr>
        <w:t xml:space="preserve">must request </w:t>
      </w:r>
      <w:r w:rsidR="00553992" w:rsidRPr="004842AA">
        <w:rPr>
          <w:rFonts w:ascii="Times New Roman" w:hAnsi="Times New Roman" w:cs="Times New Roman"/>
        </w:rPr>
        <w:t xml:space="preserve">the </w:t>
      </w:r>
      <w:r w:rsidR="00235E17" w:rsidRPr="004842AA">
        <w:rPr>
          <w:rFonts w:ascii="Times New Roman" w:hAnsi="Times New Roman" w:cs="Times New Roman"/>
        </w:rPr>
        <w:t xml:space="preserve">CJEU to give </w:t>
      </w:r>
      <w:r w:rsidR="00553992" w:rsidRPr="004842AA">
        <w:rPr>
          <w:rFonts w:ascii="Times New Roman" w:hAnsi="Times New Roman" w:cs="Times New Roman"/>
        </w:rPr>
        <w:t xml:space="preserve">a </w:t>
      </w:r>
      <w:r w:rsidR="00235E17" w:rsidRPr="004842AA">
        <w:rPr>
          <w:rFonts w:ascii="Times New Roman" w:hAnsi="Times New Roman" w:cs="Times New Roman"/>
        </w:rPr>
        <w:t xml:space="preserve">ruling on </w:t>
      </w:r>
      <w:r w:rsidR="00553992" w:rsidRPr="004842AA">
        <w:rPr>
          <w:rFonts w:ascii="Times New Roman" w:hAnsi="Times New Roman" w:cs="Times New Roman"/>
        </w:rPr>
        <w:t xml:space="preserve">that </w:t>
      </w:r>
      <w:r w:rsidR="00235E17" w:rsidRPr="004842AA">
        <w:rPr>
          <w:rFonts w:ascii="Times New Roman" w:hAnsi="Times New Roman" w:cs="Times New Roman"/>
        </w:rPr>
        <w:t>question</w:t>
      </w:r>
      <w:r w:rsidR="00553992" w:rsidRPr="004842AA">
        <w:rPr>
          <w:rFonts w:ascii="Times New Roman" w:hAnsi="Times New Roman" w:cs="Times New Roman"/>
        </w:rPr>
        <w:t xml:space="preserve"> – for which purpose, the </w:t>
      </w:r>
      <w:r w:rsidR="00235E17" w:rsidRPr="004842AA">
        <w:rPr>
          <w:rFonts w:ascii="Times New Roman" w:hAnsi="Times New Roman" w:cs="Times New Roman"/>
        </w:rPr>
        <w:t>CJEU shall have jurisdiction</w:t>
      </w:r>
      <w:r w:rsidR="00553992" w:rsidRPr="004842AA">
        <w:rPr>
          <w:rFonts w:ascii="Times New Roman" w:hAnsi="Times New Roman" w:cs="Times New Roman"/>
        </w:rPr>
        <w:t xml:space="preserve"> and its </w:t>
      </w:r>
      <w:r w:rsidR="00235E17" w:rsidRPr="004842AA">
        <w:rPr>
          <w:rFonts w:ascii="Times New Roman" w:hAnsi="Times New Roman" w:cs="Times New Roman"/>
        </w:rPr>
        <w:t xml:space="preserve">ruling shall be binding on </w:t>
      </w:r>
      <w:r w:rsidR="00553992" w:rsidRPr="004842AA">
        <w:rPr>
          <w:rFonts w:ascii="Times New Roman" w:hAnsi="Times New Roman" w:cs="Times New Roman"/>
        </w:rPr>
        <w:t>the referring panel</w:t>
      </w:r>
      <w:r w:rsidR="00235E17" w:rsidRPr="004842AA">
        <w:rPr>
          <w:rFonts w:ascii="Times New Roman" w:hAnsi="Times New Roman" w:cs="Times New Roman"/>
        </w:rPr>
        <w:t>.</w:t>
      </w:r>
      <w:r w:rsidR="00553992" w:rsidRPr="004842AA">
        <w:rPr>
          <w:rStyle w:val="FootnoteReference"/>
          <w:rFonts w:ascii="Times New Roman" w:hAnsi="Times New Roman" w:cs="Times New Roman"/>
        </w:rPr>
        <w:footnoteReference w:id="125"/>
      </w:r>
      <w:r w:rsidR="00235E17" w:rsidRPr="004842AA">
        <w:rPr>
          <w:rFonts w:ascii="Times New Roman" w:hAnsi="Times New Roman" w:cs="Times New Roman"/>
        </w:rPr>
        <w:t xml:space="preserve">    </w:t>
      </w:r>
    </w:p>
    <w:p w14:paraId="5F5B494A" w14:textId="4BA59D29" w:rsidR="00A77680" w:rsidRDefault="00D45C84" w:rsidP="0069239A">
      <w:pPr>
        <w:ind w:firstLine="720"/>
        <w:jc w:val="both"/>
        <w:rPr>
          <w:rFonts w:ascii="Times New Roman" w:hAnsi="Times New Roman" w:cs="Times New Roman"/>
        </w:rPr>
      </w:pPr>
      <w:r w:rsidRPr="004842AA">
        <w:rPr>
          <w:rFonts w:ascii="Times New Roman" w:hAnsi="Times New Roman" w:cs="Times New Roman"/>
        </w:rPr>
        <w:t xml:space="preserve">Otherwise, </w:t>
      </w:r>
      <w:r w:rsidR="00235E17" w:rsidRPr="004842AA">
        <w:rPr>
          <w:rFonts w:ascii="Times New Roman" w:hAnsi="Times New Roman" w:cs="Times New Roman"/>
        </w:rPr>
        <w:t>Article 175</w:t>
      </w:r>
      <w:r w:rsidR="00492FCB" w:rsidRPr="004842AA">
        <w:rPr>
          <w:rFonts w:ascii="Times New Roman" w:hAnsi="Times New Roman" w:cs="Times New Roman"/>
        </w:rPr>
        <w:t xml:space="preserve"> WA provides that an arbitration panel </w:t>
      </w:r>
      <w:r w:rsidR="00235E17" w:rsidRPr="004842AA">
        <w:rPr>
          <w:rFonts w:ascii="Times New Roman" w:hAnsi="Times New Roman" w:cs="Times New Roman"/>
        </w:rPr>
        <w:t xml:space="preserve">ruling shall be binding on </w:t>
      </w:r>
      <w:r w:rsidR="00492FCB" w:rsidRPr="004842AA">
        <w:rPr>
          <w:rFonts w:ascii="Times New Roman" w:hAnsi="Times New Roman" w:cs="Times New Roman"/>
        </w:rPr>
        <w:t>the parties,</w:t>
      </w:r>
      <w:r w:rsidR="00E22C62" w:rsidRPr="004842AA">
        <w:rPr>
          <w:rStyle w:val="FootnoteReference"/>
          <w:rFonts w:ascii="Times New Roman" w:hAnsi="Times New Roman" w:cs="Times New Roman"/>
        </w:rPr>
        <w:footnoteReference w:id="126"/>
      </w:r>
      <w:r w:rsidR="00492FCB" w:rsidRPr="004842AA">
        <w:rPr>
          <w:rFonts w:ascii="Times New Roman" w:hAnsi="Times New Roman" w:cs="Times New Roman"/>
        </w:rPr>
        <w:t xml:space="preserve"> which must adopt </w:t>
      </w:r>
      <w:r w:rsidR="00235E17" w:rsidRPr="004842AA">
        <w:rPr>
          <w:rFonts w:ascii="Times New Roman" w:hAnsi="Times New Roman" w:cs="Times New Roman"/>
        </w:rPr>
        <w:t>any measures necessary to comply in good faith</w:t>
      </w:r>
      <w:r w:rsidR="00492FCB" w:rsidRPr="004842AA">
        <w:rPr>
          <w:rFonts w:ascii="Times New Roman" w:hAnsi="Times New Roman" w:cs="Times New Roman"/>
        </w:rPr>
        <w:t>, within an agreed and reasonable period of time</w:t>
      </w:r>
      <w:r w:rsidR="00235E17" w:rsidRPr="004842AA">
        <w:rPr>
          <w:rFonts w:ascii="Times New Roman" w:hAnsi="Times New Roman" w:cs="Times New Roman"/>
        </w:rPr>
        <w:t>.</w:t>
      </w:r>
      <w:r w:rsidR="00492FCB" w:rsidRPr="004842AA">
        <w:rPr>
          <w:rStyle w:val="FootnoteReference"/>
          <w:rFonts w:ascii="Times New Roman" w:hAnsi="Times New Roman" w:cs="Times New Roman"/>
        </w:rPr>
        <w:footnoteReference w:id="127"/>
      </w:r>
      <w:r w:rsidR="00492FCB" w:rsidRPr="004842AA">
        <w:rPr>
          <w:rFonts w:ascii="Times New Roman" w:hAnsi="Times New Roman" w:cs="Times New Roman"/>
        </w:rPr>
        <w:t xml:space="preserve">  If at the end of that period, the complainant considers that the respondent has failed to comply, it may request another arbitration panel ruling (again subject to oversight </w:t>
      </w:r>
      <w:r w:rsidR="00A77680">
        <w:rPr>
          <w:rFonts w:ascii="Times New Roman" w:hAnsi="Times New Roman" w:cs="Times New Roman"/>
        </w:rPr>
        <w:t xml:space="preserve">by </w:t>
      </w:r>
      <w:r w:rsidR="00492FCB" w:rsidRPr="004842AA">
        <w:rPr>
          <w:rFonts w:ascii="Times New Roman" w:hAnsi="Times New Roman" w:cs="Times New Roman"/>
        </w:rPr>
        <w:t xml:space="preserve">the CJEU as regards the binding </w:t>
      </w:r>
      <w:r w:rsidR="00492FCB" w:rsidRPr="004842AA">
        <w:rPr>
          <w:rFonts w:ascii="Times New Roman" w:hAnsi="Times New Roman" w:cs="Times New Roman"/>
        </w:rPr>
        <w:lastRenderedPageBreak/>
        <w:t>interpretation of relevant Union law);</w:t>
      </w:r>
      <w:r w:rsidR="00492FCB" w:rsidRPr="004842AA">
        <w:rPr>
          <w:rStyle w:val="FootnoteReference"/>
          <w:rFonts w:ascii="Times New Roman" w:hAnsi="Times New Roman" w:cs="Times New Roman"/>
        </w:rPr>
        <w:footnoteReference w:id="128"/>
      </w:r>
      <w:r w:rsidR="00492FCB" w:rsidRPr="004842AA">
        <w:rPr>
          <w:rFonts w:ascii="Times New Roman" w:hAnsi="Times New Roman" w:cs="Times New Roman"/>
        </w:rPr>
        <w:t xml:space="preserve"> </w:t>
      </w:r>
      <w:r w:rsidR="007B4459" w:rsidRPr="004842AA">
        <w:rPr>
          <w:rFonts w:ascii="Times New Roman" w:hAnsi="Times New Roman" w:cs="Times New Roman"/>
        </w:rPr>
        <w:t xml:space="preserve">and may further request the imposition of </w:t>
      </w:r>
      <w:r w:rsidR="00492FCB" w:rsidRPr="004842AA">
        <w:rPr>
          <w:rFonts w:ascii="Times New Roman" w:hAnsi="Times New Roman" w:cs="Times New Roman"/>
        </w:rPr>
        <w:t xml:space="preserve">a </w:t>
      </w:r>
      <w:r w:rsidR="00235E17" w:rsidRPr="004842AA">
        <w:rPr>
          <w:rFonts w:ascii="Times New Roman" w:hAnsi="Times New Roman" w:cs="Times New Roman"/>
        </w:rPr>
        <w:t>lump sum or penalty payment.</w:t>
      </w:r>
      <w:r w:rsidR="00492FCB" w:rsidRPr="004842AA">
        <w:rPr>
          <w:rStyle w:val="FootnoteReference"/>
          <w:rFonts w:ascii="Times New Roman" w:hAnsi="Times New Roman" w:cs="Times New Roman"/>
        </w:rPr>
        <w:footnoteReference w:id="129"/>
      </w:r>
      <w:r w:rsidR="00235E17" w:rsidRPr="004842AA">
        <w:rPr>
          <w:rFonts w:ascii="Times New Roman" w:hAnsi="Times New Roman" w:cs="Times New Roman"/>
        </w:rPr>
        <w:t xml:space="preserve">  </w:t>
      </w:r>
      <w:r w:rsidR="00492FCB" w:rsidRPr="004842AA">
        <w:rPr>
          <w:rFonts w:ascii="Times New Roman" w:hAnsi="Times New Roman" w:cs="Times New Roman"/>
        </w:rPr>
        <w:t xml:space="preserve">The respondent’s further non-compliance – either with the original arbitration ruling or with </w:t>
      </w:r>
      <w:r w:rsidR="007B4459" w:rsidRPr="004842AA">
        <w:rPr>
          <w:rFonts w:ascii="Times New Roman" w:hAnsi="Times New Roman" w:cs="Times New Roman"/>
        </w:rPr>
        <w:t xml:space="preserve">an </w:t>
      </w:r>
      <w:r w:rsidR="00492FCB" w:rsidRPr="004842AA">
        <w:rPr>
          <w:rFonts w:ascii="Times New Roman" w:hAnsi="Times New Roman" w:cs="Times New Roman"/>
        </w:rPr>
        <w:t xml:space="preserve">order to make financial settlement – will entitle the complainant to </w:t>
      </w:r>
      <w:r w:rsidR="00235E17" w:rsidRPr="004842AA">
        <w:rPr>
          <w:rFonts w:ascii="Times New Roman" w:hAnsi="Times New Roman" w:cs="Times New Roman"/>
        </w:rPr>
        <w:t xml:space="preserve">suspend </w:t>
      </w:r>
      <w:r w:rsidR="007B4459" w:rsidRPr="004842AA">
        <w:rPr>
          <w:rFonts w:ascii="Times New Roman" w:hAnsi="Times New Roman" w:cs="Times New Roman"/>
        </w:rPr>
        <w:t xml:space="preserve">rights and </w:t>
      </w:r>
      <w:r w:rsidR="00235E17" w:rsidRPr="004842AA">
        <w:rPr>
          <w:rFonts w:ascii="Times New Roman" w:hAnsi="Times New Roman" w:cs="Times New Roman"/>
        </w:rPr>
        <w:t xml:space="preserve">obligations </w:t>
      </w:r>
      <w:r w:rsidR="007B4459" w:rsidRPr="004842AA">
        <w:rPr>
          <w:rFonts w:ascii="Times New Roman" w:hAnsi="Times New Roman" w:cs="Times New Roman"/>
        </w:rPr>
        <w:t xml:space="preserve">under </w:t>
      </w:r>
      <w:r w:rsidR="00492FCB" w:rsidRPr="004842AA">
        <w:rPr>
          <w:rFonts w:ascii="Times New Roman" w:hAnsi="Times New Roman" w:cs="Times New Roman"/>
        </w:rPr>
        <w:t xml:space="preserve">the Agreement </w:t>
      </w:r>
      <w:r w:rsidR="00235E17" w:rsidRPr="004842AA">
        <w:rPr>
          <w:rFonts w:ascii="Times New Roman" w:hAnsi="Times New Roman" w:cs="Times New Roman"/>
        </w:rPr>
        <w:t xml:space="preserve">(apart from </w:t>
      </w:r>
      <w:r w:rsidR="00492FCB" w:rsidRPr="004842AA">
        <w:rPr>
          <w:rFonts w:ascii="Times New Roman" w:hAnsi="Times New Roman" w:cs="Times New Roman"/>
        </w:rPr>
        <w:t xml:space="preserve">those contained in </w:t>
      </w:r>
      <w:r w:rsidR="00235E17" w:rsidRPr="004842AA">
        <w:rPr>
          <w:rFonts w:ascii="Times New Roman" w:hAnsi="Times New Roman" w:cs="Times New Roman"/>
        </w:rPr>
        <w:t xml:space="preserve">Part </w:t>
      </w:r>
      <w:r w:rsidR="00A77680">
        <w:rPr>
          <w:rFonts w:ascii="Times New Roman" w:hAnsi="Times New Roman" w:cs="Times New Roman"/>
        </w:rPr>
        <w:t>Two</w:t>
      </w:r>
      <w:r w:rsidR="00941D38">
        <w:rPr>
          <w:rFonts w:ascii="Times New Roman" w:hAnsi="Times New Roman" w:cs="Times New Roman"/>
        </w:rPr>
        <w:t xml:space="preserve"> on citizens’ r</w:t>
      </w:r>
      <w:r w:rsidR="00492FCB" w:rsidRPr="004842AA">
        <w:rPr>
          <w:rFonts w:ascii="Times New Roman" w:hAnsi="Times New Roman" w:cs="Times New Roman"/>
        </w:rPr>
        <w:t>ights</w:t>
      </w:r>
      <w:r w:rsidR="00235E17" w:rsidRPr="004842AA">
        <w:rPr>
          <w:rFonts w:ascii="Times New Roman" w:hAnsi="Times New Roman" w:cs="Times New Roman"/>
        </w:rPr>
        <w:t xml:space="preserve">) or </w:t>
      </w:r>
      <w:r w:rsidR="00492FCB" w:rsidRPr="004842AA">
        <w:rPr>
          <w:rFonts w:ascii="Times New Roman" w:hAnsi="Times New Roman" w:cs="Times New Roman"/>
        </w:rPr>
        <w:t xml:space="preserve">under </w:t>
      </w:r>
      <w:r w:rsidR="00235E17" w:rsidRPr="004842AA">
        <w:rPr>
          <w:rFonts w:ascii="Times New Roman" w:hAnsi="Times New Roman" w:cs="Times New Roman"/>
        </w:rPr>
        <w:t xml:space="preserve">any other agreement between </w:t>
      </w:r>
      <w:r w:rsidR="00492FCB" w:rsidRPr="004842AA">
        <w:rPr>
          <w:rFonts w:ascii="Times New Roman" w:hAnsi="Times New Roman" w:cs="Times New Roman"/>
        </w:rPr>
        <w:t xml:space="preserve">the </w:t>
      </w:r>
      <w:r w:rsidR="00235E17" w:rsidRPr="004842AA">
        <w:rPr>
          <w:rFonts w:ascii="Times New Roman" w:hAnsi="Times New Roman" w:cs="Times New Roman"/>
        </w:rPr>
        <w:t xml:space="preserve">Union and </w:t>
      </w:r>
      <w:r w:rsidR="00492FCB" w:rsidRPr="004842AA">
        <w:rPr>
          <w:rFonts w:ascii="Times New Roman" w:hAnsi="Times New Roman" w:cs="Times New Roman"/>
        </w:rPr>
        <w:t xml:space="preserve">the </w:t>
      </w:r>
      <w:r w:rsidR="00235E17" w:rsidRPr="004842AA">
        <w:rPr>
          <w:rFonts w:ascii="Times New Roman" w:hAnsi="Times New Roman" w:cs="Times New Roman"/>
        </w:rPr>
        <w:t xml:space="preserve">UK (under </w:t>
      </w:r>
      <w:r w:rsidR="00492FCB" w:rsidRPr="004842AA">
        <w:rPr>
          <w:rFonts w:ascii="Times New Roman" w:hAnsi="Times New Roman" w:cs="Times New Roman"/>
        </w:rPr>
        <w:t xml:space="preserve">the </w:t>
      </w:r>
      <w:r w:rsidR="00235E17" w:rsidRPr="004842AA">
        <w:rPr>
          <w:rFonts w:ascii="Times New Roman" w:hAnsi="Times New Roman" w:cs="Times New Roman"/>
        </w:rPr>
        <w:t xml:space="preserve">conditions </w:t>
      </w:r>
      <w:r w:rsidR="00492FCB" w:rsidRPr="004842AA">
        <w:rPr>
          <w:rFonts w:ascii="Times New Roman" w:hAnsi="Times New Roman" w:cs="Times New Roman"/>
        </w:rPr>
        <w:t xml:space="preserve">provided for </w:t>
      </w:r>
      <w:r w:rsidR="00235E17" w:rsidRPr="004842AA">
        <w:rPr>
          <w:rFonts w:ascii="Times New Roman" w:hAnsi="Times New Roman" w:cs="Times New Roman"/>
        </w:rPr>
        <w:t>therein)</w:t>
      </w:r>
      <w:r w:rsidR="007B4459" w:rsidRPr="004842AA">
        <w:rPr>
          <w:rFonts w:ascii="Times New Roman" w:hAnsi="Times New Roman" w:cs="Times New Roman"/>
        </w:rPr>
        <w:t xml:space="preserve"> in a proportionate manner and on a temporary basis</w:t>
      </w:r>
      <w:r w:rsidR="00235E17" w:rsidRPr="004842AA">
        <w:rPr>
          <w:rFonts w:ascii="Times New Roman" w:hAnsi="Times New Roman" w:cs="Times New Roman"/>
        </w:rPr>
        <w:t>.</w:t>
      </w:r>
      <w:r w:rsidR="00492FCB" w:rsidRPr="004842AA">
        <w:rPr>
          <w:rStyle w:val="FootnoteReference"/>
          <w:rFonts w:ascii="Times New Roman" w:hAnsi="Times New Roman" w:cs="Times New Roman"/>
        </w:rPr>
        <w:footnoteReference w:id="130"/>
      </w:r>
      <w:r w:rsidR="007B4459" w:rsidRPr="004842AA">
        <w:rPr>
          <w:rFonts w:ascii="Times New Roman" w:hAnsi="Times New Roman" w:cs="Times New Roman"/>
        </w:rPr>
        <w:t xml:space="preserve">  If by this stage the parties remain </w:t>
      </w:r>
      <w:r w:rsidR="00E22C62" w:rsidRPr="004842AA">
        <w:rPr>
          <w:rFonts w:ascii="Times New Roman" w:hAnsi="Times New Roman" w:cs="Times New Roman"/>
        </w:rPr>
        <w:t>in dispute over compliance</w:t>
      </w:r>
      <w:r w:rsidR="007B4459" w:rsidRPr="004842AA">
        <w:rPr>
          <w:rFonts w:ascii="Times New Roman" w:hAnsi="Times New Roman" w:cs="Times New Roman"/>
        </w:rPr>
        <w:t xml:space="preserve">, either may </w:t>
      </w:r>
      <w:r w:rsidR="00235E17" w:rsidRPr="004842AA">
        <w:rPr>
          <w:rFonts w:ascii="Times New Roman" w:hAnsi="Times New Roman" w:cs="Times New Roman"/>
        </w:rPr>
        <w:t xml:space="preserve">request </w:t>
      </w:r>
      <w:r w:rsidR="007B4459" w:rsidRPr="004842AA">
        <w:rPr>
          <w:rFonts w:ascii="Times New Roman" w:hAnsi="Times New Roman" w:cs="Times New Roman"/>
        </w:rPr>
        <w:t xml:space="preserve">a further arbitration panel </w:t>
      </w:r>
      <w:r w:rsidR="00235E17" w:rsidRPr="004842AA">
        <w:rPr>
          <w:rFonts w:ascii="Times New Roman" w:hAnsi="Times New Roman" w:cs="Times New Roman"/>
        </w:rPr>
        <w:t xml:space="preserve">ruling (still </w:t>
      </w:r>
      <w:r w:rsidR="007B4459" w:rsidRPr="004842AA">
        <w:rPr>
          <w:rFonts w:ascii="Times New Roman" w:hAnsi="Times New Roman" w:cs="Times New Roman"/>
        </w:rPr>
        <w:t>subject to the provisions on CJEU jurisdiction</w:t>
      </w:r>
      <w:r w:rsidR="00235E17" w:rsidRPr="004842AA">
        <w:rPr>
          <w:rFonts w:ascii="Times New Roman" w:hAnsi="Times New Roman" w:cs="Times New Roman"/>
        </w:rPr>
        <w:t>)</w:t>
      </w:r>
      <w:r w:rsidR="007B4459" w:rsidRPr="004842AA">
        <w:rPr>
          <w:rFonts w:ascii="Times New Roman" w:hAnsi="Times New Roman" w:cs="Times New Roman"/>
        </w:rPr>
        <w:t xml:space="preserve"> </w:t>
      </w:r>
      <w:r w:rsidR="00A77680">
        <w:rPr>
          <w:rFonts w:ascii="Times New Roman" w:hAnsi="Times New Roman" w:cs="Times New Roman"/>
        </w:rPr>
        <w:t xml:space="preserve">that </w:t>
      </w:r>
      <w:r w:rsidR="007B4459" w:rsidRPr="004842AA">
        <w:rPr>
          <w:rFonts w:ascii="Times New Roman" w:hAnsi="Times New Roman" w:cs="Times New Roman"/>
        </w:rPr>
        <w:t xml:space="preserve">may </w:t>
      </w:r>
      <w:r w:rsidR="00E22C62" w:rsidRPr="004842AA">
        <w:rPr>
          <w:rFonts w:ascii="Times New Roman" w:hAnsi="Times New Roman" w:cs="Times New Roman"/>
        </w:rPr>
        <w:t xml:space="preserve">order </w:t>
      </w:r>
      <w:r w:rsidR="00235E17" w:rsidRPr="004842AA">
        <w:rPr>
          <w:rFonts w:ascii="Times New Roman" w:hAnsi="Times New Roman" w:cs="Times New Roman"/>
        </w:rPr>
        <w:t xml:space="preserve">termination of </w:t>
      </w:r>
      <w:r w:rsidR="00E22C62" w:rsidRPr="004842AA">
        <w:rPr>
          <w:rFonts w:ascii="Times New Roman" w:hAnsi="Times New Roman" w:cs="Times New Roman"/>
        </w:rPr>
        <w:t xml:space="preserve">the complainant’s </w:t>
      </w:r>
      <w:r w:rsidR="00235E17" w:rsidRPr="004842AA">
        <w:rPr>
          <w:rFonts w:ascii="Times New Roman" w:hAnsi="Times New Roman" w:cs="Times New Roman"/>
        </w:rPr>
        <w:t xml:space="preserve">suspension / </w:t>
      </w:r>
      <w:r w:rsidR="00E22C62" w:rsidRPr="004842AA">
        <w:rPr>
          <w:rFonts w:ascii="Times New Roman" w:hAnsi="Times New Roman" w:cs="Times New Roman"/>
        </w:rPr>
        <w:t xml:space="preserve">the respondent’s </w:t>
      </w:r>
      <w:r w:rsidR="00235E17" w:rsidRPr="004842AA">
        <w:rPr>
          <w:rFonts w:ascii="Times New Roman" w:hAnsi="Times New Roman" w:cs="Times New Roman"/>
        </w:rPr>
        <w:t>penalty.</w:t>
      </w:r>
      <w:r w:rsidR="00E22C62" w:rsidRPr="004842AA">
        <w:rPr>
          <w:rStyle w:val="FootnoteReference"/>
          <w:rFonts w:ascii="Times New Roman" w:hAnsi="Times New Roman" w:cs="Times New Roman"/>
        </w:rPr>
        <w:footnoteReference w:id="131"/>
      </w:r>
      <w:r w:rsidR="00E22C62" w:rsidRPr="004842AA">
        <w:rPr>
          <w:rFonts w:ascii="Times New Roman" w:hAnsi="Times New Roman" w:cs="Times New Roman"/>
        </w:rPr>
        <w:t xml:space="preserve">  </w:t>
      </w:r>
    </w:p>
    <w:p w14:paraId="45CC1AFB" w14:textId="5709148D" w:rsidR="00235E17" w:rsidRPr="004842AA" w:rsidRDefault="00E22C62" w:rsidP="0069239A">
      <w:pPr>
        <w:ind w:firstLine="720"/>
        <w:jc w:val="both"/>
        <w:rPr>
          <w:rFonts w:ascii="Times New Roman" w:hAnsi="Times New Roman" w:cs="Times New Roman"/>
        </w:rPr>
      </w:pPr>
      <w:r w:rsidRPr="004842AA">
        <w:rPr>
          <w:rFonts w:ascii="Times New Roman" w:hAnsi="Times New Roman" w:cs="Times New Roman"/>
        </w:rPr>
        <w:t>As in other international contexts</w:t>
      </w:r>
      <w:r w:rsidR="008A1027">
        <w:rPr>
          <w:rFonts w:ascii="Times New Roman" w:hAnsi="Times New Roman" w:cs="Times New Roman"/>
        </w:rPr>
        <w:t>,</w:t>
      </w:r>
      <w:r w:rsidRPr="004842AA">
        <w:rPr>
          <w:rFonts w:ascii="Times New Roman" w:hAnsi="Times New Roman" w:cs="Times New Roman"/>
        </w:rPr>
        <w:t xml:space="preserve"> the </w:t>
      </w:r>
      <w:r w:rsidR="00083E04">
        <w:rPr>
          <w:rFonts w:ascii="Times New Roman" w:hAnsi="Times New Roman" w:cs="Times New Roman"/>
        </w:rPr>
        <w:t>Agreement</w:t>
      </w:r>
      <w:r w:rsidR="00CD5EE8">
        <w:rPr>
          <w:rFonts w:ascii="Times New Roman" w:hAnsi="Times New Roman" w:cs="Times New Roman"/>
        </w:rPr>
        <w:t xml:space="preserve">’s </w:t>
      </w:r>
      <w:r w:rsidR="00235E17" w:rsidRPr="004842AA">
        <w:rPr>
          <w:rFonts w:ascii="Times New Roman" w:hAnsi="Times New Roman" w:cs="Times New Roman"/>
        </w:rPr>
        <w:t xml:space="preserve">complex provisions </w:t>
      </w:r>
      <w:r w:rsidR="008A1027">
        <w:rPr>
          <w:rFonts w:ascii="Times New Roman" w:hAnsi="Times New Roman" w:cs="Times New Roman"/>
        </w:rPr>
        <w:t xml:space="preserve">concerning arbitration, </w:t>
      </w:r>
      <w:r w:rsidR="00235E17" w:rsidRPr="004842AA">
        <w:rPr>
          <w:rFonts w:ascii="Times New Roman" w:hAnsi="Times New Roman" w:cs="Times New Roman"/>
        </w:rPr>
        <w:t>enforcement and compliance</w:t>
      </w:r>
      <w:r w:rsidRPr="004842AA">
        <w:rPr>
          <w:rFonts w:ascii="Times New Roman" w:hAnsi="Times New Roman" w:cs="Times New Roman"/>
        </w:rPr>
        <w:t xml:space="preserve"> should act as a powerful incentive for the parties to avoid </w:t>
      </w:r>
      <w:r w:rsidR="003A1D89">
        <w:rPr>
          <w:rFonts w:ascii="Times New Roman" w:hAnsi="Times New Roman" w:cs="Times New Roman"/>
        </w:rPr>
        <w:t xml:space="preserve">post-transition </w:t>
      </w:r>
      <w:r w:rsidRPr="004842AA">
        <w:rPr>
          <w:rFonts w:ascii="Times New Roman" w:hAnsi="Times New Roman" w:cs="Times New Roman"/>
        </w:rPr>
        <w:t xml:space="preserve">disputes through political dialogue </w:t>
      </w:r>
      <w:r w:rsidR="00F50C75">
        <w:rPr>
          <w:rFonts w:ascii="Times New Roman" w:hAnsi="Times New Roman" w:cs="Times New Roman"/>
        </w:rPr>
        <w:t>in the Joint Committee</w:t>
      </w:r>
      <w:r w:rsidR="008A1027">
        <w:rPr>
          <w:rFonts w:ascii="Times New Roman" w:hAnsi="Times New Roman" w:cs="Times New Roman"/>
        </w:rPr>
        <w:t>.  But conversely,</w:t>
      </w:r>
      <w:r w:rsidR="00CD5EE8">
        <w:rPr>
          <w:rFonts w:ascii="Times New Roman" w:hAnsi="Times New Roman" w:cs="Times New Roman"/>
        </w:rPr>
        <w:t xml:space="preserve"> if (for the sake of argument) the UK Government were determined to provoke disagreement over interpretation and / or application of the Agreement, the latter’s dispute settlement mechanism may well furnish the Union with only a relatively cumbersome and ineffective means of correction or redress</w:t>
      </w:r>
      <w:r w:rsidR="00F50C75">
        <w:rPr>
          <w:rFonts w:ascii="Times New Roman" w:hAnsi="Times New Roman" w:cs="Times New Roman"/>
        </w:rPr>
        <w:t>.</w:t>
      </w:r>
    </w:p>
    <w:p w14:paraId="59BF1C89" w14:textId="77777777" w:rsidR="00235E17" w:rsidRPr="004842AA" w:rsidRDefault="00235E17" w:rsidP="004842AA">
      <w:pPr>
        <w:jc w:val="both"/>
        <w:rPr>
          <w:rFonts w:ascii="Times New Roman" w:hAnsi="Times New Roman" w:cs="Times New Roman"/>
          <w:b/>
        </w:rPr>
      </w:pPr>
    </w:p>
    <w:p w14:paraId="13B69960" w14:textId="1F2AB81C" w:rsidR="00235E17" w:rsidRPr="004842AA" w:rsidRDefault="00E22C62" w:rsidP="004842AA">
      <w:pPr>
        <w:pStyle w:val="ListParagraph"/>
        <w:numPr>
          <w:ilvl w:val="2"/>
          <w:numId w:val="3"/>
        </w:numPr>
        <w:jc w:val="both"/>
        <w:rPr>
          <w:rFonts w:ascii="Times New Roman" w:hAnsi="Times New Roman" w:cs="Times New Roman"/>
          <w:i/>
        </w:rPr>
      </w:pPr>
      <w:r w:rsidRPr="004842AA">
        <w:rPr>
          <w:rFonts w:ascii="Times New Roman" w:hAnsi="Times New Roman" w:cs="Times New Roman"/>
          <w:i/>
        </w:rPr>
        <w:t xml:space="preserve">Internal </w:t>
      </w:r>
      <w:r w:rsidR="00235E17" w:rsidRPr="004842AA">
        <w:rPr>
          <w:rFonts w:ascii="Times New Roman" w:hAnsi="Times New Roman" w:cs="Times New Roman"/>
          <w:i/>
        </w:rPr>
        <w:t xml:space="preserve">Legal Effects of </w:t>
      </w:r>
      <w:r w:rsidR="0003179B">
        <w:rPr>
          <w:rFonts w:ascii="Times New Roman" w:hAnsi="Times New Roman" w:cs="Times New Roman"/>
          <w:i/>
        </w:rPr>
        <w:t xml:space="preserve">the </w:t>
      </w:r>
      <w:r w:rsidR="00235E17" w:rsidRPr="004842AA">
        <w:rPr>
          <w:rFonts w:ascii="Times New Roman" w:hAnsi="Times New Roman" w:cs="Times New Roman"/>
          <w:i/>
        </w:rPr>
        <w:t>Agreement</w:t>
      </w:r>
    </w:p>
    <w:p w14:paraId="5F26B70A" w14:textId="77777777" w:rsidR="00235E17" w:rsidRPr="004842AA" w:rsidRDefault="00235E17" w:rsidP="004842AA">
      <w:pPr>
        <w:jc w:val="both"/>
        <w:rPr>
          <w:rFonts w:ascii="Times New Roman" w:hAnsi="Times New Roman" w:cs="Times New Roman"/>
        </w:rPr>
      </w:pPr>
    </w:p>
    <w:p w14:paraId="4B3ED8EE" w14:textId="3B178596" w:rsidR="0069239A" w:rsidRDefault="00235E17" w:rsidP="004842AA">
      <w:pPr>
        <w:jc w:val="both"/>
        <w:rPr>
          <w:rFonts w:ascii="Times New Roman" w:hAnsi="Times New Roman" w:cs="Times New Roman"/>
        </w:rPr>
      </w:pPr>
      <w:r w:rsidRPr="004842AA">
        <w:rPr>
          <w:rFonts w:ascii="Times New Roman" w:hAnsi="Times New Roman" w:cs="Times New Roman"/>
        </w:rPr>
        <w:t xml:space="preserve">Many agreements deal only with interpretation, dispute settlement and enforcement under </w:t>
      </w:r>
      <w:r w:rsidR="00E22C62" w:rsidRPr="004842AA">
        <w:rPr>
          <w:rFonts w:ascii="Times New Roman" w:hAnsi="Times New Roman" w:cs="Times New Roman"/>
        </w:rPr>
        <w:t xml:space="preserve">the treaty </w:t>
      </w:r>
      <w:r w:rsidRPr="004842AA">
        <w:rPr>
          <w:rFonts w:ascii="Times New Roman" w:hAnsi="Times New Roman" w:cs="Times New Roman"/>
        </w:rPr>
        <w:t xml:space="preserve">itself </w:t>
      </w:r>
      <w:r w:rsidR="00E22C62" w:rsidRPr="004842AA">
        <w:rPr>
          <w:rFonts w:ascii="Times New Roman" w:hAnsi="Times New Roman" w:cs="Times New Roman"/>
        </w:rPr>
        <w:t xml:space="preserve">as </w:t>
      </w:r>
      <w:r w:rsidRPr="004842AA">
        <w:rPr>
          <w:rFonts w:ascii="Times New Roman" w:hAnsi="Times New Roman" w:cs="Times New Roman"/>
        </w:rPr>
        <w:t xml:space="preserve">between </w:t>
      </w:r>
      <w:r w:rsidR="00F50C75">
        <w:rPr>
          <w:rFonts w:ascii="Times New Roman" w:hAnsi="Times New Roman" w:cs="Times New Roman"/>
        </w:rPr>
        <w:t xml:space="preserve">the </w:t>
      </w:r>
      <w:r w:rsidRPr="004842AA">
        <w:rPr>
          <w:rFonts w:ascii="Times New Roman" w:hAnsi="Times New Roman" w:cs="Times New Roman"/>
        </w:rPr>
        <w:t>parties</w:t>
      </w:r>
      <w:r w:rsidR="00E22C62" w:rsidRPr="004842AA">
        <w:rPr>
          <w:rFonts w:ascii="Times New Roman" w:hAnsi="Times New Roman" w:cs="Times New Roman"/>
        </w:rPr>
        <w:t xml:space="preserve"> and as a </w:t>
      </w:r>
      <w:r w:rsidRPr="004842AA">
        <w:rPr>
          <w:rFonts w:ascii="Times New Roman" w:hAnsi="Times New Roman" w:cs="Times New Roman"/>
        </w:rPr>
        <w:t xml:space="preserve">matter of </w:t>
      </w:r>
      <w:r w:rsidR="00E22C62" w:rsidRPr="004842AA">
        <w:rPr>
          <w:rFonts w:ascii="Times New Roman" w:hAnsi="Times New Roman" w:cs="Times New Roman"/>
        </w:rPr>
        <w:t xml:space="preserve">public </w:t>
      </w:r>
      <w:r w:rsidRPr="004842AA">
        <w:rPr>
          <w:rFonts w:ascii="Times New Roman" w:hAnsi="Times New Roman" w:cs="Times New Roman"/>
        </w:rPr>
        <w:t>international law</w:t>
      </w:r>
      <w:r w:rsidR="00E22C62" w:rsidRPr="004842AA">
        <w:rPr>
          <w:rFonts w:ascii="Times New Roman" w:hAnsi="Times New Roman" w:cs="Times New Roman"/>
        </w:rPr>
        <w:t xml:space="preserve">.  </w:t>
      </w:r>
      <w:r w:rsidRPr="004842AA">
        <w:rPr>
          <w:rFonts w:ascii="Times New Roman" w:hAnsi="Times New Roman" w:cs="Times New Roman"/>
        </w:rPr>
        <w:t xml:space="preserve">When it comes to </w:t>
      </w:r>
      <w:r w:rsidR="00E22C62" w:rsidRPr="004842AA">
        <w:rPr>
          <w:rFonts w:ascii="Times New Roman" w:hAnsi="Times New Roman" w:cs="Times New Roman"/>
        </w:rPr>
        <w:t xml:space="preserve">the </w:t>
      </w:r>
      <w:r w:rsidRPr="004842AA">
        <w:rPr>
          <w:rFonts w:ascii="Times New Roman" w:hAnsi="Times New Roman" w:cs="Times New Roman"/>
        </w:rPr>
        <w:t xml:space="preserve">legal effects of </w:t>
      </w:r>
      <w:r w:rsidR="00E22C62" w:rsidRPr="004842AA">
        <w:rPr>
          <w:rFonts w:ascii="Times New Roman" w:hAnsi="Times New Roman" w:cs="Times New Roman"/>
        </w:rPr>
        <w:t xml:space="preserve">the </w:t>
      </w:r>
      <w:r w:rsidRPr="004842AA">
        <w:rPr>
          <w:rFonts w:ascii="Times New Roman" w:hAnsi="Times New Roman" w:cs="Times New Roman"/>
        </w:rPr>
        <w:t xml:space="preserve">agreement within </w:t>
      </w:r>
      <w:r w:rsidR="00E22C62" w:rsidRPr="004842AA">
        <w:rPr>
          <w:rFonts w:ascii="Times New Roman" w:hAnsi="Times New Roman" w:cs="Times New Roman"/>
        </w:rPr>
        <w:t xml:space="preserve">the </w:t>
      </w:r>
      <w:r w:rsidRPr="004842AA">
        <w:rPr>
          <w:rFonts w:ascii="Times New Roman" w:hAnsi="Times New Roman" w:cs="Times New Roman"/>
        </w:rPr>
        <w:t xml:space="preserve">internal legal systems of </w:t>
      </w:r>
      <w:r w:rsidR="00E22C62" w:rsidRPr="004842AA">
        <w:rPr>
          <w:rFonts w:ascii="Times New Roman" w:hAnsi="Times New Roman" w:cs="Times New Roman"/>
        </w:rPr>
        <w:t xml:space="preserve">each </w:t>
      </w:r>
      <w:proofErr w:type="gramStart"/>
      <w:r w:rsidR="00E22C62" w:rsidRPr="004842AA">
        <w:rPr>
          <w:rFonts w:ascii="Times New Roman" w:hAnsi="Times New Roman" w:cs="Times New Roman"/>
        </w:rPr>
        <w:t>party, that</w:t>
      </w:r>
      <w:proofErr w:type="gramEnd"/>
      <w:r w:rsidR="00E22C62" w:rsidRPr="004842AA">
        <w:rPr>
          <w:rFonts w:ascii="Times New Roman" w:hAnsi="Times New Roman" w:cs="Times New Roman"/>
        </w:rPr>
        <w:t xml:space="preserve"> is often left </w:t>
      </w:r>
      <w:r w:rsidRPr="004842AA">
        <w:rPr>
          <w:rFonts w:ascii="Times New Roman" w:hAnsi="Times New Roman" w:cs="Times New Roman"/>
        </w:rPr>
        <w:t xml:space="preserve">entirely to </w:t>
      </w:r>
      <w:r w:rsidR="00E22C62" w:rsidRPr="004842AA">
        <w:rPr>
          <w:rFonts w:ascii="Times New Roman" w:hAnsi="Times New Roman" w:cs="Times New Roman"/>
        </w:rPr>
        <w:t>the</w:t>
      </w:r>
      <w:r w:rsidR="00F50C75">
        <w:rPr>
          <w:rFonts w:ascii="Times New Roman" w:hAnsi="Times New Roman" w:cs="Times New Roman"/>
        </w:rPr>
        <w:t>ir respective</w:t>
      </w:r>
      <w:r w:rsidR="00E22C62" w:rsidRPr="004842AA">
        <w:rPr>
          <w:rFonts w:ascii="Times New Roman" w:hAnsi="Times New Roman" w:cs="Times New Roman"/>
        </w:rPr>
        <w:t xml:space="preserve"> </w:t>
      </w:r>
      <w:r w:rsidRPr="004842AA">
        <w:rPr>
          <w:rFonts w:ascii="Times New Roman" w:hAnsi="Times New Roman" w:cs="Times New Roman"/>
        </w:rPr>
        <w:t xml:space="preserve">constitutional rules </w:t>
      </w:r>
      <w:r w:rsidR="00E22C62" w:rsidRPr="004842AA">
        <w:rPr>
          <w:rFonts w:ascii="Times New Roman" w:hAnsi="Times New Roman" w:cs="Times New Roman"/>
        </w:rPr>
        <w:t xml:space="preserve">in accordance with the traditional distinction between monist and dualist systems.  However, it is well known that an entirely laissez-faire approach to domestic legal effects can risk certain </w:t>
      </w:r>
      <w:r w:rsidRPr="004842AA">
        <w:rPr>
          <w:rFonts w:ascii="Times New Roman" w:hAnsi="Times New Roman" w:cs="Times New Roman"/>
        </w:rPr>
        <w:t>“</w:t>
      </w:r>
      <w:r w:rsidR="00C17902" w:rsidRPr="004842AA">
        <w:rPr>
          <w:rFonts w:ascii="Times New Roman" w:hAnsi="Times New Roman" w:cs="Times New Roman"/>
        </w:rPr>
        <w:t xml:space="preserve">enforcement </w:t>
      </w:r>
      <w:r w:rsidRPr="004842AA">
        <w:rPr>
          <w:rFonts w:ascii="Times New Roman" w:hAnsi="Times New Roman" w:cs="Times New Roman"/>
        </w:rPr>
        <w:t>asymmetries” between the parties</w:t>
      </w:r>
      <w:r w:rsidR="00E22C62" w:rsidRPr="004842AA">
        <w:rPr>
          <w:rFonts w:ascii="Times New Roman" w:hAnsi="Times New Roman" w:cs="Times New Roman"/>
        </w:rPr>
        <w:t xml:space="preserve"> – </w:t>
      </w:r>
      <w:r w:rsidR="00F50C75">
        <w:rPr>
          <w:rFonts w:ascii="Times New Roman" w:hAnsi="Times New Roman" w:cs="Times New Roman"/>
        </w:rPr>
        <w:t xml:space="preserve">especially in the case of agreements that contain relatively detailed and concrete rights and obligations; and </w:t>
      </w:r>
      <w:r w:rsidR="00E22C62" w:rsidRPr="004842AA">
        <w:rPr>
          <w:rFonts w:ascii="Times New Roman" w:hAnsi="Times New Roman" w:cs="Times New Roman"/>
        </w:rPr>
        <w:t xml:space="preserve">particularly if one </w:t>
      </w:r>
      <w:r w:rsidR="00C17902" w:rsidRPr="004842AA">
        <w:rPr>
          <w:rFonts w:ascii="Times New Roman" w:hAnsi="Times New Roman" w:cs="Times New Roman"/>
        </w:rPr>
        <w:t xml:space="preserve">side </w:t>
      </w:r>
      <w:r w:rsidR="00E22C62" w:rsidRPr="004842AA">
        <w:rPr>
          <w:rFonts w:ascii="Times New Roman" w:hAnsi="Times New Roman" w:cs="Times New Roman"/>
        </w:rPr>
        <w:t xml:space="preserve">operates a monist system whereas its counterpart </w:t>
      </w:r>
      <w:r w:rsidR="00C17902" w:rsidRPr="004842AA">
        <w:rPr>
          <w:rFonts w:ascii="Times New Roman" w:hAnsi="Times New Roman" w:cs="Times New Roman"/>
        </w:rPr>
        <w:t xml:space="preserve">acts as a dualist order.  Since the Union is effectively a monist system, it often insists that its </w:t>
      </w:r>
      <w:r w:rsidRPr="004842AA">
        <w:rPr>
          <w:rFonts w:ascii="Times New Roman" w:hAnsi="Times New Roman" w:cs="Times New Roman"/>
        </w:rPr>
        <w:t xml:space="preserve">international agreements contain </w:t>
      </w:r>
      <w:r w:rsidR="00C17902" w:rsidRPr="004842AA">
        <w:rPr>
          <w:rFonts w:ascii="Times New Roman" w:hAnsi="Times New Roman" w:cs="Times New Roman"/>
        </w:rPr>
        <w:t xml:space="preserve">specific </w:t>
      </w:r>
      <w:r w:rsidRPr="004842AA">
        <w:rPr>
          <w:rFonts w:ascii="Times New Roman" w:hAnsi="Times New Roman" w:cs="Times New Roman"/>
        </w:rPr>
        <w:t xml:space="preserve">provisions </w:t>
      </w:r>
      <w:r w:rsidR="00C17902" w:rsidRPr="004842AA">
        <w:rPr>
          <w:rFonts w:ascii="Times New Roman" w:hAnsi="Times New Roman" w:cs="Times New Roman"/>
        </w:rPr>
        <w:t xml:space="preserve">to determine the </w:t>
      </w:r>
      <w:r w:rsidR="00F52311">
        <w:rPr>
          <w:rFonts w:ascii="Times New Roman" w:hAnsi="Times New Roman" w:cs="Times New Roman"/>
        </w:rPr>
        <w:t xml:space="preserve">appropriate </w:t>
      </w:r>
      <w:r w:rsidRPr="004842AA">
        <w:rPr>
          <w:rFonts w:ascii="Times New Roman" w:hAnsi="Times New Roman" w:cs="Times New Roman"/>
        </w:rPr>
        <w:t xml:space="preserve">legal </w:t>
      </w:r>
      <w:r w:rsidR="00F52311">
        <w:rPr>
          <w:rFonts w:ascii="Times New Roman" w:hAnsi="Times New Roman" w:cs="Times New Roman"/>
        </w:rPr>
        <w:t xml:space="preserve">status </w:t>
      </w:r>
      <w:r w:rsidRPr="004842AA">
        <w:rPr>
          <w:rFonts w:ascii="Times New Roman" w:hAnsi="Times New Roman" w:cs="Times New Roman"/>
        </w:rPr>
        <w:t xml:space="preserve">of </w:t>
      </w:r>
      <w:r w:rsidR="00C17902" w:rsidRPr="004842AA">
        <w:rPr>
          <w:rFonts w:ascii="Times New Roman" w:hAnsi="Times New Roman" w:cs="Times New Roman"/>
        </w:rPr>
        <w:t xml:space="preserve">the </w:t>
      </w:r>
      <w:r w:rsidR="008A1027">
        <w:rPr>
          <w:rFonts w:ascii="Times New Roman" w:hAnsi="Times New Roman" w:cs="Times New Roman"/>
        </w:rPr>
        <w:t>treaty</w:t>
      </w:r>
      <w:r w:rsidRPr="004842AA">
        <w:rPr>
          <w:rFonts w:ascii="Times New Roman" w:hAnsi="Times New Roman" w:cs="Times New Roman"/>
        </w:rPr>
        <w:t xml:space="preserve"> within each </w:t>
      </w:r>
      <w:r w:rsidR="00C17902" w:rsidRPr="004842AA">
        <w:rPr>
          <w:rFonts w:ascii="Times New Roman" w:hAnsi="Times New Roman" w:cs="Times New Roman"/>
        </w:rPr>
        <w:t xml:space="preserve">contracting </w:t>
      </w:r>
      <w:r w:rsidRPr="004842AA">
        <w:rPr>
          <w:rFonts w:ascii="Times New Roman" w:hAnsi="Times New Roman" w:cs="Times New Roman"/>
        </w:rPr>
        <w:t>party</w:t>
      </w:r>
      <w:r w:rsidR="00C17902" w:rsidRPr="004842AA">
        <w:rPr>
          <w:rFonts w:ascii="Times New Roman" w:hAnsi="Times New Roman" w:cs="Times New Roman"/>
        </w:rPr>
        <w:t xml:space="preserve">: </w:t>
      </w:r>
      <w:r w:rsidRPr="004842AA">
        <w:rPr>
          <w:rFonts w:ascii="Times New Roman" w:hAnsi="Times New Roman" w:cs="Times New Roman"/>
        </w:rPr>
        <w:t xml:space="preserve">sometimes ruling out </w:t>
      </w:r>
      <w:r w:rsidR="00C17902" w:rsidRPr="004842AA">
        <w:rPr>
          <w:rFonts w:ascii="Times New Roman" w:hAnsi="Times New Roman" w:cs="Times New Roman"/>
        </w:rPr>
        <w:t xml:space="preserve">any </w:t>
      </w:r>
      <w:r w:rsidRPr="004842AA">
        <w:rPr>
          <w:rFonts w:ascii="Times New Roman" w:hAnsi="Times New Roman" w:cs="Times New Roman"/>
        </w:rPr>
        <w:t>direct internal legal effects</w:t>
      </w:r>
      <w:r w:rsidR="008A1027">
        <w:rPr>
          <w:rFonts w:ascii="Times New Roman" w:hAnsi="Times New Roman" w:cs="Times New Roman"/>
        </w:rPr>
        <w:t xml:space="preserve">, other </w:t>
      </w:r>
      <w:r w:rsidR="00C17902" w:rsidRPr="004842AA">
        <w:rPr>
          <w:rFonts w:ascii="Times New Roman" w:hAnsi="Times New Roman" w:cs="Times New Roman"/>
        </w:rPr>
        <w:t xml:space="preserve">times </w:t>
      </w:r>
      <w:r w:rsidRPr="004842AA">
        <w:rPr>
          <w:rFonts w:ascii="Times New Roman" w:hAnsi="Times New Roman" w:cs="Times New Roman"/>
        </w:rPr>
        <w:t xml:space="preserve">insisting upon </w:t>
      </w:r>
      <w:r w:rsidR="00C17902" w:rsidRPr="004842AA">
        <w:rPr>
          <w:rFonts w:ascii="Times New Roman" w:hAnsi="Times New Roman" w:cs="Times New Roman"/>
        </w:rPr>
        <w:t xml:space="preserve">explicit provisions to ensure such effects, either </w:t>
      </w:r>
      <w:r w:rsidRPr="004842AA">
        <w:rPr>
          <w:rFonts w:ascii="Times New Roman" w:hAnsi="Times New Roman" w:cs="Times New Roman"/>
        </w:rPr>
        <w:t xml:space="preserve">for </w:t>
      </w:r>
      <w:r w:rsidR="00C17902" w:rsidRPr="004842AA">
        <w:rPr>
          <w:rFonts w:ascii="Times New Roman" w:hAnsi="Times New Roman" w:cs="Times New Roman"/>
        </w:rPr>
        <w:t xml:space="preserve">the </w:t>
      </w:r>
      <w:r w:rsidRPr="004842AA">
        <w:rPr>
          <w:rFonts w:ascii="Times New Roman" w:hAnsi="Times New Roman" w:cs="Times New Roman"/>
        </w:rPr>
        <w:t xml:space="preserve">entire agreement or </w:t>
      </w:r>
      <w:r w:rsidR="00C17902" w:rsidRPr="004842AA">
        <w:rPr>
          <w:rFonts w:ascii="Times New Roman" w:hAnsi="Times New Roman" w:cs="Times New Roman"/>
        </w:rPr>
        <w:t xml:space="preserve">at least as regards </w:t>
      </w:r>
      <w:r w:rsidRPr="004842AA">
        <w:rPr>
          <w:rFonts w:ascii="Times New Roman" w:hAnsi="Times New Roman" w:cs="Times New Roman"/>
        </w:rPr>
        <w:t>parts thereof</w:t>
      </w:r>
      <w:r w:rsidR="00C17902" w:rsidRPr="004842AA">
        <w:rPr>
          <w:rFonts w:ascii="Times New Roman" w:hAnsi="Times New Roman" w:cs="Times New Roman"/>
        </w:rPr>
        <w:t>.</w:t>
      </w:r>
      <w:r w:rsidR="00F50C75">
        <w:rPr>
          <w:rStyle w:val="FootnoteReference"/>
          <w:rFonts w:ascii="Times New Roman" w:hAnsi="Times New Roman" w:cs="Times New Roman"/>
        </w:rPr>
        <w:footnoteReference w:id="132"/>
      </w:r>
    </w:p>
    <w:p w14:paraId="6DE41B76" w14:textId="5907D6DB" w:rsidR="0069239A" w:rsidRDefault="00C17902" w:rsidP="0069239A">
      <w:pPr>
        <w:ind w:firstLine="720"/>
        <w:jc w:val="both"/>
        <w:rPr>
          <w:rFonts w:ascii="Times New Roman" w:hAnsi="Times New Roman" w:cs="Times New Roman"/>
        </w:rPr>
      </w:pPr>
      <w:r w:rsidRPr="004842AA">
        <w:rPr>
          <w:rFonts w:ascii="Times New Roman" w:hAnsi="Times New Roman" w:cs="Times New Roman"/>
        </w:rPr>
        <w:t xml:space="preserve">The Agreement falls into precisely this category of potentially asymmetrical agreements between the monist EU and the dualist UK.  For that reason, the Union </w:t>
      </w:r>
      <w:r w:rsidR="00235E17" w:rsidRPr="004842AA">
        <w:rPr>
          <w:rFonts w:ascii="Times New Roman" w:hAnsi="Times New Roman" w:cs="Times New Roman"/>
        </w:rPr>
        <w:t xml:space="preserve">insisted that </w:t>
      </w:r>
      <w:r w:rsidR="00765401">
        <w:rPr>
          <w:rFonts w:ascii="Times New Roman" w:hAnsi="Times New Roman" w:cs="Times New Roman"/>
        </w:rPr>
        <w:t>this</w:t>
      </w:r>
      <w:r w:rsidRPr="004842AA">
        <w:rPr>
          <w:rFonts w:ascii="Times New Roman" w:hAnsi="Times New Roman" w:cs="Times New Roman"/>
        </w:rPr>
        <w:t xml:space="preserve"> treaty contain detailed provisions describing its intended</w:t>
      </w:r>
      <w:r w:rsidR="00235E17" w:rsidRPr="004842AA">
        <w:rPr>
          <w:rFonts w:ascii="Times New Roman" w:hAnsi="Times New Roman" w:cs="Times New Roman"/>
        </w:rPr>
        <w:t xml:space="preserve"> legal effects </w:t>
      </w:r>
      <w:r w:rsidRPr="004842AA">
        <w:rPr>
          <w:rFonts w:ascii="Times New Roman" w:hAnsi="Times New Roman" w:cs="Times New Roman"/>
        </w:rPr>
        <w:lastRenderedPageBreak/>
        <w:t xml:space="preserve">also </w:t>
      </w:r>
      <w:r w:rsidR="00235E17" w:rsidRPr="004842AA">
        <w:rPr>
          <w:rFonts w:ascii="Times New Roman" w:hAnsi="Times New Roman" w:cs="Times New Roman"/>
        </w:rPr>
        <w:t xml:space="preserve">within </w:t>
      </w:r>
      <w:r w:rsidRPr="004842AA">
        <w:rPr>
          <w:rFonts w:ascii="Times New Roman" w:hAnsi="Times New Roman" w:cs="Times New Roman"/>
        </w:rPr>
        <w:t xml:space="preserve">the legal system of </w:t>
      </w:r>
      <w:r w:rsidR="00235E17" w:rsidRPr="004842AA">
        <w:rPr>
          <w:rFonts w:ascii="Times New Roman" w:hAnsi="Times New Roman" w:cs="Times New Roman"/>
        </w:rPr>
        <w:t>each party</w:t>
      </w:r>
      <w:r w:rsidRPr="004842AA">
        <w:rPr>
          <w:rFonts w:ascii="Times New Roman" w:hAnsi="Times New Roman" w:cs="Times New Roman"/>
        </w:rPr>
        <w:t>.</w:t>
      </w:r>
      <w:r w:rsidR="00F66282" w:rsidRPr="004842AA">
        <w:rPr>
          <w:rStyle w:val="FootnoteReference"/>
          <w:rFonts w:ascii="Times New Roman" w:hAnsi="Times New Roman" w:cs="Times New Roman"/>
        </w:rPr>
        <w:footnoteReference w:id="133"/>
      </w:r>
      <w:r w:rsidRPr="004842AA">
        <w:rPr>
          <w:rFonts w:ascii="Times New Roman" w:hAnsi="Times New Roman" w:cs="Times New Roman"/>
        </w:rPr>
        <w:t xml:space="preserve">  </w:t>
      </w:r>
      <w:r w:rsidR="00235E17" w:rsidRPr="004842AA">
        <w:rPr>
          <w:rFonts w:ascii="Times New Roman" w:hAnsi="Times New Roman" w:cs="Times New Roman"/>
        </w:rPr>
        <w:t>Article</w:t>
      </w:r>
      <w:r w:rsidR="00CD5EE8">
        <w:rPr>
          <w:rFonts w:ascii="Times New Roman" w:hAnsi="Times New Roman" w:cs="Times New Roman"/>
        </w:rPr>
        <w:t>s</w:t>
      </w:r>
      <w:r w:rsidR="00235E17" w:rsidRPr="004842AA">
        <w:rPr>
          <w:rFonts w:ascii="Times New Roman" w:hAnsi="Times New Roman" w:cs="Times New Roman"/>
        </w:rPr>
        <w:t xml:space="preserve"> 4</w:t>
      </w:r>
      <w:r w:rsidR="00CD5EE8">
        <w:rPr>
          <w:rFonts w:ascii="Times New Roman" w:hAnsi="Times New Roman" w:cs="Times New Roman"/>
        </w:rPr>
        <w:t>(1)-(2)</w:t>
      </w:r>
      <w:r w:rsidR="008C4BDD" w:rsidRPr="004842AA">
        <w:rPr>
          <w:rFonts w:ascii="Times New Roman" w:hAnsi="Times New Roman" w:cs="Times New Roman"/>
        </w:rPr>
        <w:t xml:space="preserve"> </w:t>
      </w:r>
      <w:r w:rsidRPr="004842AA">
        <w:rPr>
          <w:rFonts w:ascii="Times New Roman" w:hAnsi="Times New Roman" w:cs="Times New Roman"/>
        </w:rPr>
        <w:t xml:space="preserve">WA provides that both the </w:t>
      </w:r>
      <w:r w:rsidR="00CB1430">
        <w:rPr>
          <w:rFonts w:ascii="Times New Roman" w:hAnsi="Times New Roman" w:cs="Times New Roman"/>
        </w:rPr>
        <w:t>Agreement</w:t>
      </w:r>
      <w:r w:rsidRPr="004842AA">
        <w:rPr>
          <w:rFonts w:ascii="Times New Roman" w:hAnsi="Times New Roman" w:cs="Times New Roman"/>
        </w:rPr>
        <w:t xml:space="preserve"> and </w:t>
      </w:r>
      <w:r w:rsidR="00235E17" w:rsidRPr="004842AA">
        <w:rPr>
          <w:rFonts w:ascii="Times New Roman" w:hAnsi="Times New Roman" w:cs="Times New Roman"/>
        </w:rPr>
        <w:t xml:space="preserve">Union law made applicable </w:t>
      </w:r>
      <w:r w:rsidRPr="004842AA">
        <w:rPr>
          <w:rFonts w:ascii="Times New Roman" w:hAnsi="Times New Roman" w:cs="Times New Roman"/>
        </w:rPr>
        <w:t xml:space="preserve">thereunder </w:t>
      </w:r>
      <w:r w:rsidR="00235E17" w:rsidRPr="004842AA">
        <w:rPr>
          <w:rFonts w:ascii="Times New Roman" w:hAnsi="Times New Roman" w:cs="Times New Roman"/>
        </w:rPr>
        <w:t>shall produce</w:t>
      </w:r>
      <w:r w:rsidRPr="004842AA">
        <w:rPr>
          <w:rFonts w:ascii="Times New Roman" w:hAnsi="Times New Roman" w:cs="Times New Roman"/>
        </w:rPr>
        <w:t>,</w:t>
      </w:r>
      <w:r w:rsidR="00235E17" w:rsidRPr="004842AA">
        <w:rPr>
          <w:rFonts w:ascii="Times New Roman" w:hAnsi="Times New Roman" w:cs="Times New Roman"/>
        </w:rPr>
        <w:t xml:space="preserve"> in respect of and within </w:t>
      </w:r>
      <w:r w:rsidRPr="004842AA">
        <w:rPr>
          <w:rFonts w:ascii="Times New Roman" w:hAnsi="Times New Roman" w:cs="Times New Roman"/>
        </w:rPr>
        <w:t xml:space="preserve">the </w:t>
      </w:r>
      <w:r w:rsidR="00235E17" w:rsidRPr="004842AA">
        <w:rPr>
          <w:rFonts w:ascii="Times New Roman" w:hAnsi="Times New Roman" w:cs="Times New Roman"/>
        </w:rPr>
        <w:t>UK</w:t>
      </w:r>
      <w:r w:rsidRPr="004842AA">
        <w:rPr>
          <w:rFonts w:ascii="Times New Roman" w:hAnsi="Times New Roman" w:cs="Times New Roman"/>
        </w:rPr>
        <w:t>, the</w:t>
      </w:r>
      <w:r w:rsidR="00235E17" w:rsidRPr="004842AA">
        <w:rPr>
          <w:rFonts w:ascii="Times New Roman" w:hAnsi="Times New Roman" w:cs="Times New Roman"/>
        </w:rPr>
        <w:t xml:space="preserve"> same legal effects as within </w:t>
      </w:r>
      <w:r w:rsidR="008C4BDD" w:rsidRPr="004842AA">
        <w:rPr>
          <w:rFonts w:ascii="Times New Roman" w:hAnsi="Times New Roman" w:cs="Times New Roman"/>
        </w:rPr>
        <w:t xml:space="preserve">the </w:t>
      </w:r>
      <w:r w:rsidR="00235E17" w:rsidRPr="004842AA">
        <w:rPr>
          <w:rFonts w:ascii="Times New Roman" w:hAnsi="Times New Roman" w:cs="Times New Roman"/>
        </w:rPr>
        <w:t xml:space="preserve">Union and </w:t>
      </w:r>
      <w:r w:rsidR="008C4BDD" w:rsidRPr="004842AA">
        <w:rPr>
          <w:rFonts w:ascii="Times New Roman" w:hAnsi="Times New Roman" w:cs="Times New Roman"/>
        </w:rPr>
        <w:t xml:space="preserve">its </w:t>
      </w:r>
      <w:r w:rsidR="00235E17" w:rsidRPr="004842AA">
        <w:rPr>
          <w:rFonts w:ascii="Times New Roman" w:hAnsi="Times New Roman" w:cs="Times New Roman"/>
        </w:rPr>
        <w:t>M</w:t>
      </w:r>
      <w:r w:rsidR="008C4BDD" w:rsidRPr="004842AA">
        <w:rPr>
          <w:rFonts w:ascii="Times New Roman" w:hAnsi="Times New Roman" w:cs="Times New Roman"/>
        </w:rPr>
        <w:t xml:space="preserve">ember </w:t>
      </w:r>
      <w:r w:rsidR="00235E17" w:rsidRPr="004842AA">
        <w:rPr>
          <w:rFonts w:ascii="Times New Roman" w:hAnsi="Times New Roman" w:cs="Times New Roman"/>
        </w:rPr>
        <w:t>S</w:t>
      </w:r>
      <w:r w:rsidR="008C4BDD" w:rsidRPr="004842AA">
        <w:rPr>
          <w:rFonts w:ascii="Times New Roman" w:hAnsi="Times New Roman" w:cs="Times New Roman"/>
        </w:rPr>
        <w:t>tates</w:t>
      </w:r>
      <w:r w:rsidR="00235E17" w:rsidRPr="004842AA">
        <w:rPr>
          <w:rFonts w:ascii="Times New Roman" w:hAnsi="Times New Roman" w:cs="Times New Roman"/>
        </w:rPr>
        <w:t>.</w:t>
      </w:r>
      <w:r w:rsidR="008C4BDD" w:rsidRPr="004842AA">
        <w:rPr>
          <w:rFonts w:ascii="Times New Roman" w:hAnsi="Times New Roman" w:cs="Times New Roman"/>
        </w:rPr>
        <w:t xml:space="preserve">  In particular, </w:t>
      </w:r>
      <w:r w:rsidR="00235E17" w:rsidRPr="004842AA">
        <w:rPr>
          <w:rFonts w:ascii="Times New Roman" w:hAnsi="Times New Roman" w:cs="Times New Roman"/>
        </w:rPr>
        <w:t xml:space="preserve">natural and legal persons </w:t>
      </w:r>
      <w:r w:rsidR="008C4BDD" w:rsidRPr="004842AA">
        <w:rPr>
          <w:rFonts w:ascii="Times New Roman" w:hAnsi="Times New Roman" w:cs="Times New Roman"/>
        </w:rPr>
        <w:t xml:space="preserve">must </w:t>
      </w:r>
      <w:r w:rsidR="00235E17" w:rsidRPr="004842AA">
        <w:rPr>
          <w:rFonts w:ascii="Times New Roman" w:hAnsi="Times New Roman" w:cs="Times New Roman"/>
        </w:rPr>
        <w:t xml:space="preserve">be able to rely directly on </w:t>
      </w:r>
      <w:r w:rsidR="008C4BDD" w:rsidRPr="004842AA">
        <w:rPr>
          <w:rFonts w:ascii="Times New Roman" w:hAnsi="Times New Roman" w:cs="Times New Roman"/>
        </w:rPr>
        <w:t xml:space="preserve">any relevant </w:t>
      </w:r>
      <w:r w:rsidR="00CB1430">
        <w:rPr>
          <w:rFonts w:ascii="Times New Roman" w:hAnsi="Times New Roman" w:cs="Times New Roman"/>
        </w:rPr>
        <w:t>Agreement</w:t>
      </w:r>
      <w:r w:rsidR="008C4BDD" w:rsidRPr="004842AA">
        <w:rPr>
          <w:rFonts w:ascii="Times New Roman" w:hAnsi="Times New Roman" w:cs="Times New Roman"/>
        </w:rPr>
        <w:t xml:space="preserve"> or Union law </w:t>
      </w:r>
      <w:proofErr w:type="gramStart"/>
      <w:r w:rsidR="008C4BDD" w:rsidRPr="004842AA">
        <w:rPr>
          <w:rFonts w:ascii="Times New Roman" w:hAnsi="Times New Roman" w:cs="Times New Roman"/>
        </w:rPr>
        <w:t xml:space="preserve">provisions </w:t>
      </w:r>
      <w:r w:rsidR="00235E17" w:rsidRPr="004842AA">
        <w:rPr>
          <w:rFonts w:ascii="Times New Roman" w:hAnsi="Times New Roman" w:cs="Times New Roman"/>
        </w:rPr>
        <w:t>which</w:t>
      </w:r>
      <w:proofErr w:type="gramEnd"/>
      <w:r w:rsidR="00235E17" w:rsidRPr="004842AA">
        <w:rPr>
          <w:rFonts w:ascii="Times New Roman" w:hAnsi="Times New Roman" w:cs="Times New Roman"/>
        </w:rPr>
        <w:t xml:space="preserve"> meet </w:t>
      </w:r>
      <w:r w:rsidR="008C4BDD" w:rsidRPr="004842AA">
        <w:rPr>
          <w:rFonts w:ascii="Times New Roman" w:hAnsi="Times New Roman" w:cs="Times New Roman"/>
        </w:rPr>
        <w:t xml:space="preserve">the </w:t>
      </w:r>
      <w:r w:rsidR="00235E17" w:rsidRPr="004842AA">
        <w:rPr>
          <w:rFonts w:ascii="Times New Roman" w:hAnsi="Times New Roman" w:cs="Times New Roman"/>
        </w:rPr>
        <w:t xml:space="preserve">conditions for </w:t>
      </w:r>
      <w:r w:rsidR="008C4BDD" w:rsidRPr="004842AA">
        <w:rPr>
          <w:rFonts w:ascii="Times New Roman" w:hAnsi="Times New Roman" w:cs="Times New Roman"/>
        </w:rPr>
        <w:t xml:space="preserve">producing </w:t>
      </w:r>
      <w:r w:rsidR="00235E17" w:rsidRPr="004842AA">
        <w:rPr>
          <w:rFonts w:ascii="Times New Roman" w:hAnsi="Times New Roman" w:cs="Times New Roman"/>
        </w:rPr>
        <w:t>direct effect</w:t>
      </w:r>
      <w:r w:rsidR="00EA7FD9">
        <w:rPr>
          <w:rFonts w:ascii="Times New Roman" w:hAnsi="Times New Roman" w:cs="Times New Roman"/>
        </w:rPr>
        <w:t>.</w:t>
      </w:r>
      <w:r w:rsidR="00953E99" w:rsidRPr="004842AA">
        <w:rPr>
          <w:rFonts w:ascii="Times New Roman" w:hAnsi="Times New Roman" w:cs="Times New Roman"/>
        </w:rPr>
        <w:t xml:space="preserve"> </w:t>
      </w:r>
      <w:r w:rsidR="00EA7FD9">
        <w:rPr>
          <w:rFonts w:ascii="Times New Roman" w:hAnsi="Times New Roman" w:cs="Times New Roman"/>
        </w:rPr>
        <w:t xml:space="preserve"> T</w:t>
      </w:r>
      <w:r w:rsidR="00953E99" w:rsidRPr="004842AA">
        <w:rPr>
          <w:rFonts w:ascii="Times New Roman" w:hAnsi="Times New Roman" w:cs="Times New Roman"/>
        </w:rPr>
        <w:t xml:space="preserve">he </w:t>
      </w:r>
      <w:r w:rsidR="008C4BDD" w:rsidRPr="004842AA">
        <w:rPr>
          <w:rFonts w:ascii="Times New Roman" w:hAnsi="Times New Roman" w:cs="Times New Roman"/>
        </w:rPr>
        <w:t xml:space="preserve">UK must ensure compliance with </w:t>
      </w:r>
      <w:r w:rsidR="00953E99" w:rsidRPr="004842AA">
        <w:rPr>
          <w:rFonts w:ascii="Times New Roman" w:hAnsi="Times New Roman" w:cs="Times New Roman"/>
        </w:rPr>
        <w:t>that</w:t>
      </w:r>
      <w:r w:rsidR="008C4BDD" w:rsidRPr="004842AA">
        <w:rPr>
          <w:rFonts w:ascii="Times New Roman" w:hAnsi="Times New Roman" w:cs="Times New Roman"/>
        </w:rPr>
        <w:t xml:space="preserve"> obligation through </w:t>
      </w:r>
      <w:r w:rsidR="00235E17" w:rsidRPr="004842AA">
        <w:rPr>
          <w:rFonts w:ascii="Times New Roman" w:hAnsi="Times New Roman" w:cs="Times New Roman"/>
        </w:rPr>
        <w:t>primary legislation</w:t>
      </w:r>
      <w:r w:rsidR="008C4BDD" w:rsidRPr="004842AA">
        <w:rPr>
          <w:rFonts w:ascii="Times New Roman" w:hAnsi="Times New Roman" w:cs="Times New Roman"/>
        </w:rPr>
        <w:t xml:space="preserve">, including the power of </w:t>
      </w:r>
      <w:r w:rsidR="00235E17" w:rsidRPr="004842AA">
        <w:rPr>
          <w:rFonts w:ascii="Times New Roman" w:hAnsi="Times New Roman" w:cs="Times New Roman"/>
        </w:rPr>
        <w:t xml:space="preserve">judicial </w:t>
      </w:r>
      <w:r w:rsidR="008C4BDD" w:rsidRPr="004842AA">
        <w:rPr>
          <w:rFonts w:ascii="Times New Roman" w:hAnsi="Times New Roman" w:cs="Times New Roman"/>
        </w:rPr>
        <w:t xml:space="preserve">and </w:t>
      </w:r>
      <w:r w:rsidR="00235E17" w:rsidRPr="004842AA">
        <w:rPr>
          <w:rFonts w:ascii="Times New Roman" w:hAnsi="Times New Roman" w:cs="Times New Roman"/>
        </w:rPr>
        <w:t xml:space="preserve">administrative </w:t>
      </w:r>
      <w:r w:rsidR="008C4BDD" w:rsidRPr="004842AA">
        <w:rPr>
          <w:rFonts w:ascii="Times New Roman" w:hAnsi="Times New Roman" w:cs="Times New Roman"/>
        </w:rPr>
        <w:t xml:space="preserve">authorities to </w:t>
      </w:r>
      <w:proofErr w:type="spellStart"/>
      <w:r w:rsidR="00235E17" w:rsidRPr="004842AA">
        <w:rPr>
          <w:rFonts w:ascii="Times New Roman" w:hAnsi="Times New Roman" w:cs="Times New Roman"/>
        </w:rPr>
        <w:t>disapply</w:t>
      </w:r>
      <w:proofErr w:type="spellEnd"/>
      <w:r w:rsidR="00235E17" w:rsidRPr="004842AA">
        <w:rPr>
          <w:rFonts w:ascii="Times New Roman" w:hAnsi="Times New Roman" w:cs="Times New Roman"/>
        </w:rPr>
        <w:t xml:space="preserve"> inconsistent </w:t>
      </w:r>
      <w:r w:rsidR="008C4BDD" w:rsidRPr="004842AA">
        <w:rPr>
          <w:rFonts w:ascii="Times New Roman" w:hAnsi="Times New Roman" w:cs="Times New Roman"/>
        </w:rPr>
        <w:t xml:space="preserve">or </w:t>
      </w:r>
      <w:r w:rsidR="00235E17" w:rsidRPr="004842AA">
        <w:rPr>
          <w:rFonts w:ascii="Times New Roman" w:hAnsi="Times New Roman" w:cs="Times New Roman"/>
        </w:rPr>
        <w:t>incompatible provisions</w:t>
      </w:r>
      <w:r w:rsidR="008C4BDD" w:rsidRPr="004842AA">
        <w:rPr>
          <w:rFonts w:ascii="Times New Roman" w:hAnsi="Times New Roman" w:cs="Times New Roman"/>
        </w:rPr>
        <w:t xml:space="preserve"> of domestic law.  </w:t>
      </w:r>
      <w:r w:rsidR="00953E99" w:rsidRPr="004842AA">
        <w:rPr>
          <w:rFonts w:ascii="Times New Roman" w:hAnsi="Times New Roman" w:cs="Times New Roman"/>
        </w:rPr>
        <w:t xml:space="preserve">Moreover, in addition to the general principle that Union law </w:t>
      </w:r>
      <w:r w:rsidR="00F66282" w:rsidRPr="004842AA">
        <w:rPr>
          <w:rFonts w:ascii="Times New Roman" w:hAnsi="Times New Roman" w:cs="Times New Roman"/>
        </w:rPr>
        <w:t xml:space="preserve">for the purposes of the </w:t>
      </w:r>
      <w:r w:rsidR="00765401">
        <w:rPr>
          <w:rFonts w:ascii="Times New Roman" w:hAnsi="Times New Roman" w:cs="Times New Roman"/>
        </w:rPr>
        <w:t>Agreement</w:t>
      </w:r>
      <w:r w:rsidR="00F66282" w:rsidRPr="004842AA">
        <w:rPr>
          <w:rFonts w:ascii="Times New Roman" w:hAnsi="Times New Roman" w:cs="Times New Roman"/>
        </w:rPr>
        <w:t xml:space="preserve"> </w:t>
      </w:r>
      <w:r w:rsidR="00953E99" w:rsidRPr="004842AA">
        <w:rPr>
          <w:rFonts w:ascii="Times New Roman" w:hAnsi="Times New Roman" w:cs="Times New Roman"/>
        </w:rPr>
        <w:t xml:space="preserve">must be interpreted </w:t>
      </w:r>
      <w:r w:rsidR="00F66282" w:rsidRPr="004842AA">
        <w:rPr>
          <w:rFonts w:ascii="Times New Roman" w:hAnsi="Times New Roman" w:cs="Times New Roman"/>
        </w:rPr>
        <w:t xml:space="preserve">and applied </w:t>
      </w:r>
      <w:r w:rsidR="00953E99" w:rsidRPr="004842AA">
        <w:rPr>
          <w:rFonts w:ascii="Times New Roman" w:hAnsi="Times New Roman" w:cs="Times New Roman"/>
        </w:rPr>
        <w:t xml:space="preserve">in accordance with </w:t>
      </w:r>
      <w:r w:rsidR="00F66282" w:rsidRPr="004842AA">
        <w:rPr>
          <w:rFonts w:ascii="Times New Roman" w:hAnsi="Times New Roman" w:cs="Times New Roman"/>
        </w:rPr>
        <w:t>the methods and general principles of Union law</w:t>
      </w:r>
      <w:r w:rsidR="00F50C75">
        <w:rPr>
          <w:rFonts w:ascii="Times New Roman" w:hAnsi="Times New Roman" w:cs="Times New Roman"/>
        </w:rPr>
        <w:t>,</w:t>
      </w:r>
      <w:r w:rsidR="00F66282" w:rsidRPr="004842AA">
        <w:rPr>
          <w:rFonts w:ascii="Times New Roman" w:hAnsi="Times New Roman" w:cs="Times New Roman"/>
        </w:rPr>
        <w:t xml:space="preserve"> and in accordance with CJEU </w:t>
      </w:r>
      <w:proofErr w:type="spellStart"/>
      <w:r w:rsidR="00F66282" w:rsidRPr="004842AA">
        <w:rPr>
          <w:rFonts w:ascii="Times New Roman" w:hAnsi="Times New Roman" w:cs="Times New Roman"/>
        </w:rPr>
        <w:t>caselaw</w:t>
      </w:r>
      <w:proofErr w:type="spellEnd"/>
      <w:r w:rsidR="00F66282" w:rsidRPr="004842AA">
        <w:rPr>
          <w:rFonts w:ascii="Times New Roman" w:hAnsi="Times New Roman" w:cs="Times New Roman"/>
        </w:rPr>
        <w:t xml:space="preserve"> delivered before the end of transition, Article 4</w:t>
      </w:r>
      <w:r w:rsidR="00EA7FD9">
        <w:rPr>
          <w:rFonts w:ascii="Times New Roman" w:hAnsi="Times New Roman" w:cs="Times New Roman"/>
        </w:rPr>
        <w:t>(5)</w:t>
      </w:r>
      <w:r w:rsidR="00F66282" w:rsidRPr="004842AA">
        <w:rPr>
          <w:rFonts w:ascii="Times New Roman" w:hAnsi="Times New Roman" w:cs="Times New Roman"/>
        </w:rPr>
        <w:t xml:space="preserve"> WA further states that the UK’s judicial and administrative authorities</w:t>
      </w:r>
      <w:r w:rsidR="00F66282" w:rsidRPr="004842AA">
        <w:rPr>
          <w:rFonts w:ascii="Times New Roman" w:hAnsi="Times New Roman" w:cs="Times New Roman"/>
          <w:i/>
        </w:rPr>
        <w:t xml:space="preserve"> </w:t>
      </w:r>
      <w:r w:rsidR="00F66282" w:rsidRPr="004842AA">
        <w:rPr>
          <w:rFonts w:ascii="Times New Roman" w:hAnsi="Times New Roman" w:cs="Times New Roman"/>
        </w:rPr>
        <w:t xml:space="preserve">shall have “due regard” to any relevant CJEU </w:t>
      </w:r>
      <w:proofErr w:type="spellStart"/>
      <w:r w:rsidR="00F66282" w:rsidRPr="004842AA">
        <w:rPr>
          <w:rFonts w:ascii="Times New Roman" w:hAnsi="Times New Roman" w:cs="Times New Roman"/>
        </w:rPr>
        <w:t>caselaw</w:t>
      </w:r>
      <w:proofErr w:type="spellEnd"/>
      <w:r w:rsidR="00F66282" w:rsidRPr="004842AA">
        <w:rPr>
          <w:rFonts w:ascii="Times New Roman" w:hAnsi="Times New Roman" w:cs="Times New Roman"/>
        </w:rPr>
        <w:t xml:space="preserve"> </w:t>
      </w:r>
      <w:r w:rsidR="00F50C75">
        <w:rPr>
          <w:rFonts w:ascii="Times New Roman" w:hAnsi="Times New Roman" w:cs="Times New Roman"/>
        </w:rPr>
        <w:t xml:space="preserve">delivered </w:t>
      </w:r>
      <w:r w:rsidR="00F66282" w:rsidRPr="004842AA">
        <w:rPr>
          <w:rFonts w:ascii="Times New Roman" w:hAnsi="Times New Roman" w:cs="Times New Roman"/>
          <w:i/>
        </w:rPr>
        <w:t>after</w:t>
      </w:r>
      <w:r w:rsidR="00F66282" w:rsidRPr="004842AA">
        <w:rPr>
          <w:rFonts w:ascii="Times New Roman" w:hAnsi="Times New Roman" w:cs="Times New Roman"/>
        </w:rPr>
        <w:t xml:space="preserve"> that date.</w:t>
      </w:r>
      <w:r w:rsidR="00F66282" w:rsidRPr="004842AA">
        <w:rPr>
          <w:rStyle w:val="FootnoteReference"/>
          <w:rFonts w:ascii="Times New Roman" w:hAnsi="Times New Roman" w:cs="Times New Roman"/>
        </w:rPr>
        <w:footnoteReference w:id="134"/>
      </w:r>
      <w:r w:rsidR="00F66282" w:rsidRPr="004842AA">
        <w:rPr>
          <w:rFonts w:ascii="Times New Roman" w:hAnsi="Times New Roman" w:cs="Times New Roman"/>
        </w:rPr>
        <w:t xml:space="preserve">  </w:t>
      </w:r>
    </w:p>
    <w:p w14:paraId="15FA814D" w14:textId="2F7E8C22" w:rsidR="00235E17" w:rsidRPr="0069239A" w:rsidRDefault="008C4BDD" w:rsidP="0069239A">
      <w:pPr>
        <w:ind w:firstLine="720"/>
        <w:jc w:val="both"/>
        <w:rPr>
          <w:rFonts w:ascii="Times New Roman" w:hAnsi="Times New Roman" w:cs="Times New Roman"/>
        </w:rPr>
      </w:pPr>
      <w:r w:rsidRPr="004842AA">
        <w:rPr>
          <w:rFonts w:ascii="Times New Roman" w:hAnsi="Times New Roman" w:cs="Times New Roman"/>
        </w:rPr>
        <w:t>The European Union (Wi</w:t>
      </w:r>
      <w:r w:rsidR="00EA7FD9">
        <w:rPr>
          <w:rFonts w:ascii="Times New Roman" w:hAnsi="Times New Roman" w:cs="Times New Roman"/>
        </w:rPr>
        <w:t xml:space="preserve">thdrawal Agreement) Act 2020 </w:t>
      </w:r>
      <w:r w:rsidR="008A1027">
        <w:rPr>
          <w:rFonts w:ascii="Times New Roman" w:hAnsi="Times New Roman" w:cs="Times New Roman"/>
        </w:rPr>
        <w:t>makes</w:t>
      </w:r>
      <w:r w:rsidRPr="004842AA">
        <w:rPr>
          <w:rFonts w:ascii="Times New Roman" w:hAnsi="Times New Roman" w:cs="Times New Roman"/>
        </w:rPr>
        <w:t xml:space="preserve"> provision for the </w:t>
      </w:r>
      <w:r w:rsidR="00362C15">
        <w:rPr>
          <w:rFonts w:ascii="Times New Roman" w:hAnsi="Times New Roman" w:cs="Times New Roman"/>
        </w:rPr>
        <w:t>legal effect</w:t>
      </w:r>
      <w:r w:rsidR="00EA7FD9">
        <w:rPr>
          <w:rFonts w:ascii="Times New Roman" w:hAnsi="Times New Roman" w:cs="Times New Roman"/>
        </w:rPr>
        <w:t>s</w:t>
      </w:r>
      <w:r w:rsidRPr="004842AA">
        <w:rPr>
          <w:rFonts w:ascii="Times New Roman" w:hAnsi="Times New Roman" w:cs="Times New Roman"/>
        </w:rPr>
        <w:t xml:space="preserve"> of the Agreement within the UK legal system.</w:t>
      </w:r>
      <w:r w:rsidRPr="004842AA">
        <w:rPr>
          <w:rStyle w:val="FootnoteReference"/>
          <w:rFonts w:ascii="Times New Roman" w:hAnsi="Times New Roman" w:cs="Times New Roman"/>
        </w:rPr>
        <w:footnoteReference w:id="135"/>
      </w:r>
      <w:r w:rsidRPr="004842AA">
        <w:rPr>
          <w:rFonts w:ascii="Times New Roman" w:hAnsi="Times New Roman" w:cs="Times New Roman"/>
        </w:rPr>
        <w:t xml:space="preserve">  </w:t>
      </w:r>
      <w:r w:rsidR="00362C15">
        <w:rPr>
          <w:rFonts w:ascii="Times New Roman" w:hAnsi="Times New Roman" w:cs="Times New Roman"/>
        </w:rPr>
        <w:t>In theory</w:t>
      </w:r>
      <w:r w:rsidR="00F66282" w:rsidRPr="004842AA">
        <w:rPr>
          <w:rFonts w:ascii="Times New Roman" w:hAnsi="Times New Roman" w:cs="Times New Roman"/>
        </w:rPr>
        <w:t>,</w:t>
      </w:r>
      <w:r w:rsidRPr="004842AA">
        <w:rPr>
          <w:rFonts w:ascii="Times New Roman" w:hAnsi="Times New Roman" w:cs="Times New Roman"/>
        </w:rPr>
        <w:t xml:space="preserve"> the principles of direct effect and primacy </w:t>
      </w:r>
      <w:r w:rsidR="00362C15">
        <w:rPr>
          <w:rFonts w:ascii="Times New Roman" w:hAnsi="Times New Roman" w:cs="Times New Roman"/>
        </w:rPr>
        <w:t>should</w:t>
      </w:r>
      <w:r w:rsidRPr="004842AA">
        <w:rPr>
          <w:rFonts w:ascii="Times New Roman" w:hAnsi="Times New Roman" w:cs="Times New Roman"/>
        </w:rPr>
        <w:t xml:space="preserve"> </w:t>
      </w:r>
      <w:r w:rsidR="00362C15">
        <w:rPr>
          <w:rFonts w:ascii="Times New Roman" w:hAnsi="Times New Roman" w:cs="Times New Roman"/>
        </w:rPr>
        <w:t xml:space="preserve">therefore </w:t>
      </w:r>
      <w:r w:rsidRPr="004842AA">
        <w:rPr>
          <w:rFonts w:ascii="Times New Roman" w:hAnsi="Times New Roman" w:cs="Times New Roman"/>
        </w:rPr>
        <w:t xml:space="preserve">remain part of UK law, </w:t>
      </w:r>
      <w:r w:rsidR="006861A1">
        <w:rPr>
          <w:rFonts w:ascii="Times New Roman" w:hAnsi="Times New Roman" w:cs="Times New Roman"/>
        </w:rPr>
        <w:t>not just during the transition</w:t>
      </w:r>
      <w:r w:rsidRPr="004842AA">
        <w:rPr>
          <w:rFonts w:ascii="Times New Roman" w:hAnsi="Times New Roman" w:cs="Times New Roman"/>
        </w:rPr>
        <w:t xml:space="preserve"> period, but also for a considerable period thereafter, in accordance with the relevant provisions of the Agreement (for example) on citizens’ rights and the Irish border.  </w:t>
      </w:r>
      <w:r w:rsidR="00362C15">
        <w:rPr>
          <w:rFonts w:ascii="Times New Roman" w:hAnsi="Times New Roman" w:cs="Times New Roman"/>
        </w:rPr>
        <w:t xml:space="preserve">But in practice, </w:t>
      </w:r>
      <w:r w:rsidRPr="004842AA">
        <w:rPr>
          <w:rFonts w:ascii="Times New Roman" w:hAnsi="Times New Roman" w:cs="Times New Roman"/>
        </w:rPr>
        <w:t xml:space="preserve">UK constitutional lawyers may yet have to decide how far the domestic </w:t>
      </w:r>
      <w:r w:rsidR="00235E17" w:rsidRPr="004842AA">
        <w:rPr>
          <w:rFonts w:ascii="Times New Roman" w:hAnsi="Times New Roman" w:cs="Times New Roman"/>
        </w:rPr>
        <w:t>constitutional principle of parliamentary sovereignty</w:t>
      </w:r>
      <w:r w:rsidRPr="004842AA">
        <w:rPr>
          <w:rFonts w:ascii="Times New Roman" w:hAnsi="Times New Roman" w:cs="Times New Roman"/>
        </w:rPr>
        <w:t xml:space="preserve"> </w:t>
      </w:r>
      <w:r w:rsidR="00567D24">
        <w:rPr>
          <w:rFonts w:ascii="Times New Roman" w:hAnsi="Times New Roman" w:cs="Times New Roman"/>
        </w:rPr>
        <w:t xml:space="preserve">has indeed been nuanced or qualified by </w:t>
      </w:r>
      <w:r w:rsidRPr="004842AA">
        <w:rPr>
          <w:rFonts w:ascii="Times New Roman" w:hAnsi="Times New Roman" w:cs="Times New Roman"/>
        </w:rPr>
        <w:t xml:space="preserve">the UK’s clear </w:t>
      </w:r>
      <w:r w:rsidR="00235E17" w:rsidRPr="004842AA">
        <w:rPr>
          <w:rFonts w:ascii="Times New Roman" w:hAnsi="Times New Roman" w:cs="Times New Roman"/>
        </w:rPr>
        <w:t>international obligations</w:t>
      </w:r>
      <w:r w:rsidR="00362C15">
        <w:rPr>
          <w:rFonts w:ascii="Times New Roman" w:hAnsi="Times New Roman" w:cs="Times New Roman"/>
        </w:rPr>
        <w:t xml:space="preserve"> – especially </w:t>
      </w:r>
      <w:r w:rsidR="00235E17" w:rsidRPr="004842AA">
        <w:rPr>
          <w:rFonts w:ascii="Times New Roman" w:hAnsi="Times New Roman" w:cs="Times New Roman"/>
        </w:rPr>
        <w:t xml:space="preserve">in </w:t>
      </w:r>
      <w:r w:rsidRPr="004842AA">
        <w:rPr>
          <w:rFonts w:ascii="Times New Roman" w:hAnsi="Times New Roman" w:cs="Times New Roman"/>
        </w:rPr>
        <w:t xml:space="preserve">a </w:t>
      </w:r>
      <w:r w:rsidR="00235E17" w:rsidRPr="004842AA">
        <w:rPr>
          <w:rFonts w:ascii="Times New Roman" w:hAnsi="Times New Roman" w:cs="Times New Roman"/>
        </w:rPr>
        <w:t xml:space="preserve">situation where subsequent </w:t>
      </w:r>
      <w:r w:rsidRPr="004842AA">
        <w:rPr>
          <w:rFonts w:ascii="Times New Roman" w:hAnsi="Times New Roman" w:cs="Times New Roman"/>
        </w:rPr>
        <w:t xml:space="preserve">primary </w:t>
      </w:r>
      <w:r w:rsidR="00235E17" w:rsidRPr="004842AA">
        <w:rPr>
          <w:rFonts w:ascii="Times New Roman" w:hAnsi="Times New Roman" w:cs="Times New Roman"/>
        </w:rPr>
        <w:t>legislation conflict</w:t>
      </w:r>
      <w:r w:rsidRPr="004842AA">
        <w:rPr>
          <w:rFonts w:ascii="Times New Roman" w:hAnsi="Times New Roman" w:cs="Times New Roman"/>
        </w:rPr>
        <w:t>s</w:t>
      </w:r>
      <w:r w:rsidR="00235E17" w:rsidRPr="004842AA">
        <w:rPr>
          <w:rFonts w:ascii="Times New Roman" w:hAnsi="Times New Roman" w:cs="Times New Roman"/>
        </w:rPr>
        <w:t xml:space="preserve"> with </w:t>
      </w:r>
      <w:r w:rsidRPr="004842AA">
        <w:rPr>
          <w:rFonts w:ascii="Times New Roman" w:hAnsi="Times New Roman" w:cs="Times New Roman"/>
        </w:rPr>
        <w:t xml:space="preserve">the terms of the Agreement </w:t>
      </w:r>
      <w:r w:rsidR="00235E17" w:rsidRPr="004842AA">
        <w:rPr>
          <w:rFonts w:ascii="Times New Roman" w:hAnsi="Times New Roman" w:cs="Times New Roman"/>
        </w:rPr>
        <w:t xml:space="preserve">and </w:t>
      </w:r>
      <w:r w:rsidR="00F50C75">
        <w:rPr>
          <w:rFonts w:ascii="Times New Roman" w:hAnsi="Times New Roman" w:cs="Times New Roman"/>
        </w:rPr>
        <w:t xml:space="preserve">the </w:t>
      </w:r>
      <w:r w:rsidRPr="004842AA">
        <w:rPr>
          <w:rFonts w:ascii="Times New Roman" w:hAnsi="Times New Roman" w:cs="Times New Roman"/>
        </w:rPr>
        <w:t xml:space="preserve">traditional </w:t>
      </w:r>
      <w:r w:rsidR="00235E17" w:rsidRPr="004842AA">
        <w:rPr>
          <w:rFonts w:ascii="Times New Roman" w:hAnsi="Times New Roman" w:cs="Times New Roman"/>
        </w:rPr>
        <w:t xml:space="preserve">principle of implied repeal would normally require </w:t>
      </w:r>
      <w:r w:rsidRPr="004842AA">
        <w:rPr>
          <w:rFonts w:ascii="Times New Roman" w:hAnsi="Times New Roman" w:cs="Times New Roman"/>
        </w:rPr>
        <w:t xml:space="preserve">the 2020 Act </w:t>
      </w:r>
      <w:r w:rsidR="00235E17" w:rsidRPr="004842AA">
        <w:rPr>
          <w:rFonts w:ascii="Times New Roman" w:hAnsi="Times New Roman" w:cs="Times New Roman"/>
        </w:rPr>
        <w:t>to be set aside</w:t>
      </w:r>
      <w:r w:rsidRPr="004842AA">
        <w:rPr>
          <w:rFonts w:ascii="Times New Roman" w:hAnsi="Times New Roman" w:cs="Times New Roman"/>
        </w:rPr>
        <w:t xml:space="preserve"> rather than the </w:t>
      </w:r>
      <w:r w:rsidR="00235E17" w:rsidRPr="004842AA">
        <w:rPr>
          <w:rFonts w:ascii="Times New Roman" w:hAnsi="Times New Roman" w:cs="Times New Roman"/>
        </w:rPr>
        <w:t xml:space="preserve">subsequent (contradictory) legislation to be </w:t>
      </w:r>
      <w:proofErr w:type="spellStart"/>
      <w:r w:rsidR="00235E17" w:rsidRPr="004842AA">
        <w:rPr>
          <w:rFonts w:ascii="Times New Roman" w:hAnsi="Times New Roman" w:cs="Times New Roman"/>
        </w:rPr>
        <w:t>disapplied</w:t>
      </w:r>
      <w:proofErr w:type="spellEnd"/>
      <w:r w:rsidRPr="004842AA">
        <w:rPr>
          <w:rFonts w:ascii="Times New Roman" w:hAnsi="Times New Roman" w:cs="Times New Roman"/>
        </w:rPr>
        <w:t>.</w:t>
      </w:r>
      <w:r w:rsidR="00F50C75">
        <w:rPr>
          <w:rStyle w:val="FootnoteReference"/>
          <w:rFonts w:ascii="Times New Roman" w:hAnsi="Times New Roman" w:cs="Times New Roman"/>
        </w:rPr>
        <w:footnoteReference w:id="136"/>
      </w:r>
      <w:r w:rsidRPr="004842AA">
        <w:rPr>
          <w:rFonts w:ascii="Times New Roman" w:hAnsi="Times New Roman" w:cs="Times New Roman"/>
        </w:rPr>
        <w:t xml:space="preserve">  </w:t>
      </w:r>
    </w:p>
    <w:p w14:paraId="4C5A5466" w14:textId="77777777" w:rsidR="00F66282" w:rsidRPr="004842AA" w:rsidRDefault="00F66282" w:rsidP="004842AA">
      <w:pPr>
        <w:jc w:val="both"/>
        <w:rPr>
          <w:rFonts w:ascii="Times New Roman" w:hAnsi="Times New Roman" w:cs="Times New Roman"/>
          <w:b/>
          <w:highlight w:val="lightGray"/>
        </w:rPr>
      </w:pPr>
    </w:p>
    <w:p w14:paraId="799EDEBE" w14:textId="0AF32273" w:rsidR="00947667" w:rsidRPr="004842AA" w:rsidRDefault="00B365A3" w:rsidP="004842AA">
      <w:pPr>
        <w:jc w:val="both"/>
        <w:rPr>
          <w:rFonts w:ascii="Times New Roman" w:hAnsi="Times New Roman" w:cs="Times New Roman"/>
          <w:i/>
        </w:rPr>
      </w:pPr>
      <w:r w:rsidRPr="004842AA">
        <w:rPr>
          <w:rFonts w:ascii="Times New Roman" w:hAnsi="Times New Roman" w:cs="Times New Roman"/>
          <w:i/>
        </w:rPr>
        <w:t>3.2</w:t>
      </w:r>
      <w:r w:rsidR="008850A9" w:rsidRPr="004842AA">
        <w:rPr>
          <w:rFonts w:ascii="Times New Roman" w:hAnsi="Times New Roman" w:cs="Times New Roman"/>
          <w:i/>
        </w:rPr>
        <w:t xml:space="preserve">. </w:t>
      </w:r>
      <w:r w:rsidR="008850A9" w:rsidRPr="004842AA">
        <w:rPr>
          <w:rFonts w:ascii="Times New Roman" w:hAnsi="Times New Roman" w:cs="Times New Roman"/>
          <w:i/>
        </w:rPr>
        <w:tab/>
        <w:t>Transition</w:t>
      </w:r>
      <w:r w:rsidR="0076752A" w:rsidRPr="004842AA">
        <w:rPr>
          <w:rFonts w:ascii="Times New Roman" w:hAnsi="Times New Roman" w:cs="Times New Roman"/>
          <w:i/>
        </w:rPr>
        <w:t xml:space="preserve"> period</w:t>
      </w:r>
    </w:p>
    <w:p w14:paraId="37FAC8C6" w14:textId="2F4BC562" w:rsidR="0076752A" w:rsidRPr="004842AA" w:rsidRDefault="0076752A" w:rsidP="004842AA">
      <w:pPr>
        <w:widowControl w:val="0"/>
        <w:autoSpaceDE w:val="0"/>
        <w:autoSpaceDN w:val="0"/>
        <w:adjustRightInd w:val="0"/>
        <w:jc w:val="both"/>
        <w:rPr>
          <w:rFonts w:ascii="Times New Roman" w:hAnsi="Times New Roman" w:cs="Times New Roman"/>
        </w:rPr>
      </w:pPr>
    </w:p>
    <w:p w14:paraId="46833789" w14:textId="77777777" w:rsidR="0069239A" w:rsidRDefault="0016421F" w:rsidP="004842AA">
      <w:pPr>
        <w:widowControl w:val="0"/>
        <w:autoSpaceDE w:val="0"/>
        <w:autoSpaceDN w:val="0"/>
        <w:adjustRightInd w:val="0"/>
        <w:jc w:val="both"/>
        <w:rPr>
          <w:rFonts w:ascii="Times New Roman" w:hAnsi="Times New Roman" w:cs="Times New Roman"/>
        </w:rPr>
      </w:pPr>
      <w:r w:rsidRPr="004842AA">
        <w:rPr>
          <w:rFonts w:ascii="Times New Roman" w:hAnsi="Times New Roman" w:cs="Times New Roman"/>
        </w:rPr>
        <w:t>We noted above how the UK had originally proposed settling the future EU-UK relationship before withdrawal took place, leading to an “implementation period” during which the new arrangements could gradually be brought into force.</w:t>
      </w:r>
      <w:r w:rsidRPr="004842AA">
        <w:rPr>
          <w:rStyle w:val="FootnoteReference"/>
          <w:rFonts w:ascii="Times New Roman" w:hAnsi="Times New Roman" w:cs="Times New Roman"/>
        </w:rPr>
        <w:footnoteReference w:id="137"/>
      </w:r>
      <w:r w:rsidRPr="004842AA">
        <w:rPr>
          <w:rFonts w:ascii="Times New Roman" w:hAnsi="Times New Roman" w:cs="Times New Roman"/>
        </w:rPr>
        <w:t xml:space="preserve">  </w:t>
      </w:r>
      <w:r w:rsidR="00FA3097" w:rsidRPr="004842AA">
        <w:rPr>
          <w:rFonts w:ascii="Times New Roman" w:hAnsi="Times New Roman" w:cs="Times New Roman"/>
        </w:rPr>
        <w:t xml:space="preserve">By contrast, the European Council insisted that </w:t>
      </w:r>
      <w:r w:rsidRPr="004842AA">
        <w:rPr>
          <w:rFonts w:ascii="Times New Roman" w:hAnsi="Times New Roman" w:cs="Times New Roman"/>
        </w:rPr>
        <w:t>formal negotiations on the future relationship could only begin after withdrawal had been completed</w:t>
      </w:r>
      <w:r w:rsidR="00FA3097" w:rsidRPr="004842AA">
        <w:rPr>
          <w:rFonts w:ascii="Times New Roman" w:hAnsi="Times New Roman" w:cs="Times New Roman"/>
        </w:rPr>
        <w:t xml:space="preserve">, but suggested that </w:t>
      </w:r>
      <w:r w:rsidRPr="004842AA">
        <w:rPr>
          <w:rFonts w:ascii="Times New Roman" w:hAnsi="Times New Roman" w:cs="Times New Roman"/>
        </w:rPr>
        <w:t xml:space="preserve">the Article 50 TEU negotiations might </w:t>
      </w:r>
      <w:r w:rsidR="00FA3097" w:rsidRPr="004842AA">
        <w:rPr>
          <w:rFonts w:ascii="Times New Roman" w:hAnsi="Times New Roman" w:cs="Times New Roman"/>
        </w:rPr>
        <w:t xml:space="preserve">nevertheless </w:t>
      </w:r>
      <w:r w:rsidRPr="004842AA">
        <w:rPr>
          <w:rFonts w:ascii="Times New Roman" w:hAnsi="Times New Roman" w:cs="Times New Roman"/>
        </w:rPr>
        <w:t xml:space="preserve">include clearly defined, time-limited transitional arrangements to provide </w:t>
      </w:r>
      <w:r w:rsidR="00FA3097" w:rsidRPr="004842AA">
        <w:rPr>
          <w:rFonts w:ascii="Times New Roman" w:hAnsi="Times New Roman" w:cs="Times New Roman"/>
        </w:rPr>
        <w:t xml:space="preserve">the </w:t>
      </w:r>
      <w:r w:rsidRPr="004842AA">
        <w:rPr>
          <w:rFonts w:ascii="Times New Roman" w:hAnsi="Times New Roman" w:cs="Times New Roman"/>
        </w:rPr>
        <w:t xml:space="preserve">bridge to </w:t>
      </w:r>
      <w:r w:rsidR="00FA3097" w:rsidRPr="004842AA">
        <w:rPr>
          <w:rFonts w:ascii="Times New Roman" w:hAnsi="Times New Roman" w:cs="Times New Roman"/>
        </w:rPr>
        <w:t xml:space="preserve">some </w:t>
      </w:r>
      <w:r w:rsidRPr="004842AA">
        <w:rPr>
          <w:rFonts w:ascii="Times New Roman" w:hAnsi="Times New Roman" w:cs="Times New Roman"/>
        </w:rPr>
        <w:t xml:space="preserve">foreseeable </w:t>
      </w:r>
      <w:r w:rsidR="00FA3097" w:rsidRPr="004842AA">
        <w:rPr>
          <w:rFonts w:ascii="Times New Roman" w:hAnsi="Times New Roman" w:cs="Times New Roman"/>
        </w:rPr>
        <w:t>new settlement</w:t>
      </w:r>
      <w:r w:rsidRPr="004842AA">
        <w:rPr>
          <w:rFonts w:ascii="Times New Roman" w:hAnsi="Times New Roman" w:cs="Times New Roman"/>
        </w:rPr>
        <w:t xml:space="preserve">.  Insofar as such arrangements might include a temporary prolongation of the Union </w:t>
      </w:r>
      <w:proofErr w:type="gramStart"/>
      <w:r w:rsidRPr="004842AA">
        <w:rPr>
          <w:rFonts w:ascii="Times New Roman" w:hAnsi="Times New Roman" w:cs="Times New Roman"/>
          <w:i/>
        </w:rPr>
        <w:t>acquis</w:t>
      </w:r>
      <w:r w:rsidRPr="004842AA">
        <w:rPr>
          <w:rFonts w:ascii="Times New Roman" w:hAnsi="Times New Roman" w:cs="Times New Roman"/>
        </w:rPr>
        <w:t>, that</w:t>
      </w:r>
      <w:proofErr w:type="gramEnd"/>
      <w:r w:rsidRPr="004842AA">
        <w:rPr>
          <w:rFonts w:ascii="Times New Roman" w:hAnsi="Times New Roman" w:cs="Times New Roman"/>
        </w:rPr>
        <w:t xml:space="preserve"> would </w:t>
      </w:r>
      <w:r w:rsidRPr="004842AA">
        <w:rPr>
          <w:rFonts w:ascii="Times New Roman" w:hAnsi="Times New Roman" w:cs="Times New Roman"/>
        </w:rPr>
        <w:lastRenderedPageBreak/>
        <w:t>require existing Union instruments and structures to apply.</w:t>
      </w:r>
      <w:r w:rsidR="009A3314" w:rsidRPr="004842AA">
        <w:rPr>
          <w:rStyle w:val="FootnoteReference"/>
          <w:rFonts w:ascii="Times New Roman" w:hAnsi="Times New Roman" w:cs="Times New Roman"/>
        </w:rPr>
        <w:footnoteReference w:id="138"/>
      </w:r>
      <w:r w:rsidRPr="004842AA">
        <w:rPr>
          <w:rFonts w:ascii="Times New Roman" w:hAnsi="Times New Roman" w:cs="Times New Roman"/>
        </w:rPr>
        <w:t xml:space="preserve">  </w:t>
      </w:r>
    </w:p>
    <w:p w14:paraId="598A9706" w14:textId="00BE9112" w:rsidR="00FA3097" w:rsidRPr="004842AA" w:rsidRDefault="0016421F" w:rsidP="0069239A">
      <w:pPr>
        <w:widowControl w:val="0"/>
        <w:autoSpaceDE w:val="0"/>
        <w:autoSpaceDN w:val="0"/>
        <w:adjustRightInd w:val="0"/>
        <w:ind w:firstLine="720"/>
        <w:jc w:val="both"/>
        <w:rPr>
          <w:rFonts w:ascii="Times New Roman" w:hAnsi="Times New Roman" w:cs="Times New Roman"/>
        </w:rPr>
      </w:pPr>
      <w:r w:rsidRPr="004842AA">
        <w:rPr>
          <w:rFonts w:ascii="Times New Roman" w:hAnsi="Times New Roman" w:cs="Times New Roman"/>
        </w:rPr>
        <w:t>Having</w:t>
      </w:r>
      <w:r w:rsidR="00CC3185">
        <w:rPr>
          <w:rFonts w:ascii="Times New Roman" w:hAnsi="Times New Roman" w:cs="Times New Roman"/>
        </w:rPr>
        <w:t xml:space="preserve"> lost the battle over sequence</w:t>
      </w:r>
      <w:r w:rsidRPr="004842AA">
        <w:rPr>
          <w:rFonts w:ascii="Times New Roman" w:hAnsi="Times New Roman" w:cs="Times New Roman"/>
        </w:rPr>
        <w:t xml:space="preserve"> and timing, the UK was forced radically to revise its w</w:t>
      </w:r>
      <w:r w:rsidR="008477EB" w:rsidRPr="004842AA">
        <w:rPr>
          <w:rFonts w:ascii="Times New Roman" w:hAnsi="Times New Roman" w:cs="Times New Roman"/>
        </w:rPr>
        <w:t>ithdrawal plans and negotiation</w:t>
      </w:r>
      <w:r w:rsidRPr="004842AA">
        <w:rPr>
          <w:rFonts w:ascii="Times New Roman" w:hAnsi="Times New Roman" w:cs="Times New Roman"/>
        </w:rPr>
        <w:t xml:space="preserve"> strategy.  In her </w:t>
      </w:r>
      <w:r w:rsidR="001E34EC">
        <w:rPr>
          <w:rFonts w:ascii="Times New Roman" w:hAnsi="Times New Roman" w:cs="Times New Roman"/>
        </w:rPr>
        <w:t>“</w:t>
      </w:r>
      <w:r w:rsidRPr="004842AA">
        <w:rPr>
          <w:rFonts w:ascii="Times New Roman" w:hAnsi="Times New Roman" w:cs="Times New Roman"/>
        </w:rPr>
        <w:t>Florence Speech</w:t>
      </w:r>
      <w:r w:rsidR="001E34EC">
        <w:rPr>
          <w:rFonts w:ascii="Times New Roman" w:hAnsi="Times New Roman" w:cs="Times New Roman"/>
        </w:rPr>
        <w:t>”</w:t>
      </w:r>
      <w:r w:rsidRPr="004842AA">
        <w:rPr>
          <w:rFonts w:ascii="Times New Roman" w:hAnsi="Times New Roman" w:cs="Times New Roman"/>
        </w:rPr>
        <w:t xml:space="preserve"> of September 2017, Theresa May accepted that the UK would be leaving the Union without </w:t>
      </w:r>
      <w:r w:rsidR="008477EB" w:rsidRPr="004842AA">
        <w:rPr>
          <w:rFonts w:ascii="Times New Roman" w:hAnsi="Times New Roman" w:cs="Times New Roman"/>
        </w:rPr>
        <w:t xml:space="preserve">any </w:t>
      </w:r>
      <w:r w:rsidRPr="004842AA">
        <w:rPr>
          <w:rFonts w:ascii="Times New Roman" w:hAnsi="Times New Roman" w:cs="Times New Roman"/>
        </w:rPr>
        <w:t xml:space="preserve">agreement on the future relationship </w:t>
      </w:r>
      <w:r w:rsidR="00A36412" w:rsidRPr="004842AA">
        <w:rPr>
          <w:rFonts w:ascii="Times New Roman" w:hAnsi="Times New Roman" w:cs="Times New Roman"/>
        </w:rPr>
        <w:t xml:space="preserve">and instead </w:t>
      </w:r>
      <w:r w:rsidRPr="004842AA">
        <w:rPr>
          <w:rFonts w:ascii="Times New Roman" w:hAnsi="Times New Roman" w:cs="Times New Roman"/>
        </w:rPr>
        <w:t xml:space="preserve">requested </w:t>
      </w:r>
      <w:r w:rsidR="006861A1">
        <w:rPr>
          <w:rFonts w:ascii="Times New Roman" w:hAnsi="Times New Roman" w:cs="Times New Roman"/>
        </w:rPr>
        <w:t>a transition</w:t>
      </w:r>
      <w:r w:rsidR="00A36412" w:rsidRPr="004842AA">
        <w:rPr>
          <w:rFonts w:ascii="Times New Roman" w:hAnsi="Times New Roman" w:cs="Times New Roman"/>
        </w:rPr>
        <w:t xml:space="preserve"> period during which the Union</w:t>
      </w:r>
      <w:r w:rsidR="00A36412" w:rsidRPr="004842AA">
        <w:rPr>
          <w:rFonts w:ascii="Times New Roman" w:hAnsi="Times New Roman" w:cs="Times New Roman"/>
          <w:i/>
        </w:rPr>
        <w:t xml:space="preserve"> acquis</w:t>
      </w:r>
      <w:r w:rsidR="00A36412" w:rsidRPr="004842AA">
        <w:rPr>
          <w:rFonts w:ascii="Times New Roman" w:hAnsi="Times New Roman" w:cs="Times New Roman"/>
        </w:rPr>
        <w:t xml:space="preserve"> would be prolonged almost in its entirety – a far cry indeed from the original UK proposals</w:t>
      </w:r>
      <w:r w:rsidR="00FA3097" w:rsidRPr="004842AA">
        <w:rPr>
          <w:rFonts w:ascii="Times New Roman" w:hAnsi="Times New Roman" w:cs="Times New Roman"/>
        </w:rPr>
        <w:t>,</w:t>
      </w:r>
      <w:r w:rsidR="00A36412" w:rsidRPr="004842AA">
        <w:rPr>
          <w:rFonts w:ascii="Times New Roman" w:hAnsi="Times New Roman" w:cs="Times New Roman"/>
        </w:rPr>
        <w:t xml:space="preserve"> but </w:t>
      </w:r>
      <w:r w:rsidR="00FA3097" w:rsidRPr="004842AA">
        <w:rPr>
          <w:rFonts w:ascii="Times New Roman" w:hAnsi="Times New Roman" w:cs="Times New Roman"/>
        </w:rPr>
        <w:t xml:space="preserve">also </w:t>
      </w:r>
      <w:r w:rsidR="00A36412" w:rsidRPr="004842AA">
        <w:rPr>
          <w:rFonts w:ascii="Times New Roman" w:hAnsi="Times New Roman" w:cs="Times New Roman"/>
        </w:rPr>
        <w:t>much further even than the European Council had envisaged.</w:t>
      </w:r>
      <w:r w:rsidR="00684EFB" w:rsidRPr="004842AA">
        <w:rPr>
          <w:rStyle w:val="FootnoteReference"/>
          <w:rFonts w:ascii="Times New Roman" w:hAnsi="Times New Roman" w:cs="Times New Roman"/>
        </w:rPr>
        <w:footnoteReference w:id="139"/>
      </w:r>
      <w:r w:rsidR="00FA3097" w:rsidRPr="004842AA">
        <w:rPr>
          <w:rFonts w:ascii="Times New Roman" w:hAnsi="Times New Roman" w:cs="Times New Roman"/>
        </w:rPr>
        <w:t xml:space="preserve"> </w:t>
      </w:r>
      <w:r w:rsidR="00CC3185">
        <w:rPr>
          <w:rFonts w:ascii="Times New Roman" w:hAnsi="Times New Roman" w:cs="Times New Roman"/>
        </w:rPr>
        <w:t xml:space="preserve"> </w:t>
      </w:r>
      <w:r w:rsidR="008477EB" w:rsidRPr="004842AA">
        <w:rPr>
          <w:rFonts w:ascii="Times New Roman" w:hAnsi="Times New Roman" w:cs="Times New Roman"/>
        </w:rPr>
        <w:t>After outlining the essential provisions</w:t>
      </w:r>
      <w:r w:rsidR="00CC3185">
        <w:rPr>
          <w:rFonts w:ascii="Times New Roman" w:hAnsi="Times New Roman" w:cs="Times New Roman"/>
        </w:rPr>
        <w:t xml:space="preserve"> contained in </w:t>
      </w:r>
      <w:r w:rsidR="00CC3185" w:rsidRPr="004842AA">
        <w:rPr>
          <w:rFonts w:ascii="Times New Roman" w:hAnsi="Times New Roman" w:cs="Times New Roman"/>
        </w:rPr>
        <w:t xml:space="preserve">Part </w:t>
      </w:r>
      <w:r w:rsidR="00CC3185">
        <w:rPr>
          <w:rFonts w:ascii="Times New Roman" w:hAnsi="Times New Roman" w:cs="Times New Roman"/>
        </w:rPr>
        <w:t xml:space="preserve">Four </w:t>
      </w:r>
      <w:r w:rsidR="00CC3185" w:rsidRPr="004842AA">
        <w:rPr>
          <w:rFonts w:ascii="Times New Roman" w:hAnsi="Times New Roman" w:cs="Times New Roman"/>
        </w:rPr>
        <w:t>of the Agreement</w:t>
      </w:r>
      <w:r w:rsidR="008477EB" w:rsidRPr="004842AA">
        <w:rPr>
          <w:rFonts w:ascii="Times New Roman" w:hAnsi="Times New Roman" w:cs="Times New Roman"/>
        </w:rPr>
        <w:t xml:space="preserve">, we will focus on </w:t>
      </w:r>
      <w:r w:rsidR="00474FA3">
        <w:rPr>
          <w:rFonts w:ascii="Times New Roman" w:hAnsi="Times New Roman" w:cs="Times New Roman"/>
        </w:rPr>
        <w:t>how far transition might fulfil</w:t>
      </w:r>
      <w:r w:rsidR="008477EB" w:rsidRPr="004842AA">
        <w:rPr>
          <w:rFonts w:ascii="Times New Roman" w:hAnsi="Times New Roman" w:cs="Times New Roman"/>
        </w:rPr>
        <w:t xml:space="preserve"> its various objectives; together with some of the key political and legal controversies </w:t>
      </w:r>
      <w:r w:rsidR="00CB1430">
        <w:rPr>
          <w:rFonts w:ascii="Times New Roman" w:hAnsi="Times New Roman" w:cs="Times New Roman"/>
        </w:rPr>
        <w:t>it raises</w:t>
      </w:r>
      <w:r w:rsidR="008477EB" w:rsidRPr="004842AA">
        <w:rPr>
          <w:rFonts w:ascii="Times New Roman" w:hAnsi="Times New Roman" w:cs="Times New Roman"/>
        </w:rPr>
        <w:t xml:space="preserve">.  </w:t>
      </w:r>
    </w:p>
    <w:p w14:paraId="45391990" w14:textId="77777777" w:rsidR="00FA3097" w:rsidRPr="004842AA" w:rsidRDefault="00FA3097" w:rsidP="004842AA">
      <w:pPr>
        <w:widowControl w:val="0"/>
        <w:autoSpaceDE w:val="0"/>
        <w:autoSpaceDN w:val="0"/>
        <w:adjustRightInd w:val="0"/>
        <w:jc w:val="both"/>
        <w:rPr>
          <w:rFonts w:ascii="Times New Roman" w:hAnsi="Times New Roman" w:cs="Times New Roman"/>
        </w:rPr>
      </w:pPr>
    </w:p>
    <w:p w14:paraId="393577BB" w14:textId="533F1AD9" w:rsidR="00FA3097" w:rsidRPr="004842AA" w:rsidRDefault="00FA3097" w:rsidP="004842AA">
      <w:pPr>
        <w:widowControl w:val="0"/>
        <w:autoSpaceDE w:val="0"/>
        <w:autoSpaceDN w:val="0"/>
        <w:adjustRightInd w:val="0"/>
        <w:jc w:val="both"/>
        <w:rPr>
          <w:rFonts w:ascii="Times New Roman" w:hAnsi="Times New Roman" w:cs="Times New Roman"/>
          <w:i/>
        </w:rPr>
      </w:pPr>
      <w:r w:rsidRPr="004842AA">
        <w:rPr>
          <w:rFonts w:ascii="Times New Roman" w:hAnsi="Times New Roman" w:cs="Times New Roman"/>
          <w:i/>
        </w:rPr>
        <w:t>3.2.1.</w:t>
      </w:r>
      <w:r w:rsidRPr="004842AA">
        <w:rPr>
          <w:rFonts w:ascii="Times New Roman" w:hAnsi="Times New Roman" w:cs="Times New Roman"/>
          <w:i/>
        </w:rPr>
        <w:tab/>
        <w:t>Main provisions on transition</w:t>
      </w:r>
    </w:p>
    <w:p w14:paraId="3A9675E4" w14:textId="77777777" w:rsidR="00FA3097" w:rsidRPr="004842AA" w:rsidRDefault="00FA3097" w:rsidP="004842AA">
      <w:pPr>
        <w:widowControl w:val="0"/>
        <w:autoSpaceDE w:val="0"/>
        <w:autoSpaceDN w:val="0"/>
        <w:adjustRightInd w:val="0"/>
        <w:jc w:val="both"/>
        <w:rPr>
          <w:rFonts w:ascii="Times New Roman" w:hAnsi="Times New Roman" w:cs="Times New Roman"/>
        </w:rPr>
      </w:pPr>
    </w:p>
    <w:p w14:paraId="7E032998" w14:textId="1FEA5EDF" w:rsidR="0069239A" w:rsidRDefault="00FA3097" w:rsidP="004842AA">
      <w:pPr>
        <w:widowControl w:val="0"/>
        <w:autoSpaceDE w:val="0"/>
        <w:autoSpaceDN w:val="0"/>
        <w:adjustRightInd w:val="0"/>
        <w:jc w:val="both"/>
        <w:rPr>
          <w:rFonts w:ascii="Times New Roman" w:hAnsi="Times New Roman" w:cs="Times New Roman"/>
        </w:rPr>
      </w:pPr>
      <w:r w:rsidRPr="004842AA">
        <w:rPr>
          <w:rFonts w:ascii="Times New Roman" w:hAnsi="Times New Roman" w:cs="Times New Roman"/>
        </w:rPr>
        <w:t>T</w:t>
      </w:r>
      <w:r w:rsidR="00E75939" w:rsidRPr="004842AA">
        <w:rPr>
          <w:rFonts w:ascii="Times New Roman" w:hAnsi="Times New Roman" w:cs="Times New Roman"/>
        </w:rPr>
        <w:t>he basic principle is set out in Article 127(1) WA: unless otherwise provided for, Union law shall be applicable to and i</w:t>
      </w:r>
      <w:r w:rsidR="006861A1">
        <w:rPr>
          <w:rFonts w:ascii="Times New Roman" w:hAnsi="Times New Roman" w:cs="Times New Roman"/>
        </w:rPr>
        <w:t>n the UK during the transition</w:t>
      </w:r>
      <w:r w:rsidR="00E75939" w:rsidRPr="004842AA">
        <w:rPr>
          <w:rFonts w:ascii="Times New Roman" w:hAnsi="Times New Roman" w:cs="Times New Roman"/>
        </w:rPr>
        <w:t xml:space="preserve"> period.</w:t>
      </w:r>
      <w:r w:rsidR="002D7E71" w:rsidRPr="004842AA">
        <w:rPr>
          <w:rStyle w:val="FootnoteReference"/>
          <w:rFonts w:ascii="Times New Roman" w:hAnsi="Times New Roman" w:cs="Times New Roman"/>
        </w:rPr>
        <w:footnoteReference w:id="140"/>
      </w:r>
      <w:r w:rsidR="00E75939" w:rsidRPr="004842AA">
        <w:rPr>
          <w:rFonts w:ascii="Times New Roman" w:hAnsi="Times New Roman" w:cs="Times New Roman"/>
        </w:rPr>
        <w:t xml:space="preserve">  </w:t>
      </w:r>
      <w:r w:rsidR="00457F8F" w:rsidRPr="004842AA">
        <w:rPr>
          <w:rFonts w:ascii="Times New Roman" w:hAnsi="Times New Roman" w:cs="Times New Roman"/>
        </w:rPr>
        <w:t xml:space="preserve">Article 126 WA provides that transition will expire on 31 December 2020 (corresponding to </w:t>
      </w:r>
      <w:r w:rsidR="00474FA3">
        <w:rPr>
          <w:rFonts w:ascii="Times New Roman" w:hAnsi="Times New Roman" w:cs="Times New Roman"/>
        </w:rPr>
        <w:t xml:space="preserve">the </w:t>
      </w:r>
      <w:r w:rsidR="00457F8F" w:rsidRPr="004842AA">
        <w:rPr>
          <w:rFonts w:ascii="Times New Roman" w:hAnsi="Times New Roman" w:cs="Times New Roman"/>
        </w:rPr>
        <w:t xml:space="preserve">end of the Union’s current multiannual financial framework).  However, Article 132 </w:t>
      </w:r>
      <w:r w:rsidR="00221212" w:rsidRPr="004842AA">
        <w:rPr>
          <w:rFonts w:ascii="Times New Roman" w:hAnsi="Times New Roman" w:cs="Times New Roman"/>
        </w:rPr>
        <w:t xml:space="preserve">WA </w:t>
      </w:r>
      <w:r w:rsidRPr="004842AA">
        <w:rPr>
          <w:rFonts w:ascii="Times New Roman" w:hAnsi="Times New Roman" w:cs="Times New Roman"/>
        </w:rPr>
        <w:t xml:space="preserve">also </w:t>
      </w:r>
      <w:r w:rsidR="00221212" w:rsidRPr="004842AA">
        <w:rPr>
          <w:rFonts w:ascii="Times New Roman" w:hAnsi="Times New Roman" w:cs="Times New Roman"/>
        </w:rPr>
        <w:t xml:space="preserve">provides that the Joint Committee may </w:t>
      </w:r>
      <w:r w:rsidR="00457F8F" w:rsidRPr="004842AA">
        <w:rPr>
          <w:rFonts w:ascii="Times New Roman" w:hAnsi="Times New Roman" w:cs="Times New Roman"/>
        </w:rPr>
        <w:t xml:space="preserve">(before 1 July 2020) adopt </w:t>
      </w:r>
      <w:r w:rsidR="00221212" w:rsidRPr="004842AA">
        <w:rPr>
          <w:rFonts w:ascii="Times New Roman" w:hAnsi="Times New Roman" w:cs="Times New Roman"/>
        </w:rPr>
        <w:t xml:space="preserve">a </w:t>
      </w:r>
      <w:r w:rsidR="00457F8F" w:rsidRPr="004842AA">
        <w:rPr>
          <w:rFonts w:ascii="Times New Roman" w:hAnsi="Times New Roman" w:cs="Times New Roman"/>
        </w:rPr>
        <w:t xml:space="preserve">single decision extending </w:t>
      </w:r>
      <w:r w:rsidR="00221212" w:rsidRPr="004842AA">
        <w:rPr>
          <w:rFonts w:ascii="Times New Roman" w:hAnsi="Times New Roman" w:cs="Times New Roman"/>
        </w:rPr>
        <w:t>transition for “up to one or two years”.</w:t>
      </w:r>
      <w:r w:rsidR="00221212" w:rsidRPr="004842AA">
        <w:rPr>
          <w:rStyle w:val="FootnoteReference"/>
          <w:rFonts w:ascii="Times New Roman" w:hAnsi="Times New Roman" w:cs="Times New Roman"/>
        </w:rPr>
        <w:footnoteReference w:id="141"/>
      </w:r>
      <w:r w:rsidR="00221212" w:rsidRPr="004842AA">
        <w:rPr>
          <w:rFonts w:ascii="Times New Roman" w:hAnsi="Times New Roman" w:cs="Times New Roman"/>
        </w:rPr>
        <w:t xml:space="preserve">  </w:t>
      </w:r>
    </w:p>
    <w:p w14:paraId="1843330F" w14:textId="6D52BE70" w:rsidR="0069239A" w:rsidRDefault="00457F8F" w:rsidP="0069239A">
      <w:pPr>
        <w:widowControl w:val="0"/>
        <w:autoSpaceDE w:val="0"/>
        <w:autoSpaceDN w:val="0"/>
        <w:adjustRightInd w:val="0"/>
        <w:ind w:firstLine="720"/>
        <w:jc w:val="both"/>
        <w:rPr>
          <w:rFonts w:ascii="Times New Roman" w:hAnsi="Times New Roman" w:cs="Times New Roman"/>
        </w:rPr>
      </w:pPr>
      <w:r w:rsidRPr="004842AA">
        <w:rPr>
          <w:rFonts w:ascii="Times New Roman" w:hAnsi="Times New Roman" w:cs="Times New Roman"/>
        </w:rPr>
        <w:t xml:space="preserve">The continued applicability of Union law to the UK during transition </w:t>
      </w:r>
      <w:r w:rsidR="00576E1B" w:rsidRPr="004842AA">
        <w:rPr>
          <w:rFonts w:ascii="Times New Roman" w:hAnsi="Times New Roman" w:cs="Times New Roman"/>
        </w:rPr>
        <w:t xml:space="preserve">includes not only </w:t>
      </w:r>
      <w:r w:rsidRPr="004842AA">
        <w:rPr>
          <w:rFonts w:ascii="Times New Roman" w:hAnsi="Times New Roman" w:cs="Times New Roman"/>
        </w:rPr>
        <w:t xml:space="preserve">the </w:t>
      </w:r>
      <w:r w:rsidR="00576E1B" w:rsidRPr="004842AA">
        <w:rPr>
          <w:rFonts w:ascii="Times New Roman" w:hAnsi="Times New Roman" w:cs="Times New Roman"/>
        </w:rPr>
        <w:t>substantive rules, but also th</w:t>
      </w:r>
      <w:r w:rsidR="009A6F8F" w:rsidRPr="004842AA">
        <w:rPr>
          <w:rFonts w:ascii="Times New Roman" w:hAnsi="Times New Roman" w:cs="Times New Roman"/>
        </w:rPr>
        <w:t>ose</w:t>
      </w:r>
      <w:r w:rsidR="00576E1B" w:rsidRPr="004842AA">
        <w:rPr>
          <w:rFonts w:ascii="Times New Roman" w:hAnsi="Times New Roman" w:cs="Times New Roman"/>
        </w:rPr>
        <w:t xml:space="preserve"> Union law methods and general principles governing their interpretation, as well as their legal effects within the UK legal system</w:t>
      </w:r>
      <w:r w:rsidR="009A6F8F" w:rsidRPr="004842AA">
        <w:rPr>
          <w:rFonts w:ascii="Times New Roman" w:hAnsi="Times New Roman" w:cs="Times New Roman"/>
        </w:rPr>
        <w:t>.</w:t>
      </w:r>
      <w:r w:rsidR="00474FA3">
        <w:rPr>
          <w:rStyle w:val="FootnoteReference"/>
          <w:rFonts w:ascii="Times New Roman" w:hAnsi="Times New Roman" w:cs="Times New Roman"/>
        </w:rPr>
        <w:footnoteReference w:id="142"/>
      </w:r>
      <w:r w:rsidR="009A6F8F" w:rsidRPr="004842AA">
        <w:rPr>
          <w:rFonts w:ascii="Times New Roman" w:hAnsi="Times New Roman" w:cs="Times New Roman"/>
        </w:rPr>
        <w:t xml:space="preserve">  </w:t>
      </w:r>
      <w:r w:rsidR="00517642">
        <w:rPr>
          <w:rFonts w:ascii="Times New Roman" w:hAnsi="Times New Roman" w:cs="Times New Roman"/>
        </w:rPr>
        <w:t>Obviously, t</w:t>
      </w:r>
      <w:r w:rsidR="009A6F8F" w:rsidRPr="004842AA">
        <w:rPr>
          <w:rFonts w:ascii="Times New Roman" w:hAnsi="Times New Roman" w:cs="Times New Roman"/>
        </w:rPr>
        <w:t xml:space="preserve">ransition also </w:t>
      </w:r>
      <w:r w:rsidR="00576E1B" w:rsidRPr="004842AA">
        <w:rPr>
          <w:rFonts w:ascii="Times New Roman" w:hAnsi="Times New Roman" w:cs="Times New Roman"/>
        </w:rPr>
        <w:t xml:space="preserve">covers any legislative, administrative or judicial developments in Union law that might occur during the </w:t>
      </w:r>
      <w:r w:rsidR="009A6F8F" w:rsidRPr="004842AA">
        <w:rPr>
          <w:rFonts w:ascii="Times New Roman" w:hAnsi="Times New Roman" w:cs="Times New Roman"/>
        </w:rPr>
        <w:t xml:space="preserve">relevant </w:t>
      </w:r>
      <w:r w:rsidR="00576E1B" w:rsidRPr="004842AA">
        <w:rPr>
          <w:rFonts w:ascii="Times New Roman" w:hAnsi="Times New Roman" w:cs="Times New Roman"/>
        </w:rPr>
        <w:t>period</w:t>
      </w:r>
      <w:r w:rsidR="009A6F8F" w:rsidRPr="004842AA">
        <w:rPr>
          <w:rFonts w:ascii="Times New Roman" w:hAnsi="Times New Roman" w:cs="Times New Roman"/>
        </w:rPr>
        <w:t xml:space="preserve"> – a point which proved </w:t>
      </w:r>
      <w:r w:rsidR="00576E1B" w:rsidRPr="004842AA">
        <w:rPr>
          <w:rFonts w:ascii="Times New Roman" w:hAnsi="Times New Roman" w:cs="Times New Roman"/>
        </w:rPr>
        <w:t xml:space="preserve">particularly contentious </w:t>
      </w:r>
      <w:r w:rsidR="009A6F8F" w:rsidRPr="004842AA">
        <w:rPr>
          <w:rFonts w:ascii="Times New Roman" w:hAnsi="Times New Roman" w:cs="Times New Roman"/>
        </w:rPr>
        <w:t xml:space="preserve">within </w:t>
      </w:r>
      <w:r w:rsidR="00576E1B" w:rsidRPr="004842AA">
        <w:rPr>
          <w:rFonts w:ascii="Times New Roman" w:hAnsi="Times New Roman" w:cs="Times New Roman"/>
        </w:rPr>
        <w:t xml:space="preserve">the UK, </w:t>
      </w:r>
      <w:r w:rsidR="009A6F8F" w:rsidRPr="004842AA">
        <w:rPr>
          <w:rFonts w:ascii="Times New Roman" w:hAnsi="Times New Roman" w:cs="Times New Roman"/>
        </w:rPr>
        <w:t xml:space="preserve">since </w:t>
      </w:r>
      <w:r w:rsidR="00576E1B" w:rsidRPr="004842AA">
        <w:rPr>
          <w:rFonts w:ascii="Times New Roman" w:hAnsi="Times New Roman" w:cs="Times New Roman"/>
        </w:rPr>
        <w:t>Leave activists claim</w:t>
      </w:r>
      <w:r w:rsidR="009A6F8F" w:rsidRPr="004842AA">
        <w:rPr>
          <w:rFonts w:ascii="Times New Roman" w:hAnsi="Times New Roman" w:cs="Times New Roman"/>
        </w:rPr>
        <w:t>ed</w:t>
      </w:r>
      <w:r w:rsidR="00576E1B" w:rsidRPr="004842AA">
        <w:rPr>
          <w:rFonts w:ascii="Times New Roman" w:hAnsi="Times New Roman" w:cs="Times New Roman"/>
        </w:rPr>
        <w:t xml:space="preserve"> that the EU might adopt measures deliberately designed to harm British interests.</w:t>
      </w:r>
      <w:r w:rsidR="00474FA3">
        <w:rPr>
          <w:rStyle w:val="FootnoteReference"/>
          <w:rFonts w:ascii="Times New Roman" w:hAnsi="Times New Roman" w:cs="Times New Roman"/>
        </w:rPr>
        <w:footnoteReference w:id="143"/>
      </w:r>
      <w:r w:rsidR="00576E1B" w:rsidRPr="004842AA">
        <w:rPr>
          <w:rFonts w:ascii="Times New Roman" w:hAnsi="Times New Roman" w:cs="Times New Roman"/>
        </w:rPr>
        <w:t xml:space="preserve">  The UK Government therefore tried</w:t>
      </w:r>
      <w:r w:rsidR="00576E1B" w:rsidRPr="004842AA">
        <w:rPr>
          <w:rFonts w:ascii="Times New Roman" w:hAnsi="Times New Roman" w:cs="Times New Roman"/>
          <w:b/>
        </w:rPr>
        <w:t xml:space="preserve"> </w:t>
      </w:r>
      <w:r w:rsidR="00576E1B" w:rsidRPr="004842AA">
        <w:rPr>
          <w:rFonts w:ascii="Times New Roman" w:hAnsi="Times New Roman" w:cs="Times New Roman"/>
        </w:rPr>
        <w:t xml:space="preserve">but failed to secure an explicit mechanism for the Joint Committee to address disputes about the applicability </w:t>
      </w:r>
      <w:r w:rsidR="009A6F8F" w:rsidRPr="004842AA">
        <w:rPr>
          <w:rFonts w:ascii="Times New Roman" w:hAnsi="Times New Roman" w:cs="Times New Roman"/>
        </w:rPr>
        <w:t>of new Union measures to the UK.</w:t>
      </w:r>
      <w:r w:rsidR="009A6F8F" w:rsidRPr="004842AA">
        <w:rPr>
          <w:rStyle w:val="FootnoteReference"/>
          <w:rFonts w:ascii="Times New Roman" w:hAnsi="Times New Roman" w:cs="Times New Roman"/>
        </w:rPr>
        <w:footnoteReference w:id="144"/>
      </w:r>
      <w:r w:rsidR="009A6F8F" w:rsidRPr="004842AA">
        <w:rPr>
          <w:rFonts w:ascii="Times New Roman" w:hAnsi="Times New Roman" w:cs="Times New Roman"/>
        </w:rPr>
        <w:t xml:space="preserve">  Undeterred, the UK Government claimed </w:t>
      </w:r>
      <w:r w:rsidR="00576E1B" w:rsidRPr="004842AA">
        <w:rPr>
          <w:rFonts w:ascii="Times New Roman" w:hAnsi="Times New Roman" w:cs="Times New Roman"/>
        </w:rPr>
        <w:t xml:space="preserve">that </w:t>
      </w:r>
      <w:r w:rsidR="009A6F8F" w:rsidRPr="004842AA">
        <w:rPr>
          <w:rFonts w:ascii="Times New Roman" w:hAnsi="Times New Roman" w:cs="Times New Roman"/>
        </w:rPr>
        <w:t xml:space="preserve">the </w:t>
      </w:r>
      <w:r w:rsidR="00576E1B" w:rsidRPr="004842AA">
        <w:rPr>
          <w:rFonts w:ascii="Times New Roman" w:hAnsi="Times New Roman" w:cs="Times New Roman"/>
        </w:rPr>
        <w:t xml:space="preserve">general duty of good faith </w:t>
      </w:r>
      <w:r w:rsidR="009A6F8F" w:rsidRPr="004842AA">
        <w:rPr>
          <w:rFonts w:ascii="Times New Roman" w:hAnsi="Times New Roman" w:cs="Times New Roman"/>
        </w:rPr>
        <w:t xml:space="preserve">under Article 5 WA, together with the ordinary </w:t>
      </w:r>
      <w:r w:rsidR="00576E1B" w:rsidRPr="004842AA">
        <w:rPr>
          <w:rFonts w:ascii="Times New Roman" w:hAnsi="Times New Roman" w:cs="Times New Roman"/>
        </w:rPr>
        <w:t xml:space="preserve">powers of </w:t>
      </w:r>
      <w:r w:rsidR="009A6F8F" w:rsidRPr="004842AA">
        <w:rPr>
          <w:rFonts w:ascii="Times New Roman" w:hAnsi="Times New Roman" w:cs="Times New Roman"/>
        </w:rPr>
        <w:t xml:space="preserve">the </w:t>
      </w:r>
      <w:r w:rsidR="00576E1B" w:rsidRPr="004842AA">
        <w:rPr>
          <w:rFonts w:ascii="Times New Roman" w:hAnsi="Times New Roman" w:cs="Times New Roman"/>
        </w:rPr>
        <w:t>Joint Committee</w:t>
      </w:r>
      <w:r w:rsidR="009A6F8F" w:rsidRPr="004842AA">
        <w:rPr>
          <w:rFonts w:ascii="Times New Roman" w:hAnsi="Times New Roman" w:cs="Times New Roman"/>
        </w:rPr>
        <w:t>,</w:t>
      </w:r>
      <w:r w:rsidR="00576E1B" w:rsidRPr="004842AA">
        <w:rPr>
          <w:rFonts w:ascii="Times New Roman" w:hAnsi="Times New Roman" w:cs="Times New Roman"/>
        </w:rPr>
        <w:t xml:space="preserve"> </w:t>
      </w:r>
      <w:r w:rsidR="009A6F8F" w:rsidRPr="004842AA">
        <w:rPr>
          <w:rFonts w:ascii="Times New Roman" w:hAnsi="Times New Roman" w:cs="Times New Roman"/>
        </w:rPr>
        <w:t xml:space="preserve">would be </w:t>
      </w:r>
      <w:r w:rsidR="00576E1B" w:rsidRPr="004842AA">
        <w:rPr>
          <w:rFonts w:ascii="Times New Roman" w:hAnsi="Times New Roman" w:cs="Times New Roman"/>
        </w:rPr>
        <w:t xml:space="preserve">sufficient to meet </w:t>
      </w:r>
      <w:r w:rsidR="009A6F8F" w:rsidRPr="004842AA">
        <w:rPr>
          <w:rFonts w:ascii="Times New Roman" w:hAnsi="Times New Roman" w:cs="Times New Roman"/>
        </w:rPr>
        <w:t xml:space="preserve">British </w:t>
      </w:r>
      <w:r w:rsidR="00576E1B" w:rsidRPr="004842AA">
        <w:rPr>
          <w:rFonts w:ascii="Times New Roman" w:hAnsi="Times New Roman" w:cs="Times New Roman"/>
        </w:rPr>
        <w:t>concerns</w:t>
      </w:r>
      <w:r w:rsidR="009A6F8F" w:rsidRPr="004842AA">
        <w:rPr>
          <w:rFonts w:ascii="Times New Roman" w:hAnsi="Times New Roman" w:cs="Times New Roman"/>
        </w:rPr>
        <w:t xml:space="preserve"> about </w:t>
      </w:r>
      <w:r w:rsidR="00474FA3">
        <w:rPr>
          <w:rFonts w:ascii="Times New Roman" w:hAnsi="Times New Roman" w:cs="Times New Roman"/>
        </w:rPr>
        <w:t xml:space="preserve">unwanted </w:t>
      </w:r>
      <w:r w:rsidR="009A6F8F" w:rsidRPr="004842AA">
        <w:rPr>
          <w:rFonts w:ascii="Times New Roman" w:hAnsi="Times New Roman" w:cs="Times New Roman"/>
        </w:rPr>
        <w:t>infra-transition changes to Union law.</w:t>
      </w:r>
      <w:r w:rsidR="00517642">
        <w:rPr>
          <w:rStyle w:val="FootnoteReference"/>
          <w:rFonts w:ascii="Times New Roman" w:hAnsi="Times New Roman" w:cs="Times New Roman"/>
        </w:rPr>
        <w:footnoteReference w:id="145"/>
      </w:r>
      <w:r w:rsidR="009A6F8F" w:rsidRPr="004842AA">
        <w:rPr>
          <w:rFonts w:ascii="Times New Roman" w:hAnsi="Times New Roman" w:cs="Times New Roman"/>
        </w:rPr>
        <w:t xml:space="preserve">  However, it is worth stressing that the obligation to act in </w:t>
      </w:r>
      <w:r w:rsidR="00576E1B" w:rsidRPr="004842AA">
        <w:rPr>
          <w:rFonts w:ascii="Times New Roman" w:hAnsi="Times New Roman" w:cs="Times New Roman"/>
        </w:rPr>
        <w:t xml:space="preserve">good faith is </w:t>
      </w:r>
      <w:r w:rsidR="009A6F8F" w:rsidRPr="004842AA">
        <w:rPr>
          <w:rFonts w:ascii="Times New Roman" w:hAnsi="Times New Roman" w:cs="Times New Roman"/>
        </w:rPr>
        <w:t xml:space="preserve">explicitly </w:t>
      </w:r>
      <w:r w:rsidR="00576E1B" w:rsidRPr="004842AA">
        <w:rPr>
          <w:rFonts w:ascii="Times New Roman" w:hAnsi="Times New Roman" w:cs="Times New Roman"/>
        </w:rPr>
        <w:t xml:space="preserve">without prejudice to </w:t>
      </w:r>
      <w:r w:rsidR="009A6F8F" w:rsidRPr="004842AA">
        <w:rPr>
          <w:rFonts w:ascii="Times New Roman" w:hAnsi="Times New Roman" w:cs="Times New Roman"/>
        </w:rPr>
        <w:t xml:space="preserve">the </w:t>
      </w:r>
      <w:r w:rsidR="00576E1B" w:rsidRPr="004842AA">
        <w:rPr>
          <w:rFonts w:ascii="Times New Roman" w:hAnsi="Times New Roman" w:cs="Times New Roman"/>
        </w:rPr>
        <w:t xml:space="preserve">application of Union law </w:t>
      </w:r>
      <w:r w:rsidR="009A6F8F" w:rsidRPr="004842AA">
        <w:rPr>
          <w:rFonts w:ascii="Times New Roman" w:hAnsi="Times New Roman" w:cs="Times New Roman"/>
        </w:rPr>
        <w:t xml:space="preserve">as prescribed under the </w:t>
      </w:r>
      <w:r w:rsidR="00CB1430">
        <w:rPr>
          <w:rFonts w:ascii="Times New Roman" w:hAnsi="Times New Roman" w:cs="Times New Roman"/>
        </w:rPr>
        <w:t>Agreement</w:t>
      </w:r>
      <w:r w:rsidR="009A6F8F" w:rsidRPr="004842AA">
        <w:rPr>
          <w:rFonts w:ascii="Times New Roman" w:hAnsi="Times New Roman" w:cs="Times New Roman"/>
        </w:rPr>
        <w:t xml:space="preserve">; while the </w:t>
      </w:r>
      <w:r w:rsidR="00576E1B" w:rsidRPr="004842AA">
        <w:rPr>
          <w:rFonts w:ascii="Times New Roman" w:hAnsi="Times New Roman" w:cs="Times New Roman"/>
        </w:rPr>
        <w:t xml:space="preserve">Joint Committee </w:t>
      </w:r>
      <w:r w:rsidR="009A6F8F" w:rsidRPr="004842AA">
        <w:rPr>
          <w:rFonts w:ascii="Times New Roman" w:hAnsi="Times New Roman" w:cs="Times New Roman"/>
        </w:rPr>
        <w:t xml:space="preserve">enjoys </w:t>
      </w:r>
      <w:r w:rsidR="00576E1B" w:rsidRPr="004842AA">
        <w:rPr>
          <w:rFonts w:ascii="Times New Roman" w:hAnsi="Times New Roman" w:cs="Times New Roman"/>
        </w:rPr>
        <w:t xml:space="preserve">no power of adaptation </w:t>
      </w:r>
      <w:r w:rsidR="009A6F8F" w:rsidRPr="004842AA">
        <w:rPr>
          <w:rFonts w:ascii="Times New Roman" w:hAnsi="Times New Roman" w:cs="Times New Roman"/>
        </w:rPr>
        <w:t xml:space="preserve">or </w:t>
      </w:r>
      <w:r w:rsidR="00576E1B" w:rsidRPr="004842AA">
        <w:rPr>
          <w:rFonts w:ascii="Times New Roman" w:hAnsi="Times New Roman" w:cs="Times New Roman"/>
        </w:rPr>
        <w:t xml:space="preserve">exemption as regards transitional </w:t>
      </w:r>
      <w:r w:rsidR="009A6F8F" w:rsidRPr="004842AA">
        <w:rPr>
          <w:rFonts w:ascii="Times New Roman" w:hAnsi="Times New Roman" w:cs="Times New Roman"/>
        </w:rPr>
        <w:lastRenderedPageBreak/>
        <w:t xml:space="preserve">developments in </w:t>
      </w:r>
      <w:r w:rsidR="00576E1B" w:rsidRPr="004842AA">
        <w:rPr>
          <w:rFonts w:ascii="Times New Roman" w:hAnsi="Times New Roman" w:cs="Times New Roman"/>
        </w:rPr>
        <w:t>Union law</w:t>
      </w:r>
      <w:r w:rsidR="009A6F8F" w:rsidRPr="004842AA">
        <w:rPr>
          <w:rFonts w:ascii="Times New Roman" w:hAnsi="Times New Roman" w:cs="Times New Roman"/>
        </w:rPr>
        <w:t>.</w:t>
      </w:r>
      <w:r w:rsidR="00517642">
        <w:rPr>
          <w:rStyle w:val="FootnoteReference"/>
          <w:rFonts w:ascii="Times New Roman" w:hAnsi="Times New Roman" w:cs="Times New Roman"/>
        </w:rPr>
        <w:footnoteReference w:id="146"/>
      </w:r>
      <w:r w:rsidR="00E126F1">
        <w:rPr>
          <w:rFonts w:ascii="Times New Roman" w:hAnsi="Times New Roman" w:cs="Times New Roman"/>
        </w:rPr>
        <w:t xml:space="preserve">  </w:t>
      </w:r>
      <w:r w:rsidR="006F0C47">
        <w:rPr>
          <w:rFonts w:ascii="Times New Roman" w:hAnsi="Times New Roman" w:cs="Times New Roman"/>
        </w:rPr>
        <w:t xml:space="preserve">Still undeterred, </w:t>
      </w:r>
      <w:r w:rsidR="00E126F1">
        <w:rPr>
          <w:rFonts w:ascii="Times New Roman" w:hAnsi="Times New Roman" w:cs="Times New Roman"/>
        </w:rPr>
        <w:t xml:space="preserve">the UK’s domestic implementing legislation </w:t>
      </w:r>
      <w:r w:rsidR="006F0C47">
        <w:rPr>
          <w:rFonts w:ascii="Times New Roman" w:hAnsi="Times New Roman" w:cs="Times New Roman"/>
        </w:rPr>
        <w:t xml:space="preserve">now </w:t>
      </w:r>
      <w:r w:rsidR="00E126F1">
        <w:rPr>
          <w:rFonts w:ascii="Times New Roman" w:hAnsi="Times New Roman" w:cs="Times New Roman"/>
        </w:rPr>
        <w:t>purports to provide for the parliamentary “review” of Union measures adopted or proposed during the transition period and considered to raise matters of “vital national interest” to the UK.</w:t>
      </w:r>
      <w:r w:rsidR="00E126F1">
        <w:rPr>
          <w:rStyle w:val="FootnoteReference"/>
          <w:rFonts w:ascii="Times New Roman" w:hAnsi="Times New Roman" w:cs="Times New Roman"/>
        </w:rPr>
        <w:footnoteReference w:id="147"/>
      </w:r>
    </w:p>
    <w:p w14:paraId="2B3237A5" w14:textId="69333D9C" w:rsidR="0069239A" w:rsidRDefault="009A6F8F" w:rsidP="0069239A">
      <w:pPr>
        <w:widowControl w:val="0"/>
        <w:autoSpaceDE w:val="0"/>
        <w:autoSpaceDN w:val="0"/>
        <w:adjustRightInd w:val="0"/>
        <w:ind w:firstLine="720"/>
        <w:jc w:val="both"/>
        <w:rPr>
          <w:rFonts w:ascii="Times New Roman" w:hAnsi="Times New Roman" w:cs="Times New Roman"/>
        </w:rPr>
      </w:pPr>
      <w:r w:rsidRPr="004842AA">
        <w:rPr>
          <w:rFonts w:ascii="Times New Roman" w:hAnsi="Times New Roman" w:cs="Times New Roman"/>
        </w:rPr>
        <w:t xml:space="preserve">Notwithstanding the “status quo” basis for transition, various </w:t>
      </w:r>
      <w:r w:rsidR="00576E1B" w:rsidRPr="004842AA">
        <w:rPr>
          <w:rFonts w:ascii="Times New Roman" w:hAnsi="Times New Roman" w:cs="Times New Roman"/>
        </w:rPr>
        <w:t xml:space="preserve">provisions of Union law </w:t>
      </w:r>
      <w:r w:rsidRPr="004842AA">
        <w:rPr>
          <w:rFonts w:ascii="Times New Roman" w:hAnsi="Times New Roman" w:cs="Times New Roman"/>
        </w:rPr>
        <w:t xml:space="preserve">as at the date of withdrawal </w:t>
      </w:r>
      <w:r w:rsidR="00576E1B" w:rsidRPr="004842AA">
        <w:rPr>
          <w:rFonts w:ascii="Times New Roman" w:hAnsi="Times New Roman" w:cs="Times New Roman"/>
        </w:rPr>
        <w:t>do not apply to the UK during transition</w:t>
      </w:r>
      <w:r w:rsidR="00E75939" w:rsidRPr="004842AA">
        <w:rPr>
          <w:rFonts w:ascii="Times New Roman" w:hAnsi="Times New Roman" w:cs="Times New Roman"/>
        </w:rPr>
        <w:t xml:space="preserve">: </w:t>
      </w:r>
      <w:r w:rsidR="00576E1B" w:rsidRPr="004842AA">
        <w:rPr>
          <w:rFonts w:ascii="Times New Roman" w:hAnsi="Times New Roman" w:cs="Times New Roman"/>
        </w:rPr>
        <w:t xml:space="preserve">for example, </w:t>
      </w:r>
      <w:r w:rsidR="00E75939" w:rsidRPr="004842AA">
        <w:rPr>
          <w:rFonts w:ascii="Times New Roman" w:hAnsi="Times New Roman" w:cs="Times New Roman"/>
        </w:rPr>
        <w:t xml:space="preserve">measures not binding </w:t>
      </w:r>
      <w:r w:rsidR="00576E1B" w:rsidRPr="004842AA">
        <w:rPr>
          <w:rFonts w:ascii="Times New Roman" w:hAnsi="Times New Roman" w:cs="Times New Roman"/>
        </w:rPr>
        <w:t>up</w:t>
      </w:r>
      <w:r w:rsidR="00E75939" w:rsidRPr="004842AA">
        <w:rPr>
          <w:rFonts w:ascii="Times New Roman" w:hAnsi="Times New Roman" w:cs="Times New Roman"/>
        </w:rPr>
        <w:t xml:space="preserve">on </w:t>
      </w:r>
      <w:r w:rsidR="00576E1B" w:rsidRPr="004842AA">
        <w:rPr>
          <w:rFonts w:ascii="Times New Roman" w:hAnsi="Times New Roman" w:cs="Times New Roman"/>
        </w:rPr>
        <w:t xml:space="preserve">the </w:t>
      </w:r>
      <w:r w:rsidR="00E75939" w:rsidRPr="004842AA">
        <w:rPr>
          <w:rFonts w:ascii="Times New Roman" w:hAnsi="Times New Roman" w:cs="Times New Roman"/>
        </w:rPr>
        <w:t xml:space="preserve">UK as </w:t>
      </w:r>
      <w:r w:rsidR="00576E1B" w:rsidRPr="004842AA">
        <w:rPr>
          <w:rFonts w:ascii="Times New Roman" w:hAnsi="Times New Roman" w:cs="Times New Roman"/>
        </w:rPr>
        <w:t xml:space="preserve">a </w:t>
      </w:r>
      <w:r w:rsidR="00E75939" w:rsidRPr="004842AA">
        <w:rPr>
          <w:rFonts w:ascii="Times New Roman" w:hAnsi="Times New Roman" w:cs="Times New Roman"/>
        </w:rPr>
        <w:t>Member State</w:t>
      </w:r>
      <w:r w:rsidR="00576E1B" w:rsidRPr="004842AA">
        <w:rPr>
          <w:rFonts w:ascii="Times New Roman" w:hAnsi="Times New Roman" w:cs="Times New Roman"/>
        </w:rPr>
        <w:t xml:space="preserve"> (in fields such as </w:t>
      </w:r>
      <w:r w:rsidR="00E75939" w:rsidRPr="004842AA">
        <w:rPr>
          <w:rFonts w:ascii="Times New Roman" w:hAnsi="Times New Roman" w:cs="Times New Roman"/>
        </w:rPr>
        <w:t>EMU</w:t>
      </w:r>
      <w:r w:rsidR="00576E1B" w:rsidRPr="004842AA">
        <w:rPr>
          <w:rFonts w:ascii="Times New Roman" w:hAnsi="Times New Roman" w:cs="Times New Roman"/>
        </w:rPr>
        <w:t xml:space="preserve">, the </w:t>
      </w:r>
      <w:r w:rsidR="00E75939" w:rsidRPr="004842AA">
        <w:rPr>
          <w:rFonts w:ascii="Times New Roman" w:hAnsi="Times New Roman" w:cs="Times New Roman"/>
        </w:rPr>
        <w:t>AFSJ</w:t>
      </w:r>
      <w:r w:rsidR="00576E1B" w:rsidRPr="004842AA">
        <w:rPr>
          <w:rFonts w:ascii="Times New Roman" w:hAnsi="Times New Roman" w:cs="Times New Roman"/>
        </w:rPr>
        <w:t xml:space="preserve"> and under </w:t>
      </w:r>
      <w:r w:rsidR="00E75939" w:rsidRPr="004842AA">
        <w:rPr>
          <w:rFonts w:ascii="Times New Roman" w:hAnsi="Times New Roman" w:cs="Times New Roman"/>
        </w:rPr>
        <w:t>enhanced cooperation</w:t>
      </w:r>
      <w:r w:rsidR="00576E1B" w:rsidRPr="004842AA">
        <w:rPr>
          <w:rFonts w:ascii="Times New Roman" w:hAnsi="Times New Roman" w:cs="Times New Roman"/>
        </w:rPr>
        <w:t>);</w:t>
      </w:r>
      <w:r w:rsidR="00416720">
        <w:rPr>
          <w:rStyle w:val="FootnoteReference"/>
          <w:rFonts w:ascii="Times New Roman" w:hAnsi="Times New Roman" w:cs="Times New Roman"/>
        </w:rPr>
        <w:footnoteReference w:id="148"/>
      </w:r>
      <w:r w:rsidR="00576E1B" w:rsidRPr="004842AA">
        <w:rPr>
          <w:rFonts w:ascii="Times New Roman" w:hAnsi="Times New Roman" w:cs="Times New Roman"/>
        </w:rPr>
        <w:t xml:space="preserve"> and those concerning Union citizens’ </w:t>
      </w:r>
      <w:r w:rsidR="00E75939" w:rsidRPr="004842AA">
        <w:rPr>
          <w:rFonts w:ascii="Times New Roman" w:hAnsi="Times New Roman" w:cs="Times New Roman"/>
        </w:rPr>
        <w:t xml:space="preserve">political </w:t>
      </w:r>
      <w:r w:rsidR="00576E1B" w:rsidRPr="004842AA">
        <w:rPr>
          <w:rFonts w:ascii="Times New Roman" w:hAnsi="Times New Roman" w:cs="Times New Roman"/>
        </w:rPr>
        <w:t>rights (</w:t>
      </w:r>
      <w:r w:rsidR="00E75939" w:rsidRPr="004842AA">
        <w:rPr>
          <w:rFonts w:ascii="Times New Roman" w:hAnsi="Times New Roman" w:cs="Times New Roman"/>
        </w:rPr>
        <w:t>citizens</w:t>
      </w:r>
      <w:r w:rsidR="00474FA3">
        <w:rPr>
          <w:rFonts w:ascii="Times New Roman" w:hAnsi="Times New Roman" w:cs="Times New Roman"/>
        </w:rPr>
        <w:t>’</w:t>
      </w:r>
      <w:r w:rsidR="00E75939" w:rsidRPr="004842AA">
        <w:rPr>
          <w:rFonts w:ascii="Times New Roman" w:hAnsi="Times New Roman" w:cs="Times New Roman"/>
        </w:rPr>
        <w:t xml:space="preserve"> initiatives</w:t>
      </w:r>
      <w:r w:rsidR="00576E1B" w:rsidRPr="004842AA">
        <w:rPr>
          <w:rFonts w:ascii="Times New Roman" w:hAnsi="Times New Roman" w:cs="Times New Roman"/>
        </w:rPr>
        <w:t xml:space="preserve"> and voting in </w:t>
      </w:r>
      <w:r w:rsidR="00E75939" w:rsidRPr="004842AA">
        <w:rPr>
          <w:rFonts w:ascii="Times New Roman" w:hAnsi="Times New Roman" w:cs="Times New Roman"/>
        </w:rPr>
        <w:t xml:space="preserve">local </w:t>
      </w:r>
      <w:r w:rsidR="00576E1B" w:rsidRPr="004842AA">
        <w:rPr>
          <w:rFonts w:ascii="Times New Roman" w:hAnsi="Times New Roman" w:cs="Times New Roman"/>
        </w:rPr>
        <w:t>elections).</w:t>
      </w:r>
      <w:r w:rsidR="00576E1B" w:rsidRPr="004842AA">
        <w:rPr>
          <w:rStyle w:val="FootnoteReference"/>
          <w:rFonts w:ascii="Times New Roman" w:hAnsi="Times New Roman" w:cs="Times New Roman"/>
        </w:rPr>
        <w:footnoteReference w:id="149"/>
      </w:r>
      <w:r w:rsidR="00576E1B" w:rsidRPr="004842AA">
        <w:rPr>
          <w:rFonts w:ascii="Times New Roman" w:hAnsi="Times New Roman" w:cs="Times New Roman"/>
        </w:rPr>
        <w:t xml:space="preserve">  </w:t>
      </w:r>
      <w:r w:rsidRPr="004842AA">
        <w:rPr>
          <w:rFonts w:ascii="Times New Roman" w:hAnsi="Times New Roman" w:cs="Times New Roman"/>
        </w:rPr>
        <w:t>Furthermore, the Agreement describes other situations</w:t>
      </w:r>
      <w:r w:rsidR="00474FA3">
        <w:rPr>
          <w:rFonts w:ascii="Times New Roman" w:hAnsi="Times New Roman" w:cs="Times New Roman"/>
        </w:rPr>
        <w:t xml:space="preserve"> in which the UK is subject to special treatment</w:t>
      </w:r>
      <w:r w:rsidRPr="004842AA">
        <w:rPr>
          <w:rFonts w:ascii="Times New Roman" w:hAnsi="Times New Roman" w:cs="Times New Roman"/>
        </w:rPr>
        <w:t xml:space="preserve">: for example, no </w:t>
      </w:r>
      <w:r w:rsidR="002D7E71" w:rsidRPr="004842AA">
        <w:rPr>
          <w:rFonts w:ascii="Times New Roman" w:hAnsi="Times New Roman" w:cs="Times New Roman"/>
        </w:rPr>
        <w:t xml:space="preserve">British </w:t>
      </w:r>
      <w:r w:rsidRPr="004842AA">
        <w:rPr>
          <w:rFonts w:ascii="Times New Roman" w:hAnsi="Times New Roman" w:cs="Times New Roman"/>
        </w:rPr>
        <w:t xml:space="preserve">participation in any </w:t>
      </w:r>
      <w:r w:rsidR="002D7E71" w:rsidRPr="004842AA">
        <w:rPr>
          <w:rFonts w:ascii="Times New Roman" w:hAnsi="Times New Roman" w:cs="Times New Roman"/>
        </w:rPr>
        <w:t xml:space="preserve">future </w:t>
      </w:r>
      <w:r w:rsidRPr="004842AA">
        <w:rPr>
          <w:rFonts w:ascii="Times New Roman" w:hAnsi="Times New Roman" w:cs="Times New Roman"/>
        </w:rPr>
        <w:t>enhanced cooperation;</w:t>
      </w:r>
      <w:r w:rsidR="00416720">
        <w:rPr>
          <w:rStyle w:val="FootnoteReference"/>
          <w:rFonts w:ascii="Times New Roman" w:hAnsi="Times New Roman" w:cs="Times New Roman"/>
        </w:rPr>
        <w:footnoteReference w:id="150"/>
      </w:r>
      <w:r w:rsidRPr="004842AA">
        <w:rPr>
          <w:rFonts w:ascii="Times New Roman" w:hAnsi="Times New Roman" w:cs="Times New Roman"/>
        </w:rPr>
        <w:t xml:space="preserve"> restrictions on the UK’s ability to opt-into additional AFSJ measures;</w:t>
      </w:r>
      <w:r w:rsidRPr="004842AA">
        <w:rPr>
          <w:rStyle w:val="FootnoteReference"/>
          <w:rFonts w:ascii="Times New Roman" w:hAnsi="Times New Roman" w:cs="Times New Roman"/>
        </w:rPr>
        <w:footnoteReference w:id="151"/>
      </w:r>
      <w:r w:rsidRPr="004842AA">
        <w:rPr>
          <w:rFonts w:ascii="Times New Roman" w:hAnsi="Times New Roman" w:cs="Times New Roman"/>
        </w:rPr>
        <w:t xml:space="preserve"> </w:t>
      </w:r>
      <w:r w:rsidR="002D7E71" w:rsidRPr="004842AA">
        <w:rPr>
          <w:rFonts w:ascii="Times New Roman" w:hAnsi="Times New Roman" w:cs="Times New Roman"/>
        </w:rPr>
        <w:t xml:space="preserve">British exclusion from </w:t>
      </w:r>
      <w:r w:rsidRPr="004842AA">
        <w:rPr>
          <w:rFonts w:ascii="Times New Roman" w:hAnsi="Times New Roman" w:cs="Times New Roman"/>
        </w:rPr>
        <w:t>PESCO under Article 42 TEU</w:t>
      </w:r>
      <w:r w:rsidR="002D7E71" w:rsidRPr="004842AA">
        <w:rPr>
          <w:rFonts w:ascii="Times New Roman" w:hAnsi="Times New Roman" w:cs="Times New Roman"/>
        </w:rPr>
        <w:t>;</w:t>
      </w:r>
      <w:r w:rsidR="00416720">
        <w:rPr>
          <w:rStyle w:val="FootnoteReference"/>
          <w:rFonts w:ascii="Times New Roman" w:hAnsi="Times New Roman" w:cs="Times New Roman"/>
        </w:rPr>
        <w:footnoteReference w:id="152"/>
      </w:r>
      <w:r w:rsidR="002D7E71" w:rsidRPr="004842AA">
        <w:rPr>
          <w:rFonts w:ascii="Times New Roman" w:hAnsi="Times New Roman" w:cs="Times New Roman"/>
        </w:rPr>
        <w:t xml:space="preserve"> </w:t>
      </w:r>
      <w:r w:rsidRPr="004842AA">
        <w:rPr>
          <w:rFonts w:ascii="Times New Roman" w:hAnsi="Times New Roman" w:cs="Times New Roman"/>
        </w:rPr>
        <w:t xml:space="preserve">restrictions on </w:t>
      </w:r>
      <w:r w:rsidR="002D7E71" w:rsidRPr="004842AA">
        <w:rPr>
          <w:rFonts w:ascii="Times New Roman" w:hAnsi="Times New Roman" w:cs="Times New Roman"/>
        </w:rPr>
        <w:t xml:space="preserve">UK </w:t>
      </w:r>
      <w:r w:rsidRPr="004842AA">
        <w:rPr>
          <w:rFonts w:ascii="Times New Roman" w:hAnsi="Times New Roman" w:cs="Times New Roman"/>
        </w:rPr>
        <w:t>access to certain security-related sensitive information</w:t>
      </w:r>
      <w:r w:rsidR="002D7E71" w:rsidRPr="004842AA">
        <w:rPr>
          <w:rFonts w:ascii="Times New Roman" w:hAnsi="Times New Roman" w:cs="Times New Roman"/>
        </w:rPr>
        <w:t>;</w:t>
      </w:r>
      <w:r w:rsidR="00416720">
        <w:rPr>
          <w:rStyle w:val="FootnoteReference"/>
          <w:rFonts w:ascii="Times New Roman" w:hAnsi="Times New Roman" w:cs="Times New Roman"/>
        </w:rPr>
        <w:footnoteReference w:id="153"/>
      </w:r>
      <w:r w:rsidR="002D7E71" w:rsidRPr="004842AA">
        <w:rPr>
          <w:rFonts w:ascii="Times New Roman" w:hAnsi="Times New Roman" w:cs="Times New Roman"/>
        </w:rPr>
        <w:t xml:space="preserve"> the exclusion of </w:t>
      </w:r>
      <w:r w:rsidRPr="004842AA">
        <w:rPr>
          <w:rFonts w:ascii="Times New Roman" w:hAnsi="Times New Roman" w:cs="Times New Roman"/>
        </w:rPr>
        <w:t xml:space="preserve">UK nationals </w:t>
      </w:r>
      <w:r w:rsidR="002D7E71" w:rsidRPr="004842AA">
        <w:rPr>
          <w:rFonts w:ascii="Times New Roman" w:hAnsi="Times New Roman" w:cs="Times New Roman"/>
        </w:rPr>
        <w:t xml:space="preserve">from recruitment </w:t>
      </w:r>
      <w:r w:rsidRPr="004842AA">
        <w:rPr>
          <w:rFonts w:ascii="Times New Roman" w:hAnsi="Times New Roman" w:cs="Times New Roman"/>
        </w:rPr>
        <w:t xml:space="preserve">as Union officials </w:t>
      </w:r>
      <w:proofErr w:type="spellStart"/>
      <w:r w:rsidRPr="004842AA">
        <w:rPr>
          <w:rFonts w:ascii="Times New Roman" w:hAnsi="Times New Roman" w:cs="Times New Roman"/>
        </w:rPr>
        <w:t>etc</w:t>
      </w:r>
      <w:proofErr w:type="spellEnd"/>
      <w:r w:rsidR="002D7E71" w:rsidRPr="004842AA">
        <w:rPr>
          <w:rFonts w:ascii="Times New Roman" w:hAnsi="Times New Roman" w:cs="Times New Roman"/>
        </w:rPr>
        <w:t>;</w:t>
      </w:r>
      <w:r w:rsidR="00416720">
        <w:rPr>
          <w:rStyle w:val="FootnoteReference"/>
          <w:rFonts w:ascii="Times New Roman" w:hAnsi="Times New Roman" w:cs="Times New Roman"/>
        </w:rPr>
        <w:footnoteReference w:id="154"/>
      </w:r>
      <w:r w:rsidR="002D7E71" w:rsidRPr="004842AA">
        <w:rPr>
          <w:rFonts w:ascii="Times New Roman" w:hAnsi="Times New Roman" w:cs="Times New Roman"/>
        </w:rPr>
        <w:t xml:space="preserve"> and the possibility for Member States to cease surrendering own nationals to the UK </w:t>
      </w:r>
      <w:r w:rsidRPr="004842AA">
        <w:rPr>
          <w:rFonts w:ascii="Times New Roman" w:hAnsi="Times New Roman" w:cs="Times New Roman"/>
        </w:rPr>
        <w:t xml:space="preserve">during transition pursuant to </w:t>
      </w:r>
      <w:r w:rsidR="002D7E71" w:rsidRPr="004842AA">
        <w:rPr>
          <w:rFonts w:ascii="Times New Roman" w:hAnsi="Times New Roman" w:cs="Times New Roman"/>
        </w:rPr>
        <w:t xml:space="preserve">the </w:t>
      </w:r>
      <w:r w:rsidRPr="004842AA">
        <w:rPr>
          <w:rFonts w:ascii="Times New Roman" w:hAnsi="Times New Roman" w:cs="Times New Roman"/>
        </w:rPr>
        <w:t>European Arrest Warrant</w:t>
      </w:r>
      <w:r w:rsidR="002D7E71" w:rsidRPr="004842AA">
        <w:rPr>
          <w:rFonts w:ascii="Times New Roman" w:hAnsi="Times New Roman" w:cs="Times New Roman"/>
        </w:rPr>
        <w:t>.</w:t>
      </w:r>
      <w:r w:rsidR="002D7E71" w:rsidRPr="004842AA">
        <w:rPr>
          <w:rStyle w:val="FootnoteReference"/>
          <w:rFonts w:ascii="Times New Roman" w:hAnsi="Times New Roman" w:cs="Times New Roman"/>
        </w:rPr>
        <w:footnoteReference w:id="155"/>
      </w:r>
    </w:p>
    <w:p w14:paraId="0A7A044C" w14:textId="5F9702F3" w:rsidR="0069239A" w:rsidRDefault="002D7E71" w:rsidP="0069239A">
      <w:pPr>
        <w:widowControl w:val="0"/>
        <w:autoSpaceDE w:val="0"/>
        <w:autoSpaceDN w:val="0"/>
        <w:adjustRightInd w:val="0"/>
        <w:ind w:firstLine="720"/>
        <w:jc w:val="both"/>
        <w:rPr>
          <w:rFonts w:ascii="Times New Roman" w:hAnsi="Times New Roman" w:cs="Times New Roman"/>
        </w:rPr>
      </w:pPr>
      <w:r w:rsidRPr="004842AA">
        <w:rPr>
          <w:rFonts w:ascii="Times New Roman" w:hAnsi="Times New Roman" w:cs="Times New Roman"/>
        </w:rPr>
        <w:t xml:space="preserve">However, the most extensive deviations from the “status quo” assumption underpinning transition concern the UK’s institutional status under Union law.  In accordance with </w:t>
      </w:r>
      <w:r w:rsidR="009A6F8F" w:rsidRPr="004842AA">
        <w:rPr>
          <w:rFonts w:ascii="Times New Roman" w:hAnsi="Times New Roman" w:cs="Times New Roman"/>
        </w:rPr>
        <w:t xml:space="preserve">Article 7 </w:t>
      </w:r>
      <w:r w:rsidRPr="004842AA">
        <w:rPr>
          <w:rFonts w:ascii="Times New Roman" w:hAnsi="Times New Roman" w:cs="Times New Roman"/>
        </w:rPr>
        <w:t xml:space="preserve">WA, the </w:t>
      </w:r>
      <w:r w:rsidR="009A6F8F" w:rsidRPr="004842AA">
        <w:rPr>
          <w:rFonts w:ascii="Times New Roman" w:hAnsi="Times New Roman" w:cs="Times New Roman"/>
        </w:rPr>
        <w:t xml:space="preserve">UK </w:t>
      </w:r>
      <w:r w:rsidRPr="004842AA">
        <w:rPr>
          <w:rFonts w:ascii="Times New Roman" w:hAnsi="Times New Roman" w:cs="Times New Roman"/>
        </w:rPr>
        <w:t xml:space="preserve">is </w:t>
      </w:r>
      <w:r w:rsidR="009A6F8F" w:rsidRPr="004842AA">
        <w:rPr>
          <w:rFonts w:ascii="Times New Roman" w:hAnsi="Times New Roman" w:cs="Times New Roman"/>
        </w:rPr>
        <w:t>exclu</w:t>
      </w:r>
      <w:r w:rsidRPr="004842AA">
        <w:rPr>
          <w:rFonts w:ascii="Times New Roman" w:hAnsi="Times New Roman" w:cs="Times New Roman"/>
        </w:rPr>
        <w:t>ded</w:t>
      </w:r>
      <w:r w:rsidR="009A6F8F" w:rsidRPr="004842AA">
        <w:rPr>
          <w:rFonts w:ascii="Times New Roman" w:hAnsi="Times New Roman" w:cs="Times New Roman"/>
        </w:rPr>
        <w:t xml:space="preserve"> from </w:t>
      </w:r>
      <w:r w:rsidRPr="004842AA">
        <w:rPr>
          <w:rFonts w:ascii="Times New Roman" w:hAnsi="Times New Roman" w:cs="Times New Roman"/>
        </w:rPr>
        <w:t xml:space="preserve">membership, </w:t>
      </w:r>
      <w:r w:rsidR="009A6F8F" w:rsidRPr="004842AA">
        <w:rPr>
          <w:rFonts w:ascii="Times New Roman" w:hAnsi="Times New Roman" w:cs="Times New Roman"/>
        </w:rPr>
        <w:t xml:space="preserve">decision-making and governance </w:t>
      </w:r>
      <w:r w:rsidRPr="004842AA">
        <w:rPr>
          <w:rFonts w:ascii="Times New Roman" w:hAnsi="Times New Roman" w:cs="Times New Roman"/>
        </w:rPr>
        <w:t xml:space="preserve">as regards all Union </w:t>
      </w:r>
      <w:r w:rsidR="00416720">
        <w:rPr>
          <w:rFonts w:ascii="Times New Roman" w:hAnsi="Times New Roman" w:cs="Times New Roman"/>
        </w:rPr>
        <w:t xml:space="preserve">entities and </w:t>
      </w:r>
      <w:r w:rsidR="009A6F8F" w:rsidRPr="004842AA">
        <w:rPr>
          <w:rFonts w:ascii="Times New Roman" w:hAnsi="Times New Roman" w:cs="Times New Roman"/>
        </w:rPr>
        <w:t>structures</w:t>
      </w:r>
      <w:r w:rsidR="006861A1">
        <w:rPr>
          <w:rFonts w:ascii="Times New Roman" w:hAnsi="Times New Roman" w:cs="Times New Roman"/>
        </w:rPr>
        <w:t xml:space="preserve"> also during the transition</w:t>
      </w:r>
      <w:r w:rsidR="00760509">
        <w:rPr>
          <w:rFonts w:ascii="Times New Roman" w:hAnsi="Times New Roman" w:cs="Times New Roman"/>
        </w:rPr>
        <w:t xml:space="preserve"> period</w:t>
      </w:r>
      <w:r w:rsidRPr="004842AA">
        <w:rPr>
          <w:rFonts w:ascii="Times New Roman" w:hAnsi="Times New Roman" w:cs="Times New Roman"/>
        </w:rPr>
        <w:t>.</w:t>
      </w:r>
      <w:r w:rsidR="00760509">
        <w:rPr>
          <w:rStyle w:val="FootnoteReference"/>
          <w:rFonts w:ascii="Times New Roman" w:hAnsi="Times New Roman" w:cs="Times New Roman"/>
        </w:rPr>
        <w:footnoteReference w:id="156"/>
      </w:r>
      <w:r w:rsidRPr="004842AA">
        <w:rPr>
          <w:rFonts w:ascii="Times New Roman" w:hAnsi="Times New Roman" w:cs="Times New Roman"/>
        </w:rPr>
        <w:t xml:space="preserve">  There </w:t>
      </w:r>
      <w:r w:rsidR="000C6807">
        <w:rPr>
          <w:rFonts w:ascii="Times New Roman" w:hAnsi="Times New Roman" w:cs="Times New Roman"/>
        </w:rPr>
        <w:t>are</w:t>
      </w:r>
      <w:r w:rsidRPr="004842AA">
        <w:rPr>
          <w:rFonts w:ascii="Times New Roman" w:hAnsi="Times New Roman" w:cs="Times New Roman"/>
        </w:rPr>
        <w:t xml:space="preserve"> only limited exception</w:t>
      </w:r>
      <w:r w:rsidR="000C6807">
        <w:rPr>
          <w:rFonts w:ascii="Times New Roman" w:hAnsi="Times New Roman" w:cs="Times New Roman"/>
        </w:rPr>
        <w:t>s</w:t>
      </w:r>
      <w:r w:rsidRPr="004842AA">
        <w:rPr>
          <w:rFonts w:ascii="Times New Roman" w:hAnsi="Times New Roman" w:cs="Times New Roman"/>
        </w:rPr>
        <w:t xml:space="preserve">: </w:t>
      </w:r>
      <w:r w:rsidR="000C6807">
        <w:rPr>
          <w:rFonts w:ascii="Times New Roman" w:hAnsi="Times New Roman" w:cs="Times New Roman"/>
        </w:rPr>
        <w:t xml:space="preserve">for example, </w:t>
      </w:r>
      <w:r w:rsidRPr="004842AA">
        <w:rPr>
          <w:rFonts w:ascii="Times New Roman" w:hAnsi="Times New Roman" w:cs="Times New Roman"/>
        </w:rPr>
        <w:t xml:space="preserve">UK representatives may attend meetings of certain Union committees and expert groups </w:t>
      </w:r>
      <w:proofErr w:type="spellStart"/>
      <w:r w:rsidRPr="004842AA">
        <w:rPr>
          <w:rFonts w:ascii="Times New Roman" w:hAnsi="Times New Roman" w:cs="Times New Roman"/>
        </w:rPr>
        <w:t>etc</w:t>
      </w:r>
      <w:proofErr w:type="spellEnd"/>
      <w:r w:rsidRPr="004842AA">
        <w:rPr>
          <w:rFonts w:ascii="Times New Roman" w:hAnsi="Times New Roman" w:cs="Times New Roman"/>
        </w:rPr>
        <w:t>, on an exceptional and invited basis, where the Member States also take part</w:t>
      </w:r>
      <w:r w:rsidR="00416720">
        <w:rPr>
          <w:rFonts w:ascii="Times New Roman" w:hAnsi="Times New Roman" w:cs="Times New Roman"/>
        </w:rPr>
        <w:t>,</w:t>
      </w:r>
      <w:r w:rsidRPr="004842AA">
        <w:rPr>
          <w:rFonts w:ascii="Times New Roman" w:hAnsi="Times New Roman" w:cs="Times New Roman"/>
        </w:rPr>
        <w:t xml:space="preserve"> and either the discussion concerns individual acts addressed to UK actors</w:t>
      </w:r>
      <w:r w:rsidR="00416720">
        <w:rPr>
          <w:rFonts w:ascii="Times New Roman" w:hAnsi="Times New Roman" w:cs="Times New Roman"/>
        </w:rPr>
        <w:t>,</w:t>
      </w:r>
      <w:r w:rsidRPr="004842AA">
        <w:rPr>
          <w:rFonts w:ascii="Times New Roman" w:hAnsi="Times New Roman" w:cs="Times New Roman"/>
        </w:rPr>
        <w:t xml:space="preserve"> or the UK’s presence is necessary and in the Union’s interest for </w:t>
      </w:r>
      <w:r w:rsidR="00CD55F5" w:rsidRPr="004842AA">
        <w:rPr>
          <w:rFonts w:ascii="Times New Roman" w:hAnsi="Times New Roman" w:cs="Times New Roman"/>
        </w:rPr>
        <w:t xml:space="preserve">the </w:t>
      </w:r>
      <w:r w:rsidRPr="004842AA">
        <w:rPr>
          <w:rFonts w:ascii="Times New Roman" w:hAnsi="Times New Roman" w:cs="Times New Roman"/>
        </w:rPr>
        <w:t>effective implementation of Union law</w:t>
      </w:r>
      <w:r w:rsidR="00CD55F5" w:rsidRPr="004842AA">
        <w:rPr>
          <w:rFonts w:ascii="Times New Roman" w:hAnsi="Times New Roman" w:cs="Times New Roman"/>
        </w:rPr>
        <w:t>.</w:t>
      </w:r>
      <w:r w:rsidR="00760509">
        <w:rPr>
          <w:rStyle w:val="FootnoteReference"/>
          <w:rFonts w:ascii="Times New Roman" w:hAnsi="Times New Roman" w:cs="Times New Roman"/>
        </w:rPr>
        <w:footnoteReference w:id="157"/>
      </w:r>
      <w:r w:rsidR="00CD55F5" w:rsidRPr="004842AA">
        <w:rPr>
          <w:rFonts w:ascii="Times New Roman" w:hAnsi="Times New Roman" w:cs="Times New Roman"/>
        </w:rPr>
        <w:t xml:space="preserve">  Further implications of the UK’s institutional non-existence </w:t>
      </w:r>
      <w:r w:rsidR="00760509">
        <w:rPr>
          <w:rFonts w:ascii="Times New Roman" w:hAnsi="Times New Roman" w:cs="Times New Roman"/>
        </w:rPr>
        <w:t xml:space="preserve">as from the point of withdrawal </w:t>
      </w:r>
      <w:r w:rsidR="00CD55F5" w:rsidRPr="004842AA">
        <w:rPr>
          <w:rFonts w:ascii="Times New Roman" w:hAnsi="Times New Roman" w:cs="Times New Roman"/>
        </w:rPr>
        <w:t xml:space="preserve">are </w:t>
      </w:r>
      <w:r w:rsidR="00760509">
        <w:rPr>
          <w:rFonts w:ascii="Times New Roman" w:hAnsi="Times New Roman" w:cs="Times New Roman"/>
        </w:rPr>
        <w:t xml:space="preserve">also </w:t>
      </w:r>
      <w:r w:rsidR="00CD55F5" w:rsidRPr="004842AA">
        <w:rPr>
          <w:rFonts w:ascii="Times New Roman" w:hAnsi="Times New Roman" w:cs="Times New Roman"/>
        </w:rPr>
        <w:t xml:space="preserve">spelled out in </w:t>
      </w:r>
      <w:r w:rsidR="00760509">
        <w:rPr>
          <w:rFonts w:ascii="Times New Roman" w:hAnsi="Times New Roman" w:cs="Times New Roman"/>
        </w:rPr>
        <w:t xml:space="preserve">the </w:t>
      </w:r>
      <w:r w:rsidR="00765401">
        <w:rPr>
          <w:rFonts w:ascii="Times New Roman" w:hAnsi="Times New Roman" w:cs="Times New Roman"/>
        </w:rPr>
        <w:t>Agreement</w:t>
      </w:r>
      <w:r w:rsidR="00CD55F5" w:rsidRPr="004842AA">
        <w:rPr>
          <w:rFonts w:ascii="Times New Roman" w:hAnsi="Times New Roman" w:cs="Times New Roman"/>
        </w:rPr>
        <w:t xml:space="preserve">: for example, the UK parliament cannot </w:t>
      </w:r>
      <w:r w:rsidR="009A6F8F" w:rsidRPr="004842AA">
        <w:rPr>
          <w:rFonts w:ascii="Times New Roman" w:hAnsi="Times New Roman" w:cs="Times New Roman"/>
        </w:rPr>
        <w:t xml:space="preserve">issue “reasoned opinions” objecting to </w:t>
      </w:r>
      <w:r w:rsidR="00CD55F5" w:rsidRPr="004842AA">
        <w:rPr>
          <w:rFonts w:ascii="Times New Roman" w:hAnsi="Times New Roman" w:cs="Times New Roman"/>
        </w:rPr>
        <w:t xml:space="preserve">Union </w:t>
      </w:r>
      <w:r w:rsidR="009A6F8F" w:rsidRPr="004842AA">
        <w:rPr>
          <w:rFonts w:ascii="Times New Roman" w:hAnsi="Times New Roman" w:cs="Times New Roman"/>
        </w:rPr>
        <w:t xml:space="preserve">proposals on </w:t>
      </w:r>
      <w:r w:rsidR="00CD55F5" w:rsidRPr="004842AA">
        <w:rPr>
          <w:rFonts w:ascii="Times New Roman" w:hAnsi="Times New Roman" w:cs="Times New Roman"/>
        </w:rPr>
        <w:t xml:space="preserve">subsidiarity </w:t>
      </w:r>
      <w:r w:rsidR="009A6F8F" w:rsidRPr="004842AA">
        <w:rPr>
          <w:rFonts w:ascii="Times New Roman" w:hAnsi="Times New Roman" w:cs="Times New Roman"/>
        </w:rPr>
        <w:t>grounds</w:t>
      </w:r>
      <w:r w:rsidR="00CD55F5" w:rsidRPr="004842AA">
        <w:rPr>
          <w:rFonts w:ascii="Times New Roman" w:hAnsi="Times New Roman" w:cs="Times New Roman"/>
        </w:rPr>
        <w:t>;</w:t>
      </w:r>
      <w:r w:rsidR="00760509">
        <w:rPr>
          <w:rStyle w:val="FootnoteReference"/>
          <w:rFonts w:ascii="Times New Roman" w:hAnsi="Times New Roman" w:cs="Times New Roman"/>
        </w:rPr>
        <w:footnoteReference w:id="158"/>
      </w:r>
      <w:r w:rsidR="00CD55F5" w:rsidRPr="004842AA">
        <w:rPr>
          <w:rFonts w:ascii="Times New Roman" w:hAnsi="Times New Roman" w:cs="Times New Roman"/>
        </w:rPr>
        <w:t xml:space="preserve"> </w:t>
      </w:r>
      <w:r w:rsidR="00416720">
        <w:rPr>
          <w:rFonts w:ascii="Times New Roman" w:hAnsi="Times New Roman" w:cs="Times New Roman"/>
        </w:rPr>
        <w:t xml:space="preserve">and </w:t>
      </w:r>
      <w:r w:rsidR="00CD55F5" w:rsidRPr="004842AA">
        <w:rPr>
          <w:rFonts w:ascii="Times New Roman" w:hAnsi="Times New Roman" w:cs="Times New Roman"/>
        </w:rPr>
        <w:t xml:space="preserve">the </w:t>
      </w:r>
      <w:r w:rsidR="009A6F8F" w:rsidRPr="004842AA">
        <w:rPr>
          <w:rFonts w:ascii="Times New Roman" w:hAnsi="Times New Roman" w:cs="Times New Roman"/>
        </w:rPr>
        <w:t xml:space="preserve">UK </w:t>
      </w:r>
      <w:r w:rsidR="00CD55F5" w:rsidRPr="004842AA">
        <w:rPr>
          <w:rFonts w:ascii="Times New Roman" w:hAnsi="Times New Roman" w:cs="Times New Roman"/>
        </w:rPr>
        <w:t xml:space="preserve">is </w:t>
      </w:r>
      <w:r w:rsidR="009A6F8F" w:rsidRPr="004842AA">
        <w:rPr>
          <w:rFonts w:ascii="Times New Roman" w:hAnsi="Times New Roman" w:cs="Times New Roman"/>
        </w:rPr>
        <w:t xml:space="preserve">not entitled to submit proposals </w:t>
      </w:r>
      <w:r w:rsidR="00CD55F5" w:rsidRPr="004842AA">
        <w:rPr>
          <w:rFonts w:ascii="Times New Roman" w:hAnsi="Times New Roman" w:cs="Times New Roman"/>
        </w:rPr>
        <w:t xml:space="preserve">or </w:t>
      </w:r>
      <w:r w:rsidR="009A6F8F" w:rsidRPr="004842AA">
        <w:rPr>
          <w:rFonts w:ascii="Times New Roman" w:hAnsi="Times New Roman" w:cs="Times New Roman"/>
        </w:rPr>
        <w:t xml:space="preserve">requests as if </w:t>
      </w:r>
      <w:r w:rsidR="00CD55F5" w:rsidRPr="004842AA">
        <w:rPr>
          <w:rFonts w:ascii="Times New Roman" w:hAnsi="Times New Roman" w:cs="Times New Roman"/>
        </w:rPr>
        <w:t xml:space="preserve">it were </w:t>
      </w:r>
      <w:r w:rsidR="009A6F8F" w:rsidRPr="004842AA">
        <w:rPr>
          <w:rFonts w:ascii="Times New Roman" w:hAnsi="Times New Roman" w:cs="Times New Roman"/>
        </w:rPr>
        <w:t>still a Member State</w:t>
      </w:r>
      <w:r w:rsidR="00CD55F5" w:rsidRPr="004842AA">
        <w:rPr>
          <w:rFonts w:ascii="Times New Roman" w:hAnsi="Times New Roman" w:cs="Times New Roman"/>
        </w:rPr>
        <w:t>.</w:t>
      </w:r>
      <w:r w:rsidR="00AF49A9" w:rsidRPr="004842AA">
        <w:rPr>
          <w:rStyle w:val="FootnoteReference"/>
          <w:rFonts w:ascii="Times New Roman" w:hAnsi="Times New Roman" w:cs="Times New Roman"/>
        </w:rPr>
        <w:footnoteReference w:id="159"/>
      </w:r>
      <w:r w:rsidR="00CD55F5" w:rsidRPr="004842AA">
        <w:rPr>
          <w:rFonts w:ascii="Times New Roman" w:hAnsi="Times New Roman" w:cs="Times New Roman"/>
        </w:rPr>
        <w:t xml:space="preserve"> </w:t>
      </w:r>
      <w:r w:rsidR="004B20B4">
        <w:rPr>
          <w:rFonts w:ascii="Times New Roman" w:hAnsi="Times New Roman" w:cs="Times New Roman"/>
        </w:rPr>
        <w:t xml:space="preserve"> </w:t>
      </w:r>
      <w:r w:rsidR="009A6F8F" w:rsidRPr="004842AA">
        <w:rPr>
          <w:rFonts w:ascii="Times New Roman" w:hAnsi="Times New Roman" w:cs="Times New Roman"/>
        </w:rPr>
        <w:t>Article 130</w:t>
      </w:r>
      <w:r w:rsidR="00CD55F5" w:rsidRPr="004842AA">
        <w:rPr>
          <w:rFonts w:ascii="Times New Roman" w:hAnsi="Times New Roman" w:cs="Times New Roman"/>
        </w:rPr>
        <w:t xml:space="preserve"> WA also </w:t>
      </w:r>
      <w:r w:rsidR="00CD55F5" w:rsidRPr="004842AA">
        <w:rPr>
          <w:rFonts w:ascii="Times New Roman" w:hAnsi="Times New Roman" w:cs="Times New Roman"/>
        </w:rPr>
        <w:lastRenderedPageBreak/>
        <w:t xml:space="preserve">makes </w:t>
      </w:r>
      <w:r w:rsidR="009A6F8F" w:rsidRPr="004842AA">
        <w:rPr>
          <w:rFonts w:ascii="Times New Roman" w:hAnsi="Times New Roman" w:cs="Times New Roman"/>
        </w:rPr>
        <w:t xml:space="preserve">specific provision </w:t>
      </w:r>
      <w:r w:rsidR="00F52311">
        <w:rPr>
          <w:rFonts w:ascii="Times New Roman" w:hAnsi="Times New Roman" w:cs="Times New Roman"/>
        </w:rPr>
        <w:t xml:space="preserve">as regards </w:t>
      </w:r>
      <w:r w:rsidR="009A6F8F" w:rsidRPr="004842AA">
        <w:rPr>
          <w:rFonts w:ascii="Times New Roman" w:hAnsi="Times New Roman" w:cs="Times New Roman"/>
        </w:rPr>
        <w:t>fisheries</w:t>
      </w:r>
      <w:r w:rsidR="00CD55F5" w:rsidRPr="004842AA">
        <w:rPr>
          <w:rFonts w:ascii="Times New Roman" w:hAnsi="Times New Roman" w:cs="Times New Roman"/>
        </w:rPr>
        <w:t xml:space="preserve">: </w:t>
      </w:r>
      <w:r w:rsidR="009A6F8F" w:rsidRPr="004842AA">
        <w:rPr>
          <w:rFonts w:ascii="Times New Roman" w:hAnsi="Times New Roman" w:cs="Times New Roman"/>
        </w:rPr>
        <w:t xml:space="preserve">for </w:t>
      </w:r>
      <w:r w:rsidR="00CD55F5" w:rsidRPr="004842AA">
        <w:rPr>
          <w:rFonts w:ascii="Times New Roman" w:hAnsi="Times New Roman" w:cs="Times New Roman"/>
        </w:rPr>
        <w:t xml:space="preserve">the </w:t>
      </w:r>
      <w:r w:rsidR="009A6F8F" w:rsidRPr="004842AA">
        <w:rPr>
          <w:rFonts w:ascii="Times New Roman" w:hAnsi="Times New Roman" w:cs="Times New Roman"/>
        </w:rPr>
        <w:t>purposes of Article 43(3) TFEU</w:t>
      </w:r>
      <w:r w:rsidR="00CD55F5" w:rsidRPr="004842AA">
        <w:rPr>
          <w:rFonts w:ascii="Times New Roman" w:hAnsi="Times New Roman" w:cs="Times New Roman"/>
        </w:rPr>
        <w:t>, as regards</w:t>
      </w:r>
      <w:r w:rsidR="009A6F8F" w:rsidRPr="004842AA">
        <w:rPr>
          <w:rFonts w:ascii="Times New Roman" w:hAnsi="Times New Roman" w:cs="Times New Roman"/>
        </w:rPr>
        <w:t xml:space="preserve"> any period falling </w:t>
      </w:r>
      <w:r w:rsidR="00CD55F5" w:rsidRPr="004842AA">
        <w:rPr>
          <w:rFonts w:ascii="Times New Roman" w:hAnsi="Times New Roman" w:cs="Times New Roman"/>
        </w:rPr>
        <w:t xml:space="preserve">under </w:t>
      </w:r>
      <w:r w:rsidR="009A6F8F" w:rsidRPr="004842AA">
        <w:rPr>
          <w:rFonts w:ascii="Times New Roman" w:hAnsi="Times New Roman" w:cs="Times New Roman"/>
        </w:rPr>
        <w:t>transition</w:t>
      </w:r>
      <w:r w:rsidR="00CD55F5" w:rsidRPr="004842AA">
        <w:rPr>
          <w:rFonts w:ascii="Times New Roman" w:hAnsi="Times New Roman" w:cs="Times New Roman"/>
        </w:rPr>
        <w:t xml:space="preserve">, the </w:t>
      </w:r>
      <w:r w:rsidR="009A6F8F" w:rsidRPr="004842AA">
        <w:rPr>
          <w:rFonts w:ascii="Times New Roman" w:hAnsi="Times New Roman" w:cs="Times New Roman"/>
        </w:rPr>
        <w:t xml:space="preserve">UK will </w:t>
      </w:r>
      <w:r w:rsidR="00416720">
        <w:rPr>
          <w:rFonts w:ascii="Times New Roman" w:hAnsi="Times New Roman" w:cs="Times New Roman"/>
        </w:rPr>
        <w:t xml:space="preserve">merely </w:t>
      </w:r>
      <w:r w:rsidR="009A6F8F" w:rsidRPr="004842AA">
        <w:rPr>
          <w:rFonts w:ascii="Times New Roman" w:hAnsi="Times New Roman" w:cs="Times New Roman"/>
        </w:rPr>
        <w:t xml:space="preserve">be consulted as regards fishing opportunities relating to </w:t>
      </w:r>
      <w:r w:rsidR="00CD55F5" w:rsidRPr="004842AA">
        <w:rPr>
          <w:rFonts w:ascii="Times New Roman" w:hAnsi="Times New Roman" w:cs="Times New Roman"/>
        </w:rPr>
        <w:t xml:space="preserve">the </w:t>
      </w:r>
      <w:r w:rsidR="009A6F8F" w:rsidRPr="004842AA">
        <w:rPr>
          <w:rFonts w:ascii="Times New Roman" w:hAnsi="Times New Roman" w:cs="Times New Roman"/>
        </w:rPr>
        <w:t>UK</w:t>
      </w:r>
      <w:r w:rsidR="00CD55F5" w:rsidRPr="004842AA">
        <w:rPr>
          <w:rFonts w:ascii="Times New Roman" w:hAnsi="Times New Roman" w:cs="Times New Roman"/>
        </w:rPr>
        <w:t xml:space="preserve">; </w:t>
      </w:r>
      <w:r w:rsidR="00416720">
        <w:rPr>
          <w:rFonts w:ascii="Times New Roman" w:hAnsi="Times New Roman" w:cs="Times New Roman"/>
        </w:rPr>
        <w:t xml:space="preserve">though </w:t>
      </w:r>
      <w:r w:rsidR="00CD55F5" w:rsidRPr="004842AA">
        <w:rPr>
          <w:rFonts w:ascii="Times New Roman" w:hAnsi="Times New Roman" w:cs="Times New Roman"/>
        </w:rPr>
        <w:t xml:space="preserve">the Union commits to maintaining </w:t>
      </w:r>
      <w:r w:rsidR="00F52311">
        <w:rPr>
          <w:rFonts w:ascii="Times New Roman" w:hAnsi="Times New Roman" w:cs="Times New Roman"/>
        </w:rPr>
        <w:t xml:space="preserve">its </w:t>
      </w:r>
      <w:r w:rsidR="009A6F8F" w:rsidRPr="004842AA">
        <w:rPr>
          <w:rFonts w:ascii="Times New Roman" w:hAnsi="Times New Roman" w:cs="Times New Roman"/>
        </w:rPr>
        <w:t xml:space="preserve">relative stability keys for </w:t>
      </w:r>
      <w:r w:rsidR="00CD55F5" w:rsidRPr="004842AA">
        <w:rPr>
          <w:rFonts w:ascii="Times New Roman" w:hAnsi="Times New Roman" w:cs="Times New Roman"/>
        </w:rPr>
        <w:t xml:space="preserve">the </w:t>
      </w:r>
      <w:r w:rsidR="009A6F8F" w:rsidRPr="004842AA">
        <w:rPr>
          <w:rFonts w:ascii="Times New Roman" w:hAnsi="Times New Roman" w:cs="Times New Roman"/>
        </w:rPr>
        <w:t>allocation of relevant fishing opportunities</w:t>
      </w:r>
      <w:r w:rsidR="00CD55F5" w:rsidRPr="004842AA">
        <w:rPr>
          <w:rFonts w:ascii="Times New Roman" w:hAnsi="Times New Roman" w:cs="Times New Roman"/>
        </w:rPr>
        <w:t>.</w:t>
      </w:r>
      <w:r w:rsidR="00CD55F5" w:rsidRPr="004842AA">
        <w:rPr>
          <w:rStyle w:val="FootnoteReference"/>
          <w:rFonts w:ascii="Times New Roman" w:hAnsi="Times New Roman" w:cs="Times New Roman"/>
        </w:rPr>
        <w:footnoteReference w:id="160"/>
      </w:r>
    </w:p>
    <w:p w14:paraId="0F8FD1B6" w14:textId="01FECFAA" w:rsidR="00CD55F5" w:rsidRPr="0069239A" w:rsidRDefault="00EE306D" w:rsidP="0069239A">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Despite its institutional exclusion, the UK remains bound by the duty of sincere coopera</w:t>
      </w:r>
      <w:r w:rsidR="006861A1">
        <w:rPr>
          <w:rFonts w:ascii="Times New Roman" w:hAnsi="Times New Roman" w:cs="Times New Roman"/>
        </w:rPr>
        <w:t>tion throughout the transition</w:t>
      </w:r>
      <w:r>
        <w:rPr>
          <w:rFonts w:ascii="Times New Roman" w:hAnsi="Times New Roman" w:cs="Times New Roman"/>
        </w:rPr>
        <w:t xml:space="preserve"> period.</w:t>
      </w:r>
      <w:r>
        <w:rPr>
          <w:rStyle w:val="FootnoteReference"/>
          <w:rFonts w:ascii="Times New Roman" w:hAnsi="Times New Roman" w:cs="Times New Roman"/>
        </w:rPr>
        <w:footnoteReference w:id="161"/>
      </w:r>
      <w:r>
        <w:rPr>
          <w:rFonts w:ascii="Times New Roman" w:hAnsi="Times New Roman" w:cs="Times New Roman"/>
        </w:rPr>
        <w:t xml:space="preserve">  In addition, </w:t>
      </w:r>
      <w:r w:rsidR="008477EB" w:rsidRPr="004842AA">
        <w:rPr>
          <w:rFonts w:ascii="Times New Roman" w:hAnsi="Times New Roman" w:cs="Times New Roman"/>
        </w:rPr>
        <w:t xml:space="preserve">Part </w:t>
      </w:r>
      <w:r w:rsidR="00416720">
        <w:rPr>
          <w:rFonts w:ascii="Times New Roman" w:hAnsi="Times New Roman" w:cs="Times New Roman"/>
        </w:rPr>
        <w:t xml:space="preserve">Four </w:t>
      </w:r>
      <w:r w:rsidR="008477EB" w:rsidRPr="004842AA">
        <w:rPr>
          <w:rFonts w:ascii="Times New Roman" w:hAnsi="Times New Roman" w:cs="Times New Roman"/>
        </w:rPr>
        <w:t>of the Agreement contains provisions on supervision and enforcement during transition.</w:t>
      </w:r>
      <w:r w:rsidR="008477EB" w:rsidRPr="004842AA">
        <w:rPr>
          <w:rStyle w:val="FootnoteReference"/>
          <w:rFonts w:ascii="Times New Roman" w:hAnsi="Times New Roman" w:cs="Times New Roman"/>
        </w:rPr>
        <w:footnoteReference w:id="162"/>
      </w:r>
      <w:r w:rsidR="008477EB" w:rsidRPr="004842AA">
        <w:rPr>
          <w:rFonts w:ascii="Times New Roman" w:hAnsi="Times New Roman" w:cs="Times New Roman"/>
        </w:rPr>
        <w:t xml:space="preserve">  Under </w:t>
      </w:r>
      <w:r w:rsidR="00CD55F5" w:rsidRPr="004842AA">
        <w:rPr>
          <w:rFonts w:ascii="Times New Roman" w:hAnsi="Times New Roman" w:cs="Times New Roman"/>
        </w:rPr>
        <w:t xml:space="preserve">Article 131 </w:t>
      </w:r>
      <w:r w:rsidR="008477EB" w:rsidRPr="004842AA">
        <w:rPr>
          <w:rFonts w:ascii="Times New Roman" w:hAnsi="Times New Roman" w:cs="Times New Roman"/>
        </w:rPr>
        <w:t xml:space="preserve">WA, the </w:t>
      </w:r>
      <w:r w:rsidR="00CD55F5" w:rsidRPr="004842AA">
        <w:rPr>
          <w:rFonts w:ascii="Times New Roman" w:hAnsi="Times New Roman" w:cs="Times New Roman"/>
        </w:rPr>
        <w:t>Union</w:t>
      </w:r>
      <w:r w:rsidR="008477EB" w:rsidRPr="004842AA">
        <w:rPr>
          <w:rFonts w:ascii="Times New Roman" w:hAnsi="Times New Roman" w:cs="Times New Roman"/>
        </w:rPr>
        <w:t>’s</w:t>
      </w:r>
      <w:r w:rsidR="00CD55F5" w:rsidRPr="004842AA">
        <w:rPr>
          <w:rFonts w:ascii="Times New Roman" w:hAnsi="Times New Roman" w:cs="Times New Roman"/>
        </w:rPr>
        <w:t xml:space="preserve"> institutions, </w:t>
      </w:r>
      <w:r w:rsidR="008477EB" w:rsidRPr="004842AA">
        <w:rPr>
          <w:rFonts w:ascii="Times New Roman" w:hAnsi="Times New Roman" w:cs="Times New Roman"/>
        </w:rPr>
        <w:t xml:space="preserve">bodies and </w:t>
      </w:r>
      <w:r w:rsidR="00CD55F5" w:rsidRPr="004842AA">
        <w:rPr>
          <w:rFonts w:ascii="Times New Roman" w:hAnsi="Times New Roman" w:cs="Times New Roman"/>
        </w:rPr>
        <w:t xml:space="preserve">agencies </w:t>
      </w:r>
      <w:proofErr w:type="spellStart"/>
      <w:r w:rsidR="00CD55F5" w:rsidRPr="004842AA">
        <w:rPr>
          <w:rFonts w:ascii="Times New Roman" w:hAnsi="Times New Roman" w:cs="Times New Roman"/>
        </w:rPr>
        <w:t>etc</w:t>
      </w:r>
      <w:proofErr w:type="spellEnd"/>
      <w:r w:rsidR="00CD55F5" w:rsidRPr="004842AA">
        <w:rPr>
          <w:rFonts w:ascii="Times New Roman" w:hAnsi="Times New Roman" w:cs="Times New Roman"/>
        </w:rPr>
        <w:t xml:space="preserve"> shall </w:t>
      </w:r>
      <w:r w:rsidR="008B30B5">
        <w:rPr>
          <w:rFonts w:ascii="Times New Roman" w:hAnsi="Times New Roman" w:cs="Times New Roman"/>
        </w:rPr>
        <w:t>have</w:t>
      </w:r>
      <w:r w:rsidR="008477EB" w:rsidRPr="004842AA">
        <w:rPr>
          <w:rFonts w:ascii="Times New Roman" w:hAnsi="Times New Roman" w:cs="Times New Roman"/>
        </w:rPr>
        <w:t xml:space="preserve"> their </w:t>
      </w:r>
      <w:r w:rsidR="00CD55F5" w:rsidRPr="004842AA">
        <w:rPr>
          <w:rFonts w:ascii="Times New Roman" w:hAnsi="Times New Roman" w:cs="Times New Roman"/>
        </w:rPr>
        <w:t>powers under Union law in relation to UK authorit</w:t>
      </w:r>
      <w:r w:rsidR="008477EB" w:rsidRPr="004842AA">
        <w:rPr>
          <w:rFonts w:ascii="Times New Roman" w:hAnsi="Times New Roman" w:cs="Times New Roman"/>
        </w:rPr>
        <w:t xml:space="preserve">ies, natural / legal persons and </w:t>
      </w:r>
      <w:r w:rsidR="00CD55F5" w:rsidRPr="004842AA">
        <w:rPr>
          <w:rFonts w:ascii="Times New Roman" w:hAnsi="Times New Roman" w:cs="Times New Roman"/>
        </w:rPr>
        <w:t xml:space="preserve">residents </w:t>
      </w:r>
      <w:proofErr w:type="spellStart"/>
      <w:r w:rsidR="00CD55F5" w:rsidRPr="004842AA">
        <w:rPr>
          <w:rFonts w:ascii="Times New Roman" w:hAnsi="Times New Roman" w:cs="Times New Roman"/>
        </w:rPr>
        <w:t>etc</w:t>
      </w:r>
      <w:proofErr w:type="spellEnd"/>
      <w:r w:rsidR="00416720">
        <w:rPr>
          <w:rFonts w:ascii="Times New Roman" w:hAnsi="Times New Roman" w:cs="Times New Roman"/>
        </w:rPr>
        <w:t xml:space="preserve"> (for example, as </w:t>
      </w:r>
      <w:r w:rsidR="008477EB" w:rsidRPr="004842AA">
        <w:rPr>
          <w:rFonts w:ascii="Times New Roman" w:hAnsi="Times New Roman" w:cs="Times New Roman"/>
        </w:rPr>
        <w:t xml:space="preserve">regards </w:t>
      </w:r>
      <w:r w:rsidR="008B30B5">
        <w:rPr>
          <w:rFonts w:ascii="Times New Roman" w:hAnsi="Times New Roman" w:cs="Times New Roman"/>
        </w:rPr>
        <w:t xml:space="preserve">Commission </w:t>
      </w:r>
      <w:r w:rsidR="008477EB" w:rsidRPr="004842AA">
        <w:rPr>
          <w:rFonts w:ascii="Times New Roman" w:hAnsi="Times New Roman" w:cs="Times New Roman"/>
        </w:rPr>
        <w:t>competition and state aid investigations).</w:t>
      </w:r>
      <w:r w:rsidR="000C6807">
        <w:rPr>
          <w:rStyle w:val="FootnoteReference"/>
          <w:rFonts w:ascii="Times New Roman" w:hAnsi="Times New Roman" w:cs="Times New Roman"/>
        </w:rPr>
        <w:footnoteReference w:id="163"/>
      </w:r>
      <w:r w:rsidR="008477EB" w:rsidRPr="004842AA">
        <w:rPr>
          <w:rFonts w:ascii="Times New Roman" w:hAnsi="Times New Roman" w:cs="Times New Roman"/>
        </w:rPr>
        <w:t xml:space="preserve">  In particular, the CJEU </w:t>
      </w:r>
      <w:r w:rsidR="00CD55F5" w:rsidRPr="004842AA">
        <w:rPr>
          <w:rFonts w:ascii="Times New Roman" w:hAnsi="Times New Roman" w:cs="Times New Roman"/>
        </w:rPr>
        <w:t xml:space="preserve">shall have jurisdiction as provided for </w:t>
      </w:r>
      <w:r w:rsidR="008B30B5">
        <w:rPr>
          <w:rFonts w:ascii="Times New Roman" w:hAnsi="Times New Roman" w:cs="Times New Roman"/>
        </w:rPr>
        <w:t xml:space="preserve">in the </w:t>
      </w:r>
      <w:r w:rsidR="00CD55F5" w:rsidRPr="004842AA">
        <w:rPr>
          <w:rFonts w:ascii="Times New Roman" w:hAnsi="Times New Roman" w:cs="Times New Roman"/>
        </w:rPr>
        <w:t>Treaties</w:t>
      </w:r>
      <w:r w:rsidR="008B30B5">
        <w:rPr>
          <w:rFonts w:ascii="Times New Roman" w:hAnsi="Times New Roman" w:cs="Times New Roman"/>
        </w:rPr>
        <w:t>:</w:t>
      </w:r>
      <w:r w:rsidR="00CD55F5" w:rsidRPr="004842AA">
        <w:rPr>
          <w:rFonts w:ascii="Times New Roman" w:hAnsi="Times New Roman" w:cs="Times New Roman"/>
        </w:rPr>
        <w:t xml:space="preserve"> </w:t>
      </w:r>
      <w:r w:rsidR="008477EB" w:rsidRPr="004842AA">
        <w:rPr>
          <w:rFonts w:ascii="Times New Roman" w:hAnsi="Times New Roman" w:cs="Times New Roman"/>
        </w:rPr>
        <w:t xml:space="preserve">thus allowing </w:t>
      </w:r>
      <w:r w:rsidR="008B30B5">
        <w:rPr>
          <w:rFonts w:ascii="Times New Roman" w:hAnsi="Times New Roman" w:cs="Times New Roman"/>
        </w:rPr>
        <w:t xml:space="preserve">(say) for </w:t>
      </w:r>
      <w:r w:rsidR="00CD55F5" w:rsidRPr="004842AA">
        <w:rPr>
          <w:rFonts w:ascii="Times New Roman" w:hAnsi="Times New Roman" w:cs="Times New Roman"/>
        </w:rPr>
        <w:t xml:space="preserve">enforcement proceedings against </w:t>
      </w:r>
      <w:r w:rsidR="008477EB" w:rsidRPr="004842AA">
        <w:rPr>
          <w:rFonts w:ascii="Times New Roman" w:hAnsi="Times New Roman" w:cs="Times New Roman"/>
        </w:rPr>
        <w:t xml:space="preserve">the </w:t>
      </w:r>
      <w:r w:rsidR="00CD55F5" w:rsidRPr="004842AA">
        <w:rPr>
          <w:rFonts w:ascii="Times New Roman" w:hAnsi="Times New Roman" w:cs="Times New Roman"/>
        </w:rPr>
        <w:t>UK</w:t>
      </w:r>
      <w:r w:rsidR="008477EB" w:rsidRPr="004842AA">
        <w:rPr>
          <w:rFonts w:ascii="Times New Roman" w:hAnsi="Times New Roman" w:cs="Times New Roman"/>
        </w:rPr>
        <w:t xml:space="preserve"> and </w:t>
      </w:r>
      <w:r w:rsidR="00CD55F5" w:rsidRPr="004842AA">
        <w:rPr>
          <w:rFonts w:ascii="Times New Roman" w:hAnsi="Times New Roman" w:cs="Times New Roman"/>
        </w:rPr>
        <w:t xml:space="preserve">preliminary references from </w:t>
      </w:r>
      <w:r w:rsidR="008477EB" w:rsidRPr="004842AA">
        <w:rPr>
          <w:rFonts w:ascii="Times New Roman" w:hAnsi="Times New Roman" w:cs="Times New Roman"/>
        </w:rPr>
        <w:t xml:space="preserve">British </w:t>
      </w:r>
      <w:r w:rsidR="00CD55F5" w:rsidRPr="004842AA">
        <w:rPr>
          <w:rFonts w:ascii="Times New Roman" w:hAnsi="Times New Roman" w:cs="Times New Roman"/>
        </w:rPr>
        <w:t>courts</w:t>
      </w:r>
      <w:r w:rsidR="008477EB" w:rsidRPr="004842AA">
        <w:rPr>
          <w:rFonts w:ascii="Times New Roman" w:hAnsi="Times New Roman" w:cs="Times New Roman"/>
        </w:rPr>
        <w:t xml:space="preserve">; also (during </w:t>
      </w:r>
      <w:r w:rsidR="00CD55F5" w:rsidRPr="004842AA">
        <w:rPr>
          <w:rFonts w:ascii="Times New Roman" w:hAnsi="Times New Roman" w:cs="Times New Roman"/>
        </w:rPr>
        <w:t>transition</w:t>
      </w:r>
      <w:r w:rsidR="008477EB" w:rsidRPr="004842AA">
        <w:rPr>
          <w:rFonts w:ascii="Times New Roman" w:hAnsi="Times New Roman" w:cs="Times New Roman"/>
        </w:rPr>
        <w:t>)</w:t>
      </w:r>
      <w:r w:rsidR="00CD55F5" w:rsidRPr="004842AA">
        <w:rPr>
          <w:rFonts w:ascii="Times New Roman" w:hAnsi="Times New Roman" w:cs="Times New Roman"/>
        </w:rPr>
        <w:t xml:space="preserve"> </w:t>
      </w:r>
      <w:r w:rsidR="008477EB" w:rsidRPr="004842AA">
        <w:rPr>
          <w:rFonts w:ascii="Times New Roman" w:hAnsi="Times New Roman" w:cs="Times New Roman"/>
        </w:rPr>
        <w:t xml:space="preserve">as regards </w:t>
      </w:r>
      <w:r w:rsidR="00CD55F5" w:rsidRPr="004842AA">
        <w:rPr>
          <w:rFonts w:ascii="Times New Roman" w:hAnsi="Times New Roman" w:cs="Times New Roman"/>
        </w:rPr>
        <w:t xml:space="preserve">interpretation and application of </w:t>
      </w:r>
      <w:r w:rsidR="008477EB" w:rsidRPr="004842AA">
        <w:rPr>
          <w:rFonts w:ascii="Times New Roman" w:hAnsi="Times New Roman" w:cs="Times New Roman"/>
        </w:rPr>
        <w:t>the Agreement itself.</w:t>
      </w:r>
      <w:r w:rsidR="000C6807">
        <w:rPr>
          <w:rStyle w:val="FootnoteReference"/>
          <w:rFonts w:ascii="Times New Roman" w:hAnsi="Times New Roman" w:cs="Times New Roman"/>
        </w:rPr>
        <w:footnoteReference w:id="164"/>
      </w:r>
      <w:r w:rsidR="008477EB" w:rsidRPr="004842AA">
        <w:rPr>
          <w:rFonts w:ascii="Times New Roman" w:hAnsi="Times New Roman" w:cs="Times New Roman"/>
        </w:rPr>
        <w:t xml:space="preserve">  </w:t>
      </w:r>
      <w:r w:rsidR="008B30B5">
        <w:rPr>
          <w:rFonts w:ascii="Times New Roman" w:hAnsi="Times New Roman" w:cs="Times New Roman"/>
        </w:rPr>
        <w:t xml:space="preserve">Moreover, the </w:t>
      </w:r>
      <w:r w:rsidR="00765401">
        <w:rPr>
          <w:rFonts w:ascii="Times New Roman" w:hAnsi="Times New Roman" w:cs="Times New Roman"/>
        </w:rPr>
        <w:t>Agreement</w:t>
      </w:r>
      <w:r w:rsidR="008B30B5">
        <w:rPr>
          <w:rFonts w:ascii="Times New Roman" w:hAnsi="Times New Roman" w:cs="Times New Roman"/>
        </w:rPr>
        <w:t xml:space="preserve"> </w:t>
      </w:r>
      <w:r w:rsidR="008477EB" w:rsidRPr="004842AA">
        <w:rPr>
          <w:rFonts w:ascii="Times New Roman" w:hAnsi="Times New Roman" w:cs="Times New Roman"/>
        </w:rPr>
        <w:t xml:space="preserve">includes a further body of rules on the </w:t>
      </w:r>
      <w:r w:rsidR="00416720">
        <w:rPr>
          <w:rFonts w:ascii="Times New Roman" w:hAnsi="Times New Roman" w:cs="Times New Roman"/>
        </w:rPr>
        <w:t xml:space="preserve">conclusion </w:t>
      </w:r>
      <w:r w:rsidR="008477EB" w:rsidRPr="004842AA">
        <w:rPr>
          <w:rFonts w:ascii="Times New Roman" w:hAnsi="Times New Roman" w:cs="Times New Roman"/>
        </w:rPr>
        <w:t>of judicial and administrative proceedings still pending a</w:t>
      </w:r>
      <w:r w:rsidR="006861A1">
        <w:rPr>
          <w:rFonts w:ascii="Times New Roman" w:hAnsi="Times New Roman" w:cs="Times New Roman"/>
        </w:rPr>
        <w:t>t the expiry of the transition</w:t>
      </w:r>
      <w:r w:rsidR="008477EB" w:rsidRPr="004842AA">
        <w:rPr>
          <w:rFonts w:ascii="Times New Roman" w:hAnsi="Times New Roman" w:cs="Times New Roman"/>
        </w:rPr>
        <w:t xml:space="preserve"> period or arising from </w:t>
      </w:r>
      <w:proofErr w:type="gramStart"/>
      <w:r w:rsidR="008477EB" w:rsidRPr="004842AA">
        <w:rPr>
          <w:rFonts w:ascii="Times New Roman" w:hAnsi="Times New Roman" w:cs="Times New Roman"/>
        </w:rPr>
        <w:t>facts which</w:t>
      </w:r>
      <w:proofErr w:type="gramEnd"/>
      <w:r w:rsidR="008477EB" w:rsidRPr="004842AA">
        <w:rPr>
          <w:rFonts w:ascii="Times New Roman" w:hAnsi="Times New Roman" w:cs="Times New Roman"/>
        </w:rPr>
        <w:t xml:space="preserve"> occurred before the end of transition.</w:t>
      </w:r>
      <w:r w:rsidR="008477EB" w:rsidRPr="004842AA">
        <w:rPr>
          <w:rStyle w:val="FootnoteReference"/>
          <w:rFonts w:ascii="Times New Roman" w:hAnsi="Times New Roman" w:cs="Times New Roman"/>
        </w:rPr>
        <w:footnoteReference w:id="165"/>
      </w:r>
      <w:r w:rsidR="008477EB" w:rsidRPr="004842AA">
        <w:rPr>
          <w:rFonts w:ascii="Times New Roman" w:hAnsi="Times New Roman" w:cs="Times New Roman"/>
        </w:rPr>
        <w:t xml:space="preserve">  It is worth noting that the Commission had originally proposed additional powers of enforcement vis-à-vis the UK </w:t>
      </w:r>
      <w:r w:rsidR="00D008D6" w:rsidRPr="004842AA">
        <w:rPr>
          <w:rFonts w:ascii="Times New Roman" w:hAnsi="Times New Roman" w:cs="Times New Roman"/>
        </w:rPr>
        <w:t xml:space="preserve">for the duration of transition </w:t>
      </w:r>
      <w:r w:rsidR="008477EB" w:rsidRPr="004842AA">
        <w:rPr>
          <w:rFonts w:ascii="Times New Roman" w:hAnsi="Times New Roman" w:cs="Times New Roman"/>
        </w:rPr>
        <w:t xml:space="preserve">– including </w:t>
      </w:r>
      <w:r w:rsidR="00D008D6" w:rsidRPr="004842AA">
        <w:rPr>
          <w:rFonts w:ascii="Times New Roman" w:hAnsi="Times New Roman" w:cs="Times New Roman"/>
        </w:rPr>
        <w:t xml:space="preserve">the power to suspend certain benefits of the UK’s continued Single Market participation – but those proposals were eventually excluded from the final </w:t>
      </w:r>
      <w:r w:rsidR="00CB1430">
        <w:rPr>
          <w:rFonts w:ascii="Times New Roman" w:hAnsi="Times New Roman" w:cs="Times New Roman"/>
        </w:rPr>
        <w:t>Agreement</w:t>
      </w:r>
      <w:r w:rsidR="008477EB" w:rsidRPr="004842AA">
        <w:rPr>
          <w:rFonts w:ascii="Times New Roman" w:hAnsi="Times New Roman" w:cs="Times New Roman"/>
        </w:rPr>
        <w:t>.</w:t>
      </w:r>
      <w:r w:rsidR="008477EB" w:rsidRPr="004842AA">
        <w:rPr>
          <w:rStyle w:val="FootnoteReference"/>
          <w:rFonts w:ascii="Times New Roman" w:hAnsi="Times New Roman" w:cs="Times New Roman"/>
        </w:rPr>
        <w:footnoteReference w:id="166"/>
      </w:r>
    </w:p>
    <w:p w14:paraId="27F0B158" w14:textId="77777777" w:rsidR="00CD55F5" w:rsidRPr="004842AA" w:rsidRDefault="00CD55F5" w:rsidP="004842AA">
      <w:pPr>
        <w:widowControl w:val="0"/>
        <w:autoSpaceDE w:val="0"/>
        <w:autoSpaceDN w:val="0"/>
        <w:adjustRightInd w:val="0"/>
        <w:jc w:val="both"/>
        <w:rPr>
          <w:rFonts w:ascii="Times New Roman" w:hAnsi="Times New Roman" w:cs="Times New Roman"/>
          <w:highlight w:val="yellow"/>
        </w:rPr>
      </w:pPr>
    </w:p>
    <w:p w14:paraId="381CC4BE" w14:textId="2B0138A6" w:rsidR="00FA3097" w:rsidRPr="004842AA" w:rsidRDefault="00FA3097" w:rsidP="004842AA">
      <w:pPr>
        <w:widowControl w:val="0"/>
        <w:autoSpaceDE w:val="0"/>
        <w:autoSpaceDN w:val="0"/>
        <w:adjustRightInd w:val="0"/>
        <w:jc w:val="both"/>
        <w:rPr>
          <w:rFonts w:ascii="Times New Roman" w:hAnsi="Times New Roman" w:cs="Times New Roman"/>
          <w:i/>
        </w:rPr>
      </w:pPr>
      <w:r w:rsidRPr="004842AA">
        <w:rPr>
          <w:rFonts w:ascii="Times New Roman" w:hAnsi="Times New Roman" w:cs="Times New Roman"/>
          <w:i/>
        </w:rPr>
        <w:t>3.2.2.</w:t>
      </w:r>
      <w:r w:rsidRPr="004842AA">
        <w:rPr>
          <w:rFonts w:ascii="Times New Roman" w:hAnsi="Times New Roman" w:cs="Times New Roman"/>
          <w:i/>
        </w:rPr>
        <w:tab/>
        <w:t xml:space="preserve">Objectives of transition and likelihood of their delivery </w:t>
      </w:r>
    </w:p>
    <w:p w14:paraId="7A0C26FB" w14:textId="77777777" w:rsidR="00FA3097" w:rsidRPr="004842AA" w:rsidRDefault="00FA3097" w:rsidP="004842AA">
      <w:pPr>
        <w:widowControl w:val="0"/>
        <w:autoSpaceDE w:val="0"/>
        <w:autoSpaceDN w:val="0"/>
        <w:adjustRightInd w:val="0"/>
        <w:jc w:val="both"/>
        <w:rPr>
          <w:rFonts w:ascii="Times New Roman" w:hAnsi="Times New Roman" w:cs="Times New Roman"/>
          <w:highlight w:val="yellow"/>
        </w:rPr>
      </w:pPr>
    </w:p>
    <w:p w14:paraId="0B41300D" w14:textId="086C487B" w:rsidR="0069239A" w:rsidRDefault="00D008D6" w:rsidP="004842AA">
      <w:pPr>
        <w:widowControl w:val="0"/>
        <w:autoSpaceDE w:val="0"/>
        <w:autoSpaceDN w:val="0"/>
        <w:adjustRightInd w:val="0"/>
        <w:jc w:val="both"/>
        <w:rPr>
          <w:rFonts w:ascii="Times New Roman" w:hAnsi="Times New Roman" w:cs="Times New Roman"/>
        </w:rPr>
      </w:pPr>
      <w:r w:rsidRPr="004842AA">
        <w:rPr>
          <w:rFonts w:ascii="Times New Roman" w:hAnsi="Times New Roman" w:cs="Times New Roman"/>
        </w:rPr>
        <w:t xml:space="preserve">What were the main objectives behind the </w:t>
      </w:r>
      <w:r w:rsidR="00FA3097" w:rsidRPr="004842AA">
        <w:rPr>
          <w:rFonts w:ascii="Times New Roman" w:hAnsi="Times New Roman" w:cs="Times New Roman"/>
        </w:rPr>
        <w:t>UK’s request for a post-withdrawal, status quo transitional regime</w:t>
      </w:r>
      <w:r w:rsidRPr="004842AA">
        <w:rPr>
          <w:rFonts w:ascii="Times New Roman" w:hAnsi="Times New Roman" w:cs="Times New Roman"/>
        </w:rPr>
        <w:t xml:space="preserve"> and how likely is it that those objectives will be realised in practice?  From the UK’</w:t>
      </w:r>
      <w:r w:rsidR="000C2B94">
        <w:rPr>
          <w:rFonts w:ascii="Times New Roman" w:hAnsi="Times New Roman" w:cs="Times New Roman"/>
        </w:rPr>
        <w:t>s perspective, transition might serve</w:t>
      </w:r>
      <w:r w:rsidRPr="004842AA">
        <w:rPr>
          <w:rFonts w:ascii="Times New Roman" w:hAnsi="Times New Roman" w:cs="Times New Roman"/>
        </w:rPr>
        <w:t xml:space="preserve"> </w:t>
      </w:r>
      <w:r w:rsidR="00427658" w:rsidRPr="004842AA">
        <w:rPr>
          <w:rFonts w:ascii="Times New Roman" w:hAnsi="Times New Roman" w:cs="Times New Roman"/>
        </w:rPr>
        <w:t>four</w:t>
      </w:r>
      <w:r w:rsidR="00FA3097" w:rsidRPr="004842AA">
        <w:rPr>
          <w:rFonts w:ascii="Times New Roman" w:hAnsi="Times New Roman" w:cs="Times New Roman"/>
        </w:rPr>
        <w:t xml:space="preserve"> main purposes: two </w:t>
      </w:r>
      <w:r w:rsidRPr="004842AA">
        <w:rPr>
          <w:rFonts w:ascii="Times New Roman" w:hAnsi="Times New Roman" w:cs="Times New Roman"/>
        </w:rPr>
        <w:t xml:space="preserve">that were </w:t>
      </w:r>
      <w:r w:rsidR="00FA3097" w:rsidRPr="004842AA">
        <w:rPr>
          <w:rFonts w:ascii="Times New Roman" w:hAnsi="Times New Roman" w:cs="Times New Roman"/>
        </w:rPr>
        <w:t xml:space="preserve">originally acknowledged </w:t>
      </w:r>
      <w:r w:rsidR="00427658" w:rsidRPr="004842AA">
        <w:rPr>
          <w:rFonts w:ascii="Times New Roman" w:hAnsi="Times New Roman" w:cs="Times New Roman"/>
        </w:rPr>
        <w:t>in the Florence Speech</w:t>
      </w:r>
      <w:r w:rsidR="00FA3097" w:rsidRPr="004842AA">
        <w:rPr>
          <w:rFonts w:ascii="Times New Roman" w:hAnsi="Times New Roman" w:cs="Times New Roman"/>
        </w:rPr>
        <w:t xml:space="preserve">; another </w:t>
      </w:r>
      <w:r w:rsidR="00427658" w:rsidRPr="004842AA">
        <w:rPr>
          <w:rFonts w:ascii="Times New Roman" w:hAnsi="Times New Roman" w:cs="Times New Roman"/>
        </w:rPr>
        <w:t xml:space="preserve">that was explicitly added into the mix by the UK Government later in the negotiations; and a final goal that </w:t>
      </w:r>
      <w:r w:rsidR="00BD0EF1">
        <w:rPr>
          <w:rFonts w:ascii="Times New Roman" w:hAnsi="Times New Roman" w:cs="Times New Roman"/>
        </w:rPr>
        <w:t xml:space="preserve">certain more cynical observers (the present author included) have speculated </w:t>
      </w:r>
      <w:r w:rsidR="000C2B94">
        <w:rPr>
          <w:rFonts w:ascii="Times New Roman" w:hAnsi="Times New Roman" w:cs="Times New Roman"/>
        </w:rPr>
        <w:t>about</w:t>
      </w:r>
      <w:r w:rsidR="00BD0EF1">
        <w:rPr>
          <w:rFonts w:ascii="Times New Roman" w:hAnsi="Times New Roman" w:cs="Times New Roman"/>
        </w:rPr>
        <w:t xml:space="preserve">, based on the </w:t>
      </w:r>
      <w:r w:rsidR="00FA3097" w:rsidRPr="004842AA">
        <w:rPr>
          <w:rFonts w:ascii="Times New Roman" w:hAnsi="Times New Roman" w:cs="Times New Roman"/>
        </w:rPr>
        <w:t xml:space="preserve">words and deeds </w:t>
      </w:r>
      <w:r w:rsidR="00427658" w:rsidRPr="004842AA">
        <w:rPr>
          <w:rFonts w:ascii="Times New Roman" w:hAnsi="Times New Roman" w:cs="Times New Roman"/>
        </w:rPr>
        <w:t xml:space="preserve">of </w:t>
      </w:r>
      <w:r w:rsidR="00BD0EF1">
        <w:rPr>
          <w:rFonts w:ascii="Times New Roman" w:hAnsi="Times New Roman" w:cs="Times New Roman"/>
        </w:rPr>
        <w:t xml:space="preserve">certain </w:t>
      </w:r>
      <w:r w:rsidR="00427658" w:rsidRPr="004842AA">
        <w:rPr>
          <w:rFonts w:ascii="Times New Roman" w:hAnsi="Times New Roman" w:cs="Times New Roman"/>
        </w:rPr>
        <w:t xml:space="preserve">senior British politicians </w:t>
      </w:r>
      <w:r w:rsidR="00FA3097" w:rsidRPr="004842AA">
        <w:rPr>
          <w:rFonts w:ascii="Times New Roman" w:hAnsi="Times New Roman" w:cs="Times New Roman"/>
        </w:rPr>
        <w:t xml:space="preserve">over </w:t>
      </w:r>
      <w:r w:rsidR="00BD0EF1">
        <w:rPr>
          <w:rFonts w:ascii="Times New Roman" w:hAnsi="Times New Roman" w:cs="Times New Roman"/>
        </w:rPr>
        <w:t xml:space="preserve">the passage of </w:t>
      </w:r>
      <w:r w:rsidR="00FA3097" w:rsidRPr="004842AA">
        <w:rPr>
          <w:rFonts w:ascii="Times New Roman" w:hAnsi="Times New Roman" w:cs="Times New Roman"/>
        </w:rPr>
        <w:t>time.</w:t>
      </w:r>
    </w:p>
    <w:p w14:paraId="48990969" w14:textId="04769BD3" w:rsidR="0069239A" w:rsidRDefault="00FA3097" w:rsidP="0069239A">
      <w:pPr>
        <w:widowControl w:val="0"/>
        <w:autoSpaceDE w:val="0"/>
        <w:autoSpaceDN w:val="0"/>
        <w:adjustRightInd w:val="0"/>
        <w:ind w:firstLine="720"/>
        <w:jc w:val="both"/>
        <w:rPr>
          <w:rFonts w:ascii="Times New Roman" w:hAnsi="Times New Roman" w:cs="Times New Roman"/>
        </w:rPr>
      </w:pPr>
      <w:r w:rsidRPr="004842AA">
        <w:rPr>
          <w:rFonts w:ascii="Times New Roman" w:hAnsi="Times New Roman" w:cs="Times New Roman"/>
        </w:rPr>
        <w:t xml:space="preserve">First, </w:t>
      </w:r>
      <w:r w:rsidR="00427658" w:rsidRPr="004842AA">
        <w:rPr>
          <w:rFonts w:ascii="Times New Roman" w:hAnsi="Times New Roman" w:cs="Times New Roman"/>
        </w:rPr>
        <w:t xml:space="preserve">Prime Minister May claimed that </w:t>
      </w:r>
      <w:r w:rsidRPr="004842AA">
        <w:rPr>
          <w:rFonts w:ascii="Times New Roman" w:hAnsi="Times New Roman" w:cs="Times New Roman"/>
        </w:rPr>
        <w:t xml:space="preserve">transition </w:t>
      </w:r>
      <w:r w:rsidR="00427658" w:rsidRPr="004842AA">
        <w:rPr>
          <w:rFonts w:ascii="Times New Roman" w:hAnsi="Times New Roman" w:cs="Times New Roman"/>
        </w:rPr>
        <w:t xml:space="preserve">would </w:t>
      </w:r>
      <w:r w:rsidRPr="004842AA">
        <w:rPr>
          <w:rFonts w:ascii="Times New Roman" w:hAnsi="Times New Roman" w:cs="Times New Roman"/>
        </w:rPr>
        <w:t xml:space="preserve">give both parties more time to plan for the full consequences of the UK’s withdrawal, in terms of their respective internal legal and logistical preparations: </w:t>
      </w:r>
      <w:r w:rsidR="00427658" w:rsidRPr="004842AA">
        <w:rPr>
          <w:rFonts w:ascii="Times New Roman" w:hAnsi="Times New Roman" w:cs="Times New Roman"/>
        </w:rPr>
        <w:t xml:space="preserve">certainly </w:t>
      </w:r>
      <w:r w:rsidRPr="004842AA">
        <w:rPr>
          <w:rFonts w:ascii="Times New Roman" w:hAnsi="Times New Roman" w:cs="Times New Roman"/>
        </w:rPr>
        <w:t xml:space="preserve">useful in the EU’s case, </w:t>
      </w:r>
      <w:r w:rsidR="00D008D6" w:rsidRPr="004842AA">
        <w:rPr>
          <w:rFonts w:ascii="Times New Roman" w:hAnsi="Times New Roman" w:cs="Times New Roman"/>
        </w:rPr>
        <w:t xml:space="preserve">particularly as regards raising awareness among those public and private actors across the Member </w:t>
      </w:r>
      <w:r w:rsidR="00D008D6" w:rsidRPr="004842AA">
        <w:rPr>
          <w:rFonts w:ascii="Times New Roman" w:hAnsi="Times New Roman" w:cs="Times New Roman"/>
        </w:rPr>
        <w:lastRenderedPageBreak/>
        <w:t>States most likely to be affected in practice by the UK’s departure;</w:t>
      </w:r>
      <w:r w:rsidR="00D008D6" w:rsidRPr="004842AA">
        <w:rPr>
          <w:rStyle w:val="FootnoteReference"/>
          <w:rFonts w:ascii="Times New Roman" w:hAnsi="Times New Roman" w:cs="Times New Roman"/>
        </w:rPr>
        <w:footnoteReference w:id="167"/>
      </w:r>
      <w:r w:rsidR="00D008D6" w:rsidRPr="004842AA">
        <w:rPr>
          <w:rFonts w:ascii="Times New Roman" w:hAnsi="Times New Roman" w:cs="Times New Roman"/>
        </w:rPr>
        <w:t xml:space="preserve"> </w:t>
      </w:r>
      <w:r w:rsidR="00427658" w:rsidRPr="004842AA">
        <w:rPr>
          <w:rFonts w:ascii="Times New Roman" w:hAnsi="Times New Roman" w:cs="Times New Roman"/>
        </w:rPr>
        <w:t xml:space="preserve">absolutely </w:t>
      </w:r>
      <w:r w:rsidRPr="004842AA">
        <w:rPr>
          <w:rFonts w:ascii="Times New Roman" w:hAnsi="Times New Roman" w:cs="Times New Roman"/>
        </w:rPr>
        <w:t>essential for the UK</w:t>
      </w:r>
      <w:r w:rsidR="00D008D6" w:rsidRPr="004842AA">
        <w:rPr>
          <w:rFonts w:ascii="Times New Roman" w:hAnsi="Times New Roman" w:cs="Times New Roman"/>
        </w:rPr>
        <w:t xml:space="preserve">, given its almost total lack of pre-referendum preparations and the sheer scale of the task facing </w:t>
      </w:r>
      <w:r w:rsidR="00F26C5A">
        <w:rPr>
          <w:rFonts w:ascii="Times New Roman" w:hAnsi="Times New Roman" w:cs="Times New Roman"/>
        </w:rPr>
        <w:t xml:space="preserve">even just the </w:t>
      </w:r>
      <w:r w:rsidR="00D008D6" w:rsidRPr="004842AA">
        <w:rPr>
          <w:rFonts w:ascii="Times New Roman" w:hAnsi="Times New Roman" w:cs="Times New Roman"/>
        </w:rPr>
        <w:t>Government and Parliament simply to ready the UK legal system for the very act of withdrawal</w:t>
      </w:r>
      <w:r w:rsidRPr="004842AA">
        <w:rPr>
          <w:rFonts w:ascii="Times New Roman" w:hAnsi="Times New Roman" w:cs="Times New Roman"/>
        </w:rPr>
        <w:t>.</w:t>
      </w:r>
      <w:r w:rsidR="00D008D6" w:rsidRPr="004842AA">
        <w:rPr>
          <w:rStyle w:val="FootnoteReference"/>
          <w:rFonts w:ascii="Times New Roman" w:hAnsi="Times New Roman" w:cs="Times New Roman"/>
        </w:rPr>
        <w:footnoteReference w:id="168"/>
      </w:r>
      <w:r w:rsidRPr="004842AA">
        <w:rPr>
          <w:rFonts w:ascii="Times New Roman" w:hAnsi="Times New Roman" w:cs="Times New Roman"/>
        </w:rPr>
        <w:t xml:space="preserve">  Transition wa</w:t>
      </w:r>
      <w:r w:rsidR="00D008D6" w:rsidRPr="004842AA">
        <w:rPr>
          <w:rFonts w:ascii="Times New Roman" w:hAnsi="Times New Roman" w:cs="Times New Roman"/>
        </w:rPr>
        <w:t>s originally meant to provide a baseline</w:t>
      </w:r>
      <w:r w:rsidRPr="004842AA">
        <w:rPr>
          <w:rFonts w:ascii="Times New Roman" w:hAnsi="Times New Roman" w:cs="Times New Roman"/>
        </w:rPr>
        <w:t xml:space="preserve"> extra 20 months for post-withdrawal planning – but in the end, the Article 50 TEU process dragged on for so long that much of </w:t>
      </w:r>
      <w:r w:rsidR="00D008D6" w:rsidRPr="004842AA">
        <w:rPr>
          <w:rFonts w:ascii="Times New Roman" w:hAnsi="Times New Roman" w:cs="Times New Roman"/>
        </w:rPr>
        <w:t xml:space="preserve">that </w:t>
      </w:r>
      <w:r w:rsidRPr="004842AA">
        <w:rPr>
          <w:rFonts w:ascii="Times New Roman" w:hAnsi="Times New Roman" w:cs="Times New Roman"/>
        </w:rPr>
        <w:t xml:space="preserve">extra time was </w:t>
      </w:r>
      <w:r w:rsidR="00D008D6" w:rsidRPr="004842AA">
        <w:rPr>
          <w:rFonts w:ascii="Times New Roman" w:hAnsi="Times New Roman" w:cs="Times New Roman"/>
        </w:rPr>
        <w:t xml:space="preserve">made available </w:t>
      </w:r>
      <w:r w:rsidRPr="004842AA">
        <w:rPr>
          <w:rFonts w:ascii="Times New Roman" w:hAnsi="Times New Roman" w:cs="Times New Roman"/>
        </w:rPr>
        <w:t xml:space="preserve">simply by repeatedly extending the UK’s formal membership, leaving transition itself to supply only an additional 11 months </w:t>
      </w:r>
      <w:r w:rsidR="00427658" w:rsidRPr="004842AA">
        <w:rPr>
          <w:rFonts w:ascii="Times New Roman" w:hAnsi="Times New Roman" w:cs="Times New Roman"/>
        </w:rPr>
        <w:t>for</w:t>
      </w:r>
      <w:r w:rsidRPr="004842AA">
        <w:rPr>
          <w:rFonts w:ascii="Times New Roman" w:hAnsi="Times New Roman" w:cs="Times New Roman"/>
        </w:rPr>
        <w:t xml:space="preserve"> </w:t>
      </w:r>
      <w:r w:rsidR="00427658" w:rsidRPr="004842AA">
        <w:rPr>
          <w:rFonts w:ascii="Times New Roman" w:hAnsi="Times New Roman" w:cs="Times New Roman"/>
        </w:rPr>
        <w:t xml:space="preserve">Brexit </w:t>
      </w:r>
      <w:r w:rsidRPr="004842AA">
        <w:rPr>
          <w:rFonts w:ascii="Times New Roman" w:hAnsi="Times New Roman" w:cs="Times New Roman"/>
        </w:rPr>
        <w:t>preparation</w:t>
      </w:r>
      <w:r w:rsidR="00427658" w:rsidRPr="004842AA">
        <w:rPr>
          <w:rFonts w:ascii="Times New Roman" w:hAnsi="Times New Roman" w:cs="Times New Roman"/>
        </w:rPr>
        <w:t>s</w:t>
      </w:r>
      <w:r w:rsidRPr="004842AA">
        <w:rPr>
          <w:rFonts w:ascii="Times New Roman" w:hAnsi="Times New Roman" w:cs="Times New Roman"/>
        </w:rPr>
        <w:t>.</w:t>
      </w:r>
      <w:r w:rsidRPr="004842AA">
        <w:rPr>
          <w:rStyle w:val="FootnoteReference"/>
          <w:rFonts w:ascii="Times New Roman" w:hAnsi="Times New Roman" w:cs="Times New Roman"/>
        </w:rPr>
        <w:footnoteReference w:id="169"/>
      </w:r>
      <w:r w:rsidRPr="004842AA">
        <w:rPr>
          <w:rFonts w:ascii="Times New Roman" w:hAnsi="Times New Roman" w:cs="Times New Roman"/>
        </w:rPr>
        <w:t xml:space="preserve">  </w:t>
      </w:r>
      <w:r w:rsidR="001B2383">
        <w:rPr>
          <w:rFonts w:ascii="Times New Roman" w:hAnsi="Times New Roman" w:cs="Times New Roman"/>
        </w:rPr>
        <w:t xml:space="preserve">Yet that extra time was still critical for the UK to carry on with its basic legislative and regulatory </w:t>
      </w:r>
      <w:r w:rsidR="00F52311">
        <w:rPr>
          <w:rFonts w:ascii="Times New Roman" w:hAnsi="Times New Roman" w:cs="Times New Roman"/>
        </w:rPr>
        <w:t>planning</w:t>
      </w:r>
      <w:r w:rsidR="001B2383">
        <w:rPr>
          <w:rFonts w:ascii="Times New Roman" w:hAnsi="Times New Roman" w:cs="Times New Roman"/>
        </w:rPr>
        <w:t xml:space="preserve"> for life entirely outside the Union.</w:t>
      </w:r>
      <w:r w:rsidR="001B2383">
        <w:rPr>
          <w:rStyle w:val="FootnoteReference"/>
          <w:rFonts w:ascii="Times New Roman" w:hAnsi="Times New Roman" w:cs="Times New Roman"/>
        </w:rPr>
        <w:footnoteReference w:id="170"/>
      </w:r>
    </w:p>
    <w:p w14:paraId="4F3D4C5E" w14:textId="2827BCFC" w:rsidR="0069239A" w:rsidRDefault="00FA3097" w:rsidP="0069239A">
      <w:pPr>
        <w:widowControl w:val="0"/>
        <w:autoSpaceDE w:val="0"/>
        <w:autoSpaceDN w:val="0"/>
        <w:adjustRightInd w:val="0"/>
        <w:ind w:firstLine="720"/>
        <w:jc w:val="both"/>
        <w:rPr>
          <w:rFonts w:ascii="Times New Roman" w:hAnsi="Times New Roman" w:cs="Times New Roman"/>
        </w:rPr>
      </w:pPr>
      <w:r w:rsidRPr="004842AA">
        <w:rPr>
          <w:rFonts w:ascii="Times New Roman" w:hAnsi="Times New Roman" w:cs="Times New Roman"/>
        </w:rPr>
        <w:t xml:space="preserve">Secondly, </w:t>
      </w:r>
      <w:r w:rsidR="00427658" w:rsidRPr="004842AA">
        <w:rPr>
          <w:rFonts w:ascii="Times New Roman" w:hAnsi="Times New Roman" w:cs="Times New Roman"/>
        </w:rPr>
        <w:t xml:space="preserve">the Florence Speech also made clear that </w:t>
      </w:r>
      <w:r w:rsidRPr="004842AA">
        <w:rPr>
          <w:rFonts w:ascii="Times New Roman" w:hAnsi="Times New Roman" w:cs="Times New Roman"/>
        </w:rPr>
        <w:t xml:space="preserve">transition was intended to give the parties more time to finalise the terms of their future relationship, so that public and private actors need only experience </w:t>
      </w:r>
      <w:r w:rsidR="00427658" w:rsidRPr="004842AA">
        <w:rPr>
          <w:rFonts w:ascii="Times New Roman" w:hAnsi="Times New Roman" w:cs="Times New Roman"/>
        </w:rPr>
        <w:t xml:space="preserve">the expense and inconvenience of </w:t>
      </w:r>
      <w:r w:rsidRPr="004842AA">
        <w:rPr>
          <w:rFonts w:ascii="Times New Roman" w:hAnsi="Times New Roman" w:cs="Times New Roman"/>
        </w:rPr>
        <w:t xml:space="preserve">a </w:t>
      </w:r>
      <w:r w:rsidR="00427658" w:rsidRPr="004842AA">
        <w:rPr>
          <w:rFonts w:ascii="Times New Roman" w:hAnsi="Times New Roman" w:cs="Times New Roman"/>
        </w:rPr>
        <w:t xml:space="preserve">single major regulatory change, </w:t>
      </w:r>
      <w:r w:rsidRPr="004842AA">
        <w:rPr>
          <w:rFonts w:ascii="Times New Roman" w:hAnsi="Times New Roman" w:cs="Times New Roman"/>
        </w:rPr>
        <w:t>i.e. at the end of transition, rather than once at the time of withdrawal and then again upon the entry into force of a</w:t>
      </w:r>
      <w:r w:rsidR="00427658" w:rsidRPr="004842AA">
        <w:rPr>
          <w:rFonts w:ascii="Times New Roman" w:hAnsi="Times New Roman" w:cs="Times New Roman"/>
        </w:rPr>
        <w:t>n agreement on future relations</w:t>
      </w:r>
      <w:r w:rsidRPr="004842AA">
        <w:rPr>
          <w:rFonts w:ascii="Times New Roman" w:hAnsi="Times New Roman" w:cs="Times New Roman"/>
        </w:rPr>
        <w:t>.</w:t>
      </w:r>
      <w:r w:rsidR="00427658" w:rsidRPr="004842AA">
        <w:rPr>
          <w:rFonts w:ascii="Times New Roman" w:hAnsi="Times New Roman" w:cs="Times New Roman"/>
        </w:rPr>
        <w:t xml:space="preserve">  </w:t>
      </w:r>
      <w:r w:rsidR="001F6201" w:rsidRPr="004842AA">
        <w:rPr>
          <w:rFonts w:ascii="Times New Roman" w:hAnsi="Times New Roman" w:cs="Times New Roman"/>
        </w:rPr>
        <w:t xml:space="preserve">That original objective </w:t>
      </w:r>
      <w:r w:rsidR="006B65D0" w:rsidRPr="004842AA">
        <w:rPr>
          <w:rFonts w:ascii="Times New Roman" w:hAnsi="Times New Roman" w:cs="Times New Roman"/>
        </w:rPr>
        <w:t>is</w:t>
      </w:r>
      <w:r w:rsidR="001F6201" w:rsidRPr="004842AA">
        <w:rPr>
          <w:rFonts w:ascii="Times New Roman" w:hAnsi="Times New Roman" w:cs="Times New Roman"/>
        </w:rPr>
        <w:t xml:space="preserve"> closely related to the UK’s third goal for transition, which emerged somewhat later in the negotiations</w:t>
      </w:r>
      <w:r w:rsidR="006B65D0" w:rsidRPr="004842AA">
        <w:rPr>
          <w:rFonts w:ascii="Times New Roman" w:hAnsi="Times New Roman" w:cs="Times New Roman"/>
        </w:rPr>
        <w:t xml:space="preserve">, though both considerations together </w:t>
      </w:r>
      <w:r w:rsidR="001F6201" w:rsidRPr="004842AA">
        <w:rPr>
          <w:rFonts w:ascii="Times New Roman" w:hAnsi="Times New Roman" w:cs="Times New Roman"/>
        </w:rPr>
        <w:t>prompted the British to request the power of extension now contained in Article 132 WA.</w:t>
      </w:r>
      <w:r w:rsidR="00430059">
        <w:rPr>
          <w:rStyle w:val="FootnoteReference"/>
          <w:rFonts w:ascii="Times New Roman" w:hAnsi="Times New Roman" w:cs="Times New Roman"/>
        </w:rPr>
        <w:footnoteReference w:id="171"/>
      </w:r>
      <w:r w:rsidR="001F6201" w:rsidRPr="004842AA">
        <w:rPr>
          <w:rFonts w:ascii="Times New Roman" w:hAnsi="Times New Roman" w:cs="Times New Roman"/>
        </w:rPr>
        <w:t xml:space="preserve">  In particular, </w:t>
      </w:r>
      <w:r w:rsidR="00427658" w:rsidRPr="004842AA">
        <w:rPr>
          <w:rFonts w:ascii="Times New Roman" w:hAnsi="Times New Roman" w:cs="Times New Roman"/>
        </w:rPr>
        <w:t>the UK</w:t>
      </w:r>
      <w:r w:rsidR="001F6201" w:rsidRPr="004842AA">
        <w:rPr>
          <w:rFonts w:ascii="Times New Roman" w:hAnsi="Times New Roman" w:cs="Times New Roman"/>
        </w:rPr>
        <w:t xml:space="preserve"> Government became increasingly </w:t>
      </w:r>
      <w:r w:rsidR="00427658" w:rsidRPr="004842AA">
        <w:rPr>
          <w:rFonts w:ascii="Times New Roman" w:hAnsi="Times New Roman" w:cs="Times New Roman"/>
        </w:rPr>
        <w:t>concern</w:t>
      </w:r>
      <w:r w:rsidR="001F6201" w:rsidRPr="004842AA">
        <w:rPr>
          <w:rFonts w:ascii="Times New Roman" w:hAnsi="Times New Roman" w:cs="Times New Roman"/>
        </w:rPr>
        <w:t>ed</w:t>
      </w:r>
      <w:r w:rsidR="00427658" w:rsidRPr="004842AA">
        <w:rPr>
          <w:rFonts w:ascii="Times New Roman" w:hAnsi="Times New Roman" w:cs="Times New Roman"/>
        </w:rPr>
        <w:t xml:space="preserve"> that</w:t>
      </w:r>
      <w:r w:rsidR="001F6201" w:rsidRPr="004842AA">
        <w:rPr>
          <w:rFonts w:ascii="Times New Roman" w:hAnsi="Times New Roman" w:cs="Times New Roman"/>
        </w:rPr>
        <w:t xml:space="preserve">, should </w:t>
      </w:r>
      <w:r w:rsidR="00427658" w:rsidRPr="004842AA">
        <w:rPr>
          <w:rFonts w:ascii="Times New Roman" w:hAnsi="Times New Roman" w:cs="Times New Roman"/>
        </w:rPr>
        <w:t xml:space="preserve">transition </w:t>
      </w:r>
      <w:r w:rsidR="001F6201" w:rsidRPr="004842AA">
        <w:rPr>
          <w:rFonts w:ascii="Times New Roman" w:hAnsi="Times New Roman" w:cs="Times New Roman"/>
        </w:rPr>
        <w:t xml:space="preserve">expire </w:t>
      </w:r>
      <w:r w:rsidR="00427658" w:rsidRPr="004842AA">
        <w:rPr>
          <w:rFonts w:ascii="Times New Roman" w:hAnsi="Times New Roman" w:cs="Times New Roman"/>
        </w:rPr>
        <w:t xml:space="preserve">without </w:t>
      </w:r>
      <w:r w:rsidR="001F6201" w:rsidRPr="004842AA">
        <w:rPr>
          <w:rFonts w:ascii="Times New Roman" w:hAnsi="Times New Roman" w:cs="Times New Roman"/>
        </w:rPr>
        <w:t xml:space="preserve">any </w:t>
      </w:r>
      <w:r w:rsidR="00427658" w:rsidRPr="004842AA">
        <w:rPr>
          <w:rFonts w:ascii="Times New Roman" w:hAnsi="Times New Roman" w:cs="Times New Roman"/>
        </w:rPr>
        <w:t xml:space="preserve">future relationship agreement in place, </w:t>
      </w:r>
      <w:r w:rsidR="001F6201" w:rsidRPr="004842AA">
        <w:rPr>
          <w:rFonts w:ascii="Times New Roman" w:hAnsi="Times New Roman" w:cs="Times New Roman"/>
        </w:rPr>
        <w:t>it would not only lead to “two regulatory changes” but also trigger</w:t>
      </w:r>
      <w:r w:rsidR="00427658" w:rsidRPr="004842AA">
        <w:rPr>
          <w:rFonts w:ascii="Times New Roman" w:hAnsi="Times New Roman" w:cs="Times New Roman"/>
        </w:rPr>
        <w:t xml:space="preserve"> automatic application of the “Irish backstop” provisions agreed by </w:t>
      </w:r>
      <w:r w:rsidR="001F6201" w:rsidRPr="004842AA">
        <w:rPr>
          <w:rFonts w:ascii="Times New Roman" w:hAnsi="Times New Roman" w:cs="Times New Roman"/>
        </w:rPr>
        <w:t xml:space="preserve">Theresa </w:t>
      </w:r>
      <w:r w:rsidR="00427658" w:rsidRPr="004842AA">
        <w:rPr>
          <w:rFonts w:ascii="Times New Roman" w:hAnsi="Times New Roman" w:cs="Times New Roman"/>
        </w:rPr>
        <w:t>May</w:t>
      </w:r>
      <w:r w:rsidR="001F6201" w:rsidRPr="004842AA">
        <w:rPr>
          <w:rFonts w:ascii="Times New Roman" w:hAnsi="Times New Roman" w:cs="Times New Roman"/>
        </w:rPr>
        <w:t xml:space="preserve"> in 2018 (in the face of virulent opposition from Europhobic Tories)</w:t>
      </w:r>
      <w:r w:rsidR="00427658" w:rsidRPr="004842AA">
        <w:rPr>
          <w:rFonts w:ascii="Times New Roman" w:hAnsi="Times New Roman" w:cs="Times New Roman"/>
        </w:rPr>
        <w:t>.</w:t>
      </w:r>
      <w:r w:rsidR="00F26C5A">
        <w:rPr>
          <w:rStyle w:val="FootnoteReference"/>
          <w:rFonts w:ascii="Times New Roman" w:hAnsi="Times New Roman" w:cs="Times New Roman"/>
        </w:rPr>
        <w:footnoteReference w:id="172"/>
      </w:r>
      <w:r w:rsidR="00427658" w:rsidRPr="004842AA">
        <w:rPr>
          <w:rFonts w:ascii="Times New Roman" w:hAnsi="Times New Roman" w:cs="Times New Roman"/>
        </w:rPr>
        <w:t xml:space="preserve"> </w:t>
      </w:r>
      <w:r w:rsidR="001F6201" w:rsidRPr="004842AA">
        <w:rPr>
          <w:rFonts w:ascii="Times New Roman" w:hAnsi="Times New Roman" w:cs="Times New Roman"/>
        </w:rPr>
        <w:t xml:space="preserve"> </w:t>
      </w:r>
      <w:r w:rsidR="00427658" w:rsidRPr="004842AA">
        <w:rPr>
          <w:rFonts w:ascii="Times New Roman" w:hAnsi="Times New Roman" w:cs="Times New Roman"/>
        </w:rPr>
        <w:t xml:space="preserve">Among the measures requested by the UK in order to help avoid such an outcome </w:t>
      </w:r>
      <w:r w:rsidR="001F6201" w:rsidRPr="004842AA">
        <w:rPr>
          <w:rFonts w:ascii="Times New Roman" w:hAnsi="Times New Roman" w:cs="Times New Roman"/>
        </w:rPr>
        <w:t xml:space="preserve">(and </w:t>
      </w:r>
      <w:r w:rsidR="005050DF" w:rsidRPr="004842AA">
        <w:rPr>
          <w:rFonts w:ascii="Times New Roman" w:hAnsi="Times New Roman" w:cs="Times New Roman"/>
        </w:rPr>
        <w:t xml:space="preserve">deter </w:t>
      </w:r>
      <w:r w:rsidR="001F6201" w:rsidRPr="004842AA">
        <w:rPr>
          <w:rFonts w:ascii="Times New Roman" w:hAnsi="Times New Roman" w:cs="Times New Roman"/>
        </w:rPr>
        <w:t xml:space="preserve">a parliamentary rebellion) </w:t>
      </w:r>
      <w:r w:rsidR="00427658" w:rsidRPr="004842AA">
        <w:rPr>
          <w:rFonts w:ascii="Times New Roman" w:hAnsi="Times New Roman" w:cs="Times New Roman"/>
        </w:rPr>
        <w:t xml:space="preserve">was </w:t>
      </w:r>
      <w:r w:rsidR="001F6201" w:rsidRPr="004842AA">
        <w:rPr>
          <w:rFonts w:ascii="Times New Roman" w:hAnsi="Times New Roman" w:cs="Times New Roman"/>
        </w:rPr>
        <w:t xml:space="preserve">the </w:t>
      </w:r>
      <w:r w:rsidR="00427658" w:rsidRPr="004842AA">
        <w:rPr>
          <w:rFonts w:ascii="Times New Roman" w:hAnsi="Times New Roman" w:cs="Times New Roman"/>
        </w:rPr>
        <w:t xml:space="preserve">potential </w:t>
      </w:r>
      <w:r w:rsidR="001F6201" w:rsidRPr="004842AA">
        <w:rPr>
          <w:rFonts w:ascii="Times New Roman" w:hAnsi="Times New Roman" w:cs="Times New Roman"/>
        </w:rPr>
        <w:t>to extend</w:t>
      </w:r>
      <w:r w:rsidR="00427658" w:rsidRPr="004842AA">
        <w:rPr>
          <w:rFonts w:ascii="Times New Roman" w:hAnsi="Times New Roman" w:cs="Times New Roman"/>
        </w:rPr>
        <w:t xml:space="preserve"> transition: if it appeared likely that January 2021 </w:t>
      </w:r>
      <w:r w:rsidR="001F6201" w:rsidRPr="004842AA">
        <w:rPr>
          <w:rFonts w:ascii="Times New Roman" w:hAnsi="Times New Roman" w:cs="Times New Roman"/>
        </w:rPr>
        <w:t xml:space="preserve">would arrive </w:t>
      </w:r>
      <w:r w:rsidR="00427658" w:rsidRPr="004842AA">
        <w:rPr>
          <w:rFonts w:ascii="Times New Roman" w:hAnsi="Times New Roman" w:cs="Times New Roman"/>
        </w:rPr>
        <w:t>with no future relationship agreement in place, the UK could at least choose between either further prolonging the status quo</w:t>
      </w:r>
      <w:r w:rsidR="005050DF" w:rsidRPr="004842AA">
        <w:rPr>
          <w:rFonts w:ascii="Times New Roman" w:hAnsi="Times New Roman" w:cs="Times New Roman"/>
        </w:rPr>
        <w:t>,</w:t>
      </w:r>
      <w:r w:rsidR="00427658" w:rsidRPr="004842AA">
        <w:rPr>
          <w:rFonts w:ascii="Times New Roman" w:hAnsi="Times New Roman" w:cs="Times New Roman"/>
        </w:rPr>
        <w:t xml:space="preserve"> </w:t>
      </w:r>
      <w:r w:rsidR="001F6201" w:rsidRPr="004842AA">
        <w:rPr>
          <w:rFonts w:ascii="Times New Roman" w:hAnsi="Times New Roman" w:cs="Times New Roman"/>
        </w:rPr>
        <w:t xml:space="preserve">in the expectation of </w:t>
      </w:r>
      <w:r w:rsidR="005050DF" w:rsidRPr="004842AA">
        <w:rPr>
          <w:rFonts w:ascii="Times New Roman" w:hAnsi="Times New Roman" w:cs="Times New Roman"/>
        </w:rPr>
        <w:t xml:space="preserve">still reaching a prompt new settlement that would deliver </w:t>
      </w:r>
      <w:r w:rsidR="001F6201" w:rsidRPr="004842AA">
        <w:rPr>
          <w:rFonts w:ascii="Times New Roman" w:hAnsi="Times New Roman" w:cs="Times New Roman"/>
        </w:rPr>
        <w:t xml:space="preserve">only </w:t>
      </w:r>
      <w:r w:rsidR="005050DF" w:rsidRPr="004842AA">
        <w:rPr>
          <w:rFonts w:ascii="Times New Roman" w:hAnsi="Times New Roman" w:cs="Times New Roman"/>
        </w:rPr>
        <w:t xml:space="preserve">“one </w:t>
      </w:r>
      <w:r w:rsidR="001F6201" w:rsidRPr="004842AA">
        <w:rPr>
          <w:rFonts w:ascii="Times New Roman" w:hAnsi="Times New Roman" w:cs="Times New Roman"/>
        </w:rPr>
        <w:t>regulatory change</w:t>
      </w:r>
      <w:r w:rsidR="005050DF" w:rsidRPr="004842AA">
        <w:rPr>
          <w:rFonts w:ascii="Times New Roman" w:hAnsi="Times New Roman" w:cs="Times New Roman"/>
        </w:rPr>
        <w:t>”</w:t>
      </w:r>
      <w:r w:rsidR="001F6201" w:rsidRPr="004842AA">
        <w:rPr>
          <w:rFonts w:ascii="Times New Roman" w:hAnsi="Times New Roman" w:cs="Times New Roman"/>
        </w:rPr>
        <w:t xml:space="preserve"> </w:t>
      </w:r>
      <w:r w:rsidR="005050DF" w:rsidRPr="004842AA">
        <w:rPr>
          <w:rFonts w:ascii="Times New Roman" w:hAnsi="Times New Roman" w:cs="Times New Roman"/>
        </w:rPr>
        <w:t>as well as supersede</w:t>
      </w:r>
      <w:r w:rsidR="001F6201" w:rsidRPr="004842AA">
        <w:rPr>
          <w:rFonts w:ascii="Times New Roman" w:hAnsi="Times New Roman" w:cs="Times New Roman"/>
        </w:rPr>
        <w:t xml:space="preserve"> the “Irish backstop”; </w:t>
      </w:r>
      <w:r w:rsidR="00427658" w:rsidRPr="004842AA">
        <w:rPr>
          <w:rFonts w:ascii="Times New Roman" w:hAnsi="Times New Roman" w:cs="Times New Roman"/>
        </w:rPr>
        <w:t xml:space="preserve">or </w:t>
      </w:r>
      <w:r w:rsidR="001F6201" w:rsidRPr="004842AA">
        <w:rPr>
          <w:rFonts w:ascii="Times New Roman" w:hAnsi="Times New Roman" w:cs="Times New Roman"/>
        </w:rPr>
        <w:t xml:space="preserve">instead </w:t>
      </w:r>
      <w:r w:rsidR="00427658" w:rsidRPr="004842AA">
        <w:rPr>
          <w:rFonts w:ascii="Times New Roman" w:hAnsi="Times New Roman" w:cs="Times New Roman"/>
        </w:rPr>
        <w:t xml:space="preserve">allowing </w:t>
      </w:r>
      <w:r w:rsidR="001F6201" w:rsidRPr="004842AA">
        <w:rPr>
          <w:rFonts w:ascii="Times New Roman" w:hAnsi="Times New Roman" w:cs="Times New Roman"/>
        </w:rPr>
        <w:t xml:space="preserve">transition to expire, </w:t>
      </w:r>
      <w:r w:rsidR="00F26C5A">
        <w:rPr>
          <w:rFonts w:ascii="Times New Roman" w:hAnsi="Times New Roman" w:cs="Times New Roman"/>
        </w:rPr>
        <w:t xml:space="preserve">thus </w:t>
      </w:r>
      <w:r w:rsidR="001F6201" w:rsidRPr="004842AA">
        <w:rPr>
          <w:rFonts w:ascii="Times New Roman" w:hAnsi="Times New Roman" w:cs="Times New Roman"/>
        </w:rPr>
        <w:t xml:space="preserve">letting </w:t>
      </w:r>
      <w:r w:rsidR="00427658" w:rsidRPr="004842AA">
        <w:rPr>
          <w:rFonts w:ascii="Times New Roman" w:hAnsi="Times New Roman" w:cs="Times New Roman"/>
        </w:rPr>
        <w:t>the “Irish backstop” become operable</w:t>
      </w:r>
      <w:r w:rsidR="001F6201" w:rsidRPr="004842AA">
        <w:rPr>
          <w:rFonts w:ascii="Times New Roman" w:hAnsi="Times New Roman" w:cs="Times New Roman"/>
        </w:rPr>
        <w:t xml:space="preserve">, and </w:t>
      </w:r>
      <w:r w:rsidR="00F26C5A">
        <w:rPr>
          <w:rFonts w:ascii="Times New Roman" w:hAnsi="Times New Roman" w:cs="Times New Roman"/>
        </w:rPr>
        <w:t xml:space="preserve">also </w:t>
      </w:r>
      <w:r w:rsidR="001F6201" w:rsidRPr="004842AA">
        <w:rPr>
          <w:rFonts w:ascii="Times New Roman" w:hAnsi="Times New Roman" w:cs="Times New Roman"/>
        </w:rPr>
        <w:t xml:space="preserve">accepting that “two regulatory changes” would </w:t>
      </w:r>
      <w:r w:rsidR="005050DF" w:rsidRPr="004842AA">
        <w:rPr>
          <w:rFonts w:ascii="Times New Roman" w:hAnsi="Times New Roman" w:cs="Times New Roman"/>
        </w:rPr>
        <w:t>eventually be needed</w:t>
      </w:r>
      <w:r w:rsidR="00427658" w:rsidRPr="004842AA">
        <w:rPr>
          <w:rFonts w:ascii="Times New Roman" w:hAnsi="Times New Roman" w:cs="Times New Roman"/>
        </w:rPr>
        <w:t>.</w:t>
      </w:r>
      <w:r w:rsidR="00EE753C">
        <w:rPr>
          <w:rStyle w:val="FootnoteReference"/>
          <w:rFonts w:ascii="Times New Roman" w:hAnsi="Times New Roman" w:cs="Times New Roman"/>
        </w:rPr>
        <w:footnoteReference w:id="173"/>
      </w:r>
      <w:r w:rsidR="00427658" w:rsidRPr="004842AA">
        <w:rPr>
          <w:rFonts w:ascii="Times New Roman" w:hAnsi="Times New Roman" w:cs="Times New Roman"/>
        </w:rPr>
        <w:t xml:space="preserve">  </w:t>
      </w:r>
    </w:p>
    <w:p w14:paraId="7B2BF821" w14:textId="719ECFB5" w:rsidR="0069239A" w:rsidRDefault="005011DD" w:rsidP="0069239A">
      <w:pPr>
        <w:widowControl w:val="0"/>
        <w:autoSpaceDE w:val="0"/>
        <w:autoSpaceDN w:val="0"/>
        <w:adjustRightInd w:val="0"/>
        <w:ind w:firstLine="720"/>
        <w:jc w:val="both"/>
        <w:rPr>
          <w:rFonts w:ascii="Times New Roman" w:hAnsi="Times New Roman" w:cs="Times New Roman"/>
        </w:rPr>
      </w:pPr>
      <w:r w:rsidRPr="004842AA">
        <w:rPr>
          <w:rFonts w:ascii="Times New Roman" w:hAnsi="Times New Roman" w:cs="Times New Roman"/>
        </w:rPr>
        <w:t xml:space="preserve">Given the change in political direction heralded by the 2019 UK general election, neither </w:t>
      </w:r>
      <w:r w:rsidR="005050DF" w:rsidRPr="004842AA">
        <w:rPr>
          <w:rFonts w:ascii="Times New Roman" w:hAnsi="Times New Roman" w:cs="Times New Roman"/>
        </w:rPr>
        <w:t>of those objectives</w:t>
      </w:r>
      <w:r w:rsidRPr="004842AA">
        <w:rPr>
          <w:rFonts w:ascii="Times New Roman" w:hAnsi="Times New Roman" w:cs="Times New Roman"/>
        </w:rPr>
        <w:t xml:space="preserve"> </w:t>
      </w:r>
      <w:r w:rsidR="00E67177">
        <w:rPr>
          <w:rFonts w:ascii="Times New Roman" w:hAnsi="Times New Roman" w:cs="Times New Roman"/>
        </w:rPr>
        <w:t>is</w:t>
      </w:r>
      <w:r w:rsidRPr="004842AA">
        <w:rPr>
          <w:rFonts w:ascii="Times New Roman" w:hAnsi="Times New Roman" w:cs="Times New Roman"/>
        </w:rPr>
        <w:t xml:space="preserve"> now likely to be delivered.  Indeed, the previous UK desire for some mechanism to avoid triggering the “Irish backstop” is no longer even relevant: the </w:t>
      </w:r>
      <w:r w:rsidR="00CA7E57">
        <w:rPr>
          <w:rFonts w:ascii="Times New Roman" w:hAnsi="Times New Roman" w:cs="Times New Roman"/>
        </w:rPr>
        <w:t>old</w:t>
      </w:r>
      <w:r w:rsidRPr="004842AA">
        <w:rPr>
          <w:rFonts w:ascii="Times New Roman" w:hAnsi="Times New Roman" w:cs="Times New Roman"/>
        </w:rPr>
        <w:t xml:space="preserve"> May arrangements have been replaced by a Johnson alternative which the UK Government seems entirely happy to invoke without any risk of splitting the </w:t>
      </w:r>
      <w:r w:rsidRPr="004842AA">
        <w:rPr>
          <w:rFonts w:ascii="Times New Roman" w:hAnsi="Times New Roman" w:cs="Times New Roman"/>
        </w:rPr>
        <w:lastRenderedPageBreak/>
        <w:t>Conservative Party.</w:t>
      </w:r>
      <w:r w:rsidR="00F26C5A">
        <w:rPr>
          <w:rStyle w:val="FootnoteReference"/>
          <w:rFonts w:ascii="Times New Roman" w:hAnsi="Times New Roman" w:cs="Times New Roman"/>
        </w:rPr>
        <w:footnoteReference w:id="174"/>
      </w:r>
      <w:r w:rsidRPr="004842AA">
        <w:rPr>
          <w:rFonts w:ascii="Times New Roman" w:hAnsi="Times New Roman" w:cs="Times New Roman"/>
        </w:rPr>
        <w:t xml:space="preserve">  And as for guarding a</w:t>
      </w:r>
      <w:r w:rsidR="006B65D0" w:rsidRPr="004842AA">
        <w:rPr>
          <w:rFonts w:ascii="Times New Roman" w:hAnsi="Times New Roman" w:cs="Times New Roman"/>
        </w:rPr>
        <w:t>gainst “two regulatory changes”:</w:t>
      </w:r>
      <w:r w:rsidRPr="004842AA">
        <w:rPr>
          <w:rFonts w:ascii="Times New Roman" w:hAnsi="Times New Roman" w:cs="Times New Roman"/>
        </w:rPr>
        <w:t xml:space="preserve"> whether </w:t>
      </w:r>
      <w:r w:rsidR="006B65D0" w:rsidRPr="004842AA">
        <w:rPr>
          <w:rFonts w:ascii="Times New Roman" w:hAnsi="Times New Roman" w:cs="Times New Roman"/>
        </w:rPr>
        <w:t xml:space="preserve">through self-confidence in its own negotiating prospects or indifference as to the consequences of its actions, </w:t>
      </w:r>
      <w:r w:rsidR="00FA3097" w:rsidRPr="004842AA">
        <w:rPr>
          <w:rFonts w:ascii="Times New Roman" w:hAnsi="Times New Roman" w:cs="Times New Roman"/>
        </w:rPr>
        <w:t xml:space="preserve">the </w:t>
      </w:r>
      <w:r w:rsidR="006B65D0" w:rsidRPr="004842AA">
        <w:rPr>
          <w:rFonts w:ascii="Times New Roman" w:hAnsi="Times New Roman" w:cs="Times New Roman"/>
        </w:rPr>
        <w:t xml:space="preserve">Johnson Government </w:t>
      </w:r>
      <w:r w:rsidR="00FA3097" w:rsidRPr="004842AA">
        <w:rPr>
          <w:rFonts w:ascii="Times New Roman" w:hAnsi="Times New Roman" w:cs="Times New Roman"/>
        </w:rPr>
        <w:t>has ruled out requesting a</w:t>
      </w:r>
      <w:r w:rsidR="006861A1">
        <w:rPr>
          <w:rFonts w:ascii="Times New Roman" w:hAnsi="Times New Roman" w:cs="Times New Roman"/>
        </w:rPr>
        <w:t>ny extension of the transition</w:t>
      </w:r>
      <w:r w:rsidR="00FA3097" w:rsidRPr="004842AA">
        <w:rPr>
          <w:rFonts w:ascii="Times New Roman" w:hAnsi="Times New Roman" w:cs="Times New Roman"/>
        </w:rPr>
        <w:t xml:space="preserve"> period as provided for under </w:t>
      </w:r>
      <w:r w:rsidR="006B65D0" w:rsidRPr="004842AA">
        <w:rPr>
          <w:rFonts w:ascii="Times New Roman" w:hAnsi="Times New Roman" w:cs="Times New Roman"/>
        </w:rPr>
        <w:t>Article 132 WA – indeed, even going so far as to enshrine its position in primary legislation.</w:t>
      </w:r>
      <w:r w:rsidR="006B65D0" w:rsidRPr="004842AA">
        <w:rPr>
          <w:rStyle w:val="FootnoteReference"/>
          <w:rFonts w:ascii="Times New Roman" w:hAnsi="Times New Roman" w:cs="Times New Roman"/>
        </w:rPr>
        <w:footnoteReference w:id="175"/>
      </w:r>
      <w:r w:rsidR="006B65D0" w:rsidRPr="004842AA">
        <w:rPr>
          <w:rFonts w:ascii="Times New Roman" w:hAnsi="Times New Roman" w:cs="Times New Roman"/>
        </w:rPr>
        <w:t xml:space="preserve">  I</w:t>
      </w:r>
      <w:r w:rsidR="00FA3097" w:rsidRPr="004842AA">
        <w:rPr>
          <w:rFonts w:ascii="Times New Roman" w:hAnsi="Times New Roman" w:cs="Times New Roman"/>
        </w:rPr>
        <w:t xml:space="preserve">n such circumstances, it is simply not credible to expect that the future relationship will be properly settled in time for 31 December 2020.  It therefore appears that the </w:t>
      </w:r>
      <w:r w:rsidR="006861A1">
        <w:rPr>
          <w:rFonts w:ascii="Times New Roman" w:hAnsi="Times New Roman" w:cs="Times New Roman"/>
        </w:rPr>
        <w:t>Agreement and its transition</w:t>
      </w:r>
      <w:r w:rsidR="00FA3097" w:rsidRPr="004842AA">
        <w:rPr>
          <w:rFonts w:ascii="Times New Roman" w:hAnsi="Times New Roman" w:cs="Times New Roman"/>
        </w:rPr>
        <w:t xml:space="preserve"> period will only have postponed the dreaded “regulatory cliff-edge” and </w:t>
      </w:r>
      <w:r w:rsidR="006B65D0" w:rsidRPr="004842AA">
        <w:rPr>
          <w:rFonts w:ascii="Times New Roman" w:hAnsi="Times New Roman" w:cs="Times New Roman"/>
        </w:rPr>
        <w:t xml:space="preserve">Brexit will ultimately entail </w:t>
      </w:r>
      <w:r w:rsidR="00FA3097" w:rsidRPr="004842AA">
        <w:rPr>
          <w:rFonts w:ascii="Times New Roman" w:hAnsi="Times New Roman" w:cs="Times New Roman"/>
        </w:rPr>
        <w:t>“</w:t>
      </w:r>
      <w:r w:rsidR="006B65D0" w:rsidRPr="004842AA">
        <w:rPr>
          <w:rFonts w:ascii="Times New Roman" w:hAnsi="Times New Roman" w:cs="Times New Roman"/>
        </w:rPr>
        <w:t xml:space="preserve">two </w:t>
      </w:r>
      <w:r w:rsidR="00FA3097" w:rsidRPr="004842AA">
        <w:rPr>
          <w:rFonts w:ascii="Times New Roman" w:hAnsi="Times New Roman" w:cs="Times New Roman"/>
        </w:rPr>
        <w:t>regulatory change</w:t>
      </w:r>
      <w:r w:rsidR="006B65D0" w:rsidRPr="004842AA">
        <w:rPr>
          <w:rFonts w:ascii="Times New Roman" w:hAnsi="Times New Roman" w:cs="Times New Roman"/>
        </w:rPr>
        <w:t>s</w:t>
      </w:r>
      <w:r w:rsidR="00FA3097" w:rsidRPr="004842AA">
        <w:rPr>
          <w:rFonts w:ascii="Times New Roman" w:hAnsi="Times New Roman" w:cs="Times New Roman"/>
        </w:rPr>
        <w:t>”</w:t>
      </w:r>
      <w:r w:rsidR="0021124A">
        <w:rPr>
          <w:rFonts w:ascii="Times New Roman" w:hAnsi="Times New Roman" w:cs="Times New Roman"/>
        </w:rPr>
        <w:t xml:space="preserve"> – the </w:t>
      </w:r>
      <w:r w:rsidR="00567C66">
        <w:rPr>
          <w:rFonts w:ascii="Times New Roman" w:hAnsi="Times New Roman" w:cs="Times New Roman"/>
        </w:rPr>
        <w:t xml:space="preserve">very twin </w:t>
      </w:r>
      <w:proofErr w:type="gramStart"/>
      <w:r w:rsidR="006B65D0" w:rsidRPr="004842AA">
        <w:rPr>
          <w:rFonts w:ascii="Times New Roman" w:hAnsi="Times New Roman" w:cs="Times New Roman"/>
        </w:rPr>
        <w:t>prospects which</w:t>
      </w:r>
      <w:r w:rsidR="00FA3097" w:rsidRPr="004842AA">
        <w:rPr>
          <w:rFonts w:ascii="Times New Roman" w:hAnsi="Times New Roman" w:cs="Times New Roman"/>
        </w:rPr>
        <w:t xml:space="preserve"> had so</w:t>
      </w:r>
      <w:proofErr w:type="gramEnd"/>
      <w:r w:rsidR="00FA3097" w:rsidRPr="004842AA">
        <w:rPr>
          <w:rFonts w:ascii="Times New Roman" w:hAnsi="Times New Roman" w:cs="Times New Roman"/>
        </w:rPr>
        <w:t xml:space="preserve"> discombobulated Johnson’s predecessor. </w:t>
      </w:r>
    </w:p>
    <w:p w14:paraId="3ED965C8" w14:textId="74933B20" w:rsidR="00FA3097" w:rsidRPr="004842AA" w:rsidRDefault="006B65D0" w:rsidP="0069239A">
      <w:pPr>
        <w:widowControl w:val="0"/>
        <w:autoSpaceDE w:val="0"/>
        <w:autoSpaceDN w:val="0"/>
        <w:adjustRightInd w:val="0"/>
        <w:ind w:firstLine="720"/>
        <w:jc w:val="both"/>
        <w:rPr>
          <w:rFonts w:ascii="Times New Roman" w:hAnsi="Times New Roman" w:cs="Times New Roman"/>
        </w:rPr>
      </w:pPr>
      <w:r w:rsidRPr="004842AA">
        <w:rPr>
          <w:rFonts w:ascii="Times New Roman" w:hAnsi="Times New Roman" w:cs="Times New Roman"/>
        </w:rPr>
        <w:t>Fourthly and finally</w:t>
      </w:r>
      <w:r w:rsidR="00FA3097" w:rsidRPr="004842AA">
        <w:rPr>
          <w:rFonts w:ascii="Times New Roman" w:hAnsi="Times New Roman" w:cs="Times New Roman"/>
        </w:rPr>
        <w:t xml:space="preserve">, </w:t>
      </w:r>
      <w:r w:rsidR="00BD0EF1">
        <w:rPr>
          <w:rFonts w:ascii="Times New Roman" w:hAnsi="Times New Roman" w:cs="Times New Roman"/>
        </w:rPr>
        <w:t xml:space="preserve">many commentators have suggested (drawing not least upon </w:t>
      </w:r>
      <w:r w:rsidR="00FA3097" w:rsidRPr="004842AA">
        <w:rPr>
          <w:rFonts w:ascii="Times New Roman" w:hAnsi="Times New Roman" w:cs="Times New Roman"/>
        </w:rPr>
        <w:t>the conduct of various UK politicians within as well as outside government</w:t>
      </w:r>
      <w:r w:rsidR="00BD0EF1">
        <w:rPr>
          <w:rFonts w:ascii="Times New Roman" w:hAnsi="Times New Roman" w:cs="Times New Roman"/>
        </w:rPr>
        <w:t xml:space="preserve"> over a sustained period of time)</w:t>
      </w:r>
      <w:r w:rsidR="00FA3097" w:rsidRPr="004842AA">
        <w:rPr>
          <w:rFonts w:ascii="Times New Roman" w:hAnsi="Times New Roman" w:cs="Times New Roman"/>
        </w:rPr>
        <w:t xml:space="preserve"> that the </w:t>
      </w:r>
      <w:r w:rsidRPr="004842AA">
        <w:rPr>
          <w:rFonts w:ascii="Times New Roman" w:hAnsi="Times New Roman" w:cs="Times New Roman"/>
        </w:rPr>
        <w:t xml:space="preserve">post-withdrawal, </w:t>
      </w:r>
      <w:r w:rsidR="006861A1">
        <w:rPr>
          <w:rFonts w:ascii="Times New Roman" w:hAnsi="Times New Roman" w:cs="Times New Roman"/>
        </w:rPr>
        <w:t>status quo transition</w:t>
      </w:r>
      <w:r w:rsidR="00FA3097" w:rsidRPr="004842AA">
        <w:rPr>
          <w:rFonts w:ascii="Times New Roman" w:hAnsi="Times New Roman" w:cs="Times New Roman"/>
        </w:rPr>
        <w:t xml:space="preserve"> period </w:t>
      </w:r>
      <w:r w:rsidR="00BD0EF1">
        <w:rPr>
          <w:rFonts w:ascii="Times New Roman" w:hAnsi="Times New Roman" w:cs="Times New Roman"/>
        </w:rPr>
        <w:t>might</w:t>
      </w:r>
      <w:r w:rsidR="00FA3097" w:rsidRPr="004842AA">
        <w:rPr>
          <w:rFonts w:ascii="Times New Roman" w:hAnsi="Times New Roman" w:cs="Times New Roman"/>
        </w:rPr>
        <w:t xml:space="preserve"> serve another useful if rather more cynical purpose: to create significant space and time between the actual act of </w:t>
      </w:r>
      <w:r w:rsidRPr="004842AA">
        <w:rPr>
          <w:rFonts w:ascii="Times New Roman" w:hAnsi="Times New Roman" w:cs="Times New Roman"/>
        </w:rPr>
        <w:t>departure</w:t>
      </w:r>
      <w:r w:rsidR="00FA3097" w:rsidRPr="004842AA">
        <w:rPr>
          <w:rFonts w:ascii="Times New Roman" w:hAnsi="Times New Roman" w:cs="Times New Roman"/>
        </w:rPr>
        <w:t xml:space="preserve"> (on the one hand) and the eventual emergence of its true consequences (on the other hand) – sufficient to establish a plausible deniability that any negative impacts upon the UK should actually be attributed to leaving the EU; and to limit the extent to which the relevant decision-makers could convincingly be held responsible and accountable in the court of public opinion.  “Brexit got done” on 31 January 2020 – so whatever </w:t>
      </w:r>
      <w:r w:rsidR="00E67177">
        <w:rPr>
          <w:rFonts w:ascii="Times New Roman" w:hAnsi="Times New Roman" w:cs="Times New Roman"/>
        </w:rPr>
        <w:t xml:space="preserve">might happen many months later (i.e. </w:t>
      </w:r>
      <w:r w:rsidR="00FA3097" w:rsidRPr="004842AA">
        <w:rPr>
          <w:rFonts w:ascii="Times New Roman" w:hAnsi="Times New Roman" w:cs="Times New Roman"/>
        </w:rPr>
        <w:t xml:space="preserve">when </w:t>
      </w:r>
      <w:r w:rsidR="00567C66">
        <w:rPr>
          <w:rFonts w:ascii="Times New Roman" w:hAnsi="Times New Roman" w:cs="Times New Roman"/>
        </w:rPr>
        <w:t xml:space="preserve">an </w:t>
      </w:r>
      <w:proofErr w:type="spellStart"/>
      <w:r w:rsidR="00567C66">
        <w:rPr>
          <w:rFonts w:ascii="Times New Roman" w:hAnsi="Times New Roman" w:cs="Times New Roman"/>
        </w:rPr>
        <w:t>unextended</w:t>
      </w:r>
      <w:proofErr w:type="spellEnd"/>
      <w:r w:rsidR="00567C66">
        <w:rPr>
          <w:rFonts w:ascii="Times New Roman" w:hAnsi="Times New Roman" w:cs="Times New Roman"/>
        </w:rPr>
        <w:t xml:space="preserve"> </w:t>
      </w:r>
      <w:r w:rsidR="00FA3097" w:rsidRPr="004842AA">
        <w:rPr>
          <w:rFonts w:ascii="Times New Roman" w:hAnsi="Times New Roman" w:cs="Times New Roman"/>
        </w:rPr>
        <w:t>transition expires with no replac</w:t>
      </w:r>
      <w:r w:rsidR="00E67177">
        <w:rPr>
          <w:rFonts w:ascii="Times New Roman" w:hAnsi="Times New Roman" w:cs="Times New Roman"/>
        </w:rPr>
        <w:t>ement deal ready to take effect)</w:t>
      </w:r>
      <w:r w:rsidR="00FA3097" w:rsidRPr="004842AA">
        <w:rPr>
          <w:rFonts w:ascii="Times New Roman" w:hAnsi="Times New Roman" w:cs="Times New Roman"/>
        </w:rPr>
        <w:t xml:space="preserve"> </w:t>
      </w:r>
      <w:proofErr w:type="gramStart"/>
      <w:r w:rsidR="00FA3097" w:rsidRPr="004842AA">
        <w:rPr>
          <w:rFonts w:ascii="Times New Roman" w:hAnsi="Times New Roman" w:cs="Times New Roman"/>
        </w:rPr>
        <w:t>can</w:t>
      </w:r>
      <w:proofErr w:type="gramEnd"/>
      <w:r w:rsidR="00FA3097" w:rsidRPr="004842AA">
        <w:rPr>
          <w:rFonts w:ascii="Times New Roman" w:hAnsi="Times New Roman" w:cs="Times New Roman"/>
        </w:rPr>
        <w:t xml:space="preserve"> hardly be the fault of Brexit or the </w:t>
      </w:r>
      <w:proofErr w:type="spellStart"/>
      <w:r w:rsidR="00FA3097" w:rsidRPr="004842AA">
        <w:rPr>
          <w:rFonts w:ascii="Times New Roman" w:hAnsi="Times New Roman" w:cs="Times New Roman"/>
        </w:rPr>
        <w:t>Brexiters</w:t>
      </w:r>
      <w:proofErr w:type="spellEnd"/>
      <w:r w:rsidR="00FA3097" w:rsidRPr="004842AA">
        <w:rPr>
          <w:rFonts w:ascii="Times New Roman" w:hAnsi="Times New Roman" w:cs="Times New Roman"/>
        </w:rPr>
        <w:t>…</w:t>
      </w:r>
      <w:r w:rsidR="00BD0EF1">
        <w:rPr>
          <w:rFonts w:ascii="Times New Roman" w:hAnsi="Times New Roman" w:cs="Times New Roman"/>
        </w:rPr>
        <w:t>.</w:t>
      </w:r>
      <w:r w:rsidR="00F52311">
        <w:rPr>
          <w:rStyle w:val="FootnoteReference"/>
          <w:rFonts w:ascii="Times New Roman" w:hAnsi="Times New Roman" w:cs="Times New Roman"/>
        </w:rPr>
        <w:footnoteReference w:id="176"/>
      </w:r>
    </w:p>
    <w:p w14:paraId="42B46F69" w14:textId="77777777" w:rsidR="00FA3097" w:rsidRPr="004842AA" w:rsidRDefault="00FA3097" w:rsidP="004842AA">
      <w:pPr>
        <w:widowControl w:val="0"/>
        <w:autoSpaceDE w:val="0"/>
        <w:autoSpaceDN w:val="0"/>
        <w:adjustRightInd w:val="0"/>
        <w:jc w:val="both"/>
        <w:rPr>
          <w:rFonts w:ascii="Times New Roman" w:hAnsi="Times New Roman" w:cs="Times New Roman"/>
          <w:highlight w:val="yellow"/>
        </w:rPr>
      </w:pPr>
    </w:p>
    <w:p w14:paraId="4853B086" w14:textId="69C2BEFD" w:rsidR="006B65D0" w:rsidRPr="004842AA" w:rsidRDefault="006B65D0" w:rsidP="004842AA">
      <w:pPr>
        <w:widowControl w:val="0"/>
        <w:autoSpaceDE w:val="0"/>
        <w:autoSpaceDN w:val="0"/>
        <w:adjustRightInd w:val="0"/>
        <w:jc w:val="both"/>
        <w:rPr>
          <w:rFonts w:ascii="Times New Roman" w:hAnsi="Times New Roman" w:cs="Times New Roman"/>
          <w:i/>
        </w:rPr>
      </w:pPr>
      <w:r w:rsidRPr="004842AA">
        <w:rPr>
          <w:rFonts w:ascii="Times New Roman" w:hAnsi="Times New Roman" w:cs="Times New Roman"/>
          <w:i/>
        </w:rPr>
        <w:t>3.2.3.</w:t>
      </w:r>
      <w:r w:rsidRPr="004842AA">
        <w:rPr>
          <w:rFonts w:ascii="Times New Roman" w:hAnsi="Times New Roman" w:cs="Times New Roman"/>
          <w:i/>
        </w:rPr>
        <w:tab/>
      </w:r>
      <w:proofErr w:type="gramStart"/>
      <w:r w:rsidR="0003179B">
        <w:rPr>
          <w:rFonts w:ascii="Times New Roman" w:hAnsi="Times New Roman" w:cs="Times New Roman"/>
          <w:i/>
        </w:rPr>
        <w:t>Other</w:t>
      </w:r>
      <w:proofErr w:type="gramEnd"/>
      <w:r w:rsidR="0003179B">
        <w:rPr>
          <w:rFonts w:ascii="Times New Roman" w:hAnsi="Times New Roman" w:cs="Times New Roman"/>
          <w:i/>
        </w:rPr>
        <w:t xml:space="preserve"> l</w:t>
      </w:r>
      <w:r w:rsidRPr="004842AA">
        <w:rPr>
          <w:rFonts w:ascii="Times New Roman" w:hAnsi="Times New Roman" w:cs="Times New Roman"/>
          <w:i/>
        </w:rPr>
        <w:t>egal and political controversies associated with transition</w:t>
      </w:r>
    </w:p>
    <w:p w14:paraId="1F22E670" w14:textId="77777777" w:rsidR="00FA3097" w:rsidRPr="004842AA" w:rsidRDefault="00FA3097" w:rsidP="004842AA">
      <w:pPr>
        <w:widowControl w:val="0"/>
        <w:autoSpaceDE w:val="0"/>
        <w:autoSpaceDN w:val="0"/>
        <w:adjustRightInd w:val="0"/>
        <w:jc w:val="both"/>
        <w:rPr>
          <w:rFonts w:ascii="Times New Roman" w:hAnsi="Times New Roman" w:cs="Times New Roman"/>
          <w:highlight w:val="yellow"/>
        </w:rPr>
      </w:pPr>
    </w:p>
    <w:p w14:paraId="317660A3" w14:textId="77777777" w:rsidR="0090529A" w:rsidRDefault="0017441C" w:rsidP="00F50C75">
      <w:pPr>
        <w:widowControl w:val="0"/>
        <w:autoSpaceDE w:val="0"/>
        <w:autoSpaceDN w:val="0"/>
        <w:adjustRightInd w:val="0"/>
        <w:jc w:val="both"/>
        <w:rPr>
          <w:rFonts w:ascii="Times New Roman" w:hAnsi="Times New Roman" w:cs="Times New Roman"/>
        </w:rPr>
      </w:pPr>
      <w:r w:rsidRPr="004842AA">
        <w:rPr>
          <w:rFonts w:ascii="Times New Roman" w:hAnsi="Times New Roman" w:cs="Times New Roman"/>
        </w:rPr>
        <w:t>On the UK side, transition might (partially) serve several (more or less legitimate) political objectives, but it has been controversial chiefly because of the criticism that it reduce</w:t>
      </w:r>
      <w:r w:rsidR="00480467" w:rsidRPr="004842AA">
        <w:rPr>
          <w:rFonts w:ascii="Times New Roman" w:hAnsi="Times New Roman" w:cs="Times New Roman"/>
        </w:rPr>
        <w:t>s</w:t>
      </w:r>
      <w:r w:rsidRPr="004842AA">
        <w:rPr>
          <w:rFonts w:ascii="Times New Roman" w:hAnsi="Times New Roman" w:cs="Times New Roman"/>
        </w:rPr>
        <w:t xml:space="preserve"> the UK to </w:t>
      </w:r>
      <w:r w:rsidR="00480467" w:rsidRPr="004842AA">
        <w:rPr>
          <w:rFonts w:ascii="Times New Roman" w:hAnsi="Times New Roman" w:cs="Times New Roman"/>
        </w:rPr>
        <w:t xml:space="preserve">a </w:t>
      </w:r>
      <w:r w:rsidRPr="004842AA">
        <w:rPr>
          <w:rFonts w:ascii="Times New Roman" w:hAnsi="Times New Roman" w:cs="Times New Roman"/>
        </w:rPr>
        <w:t>“vassal state” of the Union</w:t>
      </w:r>
      <w:r w:rsidR="00480467" w:rsidRPr="004842AA">
        <w:rPr>
          <w:rFonts w:ascii="Times New Roman" w:hAnsi="Times New Roman" w:cs="Times New Roman"/>
        </w:rPr>
        <w:t xml:space="preserve"> – bound by almost all of the latter’s rules but without any say over their adoption</w:t>
      </w:r>
      <w:r w:rsidRPr="004842AA">
        <w:rPr>
          <w:rFonts w:ascii="Times New Roman" w:hAnsi="Times New Roman" w:cs="Times New Roman"/>
        </w:rPr>
        <w:t>.</w:t>
      </w:r>
      <w:r w:rsidR="0064508C">
        <w:rPr>
          <w:rStyle w:val="FootnoteReference"/>
          <w:rFonts w:ascii="Times New Roman" w:hAnsi="Times New Roman" w:cs="Times New Roman"/>
        </w:rPr>
        <w:footnoteReference w:id="177"/>
      </w:r>
      <w:r w:rsidRPr="004842AA">
        <w:rPr>
          <w:rFonts w:ascii="Times New Roman" w:hAnsi="Times New Roman" w:cs="Times New Roman"/>
        </w:rPr>
        <w:t xml:space="preserve"> </w:t>
      </w:r>
      <w:r w:rsidR="00480467" w:rsidRPr="004842AA">
        <w:rPr>
          <w:rFonts w:ascii="Times New Roman" w:hAnsi="Times New Roman" w:cs="Times New Roman"/>
        </w:rPr>
        <w:t xml:space="preserve"> There is obviously some truth in that criticism, though it is usually voiced without any countervailing acknowledgment of the fact that it was the UK Government that proposed transition in its current form</w:t>
      </w:r>
      <w:r w:rsidR="00D74B90" w:rsidRPr="004842AA">
        <w:rPr>
          <w:rFonts w:ascii="Times New Roman" w:hAnsi="Times New Roman" w:cs="Times New Roman"/>
        </w:rPr>
        <w:t>,</w:t>
      </w:r>
      <w:r w:rsidR="00480467" w:rsidRPr="004842AA">
        <w:rPr>
          <w:rFonts w:ascii="Times New Roman" w:hAnsi="Times New Roman" w:cs="Times New Roman"/>
        </w:rPr>
        <w:t xml:space="preserve"> in order to shield fundamental British interests from the consequences of the UK’s own choices.  Nevertheless, </w:t>
      </w:r>
      <w:r w:rsidR="00D74B90" w:rsidRPr="004842AA">
        <w:rPr>
          <w:rFonts w:ascii="Times New Roman" w:hAnsi="Times New Roman" w:cs="Times New Roman"/>
        </w:rPr>
        <w:t xml:space="preserve">perceptions about the </w:t>
      </w:r>
      <w:r w:rsidR="00480467" w:rsidRPr="004842AA">
        <w:rPr>
          <w:rFonts w:ascii="Times New Roman" w:hAnsi="Times New Roman" w:cs="Times New Roman"/>
        </w:rPr>
        <w:t xml:space="preserve">one-sided nature of </w:t>
      </w:r>
      <w:r w:rsidR="00D74B90" w:rsidRPr="004842AA">
        <w:rPr>
          <w:rFonts w:ascii="Times New Roman" w:hAnsi="Times New Roman" w:cs="Times New Roman"/>
        </w:rPr>
        <w:t xml:space="preserve">transition were reinforced by the UK’s limited success in changing the </w:t>
      </w:r>
      <w:r w:rsidR="00E75939" w:rsidRPr="004842AA">
        <w:rPr>
          <w:rFonts w:ascii="Times New Roman" w:hAnsi="Times New Roman" w:cs="Times New Roman"/>
        </w:rPr>
        <w:t xml:space="preserve">terms </w:t>
      </w:r>
      <w:r w:rsidR="00D74B90" w:rsidRPr="004842AA">
        <w:rPr>
          <w:rFonts w:ascii="Times New Roman" w:hAnsi="Times New Roman" w:cs="Times New Roman"/>
        </w:rPr>
        <w:t>originally proposed by the Commission: for example, the UK failed not only in its attempt to control which transition-era Union measures would become automatically binding, but also in its effort to insist that “exit day” (rather</w:t>
      </w:r>
      <w:r w:rsidR="006861A1">
        <w:rPr>
          <w:rFonts w:ascii="Times New Roman" w:hAnsi="Times New Roman" w:cs="Times New Roman"/>
        </w:rPr>
        <w:t xml:space="preserve"> than expiry of the transition</w:t>
      </w:r>
      <w:r w:rsidR="00D74B90" w:rsidRPr="004842AA">
        <w:rPr>
          <w:rFonts w:ascii="Times New Roman" w:hAnsi="Times New Roman" w:cs="Times New Roman"/>
        </w:rPr>
        <w:t xml:space="preserve"> period) should act as the relevant date for ending free movement of persons and calculating entitlement to citizens’ rights protection under </w:t>
      </w:r>
      <w:r w:rsidR="00D74B90" w:rsidRPr="004842AA">
        <w:rPr>
          <w:rFonts w:ascii="Times New Roman" w:hAnsi="Times New Roman" w:cs="Times New Roman"/>
        </w:rPr>
        <w:lastRenderedPageBreak/>
        <w:t xml:space="preserve">the </w:t>
      </w:r>
      <w:r w:rsidR="00E67177">
        <w:rPr>
          <w:rFonts w:ascii="Times New Roman" w:hAnsi="Times New Roman" w:cs="Times New Roman"/>
        </w:rPr>
        <w:t>Agreement</w:t>
      </w:r>
      <w:r w:rsidR="00D74B90" w:rsidRPr="004842AA">
        <w:rPr>
          <w:rFonts w:ascii="Times New Roman" w:hAnsi="Times New Roman" w:cs="Times New Roman"/>
        </w:rPr>
        <w:t>.</w:t>
      </w:r>
      <w:r w:rsidR="00D74B90" w:rsidRPr="004842AA">
        <w:rPr>
          <w:rStyle w:val="FootnoteReference"/>
          <w:rFonts w:ascii="Times New Roman" w:hAnsi="Times New Roman" w:cs="Times New Roman"/>
        </w:rPr>
        <w:footnoteReference w:id="178"/>
      </w:r>
      <w:r w:rsidR="00D74B90" w:rsidRPr="004842AA">
        <w:rPr>
          <w:rFonts w:ascii="Times New Roman" w:hAnsi="Times New Roman" w:cs="Times New Roman"/>
        </w:rPr>
        <w:t xml:space="preserve">  </w:t>
      </w:r>
    </w:p>
    <w:p w14:paraId="2FD01CE6" w14:textId="57F2B86A" w:rsidR="00F50C75" w:rsidRPr="002B1375" w:rsidRDefault="00C439D1" w:rsidP="0090529A">
      <w:pPr>
        <w:widowControl w:val="0"/>
        <w:autoSpaceDE w:val="0"/>
        <w:autoSpaceDN w:val="0"/>
        <w:adjustRightInd w:val="0"/>
        <w:ind w:firstLine="720"/>
        <w:jc w:val="both"/>
        <w:rPr>
          <w:rFonts w:ascii="Times New Roman" w:hAnsi="Times New Roman" w:cs="Times New Roman"/>
        </w:rPr>
      </w:pPr>
      <w:r w:rsidRPr="004842AA">
        <w:rPr>
          <w:rFonts w:ascii="Times New Roman" w:hAnsi="Times New Roman" w:cs="Times New Roman"/>
        </w:rPr>
        <w:t xml:space="preserve">The UK’s demands </w:t>
      </w:r>
      <w:r w:rsidR="00AF49A9" w:rsidRPr="004842AA">
        <w:rPr>
          <w:rFonts w:ascii="Times New Roman" w:hAnsi="Times New Roman" w:cs="Times New Roman"/>
        </w:rPr>
        <w:t xml:space="preserve">bore greater fruit </w:t>
      </w:r>
      <w:r w:rsidRPr="004842AA">
        <w:rPr>
          <w:rFonts w:ascii="Times New Roman" w:hAnsi="Times New Roman" w:cs="Times New Roman"/>
        </w:rPr>
        <w:t>in the field of external relations</w:t>
      </w:r>
      <w:r w:rsidR="00AF49A9" w:rsidRPr="004842AA">
        <w:rPr>
          <w:rFonts w:ascii="Times New Roman" w:hAnsi="Times New Roman" w:cs="Times New Roman"/>
        </w:rPr>
        <w:t xml:space="preserve">. </w:t>
      </w:r>
      <w:r w:rsidR="002B1375">
        <w:rPr>
          <w:rFonts w:ascii="Times New Roman" w:hAnsi="Times New Roman" w:cs="Times New Roman"/>
        </w:rPr>
        <w:t xml:space="preserve"> </w:t>
      </w:r>
      <w:r w:rsidR="00AF49A9" w:rsidRPr="004842AA">
        <w:rPr>
          <w:rFonts w:ascii="Times New Roman" w:hAnsi="Times New Roman" w:cs="Times New Roman"/>
        </w:rPr>
        <w:t xml:space="preserve">True, the UK was </w:t>
      </w:r>
      <w:r w:rsidR="0090529A">
        <w:rPr>
          <w:rFonts w:ascii="Times New Roman" w:hAnsi="Times New Roman" w:cs="Times New Roman"/>
        </w:rPr>
        <w:t xml:space="preserve">again </w:t>
      </w:r>
      <w:bookmarkStart w:id="0" w:name="_GoBack"/>
      <w:bookmarkEnd w:id="0"/>
      <w:r w:rsidR="00AF49A9" w:rsidRPr="004842AA">
        <w:rPr>
          <w:rFonts w:ascii="Times New Roman" w:hAnsi="Times New Roman" w:cs="Times New Roman"/>
        </w:rPr>
        <w:t>soundly rebuffed when it challenged the Union proposal whereby the British might negotiate, sign and ratify international agreements in areas of exclusive Union competence but could only bring such treaties into force during transition with the Council’s specific authorisation.</w:t>
      </w:r>
      <w:r w:rsidR="00AF49A9" w:rsidRPr="004842AA">
        <w:rPr>
          <w:rStyle w:val="FootnoteReference"/>
          <w:rFonts w:ascii="Times New Roman" w:hAnsi="Times New Roman" w:cs="Times New Roman"/>
        </w:rPr>
        <w:footnoteReference w:id="179"/>
      </w:r>
      <w:r w:rsidR="00AF49A9" w:rsidRPr="004842AA">
        <w:rPr>
          <w:rFonts w:ascii="Times New Roman" w:hAnsi="Times New Roman" w:cs="Times New Roman"/>
        </w:rPr>
        <w:t xml:space="preserve">  But the UK did manage to secure </w:t>
      </w:r>
      <w:r w:rsidR="002B1375">
        <w:rPr>
          <w:rFonts w:ascii="Times New Roman" w:hAnsi="Times New Roman" w:cs="Times New Roman"/>
        </w:rPr>
        <w:t>certain</w:t>
      </w:r>
      <w:r w:rsidR="00AF49A9" w:rsidRPr="004842AA">
        <w:rPr>
          <w:rFonts w:ascii="Times New Roman" w:hAnsi="Times New Roman" w:cs="Times New Roman"/>
        </w:rPr>
        <w:t xml:space="preserve"> concession</w:t>
      </w:r>
      <w:r w:rsidR="002B1375">
        <w:rPr>
          <w:rFonts w:ascii="Times New Roman" w:hAnsi="Times New Roman" w:cs="Times New Roman"/>
        </w:rPr>
        <w:t>s</w:t>
      </w:r>
      <w:r w:rsidR="00AF49A9" w:rsidRPr="004842AA">
        <w:rPr>
          <w:rFonts w:ascii="Times New Roman" w:hAnsi="Times New Roman" w:cs="Times New Roman"/>
        </w:rPr>
        <w:t xml:space="preserve">: </w:t>
      </w:r>
      <w:r w:rsidR="002B1375">
        <w:rPr>
          <w:rFonts w:ascii="Times New Roman" w:hAnsi="Times New Roman" w:cs="Times New Roman"/>
        </w:rPr>
        <w:t xml:space="preserve">for example, </w:t>
      </w:r>
      <w:r w:rsidR="00AF49A9" w:rsidRPr="004842AA">
        <w:rPr>
          <w:rFonts w:ascii="Times New Roman" w:hAnsi="Times New Roman" w:cs="Times New Roman"/>
        </w:rPr>
        <w:t xml:space="preserve">as regards </w:t>
      </w:r>
      <w:r w:rsidR="00056349">
        <w:rPr>
          <w:rFonts w:ascii="Times New Roman" w:hAnsi="Times New Roman" w:cs="Times New Roman"/>
        </w:rPr>
        <w:t xml:space="preserve">new </w:t>
      </w:r>
      <w:r w:rsidR="00AF49A9" w:rsidRPr="004842AA">
        <w:rPr>
          <w:rFonts w:ascii="Times New Roman" w:hAnsi="Times New Roman" w:cs="Times New Roman"/>
        </w:rPr>
        <w:t>Council decisions under Chapter 2</w:t>
      </w:r>
      <w:r w:rsidR="0064508C">
        <w:rPr>
          <w:rFonts w:ascii="Times New Roman" w:hAnsi="Times New Roman" w:cs="Times New Roman"/>
        </w:rPr>
        <w:t>,</w:t>
      </w:r>
      <w:r w:rsidR="00AF49A9" w:rsidRPr="004842AA">
        <w:rPr>
          <w:rFonts w:ascii="Times New Roman" w:hAnsi="Times New Roman" w:cs="Times New Roman"/>
        </w:rPr>
        <w:t xml:space="preserve"> Title V TEU on the CFSP, the UK may declare that, for vital and stated reasons of national policy, the UK exceptionally will not apply a particular </w:t>
      </w:r>
      <w:r w:rsidR="00AF49A9" w:rsidRPr="002B1375">
        <w:rPr>
          <w:rFonts w:ascii="Times New Roman" w:hAnsi="Times New Roman" w:cs="Times New Roman"/>
        </w:rPr>
        <w:t>decision</w:t>
      </w:r>
      <w:r w:rsidR="002B1375" w:rsidRPr="002B1375">
        <w:rPr>
          <w:rFonts w:ascii="Times New Roman" w:hAnsi="Times New Roman" w:cs="Times New Roman"/>
        </w:rPr>
        <w:t>;</w:t>
      </w:r>
      <w:r w:rsidR="00AF49A9" w:rsidRPr="002B1375">
        <w:rPr>
          <w:rStyle w:val="FootnoteReference"/>
          <w:rFonts w:ascii="Times New Roman" w:hAnsi="Times New Roman" w:cs="Times New Roman"/>
        </w:rPr>
        <w:footnoteReference w:id="180"/>
      </w:r>
      <w:r w:rsidR="002B1375" w:rsidRPr="002B1375">
        <w:rPr>
          <w:rFonts w:ascii="Times New Roman" w:hAnsi="Times New Roman" w:cs="Times New Roman"/>
        </w:rPr>
        <w:t xml:space="preserve"> </w:t>
      </w:r>
      <w:r w:rsidR="002B1375">
        <w:rPr>
          <w:rFonts w:ascii="Times New Roman" w:hAnsi="Times New Roman" w:cs="Times New Roman"/>
        </w:rPr>
        <w:t xml:space="preserve">and the </w:t>
      </w:r>
      <w:r w:rsidR="00765401">
        <w:rPr>
          <w:rFonts w:ascii="Times New Roman" w:hAnsi="Times New Roman" w:cs="Times New Roman"/>
        </w:rPr>
        <w:t>Agreement</w:t>
      </w:r>
      <w:r w:rsidR="002B1375">
        <w:rPr>
          <w:rFonts w:ascii="Times New Roman" w:hAnsi="Times New Roman" w:cs="Times New Roman"/>
        </w:rPr>
        <w:t xml:space="preserve"> also </w:t>
      </w:r>
      <w:r w:rsidR="002B1375" w:rsidRPr="002B1375">
        <w:rPr>
          <w:rFonts w:ascii="Times New Roman" w:hAnsi="Times New Roman" w:cs="Times New Roman"/>
        </w:rPr>
        <w:t>provides</w:t>
      </w:r>
      <w:r w:rsidR="002B1375">
        <w:rPr>
          <w:rFonts w:ascii="Times New Roman" w:hAnsi="Times New Roman" w:cs="Times New Roman"/>
        </w:rPr>
        <w:t xml:space="preserve"> that, should the EU and the UK manage to conclude a new agreement in the field of CFS</w:t>
      </w:r>
      <w:r w:rsidR="006861A1">
        <w:rPr>
          <w:rFonts w:ascii="Times New Roman" w:hAnsi="Times New Roman" w:cs="Times New Roman"/>
        </w:rPr>
        <w:t>P / CSDP during the transition</w:t>
      </w:r>
      <w:r w:rsidR="002B1375">
        <w:rPr>
          <w:rFonts w:ascii="Times New Roman" w:hAnsi="Times New Roman" w:cs="Times New Roman"/>
        </w:rPr>
        <w:t xml:space="preserve"> period, it may </w:t>
      </w:r>
      <w:r w:rsidR="002B1375" w:rsidRPr="002B1375">
        <w:rPr>
          <w:rFonts w:ascii="Times New Roman" w:hAnsi="Times New Roman" w:cs="Times New Roman"/>
          <w:lang w:val="en-US"/>
        </w:rPr>
        <w:t>dis</w:t>
      </w:r>
      <w:r w:rsidR="002B1375">
        <w:rPr>
          <w:rFonts w:ascii="Times New Roman" w:hAnsi="Times New Roman" w:cs="Times New Roman"/>
          <w:lang w:val="en-US"/>
        </w:rPr>
        <w:t>place</w:t>
      </w:r>
      <w:r w:rsidR="002B1375" w:rsidRPr="002B1375">
        <w:rPr>
          <w:rFonts w:ascii="Times New Roman" w:hAnsi="Times New Roman" w:cs="Times New Roman"/>
          <w:lang w:val="en-US"/>
        </w:rPr>
        <w:t xml:space="preserve"> </w:t>
      </w:r>
      <w:r w:rsidR="002B1375">
        <w:rPr>
          <w:rFonts w:ascii="Times New Roman" w:hAnsi="Times New Roman" w:cs="Times New Roman"/>
          <w:lang w:val="en-US"/>
        </w:rPr>
        <w:t xml:space="preserve">the need for continued UK adherence to the </w:t>
      </w:r>
      <w:r w:rsidR="002B1375" w:rsidRPr="002B1375">
        <w:rPr>
          <w:rFonts w:ascii="Times New Roman" w:hAnsi="Times New Roman" w:cs="Times New Roman"/>
          <w:lang w:val="en-US"/>
        </w:rPr>
        <w:t>relevant provisions</w:t>
      </w:r>
      <w:r w:rsidR="002B1375">
        <w:rPr>
          <w:rFonts w:ascii="Times New Roman" w:hAnsi="Times New Roman" w:cs="Times New Roman"/>
          <w:lang w:val="en-US"/>
        </w:rPr>
        <w:t xml:space="preserve"> of Union law</w:t>
      </w:r>
      <w:r w:rsidR="002B1375" w:rsidRPr="002B1375">
        <w:rPr>
          <w:rFonts w:ascii="Times New Roman" w:hAnsi="Times New Roman" w:cs="Times New Roman"/>
        </w:rPr>
        <w:t>.</w:t>
      </w:r>
      <w:r w:rsidR="002B1375" w:rsidRPr="002B1375">
        <w:rPr>
          <w:rStyle w:val="FootnoteReference"/>
          <w:rFonts w:ascii="Times New Roman" w:hAnsi="Times New Roman" w:cs="Times New Roman"/>
        </w:rPr>
        <w:footnoteReference w:id="181"/>
      </w:r>
    </w:p>
    <w:p w14:paraId="5398F9B9" w14:textId="18E417DA" w:rsidR="00F50C75" w:rsidRDefault="00D74B90" w:rsidP="00F50C75">
      <w:pPr>
        <w:widowControl w:val="0"/>
        <w:autoSpaceDE w:val="0"/>
        <w:autoSpaceDN w:val="0"/>
        <w:adjustRightInd w:val="0"/>
        <w:ind w:firstLine="720"/>
        <w:jc w:val="both"/>
        <w:rPr>
          <w:rFonts w:ascii="Times New Roman" w:hAnsi="Times New Roman" w:cs="Times New Roman"/>
        </w:rPr>
      </w:pPr>
      <w:r w:rsidRPr="004842AA">
        <w:rPr>
          <w:rFonts w:ascii="Times New Roman" w:hAnsi="Times New Roman" w:cs="Times New Roman"/>
        </w:rPr>
        <w:t xml:space="preserve">On the EU side, the transitional arrangements were less politically </w:t>
      </w:r>
      <w:r w:rsidR="00E67177">
        <w:rPr>
          <w:rFonts w:ascii="Times New Roman" w:hAnsi="Times New Roman" w:cs="Times New Roman"/>
        </w:rPr>
        <w:t>sens</w:t>
      </w:r>
      <w:r w:rsidR="00EE3579" w:rsidRPr="004842AA">
        <w:rPr>
          <w:rFonts w:ascii="Times New Roman" w:hAnsi="Times New Roman" w:cs="Times New Roman"/>
        </w:rPr>
        <w:t>itive</w:t>
      </w:r>
      <w:r w:rsidR="00E67177">
        <w:rPr>
          <w:rFonts w:ascii="Times New Roman" w:hAnsi="Times New Roman" w:cs="Times New Roman"/>
        </w:rPr>
        <w:t>, but still raise</w:t>
      </w:r>
      <w:r w:rsidRPr="004842AA">
        <w:rPr>
          <w:rFonts w:ascii="Times New Roman" w:hAnsi="Times New Roman" w:cs="Times New Roman"/>
        </w:rPr>
        <w:t xml:space="preserve"> some interesting constitutional questions – not least, the legality of treating what had </w:t>
      </w:r>
      <w:r w:rsidR="00EE3579" w:rsidRPr="004842AA">
        <w:rPr>
          <w:rFonts w:ascii="Times New Roman" w:hAnsi="Times New Roman" w:cs="Times New Roman"/>
        </w:rPr>
        <w:t>in fact become a third country</w:t>
      </w:r>
      <w:r w:rsidRPr="004842AA">
        <w:rPr>
          <w:rFonts w:ascii="Times New Roman" w:hAnsi="Times New Roman" w:cs="Times New Roman"/>
        </w:rPr>
        <w:t xml:space="preserve"> just as if it were still a Member State</w:t>
      </w:r>
      <w:r w:rsidR="00EE3579" w:rsidRPr="004842AA">
        <w:rPr>
          <w:rFonts w:ascii="Times New Roman" w:hAnsi="Times New Roman" w:cs="Times New Roman"/>
        </w:rPr>
        <w:t xml:space="preserve">, </w:t>
      </w:r>
      <w:r w:rsidRPr="004842AA">
        <w:rPr>
          <w:rFonts w:ascii="Times New Roman" w:hAnsi="Times New Roman" w:cs="Times New Roman"/>
        </w:rPr>
        <w:t xml:space="preserve">for a vast array of regulatory purposes, including a significant number of situations in which primary as well as secondary Union law suggested that the relevant rights and obligations should be enjoyed </w:t>
      </w:r>
      <w:r w:rsidR="0064508C">
        <w:rPr>
          <w:rFonts w:ascii="Times New Roman" w:hAnsi="Times New Roman" w:cs="Times New Roman"/>
        </w:rPr>
        <w:t xml:space="preserve">/ imposed </w:t>
      </w:r>
      <w:r w:rsidRPr="004842AA">
        <w:rPr>
          <w:rFonts w:ascii="Times New Roman" w:hAnsi="Times New Roman" w:cs="Times New Roman"/>
        </w:rPr>
        <w:t>only by Member States</w:t>
      </w:r>
      <w:r w:rsidR="00EE3579" w:rsidRPr="004842AA">
        <w:rPr>
          <w:rFonts w:ascii="Times New Roman" w:hAnsi="Times New Roman" w:cs="Times New Roman"/>
        </w:rPr>
        <w:t xml:space="preserve"> </w:t>
      </w:r>
      <w:r w:rsidRPr="004842AA">
        <w:rPr>
          <w:rFonts w:ascii="Times New Roman" w:hAnsi="Times New Roman" w:cs="Times New Roman"/>
        </w:rPr>
        <w:t>and / or their nationals.</w:t>
      </w:r>
      <w:r w:rsidR="0064508C">
        <w:rPr>
          <w:rStyle w:val="FootnoteReference"/>
          <w:rFonts w:ascii="Times New Roman" w:hAnsi="Times New Roman" w:cs="Times New Roman"/>
        </w:rPr>
        <w:footnoteReference w:id="182"/>
      </w:r>
      <w:r w:rsidR="00EE3579" w:rsidRPr="004842AA">
        <w:rPr>
          <w:rFonts w:ascii="Times New Roman" w:hAnsi="Times New Roman" w:cs="Times New Roman"/>
        </w:rPr>
        <w:t xml:space="preserve">  On the one hand, it is true that </w:t>
      </w:r>
      <w:r w:rsidR="00CD55F5" w:rsidRPr="004842AA">
        <w:rPr>
          <w:rFonts w:ascii="Times New Roman" w:hAnsi="Times New Roman" w:cs="Times New Roman"/>
        </w:rPr>
        <w:t xml:space="preserve">Article 50 TEU </w:t>
      </w:r>
      <w:r w:rsidR="00EE3579" w:rsidRPr="004842AA">
        <w:rPr>
          <w:rFonts w:ascii="Times New Roman" w:hAnsi="Times New Roman" w:cs="Times New Roman"/>
        </w:rPr>
        <w:t>is an unusual lega</w:t>
      </w:r>
      <w:r w:rsidR="004F5415">
        <w:rPr>
          <w:rFonts w:ascii="Times New Roman" w:hAnsi="Times New Roman" w:cs="Times New Roman"/>
        </w:rPr>
        <w:t>l basis designed to deal with a</w:t>
      </w:r>
      <w:r w:rsidR="00EE3579" w:rsidRPr="004842AA">
        <w:rPr>
          <w:rFonts w:ascii="Times New Roman" w:hAnsi="Times New Roman" w:cs="Times New Roman"/>
        </w:rPr>
        <w:t xml:space="preserve"> </w:t>
      </w:r>
      <w:r w:rsidR="00CD55F5" w:rsidRPr="004842AA">
        <w:rPr>
          <w:rFonts w:ascii="Times New Roman" w:hAnsi="Times New Roman" w:cs="Times New Roman"/>
        </w:rPr>
        <w:t>novel situatio</w:t>
      </w:r>
      <w:r w:rsidR="00EE3579" w:rsidRPr="004842AA">
        <w:rPr>
          <w:rFonts w:ascii="Times New Roman" w:hAnsi="Times New Roman" w:cs="Times New Roman"/>
        </w:rPr>
        <w:t>n.</w:t>
      </w:r>
      <w:r w:rsidR="00EE3579" w:rsidRPr="004842AA">
        <w:rPr>
          <w:rStyle w:val="FootnoteReference"/>
          <w:rFonts w:ascii="Times New Roman" w:hAnsi="Times New Roman" w:cs="Times New Roman"/>
        </w:rPr>
        <w:footnoteReference w:id="183"/>
      </w:r>
      <w:r w:rsidR="00EE3579" w:rsidRPr="004842AA">
        <w:rPr>
          <w:rFonts w:ascii="Times New Roman" w:hAnsi="Times New Roman" w:cs="Times New Roman"/>
        </w:rPr>
        <w:t xml:space="preserve">  Moreover, </w:t>
      </w:r>
      <w:r w:rsidR="003515C6">
        <w:rPr>
          <w:rFonts w:ascii="Times New Roman" w:hAnsi="Times New Roman" w:cs="Times New Roman"/>
        </w:rPr>
        <w:t>we have already noted how the</w:t>
      </w:r>
      <w:r w:rsidR="00EE3579" w:rsidRPr="004842AA">
        <w:rPr>
          <w:rFonts w:ascii="Times New Roman" w:hAnsi="Times New Roman" w:cs="Times New Roman"/>
        </w:rPr>
        <w:t xml:space="preserve"> Union institutions signa</w:t>
      </w:r>
      <w:r w:rsidR="0064508C">
        <w:rPr>
          <w:rFonts w:ascii="Times New Roman" w:hAnsi="Times New Roman" w:cs="Times New Roman"/>
        </w:rPr>
        <w:t>l</w:t>
      </w:r>
      <w:r w:rsidR="00EE3579" w:rsidRPr="004842AA">
        <w:rPr>
          <w:rFonts w:ascii="Times New Roman" w:hAnsi="Times New Roman" w:cs="Times New Roman"/>
        </w:rPr>
        <w:t>led their understanding that Article 50 TEU confers an exceptional competence which might in some respects deviate from our ordinary expectations under Union constitutional law.</w:t>
      </w:r>
      <w:r w:rsidR="00EE3579" w:rsidRPr="004842AA">
        <w:rPr>
          <w:rStyle w:val="FootnoteReference"/>
          <w:rFonts w:ascii="Times New Roman" w:hAnsi="Times New Roman" w:cs="Times New Roman"/>
        </w:rPr>
        <w:footnoteReference w:id="184"/>
      </w:r>
      <w:r w:rsidR="00EE3579" w:rsidRPr="004842AA">
        <w:rPr>
          <w:rFonts w:ascii="Times New Roman" w:hAnsi="Times New Roman" w:cs="Times New Roman"/>
        </w:rPr>
        <w:t xml:space="preserve">  On the other hand, Article 50 TEU is unequivocally premised upon the fact that the Treaties shall cease applying to the UK, which is immediately transformed into a third country, as from the very moment of its withdrawal.  Is it really within the competence of the Union institutions to “pretend” that the UK is still a </w:t>
      </w:r>
      <w:r w:rsidR="0064508C">
        <w:rPr>
          <w:rFonts w:ascii="Times New Roman" w:hAnsi="Times New Roman" w:cs="Times New Roman"/>
        </w:rPr>
        <w:t>Member State</w:t>
      </w:r>
      <w:r w:rsidR="00EE3579" w:rsidRPr="004842AA">
        <w:rPr>
          <w:rFonts w:ascii="Times New Roman" w:hAnsi="Times New Roman" w:cs="Times New Roman"/>
        </w:rPr>
        <w:t xml:space="preserve"> for all manner of purposes</w:t>
      </w:r>
      <w:r w:rsidR="0064508C">
        <w:rPr>
          <w:rFonts w:ascii="Times New Roman" w:hAnsi="Times New Roman" w:cs="Times New Roman"/>
        </w:rPr>
        <w:t xml:space="preserve"> –</w:t>
      </w:r>
      <w:r w:rsidR="00EE3579" w:rsidRPr="004842AA">
        <w:rPr>
          <w:rFonts w:ascii="Times New Roman" w:hAnsi="Times New Roman" w:cs="Times New Roman"/>
        </w:rPr>
        <w:t xml:space="preserve"> particularly when the UK could have achieved </w:t>
      </w:r>
      <w:r w:rsidR="001E560C">
        <w:rPr>
          <w:rFonts w:ascii="Times New Roman" w:hAnsi="Times New Roman" w:cs="Times New Roman"/>
        </w:rPr>
        <w:t xml:space="preserve">at least some of </w:t>
      </w:r>
      <w:r w:rsidR="00EE3579" w:rsidRPr="004842AA">
        <w:rPr>
          <w:rFonts w:ascii="Times New Roman" w:hAnsi="Times New Roman" w:cs="Times New Roman"/>
        </w:rPr>
        <w:t>the same basic result</w:t>
      </w:r>
      <w:r w:rsidR="001E560C">
        <w:rPr>
          <w:rFonts w:ascii="Times New Roman" w:hAnsi="Times New Roman" w:cs="Times New Roman"/>
        </w:rPr>
        <w:t>s</w:t>
      </w:r>
      <w:r w:rsidR="00EE3579" w:rsidRPr="004842AA">
        <w:rPr>
          <w:rFonts w:ascii="Times New Roman" w:hAnsi="Times New Roman" w:cs="Times New Roman"/>
        </w:rPr>
        <w:t xml:space="preserve"> as transition, but chose not to do so for its own domestic political reasons, using the means explicitly foreseen by the Treaties</w:t>
      </w:r>
      <w:r w:rsidR="004F5415">
        <w:rPr>
          <w:rFonts w:ascii="Times New Roman" w:hAnsi="Times New Roman" w:cs="Times New Roman"/>
        </w:rPr>
        <w:t xml:space="preserve">: </w:t>
      </w:r>
      <w:r w:rsidR="00EE3579" w:rsidRPr="004842AA">
        <w:rPr>
          <w:rFonts w:ascii="Times New Roman" w:hAnsi="Times New Roman" w:cs="Times New Roman"/>
        </w:rPr>
        <w:t>simply by extending its period of formal Union membership as provided for under Article 50 TEU?</w:t>
      </w:r>
      <w:r w:rsidR="007F0A15">
        <w:rPr>
          <w:rStyle w:val="FootnoteReference"/>
          <w:rFonts w:ascii="Times New Roman" w:hAnsi="Times New Roman" w:cs="Times New Roman"/>
        </w:rPr>
        <w:footnoteReference w:id="185"/>
      </w:r>
    </w:p>
    <w:p w14:paraId="45B3B979" w14:textId="66111FF7" w:rsidR="00DA20E2" w:rsidRDefault="00DA20E2" w:rsidP="00F50C75">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Such questions and concerns </w:t>
      </w:r>
      <w:r w:rsidR="003B3151">
        <w:rPr>
          <w:rFonts w:ascii="Times New Roman" w:hAnsi="Times New Roman" w:cs="Times New Roman"/>
        </w:rPr>
        <w:t>might</w:t>
      </w:r>
      <w:r>
        <w:rPr>
          <w:rFonts w:ascii="Times New Roman" w:hAnsi="Times New Roman" w:cs="Times New Roman"/>
        </w:rPr>
        <w:t xml:space="preserve"> now appear more theoretical than real</w:t>
      </w:r>
      <w:r w:rsidR="00531455">
        <w:rPr>
          <w:rFonts w:ascii="Times New Roman" w:hAnsi="Times New Roman" w:cs="Times New Roman"/>
        </w:rPr>
        <w:t xml:space="preserve">: after </w:t>
      </w:r>
      <w:r w:rsidR="00531455">
        <w:rPr>
          <w:rFonts w:ascii="Times New Roman" w:hAnsi="Times New Roman" w:cs="Times New Roman"/>
        </w:rPr>
        <w:lastRenderedPageBreak/>
        <w:t xml:space="preserve">all, the Member States did not object to the proposition that Article 50 TEU ousts any possibility of shared competence or </w:t>
      </w:r>
      <w:proofErr w:type="spellStart"/>
      <w:r w:rsidR="00531455">
        <w:rPr>
          <w:rFonts w:ascii="Times New Roman" w:hAnsi="Times New Roman" w:cs="Times New Roman"/>
        </w:rPr>
        <w:t>mixity</w:t>
      </w:r>
      <w:proofErr w:type="spellEnd"/>
      <w:r w:rsidR="00531455">
        <w:rPr>
          <w:rFonts w:ascii="Times New Roman" w:hAnsi="Times New Roman" w:cs="Times New Roman"/>
        </w:rPr>
        <w:t xml:space="preserve">; while challenging the Union’s very competence to contract such a far-reaching transition </w:t>
      </w:r>
      <w:r w:rsidR="004F5415">
        <w:rPr>
          <w:rFonts w:ascii="Times New Roman" w:hAnsi="Times New Roman" w:cs="Times New Roman"/>
        </w:rPr>
        <w:t>regime</w:t>
      </w:r>
      <w:r w:rsidR="00531455">
        <w:rPr>
          <w:rFonts w:ascii="Times New Roman" w:hAnsi="Times New Roman" w:cs="Times New Roman"/>
        </w:rPr>
        <w:t xml:space="preserve"> will soon appear </w:t>
      </w:r>
      <w:r w:rsidR="003B3151">
        <w:rPr>
          <w:rFonts w:ascii="Times New Roman" w:hAnsi="Times New Roman" w:cs="Times New Roman"/>
        </w:rPr>
        <w:t xml:space="preserve">practically </w:t>
      </w:r>
      <w:r w:rsidR="00531455">
        <w:rPr>
          <w:rFonts w:ascii="Times New Roman" w:hAnsi="Times New Roman" w:cs="Times New Roman"/>
        </w:rPr>
        <w:t xml:space="preserve">pointless or </w:t>
      </w:r>
      <w:r w:rsidR="003B3151">
        <w:rPr>
          <w:rFonts w:ascii="Times New Roman" w:hAnsi="Times New Roman" w:cs="Times New Roman"/>
        </w:rPr>
        <w:t xml:space="preserve">positively </w:t>
      </w:r>
      <w:r w:rsidR="00531455">
        <w:rPr>
          <w:rFonts w:ascii="Times New Roman" w:hAnsi="Times New Roman" w:cs="Times New Roman"/>
        </w:rPr>
        <w:t>mischievous</w:t>
      </w:r>
      <w:r>
        <w:rPr>
          <w:rFonts w:ascii="Times New Roman" w:hAnsi="Times New Roman" w:cs="Times New Roman"/>
        </w:rPr>
        <w:t xml:space="preserve">.  </w:t>
      </w:r>
      <w:r w:rsidR="00531455">
        <w:rPr>
          <w:rFonts w:ascii="Times New Roman" w:hAnsi="Times New Roman" w:cs="Times New Roman"/>
        </w:rPr>
        <w:t xml:space="preserve">But even now, it is possible to envisage scenarios where difficult competence queries might still arise: for example, if the UK were to allow the deadline of 1 July 2020 to pass without requesting any additional transition, only for </w:t>
      </w:r>
      <w:r w:rsidR="003B3151">
        <w:rPr>
          <w:rFonts w:ascii="Times New Roman" w:hAnsi="Times New Roman" w:cs="Times New Roman"/>
        </w:rPr>
        <w:t xml:space="preserve">changing </w:t>
      </w:r>
      <w:r w:rsidR="00531455">
        <w:rPr>
          <w:rFonts w:ascii="Times New Roman" w:hAnsi="Times New Roman" w:cs="Times New Roman"/>
        </w:rPr>
        <w:t>circumstances to render the prospect of “no deal” on 1 January 2021 utterly unpalatable</w:t>
      </w:r>
      <w:r w:rsidR="003B3151">
        <w:rPr>
          <w:rFonts w:ascii="Times New Roman" w:hAnsi="Times New Roman" w:cs="Times New Roman"/>
        </w:rPr>
        <w:t xml:space="preserve"> even for the Johnson Government</w:t>
      </w:r>
      <w:r w:rsidR="00531455">
        <w:rPr>
          <w:rFonts w:ascii="Times New Roman" w:hAnsi="Times New Roman" w:cs="Times New Roman"/>
        </w:rPr>
        <w:t xml:space="preserve">, and lead the parties to consider </w:t>
      </w:r>
      <w:r w:rsidR="003B3151">
        <w:rPr>
          <w:rFonts w:ascii="Times New Roman" w:hAnsi="Times New Roman" w:cs="Times New Roman"/>
        </w:rPr>
        <w:t xml:space="preserve">directly </w:t>
      </w:r>
      <w:r w:rsidR="00531455">
        <w:rPr>
          <w:rFonts w:ascii="Times New Roman" w:hAnsi="Times New Roman" w:cs="Times New Roman"/>
        </w:rPr>
        <w:t xml:space="preserve">amending </w:t>
      </w:r>
      <w:r w:rsidR="003B3151">
        <w:rPr>
          <w:rFonts w:ascii="Times New Roman" w:hAnsi="Times New Roman" w:cs="Times New Roman"/>
        </w:rPr>
        <w:t xml:space="preserve">or supplementing </w:t>
      </w:r>
      <w:r w:rsidR="00531455">
        <w:rPr>
          <w:rFonts w:ascii="Times New Roman" w:hAnsi="Times New Roman" w:cs="Times New Roman"/>
        </w:rPr>
        <w:t xml:space="preserve">the Agreement itself so as </w:t>
      </w:r>
      <w:r w:rsidR="003B3151">
        <w:rPr>
          <w:rFonts w:ascii="Times New Roman" w:hAnsi="Times New Roman" w:cs="Times New Roman"/>
        </w:rPr>
        <w:t xml:space="preserve">indeed to </w:t>
      </w:r>
      <w:r w:rsidR="00531455">
        <w:rPr>
          <w:rFonts w:ascii="Times New Roman" w:hAnsi="Times New Roman" w:cs="Times New Roman"/>
        </w:rPr>
        <w:t>allow for an alternative extension</w:t>
      </w:r>
      <w:r>
        <w:rPr>
          <w:rFonts w:ascii="Times New Roman" w:hAnsi="Times New Roman" w:cs="Times New Roman"/>
        </w:rPr>
        <w:t xml:space="preserve">.  </w:t>
      </w:r>
      <w:r w:rsidR="003B3151">
        <w:rPr>
          <w:rFonts w:ascii="Times New Roman" w:hAnsi="Times New Roman" w:cs="Times New Roman"/>
        </w:rPr>
        <w:t xml:space="preserve">Could Article 50 TEU still provide a valid legal basis for any such agreement?  If not: could the UK be offered the same or even a similar “de facto Member State” status under the Union’s external competences elsewhere under the Treaties?  In either event: would it really be possible once again for the Union institutions to deny the very existence of shared competence and even the possibility of national ratifications? </w:t>
      </w:r>
    </w:p>
    <w:p w14:paraId="26471FE2" w14:textId="614680F9" w:rsidR="00CD55F5" w:rsidRPr="004842AA" w:rsidRDefault="003515C6" w:rsidP="00F50C75">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In any case: for </w:t>
      </w:r>
      <w:r w:rsidR="00E75939" w:rsidRPr="004842AA">
        <w:rPr>
          <w:rFonts w:ascii="Times New Roman" w:hAnsi="Times New Roman" w:cs="Times New Roman"/>
        </w:rPr>
        <w:t>both parties</w:t>
      </w:r>
      <w:r w:rsidR="00C439D1" w:rsidRPr="004842AA">
        <w:rPr>
          <w:rFonts w:ascii="Times New Roman" w:hAnsi="Times New Roman" w:cs="Times New Roman"/>
        </w:rPr>
        <w:t xml:space="preserve">, </w:t>
      </w:r>
      <w:r w:rsidR="004F5415">
        <w:rPr>
          <w:rFonts w:ascii="Times New Roman" w:hAnsi="Times New Roman" w:cs="Times New Roman"/>
        </w:rPr>
        <w:t>the</w:t>
      </w:r>
      <w:r w:rsidR="006861A1">
        <w:rPr>
          <w:rFonts w:ascii="Times New Roman" w:hAnsi="Times New Roman" w:cs="Times New Roman"/>
        </w:rPr>
        <w:t xml:space="preserve"> agreement on transition</w:t>
      </w:r>
      <w:r w:rsidR="00C439D1" w:rsidRPr="004842AA">
        <w:rPr>
          <w:rFonts w:ascii="Times New Roman" w:hAnsi="Times New Roman" w:cs="Times New Roman"/>
        </w:rPr>
        <w:t xml:space="preserve"> created certain common </w:t>
      </w:r>
      <w:r w:rsidR="00E75939" w:rsidRPr="004842AA">
        <w:rPr>
          <w:rFonts w:ascii="Times New Roman" w:hAnsi="Times New Roman" w:cs="Times New Roman"/>
        </w:rPr>
        <w:t>challenges</w:t>
      </w:r>
      <w:r w:rsidR="00C439D1" w:rsidRPr="004842AA">
        <w:rPr>
          <w:rFonts w:ascii="Times New Roman" w:hAnsi="Times New Roman" w:cs="Times New Roman"/>
        </w:rPr>
        <w:t xml:space="preserve"> – particularly as regards existing Union external agreements with other third countries / international organisations.  </w:t>
      </w:r>
      <w:r w:rsidR="00CD55F5" w:rsidRPr="004842AA">
        <w:rPr>
          <w:rFonts w:ascii="Times New Roman" w:hAnsi="Times New Roman" w:cs="Times New Roman"/>
        </w:rPr>
        <w:t>Article 129</w:t>
      </w:r>
      <w:r w:rsidR="00056349">
        <w:rPr>
          <w:rFonts w:ascii="Times New Roman" w:hAnsi="Times New Roman" w:cs="Times New Roman"/>
        </w:rPr>
        <w:t>(1)</w:t>
      </w:r>
      <w:r w:rsidR="00C439D1" w:rsidRPr="004842AA">
        <w:rPr>
          <w:rFonts w:ascii="Times New Roman" w:hAnsi="Times New Roman" w:cs="Times New Roman"/>
        </w:rPr>
        <w:t xml:space="preserve"> WA states that</w:t>
      </w:r>
      <w:r w:rsidR="00056349">
        <w:rPr>
          <w:rFonts w:ascii="Times New Roman" w:hAnsi="Times New Roman" w:cs="Times New Roman"/>
        </w:rPr>
        <w:t xml:space="preserve"> </w:t>
      </w:r>
      <w:r w:rsidR="00C439D1" w:rsidRPr="004842AA">
        <w:rPr>
          <w:rFonts w:ascii="Times New Roman" w:hAnsi="Times New Roman" w:cs="Times New Roman"/>
        </w:rPr>
        <w:t xml:space="preserve">the </w:t>
      </w:r>
      <w:r w:rsidR="00CD55F5" w:rsidRPr="004842AA">
        <w:rPr>
          <w:rFonts w:ascii="Times New Roman" w:hAnsi="Times New Roman" w:cs="Times New Roman"/>
        </w:rPr>
        <w:t xml:space="preserve">UK </w:t>
      </w:r>
      <w:r w:rsidR="00056349">
        <w:rPr>
          <w:rFonts w:ascii="Times New Roman" w:hAnsi="Times New Roman" w:cs="Times New Roman"/>
        </w:rPr>
        <w:t xml:space="preserve">shall </w:t>
      </w:r>
      <w:r w:rsidR="00CD55F5" w:rsidRPr="004842AA">
        <w:rPr>
          <w:rFonts w:ascii="Times New Roman" w:hAnsi="Times New Roman" w:cs="Times New Roman"/>
        </w:rPr>
        <w:t xml:space="preserve">remain bound by existing international agreements concluded by Union, by </w:t>
      </w:r>
      <w:r w:rsidR="00C439D1" w:rsidRPr="004842AA">
        <w:rPr>
          <w:rFonts w:ascii="Times New Roman" w:hAnsi="Times New Roman" w:cs="Times New Roman"/>
        </w:rPr>
        <w:t xml:space="preserve">the </w:t>
      </w:r>
      <w:r w:rsidR="00CD55F5" w:rsidRPr="004842AA">
        <w:rPr>
          <w:rFonts w:ascii="Times New Roman" w:hAnsi="Times New Roman" w:cs="Times New Roman"/>
        </w:rPr>
        <w:t xml:space="preserve">Member States acting on </w:t>
      </w:r>
      <w:r w:rsidR="00C439D1" w:rsidRPr="004842AA">
        <w:rPr>
          <w:rFonts w:ascii="Times New Roman" w:hAnsi="Times New Roman" w:cs="Times New Roman"/>
        </w:rPr>
        <w:t xml:space="preserve">the </w:t>
      </w:r>
      <w:r w:rsidR="00CD55F5" w:rsidRPr="004842AA">
        <w:rPr>
          <w:rFonts w:ascii="Times New Roman" w:hAnsi="Times New Roman" w:cs="Times New Roman"/>
        </w:rPr>
        <w:t xml:space="preserve">Union’s behalf, or by </w:t>
      </w:r>
      <w:r w:rsidR="00C439D1" w:rsidRPr="004842AA">
        <w:rPr>
          <w:rFonts w:ascii="Times New Roman" w:hAnsi="Times New Roman" w:cs="Times New Roman"/>
        </w:rPr>
        <w:t xml:space="preserve">the </w:t>
      </w:r>
      <w:r w:rsidR="00CD55F5" w:rsidRPr="004842AA">
        <w:rPr>
          <w:rFonts w:ascii="Times New Roman" w:hAnsi="Times New Roman" w:cs="Times New Roman"/>
        </w:rPr>
        <w:t xml:space="preserve">Union and </w:t>
      </w:r>
      <w:r w:rsidR="00C439D1" w:rsidRPr="004842AA">
        <w:rPr>
          <w:rFonts w:ascii="Times New Roman" w:hAnsi="Times New Roman" w:cs="Times New Roman"/>
        </w:rPr>
        <w:t xml:space="preserve">the </w:t>
      </w:r>
      <w:r w:rsidR="00CD55F5" w:rsidRPr="004842AA">
        <w:rPr>
          <w:rFonts w:ascii="Times New Roman" w:hAnsi="Times New Roman" w:cs="Times New Roman"/>
        </w:rPr>
        <w:t>Member States acting jointly</w:t>
      </w:r>
      <w:r w:rsidR="00C439D1" w:rsidRPr="004842AA">
        <w:rPr>
          <w:rFonts w:ascii="Times New Roman" w:hAnsi="Times New Roman" w:cs="Times New Roman"/>
        </w:rPr>
        <w:t>.</w:t>
      </w:r>
      <w:r w:rsidR="00C439D1" w:rsidRPr="004842AA">
        <w:rPr>
          <w:rStyle w:val="FootnoteReference"/>
          <w:rFonts w:ascii="Times New Roman" w:hAnsi="Times New Roman" w:cs="Times New Roman"/>
        </w:rPr>
        <w:footnoteReference w:id="186"/>
      </w:r>
      <w:r w:rsidR="00C439D1" w:rsidRPr="004842AA">
        <w:rPr>
          <w:rFonts w:ascii="Times New Roman" w:hAnsi="Times New Roman" w:cs="Times New Roman"/>
        </w:rPr>
        <w:t xml:space="preserve">  A f</w:t>
      </w:r>
      <w:r w:rsidR="00CD55F5" w:rsidRPr="004842AA">
        <w:rPr>
          <w:rFonts w:ascii="Times New Roman" w:hAnsi="Times New Roman" w:cs="Times New Roman"/>
        </w:rPr>
        <w:t xml:space="preserve">ootnote </w:t>
      </w:r>
      <w:r w:rsidR="00C439D1" w:rsidRPr="004842AA">
        <w:rPr>
          <w:rFonts w:ascii="Times New Roman" w:hAnsi="Times New Roman" w:cs="Times New Roman"/>
        </w:rPr>
        <w:t>then provides that “[</w:t>
      </w:r>
      <w:proofErr w:type="gramStart"/>
      <w:r w:rsidR="00C439D1" w:rsidRPr="004842AA">
        <w:rPr>
          <w:rFonts w:ascii="Times New Roman" w:hAnsi="Times New Roman" w:cs="Times New Roman"/>
        </w:rPr>
        <w:t>t]</w:t>
      </w:r>
      <w:r w:rsidR="00CD55F5" w:rsidRPr="004842AA">
        <w:rPr>
          <w:rFonts w:ascii="Times New Roman" w:hAnsi="Times New Roman" w:cs="Times New Roman"/>
        </w:rPr>
        <w:t>he</w:t>
      </w:r>
      <w:proofErr w:type="gramEnd"/>
      <w:r w:rsidR="00CD55F5" w:rsidRPr="004842AA">
        <w:rPr>
          <w:rFonts w:ascii="Times New Roman" w:hAnsi="Times New Roman" w:cs="Times New Roman"/>
        </w:rPr>
        <w:t xml:space="preserve"> Union will notify the other parties to these agreements that during the transition period the UK is to be treated as a Member State for the purposes of these agreements”</w:t>
      </w:r>
      <w:r w:rsidR="00C439D1" w:rsidRPr="004842AA">
        <w:rPr>
          <w:rFonts w:ascii="Times New Roman" w:hAnsi="Times New Roman" w:cs="Times New Roman"/>
        </w:rPr>
        <w:t>.</w:t>
      </w:r>
      <w:r w:rsidR="00C439D1" w:rsidRPr="004842AA">
        <w:rPr>
          <w:rStyle w:val="FootnoteReference"/>
          <w:rFonts w:ascii="Times New Roman" w:hAnsi="Times New Roman" w:cs="Times New Roman"/>
        </w:rPr>
        <w:footnoteReference w:id="187"/>
      </w:r>
      <w:r w:rsidR="00C439D1" w:rsidRPr="004842AA">
        <w:rPr>
          <w:rFonts w:ascii="Times New Roman" w:hAnsi="Times New Roman" w:cs="Times New Roman"/>
        </w:rPr>
        <w:t xml:space="preserve">  Yet a </w:t>
      </w:r>
      <w:r w:rsidR="00CD55F5" w:rsidRPr="004842AA">
        <w:rPr>
          <w:rFonts w:ascii="Times New Roman" w:hAnsi="Times New Roman" w:cs="Times New Roman"/>
        </w:rPr>
        <w:t xml:space="preserve">purely bilateral </w:t>
      </w:r>
      <w:r w:rsidR="00C439D1" w:rsidRPr="004842AA">
        <w:rPr>
          <w:rFonts w:ascii="Times New Roman" w:hAnsi="Times New Roman" w:cs="Times New Roman"/>
        </w:rPr>
        <w:t xml:space="preserve">agreement between the </w:t>
      </w:r>
      <w:r w:rsidR="00CD55F5" w:rsidRPr="004842AA">
        <w:rPr>
          <w:rFonts w:ascii="Times New Roman" w:hAnsi="Times New Roman" w:cs="Times New Roman"/>
        </w:rPr>
        <w:t>Union</w:t>
      </w:r>
      <w:r w:rsidR="00C439D1" w:rsidRPr="004842AA">
        <w:rPr>
          <w:rFonts w:ascii="Times New Roman" w:hAnsi="Times New Roman" w:cs="Times New Roman"/>
        </w:rPr>
        <w:t xml:space="preserve"> and the </w:t>
      </w:r>
      <w:r w:rsidR="00CD55F5" w:rsidRPr="004842AA">
        <w:rPr>
          <w:rFonts w:ascii="Times New Roman" w:hAnsi="Times New Roman" w:cs="Times New Roman"/>
        </w:rPr>
        <w:t xml:space="preserve">UK </w:t>
      </w:r>
      <w:r w:rsidR="00C439D1" w:rsidRPr="004842AA">
        <w:rPr>
          <w:rFonts w:ascii="Times New Roman" w:hAnsi="Times New Roman" w:cs="Times New Roman"/>
        </w:rPr>
        <w:t xml:space="preserve">was no guarantee that </w:t>
      </w:r>
      <w:r w:rsidR="00CD55F5" w:rsidRPr="004842AA">
        <w:rPr>
          <w:rFonts w:ascii="Times New Roman" w:hAnsi="Times New Roman" w:cs="Times New Roman"/>
        </w:rPr>
        <w:t>third countries</w:t>
      </w:r>
      <w:r w:rsidR="00C439D1" w:rsidRPr="004842AA">
        <w:rPr>
          <w:rFonts w:ascii="Times New Roman" w:hAnsi="Times New Roman" w:cs="Times New Roman"/>
        </w:rPr>
        <w:t xml:space="preserve"> would automatically consent to </w:t>
      </w:r>
      <w:r w:rsidR="00CD55F5" w:rsidRPr="004842AA">
        <w:rPr>
          <w:rFonts w:ascii="Times New Roman" w:hAnsi="Times New Roman" w:cs="Times New Roman"/>
        </w:rPr>
        <w:t xml:space="preserve">maintain </w:t>
      </w:r>
      <w:r w:rsidR="00C439D1" w:rsidRPr="004842AA">
        <w:rPr>
          <w:rFonts w:ascii="Times New Roman" w:hAnsi="Times New Roman" w:cs="Times New Roman"/>
        </w:rPr>
        <w:t xml:space="preserve">the </w:t>
      </w:r>
      <w:r w:rsidR="00CD55F5" w:rsidRPr="004842AA">
        <w:rPr>
          <w:rFonts w:ascii="Times New Roman" w:hAnsi="Times New Roman" w:cs="Times New Roman"/>
        </w:rPr>
        <w:t xml:space="preserve">legal effects of existing international agreements in their relations with </w:t>
      </w:r>
      <w:r w:rsidR="00C439D1" w:rsidRPr="004842AA">
        <w:rPr>
          <w:rFonts w:ascii="Times New Roman" w:hAnsi="Times New Roman" w:cs="Times New Roman"/>
        </w:rPr>
        <w:t xml:space="preserve">the </w:t>
      </w:r>
      <w:r w:rsidR="00CD55F5" w:rsidRPr="004842AA">
        <w:rPr>
          <w:rFonts w:ascii="Times New Roman" w:hAnsi="Times New Roman" w:cs="Times New Roman"/>
        </w:rPr>
        <w:t>post-withdrawal UK</w:t>
      </w:r>
      <w:r w:rsidR="00C439D1" w:rsidRPr="004842AA">
        <w:rPr>
          <w:rFonts w:ascii="Times New Roman" w:hAnsi="Times New Roman" w:cs="Times New Roman"/>
        </w:rPr>
        <w:t xml:space="preserve">.  Indeed, there might be </w:t>
      </w:r>
      <w:r w:rsidR="00AF49A9" w:rsidRPr="004842AA">
        <w:rPr>
          <w:rFonts w:ascii="Times New Roman" w:hAnsi="Times New Roman" w:cs="Times New Roman"/>
        </w:rPr>
        <w:t xml:space="preserve">political and / or economic </w:t>
      </w:r>
      <w:r w:rsidR="00C439D1" w:rsidRPr="004842AA">
        <w:rPr>
          <w:rFonts w:ascii="Times New Roman" w:hAnsi="Times New Roman" w:cs="Times New Roman"/>
        </w:rPr>
        <w:t>incentives to do otherwise</w:t>
      </w:r>
      <w:r w:rsidR="00AF49A9" w:rsidRPr="004842AA">
        <w:rPr>
          <w:rFonts w:ascii="Times New Roman" w:hAnsi="Times New Roman" w:cs="Times New Roman"/>
        </w:rPr>
        <w:t>:</w:t>
      </w:r>
      <w:r w:rsidR="00C439D1" w:rsidRPr="004842AA">
        <w:rPr>
          <w:rFonts w:ascii="Times New Roman" w:hAnsi="Times New Roman" w:cs="Times New Roman"/>
        </w:rPr>
        <w:t xml:space="preserve"> for example, </w:t>
      </w:r>
      <w:r w:rsidR="0064508C">
        <w:rPr>
          <w:rFonts w:ascii="Times New Roman" w:hAnsi="Times New Roman" w:cs="Times New Roman"/>
        </w:rPr>
        <w:t xml:space="preserve">if </w:t>
      </w:r>
      <w:r w:rsidR="004F5415">
        <w:rPr>
          <w:rFonts w:ascii="Times New Roman" w:hAnsi="Times New Roman" w:cs="Times New Roman"/>
        </w:rPr>
        <w:t>some</w:t>
      </w:r>
      <w:r w:rsidR="0064508C">
        <w:rPr>
          <w:rFonts w:ascii="Times New Roman" w:hAnsi="Times New Roman" w:cs="Times New Roman"/>
        </w:rPr>
        <w:t xml:space="preserve"> </w:t>
      </w:r>
      <w:r w:rsidR="004F5415">
        <w:rPr>
          <w:rFonts w:ascii="Times New Roman" w:hAnsi="Times New Roman" w:cs="Times New Roman"/>
        </w:rPr>
        <w:t xml:space="preserve">other </w:t>
      </w:r>
      <w:r w:rsidR="0064508C">
        <w:rPr>
          <w:rFonts w:ascii="Times New Roman" w:hAnsi="Times New Roman" w:cs="Times New Roman"/>
        </w:rPr>
        <w:t>third country were to treat</w:t>
      </w:r>
      <w:r w:rsidR="00AF49A9" w:rsidRPr="004842AA">
        <w:rPr>
          <w:rFonts w:ascii="Times New Roman" w:hAnsi="Times New Roman" w:cs="Times New Roman"/>
        </w:rPr>
        <w:t xml:space="preserve"> withdrawal </w:t>
      </w:r>
      <w:r w:rsidR="00C439D1" w:rsidRPr="004842AA">
        <w:rPr>
          <w:rFonts w:ascii="Times New Roman" w:hAnsi="Times New Roman" w:cs="Times New Roman"/>
        </w:rPr>
        <w:t xml:space="preserve">as </w:t>
      </w:r>
      <w:r w:rsidR="0064508C">
        <w:rPr>
          <w:rFonts w:ascii="Times New Roman" w:hAnsi="Times New Roman" w:cs="Times New Roman"/>
        </w:rPr>
        <w:t xml:space="preserve">a convenient </w:t>
      </w:r>
      <w:r w:rsidR="00AF49A9" w:rsidRPr="004842AA">
        <w:rPr>
          <w:rFonts w:ascii="Times New Roman" w:hAnsi="Times New Roman" w:cs="Times New Roman"/>
        </w:rPr>
        <w:t>opportunity to exert</w:t>
      </w:r>
      <w:r w:rsidR="00C439D1" w:rsidRPr="004842AA">
        <w:rPr>
          <w:rFonts w:ascii="Times New Roman" w:hAnsi="Times New Roman" w:cs="Times New Roman"/>
        </w:rPr>
        <w:t xml:space="preserve"> pressure </w:t>
      </w:r>
      <w:r w:rsidR="004F5415">
        <w:rPr>
          <w:rFonts w:ascii="Times New Roman" w:hAnsi="Times New Roman" w:cs="Times New Roman"/>
        </w:rPr>
        <w:t xml:space="preserve">on and / or </w:t>
      </w:r>
      <w:r w:rsidR="00C439D1" w:rsidRPr="004842AA">
        <w:rPr>
          <w:rFonts w:ascii="Times New Roman" w:hAnsi="Times New Roman" w:cs="Times New Roman"/>
        </w:rPr>
        <w:t xml:space="preserve">renegotiate terms with either the UK or the Union.  The success of the Agreement’s approach to existing external agreements therefore depended on the parties’ ability to </w:t>
      </w:r>
      <w:r w:rsidR="00CD55F5" w:rsidRPr="004842AA">
        <w:rPr>
          <w:rFonts w:ascii="Times New Roman" w:hAnsi="Times New Roman" w:cs="Times New Roman"/>
        </w:rPr>
        <w:t xml:space="preserve">persuade </w:t>
      </w:r>
      <w:r w:rsidR="0064508C">
        <w:rPr>
          <w:rFonts w:ascii="Times New Roman" w:hAnsi="Times New Roman" w:cs="Times New Roman"/>
        </w:rPr>
        <w:t xml:space="preserve">their other </w:t>
      </w:r>
      <w:r w:rsidR="00C439D1" w:rsidRPr="004842AA">
        <w:rPr>
          <w:rFonts w:ascii="Times New Roman" w:hAnsi="Times New Roman" w:cs="Times New Roman"/>
        </w:rPr>
        <w:t xml:space="preserve">international partners </w:t>
      </w:r>
      <w:r w:rsidR="00CD55F5" w:rsidRPr="004842AA">
        <w:rPr>
          <w:rFonts w:ascii="Times New Roman" w:hAnsi="Times New Roman" w:cs="Times New Roman"/>
        </w:rPr>
        <w:t xml:space="preserve">to acquiesce in </w:t>
      </w:r>
      <w:r w:rsidR="00C439D1" w:rsidRPr="004842AA">
        <w:rPr>
          <w:rFonts w:ascii="Times New Roman" w:hAnsi="Times New Roman" w:cs="Times New Roman"/>
        </w:rPr>
        <w:t xml:space="preserve">the </w:t>
      </w:r>
      <w:r w:rsidR="00AF49A9" w:rsidRPr="004842AA">
        <w:rPr>
          <w:rFonts w:ascii="Times New Roman" w:hAnsi="Times New Roman" w:cs="Times New Roman"/>
        </w:rPr>
        <w:t xml:space="preserve">assumptions underpinning </w:t>
      </w:r>
      <w:r w:rsidR="004F5415">
        <w:rPr>
          <w:rFonts w:ascii="Times New Roman" w:hAnsi="Times New Roman" w:cs="Times New Roman"/>
        </w:rPr>
        <w:t xml:space="preserve">the </w:t>
      </w:r>
      <w:r w:rsidR="00CD55F5" w:rsidRPr="004842AA">
        <w:rPr>
          <w:rFonts w:ascii="Times New Roman" w:hAnsi="Times New Roman" w:cs="Times New Roman"/>
        </w:rPr>
        <w:t>post-withdrawal</w:t>
      </w:r>
      <w:r w:rsidR="00C439D1" w:rsidRPr="004842AA">
        <w:rPr>
          <w:rFonts w:ascii="Times New Roman" w:hAnsi="Times New Roman" w:cs="Times New Roman"/>
        </w:rPr>
        <w:t>,</w:t>
      </w:r>
      <w:r w:rsidR="00CD55F5" w:rsidRPr="004842AA">
        <w:rPr>
          <w:rFonts w:ascii="Times New Roman" w:hAnsi="Times New Roman" w:cs="Times New Roman"/>
        </w:rPr>
        <w:t xml:space="preserve"> status quo transition</w:t>
      </w:r>
      <w:r w:rsidR="00C439D1" w:rsidRPr="004842AA">
        <w:rPr>
          <w:rFonts w:ascii="Times New Roman" w:hAnsi="Times New Roman" w:cs="Times New Roman"/>
        </w:rPr>
        <w:t>.</w:t>
      </w:r>
      <w:r w:rsidR="00C439D1" w:rsidRPr="004842AA">
        <w:rPr>
          <w:rStyle w:val="FootnoteReference"/>
          <w:rFonts w:ascii="Times New Roman" w:hAnsi="Times New Roman" w:cs="Times New Roman"/>
        </w:rPr>
        <w:footnoteReference w:id="188"/>
      </w:r>
    </w:p>
    <w:p w14:paraId="66967B59" w14:textId="77777777" w:rsidR="00CD55F5" w:rsidRPr="004842AA" w:rsidRDefault="00CD55F5" w:rsidP="004842AA">
      <w:pPr>
        <w:rPr>
          <w:rFonts w:ascii="Times New Roman" w:hAnsi="Times New Roman" w:cs="Times New Roman"/>
          <w:highlight w:val="yellow"/>
        </w:rPr>
      </w:pPr>
    </w:p>
    <w:p w14:paraId="07544598" w14:textId="52F6430B" w:rsidR="00AF49A9" w:rsidRPr="004842AA" w:rsidRDefault="00AF49A9" w:rsidP="004842AA">
      <w:pPr>
        <w:rPr>
          <w:rFonts w:ascii="Times New Roman" w:hAnsi="Times New Roman" w:cs="Times New Roman"/>
          <w:i/>
        </w:rPr>
      </w:pPr>
      <w:r w:rsidRPr="004842AA">
        <w:rPr>
          <w:rFonts w:ascii="Times New Roman" w:hAnsi="Times New Roman" w:cs="Times New Roman"/>
          <w:i/>
        </w:rPr>
        <w:t xml:space="preserve">3.2.4. </w:t>
      </w:r>
      <w:r w:rsidRPr="004842AA">
        <w:rPr>
          <w:rFonts w:ascii="Times New Roman" w:hAnsi="Times New Roman" w:cs="Times New Roman"/>
          <w:i/>
        </w:rPr>
        <w:tab/>
      </w:r>
      <w:proofErr w:type="gramStart"/>
      <w:r w:rsidRPr="004842AA">
        <w:rPr>
          <w:rFonts w:ascii="Times New Roman" w:hAnsi="Times New Roman" w:cs="Times New Roman"/>
          <w:i/>
        </w:rPr>
        <w:t>At</w:t>
      </w:r>
      <w:proofErr w:type="gramEnd"/>
      <w:r w:rsidRPr="004842AA">
        <w:rPr>
          <w:rFonts w:ascii="Times New Roman" w:hAnsi="Times New Roman" w:cs="Times New Roman"/>
          <w:i/>
        </w:rPr>
        <w:t xml:space="preserve"> the end of transition</w:t>
      </w:r>
    </w:p>
    <w:p w14:paraId="4786BD0C" w14:textId="77777777" w:rsidR="00CD55F5" w:rsidRPr="004842AA" w:rsidRDefault="00CD55F5" w:rsidP="004842AA">
      <w:pPr>
        <w:jc w:val="both"/>
        <w:rPr>
          <w:rFonts w:ascii="Times New Roman" w:hAnsi="Times New Roman" w:cs="Times New Roman"/>
          <w:highlight w:val="green"/>
        </w:rPr>
      </w:pPr>
    </w:p>
    <w:p w14:paraId="7D0C4F12" w14:textId="77777777" w:rsidR="00736492" w:rsidRDefault="007604E6" w:rsidP="004842AA">
      <w:pPr>
        <w:jc w:val="both"/>
        <w:rPr>
          <w:rFonts w:ascii="Times New Roman" w:hAnsi="Times New Roman" w:cs="Times New Roman"/>
        </w:rPr>
      </w:pPr>
      <w:r w:rsidRPr="004842AA">
        <w:rPr>
          <w:rFonts w:ascii="Times New Roman" w:hAnsi="Times New Roman" w:cs="Times New Roman"/>
        </w:rPr>
        <w:t>A</w:t>
      </w:r>
      <w:r w:rsidR="00E75939" w:rsidRPr="004842AA">
        <w:rPr>
          <w:rFonts w:ascii="Times New Roman" w:hAnsi="Times New Roman" w:cs="Times New Roman"/>
        </w:rPr>
        <w:t xml:space="preserve">t </w:t>
      </w:r>
      <w:r w:rsidRPr="004842AA">
        <w:rPr>
          <w:rFonts w:ascii="Times New Roman" w:hAnsi="Times New Roman" w:cs="Times New Roman"/>
        </w:rPr>
        <w:t xml:space="preserve">the </w:t>
      </w:r>
      <w:r w:rsidR="00E75939" w:rsidRPr="004842AA">
        <w:rPr>
          <w:rFonts w:ascii="Times New Roman" w:hAnsi="Times New Roman" w:cs="Times New Roman"/>
        </w:rPr>
        <w:t xml:space="preserve">end of </w:t>
      </w:r>
      <w:r w:rsidR="006861A1">
        <w:rPr>
          <w:rFonts w:ascii="Times New Roman" w:hAnsi="Times New Roman" w:cs="Times New Roman"/>
        </w:rPr>
        <w:t>the transition</w:t>
      </w:r>
      <w:r w:rsidRPr="004842AA">
        <w:rPr>
          <w:rFonts w:ascii="Times New Roman" w:hAnsi="Times New Roman" w:cs="Times New Roman"/>
        </w:rPr>
        <w:t xml:space="preserve"> period, </w:t>
      </w:r>
      <w:r w:rsidR="00E75939" w:rsidRPr="004842AA">
        <w:rPr>
          <w:rFonts w:ascii="Times New Roman" w:hAnsi="Times New Roman" w:cs="Times New Roman"/>
        </w:rPr>
        <w:t xml:space="preserve">whether </w:t>
      </w:r>
      <w:r w:rsidRPr="004842AA">
        <w:rPr>
          <w:rFonts w:ascii="Times New Roman" w:hAnsi="Times New Roman" w:cs="Times New Roman"/>
        </w:rPr>
        <w:t xml:space="preserve">or not it is extended in accordance with Article 132 WA, the </w:t>
      </w:r>
      <w:r w:rsidR="00E75939" w:rsidRPr="004842AA">
        <w:rPr>
          <w:rFonts w:ascii="Times New Roman" w:hAnsi="Times New Roman" w:cs="Times New Roman"/>
        </w:rPr>
        <w:t xml:space="preserve">UK will </w:t>
      </w:r>
      <w:r w:rsidRPr="004842AA">
        <w:rPr>
          <w:rFonts w:ascii="Times New Roman" w:hAnsi="Times New Roman" w:cs="Times New Roman"/>
        </w:rPr>
        <w:t xml:space="preserve">finally </w:t>
      </w:r>
      <w:r w:rsidR="00546E02" w:rsidRPr="004842AA">
        <w:rPr>
          <w:rFonts w:ascii="Times New Roman" w:hAnsi="Times New Roman" w:cs="Times New Roman"/>
        </w:rPr>
        <w:t>experience what it really means</w:t>
      </w:r>
      <w:r w:rsidRPr="004842AA">
        <w:rPr>
          <w:rFonts w:ascii="Times New Roman" w:hAnsi="Times New Roman" w:cs="Times New Roman"/>
        </w:rPr>
        <w:t xml:space="preserve"> to become</w:t>
      </w:r>
      <w:r w:rsidR="00E75939" w:rsidRPr="004842AA">
        <w:rPr>
          <w:rFonts w:ascii="Times New Roman" w:hAnsi="Times New Roman" w:cs="Times New Roman"/>
        </w:rPr>
        <w:t xml:space="preserve"> </w:t>
      </w:r>
      <w:r w:rsidRPr="004842AA">
        <w:rPr>
          <w:rFonts w:ascii="Times New Roman" w:hAnsi="Times New Roman" w:cs="Times New Roman"/>
        </w:rPr>
        <w:t xml:space="preserve">a </w:t>
      </w:r>
      <w:r w:rsidR="00E75939" w:rsidRPr="004842AA">
        <w:rPr>
          <w:rFonts w:ascii="Times New Roman" w:hAnsi="Times New Roman" w:cs="Times New Roman"/>
        </w:rPr>
        <w:t>third country</w:t>
      </w:r>
      <w:r w:rsidRPr="004842AA">
        <w:rPr>
          <w:rFonts w:ascii="Times New Roman" w:hAnsi="Times New Roman" w:cs="Times New Roman"/>
        </w:rPr>
        <w:t xml:space="preserve">.  </w:t>
      </w:r>
    </w:p>
    <w:p w14:paraId="53012CC6" w14:textId="4582C8EE" w:rsidR="00C40883" w:rsidRDefault="00736492" w:rsidP="00736492">
      <w:pPr>
        <w:ind w:firstLine="720"/>
        <w:jc w:val="both"/>
        <w:rPr>
          <w:rFonts w:ascii="Times New Roman" w:hAnsi="Times New Roman" w:cs="Times New Roman"/>
        </w:rPr>
      </w:pPr>
      <w:r w:rsidRPr="00C115DE">
        <w:rPr>
          <w:rFonts w:ascii="Times New Roman" w:hAnsi="Times New Roman" w:cs="Times New Roman"/>
        </w:rPr>
        <w:lastRenderedPageBreak/>
        <w:t xml:space="preserve">Of course, the UK </w:t>
      </w:r>
      <w:r w:rsidR="007604E6" w:rsidRPr="00C115DE">
        <w:rPr>
          <w:rFonts w:ascii="Times New Roman" w:hAnsi="Times New Roman" w:cs="Times New Roman"/>
        </w:rPr>
        <w:t>will remain bound by its obligations under the Agreement</w:t>
      </w:r>
      <w:r w:rsidR="00256D9D" w:rsidRPr="00C115DE">
        <w:rPr>
          <w:rFonts w:ascii="Times New Roman" w:hAnsi="Times New Roman" w:cs="Times New Roman"/>
        </w:rPr>
        <w:t>,</w:t>
      </w:r>
      <w:r w:rsidR="007604E6" w:rsidRPr="00C115DE">
        <w:rPr>
          <w:rFonts w:ascii="Times New Roman" w:hAnsi="Times New Roman" w:cs="Times New Roman"/>
        </w:rPr>
        <w:t xml:space="preserve"> many of whose provisions will </w:t>
      </w:r>
      <w:r w:rsidR="00033F8B" w:rsidRPr="00C115DE">
        <w:rPr>
          <w:rFonts w:ascii="Times New Roman" w:hAnsi="Times New Roman" w:cs="Times New Roman"/>
        </w:rPr>
        <w:t xml:space="preserve">only </w:t>
      </w:r>
      <w:r w:rsidR="007604E6" w:rsidRPr="00C115DE">
        <w:rPr>
          <w:rFonts w:ascii="Times New Roman" w:hAnsi="Times New Roman" w:cs="Times New Roman"/>
        </w:rPr>
        <w:t xml:space="preserve">then become </w:t>
      </w:r>
      <w:r w:rsidR="00546E02" w:rsidRPr="00C115DE">
        <w:rPr>
          <w:rFonts w:ascii="Times New Roman" w:hAnsi="Times New Roman" w:cs="Times New Roman"/>
        </w:rPr>
        <w:t xml:space="preserve">fully </w:t>
      </w:r>
      <w:r w:rsidR="007604E6" w:rsidRPr="00C115DE">
        <w:rPr>
          <w:rFonts w:ascii="Times New Roman" w:hAnsi="Times New Roman" w:cs="Times New Roman"/>
        </w:rPr>
        <w:t xml:space="preserve">effective: for example, the </w:t>
      </w:r>
      <w:r w:rsidR="002B1375" w:rsidRPr="00C115DE">
        <w:rPr>
          <w:rFonts w:ascii="Times New Roman" w:hAnsi="Times New Roman" w:cs="Times New Roman"/>
        </w:rPr>
        <w:t xml:space="preserve">future </w:t>
      </w:r>
      <w:r w:rsidR="007604E6" w:rsidRPr="00C115DE">
        <w:rPr>
          <w:rFonts w:ascii="Times New Roman" w:hAnsi="Times New Roman" w:cs="Times New Roman"/>
        </w:rPr>
        <w:t xml:space="preserve">protection of citizens’ rights and the regime governing the </w:t>
      </w:r>
      <w:r w:rsidR="006A233E">
        <w:rPr>
          <w:rFonts w:ascii="Times New Roman" w:hAnsi="Times New Roman" w:cs="Times New Roman"/>
        </w:rPr>
        <w:t xml:space="preserve">Irish </w:t>
      </w:r>
      <w:r w:rsidR="007604E6" w:rsidRPr="00C115DE">
        <w:rPr>
          <w:rFonts w:ascii="Times New Roman" w:hAnsi="Times New Roman" w:cs="Times New Roman"/>
        </w:rPr>
        <w:t>border</w:t>
      </w:r>
      <w:r w:rsidRPr="00C115DE">
        <w:rPr>
          <w:rFonts w:ascii="Times New Roman" w:hAnsi="Times New Roman" w:cs="Times New Roman"/>
        </w:rPr>
        <w:t>;</w:t>
      </w:r>
      <w:r w:rsidR="00081A7A" w:rsidRPr="00C115DE">
        <w:rPr>
          <w:rStyle w:val="FootnoteReference"/>
          <w:rFonts w:ascii="Times New Roman" w:hAnsi="Times New Roman" w:cs="Times New Roman"/>
        </w:rPr>
        <w:footnoteReference w:id="189"/>
      </w:r>
      <w:r w:rsidRPr="00C115DE">
        <w:rPr>
          <w:rFonts w:ascii="Times New Roman" w:hAnsi="Times New Roman" w:cs="Times New Roman"/>
        </w:rPr>
        <w:t xml:space="preserve"> as well as the “other separation provisions” </w:t>
      </w:r>
      <w:r w:rsidR="006A233E">
        <w:rPr>
          <w:rFonts w:ascii="Times New Roman" w:hAnsi="Times New Roman" w:cs="Times New Roman"/>
        </w:rPr>
        <w:t>concerning</w:t>
      </w:r>
      <w:r w:rsidRPr="00C115DE">
        <w:rPr>
          <w:rFonts w:ascii="Times New Roman" w:hAnsi="Times New Roman" w:cs="Times New Roman"/>
        </w:rPr>
        <w:t xml:space="preserve"> </w:t>
      </w:r>
      <w:r w:rsidR="00256D9D" w:rsidRPr="00C115DE">
        <w:rPr>
          <w:rFonts w:ascii="Times New Roman" w:hAnsi="Times New Roman" w:cs="Times New Roman"/>
        </w:rPr>
        <w:t>(</w:t>
      </w:r>
      <w:r w:rsidR="00256D9D" w:rsidRPr="00C115DE">
        <w:rPr>
          <w:rFonts w:ascii="Times New Roman" w:hAnsi="Times New Roman" w:cs="Times New Roman"/>
          <w:i/>
        </w:rPr>
        <w:t>inter alia</w:t>
      </w:r>
      <w:r w:rsidR="00256D9D" w:rsidRPr="00C115DE">
        <w:rPr>
          <w:rFonts w:ascii="Times New Roman" w:hAnsi="Times New Roman" w:cs="Times New Roman"/>
        </w:rPr>
        <w:t xml:space="preserve">) the customs treatment of goods </w:t>
      </w:r>
      <w:r w:rsidR="00C115DE" w:rsidRPr="00C115DE">
        <w:rPr>
          <w:rFonts w:ascii="Times New Roman" w:hAnsi="Times New Roman" w:cs="Times New Roman"/>
        </w:rPr>
        <w:t xml:space="preserve">currently </w:t>
      </w:r>
      <w:r w:rsidR="00256D9D" w:rsidRPr="00C115DE">
        <w:rPr>
          <w:rFonts w:ascii="Times New Roman" w:hAnsi="Times New Roman" w:cs="Times New Roman"/>
        </w:rPr>
        <w:t xml:space="preserve">moving between the Union and UK territories, </w:t>
      </w:r>
      <w:r w:rsidR="00C40883" w:rsidRPr="00C115DE">
        <w:rPr>
          <w:rFonts w:ascii="Times New Roman" w:hAnsi="Times New Roman" w:cs="Times New Roman"/>
        </w:rPr>
        <w:t xml:space="preserve">the </w:t>
      </w:r>
      <w:r w:rsidR="00C115DE" w:rsidRPr="00C115DE">
        <w:rPr>
          <w:rFonts w:ascii="Times New Roman" w:hAnsi="Times New Roman" w:cs="Times New Roman"/>
        </w:rPr>
        <w:t xml:space="preserve">final </w:t>
      </w:r>
      <w:r w:rsidR="00C40883" w:rsidRPr="00C115DE">
        <w:rPr>
          <w:rFonts w:ascii="Times New Roman" w:hAnsi="Times New Roman" w:cs="Times New Roman"/>
        </w:rPr>
        <w:t>winding-up of ongoing Union proceedings involving UK actors</w:t>
      </w:r>
      <w:r w:rsidR="00256D9D" w:rsidRPr="00C115DE">
        <w:rPr>
          <w:rFonts w:ascii="Times New Roman" w:hAnsi="Times New Roman" w:cs="Times New Roman"/>
        </w:rPr>
        <w:t xml:space="preserve"> in the field of cross-border criminal cooperation, </w:t>
      </w:r>
      <w:r w:rsidR="00C115DE" w:rsidRPr="00C115DE">
        <w:rPr>
          <w:rFonts w:ascii="Times New Roman" w:hAnsi="Times New Roman" w:cs="Times New Roman"/>
        </w:rPr>
        <w:t xml:space="preserve">the protection of personal data processed before the end of transition or in accordance with the Agreement itself, or determining the </w:t>
      </w:r>
      <w:r w:rsidR="00C40883" w:rsidRPr="00C115DE">
        <w:rPr>
          <w:rFonts w:ascii="Times New Roman" w:hAnsi="Times New Roman" w:cs="Times New Roman"/>
        </w:rPr>
        <w:t>ownership, rights of use and consumption of special fissile materials upon the UK’s full</w:t>
      </w:r>
      <w:r w:rsidR="00C115DE" w:rsidRPr="00C115DE">
        <w:rPr>
          <w:rFonts w:ascii="Times New Roman" w:hAnsi="Times New Roman" w:cs="Times New Roman"/>
        </w:rPr>
        <w:t xml:space="preserve"> extraction from </w:t>
      </w:r>
      <w:proofErr w:type="spellStart"/>
      <w:r w:rsidR="00C115DE" w:rsidRPr="00C115DE">
        <w:rPr>
          <w:rFonts w:ascii="Times New Roman" w:hAnsi="Times New Roman" w:cs="Times New Roman"/>
        </w:rPr>
        <w:t>Euratom</w:t>
      </w:r>
      <w:proofErr w:type="spellEnd"/>
      <w:r w:rsidR="00C115DE" w:rsidRPr="00C115DE">
        <w:rPr>
          <w:rFonts w:ascii="Times New Roman" w:hAnsi="Times New Roman" w:cs="Times New Roman"/>
        </w:rPr>
        <w:t>.</w:t>
      </w:r>
      <w:r w:rsidR="00C115DE">
        <w:rPr>
          <w:rStyle w:val="FootnoteReference"/>
          <w:rFonts w:ascii="Times New Roman" w:hAnsi="Times New Roman" w:cs="Times New Roman"/>
        </w:rPr>
        <w:footnoteReference w:id="190"/>
      </w:r>
      <w:r w:rsidR="00C40883">
        <w:rPr>
          <w:rFonts w:ascii="Times New Roman" w:hAnsi="Times New Roman" w:cs="Times New Roman"/>
        </w:rPr>
        <w:t xml:space="preserve">  </w:t>
      </w:r>
    </w:p>
    <w:p w14:paraId="069A630E" w14:textId="456327BB" w:rsidR="0016421F" w:rsidRPr="004842AA" w:rsidRDefault="007604E6" w:rsidP="00C40883">
      <w:pPr>
        <w:ind w:firstLine="720"/>
        <w:jc w:val="both"/>
        <w:rPr>
          <w:rFonts w:ascii="Times New Roman" w:hAnsi="Times New Roman" w:cs="Times New Roman"/>
          <w:highlight w:val="green"/>
        </w:rPr>
      </w:pPr>
      <w:r w:rsidRPr="004842AA">
        <w:rPr>
          <w:rFonts w:ascii="Times New Roman" w:hAnsi="Times New Roman" w:cs="Times New Roman"/>
        </w:rPr>
        <w:t xml:space="preserve">Otherwise, the UK will find its relations, not only with the EU but also with every </w:t>
      </w:r>
      <w:r w:rsidR="00546E02" w:rsidRPr="004842AA">
        <w:rPr>
          <w:rFonts w:ascii="Times New Roman" w:hAnsi="Times New Roman" w:cs="Times New Roman"/>
        </w:rPr>
        <w:t xml:space="preserve">other </w:t>
      </w:r>
      <w:r w:rsidRPr="004842AA">
        <w:rPr>
          <w:rFonts w:ascii="Times New Roman" w:hAnsi="Times New Roman" w:cs="Times New Roman"/>
        </w:rPr>
        <w:t xml:space="preserve">international actor, governed by whatever multilateral and bilateral </w:t>
      </w:r>
      <w:proofErr w:type="gramStart"/>
      <w:r w:rsidRPr="004842AA">
        <w:rPr>
          <w:rFonts w:ascii="Times New Roman" w:hAnsi="Times New Roman" w:cs="Times New Roman"/>
        </w:rPr>
        <w:t>arrangements that</w:t>
      </w:r>
      <w:proofErr w:type="gramEnd"/>
      <w:r w:rsidRPr="004842AA">
        <w:rPr>
          <w:rFonts w:ascii="Times New Roman" w:hAnsi="Times New Roman" w:cs="Times New Roman"/>
        </w:rPr>
        <w:t xml:space="preserve"> do continue to exist or are created de novo under international law.</w:t>
      </w:r>
      <w:r w:rsidR="00081A7A">
        <w:rPr>
          <w:rStyle w:val="FootnoteReference"/>
          <w:rFonts w:ascii="Times New Roman" w:hAnsi="Times New Roman" w:cs="Times New Roman"/>
        </w:rPr>
        <w:footnoteReference w:id="191"/>
      </w:r>
      <w:r w:rsidRPr="004842AA">
        <w:rPr>
          <w:rFonts w:ascii="Times New Roman" w:hAnsi="Times New Roman" w:cs="Times New Roman"/>
        </w:rPr>
        <w:t xml:space="preserve">  </w:t>
      </w:r>
      <w:r w:rsidR="00546E02" w:rsidRPr="004842AA">
        <w:rPr>
          <w:rFonts w:ascii="Times New Roman" w:hAnsi="Times New Roman" w:cs="Times New Roman"/>
        </w:rPr>
        <w:t>Moreover, we</w:t>
      </w:r>
      <w:r w:rsidRPr="004842AA">
        <w:rPr>
          <w:rFonts w:ascii="Times New Roman" w:hAnsi="Times New Roman" w:cs="Times New Roman"/>
        </w:rPr>
        <w:t xml:space="preserve"> will discover whether the 11 months of additional time afforded by transition were indeed sufficient for public and private actors to complete their preparations for the internal consequences of UK withdrawal.  And in due course, commentators will be able to assess whether Theresa May was right to warn against the costs </w:t>
      </w:r>
      <w:r w:rsidR="00546E02" w:rsidRPr="004842AA">
        <w:rPr>
          <w:rFonts w:ascii="Times New Roman" w:hAnsi="Times New Roman" w:cs="Times New Roman"/>
        </w:rPr>
        <w:t xml:space="preserve">of </w:t>
      </w:r>
      <w:r w:rsidRPr="004842AA">
        <w:rPr>
          <w:rFonts w:ascii="Times New Roman" w:hAnsi="Times New Roman" w:cs="Times New Roman"/>
        </w:rPr>
        <w:t xml:space="preserve">multiple regulatory adaptations </w:t>
      </w:r>
      <w:r w:rsidR="00546E02" w:rsidRPr="004842AA">
        <w:rPr>
          <w:rFonts w:ascii="Times New Roman" w:hAnsi="Times New Roman" w:cs="Times New Roman"/>
        </w:rPr>
        <w:t xml:space="preserve">of the </w:t>
      </w:r>
      <w:proofErr w:type="gramStart"/>
      <w:r w:rsidR="00546E02" w:rsidRPr="004842AA">
        <w:rPr>
          <w:rFonts w:ascii="Times New Roman" w:hAnsi="Times New Roman" w:cs="Times New Roman"/>
        </w:rPr>
        <w:t>sort which</w:t>
      </w:r>
      <w:proofErr w:type="gramEnd"/>
      <w:r w:rsidR="00546E02" w:rsidRPr="004842AA">
        <w:rPr>
          <w:rFonts w:ascii="Times New Roman" w:hAnsi="Times New Roman" w:cs="Times New Roman"/>
        </w:rPr>
        <w:t xml:space="preserve"> have effectively been guaranteed by the </w:t>
      </w:r>
      <w:r w:rsidRPr="004842AA">
        <w:rPr>
          <w:rFonts w:ascii="Times New Roman" w:hAnsi="Times New Roman" w:cs="Times New Roman"/>
        </w:rPr>
        <w:t xml:space="preserve">Johnson Government’s decision to rule out any extension to </w:t>
      </w:r>
      <w:r w:rsidR="00546E02" w:rsidRPr="004842AA">
        <w:rPr>
          <w:rFonts w:ascii="Times New Roman" w:hAnsi="Times New Roman" w:cs="Times New Roman"/>
        </w:rPr>
        <w:t xml:space="preserve">the </w:t>
      </w:r>
      <w:r w:rsidRPr="004842AA">
        <w:rPr>
          <w:rFonts w:ascii="Times New Roman" w:hAnsi="Times New Roman" w:cs="Times New Roman"/>
        </w:rPr>
        <w:t>transition</w:t>
      </w:r>
      <w:r w:rsidR="00546E02" w:rsidRPr="004842AA">
        <w:rPr>
          <w:rFonts w:ascii="Times New Roman" w:hAnsi="Times New Roman" w:cs="Times New Roman"/>
        </w:rPr>
        <w:t xml:space="preserve"> period.  </w:t>
      </w:r>
      <w:r w:rsidRPr="004842AA">
        <w:rPr>
          <w:rFonts w:ascii="Times New Roman" w:hAnsi="Times New Roman" w:cs="Times New Roman"/>
          <w:highlight w:val="green"/>
        </w:rPr>
        <w:t xml:space="preserve"> </w:t>
      </w:r>
    </w:p>
    <w:p w14:paraId="12A6A5EE" w14:textId="77777777" w:rsidR="0016421F" w:rsidRPr="004842AA" w:rsidRDefault="0016421F" w:rsidP="004842AA">
      <w:pPr>
        <w:widowControl w:val="0"/>
        <w:autoSpaceDE w:val="0"/>
        <w:autoSpaceDN w:val="0"/>
        <w:adjustRightInd w:val="0"/>
        <w:jc w:val="both"/>
        <w:rPr>
          <w:rFonts w:ascii="Times New Roman" w:hAnsi="Times New Roman" w:cs="Times New Roman"/>
          <w:highlight w:val="yellow"/>
        </w:rPr>
      </w:pPr>
    </w:p>
    <w:p w14:paraId="2232D624" w14:textId="733C90DB" w:rsidR="00947667" w:rsidRPr="004842AA" w:rsidRDefault="00B365A3" w:rsidP="004842AA">
      <w:pPr>
        <w:jc w:val="both"/>
        <w:rPr>
          <w:rFonts w:ascii="Times New Roman" w:hAnsi="Times New Roman" w:cs="Times New Roman"/>
          <w:i/>
        </w:rPr>
      </w:pPr>
      <w:r w:rsidRPr="004842AA">
        <w:rPr>
          <w:rFonts w:ascii="Times New Roman" w:hAnsi="Times New Roman" w:cs="Times New Roman"/>
          <w:i/>
        </w:rPr>
        <w:t>3.3.</w:t>
      </w:r>
      <w:r w:rsidR="008850A9" w:rsidRPr="004842AA">
        <w:rPr>
          <w:rFonts w:ascii="Times New Roman" w:hAnsi="Times New Roman" w:cs="Times New Roman"/>
          <w:i/>
        </w:rPr>
        <w:tab/>
      </w:r>
      <w:r w:rsidR="00947667" w:rsidRPr="004842AA">
        <w:rPr>
          <w:rFonts w:ascii="Times New Roman" w:hAnsi="Times New Roman" w:cs="Times New Roman"/>
          <w:i/>
        </w:rPr>
        <w:t>Citizens</w:t>
      </w:r>
      <w:r w:rsidR="001E560C">
        <w:rPr>
          <w:rFonts w:ascii="Times New Roman" w:hAnsi="Times New Roman" w:cs="Times New Roman"/>
          <w:i/>
        </w:rPr>
        <w:t>’</w:t>
      </w:r>
      <w:r w:rsidR="00947667" w:rsidRPr="004842AA">
        <w:rPr>
          <w:rFonts w:ascii="Times New Roman" w:hAnsi="Times New Roman" w:cs="Times New Roman"/>
          <w:i/>
        </w:rPr>
        <w:t xml:space="preserve"> Rights</w:t>
      </w:r>
    </w:p>
    <w:p w14:paraId="2F74317F" w14:textId="77777777" w:rsidR="00947667" w:rsidRPr="004842AA" w:rsidRDefault="00947667" w:rsidP="004842AA">
      <w:pPr>
        <w:jc w:val="both"/>
        <w:rPr>
          <w:rFonts w:ascii="Times New Roman" w:hAnsi="Times New Roman" w:cs="Times New Roman"/>
        </w:rPr>
      </w:pPr>
    </w:p>
    <w:p w14:paraId="3D3AA2FD" w14:textId="53BF5623" w:rsidR="00F50C75" w:rsidRPr="006E440E" w:rsidRDefault="00094552" w:rsidP="00F50C75">
      <w:pPr>
        <w:jc w:val="both"/>
        <w:rPr>
          <w:rFonts w:ascii="Times New Roman" w:hAnsi="Times New Roman" w:cs="Times New Roman"/>
        </w:rPr>
      </w:pPr>
      <w:r w:rsidRPr="004842AA">
        <w:rPr>
          <w:rFonts w:ascii="Times New Roman" w:hAnsi="Times New Roman" w:cs="Times New Roman"/>
        </w:rPr>
        <w:t xml:space="preserve">Deliberate misinformation about the nature and effects of </w:t>
      </w:r>
      <w:r w:rsidR="00B579F2">
        <w:rPr>
          <w:rFonts w:ascii="Times New Roman" w:hAnsi="Times New Roman" w:cs="Times New Roman"/>
        </w:rPr>
        <w:t xml:space="preserve">the </w:t>
      </w:r>
      <w:r w:rsidR="00303F33" w:rsidRPr="004842AA">
        <w:rPr>
          <w:rFonts w:ascii="Times New Roman" w:hAnsi="Times New Roman" w:cs="Times New Roman"/>
        </w:rPr>
        <w:t>free movement</w:t>
      </w:r>
      <w:r w:rsidRPr="004842AA">
        <w:rPr>
          <w:rFonts w:ascii="Times New Roman" w:hAnsi="Times New Roman" w:cs="Times New Roman"/>
        </w:rPr>
        <w:t xml:space="preserve"> of persons</w:t>
      </w:r>
      <w:r w:rsidR="00303F33" w:rsidRPr="004842AA">
        <w:rPr>
          <w:rFonts w:ascii="Times New Roman" w:hAnsi="Times New Roman" w:cs="Times New Roman"/>
        </w:rPr>
        <w:t xml:space="preserve"> </w:t>
      </w:r>
      <w:r w:rsidR="00B579F2">
        <w:rPr>
          <w:rFonts w:ascii="Times New Roman" w:hAnsi="Times New Roman" w:cs="Times New Roman"/>
        </w:rPr>
        <w:t xml:space="preserve">between the EU and the UK </w:t>
      </w:r>
      <w:r w:rsidRPr="004842AA">
        <w:rPr>
          <w:rFonts w:ascii="Times New Roman" w:hAnsi="Times New Roman" w:cs="Times New Roman"/>
        </w:rPr>
        <w:t>played a prominent role in the Leave campaign during the 2016 referendum.</w:t>
      </w:r>
      <w:r w:rsidR="00B579F2">
        <w:rPr>
          <w:rStyle w:val="FootnoteReference"/>
          <w:rFonts w:ascii="Times New Roman" w:hAnsi="Times New Roman" w:cs="Times New Roman"/>
        </w:rPr>
        <w:footnoteReference w:id="192"/>
      </w:r>
      <w:r w:rsidRPr="004842AA">
        <w:rPr>
          <w:rFonts w:ascii="Times New Roman" w:hAnsi="Times New Roman" w:cs="Times New Roman"/>
        </w:rPr>
        <w:t xml:space="preserve">  H</w:t>
      </w:r>
      <w:r w:rsidR="006E440E">
        <w:rPr>
          <w:rFonts w:ascii="Times New Roman" w:hAnsi="Times New Roman" w:cs="Times New Roman"/>
        </w:rPr>
        <w:t>ostility towards</w:t>
      </w:r>
      <w:r w:rsidRPr="004842AA">
        <w:rPr>
          <w:rFonts w:ascii="Times New Roman" w:hAnsi="Times New Roman" w:cs="Times New Roman"/>
        </w:rPr>
        <w:t xml:space="preserve"> Union </w:t>
      </w:r>
      <w:r w:rsidR="00303F33" w:rsidRPr="004842AA">
        <w:rPr>
          <w:rFonts w:ascii="Times New Roman" w:hAnsi="Times New Roman" w:cs="Times New Roman"/>
        </w:rPr>
        <w:t xml:space="preserve">citizens </w:t>
      </w:r>
      <w:r w:rsidRPr="004842AA">
        <w:rPr>
          <w:rFonts w:ascii="Times New Roman" w:hAnsi="Times New Roman" w:cs="Times New Roman"/>
        </w:rPr>
        <w:t xml:space="preserve">was then quickly </w:t>
      </w:r>
      <w:r w:rsidR="00303F33" w:rsidRPr="004842AA">
        <w:rPr>
          <w:rFonts w:ascii="Times New Roman" w:hAnsi="Times New Roman" w:cs="Times New Roman"/>
        </w:rPr>
        <w:t xml:space="preserve">adopted by </w:t>
      </w:r>
      <w:r w:rsidRPr="004842AA">
        <w:rPr>
          <w:rFonts w:ascii="Times New Roman" w:hAnsi="Times New Roman" w:cs="Times New Roman"/>
        </w:rPr>
        <w:t xml:space="preserve">the </w:t>
      </w:r>
      <w:r w:rsidR="00303F33" w:rsidRPr="004842AA">
        <w:rPr>
          <w:rFonts w:ascii="Times New Roman" w:hAnsi="Times New Roman" w:cs="Times New Roman"/>
        </w:rPr>
        <w:t xml:space="preserve">UK Government </w:t>
      </w:r>
      <w:r w:rsidRPr="004842AA">
        <w:rPr>
          <w:rFonts w:ascii="Times New Roman" w:hAnsi="Times New Roman" w:cs="Times New Roman"/>
        </w:rPr>
        <w:t xml:space="preserve">effectively </w:t>
      </w:r>
      <w:r w:rsidR="00303F33" w:rsidRPr="004842AA">
        <w:rPr>
          <w:rFonts w:ascii="Times New Roman" w:hAnsi="Times New Roman" w:cs="Times New Roman"/>
        </w:rPr>
        <w:t xml:space="preserve">as </w:t>
      </w:r>
      <w:r w:rsidRPr="004842AA">
        <w:rPr>
          <w:rFonts w:ascii="Times New Roman" w:hAnsi="Times New Roman" w:cs="Times New Roman"/>
        </w:rPr>
        <w:t>official</w:t>
      </w:r>
      <w:r w:rsidR="00303F33" w:rsidRPr="004842AA">
        <w:rPr>
          <w:rFonts w:ascii="Times New Roman" w:hAnsi="Times New Roman" w:cs="Times New Roman"/>
        </w:rPr>
        <w:t xml:space="preserve"> policy: </w:t>
      </w:r>
      <w:r w:rsidRPr="004842AA">
        <w:rPr>
          <w:rFonts w:ascii="Times New Roman" w:hAnsi="Times New Roman" w:cs="Times New Roman"/>
        </w:rPr>
        <w:t>contemptuous language about “citizens of nowhere”, promises to “take</w:t>
      </w:r>
      <w:r w:rsidR="008F018A">
        <w:rPr>
          <w:rFonts w:ascii="Times New Roman" w:hAnsi="Times New Roman" w:cs="Times New Roman"/>
        </w:rPr>
        <w:t xml:space="preserve"> back control of our borders” and</w:t>
      </w:r>
      <w:r w:rsidR="00303F33" w:rsidRPr="004842AA">
        <w:rPr>
          <w:rFonts w:ascii="Times New Roman" w:hAnsi="Times New Roman" w:cs="Times New Roman"/>
        </w:rPr>
        <w:t xml:space="preserve"> </w:t>
      </w:r>
      <w:r w:rsidRPr="004842AA">
        <w:rPr>
          <w:rFonts w:ascii="Times New Roman" w:hAnsi="Times New Roman" w:cs="Times New Roman"/>
        </w:rPr>
        <w:t xml:space="preserve">vows to deal with European </w:t>
      </w:r>
      <w:r w:rsidR="00303F33" w:rsidRPr="004842AA">
        <w:rPr>
          <w:rFonts w:ascii="Times New Roman" w:hAnsi="Times New Roman" w:cs="Times New Roman"/>
        </w:rPr>
        <w:t>“queue jumpers”</w:t>
      </w:r>
      <w:r w:rsidRPr="004842AA">
        <w:rPr>
          <w:rFonts w:ascii="Times New Roman" w:hAnsi="Times New Roman" w:cs="Times New Roman"/>
        </w:rPr>
        <w:t xml:space="preserve"> became commonplace in British political discourse.</w:t>
      </w:r>
      <w:r w:rsidR="00B579F2">
        <w:rPr>
          <w:rStyle w:val="FootnoteReference"/>
          <w:rFonts w:ascii="Times New Roman" w:hAnsi="Times New Roman" w:cs="Times New Roman"/>
        </w:rPr>
        <w:footnoteReference w:id="193"/>
      </w:r>
      <w:r w:rsidRPr="004842AA">
        <w:rPr>
          <w:rFonts w:ascii="Times New Roman" w:hAnsi="Times New Roman" w:cs="Times New Roman"/>
        </w:rPr>
        <w:t xml:space="preserve">  Of course, the </w:t>
      </w:r>
      <w:proofErr w:type="gramStart"/>
      <w:r w:rsidRPr="004842AA">
        <w:rPr>
          <w:rFonts w:ascii="Times New Roman" w:hAnsi="Times New Roman" w:cs="Times New Roman"/>
        </w:rPr>
        <w:t>long term</w:t>
      </w:r>
      <w:proofErr w:type="gramEnd"/>
      <w:r w:rsidRPr="004842AA">
        <w:rPr>
          <w:rFonts w:ascii="Times New Roman" w:hAnsi="Times New Roman" w:cs="Times New Roman"/>
        </w:rPr>
        <w:t xml:space="preserve"> costs of such pandering to post-truth populism will be measured, through the UK’s decision to end free movement and indeed any more favourable immigration regime with the EU, in the implications for broader relations in trade, security and other fields of cross-border cooperation.</w:t>
      </w:r>
      <w:r w:rsidR="00B579F2">
        <w:rPr>
          <w:rStyle w:val="FootnoteReference"/>
          <w:rFonts w:ascii="Times New Roman" w:hAnsi="Times New Roman" w:cs="Times New Roman"/>
        </w:rPr>
        <w:footnoteReference w:id="194"/>
      </w:r>
      <w:r w:rsidRPr="004842AA">
        <w:rPr>
          <w:rFonts w:ascii="Times New Roman" w:hAnsi="Times New Roman" w:cs="Times New Roman"/>
        </w:rPr>
        <w:t xml:space="preserve">  But the immediate question raised by the referendum was: </w:t>
      </w:r>
      <w:r w:rsidR="00303F33" w:rsidRPr="004842AA">
        <w:rPr>
          <w:rFonts w:ascii="Times New Roman" w:hAnsi="Times New Roman" w:cs="Times New Roman"/>
        </w:rPr>
        <w:t xml:space="preserve">what </w:t>
      </w:r>
      <w:r w:rsidRPr="004842AA">
        <w:rPr>
          <w:rFonts w:ascii="Times New Roman" w:hAnsi="Times New Roman" w:cs="Times New Roman"/>
        </w:rPr>
        <w:t xml:space="preserve">would </w:t>
      </w:r>
      <w:r w:rsidR="007B50A1" w:rsidRPr="004842AA">
        <w:rPr>
          <w:rFonts w:ascii="Times New Roman" w:hAnsi="Times New Roman" w:cs="Times New Roman"/>
        </w:rPr>
        <w:t>happen</w:t>
      </w:r>
      <w:r w:rsidR="00303F33" w:rsidRPr="004842AA">
        <w:rPr>
          <w:rFonts w:ascii="Times New Roman" w:hAnsi="Times New Roman" w:cs="Times New Roman"/>
        </w:rPr>
        <w:t xml:space="preserve"> to </w:t>
      </w:r>
      <w:r w:rsidRPr="004842AA">
        <w:rPr>
          <w:rFonts w:ascii="Times New Roman" w:hAnsi="Times New Roman" w:cs="Times New Roman"/>
        </w:rPr>
        <w:t xml:space="preserve">the millions of </w:t>
      </w:r>
      <w:r w:rsidR="00303F33" w:rsidRPr="004842AA">
        <w:rPr>
          <w:rFonts w:ascii="Times New Roman" w:hAnsi="Times New Roman" w:cs="Times New Roman"/>
        </w:rPr>
        <w:t xml:space="preserve">UK and EU27 nationals who </w:t>
      </w:r>
      <w:r w:rsidRPr="004842AA">
        <w:rPr>
          <w:rFonts w:ascii="Times New Roman" w:hAnsi="Times New Roman" w:cs="Times New Roman"/>
        </w:rPr>
        <w:t xml:space="preserve">had already </w:t>
      </w:r>
      <w:r w:rsidR="00303F33" w:rsidRPr="004842AA">
        <w:rPr>
          <w:rFonts w:ascii="Times New Roman" w:hAnsi="Times New Roman" w:cs="Times New Roman"/>
        </w:rPr>
        <w:t>exercised their existing free movement rights in good faith?</w:t>
      </w:r>
      <w:r w:rsidRPr="004842AA">
        <w:rPr>
          <w:rFonts w:ascii="Times New Roman" w:hAnsi="Times New Roman" w:cs="Times New Roman"/>
        </w:rPr>
        <w:t xml:space="preserve">  We need not recount in detail</w:t>
      </w:r>
      <w:r w:rsidR="007B50A1" w:rsidRPr="004842AA">
        <w:rPr>
          <w:rFonts w:ascii="Times New Roman" w:hAnsi="Times New Roman" w:cs="Times New Roman"/>
        </w:rPr>
        <w:t>, but it is still important to stress,</w:t>
      </w:r>
      <w:r w:rsidRPr="004842AA">
        <w:rPr>
          <w:rFonts w:ascii="Times New Roman" w:hAnsi="Times New Roman" w:cs="Times New Roman"/>
        </w:rPr>
        <w:t xml:space="preserve"> the terrible personal and professional </w:t>
      </w:r>
      <w:r w:rsidR="007B50A1" w:rsidRPr="004842AA">
        <w:rPr>
          <w:rFonts w:ascii="Times New Roman" w:hAnsi="Times New Roman" w:cs="Times New Roman"/>
        </w:rPr>
        <w:t xml:space="preserve">costs </w:t>
      </w:r>
      <w:r w:rsidRPr="004842AA">
        <w:rPr>
          <w:rFonts w:ascii="Times New Roman" w:hAnsi="Times New Roman" w:cs="Times New Roman"/>
        </w:rPr>
        <w:t xml:space="preserve">created by the </w:t>
      </w:r>
      <w:r w:rsidR="007B50A1" w:rsidRPr="004842AA">
        <w:rPr>
          <w:rFonts w:ascii="Times New Roman" w:hAnsi="Times New Roman" w:cs="Times New Roman"/>
        </w:rPr>
        <w:t xml:space="preserve">UK’s decision to leave: prolonged </w:t>
      </w:r>
      <w:r w:rsidR="00303F33" w:rsidRPr="004842AA">
        <w:rPr>
          <w:rFonts w:ascii="Times New Roman" w:hAnsi="Times New Roman" w:cs="Times New Roman"/>
          <w:lang w:val="en-US"/>
        </w:rPr>
        <w:t xml:space="preserve">uncertainty </w:t>
      </w:r>
      <w:r w:rsidR="007B50A1" w:rsidRPr="004842AA">
        <w:rPr>
          <w:rFonts w:ascii="Times New Roman" w:hAnsi="Times New Roman" w:cs="Times New Roman"/>
          <w:lang w:val="en-US"/>
        </w:rPr>
        <w:t xml:space="preserve">and </w:t>
      </w:r>
      <w:r w:rsidR="007B50A1" w:rsidRPr="004842AA">
        <w:rPr>
          <w:rFonts w:ascii="Times New Roman" w:hAnsi="Times New Roman" w:cs="Times New Roman"/>
          <w:lang w:val="en-US"/>
        </w:rPr>
        <w:lastRenderedPageBreak/>
        <w:t xml:space="preserve">anxiety about what the future might hold; </w:t>
      </w:r>
      <w:r w:rsidR="00303F33" w:rsidRPr="004842AA">
        <w:rPr>
          <w:rFonts w:ascii="Times New Roman" w:hAnsi="Times New Roman" w:cs="Times New Roman"/>
          <w:lang w:val="en-US"/>
        </w:rPr>
        <w:t>aggravated by troubling incidents,</w:t>
      </w:r>
      <w:r w:rsidR="007B50A1" w:rsidRPr="004842AA">
        <w:rPr>
          <w:rFonts w:ascii="Times New Roman" w:hAnsi="Times New Roman" w:cs="Times New Roman"/>
          <w:lang w:val="en-US"/>
        </w:rPr>
        <w:t xml:space="preserve"> often</w:t>
      </w:r>
      <w:r w:rsidR="00303F33" w:rsidRPr="004842AA">
        <w:rPr>
          <w:rFonts w:ascii="Times New Roman" w:hAnsi="Times New Roman" w:cs="Times New Roman"/>
          <w:lang w:val="en-US"/>
        </w:rPr>
        <w:t xml:space="preserve"> linked to </w:t>
      </w:r>
      <w:r w:rsidR="007B50A1" w:rsidRPr="004842AA">
        <w:rPr>
          <w:rFonts w:ascii="Times New Roman" w:hAnsi="Times New Roman" w:cs="Times New Roman"/>
          <w:lang w:val="en-US"/>
        </w:rPr>
        <w:t xml:space="preserve">the </w:t>
      </w:r>
      <w:r w:rsidR="00303F33" w:rsidRPr="004842AA">
        <w:rPr>
          <w:rFonts w:ascii="Times New Roman" w:hAnsi="Times New Roman" w:cs="Times New Roman"/>
          <w:lang w:val="en-US"/>
        </w:rPr>
        <w:t xml:space="preserve">UK’s broader “hostile environment” policy, </w:t>
      </w:r>
      <w:r w:rsidR="007B50A1" w:rsidRPr="004842AA">
        <w:rPr>
          <w:rFonts w:ascii="Times New Roman" w:hAnsi="Times New Roman" w:cs="Times New Roman"/>
          <w:lang w:val="en-US"/>
        </w:rPr>
        <w:t xml:space="preserve">ranging from </w:t>
      </w:r>
      <w:r w:rsidR="00303F33" w:rsidRPr="004842AA">
        <w:rPr>
          <w:rFonts w:ascii="Times New Roman" w:hAnsi="Times New Roman" w:cs="Times New Roman"/>
          <w:lang w:val="en-US"/>
        </w:rPr>
        <w:t xml:space="preserve">“deportation letters” </w:t>
      </w:r>
      <w:r w:rsidR="007B50A1" w:rsidRPr="004842AA">
        <w:rPr>
          <w:rFonts w:ascii="Times New Roman" w:hAnsi="Times New Roman" w:cs="Times New Roman"/>
          <w:lang w:val="en-US"/>
        </w:rPr>
        <w:t xml:space="preserve">being sent to </w:t>
      </w:r>
      <w:r w:rsidR="00303F33" w:rsidRPr="004842AA">
        <w:rPr>
          <w:rFonts w:ascii="Times New Roman" w:hAnsi="Times New Roman" w:cs="Times New Roman"/>
          <w:lang w:val="en-US"/>
        </w:rPr>
        <w:t xml:space="preserve">longstanding </w:t>
      </w:r>
      <w:r w:rsidR="007B50A1" w:rsidRPr="004842AA">
        <w:rPr>
          <w:rFonts w:ascii="Times New Roman" w:hAnsi="Times New Roman" w:cs="Times New Roman"/>
          <w:lang w:val="en-US"/>
        </w:rPr>
        <w:t xml:space="preserve">Union </w:t>
      </w:r>
      <w:r w:rsidR="00303F33" w:rsidRPr="004842AA">
        <w:rPr>
          <w:rFonts w:ascii="Times New Roman" w:hAnsi="Times New Roman" w:cs="Times New Roman"/>
          <w:lang w:val="en-US"/>
        </w:rPr>
        <w:t>citizens</w:t>
      </w:r>
      <w:r w:rsidR="007B50A1" w:rsidRPr="004842AA">
        <w:rPr>
          <w:rFonts w:ascii="Times New Roman" w:hAnsi="Times New Roman" w:cs="Times New Roman"/>
          <w:lang w:val="en-US"/>
        </w:rPr>
        <w:t xml:space="preserve"> to a recorded rise in </w:t>
      </w:r>
      <w:r w:rsidR="00303F33" w:rsidRPr="004842AA">
        <w:rPr>
          <w:rFonts w:ascii="Times New Roman" w:hAnsi="Times New Roman" w:cs="Times New Roman"/>
          <w:lang w:val="en-US"/>
        </w:rPr>
        <w:t xml:space="preserve">racist incidents </w:t>
      </w:r>
      <w:r w:rsidR="007B50A1" w:rsidRPr="004842AA">
        <w:rPr>
          <w:rFonts w:ascii="Times New Roman" w:hAnsi="Times New Roman" w:cs="Times New Roman"/>
          <w:lang w:val="en-US"/>
        </w:rPr>
        <w:t xml:space="preserve">and widespread </w:t>
      </w:r>
      <w:r w:rsidR="00303F33" w:rsidRPr="004842AA">
        <w:rPr>
          <w:rFonts w:ascii="Times New Roman" w:hAnsi="Times New Roman" w:cs="Times New Roman"/>
          <w:lang w:val="en-US"/>
        </w:rPr>
        <w:t>evidence of private sector discrimination against EU nationals</w:t>
      </w:r>
      <w:r w:rsidR="007B50A1" w:rsidRPr="004842AA">
        <w:rPr>
          <w:rFonts w:ascii="Times New Roman" w:hAnsi="Times New Roman" w:cs="Times New Roman"/>
          <w:lang w:val="en-US"/>
        </w:rPr>
        <w:t>.</w:t>
      </w:r>
      <w:r w:rsidR="00B579F2">
        <w:rPr>
          <w:rStyle w:val="FootnoteReference"/>
          <w:rFonts w:ascii="Times New Roman" w:hAnsi="Times New Roman" w:cs="Times New Roman"/>
          <w:lang w:val="en-US"/>
        </w:rPr>
        <w:footnoteReference w:id="195"/>
      </w:r>
      <w:r w:rsidR="007B50A1" w:rsidRPr="004842AA">
        <w:rPr>
          <w:rFonts w:ascii="Times New Roman" w:hAnsi="Times New Roman" w:cs="Times New Roman"/>
          <w:lang w:val="en-US"/>
        </w:rPr>
        <w:t xml:space="preserve">  </w:t>
      </w:r>
    </w:p>
    <w:p w14:paraId="04790A58" w14:textId="34509A22" w:rsidR="00303F33" w:rsidRPr="004842AA" w:rsidRDefault="007B50A1" w:rsidP="00F50C75">
      <w:pPr>
        <w:ind w:firstLine="720"/>
        <w:jc w:val="both"/>
        <w:rPr>
          <w:rFonts w:ascii="Times New Roman" w:hAnsi="Times New Roman" w:cs="Times New Roman"/>
          <w:lang w:val="en-US"/>
        </w:rPr>
      </w:pPr>
      <w:r w:rsidRPr="004842AA">
        <w:rPr>
          <w:rFonts w:ascii="Times New Roman" w:hAnsi="Times New Roman" w:cs="Times New Roman"/>
          <w:lang w:val="en-US"/>
        </w:rPr>
        <w:t>The UK Government resisted repeated parliamentary calls for the UK to offer unilateral protection to affected individuals.</w:t>
      </w:r>
      <w:r w:rsidRPr="004842AA">
        <w:rPr>
          <w:rStyle w:val="FootnoteReference"/>
          <w:rFonts w:ascii="Times New Roman" w:hAnsi="Times New Roman" w:cs="Times New Roman"/>
          <w:lang w:val="en-US"/>
        </w:rPr>
        <w:footnoteReference w:id="196"/>
      </w:r>
      <w:r w:rsidRPr="004842AA">
        <w:rPr>
          <w:rFonts w:ascii="Times New Roman" w:hAnsi="Times New Roman" w:cs="Times New Roman"/>
          <w:lang w:val="en-US"/>
        </w:rPr>
        <w:t xml:space="preserve">  Instead, its </w:t>
      </w:r>
      <w:r w:rsidR="00303F33" w:rsidRPr="004842AA">
        <w:rPr>
          <w:rFonts w:ascii="Times New Roman" w:hAnsi="Times New Roman" w:cs="Times New Roman"/>
          <w:lang w:val="en-US"/>
        </w:rPr>
        <w:t>February 2017 White Paper</w:t>
      </w:r>
      <w:r w:rsidRPr="004842AA">
        <w:rPr>
          <w:rFonts w:ascii="Times New Roman" w:hAnsi="Times New Roman" w:cs="Times New Roman"/>
          <w:lang w:val="en-US"/>
        </w:rPr>
        <w:t xml:space="preserve"> expressed </w:t>
      </w:r>
      <w:r w:rsidR="00B579F2">
        <w:rPr>
          <w:rFonts w:ascii="Times New Roman" w:hAnsi="Times New Roman" w:cs="Times New Roman"/>
          <w:lang w:val="en-US"/>
        </w:rPr>
        <w:t>a</w:t>
      </w:r>
      <w:r w:rsidRPr="004842AA">
        <w:rPr>
          <w:rFonts w:ascii="Times New Roman" w:hAnsi="Times New Roman" w:cs="Times New Roman"/>
          <w:lang w:val="en-US"/>
        </w:rPr>
        <w:t xml:space="preserve"> desire for </w:t>
      </w:r>
      <w:r w:rsidR="004F4903" w:rsidRPr="004842AA">
        <w:rPr>
          <w:rFonts w:ascii="Times New Roman" w:hAnsi="Times New Roman" w:cs="Times New Roman"/>
          <w:lang w:val="en-US"/>
        </w:rPr>
        <w:t>the two parties to reach an</w:t>
      </w:r>
      <w:r w:rsidRPr="004842AA">
        <w:rPr>
          <w:rFonts w:ascii="Times New Roman" w:hAnsi="Times New Roman" w:cs="Times New Roman"/>
          <w:lang w:val="en-US"/>
        </w:rPr>
        <w:t xml:space="preserve"> </w:t>
      </w:r>
      <w:r w:rsidR="00303F33" w:rsidRPr="004842AA">
        <w:rPr>
          <w:rFonts w:ascii="Times New Roman" w:hAnsi="Times New Roman" w:cs="Times New Roman"/>
          <w:lang w:val="en-US"/>
        </w:rPr>
        <w:t xml:space="preserve">agreement </w:t>
      </w:r>
      <w:r w:rsidRPr="004842AA">
        <w:rPr>
          <w:rFonts w:ascii="Times New Roman" w:hAnsi="Times New Roman" w:cs="Times New Roman"/>
          <w:lang w:val="en-US"/>
        </w:rPr>
        <w:t xml:space="preserve">offering </w:t>
      </w:r>
      <w:r w:rsidR="00303F33" w:rsidRPr="004842AA">
        <w:rPr>
          <w:rFonts w:ascii="Times New Roman" w:hAnsi="Times New Roman" w:cs="Times New Roman"/>
          <w:lang w:val="en-US"/>
        </w:rPr>
        <w:t xml:space="preserve">full guarantees </w:t>
      </w:r>
      <w:r w:rsidRPr="004842AA">
        <w:rPr>
          <w:rFonts w:ascii="Times New Roman" w:hAnsi="Times New Roman" w:cs="Times New Roman"/>
          <w:lang w:val="en-US"/>
        </w:rPr>
        <w:t xml:space="preserve">to </w:t>
      </w:r>
      <w:r w:rsidR="00303F33" w:rsidRPr="004842AA">
        <w:rPr>
          <w:rFonts w:ascii="Times New Roman" w:hAnsi="Times New Roman" w:cs="Times New Roman"/>
          <w:lang w:val="en-US"/>
        </w:rPr>
        <w:t xml:space="preserve">all </w:t>
      </w:r>
      <w:r w:rsidRPr="004842AA">
        <w:rPr>
          <w:rFonts w:ascii="Times New Roman" w:hAnsi="Times New Roman" w:cs="Times New Roman"/>
          <w:lang w:val="en-US"/>
        </w:rPr>
        <w:t xml:space="preserve">relevant UK and EU27 </w:t>
      </w:r>
      <w:r w:rsidR="00303F33" w:rsidRPr="004842AA">
        <w:rPr>
          <w:rFonts w:ascii="Times New Roman" w:hAnsi="Times New Roman" w:cs="Times New Roman"/>
          <w:lang w:val="en-US"/>
        </w:rPr>
        <w:t>citizens</w:t>
      </w:r>
      <w:r w:rsidRPr="004842AA">
        <w:rPr>
          <w:rFonts w:ascii="Times New Roman" w:hAnsi="Times New Roman" w:cs="Times New Roman"/>
          <w:lang w:val="en-US"/>
        </w:rPr>
        <w:t>.</w:t>
      </w:r>
      <w:r w:rsidR="004F4903" w:rsidRPr="004842AA">
        <w:rPr>
          <w:rStyle w:val="FootnoteReference"/>
          <w:rFonts w:ascii="Times New Roman" w:hAnsi="Times New Roman" w:cs="Times New Roman"/>
          <w:lang w:val="en-US"/>
        </w:rPr>
        <w:footnoteReference w:id="197"/>
      </w:r>
      <w:r w:rsidRPr="004842AA">
        <w:rPr>
          <w:rFonts w:ascii="Times New Roman" w:hAnsi="Times New Roman" w:cs="Times New Roman"/>
          <w:lang w:val="en-US"/>
        </w:rPr>
        <w:t xml:space="preserve">  And indeed, the issue of citizens’ rights became central to the Article 50 TEU </w:t>
      </w:r>
      <w:r w:rsidR="004F4903" w:rsidRPr="004842AA">
        <w:rPr>
          <w:rFonts w:ascii="Times New Roman" w:hAnsi="Times New Roman" w:cs="Times New Roman"/>
          <w:lang w:val="en-US"/>
        </w:rPr>
        <w:t xml:space="preserve">process. </w:t>
      </w:r>
      <w:r w:rsidR="008464A4">
        <w:rPr>
          <w:rFonts w:ascii="Times New Roman" w:hAnsi="Times New Roman" w:cs="Times New Roman"/>
          <w:lang w:val="en-US"/>
        </w:rPr>
        <w:t xml:space="preserve"> </w:t>
      </w:r>
      <w:r w:rsidR="004F4903" w:rsidRPr="004842AA">
        <w:rPr>
          <w:rFonts w:ascii="Times New Roman" w:hAnsi="Times New Roman" w:cs="Times New Roman"/>
          <w:lang w:val="en-US"/>
        </w:rPr>
        <w:t>Yet d</w:t>
      </w:r>
      <w:r w:rsidRPr="004842AA">
        <w:rPr>
          <w:rFonts w:ascii="Times New Roman" w:hAnsi="Times New Roman" w:cs="Times New Roman"/>
          <w:lang w:val="en-US"/>
        </w:rPr>
        <w:t xml:space="preserve">espite the UK’s promise not to use individuals as bargaining chips, </w:t>
      </w:r>
      <w:r w:rsidR="004F4903" w:rsidRPr="004842AA">
        <w:rPr>
          <w:rFonts w:ascii="Times New Roman" w:hAnsi="Times New Roman" w:cs="Times New Roman"/>
          <w:lang w:val="en-US"/>
        </w:rPr>
        <w:t>its opening negotiating position fell far short of a “full guarantee to all”.</w:t>
      </w:r>
      <w:r w:rsidR="004F4903" w:rsidRPr="004842AA">
        <w:rPr>
          <w:rStyle w:val="FootnoteReference"/>
          <w:rFonts w:ascii="Times New Roman" w:hAnsi="Times New Roman" w:cs="Times New Roman"/>
          <w:lang w:val="en-US"/>
        </w:rPr>
        <w:footnoteReference w:id="198"/>
      </w:r>
      <w:r w:rsidR="004F4903" w:rsidRPr="004842AA">
        <w:rPr>
          <w:rFonts w:ascii="Times New Roman" w:hAnsi="Times New Roman" w:cs="Times New Roman"/>
          <w:lang w:val="en-US"/>
        </w:rPr>
        <w:t xml:space="preserve">  S</w:t>
      </w:r>
      <w:r w:rsidRPr="004842AA">
        <w:rPr>
          <w:rFonts w:ascii="Times New Roman" w:hAnsi="Times New Roman" w:cs="Times New Roman"/>
          <w:lang w:val="en-US"/>
        </w:rPr>
        <w:t xml:space="preserve">erious disputes about the personal and material scope of protection to be offered under the withdrawal treaty were only resolved </w:t>
      </w:r>
      <w:r w:rsidR="004F4903" w:rsidRPr="004842AA">
        <w:rPr>
          <w:rFonts w:ascii="Times New Roman" w:hAnsi="Times New Roman" w:cs="Times New Roman"/>
          <w:lang w:val="en-US"/>
        </w:rPr>
        <w:t>in late 2018.</w:t>
      </w:r>
      <w:r w:rsidR="004F4903" w:rsidRPr="004842AA">
        <w:rPr>
          <w:rStyle w:val="FootnoteReference"/>
          <w:rFonts w:ascii="Times New Roman" w:hAnsi="Times New Roman" w:cs="Times New Roman"/>
          <w:lang w:val="en-US"/>
        </w:rPr>
        <w:footnoteReference w:id="199"/>
      </w:r>
      <w:r w:rsidR="004F4903" w:rsidRPr="004842AA">
        <w:rPr>
          <w:rFonts w:ascii="Times New Roman" w:hAnsi="Times New Roman" w:cs="Times New Roman"/>
          <w:lang w:val="en-US"/>
        </w:rPr>
        <w:t xml:space="preserve">  We will discuss the </w:t>
      </w:r>
      <w:r w:rsidR="00A821A4" w:rsidRPr="004842AA">
        <w:rPr>
          <w:rFonts w:ascii="Times New Roman" w:hAnsi="Times New Roman" w:cs="Times New Roman"/>
        </w:rPr>
        <w:t>g</w:t>
      </w:r>
      <w:r w:rsidR="00ED0000" w:rsidRPr="004842AA">
        <w:rPr>
          <w:rFonts w:ascii="Times New Roman" w:hAnsi="Times New Roman" w:cs="Times New Roman"/>
        </w:rPr>
        <w:t xml:space="preserve">eneral scheme </w:t>
      </w:r>
      <w:r w:rsidR="004F4903" w:rsidRPr="004842AA">
        <w:rPr>
          <w:rFonts w:ascii="Times New Roman" w:hAnsi="Times New Roman" w:cs="Times New Roman"/>
        </w:rPr>
        <w:t xml:space="preserve">on citizens’ rights </w:t>
      </w:r>
      <w:r w:rsidR="00B648E5" w:rsidRPr="004842AA">
        <w:rPr>
          <w:rFonts w:ascii="Times New Roman" w:hAnsi="Times New Roman" w:cs="Times New Roman"/>
        </w:rPr>
        <w:t xml:space="preserve">as </w:t>
      </w:r>
      <w:r w:rsidR="00A821A4" w:rsidRPr="004842AA">
        <w:rPr>
          <w:rFonts w:ascii="Times New Roman" w:hAnsi="Times New Roman" w:cs="Times New Roman"/>
        </w:rPr>
        <w:t xml:space="preserve">provided for </w:t>
      </w:r>
      <w:r w:rsidR="00B648E5" w:rsidRPr="004842AA">
        <w:rPr>
          <w:rFonts w:ascii="Times New Roman" w:hAnsi="Times New Roman" w:cs="Times New Roman"/>
        </w:rPr>
        <w:t>under</w:t>
      </w:r>
      <w:r w:rsidR="00A821A4" w:rsidRPr="004842AA">
        <w:rPr>
          <w:rFonts w:ascii="Times New Roman" w:hAnsi="Times New Roman" w:cs="Times New Roman"/>
        </w:rPr>
        <w:t xml:space="preserve"> </w:t>
      </w:r>
      <w:r w:rsidR="00B579F2">
        <w:rPr>
          <w:rFonts w:ascii="Times New Roman" w:hAnsi="Times New Roman" w:cs="Times New Roman"/>
        </w:rPr>
        <w:t>Part Two</w:t>
      </w:r>
      <w:r w:rsidR="007B1C29" w:rsidRPr="004842AA">
        <w:rPr>
          <w:rFonts w:ascii="Times New Roman" w:hAnsi="Times New Roman" w:cs="Times New Roman"/>
        </w:rPr>
        <w:t xml:space="preserve"> of </w:t>
      </w:r>
      <w:r w:rsidR="004F4903" w:rsidRPr="004842AA">
        <w:rPr>
          <w:rFonts w:ascii="Times New Roman" w:hAnsi="Times New Roman" w:cs="Times New Roman"/>
        </w:rPr>
        <w:t xml:space="preserve">the </w:t>
      </w:r>
      <w:r w:rsidR="007B1C29" w:rsidRPr="004842AA">
        <w:rPr>
          <w:rFonts w:ascii="Times New Roman" w:hAnsi="Times New Roman" w:cs="Times New Roman"/>
        </w:rPr>
        <w:t>Agreement</w:t>
      </w:r>
      <w:r w:rsidR="004F4903" w:rsidRPr="004842AA">
        <w:rPr>
          <w:rFonts w:ascii="Times New Roman" w:hAnsi="Times New Roman" w:cs="Times New Roman"/>
        </w:rPr>
        <w:t xml:space="preserve"> (together with the special provisions on interpretation and enforcement in this field contained elsewhere in the </w:t>
      </w:r>
      <w:r w:rsidR="00765401">
        <w:rPr>
          <w:rFonts w:ascii="Times New Roman" w:hAnsi="Times New Roman" w:cs="Times New Roman"/>
        </w:rPr>
        <w:t>Agreement</w:t>
      </w:r>
      <w:r w:rsidR="004F4903" w:rsidRPr="004842AA">
        <w:rPr>
          <w:rFonts w:ascii="Times New Roman" w:hAnsi="Times New Roman" w:cs="Times New Roman"/>
        </w:rPr>
        <w:t>).</w:t>
      </w:r>
      <w:r w:rsidR="00B301AD" w:rsidRPr="004842AA">
        <w:rPr>
          <w:rStyle w:val="FootnoteReference"/>
          <w:rFonts w:ascii="Times New Roman" w:hAnsi="Times New Roman" w:cs="Times New Roman"/>
        </w:rPr>
        <w:footnoteReference w:id="200"/>
      </w:r>
      <w:r w:rsidR="004F4903" w:rsidRPr="004842AA">
        <w:rPr>
          <w:rFonts w:ascii="Times New Roman" w:hAnsi="Times New Roman" w:cs="Times New Roman"/>
        </w:rPr>
        <w:t xml:space="preserve">  However, </w:t>
      </w:r>
      <w:r w:rsidR="00B648E5" w:rsidRPr="004842AA">
        <w:rPr>
          <w:rFonts w:ascii="Times New Roman" w:hAnsi="Times New Roman" w:cs="Times New Roman"/>
        </w:rPr>
        <w:t xml:space="preserve">it is important to note that </w:t>
      </w:r>
      <w:r w:rsidR="004F4903" w:rsidRPr="004842AA">
        <w:rPr>
          <w:rFonts w:ascii="Times New Roman" w:hAnsi="Times New Roman" w:cs="Times New Roman"/>
          <w:lang w:val="en-US"/>
        </w:rPr>
        <w:t xml:space="preserve">the text of the Agreement cannot be </w:t>
      </w:r>
      <w:r w:rsidR="00303F33" w:rsidRPr="004842AA">
        <w:rPr>
          <w:rFonts w:ascii="Times New Roman" w:hAnsi="Times New Roman" w:cs="Times New Roman"/>
          <w:lang w:val="en-US"/>
        </w:rPr>
        <w:t xml:space="preserve">read in isolation: </w:t>
      </w:r>
      <w:r w:rsidR="004F4903" w:rsidRPr="004842AA">
        <w:rPr>
          <w:rFonts w:ascii="Times New Roman" w:hAnsi="Times New Roman" w:cs="Times New Roman"/>
          <w:lang w:val="en-US"/>
        </w:rPr>
        <w:t xml:space="preserve">the regime on citizens’ rights still </w:t>
      </w:r>
      <w:r w:rsidR="00303F33" w:rsidRPr="004842AA">
        <w:rPr>
          <w:rFonts w:ascii="Times New Roman" w:hAnsi="Times New Roman" w:cs="Times New Roman"/>
          <w:lang w:val="en-US"/>
        </w:rPr>
        <w:t>offer</w:t>
      </w:r>
      <w:r w:rsidR="004F4903" w:rsidRPr="004842AA">
        <w:rPr>
          <w:rFonts w:ascii="Times New Roman" w:hAnsi="Times New Roman" w:cs="Times New Roman"/>
          <w:lang w:val="en-US"/>
        </w:rPr>
        <w:t>s</w:t>
      </w:r>
      <w:r w:rsidR="00303F33" w:rsidRPr="004842AA">
        <w:rPr>
          <w:rFonts w:ascii="Times New Roman" w:hAnsi="Times New Roman" w:cs="Times New Roman"/>
          <w:lang w:val="en-US"/>
        </w:rPr>
        <w:t xml:space="preserve"> </w:t>
      </w:r>
      <w:r w:rsidR="004F4903" w:rsidRPr="004842AA">
        <w:rPr>
          <w:rFonts w:ascii="Times New Roman" w:hAnsi="Times New Roman" w:cs="Times New Roman"/>
          <w:lang w:val="en-US"/>
        </w:rPr>
        <w:t xml:space="preserve">the </w:t>
      </w:r>
      <w:r w:rsidR="00303F33" w:rsidRPr="004842AA">
        <w:rPr>
          <w:rFonts w:ascii="Times New Roman" w:hAnsi="Times New Roman" w:cs="Times New Roman"/>
          <w:lang w:val="en-US"/>
        </w:rPr>
        <w:t xml:space="preserve">UK and </w:t>
      </w:r>
      <w:r w:rsidR="004F4903" w:rsidRPr="004842AA">
        <w:rPr>
          <w:rFonts w:ascii="Times New Roman" w:hAnsi="Times New Roman" w:cs="Times New Roman"/>
          <w:lang w:val="en-US"/>
        </w:rPr>
        <w:t xml:space="preserve">each of the </w:t>
      </w:r>
      <w:r w:rsidR="00303F33" w:rsidRPr="004842AA">
        <w:rPr>
          <w:rFonts w:ascii="Times New Roman" w:hAnsi="Times New Roman" w:cs="Times New Roman"/>
          <w:lang w:val="en-US"/>
        </w:rPr>
        <w:t xml:space="preserve">EU27 discretionary choices </w:t>
      </w:r>
      <w:r w:rsidR="004F4903" w:rsidRPr="004842AA">
        <w:rPr>
          <w:rFonts w:ascii="Times New Roman" w:hAnsi="Times New Roman" w:cs="Times New Roman"/>
          <w:lang w:val="en-US"/>
        </w:rPr>
        <w:t xml:space="preserve">that need to be made and implemented within their respective national legal systems; including the possibility, as regards most but not all of the </w:t>
      </w:r>
      <w:r w:rsidR="00765401">
        <w:rPr>
          <w:rFonts w:ascii="Times New Roman" w:hAnsi="Times New Roman" w:cs="Times New Roman"/>
          <w:lang w:val="en-US"/>
        </w:rPr>
        <w:t>Agreement’s</w:t>
      </w:r>
      <w:r w:rsidR="004F4903" w:rsidRPr="004842AA">
        <w:rPr>
          <w:rFonts w:ascii="Times New Roman" w:hAnsi="Times New Roman" w:cs="Times New Roman"/>
          <w:lang w:val="en-US"/>
        </w:rPr>
        <w:t xml:space="preserve"> provisions, that the </w:t>
      </w:r>
      <w:r w:rsidR="00303F33" w:rsidRPr="004842AA">
        <w:rPr>
          <w:rFonts w:ascii="Times New Roman" w:hAnsi="Times New Roman" w:cs="Times New Roman"/>
          <w:lang w:val="en-US"/>
        </w:rPr>
        <w:t xml:space="preserve">UK </w:t>
      </w:r>
      <w:r w:rsidR="004F4903" w:rsidRPr="004842AA">
        <w:rPr>
          <w:rFonts w:ascii="Times New Roman" w:hAnsi="Times New Roman" w:cs="Times New Roman"/>
          <w:lang w:val="en-US"/>
        </w:rPr>
        <w:t xml:space="preserve">and / or </w:t>
      </w:r>
      <w:r w:rsidR="00303F33" w:rsidRPr="004842AA">
        <w:rPr>
          <w:rFonts w:ascii="Times New Roman" w:hAnsi="Times New Roman" w:cs="Times New Roman"/>
          <w:lang w:val="en-US"/>
        </w:rPr>
        <w:t xml:space="preserve">EU27 states </w:t>
      </w:r>
      <w:r w:rsidR="004F4903" w:rsidRPr="004842AA">
        <w:rPr>
          <w:rFonts w:ascii="Times New Roman" w:hAnsi="Times New Roman" w:cs="Times New Roman"/>
          <w:lang w:val="en-US"/>
        </w:rPr>
        <w:t xml:space="preserve">might </w:t>
      </w:r>
      <w:r w:rsidR="00303F33" w:rsidRPr="004842AA">
        <w:rPr>
          <w:rFonts w:ascii="Times New Roman" w:hAnsi="Times New Roman" w:cs="Times New Roman"/>
          <w:lang w:val="en-US"/>
        </w:rPr>
        <w:t>offer more generous treatment</w:t>
      </w:r>
      <w:r w:rsidR="004F4903" w:rsidRPr="004842AA">
        <w:rPr>
          <w:rFonts w:ascii="Times New Roman" w:hAnsi="Times New Roman" w:cs="Times New Roman"/>
          <w:lang w:val="en-US"/>
        </w:rPr>
        <w:t xml:space="preserve"> under domestic law.</w:t>
      </w:r>
      <w:r w:rsidR="004F4903" w:rsidRPr="004842AA">
        <w:rPr>
          <w:rStyle w:val="FootnoteReference"/>
          <w:rFonts w:ascii="Times New Roman" w:hAnsi="Times New Roman" w:cs="Times New Roman"/>
          <w:lang w:val="en-US"/>
        </w:rPr>
        <w:footnoteReference w:id="201"/>
      </w:r>
    </w:p>
    <w:p w14:paraId="3DD295DC" w14:textId="77777777" w:rsidR="00303F33" w:rsidRPr="004842AA" w:rsidRDefault="00303F33" w:rsidP="004842AA">
      <w:pPr>
        <w:widowControl w:val="0"/>
        <w:autoSpaceDE w:val="0"/>
        <w:autoSpaceDN w:val="0"/>
        <w:adjustRightInd w:val="0"/>
        <w:jc w:val="both"/>
        <w:rPr>
          <w:rFonts w:ascii="Times New Roman" w:hAnsi="Times New Roman" w:cs="Times New Roman"/>
          <w:lang w:val="en-US"/>
        </w:rPr>
      </w:pPr>
    </w:p>
    <w:p w14:paraId="52CBF48F" w14:textId="120813DA" w:rsidR="00303F33" w:rsidRPr="004842AA" w:rsidRDefault="00303F33" w:rsidP="004842AA">
      <w:pPr>
        <w:jc w:val="both"/>
        <w:rPr>
          <w:rFonts w:ascii="Times New Roman" w:hAnsi="Times New Roman" w:cs="Times New Roman"/>
          <w:i/>
        </w:rPr>
      </w:pPr>
      <w:r w:rsidRPr="004842AA">
        <w:rPr>
          <w:rFonts w:ascii="Times New Roman" w:hAnsi="Times New Roman" w:cs="Times New Roman"/>
          <w:i/>
        </w:rPr>
        <w:t>3.3.1.</w:t>
      </w:r>
      <w:r w:rsidRPr="004842AA">
        <w:rPr>
          <w:rFonts w:ascii="Times New Roman" w:hAnsi="Times New Roman" w:cs="Times New Roman"/>
          <w:i/>
        </w:rPr>
        <w:tab/>
        <w:t xml:space="preserve">EU law as </w:t>
      </w:r>
      <w:r w:rsidR="00B579F2">
        <w:rPr>
          <w:rFonts w:ascii="Times New Roman" w:hAnsi="Times New Roman" w:cs="Times New Roman"/>
          <w:i/>
        </w:rPr>
        <w:t xml:space="preserve">the </w:t>
      </w:r>
      <w:r w:rsidRPr="004842AA">
        <w:rPr>
          <w:rFonts w:ascii="Times New Roman" w:hAnsi="Times New Roman" w:cs="Times New Roman"/>
          <w:i/>
        </w:rPr>
        <w:t xml:space="preserve">general baseline for citizens’ rights protection </w:t>
      </w:r>
    </w:p>
    <w:p w14:paraId="2F470C5B" w14:textId="77777777" w:rsidR="00303F33" w:rsidRPr="004842AA" w:rsidRDefault="00303F33" w:rsidP="004842AA">
      <w:pPr>
        <w:jc w:val="both"/>
        <w:rPr>
          <w:rFonts w:ascii="Times New Roman" w:hAnsi="Times New Roman" w:cs="Times New Roman"/>
        </w:rPr>
      </w:pPr>
    </w:p>
    <w:p w14:paraId="353DCF04" w14:textId="57AC9300" w:rsidR="00F50C75" w:rsidRDefault="00B648E5" w:rsidP="004842AA">
      <w:pPr>
        <w:jc w:val="both"/>
        <w:rPr>
          <w:rFonts w:ascii="Times New Roman" w:hAnsi="Times New Roman" w:cs="Times New Roman"/>
        </w:rPr>
      </w:pPr>
      <w:r w:rsidRPr="004842AA">
        <w:rPr>
          <w:rFonts w:ascii="Times New Roman" w:hAnsi="Times New Roman" w:cs="Times New Roman"/>
        </w:rPr>
        <w:t xml:space="preserve">The general starting point adopted under the Agreement is that existing Union law should provide the basis for identifying both who is protected into the future and what the </w:t>
      </w:r>
      <w:r w:rsidRPr="004842AA">
        <w:rPr>
          <w:rFonts w:ascii="Times New Roman" w:hAnsi="Times New Roman" w:cs="Times New Roman"/>
        </w:rPr>
        <w:lastRenderedPageBreak/>
        <w:t>content of their rights should be.  Thus, Article 10(1)(a)-(b) WA identifies for protection</w:t>
      </w:r>
      <w:r w:rsidR="00303F33" w:rsidRPr="004842AA">
        <w:rPr>
          <w:rFonts w:ascii="Times New Roman" w:hAnsi="Times New Roman" w:cs="Times New Roman"/>
        </w:rPr>
        <w:t xml:space="preserve"> </w:t>
      </w:r>
      <w:r w:rsidRPr="004842AA">
        <w:rPr>
          <w:rFonts w:ascii="Times New Roman" w:hAnsi="Times New Roman" w:cs="Times New Roman"/>
        </w:rPr>
        <w:t xml:space="preserve">those UK or EU27 </w:t>
      </w:r>
      <w:r w:rsidR="00303F33" w:rsidRPr="004842AA">
        <w:rPr>
          <w:rFonts w:ascii="Times New Roman" w:hAnsi="Times New Roman" w:cs="Times New Roman"/>
        </w:rPr>
        <w:t xml:space="preserve">citizens who exercised </w:t>
      </w:r>
      <w:r w:rsidRPr="004842AA">
        <w:rPr>
          <w:rFonts w:ascii="Times New Roman" w:hAnsi="Times New Roman" w:cs="Times New Roman"/>
        </w:rPr>
        <w:t xml:space="preserve">their </w:t>
      </w:r>
      <w:r w:rsidR="00303F33" w:rsidRPr="004842AA">
        <w:rPr>
          <w:rFonts w:ascii="Times New Roman" w:hAnsi="Times New Roman" w:cs="Times New Roman"/>
        </w:rPr>
        <w:t xml:space="preserve">right to reside in </w:t>
      </w:r>
      <w:r w:rsidRPr="004842AA">
        <w:rPr>
          <w:rFonts w:ascii="Times New Roman" w:hAnsi="Times New Roman" w:cs="Times New Roman"/>
        </w:rPr>
        <w:t xml:space="preserve">the </w:t>
      </w:r>
      <w:r w:rsidR="00303F33" w:rsidRPr="004842AA">
        <w:rPr>
          <w:rFonts w:ascii="Times New Roman" w:hAnsi="Times New Roman" w:cs="Times New Roman"/>
        </w:rPr>
        <w:t>host state in accordance with Union law</w:t>
      </w:r>
      <w:r w:rsidRPr="004842AA">
        <w:rPr>
          <w:rFonts w:ascii="Times New Roman" w:hAnsi="Times New Roman" w:cs="Times New Roman"/>
        </w:rPr>
        <w:t xml:space="preserve"> </w:t>
      </w:r>
      <w:r w:rsidR="00303F33" w:rsidRPr="004842AA">
        <w:rPr>
          <w:rFonts w:ascii="Times New Roman" w:hAnsi="Times New Roman" w:cs="Times New Roman"/>
        </w:rPr>
        <w:t xml:space="preserve">before </w:t>
      </w:r>
      <w:r w:rsidRPr="004842AA">
        <w:rPr>
          <w:rFonts w:ascii="Times New Roman" w:hAnsi="Times New Roman" w:cs="Times New Roman"/>
        </w:rPr>
        <w:t xml:space="preserve">the </w:t>
      </w:r>
      <w:r w:rsidR="00303F33" w:rsidRPr="004842AA">
        <w:rPr>
          <w:rFonts w:ascii="Times New Roman" w:hAnsi="Times New Roman" w:cs="Times New Roman"/>
        </w:rPr>
        <w:t xml:space="preserve">end of </w:t>
      </w:r>
      <w:r w:rsidRPr="004842AA">
        <w:rPr>
          <w:rFonts w:ascii="Times New Roman" w:hAnsi="Times New Roman" w:cs="Times New Roman"/>
        </w:rPr>
        <w:t xml:space="preserve">the </w:t>
      </w:r>
      <w:r w:rsidR="006861A1">
        <w:rPr>
          <w:rFonts w:ascii="Times New Roman" w:hAnsi="Times New Roman" w:cs="Times New Roman"/>
        </w:rPr>
        <w:t>transition</w:t>
      </w:r>
      <w:r w:rsidR="00303F33" w:rsidRPr="004842AA">
        <w:rPr>
          <w:rFonts w:ascii="Times New Roman" w:hAnsi="Times New Roman" w:cs="Times New Roman"/>
        </w:rPr>
        <w:t xml:space="preserve"> period and continue to reside in </w:t>
      </w:r>
      <w:r w:rsidRPr="004842AA">
        <w:rPr>
          <w:rFonts w:ascii="Times New Roman" w:hAnsi="Times New Roman" w:cs="Times New Roman"/>
        </w:rPr>
        <w:t xml:space="preserve">the </w:t>
      </w:r>
      <w:r w:rsidR="00303F33" w:rsidRPr="004842AA">
        <w:rPr>
          <w:rFonts w:ascii="Times New Roman" w:hAnsi="Times New Roman" w:cs="Times New Roman"/>
        </w:rPr>
        <w:t>host state thereafter</w:t>
      </w:r>
      <w:r w:rsidRPr="004842AA">
        <w:rPr>
          <w:rFonts w:ascii="Times New Roman" w:hAnsi="Times New Roman" w:cs="Times New Roman"/>
        </w:rPr>
        <w:t>.</w:t>
      </w:r>
      <w:r w:rsidRPr="004842AA">
        <w:rPr>
          <w:rStyle w:val="FootnoteReference"/>
          <w:rFonts w:ascii="Times New Roman" w:hAnsi="Times New Roman" w:cs="Times New Roman"/>
        </w:rPr>
        <w:footnoteReference w:id="202"/>
      </w:r>
      <w:r w:rsidRPr="004842AA">
        <w:rPr>
          <w:rFonts w:ascii="Times New Roman" w:hAnsi="Times New Roman" w:cs="Times New Roman"/>
        </w:rPr>
        <w:t xml:space="preserve">  For the rest of their lives (provided they continue to meet the relevant conditions),</w:t>
      </w:r>
      <w:r w:rsidRPr="004842AA">
        <w:rPr>
          <w:rStyle w:val="FootnoteReference"/>
          <w:rFonts w:ascii="Times New Roman" w:hAnsi="Times New Roman" w:cs="Times New Roman"/>
        </w:rPr>
        <w:footnoteReference w:id="203"/>
      </w:r>
      <w:r w:rsidRPr="004842AA">
        <w:rPr>
          <w:rFonts w:ascii="Times New Roman" w:hAnsi="Times New Roman" w:cs="Times New Roman"/>
        </w:rPr>
        <w:t xml:space="preserve"> </w:t>
      </w:r>
      <w:r w:rsidR="00C03BE5" w:rsidRPr="004842AA">
        <w:rPr>
          <w:rFonts w:ascii="Times New Roman" w:hAnsi="Times New Roman" w:cs="Times New Roman"/>
        </w:rPr>
        <w:t xml:space="preserve">those </w:t>
      </w:r>
      <w:r w:rsidRPr="004842AA">
        <w:rPr>
          <w:rFonts w:ascii="Times New Roman" w:hAnsi="Times New Roman" w:cs="Times New Roman"/>
        </w:rPr>
        <w:t xml:space="preserve">citizens will enjoy a defined series of rights and protections: for example, the </w:t>
      </w:r>
      <w:r w:rsidR="00303F33" w:rsidRPr="004842AA">
        <w:rPr>
          <w:rFonts w:ascii="Times New Roman" w:hAnsi="Times New Roman" w:cs="Times New Roman"/>
        </w:rPr>
        <w:t xml:space="preserve">right to continue residing in </w:t>
      </w:r>
      <w:r w:rsidRPr="004842AA">
        <w:rPr>
          <w:rFonts w:ascii="Times New Roman" w:hAnsi="Times New Roman" w:cs="Times New Roman"/>
        </w:rPr>
        <w:t xml:space="preserve">the </w:t>
      </w:r>
      <w:r w:rsidR="00303F33" w:rsidRPr="004842AA">
        <w:rPr>
          <w:rFonts w:ascii="Times New Roman" w:hAnsi="Times New Roman" w:cs="Times New Roman"/>
        </w:rPr>
        <w:t xml:space="preserve">host state in accordance with </w:t>
      </w:r>
      <w:r w:rsidR="00F91E76">
        <w:rPr>
          <w:rFonts w:ascii="Times New Roman" w:hAnsi="Times New Roman" w:cs="Times New Roman"/>
        </w:rPr>
        <w:t xml:space="preserve">applicable </w:t>
      </w:r>
      <w:r w:rsidR="00303F33" w:rsidRPr="004842AA">
        <w:rPr>
          <w:rFonts w:ascii="Times New Roman" w:hAnsi="Times New Roman" w:cs="Times New Roman"/>
        </w:rPr>
        <w:t>Union law</w:t>
      </w:r>
      <w:r w:rsidRPr="004842AA">
        <w:rPr>
          <w:rFonts w:ascii="Times New Roman" w:hAnsi="Times New Roman" w:cs="Times New Roman"/>
        </w:rPr>
        <w:t>;</w:t>
      </w:r>
      <w:r w:rsidRPr="004842AA">
        <w:rPr>
          <w:rStyle w:val="FootnoteReference"/>
          <w:rFonts w:ascii="Times New Roman" w:hAnsi="Times New Roman" w:cs="Times New Roman"/>
        </w:rPr>
        <w:footnoteReference w:id="204"/>
      </w:r>
      <w:r w:rsidRPr="004842AA">
        <w:rPr>
          <w:rFonts w:ascii="Times New Roman" w:hAnsi="Times New Roman" w:cs="Times New Roman"/>
        </w:rPr>
        <w:t xml:space="preserve"> the </w:t>
      </w:r>
      <w:r w:rsidR="00303F33" w:rsidRPr="004842AA">
        <w:rPr>
          <w:rFonts w:ascii="Times New Roman" w:hAnsi="Times New Roman" w:cs="Times New Roman"/>
        </w:rPr>
        <w:t xml:space="preserve">possibility </w:t>
      </w:r>
      <w:r w:rsidRPr="004842AA">
        <w:rPr>
          <w:rFonts w:ascii="Times New Roman" w:hAnsi="Times New Roman" w:cs="Times New Roman"/>
        </w:rPr>
        <w:t>of acquiring</w:t>
      </w:r>
      <w:r w:rsidR="00303F33" w:rsidRPr="004842AA">
        <w:rPr>
          <w:rFonts w:ascii="Times New Roman" w:hAnsi="Times New Roman" w:cs="Times New Roman"/>
        </w:rPr>
        <w:t xml:space="preserve"> permanent residence (based on continuous lawful residence in accordance with Union law, taking </w:t>
      </w:r>
      <w:r w:rsidR="000100EB">
        <w:rPr>
          <w:rFonts w:ascii="Times New Roman" w:hAnsi="Times New Roman" w:cs="Times New Roman"/>
        </w:rPr>
        <w:t xml:space="preserve">into </w:t>
      </w:r>
      <w:r w:rsidR="00303F33" w:rsidRPr="004842AA">
        <w:rPr>
          <w:rFonts w:ascii="Times New Roman" w:hAnsi="Times New Roman" w:cs="Times New Roman"/>
        </w:rPr>
        <w:t xml:space="preserve">account periods both before and after </w:t>
      </w:r>
      <w:r w:rsidRPr="004842AA">
        <w:rPr>
          <w:rFonts w:ascii="Times New Roman" w:hAnsi="Times New Roman" w:cs="Times New Roman"/>
        </w:rPr>
        <w:t>the end of transition</w:t>
      </w:r>
      <w:r w:rsidR="00303F33" w:rsidRPr="004842AA">
        <w:rPr>
          <w:rFonts w:ascii="Times New Roman" w:hAnsi="Times New Roman" w:cs="Times New Roman"/>
        </w:rPr>
        <w:t>)</w:t>
      </w:r>
      <w:r w:rsidRPr="004842AA">
        <w:rPr>
          <w:rFonts w:ascii="Times New Roman" w:hAnsi="Times New Roman" w:cs="Times New Roman"/>
        </w:rPr>
        <w:t>;</w:t>
      </w:r>
      <w:r w:rsidRPr="004842AA">
        <w:rPr>
          <w:rStyle w:val="FootnoteReference"/>
          <w:rFonts w:ascii="Times New Roman" w:hAnsi="Times New Roman" w:cs="Times New Roman"/>
        </w:rPr>
        <w:footnoteReference w:id="205"/>
      </w:r>
      <w:r w:rsidRPr="004842AA">
        <w:rPr>
          <w:rFonts w:ascii="Times New Roman" w:hAnsi="Times New Roman" w:cs="Times New Roman"/>
        </w:rPr>
        <w:t xml:space="preserve"> the </w:t>
      </w:r>
      <w:r w:rsidR="00303F33" w:rsidRPr="004842AA">
        <w:rPr>
          <w:rFonts w:ascii="Times New Roman" w:hAnsi="Times New Roman" w:cs="Times New Roman"/>
        </w:rPr>
        <w:t>right to change status</w:t>
      </w:r>
      <w:r w:rsidRPr="004842AA">
        <w:rPr>
          <w:rFonts w:ascii="Times New Roman" w:hAnsi="Times New Roman" w:cs="Times New Roman"/>
        </w:rPr>
        <w:t xml:space="preserve"> (say) </w:t>
      </w:r>
      <w:r w:rsidR="00303F33" w:rsidRPr="004842AA">
        <w:rPr>
          <w:rFonts w:ascii="Times New Roman" w:hAnsi="Times New Roman" w:cs="Times New Roman"/>
        </w:rPr>
        <w:t>between student, worker and economically inactive person</w:t>
      </w:r>
      <w:r w:rsidRPr="004842AA">
        <w:rPr>
          <w:rFonts w:ascii="Times New Roman" w:hAnsi="Times New Roman" w:cs="Times New Roman"/>
        </w:rPr>
        <w:t>;</w:t>
      </w:r>
      <w:r w:rsidRPr="004842AA">
        <w:rPr>
          <w:rStyle w:val="FootnoteReference"/>
          <w:rFonts w:ascii="Times New Roman" w:hAnsi="Times New Roman" w:cs="Times New Roman"/>
        </w:rPr>
        <w:footnoteReference w:id="206"/>
      </w:r>
      <w:r w:rsidRPr="004842AA">
        <w:rPr>
          <w:rFonts w:ascii="Times New Roman" w:hAnsi="Times New Roman" w:cs="Times New Roman"/>
        </w:rPr>
        <w:t xml:space="preserve"> various rights relating to work / self-employment and to equal treatment </w:t>
      </w:r>
      <w:r w:rsidR="00F91E76">
        <w:rPr>
          <w:rFonts w:ascii="Times New Roman" w:hAnsi="Times New Roman" w:cs="Times New Roman"/>
        </w:rPr>
        <w:t xml:space="preserve">on grounds of nationality </w:t>
      </w:r>
      <w:r w:rsidRPr="004842AA">
        <w:rPr>
          <w:rFonts w:ascii="Times New Roman" w:hAnsi="Times New Roman" w:cs="Times New Roman"/>
        </w:rPr>
        <w:t xml:space="preserve">in accordance with </w:t>
      </w:r>
      <w:r w:rsidR="00F91E76">
        <w:rPr>
          <w:rFonts w:ascii="Times New Roman" w:hAnsi="Times New Roman" w:cs="Times New Roman"/>
        </w:rPr>
        <w:t xml:space="preserve">applicable </w:t>
      </w:r>
      <w:r w:rsidRPr="004842AA">
        <w:rPr>
          <w:rFonts w:ascii="Times New Roman" w:hAnsi="Times New Roman" w:cs="Times New Roman"/>
        </w:rPr>
        <w:t>Union law;</w:t>
      </w:r>
      <w:r w:rsidRPr="004842AA">
        <w:rPr>
          <w:rStyle w:val="FootnoteReference"/>
          <w:rFonts w:ascii="Times New Roman" w:hAnsi="Times New Roman" w:cs="Times New Roman"/>
        </w:rPr>
        <w:footnoteReference w:id="207"/>
      </w:r>
      <w:r w:rsidRPr="004842AA">
        <w:rPr>
          <w:rFonts w:ascii="Times New Roman" w:hAnsi="Times New Roman" w:cs="Times New Roman"/>
        </w:rPr>
        <w:t xml:space="preserve"> </w:t>
      </w:r>
      <w:r w:rsidR="00C03BE5" w:rsidRPr="004842AA">
        <w:rPr>
          <w:rFonts w:ascii="Times New Roman" w:hAnsi="Times New Roman" w:cs="Times New Roman"/>
        </w:rPr>
        <w:t xml:space="preserve">and </w:t>
      </w:r>
      <w:r w:rsidR="00F91E76">
        <w:rPr>
          <w:rFonts w:ascii="Times New Roman" w:hAnsi="Times New Roman" w:cs="Times New Roman"/>
        </w:rPr>
        <w:t xml:space="preserve">limited </w:t>
      </w:r>
      <w:r w:rsidR="00303F33" w:rsidRPr="004842AA">
        <w:rPr>
          <w:rFonts w:ascii="Times New Roman" w:hAnsi="Times New Roman" w:cs="Times New Roman"/>
        </w:rPr>
        <w:t xml:space="preserve">provision for continuing protection as regards existing decisions on / pending applications for </w:t>
      </w:r>
      <w:r w:rsidR="00C03BE5" w:rsidRPr="004842AA">
        <w:rPr>
          <w:rFonts w:ascii="Times New Roman" w:hAnsi="Times New Roman" w:cs="Times New Roman"/>
        </w:rPr>
        <w:t xml:space="preserve">the </w:t>
      </w:r>
      <w:r w:rsidR="00303F33" w:rsidRPr="004842AA">
        <w:rPr>
          <w:rFonts w:ascii="Times New Roman" w:hAnsi="Times New Roman" w:cs="Times New Roman"/>
        </w:rPr>
        <w:t>mutual recognition of professional qualifications</w:t>
      </w:r>
      <w:r w:rsidR="00C03BE5" w:rsidRPr="004842AA">
        <w:rPr>
          <w:rFonts w:ascii="Times New Roman" w:hAnsi="Times New Roman" w:cs="Times New Roman"/>
        </w:rPr>
        <w:t>.</w:t>
      </w:r>
      <w:r w:rsidR="00C03BE5" w:rsidRPr="004842AA">
        <w:rPr>
          <w:rStyle w:val="FootnoteReference"/>
          <w:rFonts w:ascii="Times New Roman" w:hAnsi="Times New Roman" w:cs="Times New Roman"/>
        </w:rPr>
        <w:footnoteReference w:id="208"/>
      </w:r>
      <w:r w:rsidR="00303F33" w:rsidRPr="004842AA">
        <w:rPr>
          <w:rFonts w:ascii="Times New Roman" w:hAnsi="Times New Roman" w:cs="Times New Roman"/>
        </w:rPr>
        <w:t xml:space="preserve"> </w:t>
      </w:r>
      <w:r w:rsidR="00C03BE5" w:rsidRPr="004842AA">
        <w:rPr>
          <w:rFonts w:ascii="Times New Roman" w:hAnsi="Times New Roman" w:cs="Times New Roman"/>
        </w:rPr>
        <w:t xml:space="preserve"> In addition, </w:t>
      </w:r>
      <w:r w:rsidR="00303F33" w:rsidRPr="004842AA">
        <w:rPr>
          <w:rFonts w:ascii="Times New Roman" w:hAnsi="Times New Roman" w:cs="Times New Roman"/>
        </w:rPr>
        <w:t xml:space="preserve">Articles 30-36 </w:t>
      </w:r>
      <w:r w:rsidR="00C03BE5" w:rsidRPr="004842AA">
        <w:rPr>
          <w:rFonts w:ascii="Times New Roman" w:hAnsi="Times New Roman" w:cs="Times New Roman"/>
        </w:rPr>
        <w:t xml:space="preserve">WA </w:t>
      </w:r>
      <w:r w:rsidR="00303F33" w:rsidRPr="004842AA">
        <w:rPr>
          <w:rFonts w:ascii="Times New Roman" w:hAnsi="Times New Roman" w:cs="Times New Roman"/>
        </w:rPr>
        <w:t xml:space="preserve">provide for </w:t>
      </w:r>
      <w:r w:rsidR="00C03BE5" w:rsidRPr="004842AA">
        <w:rPr>
          <w:rFonts w:ascii="Times New Roman" w:hAnsi="Times New Roman" w:cs="Times New Roman"/>
        </w:rPr>
        <w:t xml:space="preserve">a </w:t>
      </w:r>
      <w:r w:rsidR="00303F33" w:rsidRPr="004842AA">
        <w:rPr>
          <w:rFonts w:ascii="Times New Roman" w:hAnsi="Times New Roman" w:cs="Times New Roman"/>
        </w:rPr>
        <w:t xml:space="preserve">continuing </w:t>
      </w:r>
      <w:r w:rsidR="00C03BE5" w:rsidRPr="004842AA">
        <w:rPr>
          <w:rFonts w:ascii="Times New Roman" w:hAnsi="Times New Roman" w:cs="Times New Roman"/>
        </w:rPr>
        <w:t xml:space="preserve">regime of </w:t>
      </w:r>
      <w:r w:rsidR="00303F33" w:rsidRPr="004842AA">
        <w:rPr>
          <w:rFonts w:ascii="Times New Roman" w:hAnsi="Times New Roman" w:cs="Times New Roman"/>
        </w:rPr>
        <w:t xml:space="preserve">social security coordination between </w:t>
      </w:r>
      <w:r w:rsidR="00C03BE5" w:rsidRPr="004842AA">
        <w:rPr>
          <w:rFonts w:ascii="Times New Roman" w:hAnsi="Times New Roman" w:cs="Times New Roman"/>
        </w:rPr>
        <w:t xml:space="preserve">the Union </w:t>
      </w:r>
      <w:r w:rsidR="00303F33" w:rsidRPr="004842AA">
        <w:rPr>
          <w:rFonts w:ascii="Times New Roman" w:hAnsi="Times New Roman" w:cs="Times New Roman"/>
        </w:rPr>
        <w:t xml:space="preserve">and </w:t>
      </w:r>
      <w:r w:rsidR="00C03BE5" w:rsidRPr="004842AA">
        <w:rPr>
          <w:rFonts w:ascii="Times New Roman" w:hAnsi="Times New Roman" w:cs="Times New Roman"/>
        </w:rPr>
        <w:t xml:space="preserve">the </w:t>
      </w:r>
      <w:r w:rsidR="00303F33" w:rsidRPr="004842AA">
        <w:rPr>
          <w:rFonts w:ascii="Times New Roman" w:hAnsi="Times New Roman" w:cs="Times New Roman"/>
        </w:rPr>
        <w:t xml:space="preserve">UK, in respect of </w:t>
      </w:r>
      <w:r w:rsidR="00C03BE5" w:rsidRPr="004842AA">
        <w:rPr>
          <w:rFonts w:ascii="Times New Roman" w:hAnsi="Times New Roman" w:cs="Times New Roman"/>
        </w:rPr>
        <w:t xml:space="preserve">a </w:t>
      </w:r>
      <w:r w:rsidR="00303F33" w:rsidRPr="004842AA">
        <w:rPr>
          <w:rFonts w:ascii="Times New Roman" w:hAnsi="Times New Roman" w:cs="Times New Roman"/>
        </w:rPr>
        <w:t>broader category of persons</w:t>
      </w:r>
      <w:r w:rsidR="00C03BE5" w:rsidRPr="004842AA">
        <w:rPr>
          <w:rFonts w:ascii="Times New Roman" w:hAnsi="Times New Roman" w:cs="Times New Roman"/>
        </w:rPr>
        <w:t xml:space="preserve">: for example, </w:t>
      </w:r>
      <w:r w:rsidR="00303F33" w:rsidRPr="004842AA">
        <w:rPr>
          <w:rFonts w:ascii="Times New Roman" w:hAnsi="Times New Roman" w:cs="Times New Roman"/>
        </w:rPr>
        <w:t xml:space="preserve">as regards </w:t>
      </w:r>
      <w:r w:rsidR="00C03BE5" w:rsidRPr="004842AA">
        <w:rPr>
          <w:rFonts w:ascii="Times New Roman" w:hAnsi="Times New Roman" w:cs="Times New Roman"/>
        </w:rPr>
        <w:t xml:space="preserve">the </w:t>
      </w:r>
      <w:r w:rsidR="00303F33" w:rsidRPr="004842AA">
        <w:rPr>
          <w:rFonts w:ascii="Times New Roman" w:hAnsi="Times New Roman" w:cs="Times New Roman"/>
        </w:rPr>
        <w:t xml:space="preserve">future aggregation and exportation of pensions in </w:t>
      </w:r>
      <w:r w:rsidR="00C03BE5" w:rsidRPr="004842AA">
        <w:rPr>
          <w:rFonts w:ascii="Times New Roman" w:hAnsi="Times New Roman" w:cs="Times New Roman"/>
        </w:rPr>
        <w:t xml:space="preserve">the </w:t>
      </w:r>
      <w:r w:rsidR="00303F33" w:rsidRPr="004842AA">
        <w:rPr>
          <w:rFonts w:ascii="Times New Roman" w:hAnsi="Times New Roman" w:cs="Times New Roman"/>
        </w:rPr>
        <w:t>event of cross-border retirement</w:t>
      </w:r>
      <w:r w:rsidR="00C03BE5" w:rsidRPr="004842AA">
        <w:rPr>
          <w:rFonts w:ascii="Times New Roman" w:hAnsi="Times New Roman" w:cs="Times New Roman"/>
        </w:rPr>
        <w:t xml:space="preserve">; in respect of </w:t>
      </w:r>
      <w:r w:rsidR="00303F33" w:rsidRPr="004842AA">
        <w:rPr>
          <w:rFonts w:ascii="Times New Roman" w:hAnsi="Times New Roman" w:cs="Times New Roman"/>
        </w:rPr>
        <w:t xml:space="preserve">authorised medical procedures ongoing / medical cover for emergencies during </w:t>
      </w:r>
      <w:r w:rsidR="00C03BE5" w:rsidRPr="004842AA">
        <w:rPr>
          <w:rFonts w:ascii="Times New Roman" w:hAnsi="Times New Roman" w:cs="Times New Roman"/>
        </w:rPr>
        <w:t xml:space="preserve">any </w:t>
      </w:r>
      <w:r w:rsidR="00303F33" w:rsidRPr="004842AA">
        <w:rPr>
          <w:rFonts w:ascii="Times New Roman" w:hAnsi="Times New Roman" w:cs="Times New Roman"/>
        </w:rPr>
        <w:t xml:space="preserve">trip in progress </w:t>
      </w:r>
      <w:r w:rsidR="00C03BE5" w:rsidRPr="004842AA">
        <w:rPr>
          <w:rFonts w:ascii="Times New Roman" w:hAnsi="Times New Roman" w:cs="Times New Roman"/>
        </w:rPr>
        <w:t xml:space="preserve">as </w:t>
      </w:r>
      <w:r w:rsidR="00303F33" w:rsidRPr="004842AA">
        <w:rPr>
          <w:rFonts w:ascii="Times New Roman" w:hAnsi="Times New Roman" w:cs="Times New Roman"/>
        </w:rPr>
        <w:t xml:space="preserve">at </w:t>
      </w:r>
      <w:r w:rsidR="006861A1">
        <w:rPr>
          <w:rFonts w:ascii="Times New Roman" w:hAnsi="Times New Roman" w:cs="Times New Roman"/>
        </w:rPr>
        <w:t>the end of the transition</w:t>
      </w:r>
      <w:r w:rsidR="00C03BE5" w:rsidRPr="004842AA">
        <w:rPr>
          <w:rFonts w:ascii="Times New Roman" w:hAnsi="Times New Roman" w:cs="Times New Roman"/>
        </w:rPr>
        <w:t xml:space="preserve"> period</w:t>
      </w:r>
      <w:r w:rsidR="00284F0F">
        <w:rPr>
          <w:rFonts w:ascii="Times New Roman" w:hAnsi="Times New Roman" w:cs="Times New Roman"/>
        </w:rPr>
        <w:t>; and as regards the award of family benefits to which certain individuals are entitled as at the expiry of transition</w:t>
      </w:r>
      <w:r w:rsidR="00C03BE5" w:rsidRPr="004842AA">
        <w:rPr>
          <w:rFonts w:ascii="Times New Roman" w:hAnsi="Times New Roman" w:cs="Times New Roman"/>
        </w:rPr>
        <w:t>.</w:t>
      </w:r>
      <w:r w:rsidR="00284F0F">
        <w:rPr>
          <w:rStyle w:val="FootnoteReference"/>
          <w:rFonts w:ascii="Times New Roman" w:hAnsi="Times New Roman" w:cs="Times New Roman"/>
        </w:rPr>
        <w:footnoteReference w:id="209"/>
      </w:r>
    </w:p>
    <w:p w14:paraId="3D249FAB" w14:textId="604116CF" w:rsidR="00F50C75" w:rsidRDefault="00C03BE5" w:rsidP="00F50C75">
      <w:pPr>
        <w:ind w:firstLine="720"/>
        <w:jc w:val="both"/>
        <w:rPr>
          <w:rFonts w:ascii="Times New Roman" w:hAnsi="Times New Roman" w:cs="Times New Roman"/>
        </w:rPr>
      </w:pPr>
      <w:r w:rsidRPr="004842AA">
        <w:rPr>
          <w:rFonts w:ascii="Times New Roman" w:hAnsi="Times New Roman" w:cs="Times New Roman"/>
        </w:rPr>
        <w:t xml:space="preserve">The decision to rely on </w:t>
      </w:r>
      <w:r w:rsidR="00F91E76">
        <w:rPr>
          <w:rFonts w:ascii="Times New Roman" w:hAnsi="Times New Roman" w:cs="Times New Roman"/>
        </w:rPr>
        <w:t xml:space="preserve">existing </w:t>
      </w:r>
      <w:r w:rsidR="00303F33" w:rsidRPr="004842AA">
        <w:rPr>
          <w:rFonts w:ascii="Times New Roman" w:hAnsi="Times New Roman" w:cs="Times New Roman"/>
        </w:rPr>
        <w:t xml:space="preserve">Union </w:t>
      </w:r>
      <w:proofErr w:type="gramStart"/>
      <w:r w:rsidR="00303F33" w:rsidRPr="004842AA">
        <w:rPr>
          <w:rFonts w:ascii="Times New Roman" w:hAnsi="Times New Roman" w:cs="Times New Roman"/>
        </w:rPr>
        <w:t>law</w:t>
      </w:r>
      <w:proofErr w:type="gramEnd"/>
      <w:r w:rsidR="00303F33" w:rsidRPr="004842AA">
        <w:rPr>
          <w:rFonts w:ascii="Times New Roman" w:hAnsi="Times New Roman" w:cs="Times New Roman"/>
        </w:rPr>
        <w:t xml:space="preserve"> as </w:t>
      </w:r>
      <w:r w:rsidRPr="004842AA">
        <w:rPr>
          <w:rFonts w:ascii="Times New Roman" w:hAnsi="Times New Roman" w:cs="Times New Roman"/>
        </w:rPr>
        <w:t xml:space="preserve">a </w:t>
      </w:r>
      <w:r w:rsidR="00303F33" w:rsidRPr="004842AA">
        <w:rPr>
          <w:rFonts w:ascii="Times New Roman" w:hAnsi="Times New Roman" w:cs="Times New Roman"/>
        </w:rPr>
        <w:t xml:space="preserve">general baseline for </w:t>
      </w:r>
      <w:r w:rsidRPr="004842AA">
        <w:rPr>
          <w:rFonts w:ascii="Times New Roman" w:hAnsi="Times New Roman" w:cs="Times New Roman"/>
        </w:rPr>
        <w:t xml:space="preserve">the protection of </w:t>
      </w:r>
      <w:r w:rsidR="00303F33" w:rsidRPr="004842AA">
        <w:rPr>
          <w:rFonts w:ascii="Times New Roman" w:hAnsi="Times New Roman" w:cs="Times New Roman"/>
        </w:rPr>
        <w:t xml:space="preserve">citizens’ rights </w:t>
      </w:r>
      <w:r w:rsidRPr="004842AA">
        <w:rPr>
          <w:rFonts w:ascii="Times New Roman" w:hAnsi="Times New Roman" w:cs="Times New Roman"/>
        </w:rPr>
        <w:t>under the Agreement might sound</w:t>
      </w:r>
      <w:r w:rsidR="00303F33" w:rsidRPr="004842AA">
        <w:rPr>
          <w:rFonts w:ascii="Times New Roman" w:hAnsi="Times New Roman" w:cs="Times New Roman"/>
        </w:rPr>
        <w:t xml:space="preserve"> uncontroversial –</w:t>
      </w:r>
      <w:r w:rsidRPr="004842AA">
        <w:rPr>
          <w:rFonts w:ascii="Times New Roman" w:hAnsi="Times New Roman" w:cs="Times New Roman"/>
        </w:rPr>
        <w:t xml:space="preserve"> but</w:t>
      </w:r>
      <w:r w:rsidR="00303F33" w:rsidRPr="004842AA">
        <w:rPr>
          <w:rFonts w:ascii="Times New Roman" w:hAnsi="Times New Roman" w:cs="Times New Roman"/>
        </w:rPr>
        <w:t xml:space="preserve"> it </w:t>
      </w:r>
      <w:r w:rsidRPr="004842AA">
        <w:rPr>
          <w:rFonts w:ascii="Times New Roman" w:hAnsi="Times New Roman" w:cs="Times New Roman"/>
        </w:rPr>
        <w:t xml:space="preserve">is still </w:t>
      </w:r>
      <w:r w:rsidR="00303F33" w:rsidRPr="004842AA">
        <w:rPr>
          <w:rFonts w:ascii="Times New Roman" w:hAnsi="Times New Roman" w:cs="Times New Roman"/>
        </w:rPr>
        <w:t>potentially problematic</w:t>
      </w:r>
      <w:r w:rsidRPr="004842AA">
        <w:rPr>
          <w:rFonts w:ascii="Times New Roman" w:hAnsi="Times New Roman" w:cs="Times New Roman"/>
        </w:rPr>
        <w:t xml:space="preserve">.  In particular, limiting entitlement to protection (in most situations) </w:t>
      </w:r>
      <w:r w:rsidR="00303F33" w:rsidRPr="004842AA">
        <w:rPr>
          <w:rFonts w:ascii="Times New Roman" w:hAnsi="Times New Roman" w:cs="Times New Roman"/>
        </w:rPr>
        <w:t xml:space="preserve">to economically active and financially independent citizens as defined under Union free movement law </w:t>
      </w:r>
      <w:r w:rsidRPr="004842AA">
        <w:rPr>
          <w:rFonts w:ascii="Times New Roman" w:hAnsi="Times New Roman" w:cs="Times New Roman"/>
        </w:rPr>
        <w:t xml:space="preserve">leads to potential problems: first, as regards those with </w:t>
      </w:r>
      <w:r w:rsidR="00303F33" w:rsidRPr="004842AA">
        <w:rPr>
          <w:rFonts w:ascii="Times New Roman" w:hAnsi="Times New Roman" w:cs="Times New Roman"/>
        </w:rPr>
        <w:t xml:space="preserve">“non-linear” </w:t>
      </w:r>
      <w:r w:rsidRPr="004842AA">
        <w:rPr>
          <w:rFonts w:ascii="Times New Roman" w:hAnsi="Times New Roman" w:cs="Times New Roman"/>
        </w:rPr>
        <w:t xml:space="preserve">or </w:t>
      </w:r>
      <w:r w:rsidR="00303F33" w:rsidRPr="004842AA">
        <w:rPr>
          <w:rFonts w:ascii="Times New Roman" w:hAnsi="Times New Roman" w:cs="Times New Roman"/>
        </w:rPr>
        <w:t xml:space="preserve">“non-standard” migration experiences </w:t>
      </w:r>
      <w:r w:rsidRPr="004842AA">
        <w:rPr>
          <w:rFonts w:ascii="Times New Roman" w:hAnsi="Times New Roman" w:cs="Times New Roman"/>
        </w:rPr>
        <w:t xml:space="preserve">(such as </w:t>
      </w:r>
      <w:r w:rsidR="00303F33" w:rsidRPr="004842AA">
        <w:rPr>
          <w:rFonts w:ascii="Times New Roman" w:hAnsi="Times New Roman" w:cs="Times New Roman"/>
        </w:rPr>
        <w:t xml:space="preserve">insecure </w:t>
      </w:r>
      <w:r w:rsidRPr="004842AA">
        <w:rPr>
          <w:rFonts w:ascii="Times New Roman" w:hAnsi="Times New Roman" w:cs="Times New Roman"/>
        </w:rPr>
        <w:t xml:space="preserve">or </w:t>
      </w:r>
      <w:r w:rsidR="00303F33" w:rsidRPr="004842AA">
        <w:rPr>
          <w:rFonts w:ascii="Times New Roman" w:hAnsi="Times New Roman" w:cs="Times New Roman"/>
        </w:rPr>
        <w:t>irregular work</w:t>
      </w:r>
      <w:r w:rsidRPr="004842AA">
        <w:rPr>
          <w:rFonts w:ascii="Times New Roman" w:hAnsi="Times New Roman" w:cs="Times New Roman"/>
        </w:rPr>
        <w:t xml:space="preserve">, careers </w:t>
      </w:r>
      <w:r w:rsidR="00303F33" w:rsidRPr="004842AA">
        <w:rPr>
          <w:rFonts w:ascii="Times New Roman" w:hAnsi="Times New Roman" w:cs="Times New Roman"/>
        </w:rPr>
        <w:t xml:space="preserve">breaks </w:t>
      </w:r>
      <w:r w:rsidRPr="004842AA">
        <w:rPr>
          <w:rFonts w:ascii="Times New Roman" w:hAnsi="Times New Roman" w:cs="Times New Roman"/>
        </w:rPr>
        <w:t xml:space="preserve">due to </w:t>
      </w:r>
      <w:r w:rsidR="00303F33" w:rsidRPr="004842AA">
        <w:rPr>
          <w:rFonts w:ascii="Times New Roman" w:hAnsi="Times New Roman" w:cs="Times New Roman"/>
        </w:rPr>
        <w:t xml:space="preserve">care </w:t>
      </w:r>
      <w:r w:rsidRPr="004842AA">
        <w:rPr>
          <w:rFonts w:ascii="Times New Roman" w:hAnsi="Times New Roman" w:cs="Times New Roman"/>
        </w:rPr>
        <w:t>responsibilities</w:t>
      </w:r>
      <w:r w:rsidR="008464A4">
        <w:rPr>
          <w:rFonts w:ascii="Times New Roman" w:hAnsi="Times New Roman" w:cs="Times New Roman"/>
        </w:rPr>
        <w:t>, and vulnerable children in social care</w:t>
      </w:r>
      <w:r w:rsidRPr="004842AA">
        <w:rPr>
          <w:rFonts w:ascii="Times New Roman" w:hAnsi="Times New Roman" w:cs="Times New Roman"/>
        </w:rPr>
        <w:t xml:space="preserve">); and secondly, </w:t>
      </w:r>
      <w:r w:rsidR="00303F33" w:rsidRPr="004842AA">
        <w:rPr>
          <w:rFonts w:ascii="Times New Roman" w:hAnsi="Times New Roman" w:cs="Times New Roman"/>
        </w:rPr>
        <w:t xml:space="preserve">for those resident outside </w:t>
      </w:r>
      <w:r w:rsidRPr="004842AA">
        <w:rPr>
          <w:rFonts w:ascii="Times New Roman" w:hAnsi="Times New Roman" w:cs="Times New Roman"/>
        </w:rPr>
        <w:t xml:space="preserve">the strict </w:t>
      </w:r>
      <w:r w:rsidR="00303F33" w:rsidRPr="004842AA">
        <w:rPr>
          <w:rFonts w:ascii="Times New Roman" w:hAnsi="Times New Roman" w:cs="Times New Roman"/>
        </w:rPr>
        <w:t xml:space="preserve">scope of Union law yet without any objection by </w:t>
      </w:r>
      <w:r w:rsidRPr="004842AA">
        <w:rPr>
          <w:rFonts w:ascii="Times New Roman" w:hAnsi="Times New Roman" w:cs="Times New Roman"/>
        </w:rPr>
        <w:t xml:space="preserve">their </w:t>
      </w:r>
      <w:r w:rsidR="00303F33" w:rsidRPr="004842AA">
        <w:rPr>
          <w:rFonts w:ascii="Times New Roman" w:hAnsi="Times New Roman" w:cs="Times New Roman"/>
        </w:rPr>
        <w:t xml:space="preserve">host </w:t>
      </w:r>
      <w:r w:rsidRPr="004842AA">
        <w:rPr>
          <w:rFonts w:ascii="Times New Roman" w:hAnsi="Times New Roman" w:cs="Times New Roman"/>
        </w:rPr>
        <w:t xml:space="preserve">country (such as </w:t>
      </w:r>
      <w:r w:rsidR="00303F33" w:rsidRPr="004842AA">
        <w:rPr>
          <w:rFonts w:ascii="Times New Roman" w:hAnsi="Times New Roman" w:cs="Times New Roman"/>
        </w:rPr>
        <w:t xml:space="preserve">students </w:t>
      </w:r>
      <w:r w:rsidRPr="004842AA">
        <w:rPr>
          <w:rFonts w:ascii="Times New Roman" w:hAnsi="Times New Roman" w:cs="Times New Roman"/>
        </w:rPr>
        <w:t xml:space="preserve">or </w:t>
      </w:r>
      <w:r w:rsidR="00303F33" w:rsidRPr="004842AA">
        <w:rPr>
          <w:rFonts w:ascii="Times New Roman" w:hAnsi="Times New Roman" w:cs="Times New Roman"/>
        </w:rPr>
        <w:t xml:space="preserve">retired people </w:t>
      </w:r>
      <w:r w:rsidRPr="004842AA">
        <w:rPr>
          <w:rFonts w:ascii="Times New Roman" w:hAnsi="Times New Roman" w:cs="Times New Roman"/>
        </w:rPr>
        <w:t xml:space="preserve">lacking </w:t>
      </w:r>
      <w:r w:rsidR="00303F33" w:rsidRPr="004842AA">
        <w:rPr>
          <w:rFonts w:ascii="Times New Roman" w:hAnsi="Times New Roman" w:cs="Times New Roman"/>
        </w:rPr>
        <w:t>comprehensive sickness insurance</w:t>
      </w:r>
      <w:r w:rsidRPr="004842AA">
        <w:rPr>
          <w:rFonts w:ascii="Times New Roman" w:hAnsi="Times New Roman" w:cs="Times New Roman"/>
        </w:rPr>
        <w:t>).</w:t>
      </w:r>
      <w:r w:rsidR="00B579F2">
        <w:rPr>
          <w:rStyle w:val="FootnoteReference"/>
          <w:rFonts w:ascii="Times New Roman" w:hAnsi="Times New Roman" w:cs="Times New Roman"/>
        </w:rPr>
        <w:footnoteReference w:id="210"/>
      </w:r>
      <w:r w:rsidRPr="004842AA">
        <w:rPr>
          <w:rFonts w:ascii="Times New Roman" w:hAnsi="Times New Roman" w:cs="Times New Roman"/>
        </w:rPr>
        <w:t xml:space="preserve">  </w:t>
      </w:r>
      <w:r w:rsidR="00303F33" w:rsidRPr="004842AA">
        <w:rPr>
          <w:rFonts w:ascii="Times New Roman" w:hAnsi="Times New Roman" w:cs="Times New Roman"/>
        </w:rPr>
        <w:t xml:space="preserve">If </w:t>
      </w:r>
      <w:r w:rsidRPr="004842AA">
        <w:rPr>
          <w:rFonts w:ascii="Times New Roman" w:hAnsi="Times New Roman" w:cs="Times New Roman"/>
        </w:rPr>
        <w:t xml:space="preserve">a given State </w:t>
      </w:r>
      <w:r w:rsidR="00303F33" w:rsidRPr="004842AA">
        <w:rPr>
          <w:rFonts w:ascii="Times New Roman" w:hAnsi="Times New Roman" w:cs="Times New Roman"/>
        </w:rPr>
        <w:t xml:space="preserve">were to enforce </w:t>
      </w:r>
      <w:r w:rsidRPr="004842AA">
        <w:rPr>
          <w:rFonts w:ascii="Times New Roman" w:hAnsi="Times New Roman" w:cs="Times New Roman"/>
        </w:rPr>
        <w:t xml:space="preserve">the Agreement </w:t>
      </w:r>
      <w:r w:rsidR="00303F33" w:rsidRPr="004842AA">
        <w:rPr>
          <w:rFonts w:ascii="Times New Roman" w:hAnsi="Times New Roman" w:cs="Times New Roman"/>
        </w:rPr>
        <w:t>at face value</w:t>
      </w:r>
      <w:r w:rsidRPr="004842AA">
        <w:rPr>
          <w:rFonts w:ascii="Times New Roman" w:hAnsi="Times New Roman" w:cs="Times New Roman"/>
        </w:rPr>
        <w:t xml:space="preserve">, that decision </w:t>
      </w:r>
      <w:r w:rsidR="00303F33" w:rsidRPr="004842AA">
        <w:rPr>
          <w:rFonts w:ascii="Times New Roman" w:hAnsi="Times New Roman" w:cs="Times New Roman"/>
        </w:rPr>
        <w:t xml:space="preserve">could have serious </w:t>
      </w:r>
      <w:r w:rsidRPr="004842AA">
        <w:rPr>
          <w:rFonts w:ascii="Times New Roman" w:hAnsi="Times New Roman" w:cs="Times New Roman"/>
        </w:rPr>
        <w:t xml:space="preserve">consequences for </w:t>
      </w:r>
      <w:r w:rsidR="00303F33" w:rsidRPr="004842AA">
        <w:rPr>
          <w:rFonts w:ascii="Times New Roman" w:hAnsi="Times New Roman" w:cs="Times New Roman"/>
        </w:rPr>
        <w:t xml:space="preserve">many </w:t>
      </w:r>
      <w:r w:rsidRPr="004842AA">
        <w:rPr>
          <w:rFonts w:ascii="Times New Roman" w:hAnsi="Times New Roman" w:cs="Times New Roman"/>
        </w:rPr>
        <w:t>individuals whose residency was never previously questioned and who sincerely believed that their status was unproblematic.</w:t>
      </w:r>
      <w:r w:rsidR="003314D0" w:rsidRPr="004842AA">
        <w:rPr>
          <w:rStyle w:val="FootnoteReference"/>
          <w:rFonts w:ascii="Times New Roman" w:hAnsi="Times New Roman" w:cs="Times New Roman"/>
        </w:rPr>
        <w:footnoteReference w:id="211"/>
      </w:r>
      <w:r w:rsidRPr="004842AA">
        <w:rPr>
          <w:rFonts w:ascii="Times New Roman" w:hAnsi="Times New Roman" w:cs="Times New Roman"/>
        </w:rPr>
        <w:t xml:space="preserve">  Nor is it enough to retort: one cannot lose what one never had in the </w:t>
      </w:r>
      <w:r w:rsidRPr="004842AA">
        <w:rPr>
          <w:rFonts w:ascii="Times New Roman" w:hAnsi="Times New Roman" w:cs="Times New Roman"/>
        </w:rPr>
        <w:lastRenderedPageBreak/>
        <w:t xml:space="preserve">first place.  As </w:t>
      </w:r>
      <w:proofErr w:type="spellStart"/>
      <w:r w:rsidRPr="004842AA">
        <w:rPr>
          <w:rFonts w:ascii="Times New Roman" w:hAnsi="Times New Roman" w:cs="Times New Roman"/>
        </w:rPr>
        <w:t>Spaventa</w:t>
      </w:r>
      <w:proofErr w:type="spellEnd"/>
      <w:r w:rsidRPr="004842AA">
        <w:rPr>
          <w:rFonts w:ascii="Times New Roman" w:hAnsi="Times New Roman" w:cs="Times New Roman"/>
        </w:rPr>
        <w:t xml:space="preserve"> has pointed out: any </w:t>
      </w:r>
      <w:r w:rsidR="00303F33" w:rsidRPr="004842AA">
        <w:rPr>
          <w:rFonts w:ascii="Times New Roman" w:hAnsi="Times New Roman" w:cs="Times New Roman"/>
        </w:rPr>
        <w:t xml:space="preserve">change in </w:t>
      </w:r>
      <w:r w:rsidRPr="004842AA">
        <w:rPr>
          <w:rFonts w:ascii="Times New Roman" w:hAnsi="Times New Roman" w:cs="Times New Roman"/>
        </w:rPr>
        <w:t xml:space="preserve">or </w:t>
      </w:r>
      <w:r w:rsidR="00303F33" w:rsidRPr="004842AA">
        <w:rPr>
          <w:rFonts w:ascii="Times New Roman" w:hAnsi="Times New Roman" w:cs="Times New Roman"/>
        </w:rPr>
        <w:t xml:space="preserve">loss of status under Union law is </w:t>
      </w:r>
      <w:r w:rsidRPr="004842AA">
        <w:rPr>
          <w:rFonts w:ascii="Times New Roman" w:hAnsi="Times New Roman" w:cs="Times New Roman"/>
        </w:rPr>
        <w:t xml:space="preserve">usually </w:t>
      </w:r>
      <w:r w:rsidR="00303F33" w:rsidRPr="004842AA">
        <w:rPr>
          <w:rFonts w:ascii="Times New Roman" w:hAnsi="Times New Roman" w:cs="Times New Roman"/>
        </w:rPr>
        <w:t xml:space="preserve">flexible </w:t>
      </w:r>
      <w:r w:rsidRPr="004842AA">
        <w:rPr>
          <w:rFonts w:ascii="Times New Roman" w:hAnsi="Times New Roman" w:cs="Times New Roman"/>
        </w:rPr>
        <w:t xml:space="preserve">and </w:t>
      </w:r>
      <w:r w:rsidR="00303F33" w:rsidRPr="004842AA">
        <w:rPr>
          <w:rFonts w:ascii="Times New Roman" w:hAnsi="Times New Roman" w:cs="Times New Roman"/>
        </w:rPr>
        <w:t>temporary</w:t>
      </w:r>
      <w:r w:rsidRPr="004842AA">
        <w:rPr>
          <w:rFonts w:ascii="Times New Roman" w:hAnsi="Times New Roman" w:cs="Times New Roman"/>
        </w:rPr>
        <w:t xml:space="preserve">; one </w:t>
      </w:r>
      <w:r w:rsidR="00303F33" w:rsidRPr="004842AA">
        <w:rPr>
          <w:rFonts w:ascii="Times New Roman" w:hAnsi="Times New Roman" w:cs="Times New Roman"/>
        </w:rPr>
        <w:t xml:space="preserve">can leave and come back, </w:t>
      </w:r>
      <w:r w:rsidRPr="004842AA">
        <w:rPr>
          <w:rFonts w:ascii="Times New Roman" w:hAnsi="Times New Roman" w:cs="Times New Roman"/>
        </w:rPr>
        <w:t xml:space="preserve">one might </w:t>
      </w:r>
      <w:r w:rsidR="00303F33" w:rsidRPr="004842AA">
        <w:rPr>
          <w:rFonts w:ascii="Times New Roman" w:hAnsi="Times New Roman" w:cs="Times New Roman"/>
        </w:rPr>
        <w:t xml:space="preserve">lose </w:t>
      </w:r>
      <w:r w:rsidR="008F018A">
        <w:rPr>
          <w:rFonts w:ascii="Times New Roman" w:hAnsi="Times New Roman" w:cs="Times New Roman"/>
        </w:rPr>
        <w:t xml:space="preserve">a </w:t>
      </w:r>
      <w:r w:rsidR="00303F33" w:rsidRPr="004842AA">
        <w:rPr>
          <w:rFonts w:ascii="Times New Roman" w:hAnsi="Times New Roman" w:cs="Times New Roman"/>
        </w:rPr>
        <w:t xml:space="preserve">job then find another, </w:t>
      </w:r>
      <w:r w:rsidRPr="004842AA">
        <w:rPr>
          <w:rFonts w:ascii="Times New Roman" w:hAnsi="Times New Roman" w:cs="Times New Roman"/>
        </w:rPr>
        <w:t xml:space="preserve">one can </w:t>
      </w:r>
      <w:r w:rsidR="00303F33" w:rsidRPr="004842AA">
        <w:rPr>
          <w:rFonts w:ascii="Times New Roman" w:hAnsi="Times New Roman" w:cs="Times New Roman"/>
        </w:rPr>
        <w:t xml:space="preserve">rectify </w:t>
      </w:r>
      <w:r w:rsidRPr="004842AA">
        <w:rPr>
          <w:rFonts w:ascii="Times New Roman" w:hAnsi="Times New Roman" w:cs="Times New Roman"/>
        </w:rPr>
        <w:t xml:space="preserve">an </w:t>
      </w:r>
      <w:r w:rsidR="00303F33" w:rsidRPr="004842AA">
        <w:rPr>
          <w:rFonts w:ascii="Times New Roman" w:hAnsi="Times New Roman" w:cs="Times New Roman"/>
        </w:rPr>
        <w:t>irregular situation</w:t>
      </w:r>
      <w:r w:rsidRPr="004842AA">
        <w:rPr>
          <w:rFonts w:ascii="Times New Roman" w:hAnsi="Times New Roman" w:cs="Times New Roman"/>
        </w:rPr>
        <w:t xml:space="preserve">.  But a </w:t>
      </w:r>
      <w:r w:rsidR="00303F33" w:rsidRPr="004842AA">
        <w:rPr>
          <w:rFonts w:ascii="Times New Roman" w:hAnsi="Times New Roman" w:cs="Times New Roman"/>
        </w:rPr>
        <w:t xml:space="preserve">change in </w:t>
      </w:r>
      <w:r w:rsidRPr="004842AA">
        <w:rPr>
          <w:rFonts w:ascii="Times New Roman" w:hAnsi="Times New Roman" w:cs="Times New Roman"/>
        </w:rPr>
        <w:t xml:space="preserve">or </w:t>
      </w:r>
      <w:r w:rsidR="00303F33" w:rsidRPr="004842AA">
        <w:rPr>
          <w:rFonts w:ascii="Times New Roman" w:hAnsi="Times New Roman" w:cs="Times New Roman"/>
        </w:rPr>
        <w:t xml:space="preserve">loss of status under </w:t>
      </w:r>
      <w:r w:rsidRPr="004842AA">
        <w:rPr>
          <w:rFonts w:ascii="Times New Roman" w:hAnsi="Times New Roman" w:cs="Times New Roman"/>
        </w:rPr>
        <w:t xml:space="preserve">the Agreement is potentially </w:t>
      </w:r>
      <w:r w:rsidR="00303F33" w:rsidRPr="004842AA">
        <w:rPr>
          <w:rFonts w:ascii="Times New Roman" w:hAnsi="Times New Roman" w:cs="Times New Roman"/>
        </w:rPr>
        <w:t xml:space="preserve">definitive </w:t>
      </w:r>
      <w:r w:rsidRPr="004842AA">
        <w:rPr>
          <w:rFonts w:ascii="Times New Roman" w:hAnsi="Times New Roman" w:cs="Times New Roman"/>
        </w:rPr>
        <w:t xml:space="preserve">and </w:t>
      </w:r>
      <w:r w:rsidR="00303F33" w:rsidRPr="004842AA">
        <w:rPr>
          <w:rFonts w:ascii="Times New Roman" w:hAnsi="Times New Roman" w:cs="Times New Roman"/>
        </w:rPr>
        <w:t>permanent</w:t>
      </w:r>
      <w:r w:rsidRPr="004842AA">
        <w:rPr>
          <w:rFonts w:ascii="Times New Roman" w:hAnsi="Times New Roman" w:cs="Times New Roman"/>
        </w:rPr>
        <w:t xml:space="preserve">: failing to </w:t>
      </w:r>
      <w:r w:rsidR="00303F33" w:rsidRPr="004842AA">
        <w:rPr>
          <w:rFonts w:ascii="Times New Roman" w:hAnsi="Times New Roman" w:cs="Times New Roman"/>
        </w:rPr>
        <w:t>qualify for protection</w:t>
      </w:r>
      <w:r w:rsidRPr="004842AA">
        <w:rPr>
          <w:rFonts w:ascii="Times New Roman" w:hAnsi="Times New Roman" w:cs="Times New Roman"/>
        </w:rPr>
        <w:t xml:space="preserve">, or later ceasing to </w:t>
      </w:r>
      <w:r w:rsidR="00303F33" w:rsidRPr="004842AA">
        <w:rPr>
          <w:rFonts w:ascii="Times New Roman" w:hAnsi="Times New Roman" w:cs="Times New Roman"/>
        </w:rPr>
        <w:t xml:space="preserve">satisfy </w:t>
      </w:r>
      <w:r w:rsidRPr="004842AA">
        <w:rPr>
          <w:rFonts w:ascii="Times New Roman" w:hAnsi="Times New Roman" w:cs="Times New Roman"/>
        </w:rPr>
        <w:t xml:space="preserve">the </w:t>
      </w:r>
      <w:r w:rsidR="00303F33" w:rsidRPr="004842AA">
        <w:rPr>
          <w:rFonts w:ascii="Times New Roman" w:hAnsi="Times New Roman" w:cs="Times New Roman"/>
        </w:rPr>
        <w:t xml:space="preserve">continuing requirements </w:t>
      </w:r>
      <w:r w:rsidR="003314D0" w:rsidRPr="004842AA">
        <w:rPr>
          <w:rFonts w:ascii="Times New Roman" w:hAnsi="Times New Roman" w:cs="Times New Roman"/>
        </w:rPr>
        <w:t xml:space="preserve">thereof, could well lead to the total loss of </w:t>
      </w:r>
      <w:r w:rsidR="00303F33" w:rsidRPr="004842AA">
        <w:rPr>
          <w:rFonts w:ascii="Times New Roman" w:hAnsi="Times New Roman" w:cs="Times New Roman"/>
        </w:rPr>
        <w:t xml:space="preserve">protected status </w:t>
      </w:r>
      <w:r w:rsidR="003314D0" w:rsidRPr="004842AA">
        <w:rPr>
          <w:rFonts w:ascii="Times New Roman" w:hAnsi="Times New Roman" w:cs="Times New Roman"/>
        </w:rPr>
        <w:t xml:space="preserve">with no possibility that it might </w:t>
      </w:r>
      <w:r w:rsidR="009041F4">
        <w:rPr>
          <w:rFonts w:ascii="Times New Roman" w:hAnsi="Times New Roman" w:cs="Times New Roman"/>
        </w:rPr>
        <w:t xml:space="preserve">ever </w:t>
      </w:r>
      <w:r w:rsidR="003314D0" w:rsidRPr="004842AA">
        <w:rPr>
          <w:rFonts w:ascii="Times New Roman" w:hAnsi="Times New Roman" w:cs="Times New Roman"/>
        </w:rPr>
        <w:t xml:space="preserve">be </w:t>
      </w:r>
      <w:r w:rsidR="00303F33" w:rsidRPr="004842AA">
        <w:rPr>
          <w:rFonts w:ascii="Times New Roman" w:hAnsi="Times New Roman" w:cs="Times New Roman"/>
        </w:rPr>
        <w:t>regained</w:t>
      </w:r>
      <w:r w:rsidR="003314D0" w:rsidRPr="004842AA">
        <w:rPr>
          <w:rFonts w:ascii="Times New Roman" w:hAnsi="Times New Roman" w:cs="Times New Roman"/>
        </w:rPr>
        <w:t>.</w:t>
      </w:r>
      <w:r w:rsidR="003314D0" w:rsidRPr="004842AA">
        <w:rPr>
          <w:rStyle w:val="FootnoteReference"/>
          <w:rFonts w:ascii="Times New Roman" w:hAnsi="Times New Roman" w:cs="Times New Roman"/>
        </w:rPr>
        <w:footnoteReference w:id="212"/>
      </w:r>
      <w:r w:rsidR="003314D0" w:rsidRPr="004842AA">
        <w:rPr>
          <w:rFonts w:ascii="Times New Roman" w:hAnsi="Times New Roman" w:cs="Times New Roman"/>
        </w:rPr>
        <w:t xml:space="preserve">  </w:t>
      </w:r>
    </w:p>
    <w:p w14:paraId="32E9D894" w14:textId="77A3ED63" w:rsidR="00303F33" w:rsidRPr="004842AA" w:rsidRDefault="003314D0" w:rsidP="00F50C75">
      <w:pPr>
        <w:ind w:firstLine="720"/>
        <w:jc w:val="both"/>
        <w:rPr>
          <w:rFonts w:ascii="Times New Roman" w:hAnsi="Times New Roman" w:cs="Times New Roman"/>
        </w:rPr>
      </w:pPr>
      <w:r w:rsidRPr="004842AA">
        <w:rPr>
          <w:rFonts w:ascii="Times New Roman" w:hAnsi="Times New Roman" w:cs="Times New Roman"/>
        </w:rPr>
        <w:t xml:space="preserve">The fact that the Agreement </w:t>
      </w:r>
      <w:r w:rsidR="008F018A">
        <w:rPr>
          <w:rFonts w:ascii="Times New Roman" w:hAnsi="Times New Roman" w:cs="Times New Roman"/>
        </w:rPr>
        <w:t xml:space="preserve">generally </w:t>
      </w:r>
      <w:r w:rsidRPr="004842AA">
        <w:rPr>
          <w:rFonts w:ascii="Times New Roman" w:hAnsi="Times New Roman" w:cs="Times New Roman"/>
        </w:rPr>
        <w:t xml:space="preserve">provides only a </w:t>
      </w:r>
      <w:r w:rsidR="00303F33" w:rsidRPr="004842AA">
        <w:rPr>
          <w:rFonts w:ascii="Times New Roman" w:hAnsi="Times New Roman" w:cs="Times New Roman"/>
        </w:rPr>
        <w:t xml:space="preserve">minimum standard </w:t>
      </w:r>
      <w:r w:rsidRPr="004842AA">
        <w:rPr>
          <w:rFonts w:ascii="Times New Roman" w:hAnsi="Times New Roman" w:cs="Times New Roman"/>
        </w:rPr>
        <w:t>is particularly important in this regard.  For example, the UK</w:t>
      </w:r>
      <w:r w:rsidR="00303F33" w:rsidRPr="004842AA">
        <w:rPr>
          <w:rFonts w:ascii="Times New Roman" w:hAnsi="Times New Roman" w:cs="Times New Roman"/>
        </w:rPr>
        <w:t xml:space="preserve"> </w:t>
      </w:r>
      <w:r w:rsidRPr="004842AA">
        <w:rPr>
          <w:rFonts w:ascii="Times New Roman" w:hAnsi="Times New Roman" w:cs="Times New Roman"/>
        </w:rPr>
        <w:t xml:space="preserve">announced that </w:t>
      </w:r>
      <w:r w:rsidR="00303F33" w:rsidRPr="004842AA">
        <w:rPr>
          <w:rFonts w:ascii="Times New Roman" w:hAnsi="Times New Roman" w:cs="Times New Roman"/>
        </w:rPr>
        <w:t xml:space="preserve">qualification for “settled status” </w:t>
      </w:r>
      <w:r w:rsidRPr="004842AA">
        <w:rPr>
          <w:rFonts w:ascii="Times New Roman" w:hAnsi="Times New Roman" w:cs="Times New Roman"/>
        </w:rPr>
        <w:t xml:space="preserve">under domestic rules implementing the Agreement would </w:t>
      </w:r>
      <w:r w:rsidR="00303F33" w:rsidRPr="004842AA">
        <w:rPr>
          <w:rFonts w:ascii="Times New Roman" w:hAnsi="Times New Roman" w:cs="Times New Roman"/>
        </w:rPr>
        <w:t xml:space="preserve">be based primarily on residence, </w:t>
      </w:r>
      <w:r w:rsidRPr="004842AA">
        <w:rPr>
          <w:rFonts w:ascii="Times New Roman" w:hAnsi="Times New Roman" w:cs="Times New Roman"/>
        </w:rPr>
        <w:t xml:space="preserve">without </w:t>
      </w:r>
      <w:r w:rsidR="00303F33" w:rsidRPr="004842AA">
        <w:rPr>
          <w:rFonts w:ascii="Times New Roman" w:hAnsi="Times New Roman" w:cs="Times New Roman"/>
        </w:rPr>
        <w:t xml:space="preserve">necessarily </w:t>
      </w:r>
      <w:r w:rsidRPr="004842AA">
        <w:rPr>
          <w:rFonts w:ascii="Times New Roman" w:hAnsi="Times New Roman" w:cs="Times New Roman"/>
        </w:rPr>
        <w:t xml:space="preserve">demanding </w:t>
      </w:r>
      <w:r w:rsidR="00303F33" w:rsidRPr="004842AA">
        <w:rPr>
          <w:rFonts w:ascii="Times New Roman" w:hAnsi="Times New Roman" w:cs="Times New Roman"/>
        </w:rPr>
        <w:t>full compliance with Union free movement rules</w:t>
      </w:r>
      <w:r w:rsidRPr="004842AA">
        <w:rPr>
          <w:rFonts w:ascii="Times New Roman" w:hAnsi="Times New Roman" w:cs="Times New Roman"/>
        </w:rPr>
        <w:t xml:space="preserve"> </w:t>
      </w:r>
      <w:r w:rsidR="00303F33" w:rsidRPr="004842AA">
        <w:rPr>
          <w:rFonts w:ascii="Times New Roman" w:hAnsi="Times New Roman" w:cs="Times New Roman"/>
        </w:rPr>
        <w:t xml:space="preserve">as regards </w:t>
      </w:r>
      <w:r w:rsidRPr="004842AA">
        <w:rPr>
          <w:rFonts w:ascii="Times New Roman" w:hAnsi="Times New Roman" w:cs="Times New Roman"/>
        </w:rPr>
        <w:t xml:space="preserve">(say) </w:t>
      </w:r>
      <w:r w:rsidR="00303F33" w:rsidRPr="004842AA">
        <w:rPr>
          <w:rFonts w:ascii="Times New Roman" w:hAnsi="Times New Roman" w:cs="Times New Roman"/>
        </w:rPr>
        <w:t>comprehensive sickness insurance for economically inactive persons</w:t>
      </w:r>
      <w:r w:rsidRPr="004842AA">
        <w:rPr>
          <w:rFonts w:ascii="Times New Roman" w:hAnsi="Times New Roman" w:cs="Times New Roman"/>
        </w:rPr>
        <w:t>.</w:t>
      </w:r>
      <w:r w:rsidRPr="004842AA">
        <w:rPr>
          <w:rStyle w:val="FootnoteReference"/>
          <w:rFonts w:ascii="Times New Roman" w:hAnsi="Times New Roman" w:cs="Times New Roman"/>
        </w:rPr>
        <w:footnoteReference w:id="213"/>
      </w:r>
      <w:r w:rsidRPr="004842AA">
        <w:rPr>
          <w:rFonts w:ascii="Times New Roman" w:hAnsi="Times New Roman" w:cs="Times New Roman"/>
        </w:rPr>
        <w:t xml:space="preserve">  </w:t>
      </w:r>
      <w:r w:rsidR="00303F33" w:rsidRPr="004842AA">
        <w:rPr>
          <w:rFonts w:ascii="Times New Roman" w:hAnsi="Times New Roman" w:cs="Times New Roman"/>
        </w:rPr>
        <w:t xml:space="preserve">However, </w:t>
      </w:r>
      <w:r w:rsidRPr="004842AA">
        <w:rPr>
          <w:rFonts w:ascii="Times New Roman" w:hAnsi="Times New Roman" w:cs="Times New Roman"/>
        </w:rPr>
        <w:t xml:space="preserve">that </w:t>
      </w:r>
      <w:r w:rsidR="00303F33" w:rsidRPr="004842AA">
        <w:rPr>
          <w:rFonts w:ascii="Times New Roman" w:hAnsi="Times New Roman" w:cs="Times New Roman"/>
        </w:rPr>
        <w:t xml:space="preserve">could still leave </w:t>
      </w:r>
      <w:r w:rsidRPr="004842AA">
        <w:rPr>
          <w:rFonts w:ascii="Times New Roman" w:hAnsi="Times New Roman" w:cs="Times New Roman"/>
        </w:rPr>
        <w:t xml:space="preserve">individuals awaiting qualification for permanent residency </w:t>
      </w:r>
      <w:r w:rsidR="00303F33" w:rsidRPr="004842AA">
        <w:rPr>
          <w:rFonts w:ascii="Times New Roman" w:hAnsi="Times New Roman" w:cs="Times New Roman"/>
        </w:rPr>
        <w:t xml:space="preserve">vulnerable to a change in policy </w:t>
      </w:r>
      <w:r w:rsidRPr="004842AA">
        <w:rPr>
          <w:rFonts w:ascii="Times New Roman" w:hAnsi="Times New Roman" w:cs="Times New Roman"/>
        </w:rPr>
        <w:t xml:space="preserve">(or indeed simply to instances of adverse treatment) once the </w:t>
      </w:r>
      <w:r w:rsidR="006861A1">
        <w:rPr>
          <w:rFonts w:ascii="Times New Roman" w:hAnsi="Times New Roman" w:cs="Times New Roman"/>
        </w:rPr>
        <w:t>transition</w:t>
      </w:r>
      <w:r w:rsidR="00303F33" w:rsidRPr="004842AA">
        <w:rPr>
          <w:rFonts w:ascii="Times New Roman" w:hAnsi="Times New Roman" w:cs="Times New Roman"/>
        </w:rPr>
        <w:t xml:space="preserve"> period expires</w:t>
      </w:r>
      <w:r w:rsidRPr="004842AA">
        <w:rPr>
          <w:rFonts w:ascii="Times New Roman" w:hAnsi="Times New Roman" w:cs="Times New Roman"/>
        </w:rPr>
        <w:t xml:space="preserve"> – especially since it remains unclear what might be the precise </w:t>
      </w:r>
      <w:r w:rsidR="00303F33" w:rsidRPr="004842AA">
        <w:rPr>
          <w:rFonts w:ascii="Times New Roman" w:hAnsi="Times New Roman" w:cs="Times New Roman"/>
        </w:rPr>
        <w:t xml:space="preserve">legal </w:t>
      </w:r>
      <w:r w:rsidRPr="004842AA">
        <w:rPr>
          <w:rFonts w:ascii="Times New Roman" w:hAnsi="Times New Roman" w:cs="Times New Roman"/>
        </w:rPr>
        <w:t xml:space="preserve">basis and status </w:t>
      </w:r>
      <w:r w:rsidR="00303F33" w:rsidRPr="004842AA">
        <w:rPr>
          <w:rFonts w:ascii="Times New Roman" w:hAnsi="Times New Roman" w:cs="Times New Roman"/>
        </w:rPr>
        <w:t>of right</w:t>
      </w:r>
      <w:r w:rsidRPr="004842AA">
        <w:rPr>
          <w:rFonts w:ascii="Times New Roman" w:hAnsi="Times New Roman" w:cs="Times New Roman"/>
        </w:rPr>
        <w:t xml:space="preserve">s which are recognised </w:t>
      </w:r>
      <w:r w:rsidR="00303F33" w:rsidRPr="004842AA">
        <w:rPr>
          <w:rFonts w:ascii="Times New Roman" w:hAnsi="Times New Roman" w:cs="Times New Roman"/>
        </w:rPr>
        <w:t xml:space="preserve">through </w:t>
      </w:r>
      <w:r w:rsidRPr="004842AA">
        <w:rPr>
          <w:rFonts w:ascii="Times New Roman" w:hAnsi="Times New Roman" w:cs="Times New Roman"/>
        </w:rPr>
        <w:t xml:space="preserve">an admittedly </w:t>
      </w:r>
      <w:r w:rsidR="00303F33" w:rsidRPr="004842AA">
        <w:rPr>
          <w:rFonts w:ascii="Times New Roman" w:hAnsi="Times New Roman" w:cs="Times New Roman"/>
        </w:rPr>
        <w:t xml:space="preserve">more generous </w:t>
      </w:r>
      <w:r w:rsidRPr="004842AA">
        <w:rPr>
          <w:rFonts w:ascii="Times New Roman" w:hAnsi="Times New Roman" w:cs="Times New Roman"/>
        </w:rPr>
        <w:t xml:space="preserve">but still unilateral </w:t>
      </w:r>
      <w:r w:rsidR="00303F33" w:rsidRPr="004842AA">
        <w:rPr>
          <w:rFonts w:ascii="Times New Roman" w:hAnsi="Times New Roman" w:cs="Times New Roman"/>
        </w:rPr>
        <w:t xml:space="preserve">application of </w:t>
      </w:r>
      <w:r w:rsidRPr="004842AA">
        <w:rPr>
          <w:rFonts w:ascii="Times New Roman" w:hAnsi="Times New Roman" w:cs="Times New Roman"/>
        </w:rPr>
        <w:t xml:space="preserve">the Agreement and without </w:t>
      </w:r>
      <w:r w:rsidR="00303F33" w:rsidRPr="004842AA">
        <w:rPr>
          <w:rFonts w:ascii="Times New Roman" w:hAnsi="Times New Roman" w:cs="Times New Roman"/>
        </w:rPr>
        <w:t xml:space="preserve">being strictly grounded in the </w:t>
      </w:r>
      <w:r w:rsidRPr="004842AA">
        <w:rPr>
          <w:rFonts w:ascii="Times New Roman" w:hAnsi="Times New Roman" w:cs="Times New Roman"/>
        </w:rPr>
        <w:t xml:space="preserve">citizens’ rights </w:t>
      </w:r>
      <w:r w:rsidR="00303F33" w:rsidRPr="004842AA">
        <w:rPr>
          <w:rFonts w:ascii="Times New Roman" w:hAnsi="Times New Roman" w:cs="Times New Roman"/>
        </w:rPr>
        <w:t>provisions themselves</w:t>
      </w:r>
      <w:r w:rsidRPr="004842AA">
        <w:rPr>
          <w:rFonts w:ascii="Times New Roman" w:hAnsi="Times New Roman" w:cs="Times New Roman"/>
        </w:rPr>
        <w:t>.</w:t>
      </w:r>
      <w:r w:rsidRPr="004842AA">
        <w:rPr>
          <w:rStyle w:val="FootnoteReference"/>
          <w:rFonts w:ascii="Times New Roman" w:hAnsi="Times New Roman" w:cs="Times New Roman"/>
        </w:rPr>
        <w:footnoteReference w:id="214"/>
      </w:r>
      <w:r w:rsidR="00303F33" w:rsidRPr="004842AA">
        <w:rPr>
          <w:rFonts w:ascii="Times New Roman" w:hAnsi="Times New Roman" w:cs="Times New Roman"/>
        </w:rPr>
        <w:t xml:space="preserve"> </w:t>
      </w:r>
    </w:p>
    <w:p w14:paraId="50267D82" w14:textId="77777777" w:rsidR="00303F33" w:rsidRPr="004842AA" w:rsidRDefault="00303F33" w:rsidP="004842AA">
      <w:pPr>
        <w:jc w:val="both"/>
        <w:rPr>
          <w:rFonts w:ascii="Times New Roman" w:hAnsi="Times New Roman" w:cs="Times New Roman"/>
        </w:rPr>
      </w:pPr>
    </w:p>
    <w:p w14:paraId="0F070C07" w14:textId="52D6F115" w:rsidR="00303F33" w:rsidRPr="004842AA" w:rsidRDefault="00303F33" w:rsidP="004842AA">
      <w:pPr>
        <w:jc w:val="both"/>
        <w:rPr>
          <w:rFonts w:ascii="Times New Roman" w:hAnsi="Times New Roman" w:cs="Times New Roman"/>
          <w:i/>
        </w:rPr>
      </w:pPr>
      <w:r w:rsidRPr="004842AA">
        <w:rPr>
          <w:rFonts w:ascii="Times New Roman" w:hAnsi="Times New Roman" w:cs="Times New Roman"/>
          <w:i/>
        </w:rPr>
        <w:t>3.3.2.</w:t>
      </w:r>
      <w:r w:rsidRPr="004842AA">
        <w:rPr>
          <w:rFonts w:ascii="Times New Roman" w:hAnsi="Times New Roman" w:cs="Times New Roman"/>
          <w:i/>
        </w:rPr>
        <w:tab/>
        <w:t xml:space="preserve">Deviations from </w:t>
      </w:r>
      <w:r w:rsidR="00802DCD">
        <w:rPr>
          <w:rFonts w:ascii="Times New Roman" w:hAnsi="Times New Roman" w:cs="Times New Roman"/>
          <w:i/>
        </w:rPr>
        <w:t xml:space="preserve">the </w:t>
      </w:r>
      <w:r w:rsidRPr="004842AA">
        <w:rPr>
          <w:rFonts w:ascii="Times New Roman" w:hAnsi="Times New Roman" w:cs="Times New Roman"/>
          <w:i/>
        </w:rPr>
        <w:t>EU law baseline: better</w:t>
      </w:r>
      <w:r w:rsidR="003314D0" w:rsidRPr="004842AA">
        <w:rPr>
          <w:rFonts w:ascii="Times New Roman" w:hAnsi="Times New Roman" w:cs="Times New Roman"/>
          <w:i/>
        </w:rPr>
        <w:t>, worse, future and no</w:t>
      </w:r>
      <w:r w:rsidRPr="004842AA">
        <w:rPr>
          <w:rFonts w:ascii="Times New Roman" w:hAnsi="Times New Roman" w:cs="Times New Roman"/>
          <w:i/>
        </w:rPr>
        <w:t xml:space="preserve"> protection</w:t>
      </w:r>
    </w:p>
    <w:p w14:paraId="1C652AC8" w14:textId="77777777" w:rsidR="00303F33" w:rsidRPr="004842AA" w:rsidRDefault="00303F33" w:rsidP="004842AA">
      <w:pPr>
        <w:jc w:val="both"/>
        <w:rPr>
          <w:rFonts w:ascii="Times New Roman" w:hAnsi="Times New Roman" w:cs="Times New Roman"/>
        </w:rPr>
      </w:pPr>
    </w:p>
    <w:p w14:paraId="7BAC9980" w14:textId="281BFBD6" w:rsidR="00F50C75" w:rsidRDefault="00696EDB" w:rsidP="004842AA">
      <w:pPr>
        <w:jc w:val="both"/>
        <w:rPr>
          <w:rFonts w:ascii="Times New Roman" w:hAnsi="Times New Roman" w:cs="Times New Roman"/>
        </w:rPr>
      </w:pPr>
      <w:r w:rsidRPr="004842AA">
        <w:rPr>
          <w:rFonts w:ascii="Times New Roman" w:hAnsi="Times New Roman" w:cs="Times New Roman"/>
        </w:rPr>
        <w:t xml:space="preserve">Notwithstanding the Union law baseline for future protection, there are various situations where the Agreement provides for certain deviations.  In a few instances, the </w:t>
      </w:r>
      <w:r w:rsidR="00765401">
        <w:rPr>
          <w:rFonts w:ascii="Times New Roman" w:hAnsi="Times New Roman" w:cs="Times New Roman"/>
        </w:rPr>
        <w:t>Agreement</w:t>
      </w:r>
      <w:r w:rsidRPr="004842AA">
        <w:rPr>
          <w:rFonts w:ascii="Times New Roman" w:hAnsi="Times New Roman" w:cs="Times New Roman"/>
        </w:rPr>
        <w:t xml:space="preserve"> in fact </w:t>
      </w:r>
      <w:r w:rsidR="008F018A">
        <w:rPr>
          <w:rFonts w:ascii="Times New Roman" w:hAnsi="Times New Roman" w:cs="Times New Roman"/>
        </w:rPr>
        <w:t>foresees</w:t>
      </w:r>
      <w:r w:rsidR="00E11F01">
        <w:rPr>
          <w:rFonts w:ascii="Times New Roman" w:hAnsi="Times New Roman" w:cs="Times New Roman"/>
        </w:rPr>
        <w:t xml:space="preserve"> </w:t>
      </w:r>
      <w:r w:rsidRPr="004842AA">
        <w:rPr>
          <w:rFonts w:ascii="Times New Roman" w:hAnsi="Times New Roman" w:cs="Times New Roman"/>
        </w:rPr>
        <w:t>higher standards of protection than existing free movement rules.  For example: the UK and Ireland may continue their longstanding arrangements of special treatment for each other’s nationals – arrangements born less out of brotherly love than the fact that there is no easy way for the UK to distinguish between Irish nationals from the Republic and those from Northern Ireland.</w:t>
      </w:r>
      <w:r w:rsidRPr="004842AA">
        <w:rPr>
          <w:rStyle w:val="FootnoteReference"/>
          <w:rFonts w:ascii="Times New Roman" w:hAnsi="Times New Roman" w:cs="Times New Roman"/>
        </w:rPr>
        <w:footnoteReference w:id="215"/>
      </w:r>
      <w:r w:rsidRPr="004842AA">
        <w:rPr>
          <w:rFonts w:ascii="Times New Roman" w:hAnsi="Times New Roman" w:cs="Times New Roman"/>
        </w:rPr>
        <w:t xml:space="preserve">  Irish nationals are not therefore required to register for “</w:t>
      </w:r>
      <w:r w:rsidR="00E11F01">
        <w:rPr>
          <w:rFonts w:ascii="Times New Roman" w:hAnsi="Times New Roman" w:cs="Times New Roman"/>
        </w:rPr>
        <w:t xml:space="preserve">settled </w:t>
      </w:r>
      <w:r w:rsidRPr="004842AA">
        <w:rPr>
          <w:rFonts w:ascii="Times New Roman" w:hAnsi="Times New Roman" w:cs="Times New Roman"/>
        </w:rPr>
        <w:t xml:space="preserve">status” in the UK – though there may still be advantages to engaging with the system (for example, as regards the future legal status of </w:t>
      </w:r>
      <w:r w:rsidR="00303F33" w:rsidRPr="004842AA">
        <w:rPr>
          <w:rFonts w:ascii="Times New Roman" w:hAnsi="Times New Roman" w:cs="Times New Roman"/>
        </w:rPr>
        <w:t>non-UK/Irish family members)</w:t>
      </w:r>
      <w:r w:rsidRPr="004842AA">
        <w:rPr>
          <w:rFonts w:ascii="Times New Roman" w:hAnsi="Times New Roman" w:cs="Times New Roman"/>
        </w:rPr>
        <w:t>.</w:t>
      </w:r>
      <w:r w:rsidR="00E11F01">
        <w:rPr>
          <w:rStyle w:val="FootnoteReference"/>
          <w:rFonts w:ascii="Times New Roman" w:hAnsi="Times New Roman" w:cs="Times New Roman"/>
        </w:rPr>
        <w:footnoteReference w:id="216"/>
      </w:r>
      <w:r w:rsidRPr="004842AA">
        <w:rPr>
          <w:rFonts w:ascii="Times New Roman" w:hAnsi="Times New Roman" w:cs="Times New Roman"/>
        </w:rPr>
        <w:t xml:space="preserve">  Another example: </w:t>
      </w:r>
      <w:r w:rsidR="00303F33" w:rsidRPr="004842AA">
        <w:rPr>
          <w:rFonts w:ascii="Times New Roman" w:hAnsi="Times New Roman" w:cs="Times New Roman"/>
        </w:rPr>
        <w:t xml:space="preserve">protected citizens </w:t>
      </w:r>
      <w:r w:rsidRPr="004842AA">
        <w:rPr>
          <w:rFonts w:ascii="Times New Roman" w:hAnsi="Times New Roman" w:cs="Times New Roman"/>
        </w:rPr>
        <w:t xml:space="preserve">will forfeit their </w:t>
      </w:r>
      <w:r w:rsidR="00303F33" w:rsidRPr="004842AA">
        <w:rPr>
          <w:rFonts w:ascii="Times New Roman" w:hAnsi="Times New Roman" w:cs="Times New Roman"/>
        </w:rPr>
        <w:t xml:space="preserve">right to permanent residence after </w:t>
      </w:r>
      <w:r w:rsidRPr="004842AA">
        <w:rPr>
          <w:rFonts w:ascii="Times New Roman" w:hAnsi="Times New Roman" w:cs="Times New Roman"/>
        </w:rPr>
        <w:t xml:space="preserve">five </w:t>
      </w:r>
      <w:r w:rsidR="00303F33" w:rsidRPr="004842AA">
        <w:rPr>
          <w:rFonts w:ascii="Times New Roman" w:hAnsi="Times New Roman" w:cs="Times New Roman"/>
        </w:rPr>
        <w:t>(</w:t>
      </w:r>
      <w:r w:rsidRPr="004842AA">
        <w:rPr>
          <w:rFonts w:ascii="Times New Roman" w:hAnsi="Times New Roman" w:cs="Times New Roman"/>
        </w:rPr>
        <w:t>rather than the normal Union law benchmark of two</w:t>
      </w:r>
      <w:r w:rsidR="00303F33" w:rsidRPr="004842AA">
        <w:rPr>
          <w:rFonts w:ascii="Times New Roman" w:hAnsi="Times New Roman" w:cs="Times New Roman"/>
        </w:rPr>
        <w:t xml:space="preserve">) </w:t>
      </w:r>
      <w:r w:rsidR="00303F33" w:rsidRPr="004842AA">
        <w:rPr>
          <w:rFonts w:ascii="Times New Roman" w:hAnsi="Times New Roman" w:cs="Times New Roman"/>
        </w:rPr>
        <w:lastRenderedPageBreak/>
        <w:t>consecutive years</w:t>
      </w:r>
      <w:r w:rsidRPr="004842AA">
        <w:rPr>
          <w:rFonts w:ascii="Times New Roman" w:hAnsi="Times New Roman" w:cs="Times New Roman"/>
        </w:rPr>
        <w:t>’</w:t>
      </w:r>
      <w:r w:rsidR="00303F33" w:rsidRPr="004842AA">
        <w:rPr>
          <w:rFonts w:ascii="Times New Roman" w:hAnsi="Times New Roman" w:cs="Times New Roman"/>
        </w:rPr>
        <w:t xml:space="preserve"> absence from </w:t>
      </w:r>
      <w:r w:rsidRPr="004842AA">
        <w:rPr>
          <w:rFonts w:ascii="Times New Roman" w:hAnsi="Times New Roman" w:cs="Times New Roman"/>
        </w:rPr>
        <w:t xml:space="preserve">the </w:t>
      </w:r>
      <w:r w:rsidR="00303F33" w:rsidRPr="004842AA">
        <w:rPr>
          <w:rFonts w:ascii="Times New Roman" w:hAnsi="Times New Roman" w:cs="Times New Roman"/>
        </w:rPr>
        <w:t>host state</w:t>
      </w:r>
      <w:r w:rsidRPr="004842AA">
        <w:rPr>
          <w:rFonts w:ascii="Times New Roman" w:hAnsi="Times New Roman" w:cs="Times New Roman"/>
        </w:rPr>
        <w:t xml:space="preserve"> – partial compensation for the potentially definitive and permanent consequences of losing protected status under the Agreement.</w:t>
      </w:r>
      <w:r w:rsidRPr="004842AA">
        <w:rPr>
          <w:rStyle w:val="FootnoteReference"/>
          <w:rFonts w:ascii="Times New Roman" w:hAnsi="Times New Roman" w:cs="Times New Roman"/>
        </w:rPr>
        <w:footnoteReference w:id="217"/>
      </w:r>
    </w:p>
    <w:p w14:paraId="59F3F94F" w14:textId="28FC9545" w:rsidR="00670503" w:rsidRDefault="00696EDB" w:rsidP="00F50C75">
      <w:pPr>
        <w:ind w:firstLine="720"/>
        <w:jc w:val="both"/>
        <w:rPr>
          <w:rFonts w:ascii="Times New Roman" w:hAnsi="Times New Roman" w:cs="Times New Roman"/>
        </w:rPr>
      </w:pPr>
      <w:r w:rsidRPr="004842AA">
        <w:rPr>
          <w:rFonts w:ascii="Times New Roman" w:hAnsi="Times New Roman" w:cs="Times New Roman"/>
        </w:rPr>
        <w:t xml:space="preserve">However, in other situations, the </w:t>
      </w:r>
      <w:r w:rsidR="00765401">
        <w:rPr>
          <w:rFonts w:ascii="Times New Roman" w:hAnsi="Times New Roman" w:cs="Times New Roman"/>
        </w:rPr>
        <w:t>Agreement</w:t>
      </w:r>
      <w:r w:rsidRPr="004842AA">
        <w:rPr>
          <w:rFonts w:ascii="Times New Roman" w:hAnsi="Times New Roman" w:cs="Times New Roman"/>
        </w:rPr>
        <w:t xml:space="preserve"> </w:t>
      </w:r>
      <w:r w:rsidR="00303F33" w:rsidRPr="004842AA">
        <w:rPr>
          <w:rFonts w:ascii="Times New Roman" w:hAnsi="Times New Roman" w:cs="Times New Roman"/>
        </w:rPr>
        <w:t xml:space="preserve">allows for restrictions on citizens’ rights that would not comply with existing </w:t>
      </w:r>
      <w:r w:rsidRPr="004842AA">
        <w:rPr>
          <w:rFonts w:ascii="Times New Roman" w:hAnsi="Times New Roman" w:cs="Times New Roman"/>
        </w:rPr>
        <w:t xml:space="preserve">Union free movement law – as illustrated by several examples.  First, the range of </w:t>
      </w:r>
      <w:r w:rsidR="00303F33" w:rsidRPr="004842AA">
        <w:rPr>
          <w:rFonts w:ascii="Times New Roman" w:hAnsi="Times New Roman" w:cs="Times New Roman"/>
        </w:rPr>
        <w:t xml:space="preserve">family members </w:t>
      </w:r>
      <w:r w:rsidRPr="004842AA">
        <w:rPr>
          <w:rFonts w:ascii="Times New Roman" w:hAnsi="Times New Roman" w:cs="Times New Roman"/>
        </w:rPr>
        <w:t xml:space="preserve">entitled to rights by association with a protected citizen is reduced – particularly as regards the ability of existing </w:t>
      </w:r>
      <w:r w:rsidR="00B262D9">
        <w:rPr>
          <w:rFonts w:ascii="Times New Roman" w:hAnsi="Times New Roman" w:cs="Times New Roman"/>
        </w:rPr>
        <w:t xml:space="preserve">but </w:t>
      </w:r>
      <w:r w:rsidRPr="004842AA">
        <w:rPr>
          <w:rFonts w:ascii="Times New Roman" w:hAnsi="Times New Roman" w:cs="Times New Roman"/>
        </w:rPr>
        <w:t xml:space="preserve">especially future family members to join a </w:t>
      </w:r>
      <w:r w:rsidR="006E440E">
        <w:rPr>
          <w:rFonts w:ascii="Times New Roman" w:hAnsi="Times New Roman" w:cs="Times New Roman"/>
        </w:rPr>
        <w:t>protected</w:t>
      </w:r>
      <w:r w:rsidRPr="004842AA">
        <w:rPr>
          <w:rFonts w:ascii="Times New Roman" w:hAnsi="Times New Roman" w:cs="Times New Roman"/>
        </w:rPr>
        <w:t xml:space="preserve"> citizen within the host state a</w:t>
      </w:r>
      <w:r w:rsidR="006861A1">
        <w:rPr>
          <w:rFonts w:ascii="Times New Roman" w:hAnsi="Times New Roman" w:cs="Times New Roman"/>
        </w:rPr>
        <w:t>fter the end of the transition</w:t>
      </w:r>
      <w:r w:rsidRPr="004842AA">
        <w:rPr>
          <w:rFonts w:ascii="Times New Roman" w:hAnsi="Times New Roman" w:cs="Times New Roman"/>
        </w:rPr>
        <w:t xml:space="preserve"> period.</w:t>
      </w:r>
      <w:r w:rsidRPr="004842AA">
        <w:rPr>
          <w:rStyle w:val="FootnoteReference"/>
          <w:rFonts w:ascii="Times New Roman" w:hAnsi="Times New Roman" w:cs="Times New Roman"/>
        </w:rPr>
        <w:footnoteReference w:id="218"/>
      </w:r>
      <w:r w:rsidRPr="004842AA">
        <w:rPr>
          <w:rFonts w:ascii="Times New Roman" w:hAnsi="Times New Roman" w:cs="Times New Roman"/>
        </w:rPr>
        <w:t xml:space="preserve">  Secondly, any given </w:t>
      </w:r>
      <w:r w:rsidR="00303F33" w:rsidRPr="004842AA">
        <w:rPr>
          <w:rFonts w:ascii="Times New Roman" w:hAnsi="Times New Roman" w:cs="Times New Roman"/>
        </w:rPr>
        <w:t xml:space="preserve">host state may </w:t>
      </w:r>
      <w:r w:rsidRPr="004842AA">
        <w:rPr>
          <w:rFonts w:ascii="Times New Roman" w:hAnsi="Times New Roman" w:cs="Times New Roman"/>
        </w:rPr>
        <w:t xml:space="preserve">(at its own discretion) </w:t>
      </w:r>
      <w:r w:rsidR="00303F33" w:rsidRPr="004842AA">
        <w:rPr>
          <w:rFonts w:ascii="Times New Roman" w:hAnsi="Times New Roman" w:cs="Times New Roman"/>
        </w:rPr>
        <w:t xml:space="preserve">make qualification for </w:t>
      </w:r>
      <w:r w:rsidRPr="004842AA">
        <w:rPr>
          <w:rFonts w:ascii="Times New Roman" w:hAnsi="Times New Roman" w:cs="Times New Roman"/>
        </w:rPr>
        <w:t xml:space="preserve">future </w:t>
      </w:r>
      <w:r w:rsidR="00303F33" w:rsidRPr="004842AA">
        <w:rPr>
          <w:rFonts w:ascii="Times New Roman" w:hAnsi="Times New Roman" w:cs="Times New Roman"/>
        </w:rPr>
        <w:t xml:space="preserve">protection </w:t>
      </w:r>
      <w:r w:rsidRPr="004842AA">
        <w:rPr>
          <w:rFonts w:ascii="Times New Roman" w:hAnsi="Times New Roman" w:cs="Times New Roman"/>
        </w:rPr>
        <w:t xml:space="preserve">under Part Two </w:t>
      </w:r>
      <w:r w:rsidR="00303F33" w:rsidRPr="004842AA">
        <w:rPr>
          <w:rFonts w:ascii="Times New Roman" w:hAnsi="Times New Roman" w:cs="Times New Roman"/>
        </w:rPr>
        <w:t xml:space="preserve">subject to </w:t>
      </w:r>
      <w:r w:rsidRPr="004842AA">
        <w:rPr>
          <w:rFonts w:ascii="Times New Roman" w:hAnsi="Times New Roman" w:cs="Times New Roman"/>
        </w:rPr>
        <w:t xml:space="preserve">a system of </w:t>
      </w:r>
      <w:r w:rsidR="00303F33" w:rsidRPr="004842AA">
        <w:rPr>
          <w:rFonts w:ascii="Times New Roman" w:hAnsi="Times New Roman" w:cs="Times New Roman"/>
        </w:rPr>
        <w:t>compulsory registration</w:t>
      </w:r>
      <w:r w:rsidRPr="004842AA">
        <w:rPr>
          <w:rFonts w:ascii="Times New Roman" w:hAnsi="Times New Roman" w:cs="Times New Roman"/>
        </w:rPr>
        <w:t>.</w:t>
      </w:r>
      <w:r w:rsidRPr="004842AA">
        <w:rPr>
          <w:rStyle w:val="FootnoteReference"/>
          <w:rFonts w:ascii="Times New Roman" w:hAnsi="Times New Roman" w:cs="Times New Roman"/>
        </w:rPr>
        <w:footnoteReference w:id="219"/>
      </w:r>
      <w:r w:rsidRPr="004842AA">
        <w:rPr>
          <w:rFonts w:ascii="Times New Roman" w:hAnsi="Times New Roman" w:cs="Times New Roman"/>
        </w:rPr>
        <w:t xml:space="preserve">  That is precisely what the UK decided to do through its </w:t>
      </w:r>
      <w:r w:rsidR="00303F33" w:rsidRPr="004842AA">
        <w:rPr>
          <w:rFonts w:ascii="Times New Roman" w:hAnsi="Times New Roman" w:cs="Times New Roman"/>
        </w:rPr>
        <w:t>“settled status” scheme</w:t>
      </w:r>
      <w:r w:rsidRPr="004842AA">
        <w:rPr>
          <w:rFonts w:ascii="Times New Roman" w:hAnsi="Times New Roman" w:cs="Times New Roman"/>
        </w:rPr>
        <w:t>.</w:t>
      </w:r>
      <w:r w:rsidRPr="004842AA">
        <w:rPr>
          <w:rStyle w:val="FootnoteReference"/>
          <w:rFonts w:ascii="Times New Roman" w:hAnsi="Times New Roman" w:cs="Times New Roman"/>
        </w:rPr>
        <w:footnoteReference w:id="220"/>
      </w:r>
      <w:r w:rsidRPr="004842AA">
        <w:rPr>
          <w:rFonts w:ascii="Times New Roman" w:hAnsi="Times New Roman" w:cs="Times New Roman"/>
        </w:rPr>
        <w:t xml:space="preserve">  </w:t>
      </w:r>
      <w:r w:rsidR="00C9046E">
        <w:rPr>
          <w:rFonts w:ascii="Times New Roman" w:hAnsi="Times New Roman" w:cs="Times New Roman"/>
        </w:rPr>
        <w:t xml:space="preserve">On the one hand, the </w:t>
      </w:r>
      <w:r w:rsidR="00765401">
        <w:rPr>
          <w:rFonts w:ascii="Times New Roman" w:hAnsi="Times New Roman" w:cs="Times New Roman"/>
        </w:rPr>
        <w:t>Agreement</w:t>
      </w:r>
      <w:r w:rsidR="00C9046E">
        <w:rPr>
          <w:rFonts w:ascii="Times New Roman" w:hAnsi="Times New Roman" w:cs="Times New Roman"/>
        </w:rPr>
        <w:t xml:space="preserve"> text suggests that compliance with any such compulsory registration system is constitutive (not merely declaratory) of the very right to protection under the Agreement: the host state may require relevant individuals “to apply for a new residence status </w:t>
      </w:r>
      <w:r w:rsidR="00C9046E" w:rsidRPr="00D035CD">
        <w:rPr>
          <w:rFonts w:ascii="Times New Roman" w:hAnsi="Times New Roman" w:cs="Times New Roman"/>
          <w:i/>
        </w:rPr>
        <w:t>which confers the rights</w:t>
      </w:r>
      <w:r w:rsidR="00C9046E">
        <w:rPr>
          <w:rFonts w:ascii="Times New Roman" w:hAnsi="Times New Roman" w:cs="Times New Roman"/>
        </w:rPr>
        <w:t xml:space="preserve"> under this Title”.</w:t>
      </w:r>
      <w:r w:rsidR="00C9046E">
        <w:rPr>
          <w:rStyle w:val="FootnoteReference"/>
          <w:rFonts w:ascii="Times New Roman" w:hAnsi="Times New Roman" w:cs="Times New Roman"/>
        </w:rPr>
        <w:footnoteReference w:id="221"/>
      </w:r>
      <w:r w:rsidR="00C9046E">
        <w:rPr>
          <w:rFonts w:ascii="Times New Roman" w:hAnsi="Times New Roman" w:cs="Times New Roman"/>
        </w:rPr>
        <w:t xml:space="preserve">  On the other hand, Part Two </w:t>
      </w:r>
      <w:r w:rsidR="00E11F01">
        <w:rPr>
          <w:rFonts w:ascii="Times New Roman" w:hAnsi="Times New Roman" w:cs="Times New Roman"/>
        </w:rPr>
        <w:t xml:space="preserve">does </w:t>
      </w:r>
      <w:r w:rsidR="00670503">
        <w:rPr>
          <w:rFonts w:ascii="Times New Roman" w:hAnsi="Times New Roman" w:cs="Times New Roman"/>
        </w:rPr>
        <w:t xml:space="preserve">at least </w:t>
      </w:r>
      <w:r w:rsidR="00E11F01">
        <w:rPr>
          <w:rFonts w:ascii="Times New Roman" w:hAnsi="Times New Roman" w:cs="Times New Roman"/>
        </w:rPr>
        <w:t>lay</w:t>
      </w:r>
      <w:r w:rsidRPr="004842AA">
        <w:rPr>
          <w:rFonts w:ascii="Times New Roman" w:hAnsi="Times New Roman" w:cs="Times New Roman"/>
        </w:rPr>
        <w:t xml:space="preserve"> down </w:t>
      </w:r>
      <w:r w:rsidR="00670503">
        <w:rPr>
          <w:rFonts w:ascii="Times New Roman" w:hAnsi="Times New Roman" w:cs="Times New Roman"/>
        </w:rPr>
        <w:t xml:space="preserve">various </w:t>
      </w:r>
      <w:r w:rsidRPr="004842AA">
        <w:rPr>
          <w:rFonts w:ascii="Times New Roman" w:hAnsi="Times New Roman" w:cs="Times New Roman"/>
        </w:rPr>
        <w:t>specifications</w:t>
      </w:r>
      <w:r w:rsidR="0021514D" w:rsidRPr="004842AA">
        <w:rPr>
          <w:rFonts w:ascii="Times New Roman" w:hAnsi="Times New Roman" w:cs="Times New Roman"/>
        </w:rPr>
        <w:t xml:space="preserve"> for any such system</w:t>
      </w:r>
      <w:r w:rsidR="00F91D22">
        <w:rPr>
          <w:rFonts w:ascii="Times New Roman" w:hAnsi="Times New Roman" w:cs="Times New Roman"/>
        </w:rPr>
        <w:t>: for example, a minimum six</w:t>
      </w:r>
      <w:r w:rsidRPr="004842AA">
        <w:rPr>
          <w:rFonts w:ascii="Times New Roman" w:hAnsi="Times New Roman" w:cs="Times New Roman"/>
        </w:rPr>
        <w:t>-</w:t>
      </w:r>
      <w:r w:rsidR="00303F33" w:rsidRPr="004842AA">
        <w:rPr>
          <w:rFonts w:ascii="Times New Roman" w:hAnsi="Times New Roman" w:cs="Times New Roman"/>
        </w:rPr>
        <w:t xml:space="preserve">month application deadline from </w:t>
      </w:r>
      <w:r w:rsidRPr="004842AA">
        <w:rPr>
          <w:rFonts w:ascii="Times New Roman" w:hAnsi="Times New Roman" w:cs="Times New Roman"/>
        </w:rPr>
        <w:t>the end of transition</w:t>
      </w:r>
      <w:r w:rsidR="00303F33" w:rsidRPr="004842AA">
        <w:rPr>
          <w:rFonts w:ascii="Times New Roman" w:hAnsi="Times New Roman" w:cs="Times New Roman"/>
        </w:rPr>
        <w:t xml:space="preserve"> </w:t>
      </w:r>
      <w:r w:rsidR="0030431C">
        <w:rPr>
          <w:rFonts w:ascii="Times New Roman" w:hAnsi="Times New Roman" w:cs="Times New Roman"/>
        </w:rPr>
        <w:t>for persons residing in the host state before that date;</w:t>
      </w:r>
      <w:r w:rsidR="0030431C" w:rsidRPr="004842AA">
        <w:rPr>
          <w:rStyle w:val="FootnoteReference"/>
          <w:rFonts w:ascii="Times New Roman" w:hAnsi="Times New Roman" w:cs="Times New Roman"/>
        </w:rPr>
        <w:footnoteReference w:id="222"/>
      </w:r>
      <w:r w:rsidR="0030431C">
        <w:rPr>
          <w:rFonts w:ascii="Times New Roman" w:hAnsi="Times New Roman" w:cs="Times New Roman"/>
        </w:rPr>
        <w:t xml:space="preserve"> provision for that deadline to be </w:t>
      </w:r>
      <w:r w:rsidR="00303F33" w:rsidRPr="004842AA">
        <w:rPr>
          <w:rFonts w:ascii="Times New Roman" w:hAnsi="Times New Roman" w:cs="Times New Roman"/>
        </w:rPr>
        <w:t xml:space="preserve">extended in </w:t>
      </w:r>
      <w:r w:rsidRPr="004842AA">
        <w:rPr>
          <w:rFonts w:ascii="Times New Roman" w:hAnsi="Times New Roman" w:cs="Times New Roman"/>
        </w:rPr>
        <w:t xml:space="preserve">the </w:t>
      </w:r>
      <w:r w:rsidR="0030431C">
        <w:rPr>
          <w:rFonts w:ascii="Times New Roman" w:hAnsi="Times New Roman" w:cs="Times New Roman"/>
        </w:rPr>
        <w:t>event of technical problems</w:t>
      </w:r>
      <w:r w:rsidR="00303F33" w:rsidRPr="004842AA">
        <w:rPr>
          <w:rFonts w:ascii="Times New Roman" w:hAnsi="Times New Roman" w:cs="Times New Roman"/>
        </w:rPr>
        <w:t xml:space="preserve">; flexibility in situations where </w:t>
      </w:r>
      <w:r w:rsidRPr="004842AA">
        <w:rPr>
          <w:rFonts w:ascii="Times New Roman" w:hAnsi="Times New Roman" w:cs="Times New Roman"/>
        </w:rPr>
        <w:t xml:space="preserve">the </w:t>
      </w:r>
      <w:r w:rsidR="00303F33" w:rsidRPr="004842AA">
        <w:rPr>
          <w:rFonts w:ascii="Times New Roman" w:hAnsi="Times New Roman" w:cs="Times New Roman"/>
        </w:rPr>
        <w:t xml:space="preserve">applicant had reasonable grounds for failing to </w:t>
      </w:r>
      <w:r w:rsidRPr="004842AA">
        <w:rPr>
          <w:rFonts w:ascii="Times New Roman" w:hAnsi="Times New Roman" w:cs="Times New Roman"/>
        </w:rPr>
        <w:t xml:space="preserve">meet the </w:t>
      </w:r>
      <w:r w:rsidR="00303F33" w:rsidRPr="004842AA">
        <w:rPr>
          <w:rFonts w:ascii="Times New Roman" w:hAnsi="Times New Roman" w:cs="Times New Roman"/>
        </w:rPr>
        <w:t>deadline; smooth, transparent and simple</w:t>
      </w:r>
      <w:r w:rsidRPr="004842AA">
        <w:rPr>
          <w:rFonts w:ascii="Times New Roman" w:hAnsi="Times New Roman" w:cs="Times New Roman"/>
        </w:rPr>
        <w:t xml:space="preserve"> procedures for which </w:t>
      </w:r>
      <w:r w:rsidR="00412E93">
        <w:rPr>
          <w:rFonts w:ascii="Times New Roman" w:hAnsi="Times New Roman" w:cs="Times New Roman"/>
        </w:rPr>
        <w:t xml:space="preserve">certain </w:t>
      </w:r>
      <w:r w:rsidR="00E11F01">
        <w:rPr>
          <w:rFonts w:ascii="Times New Roman" w:hAnsi="Times New Roman" w:cs="Times New Roman"/>
        </w:rPr>
        <w:t xml:space="preserve">controlled </w:t>
      </w:r>
      <w:r w:rsidRPr="004842AA">
        <w:rPr>
          <w:rFonts w:ascii="Times New Roman" w:hAnsi="Times New Roman" w:cs="Times New Roman"/>
        </w:rPr>
        <w:t>fees may be charged</w:t>
      </w:r>
      <w:r w:rsidR="0021514D" w:rsidRPr="004842AA">
        <w:rPr>
          <w:rFonts w:ascii="Times New Roman" w:hAnsi="Times New Roman" w:cs="Times New Roman"/>
        </w:rPr>
        <w:t>;</w:t>
      </w:r>
      <w:r w:rsidRPr="004842AA">
        <w:rPr>
          <w:rStyle w:val="FootnoteReference"/>
          <w:rFonts w:ascii="Times New Roman" w:hAnsi="Times New Roman" w:cs="Times New Roman"/>
        </w:rPr>
        <w:footnoteReference w:id="223"/>
      </w:r>
      <w:r w:rsidR="0021514D" w:rsidRPr="004842AA">
        <w:rPr>
          <w:rFonts w:ascii="Times New Roman" w:hAnsi="Times New Roman" w:cs="Times New Roman"/>
        </w:rPr>
        <w:t xml:space="preserve"> </w:t>
      </w:r>
      <w:r w:rsidR="0010378D">
        <w:rPr>
          <w:rFonts w:ascii="Times New Roman" w:hAnsi="Times New Roman" w:cs="Times New Roman"/>
        </w:rPr>
        <w:t xml:space="preserve">detailed </w:t>
      </w:r>
      <w:r w:rsidR="00303F33" w:rsidRPr="004842AA">
        <w:rPr>
          <w:rFonts w:ascii="Times New Roman" w:hAnsi="Times New Roman" w:cs="Times New Roman"/>
        </w:rPr>
        <w:t>rules on appropriate documentation to pr</w:t>
      </w:r>
      <w:r w:rsidR="0021514D" w:rsidRPr="004842AA">
        <w:rPr>
          <w:rFonts w:ascii="Times New Roman" w:hAnsi="Times New Roman" w:cs="Times New Roman"/>
        </w:rPr>
        <w:t xml:space="preserve">ove identity, lawful residency and </w:t>
      </w:r>
      <w:r w:rsidR="00303F33" w:rsidRPr="004842AA">
        <w:rPr>
          <w:rFonts w:ascii="Times New Roman" w:hAnsi="Times New Roman" w:cs="Times New Roman"/>
        </w:rPr>
        <w:t xml:space="preserve">family status </w:t>
      </w:r>
      <w:proofErr w:type="spellStart"/>
      <w:r w:rsidR="00303F33" w:rsidRPr="004842AA">
        <w:rPr>
          <w:rFonts w:ascii="Times New Roman" w:hAnsi="Times New Roman" w:cs="Times New Roman"/>
        </w:rPr>
        <w:t>etc</w:t>
      </w:r>
      <w:proofErr w:type="spellEnd"/>
      <w:r w:rsidR="00303F33" w:rsidRPr="004842AA">
        <w:rPr>
          <w:rFonts w:ascii="Times New Roman" w:hAnsi="Times New Roman" w:cs="Times New Roman"/>
        </w:rPr>
        <w:t xml:space="preserve">; </w:t>
      </w:r>
      <w:r w:rsidR="0021514D" w:rsidRPr="004842AA">
        <w:rPr>
          <w:rFonts w:ascii="Times New Roman" w:hAnsi="Times New Roman" w:cs="Times New Roman"/>
        </w:rPr>
        <w:t xml:space="preserve">and </w:t>
      </w:r>
      <w:r w:rsidR="00303F33" w:rsidRPr="004842AA">
        <w:rPr>
          <w:rFonts w:ascii="Times New Roman" w:hAnsi="Times New Roman" w:cs="Times New Roman"/>
        </w:rPr>
        <w:t xml:space="preserve">certain presumptions of </w:t>
      </w:r>
      <w:r w:rsidR="0021514D" w:rsidRPr="004842AA">
        <w:rPr>
          <w:rFonts w:ascii="Times New Roman" w:hAnsi="Times New Roman" w:cs="Times New Roman"/>
        </w:rPr>
        <w:t>protection</w:t>
      </w:r>
      <w:r w:rsidR="00303F33" w:rsidRPr="004842AA">
        <w:rPr>
          <w:rFonts w:ascii="Times New Roman" w:hAnsi="Times New Roman" w:cs="Times New Roman"/>
        </w:rPr>
        <w:t xml:space="preserve"> pending </w:t>
      </w:r>
      <w:r w:rsidR="0021514D" w:rsidRPr="004842AA">
        <w:rPr>
          <w:rFonts w:ascii="Times New Roman" w:hAnsi="Times New Roman" w:cs="Times New Roman"/>
        </w:rPr>
        <w:t xml:space="preserve">the </w:t>
      </w:r>
      <w:r w:rsidR="00303F33" w:rsidRPr="004842AA">
        <w:rPr>
          <w:rFonts w:ascii="Times New Roman" w:hAnsi="Times New Roman" w:cs="Times New Roman"/>
        </w:rPr>
        <w:t xml:space="preserve">outcome of </w:t>
      </w:r>
      <w:r w:rsidR="0021514D" w:rsidRPr="004842AA">
        <w:rPr>
          <w:rFonts w:ascii="Times New Roman" w:hAnsi="Times New Roman" w:cs="Times New Roman"/>
        </w:rPr>
        <w:t xml:space="preserve">any </w:t>
      </w:r>
      <w:r w:rsidR="00303F33" w:rsidRPr="004842AA">
        <w:rPr>
          <w:rFonts w:ascii="Times New Roman" w:hAnsi="Times New Roman" w:cs="Times New Roman"/>
        </w:rPr>
        <w:t xml:space="preserve">application </w:t>
      </w:r>
      <w:r w:rsidR="0021514D" w:rsidRPr="004842AA">
        <w:rPr>
          <w:rFonts w:ascii="Times New Roman" w:hAnsi="Times New Roman" w:cs="Times New Roman"/>
        </w:rPr>
        <w:t>or appeal.</w:t>
      </w:r>
      <w:r w:rsidR="00E11F01">
        <w:rPr>
          <w:rStyle w:val="FootnoteReference"/>
          <w:rFonts w:ascii="Times New Roman" w:hAnsi="Times New Roman" w:cs="Times New Roman"/>
        </w:rPr>
        <w:footnoteReference w:id="224"/>
      </w:r>
      <w:r w:rsidR="0021514D" w:rsidRPr="004842AA">
        <w:rPr>
          <w:rFonts w:ascii="Times New Roman" w:hAnsi="Times New Roman" w:cs="Times New Roman"/>
        </w:rPr>
        <w:t xml:space="preserve">  But h</w:t>
      </w:r>
      <w:r w:rsidR="00303F33" w:rsidRPr="004842AA">
        <w:rPr>
          <w:rFonts w:ascii="Times New Roman" w:hAnsi="Times New Roman" w:cs="Times New Roman"/>
        </w:rPr>
        <w:t>ost state</w:t>
      </w:r>
      <w:r w:rsidR="0021514D" w:rsidRPr="004842AA">
        <w:rPr>
          <w:rFonts w:ascii="Times New Roman" w:hAnsi="Times New Roman" w:cs="Times New Roman"/>
        </w:rPr>
        <w:t xml:space="preserve">s requiring registration are </w:t>
      </w:r>
      <w:r w:rsidR="00303F33" w:rsidRPr="004842AA">
        <w:rPr>
          <w:rFonts w:ascii="Times New Roman" w:hAnsi="Times New Roman" w:cs="Times New Roman"/>
        </w:rPr>
        <w:t xml:space="preserve">entitled to conduct systematic criminality </w:t>
      </w:r>
      <w:r w:rsidR="0010378D">
        <w:rPr>
          <w:rFonts w:ascii="Times New Roman" w:hAnsi="Times New Roman" w:cs="Times New Roman"/>
        </w:rPr>
        <w:t xml:space="preserve">and security </w:t>
      </w:r>
      <w:r w:rsidR="00303F33" w:rsidRPr="004842AA">
        <w:rPr>
          <w:rFonts w:ascii="Times New Roman" w:hAnsi="Times New Roman" w:cs="Times New Roman"/>
        </w:rPr>
        <w:t xml:space="preserve">checks on all applicants, to determine whether </w:t>
      </w:r>
      <w:r w:rsidR="0021514D" w:rsidRPr="004842AA">
        <w:rPr>
          <w:rFonts w:ascii="Times New Roman" w:hAnsi="Times New Roman" w:cs="Times New Roman"/>
        </w:rPr>
        <w:t xml:space="preserve">any </w:t>
      </w:r>
      <w:r w:rsidR="00303F33" w:rsidRPr="004842AA">
        <w:rPr>
          <w:rFonts w:ascii="Times New Roman" w:hAnsi="Times New Roman" w:cs="Times New Roman"/>
        </w:rPr>
        <w:t>grounds exist for refusing protected status</w:t>
      </w:r>
      <w:r w:rsidR="0021514D" w:rsidRPr="004842AA">
        <w:rPr>
          <w:rFonts w:ascii="Times New Roman" w:hAnsi="Times New Roman" w:cs="Times New Roman"/>
        </w:rPr>
        <w:t>.</w:t>
      </w:r>
      <w:r w:rsidR="0021514D" w:rsidRPr="004842AA">
        <w:rPr>
          <w:rStyle w:val="FootnoteReference"/>
          <w:rFonts w:ascii="Times New Roman" w:hAnsi="Times New Roman" w:cs="Times New Roman"/>
        </w:rPr>
        <w:footnoteReference w:id="225"/>
      </w:r>
      <w:r w:rsidR="0021514D" w:rsidRPr="004842AA">
        <w:rPr>
          <w:rFonts w:ascii="Times New Roman" w:hAnsi="Times New Roman" w:cs="Times New Roman"/>
        </w:rPr>
        <w:t xml:space="preserve">  </w:t>
      </w:r>
    </w:p>
    <w:p w14:paraId="3F947B71" w14:textId="4CD55DA7" w:rsidR="00F50C75" w:rsidRDefault="0021514D" w:rsidP="00F50C75">
      <w:pPr>
        <w:ind w:firstLine="720"/>
        <w:jc w:val="both"/>
        <w:rPr>
          <w:rFonts w:ascii="Times New Roman" w:hAnsi="Times New Roman" w:cs="Times New Roman"/>
        </w:rPr>
      </w:pPr>
      <w:r w:rsidRPr="004842AA">
        <w:rPr>
          <w:rFonts w:ascii="Times New Roman" w:hAnsi="Times New Roman" w:cs="Times New Roman"/>
        </w:rPr>
        <w:t xml:space="preserve">Thirdly and in that regard, </w:t>
      </w:r>
      <w:r w:rsidR="00303F33" w:rsidRPr="004842AA">
        <w:rPr>
          <w:rFonts w:ascii="Times New Roman" w:hAnsi="Times New Roman" w:cs="Times New Roman"/>
        </w:rPr>
        <w:t>Article 20</w:t>
      </w:r>
      <w:r w:rsidRPr="004842AA">
        <w:rPr>
          <w:rFonts w:ascii="Times New Roman" w:hAnsi="Times New Roman" w:cs="Times New Roman"/>
        </w:rPr>
        <w:t xml:space="preserve"> WA provides that </w:t>
      </w:r>
      <w:r w:rsidR="00303F33" w:rsidRPr="004842AA">
        <w:rPr>
          <w:rFonts w:ascii="Times New Roman" w:hAnsi="Times New Roman" w:cs="Times New Roman"/>
        </w:rPr>
        <w:t xml:space="preserve">criminal conduct committed before </w:t>
      </w:r>
      <w:r w:rsidRPr="004842AA">
        <w:rPr>
          <w:rFonts w:ascii="Times New Roman" w:hAnsi="Times New Roman" w:cs="Times New Roman"/>
        </w:rPr>
        <w:t>the end of transition</w:t>
      </w:r>
      <w:r w:rsidR="00303F33" w:rsidRPr="004842AA">
        <w:rPr>
          <w:rFonts w:ascii="Times New Roman" w:hAnsi="Times New Roman" w:cs="Times New Roman"/>
        </w:rPr>
        <w:t xml:space="preserve"> </w:t>
      </w:r>
      <w:r w:rsidRPr="004842AA">
        <w:rPr>
          <w:rFonts w:ascii="Times New Roman" w:hAnsi="Times New Roman" w:cs="Times New Roman"/>
        </w:rPr>
        <w:t xml:space="preserve">is to be </w:t>
      </w:r>
      <w:r w:rsidR="00303F33" w:rsidRPr="004842AA">
        <w:rPr>
          <w:rFonts w:ascii="Times New Roman" w:hAnsi="Times New Roman" w:cs="Times New Roman"/>
        </w:rPr>
        <w:t xml:space="preserve">assessed </w:t>
      </w:r>
      <w:r w:rsidRPr="004842AA">
        <w:rPr>
          <w:rFonts w:ascii="Times New Roman" w:hAnsi="Times New Roman" w:cs="Times New Roman"/>
        </w:rPr>
        <w:t xml:space="preserve">in accordance with </w:t>
      </w:r>
      <w:r w:rsidR="00303F33" w:rsidRPr="004842AA">
        <w:rPr>
          <w:rFonts w:ascii="Times New Roman" w:hAnsi="Times New Roman" w:cs="Times New Roman"/>
        </w:rPr>
        <w:t xml:space="preserve">Union </w:t>
      </w:r>
      <w:r w:rsidRPr="004842AA">
        <w:rPr>
          <w:rFonts w:ascii="Times New Roman" w:hAnsi="Times New Roman" w:cs="Times New Roman"/>
        </w:rPr>
        <w:t xml:space="preserve">free movement </w:t>
      </w:r>
      <w:r w:rsidR="00303F33" w:rsidRPr="004842AA">
        <w:rPr>
          <w:rFonts w:ascii="Times New Roman" w:hAnsi="Times New Roman" w:cs="Times New Roman"/>
        </w:rPr>
        <w:t>law</w:t>
      </w:r>
      <w:r w:rsidRPr="004842AA">
        <w:rPr>
          <w:rFonts w:ascii="Times New Roman" w:hAnsi="Times New Roman" w:cs="Times New Roman"/>
        </w:rPr>
        <w:t xml:space="preserve"> – but </w:t>
      </w:r>
      <w:r w:rsidR="00303F33" w:rsidRPr="004842AA">
        <w:rPr>
          <w:rFonts w:ascii="Times New Roman" w:hAnsi="Times New Roman" w:cs="Times New Roman"/>
        </w:rPr>
        <w:t xml:space="preserve">criminal conduct committed thereafter </w:t>
      </w:r>
      <w:r w:rsidRPr="004842AA">
        <w:rPr>
          <w:rFonts w:ascii="Times New Roman" w:hAnsi="Times New Roman" w:cs="Times New Roman"/>
        </w:rPr>
        <w:t xml:space="preserve">may be </w:t>
      </w:r>
      <w:r w:rsidR="00303F33" w:rsidRPr="004842AA">
        <w:rPr>
          <w:rFonts w:ascii="Times New Roman" w:hAnsi="Times New Roman" w:cs="Times New Roman"/>
        </w:rPr>
        <w:t>dealt with under national law</w:t>
      </w:r>
      <w:r w:rsidRPr="004842AA">
        <w:rPr>
          <w:rFonts w:ascii="Times New Roman" w:hAnsi="Times New Roman" w:cs="Times New Roman"/>
        </w:rPr>
        <w:t xml:space="preserve"> (raising </w:t>
      </w:r>
      <w:r w:rsidR="00303F33" w:rsidRPr="004842AA">
        <w:rPr>
          <w:rFonts w:ascii="Times New Roman" w:hAnsi="Times New Roman" w:cs="Times New Roman"/>
        </w:rPr>
        <w:t xml:space="preserve">concerns about </w:t>
      </w:r>
      <w:r w:rsidRPr="004842AA">
        <w:rPr>
          <w:rFonts w:ascii="Times New Roman" w:hAnsi="Times New Roman" w:cs="Times New Roman"/>
        </w:rPr>
        <w:t xml:space="preserve">the potential imposition upon protected citizens of </w:t>
      </w:r>
      <w:r w:rsidR="00303F33" w:rsidRPr="004842AA">
        <w:rPr>
          <w:rFonts w:ascii="Times New Roman" w:hAnsi="Times New Roman" w:cs="Times New Roman"/>
        </w:rPr>
        <w:lastRenderedPageBreak/>
        <w:t>disproportionate immigration penalties for relatively minor criminal offences</w:t>
      </w:r>
      <w:r w:rsidRPr="004842AA">
        <w:rPr>
          <w:rFonts w:ascii="Times New Roman" w:hAnsi="Times New Roman" w:cs="Times New Roman"/>
        </w:rPr>
        <w:t>).</w:t>
      </w:r>
      <w:r w:rsidR="00E11F01">
        <w:rPr>
          <w:rStyle w:val="FootnoteReference"/>
          <w:rFonts w:ascii="Times New Roman" w:hAnsi="Times New Roman" w:cs="Times New Roman"/>
        </w:rPr>
        <w:footnoteReference w:id="226"/>
      </w:r>
      <w:r w:rsidRPr="004842AA">
        <w:rPr>
          <w:rFonts w:ascii="Times New Roman" w:hAnsi="Times New Roman" w:cs="Times New Roman"/>
        </w:rPr>
        <w:t xml:space="preserve">  Fourthly, own </w:t>
      </w:r>
      <w:r w:rsidR="00303F33" w:rsidRPr="004842AA">
        <w:rPr>
          <w:rFonts w:ascii="Times New Roman" w:hAnsi="Times New Roman" w:cs="Times New Roman"/>
        </w:rPr>
        <w:t xml:space="preserve">nationals </w:t>
      </w:r>
      <w:r w:rsidRPr="004842AA">
        <w:rPr>
          <w:rFonts w:ascii="Times New Roman" w:hAnsi="Times New Roman" w:cs="Times New Roman"/>
        </w:rPr>
        <w:t xml:space="preserve">are </w:t>
      </w:r>
      <w:r w:rsidR="00303F33" w:rsidRPr="004842AA">
        <w:rPr>
          <w:rFonts w:ascii="Times New Roman" w:hAnsi="Times New Roman" w:cs="Times New Roman"/>
        </w:rPr>
        <w:t xml:space="preserve">generally not covered by </w:t>
      </w:r>
      <w:r w:rsidRPr="004842AA">
        <w:rPr>
          <w:rFonts w:ascii="Times New Roman" w:hAnsi="Times New Roman" w:cs="Times New Roman"/>
        </w:rPr>
        <w:t xml:space="preserve">the </w:t>
      </w:r>
      <w:r w:rsidR="00303F33" w:rsidRPr="004842AA">
        <w:rPr>
          <w:rFonts w:ascii="Times New Roman" w:hAnsi="Times New Roman" w:cs="Times New Roman"/>
        </w:rPr>
        <w:t xml:space="preserve">citizens’ rights provisions of </w:t>
      </w:r>
      <w:r w:rsidRPr="004842AA">
        <w:rPr>
          <w:rFonts w:ascii="Times New Roman" w:hAnsi="Times New Roman" w:cs="Times New Roman"/>
        </w:rPr>
        <w:t xml:space="preserve">the </w:t>
      </w:r>
      <w:r w:rsidR="00303F33" w:rsidRPr="004842AA">
        <w:rPr>
          <w:rFonts w:ascii="Times New Roman" w:hAnsi="Times New Roman" w:cs="Times New Roman"/>
        </w:rPr>
        <w:t>A</w:t>
      </w:r>
      <w:r w:rsidRPr="004842AA">
        <w:rPr>
          <w:rFonts w:ascii="Times New Roman" w:hAnsi="Times New Roman" w:cs="Times New Roman"/>
        </w:rPr>
        <w:t xml:space="preserve">greement as </w:t>
      </w:r>
      <w:r w:rsidR="00303F33" w:rsidRPr="004842AA">
        <w:rPr>
          <w:rFonts w:ascii="Times New Roman" w:hAnsi="Times New Roman" w:cs="Times New Roman"/>
        </w:rPr>
        <w:t xml:space="preserve">regards relations with </w:t>
      </w:r>
      <w:r w:rsidRPr="004842AA">
        <w:rPr>
          <w:rFonts w:ascii="Times New Roman" w:hAnsi="Times New Roman" w:cs="Times New Roman"/>
        </w:rPr>
        <w:t xml:space="preserve">or </w:t>
      </w:r>
      <w:r w:rsidR="00303F33" w:rsidRPr="004842AA">
        <w:rPr>
          <w:rFonts w:ascii="Times New Roman" w:hAnsi="Times New Roman" w:cs="Times New Roman"/>
        </w:rPr>
        <w:t xml:space="preserve">treatment by </w:t>
      </w:r>
      <w:r w:rsidRPr="004842AA">
        <w:rPr>
          <w:rFonts w:ascii="Times New Roman" w:hAnsi="Times New Roman" w:cs="Times New Roman"/>
        </w:rPr>
        <w:t xml:space="preserve">their home </w:t>
      </w:r>
      <w:r w:rsidR="00303F33" w:rsidRPr="004842AA">
        <w:rPr>
          <w:rFonts w:ascii="Times New Roman" w:hAnsi="Times New Roman" w:cs="Times New Roman"/>
        </w:rPr>
        <w:t>state</w:t>
      </w:r>
      <w:r w:rsidRPr="004842AA">
        <w:rPr>
          <w:rFonts w:ascii="Times New Roman" w:hAnsi="Times New Roman" w:cs="Times New Roman"/>
        </w:rPr>
        <w:t>.  That restriction is potentially significant in certain situations: for example, as regards a British national</w:t>
      </w:r>
      <w:r w:rsidR="00303F33" w:rsidRPr="004842AA">
        <w:rPr>
          <w:rFonts w:ascii="Times New Roman" w:hAnsi="Times New Roman" w:cs="Times New Roman"/>
        </w:rPr>
        <w:t xml:space="preserve"> who return</w:t>
      </w:r>
      <w:r w:rsidRPr="004842AA">
        <w:rPr>
          <w:rFonts w:ascii="Times New Roman" w:hAnsi="Times New Roman" w:cs="Times New Roman"/>
        </w:rPr>
        <w:t>s</w:t>
      </w:r>
      <w:r w:rsidR="00303F33" w:rsidRPr="004842AA">
        <w:rPr>
          <w:rFonts w:ascii="Times New Roman" w:hAnsi="Times New Roman" w:cs="Times New Roman"/>
        </w:rPr>
        <w:t xml:space="preserve"> to </w:t>
      </w:r>
      <w:r w:rsidRPr="004842AA">
        <w:rPr>
          <w:rFonts w:ascii="Times New Roman" w:hAnsi="Times New Roman" w:cs="Times New Roman"/>
        </w:rPr>
        <w:t xml:space="preserve">the </w:t>
      </w:r>
      <w:r w:rsidR="00303F33" w:rsidRPr="004842AA">
        <w:rPr>
          <w:rFonts w:ascii="Times New Roman" w:hAnsi="Times New Roman" w:cs="Times New Roman"/>
        </w:rPr>
        <w:t xml:space="preserve">UK with </w:t>
      </w:r>
      <w:r w:rsidRPr="004842AA">
        <w:rPr>
          <w:rFonts w:ascii="Times New Roman" w:hAnsi="Times New Roman" w:cs="Times New Roman"/>
        </w:rPr>
        <w:t xml:space="preserve">a third country </w:t>
      </w:r>
      <w:r w:rsidR="00E11F01">
        <w:rPr>
          <w:rFonts w:ascii="Times New Roman" w:hAnsi="Times New Roman" w:cs="Times New Roman"/>
        </w:rPr>
        <w:t>family member</w:t>
      </w:r>
      <w:r w:rsidR="00303F33" w:rsidRPr="004842AA">
        <w:rPr>
          <w:rFonts w:ascii="Times New Roman" w:hAnsi="Times New Roman" w:cs="Times New Roman"/>
        </w:rPr>
        <w:t xml:space="preserve"> (under </w:t>
      </w:r>
      <w:r w:rsidRPr="004842AA">
        <w:rPr>
          <w:rFonts w:ascii="Times New Roman" w:hAnsi="Times New Roman" w:cs="Times New Roman"/>
        </w:rPr>
        <w:t xml:space="preserve">the </w:t>
      </w:r>
      <w:proofErr w:type="spellStart"/>
      <w:r w:rsidR="00303F33" w:rsidRPr="004842AA">
        <w:rPr>
          <w:rFonts w:ascii="Times New Roman" w:hAnsi="Times New Roman" w:cs="Times New Roman"/>
          <w:i/>
        </w:rPr>
        <w:t>Surinder</w:t>
      </w:r>
      <w:proofErr w:type="spellEnd"/>
      <w:r w:rsidR="00303F33" w:rsidRPr="004842AA">
        <w:rPr>
          <w:rFonts w:ascii="Times New Roman" w:hAnsi="Times New Roman" w:cs="Times New Roman"/>
          <w:i/>
        </w:rPr>
        <w:t xml:space="preserve"> Singh </w:t>
      </w:r>
      <w:proofErr w:type="spellStart"/>
      <w:r w:rsidR="00303F33" w:rsidRPr="004842AA">
        <w:rPr>
          <w:rFonts w:ascii="Times New Roman" w:hAnsi="Times New Roman" w:cs="Times New Roman"/>
        </w:rPr>
        <w:t>caselaw</w:t>
      </w:r>
      <w:proofErr w:type="spellEnd"/>
      <w:r w:rsidR="00303F33" w:rsidRPr="004842AA">
        <w:rPr>
          <w:rFonts w:ascii="Times New Roman" w:hAnsi="Times New Roman" w:cs="Times New Roman"/>
        </w:rPr>
        <w:t>)</w:t>
      </w:r>
      <w:r w:rsidR="00E11F01">
        <w:rPr>
          <w:rFonts w:ascii="Times New Roman" w:hAnsi="Times New Roman" w:cs="Times New Roman"/>
        </w:rPr>
        <w:t>;</w:t>
      </w:r>
      <w:r w:rsidR="00E11F01">
        <w:rPr>
          <w:rStyle w:val="FootnoteReference"/>
          <w:rFonts w:ascii="Times New Roman" w:hAnsi="Times New Roman" w:cs="Times New Roman"/>
        </w:rPr>
        <w:footnoteReference w:id="227"/>
      </w:r>
      <w:r w:rsidRPr="004842AA">
        <w:rPr>
          <w:rFonts w:ascii="Times New Roman" w:hAnsi="Times New Roman" w:cs="Times New Roman"/>
        </w:rPr>
        <w:t xml:space="preserve"> or for UK children in the UK with a primary carer of third country nationality (under the </w:t>
      </w:r>
      <w:r w:rsidRPr="004842AA">
        <w:rPr>
          <w:rFonts w:ascii="Times New Roman" w:hAnsi="Times New Roman" w:cs="Times New Roman"/>
          <w:i/>
        </w:rPr>
        <w:t xml:space="preserve">Ruiz Zambrano </w:t>
      </w:r>
      <w:proofErr w:type="spellStart"/>
      <w:r w:rsidRPr="004842AA">
        <w:rPr>
          <w:rFonts w:ascii="Times New Roman" w:hAnsi="Times New Roman" w:cs="Times New Roman"/>
        </w:rPr>
        <w:t>caselaw</w:t>
      </w:r>
      <w:proofErr w:type="spellEnd"/>
      <w:r w:rsidRPr="004842AA">
        <w:rPr>
          <w:rFonts w:ascii="Times New Roman" w:hAnsi="Times New Roman" w:cs="Times New Roman"/>
        </w:rPr>
        <w:t>)</w:t>
      </w:r>
      <w:r w:rsidR="00E11F01">
        <w:rPr>
          <w:rStyle w:val="FootnoteReference"/>
          <w:rFonts w:ascii="Times New Roman" w:hAnsi="Times New Roman" w:cs="Times New Roman"/>
        </w:rPr>
        <w:footnoteReference w:id="228"/>
      </w:r>
      <w:r w:rsidRPr="004842AA">
        <w:rPr>
          <w:rFonts w:ascii="Times New Roman" w:hAnsi="Times New Roman" w:cs="Times New Roman"/>
        </w:rPr>
        <w:t xml:space="preserve"> – though the UK indicated that it would unilaterally offer a degree of protection, at least for </w:t>
      </w:r>
      <w:r w:rsidR="00B86F3D" w:rsidRPr="004842AA">
        <w:rPr>
          <w:rFonts w:ascii="Times New Roman" w:hAnsi="Times New Roman" w:cs="Times New Roman"/>
        </w:rPr>
        <w:t xml:space="preserve">individuals who have already claimed rights under </w:t>
      </w:r>
      <w:r w:rsidRPr="004842AA">
        <w:rPr>
          <w:rFonts w:ascii="Times New Roman" w:hAnsi="Times New Roman" w:cs="Times New Roman"/>
        </w:rPr>
        <w:t>the relevant provisions of Union law</w:t>
      </w:r>
      <w:r w:rsidR="008F018A">
        <w:rPr>
          <w:rFonts w:ascii="Times New Roman" w:hAnsi="Times New Roman" w:cs="Times New Roman"/>
        </w:rPr>
        <w:t xml:space="preserve"> by the end of the transition period</w:t>
      </w:r>
      <w:r w:rsidR="00B86F3D" w:rsidRPr="004842AA">
        <w:rPr>
          <w:rFonts w:ascii="Times New Roman" w:hAnsi="Times New Roman" w:cs="Times New Roman"/>
        </w:rPr>
        <w:t>.</w:t>
      </w:r>
      <w:r w:rsidR="00E11F01">
        <w:rPr>
          <w:rStyle w:val="FootnoteReference"/>
          <w:rFonts w:ascii="Times New Roman" w:hAnsi="Times New Roman" w:cs="Times New Roman"/>
        </w:rPr>
        <w:footnoteReference w:id="229"/>
      </w:r>
    </w:p>
    <w:p w14:paraId="5F7B41BB" w14:textId="11D9B7E5" w:rsidR="00F50C75" w:rsidRDefault="00B86F3D" w:rsidP="00F50C75">
      <w:pPr>
        <w:ind w:firstLine="720"/>
        <w:jc w:val="both"/>
        <w:rPr>
          <w:rFonts w:ascii="Times New Roman" w:hAnsi="Times New Roman" w:cs="Times New Roman"/>
        </w:rPr>
      </w:pPr>
      <w:r w:rsidRPr="004842AA">
        <w:rPr>
          <w:rFonts w:ascii="Times New Roman" w:hAnsi="Times New Roman" w:cs="Times New Roman"/>
        </w:rPr>
        <w:t xml:space="preserve">In addition, there are several situations where the </w:t>
      </w:r>
      <w:r w:rsidR="00765401">
        <w:rPr>
          <w:rFonts w:ascii="Times New Roman" w:hAnsi="Times New Roman" w:cs="Times New Roman"/>
        </w:rPr>
        <w:t>Agreement</w:t>
      </w:r>
      <w:r w:rsidRPr="004842AA">
        <w:rPr>
          <w:rFonts w:ascii="Times New Roman" w:hAnsi="Times New Roman" w:cs="Times New Roman"/>
        </w:rPr>
        <w:t xml:space="preserve"> </w:t>
      </w:r>
      <w:r w:rsidR="00303F33" w:rsidRPr="004842AA">
        <w:rPr>
          <w:rFonts w:ascii="Times New Roman" w:hAnsi="Times New Roman" w:cs="Times New Roman"/>
        </w:rPr>
        <w:t xml:space="preserve">allows for </w:t>
      </w:r>
      <w:r w:rsidRPr="004842AA">
        <w:rPr>
          <w:rFonts w:ascii="Times New Roman" w:hAnsi="Times New Roman" w:cs="Times New Roman"/>
        </w:rPr>
        <w:t xml:space="preserve">the </w:t>
      </w:r>
      <w:r w:rsidR="00303F33" w:rsidRPr="004842AA">
        <w:rPr>
          <w:rFonts w:ascii="Times New Roman" w:hAnsi="Times New Roman" w:cs="Times New Roman"/>
        </w:rPr>
        <w:t xml:space="preserve">potential imposition of additional future restrictions on citizens’ rights </w:t>
      </w:r>
      <w:r w:rsidRPr="004842AA">
        <w:rPr>
          <w:rFonts w:ascii="Times New Roman" w:hAnsi="Times New Roman" w:cs="Times New Roman"/>
        </w:rPr>
        <w:t xml:space="preserve">that </w:t>
      </w:r>
      <w:r w:rsidR="00E11F01">
        <w:rPr>
          <w:rFonts w:ascii="Times New Roman" w:hAnsi="Times New Roman" w:cs="Times New Roman"/>
        </w:rPr>
        <w:t xml:space="preserve">again </w:t>
      </w:r>
      <w:r w:rsidR="00303F33" w:rsidRPr="004842AA">
        <w:rPr>
          <w:rFonts w:ascii="Times New Roman" w:hAnsi="Times New Roman" w:cs="Times New Roman"/>
        </w:rPr>
        <w:t xml:space="preserve">would </w:t>
      </w:r>
      <w:r w:rsidRPr="004842AA">
        <w:rPr>
          <w:rFonts w:ascii="Times New Roman" w:hAnsi="Times New Roman" w:cs="Times New Roman"/>
        </w:rPr>
        <w:t xml:space="preserve">not be permitted under existing Union law.  For example: </w:t>
      </w:r>
      <w:r w:rsidR="00364D44">
        <w:rPr>
          <w:rFonts w:ascii="Times New Roman" w:hAnsi="Times New Roman" w:cs="Times New Roman"/>
        </w:rPr>
        <w:t xml:space="preserve">five years after the end of transition, </w:t>
      </w:r>
      <w:r w:rsidRPr="004842AA">
        <w:rPr>
          <w:rFonts w:ascii="Times New Roman" w:hAnsi="Times New Roman" w:cs="Times New Roman"/>
        </w:rPr>
        <w:t xml:space="preserve">the host state may decide </w:t>
      </w:r>
      <w:r w:rsidR="00364D44">
        <w:rPr>
          <w:rFonts w:ascii="Times New Roman" w:hAnsi="Times New Roman" w:cs="Times New Roman"/>
        </w:rPr>
        <w:t xml:space="preserve">no longer to accept </w:t>
      </w:r>
      <w:r w:rsidR="00303F33" w:rsidRPr="004842AA">
        <w:rPr>
          <w:rFonts w:ascii="Times New Roman" w:hAnsi="Times New Roman" w:cs="Times New Roman"/>
        </w:rPr>
        <w:t>national ID cards for entry / exit purposes</w:t>
      </w:r>
      <w:r w:rsidRPr="004842AA">
        <w:rPr>
          <w:rFonts w:ascii="Times New Roman" w:hAnsi="Times New Roman" w:cs="Times New Roman"/>
        </w:rPr>
        <w:t xml:space="preserve">, where such documents </w:t>
      </w:r>
      <w:r w:rsidR="00303F33" w:rsidRPr="004842AA">
        <w:rPr>
          <w:rFonts w:ascii="Times New Roman" w:hAnsi="Times New Roman" w:cs="Times New Roman"/>
        </w:rPr>
        <w:t xml:space="preserve">do not comply with certain security </w:t>
      </w:r>
      <w:r w:rsidRPr="004842AA">
        <w:rPr>
          <w:rFonts w:ascii="Times New Roman" w:hAnsi="Times New Roman" w:cs="Times New Roman"/>
        </w:rPr>
        <w:t xml:space="preserve">and </w:t>
      </w:r>
      <w:r w:rsidR="00303F33" w:rsidRPr="004842AA">
        <w:rPr>
          <w:rFonts w:ascii="Times New Roman" w:hAnsi="Times New Roman" w:cs="Times New Roman"/>
        </w:rPr>
        <w:t xml:space="preserve">data </w:t>
      </w:r>
      <w:r w:rsidRPr="004842AA">
        <w:rPr>
          <w:rFonts w:ascii="Times New Roman" w:hAnsi="Times New Roman" w:cs="Times New Roman"/>
        </w:rPr>
        <w:t>specifications.</w:t>
      </w:r>
      <w:r w:rsidRPr="004842AA">
        <w:rPr>
          <w:rStyle w:val="FootnoteReference"/>
          <w:rFonts w:ascii="Times New Roman" w:hAnsi="Times New Roman" w:cs="Times New Roman"/>
        </w:rPr>
        <w:footnoteReference w:id="230"/>
      </w:r>
      <w:r w:rsidRPr="004842AA">
        <w:rPr>
          <w:rFonts w:ascii="Times New Roman" w:hAnsi="Times New Roman" w:cs="Times New Roman"/>
        </w:rPr>
        <w:t xml:space="preserve">  Or again: the </w:t>
      </w:r>
      <w:r w:rsidR="000852C1" w:rsidRPr="004842AA">
        <w:rPr>
          <w:rFonts w:ascii="Times New Roman" w:hAnsi="Times New Roman" w:cs="Times New Roman"/>
        </w:rPr>
        <w:t xml:space="preserve">Joint Committee may decide that the </w:t>
      </w:r>
      <w:r w:rsidR="00303F33" w:rsidRPr="004842AA">
        <w:rPr>
          <w:rFonts w:ascii="Times New Roman" w:hAnsi="Times New Roman" w:cs="Times New Roman"/>
        </w:rPr>
        <w:t xml:space="preserve">UK </w:t>
      </w:r>
      <w:r w:rsidR="000852C1" w:rsidRPr="004842AA">
        <w:rPr>
          <w:rFonts w:ascii="Times New Roman" w:hAnsi="Times New Roman" w:cs="Times New Roman"/>
        </w:rPr>
        <w:t xml:space="preserve">will not </w:t>
      </w:r>
      <w:r w:rsidRPr="004842AA">
        <w:rPr>
          <w:rFonts w:ascii="Times New Roman" w:hAnsi="Times New Roman" w:cs="Times New Roman"/>
        </w:rPr>
        <w:t>align</w:t>
      </w:r>
      <w:r w:rsidR="00303F33" w:rsidRPr="004842AA">
        <w:rPr>
          <w:rFonts w:ascii="Times New Roman" w:hAnsi="Times New Roman" w:cs="Times New Roman"/>
        </w:rPr>
        <w:t xml:space="preserve"> </w:t>
      </w:r>
      <w:r w:rsidRPr="004842AA">
        <w:rPr>
          <w:rFonts w:ascii="Times New Roman" w:hAnsi="Times New Roman" w:cs="Times New Roman"/>
        </w:rPr>
        <w:t xml:space="preserve">its </w:t>
      </w:r>
      <w:r w:rsidR="00303F33" w:rsidRPr="004842AA">
        <w:rPr>
          <w:rFonts w:ascii="Times New Roman" w:hAnsi="Times New Roman" w:cs="Times New Roman"/>
        </w:rPr>
        <w:t xml:space="preserve">national </w:t>
      </w:r>
      <w:r w:rsidRPr="004842AA">
        <w:rPr>
          <w:rFonts w:ascii="Times New Roman" w:hAnsi="Times New Roman" w:cs="Times New Roman"/>
        </w:rPr>
        <w:t xml:space="preserve">legislation </w:t>
      </w:r>
      <w:r w:rsidR="00303F33" w:rsidRPr="004842AA">
        <w:rPr>
          <w:rFonts w:ascii="Times New Roman" w:hAnsi="Times New Roman" w:cs="Times New Roman"/>
        </w:rPr>
        <w:t xml:space="preserve">with </w:t>
      </w:r>
      <w:r w:rsidR="00E11F01">
        <w:rPr>
          <w:rFonts w:ascii="Times New Roman" w:hAnsi="Times New Roman" w:cs="Times New Roman"/>
        </w:rPr>
        <w:t>various</w:t>
      </w:r>
      <w:r w:rsidR="00303F33" w:rsidRPr="004842AA">
        <w:rPr>
          <w:rFonts w:ascii="Times New Roman" w:hAnsi="Times New Roman" w:cs="Times New Roman"/>
        </w:rPr>
        <w:t xml:space="preserve"> future amendments to </w:t>
      </w:r>
      <w:r w:rsidRPr="004842AA">
        <w:rPr>
          <w:rFonts w:ascii="Times New Roman" w:hAnsi="Times New Roman" w:cs="Times New Roman"/>
        </w:rPr>
        <w:t xml:space="preserve">the Union rules on cross-border </w:t>
      </w:r>
      <w:r w:rsidR="00303F33" w:rsidRPr="004842AA">
        <w:rPr>
          <w:rFonts w:ascii="Times New Roman" w:hAnsi="Times New Roman" w:cs="Times New Roman"/>
        </w:rPr>
        <w:t>social security coordination</w:t>
      </w:r>
      <w:r w:rsidRPr="004842AA">
        <w:rPr>
          <w:rFonts w:ascii="Times New Roman" w:hAnsi="Times New Roman" w:cs="Times New Roman"/>
        </w:rPr>
        <w:t xml:space="preserve"> (say) if the </w:t>
      </w:r>
      <w:r w:rsidR="00303F33" w:rsidRPr="004842AA">
        <w:rPr>
          <w:rFonts w:ascii="Times New Roman" w:hAnsi="Times New Roman" w:cs="Times New Roman"/>
        </w:rPr>
        <w:t xml:space="preserve">EU proposes to make certain additional </w:t>
      </w:r>
      <w:r w:rsidRPr="004842AA">
        <w:rPr>
          <w:rFonts w:ascii="Times New Roman" w:hAnsi="Times New Roman" w:cs="Times New Roman"/>
        </w:rPr>
        <w:t>benefits exportable</w:t>
      </w:r>
      <w:r w:rsidR="00303F33" w:rsidRPr="004842AA">
        <w:rPr>
          <w:rFonts w:ascii="Times New Roman" w:hAnsi="Times New Roman" w:cs="Times New Roman"/>
        </w:rPr>
        <w:t xml:space="preserve"> from </w:t>
      </w:r>
      <w:r w:rsidRPr="004842AA">
        <w:rPr>
          <w:rFonts w:ascii="Times New Roman" w:hAnsi="Times New Roman" w:cs="Times New Roman"/>
        </w:rPr>
        <w:t xml:space="preserve">the </w:t>
      </w:r>
      <w:r w:rsidR="00303F33" w:rsidRPr="004842AA">
        <w:rPr>
          <w:rFonts w:ascii="Times New Roman" w:hAnsi="Times New Roman" w:cs="Times New Roman"/>
        </w:rPr>
        <w:t>competent state</w:t>
      </w:r>
      <w:r w:rsidRPr="004842AA">
        <w:rPr>
          <w:rFonts w:ascii="Times New Roman" w:hAnsi="Times New Roman" w:cs="Times New Roman"/>
        </w:rPr>
        <w:t xml:space="preserve"> by </w:t>
      </w:r>
      <w:r w:rsidR="00303F33" w:rsidRPr="004842AA">
        <w:rPr>
          <w:rFonts w:ascii="Times New Roman" w:hAnsi="Times New Roman" w:cs="Times New Roman"/>
        </w:rPr>
        <w:t xml:space="preserve">non-resident </w:t>
      </w:r>
      <w:r w:rsidRPr="004842AA">
        <w:rPr>
          <w:rFonts w:ascii="Times New Roman" w:hAnsi="Times New Roman" w:cs="Times New Roman"/>
        </w:rPr>
        <w:t>claimants.</w:t>
      </w:r>
      <w:r w:rsidRPr="004842AA">
        <w:rPr>
          <w:rStyle w:val="FootnoteReference"/>
          <w:rFonts w:ascii="Times New Roman" w:hAnsi="Times New Roman" w:cs="Times New Roman"/>
        </w:rPr>
        <w:footnoteReference w:id="231"/>
      </w:r>
    </w:p>
    <w:p w14:paraId="61195CDD" w14:textId="4B60EE5B" w:rsidR="00303F33" w:rsidRPr="004842AA" w:rsidRDefault="00B86F3D" w:rsidP="00F50C75">
      <w:pPr>
        <w:ind w:firstLine="720"/>
        <w:jc w:val="both"/>
        <w:rPr>
          <w:rFonts w:ascii="Times New Roman" w:hAnsi="Times New Roman" w:cs="Times New Roman"/>
        </w:rPr>
      </w:pPr>
      <w:r w:rsidRPr="004842AA">
        <w:rPr>
          <w:rFonts w:ascii="Times New Roman" w:hAnsi="Times New Roman" w:cs="Times New Roman"/>
        </w:rPr>
        <w:t xml:space="preserve">Last but not least, the Agreement allows for the total </w:t>
      </w:r>
      <w:r w:rsidR="00303F33" w:rsidRPr="004842AA">
        <w:rPr>
          <w:rFonts w:ascii="Times New Roman" w:hAnsi="Times New Roman" w:cs="Times New Roman"/>
        </w:rPr>
        <w:t xml:space="preserve">loss </w:t>
      </w:r>
      <w:r w:rsidRPr="004842AA">
        <w:rPr>
          <w:rFonts w:ascii="Times New Roman" w:hAnsi="Times New Roman" w:cs="Times New Roman"/>
        </w:rPr>
        <w:t xml:space="preserve">even by protected citizens of certain </w:t>
      </w:r>
      <w:r w:rsidR="00303F33" w:rsidRPr="004842AA">
        <w:rPr>
          <w:rFonts w:ascii="Times New Roman" w:hAnsi="Times New Roman" w:cs="Times New Roman"/>
        </w:rPr>
        <w:t xml:space="preserve">rights </w:t>
      </w:r>
      <w:r w:rsidRPr="004842AA">
        <w:rPr>
          <w:rFonts w:ascii="Times New Roman" w:hAnsi="Times New Roman" w:cs="Times New Roman"/>
        </w:rPr>
        <w:t>provided for under existing Union law</w:t>
      </w:r>
      <w:r w:rsidR="00D035CD">
        <w:rPr>
          <w:rFonts w:ascii="Times New Roman" w:hAnsi="Times New Roman" w:cs="Times New Roman"/>
        </w:rPr>
        <w:t xml:space="preserve">.  A first </w:t>
      </w:r>
      <w:r w:rsidRPr="004842AA">
        <w:rPr>
          <w:rFonts w:ascii="Times New Roman" w:hAnsi="Times New Roman" w:cs="Times New Roman"/>
        </w:rPr>
        <w:t>example</w:t>
      </w:r>
      <w:r w:rsidR="00D035CD">
        <w:rPr>
          <w:rFonts w:ascii="Times New Roman" w:hAnsi="Times New Roman" w:cs="Times New Roman"/>
        </w:rPr>
        <w:t xml:space="preserve">: </w:t>
      </w:r>
      <w:r w:rsidRPr="004842AA">
        <w:rPr>
          <w:rFonts w:ascii="Times New Roman" w:hAnsi="Times New Roman" w:cs="Times New Roman"/>
        </w:rPr>
        <w:t xml:space="preserve">there is </w:t>
      </w:r>
      <w:r w:rsidR="00303F33" w:rsidRPr="004842AA">
        <w:rPr>
          <w:rFonts w:ascii="Times New Roman" w:hAnsi="Times New Roman" w:cs="Times New Roman"/>
        </w:rPr>
        <w:t xml:space="preserve">no provision for </w:t>
      </w:r>
      <w:r w:rsidRPr="004842AA">
        <w:rPr>
          <w:rFonts w:ascii="Times New Roman" w:hAnsi="Times New Roman" w:cs="Times New Roman"/>
        </w:rPr>
        <w:t xml:space="preserve">individuals to </w:t>
      </w:r>
      <w:r w:rsidR="00E11F01">
        <w:rPr>
          <w:rFonts w:ascii="Times New Roman" w:hAnsi="Times New Roman" w:cs="Times New Roman"/>
        </w:rPr>
        <w:t>continue</w:t>
      </w:r>
      <w:r w:rsidR="00303F33" w:rsidRPr="004842AA">
        <w:rPr>
          <w:rFonts w:ascii="Times New Roman" w:hAnsi="Times New Roman" w:cs="Times New Roman"/>
        </w:rPr>
        <w:t xml:space="preserve"> </w:t>
      </w:r>
      <w:r w:rsidRPr="004842AA">
        <w:rPr>
          <w:rFonts w:ascii="Times New Roman" w:hAnsi="Times New Roman" w:cs="Times New Roman"/>
        </w:rPr>
        <w:t xml:space="preserve">to enjoy voting rights in </w:t>
      </w:r>
      <w:r w:rsidR="00303F33" w:rsidRPr="004842AA">
        <w:rPr>
          <w:rFonts w:ascii="Times New Roman" w:hAnsi="Times New Roman" w:cs="Times New Roman"/>
        </w:rPr>
        <w:t>local election</w:t>
      </w:r>
      <w:r w:rsidR="00E11F01">
        <w:rPr>
          <w:rFonts w:ascii="Times New Roman" w:hAnsi="Times New Roman" w:cs="Times New Roman"/>
        </w:rPr>
        <w:t>s</w:t>
      </w:r>
      <w:r w:rsidR="00303F33" w:rsidRPr="004842AA">
        <w:rPr>
          <w:rFonts w:ascii="Times New Roman" w:hAnsi="Times New Roman" w:cs="Times New Roman"/>
        </w:rPr>
        <w:t xml:space="preserve"> </w:t>
      </w:r>
      <w:r w:rsidRPr="004842AA">
        <w:rPr>
          <w:rFonts w:ascii="Times New Roman" w:hAnsi="Times New Roman" w:cs="Times New Roman"/>
        </w:rPr>
        <w:t>within the host state: the Union treated</w:t>
      </w:r>
      <w:r w:rsidR="00303F33" w:rsidRPr="004842AA">
        <w:rPr>
          <w:rFonts w:ascii="Times New Roman" w:hAnsi="Times New Roman" w:cs="Times New Roman"/>
        </w:rPr>
        <w:t xml:space="preserve"> this as </w:t>
      </w:r>
      <w:r w:rsidRPr="004842AA">
        <w:rPr>
          <w:rFonts w:ascii="Times New Roman" w:hAnsi="Times New Roman" w:cs="Times New Roman"/>
        </w:rPr>
        <w:t xml:space="preserve">a </w:t>
      </w:r>
      <w:r w:rsidR="00303F33" w:rsidRPr="004842AA">
        <w:rPr>
          <w:rFonts w:ascii="Times New Roman" w:hAnsi="Times New Roman" w:cs="Times New Roman"/>
        </w:rPr>
        <w:t xml:space="preserve">bilateral issue for </w:t>
      </w:r>
      <w:r w:rsidRPr="004842AA">
        <w:rPr>
          <w:rFonts w:ascii="Times New Roman" w:hAnsi="Times New Roman" w:cs="Times New Roman"/>
        </w:rPr>
        <w:t>the UK and individual Member States.</w:t>
      </w:r>
      <w:r w:rsidRPr="004842AA">
        <w:rPr>
          <w:rStyle w:val="FootnoteReference"/>
          <w:rFonts w:ascii="Times New Roman" w:hAnsi="Times New Roman" w:cs="Times New Roman"/>
        </w:rPr>
        <w:footnoteReference w:id="232"/>
      </w:r>
      <w:r w:rsidRPr="004842AA">
        <w:rPr>
          <w:rFonts w:ascii="Times New Roman" w:hAnsi="Times New Roman" w:cs="Times New Roman"/>
        </w:rPr>
        <w:t xml:space="preserve">  Secondly, there is </w:t>
      </w:r>
      <w:r w:rsidR="00303F33" w:rsidRPr="004842AA">
        <w:rPr>
          <w:rFonts w:ascii="Times New Roman" w:hAnsi="Times New Roman" w:cs="Times New Roman"/>
        </w:rPr>
        <w:t xml:space="preserve">no </w:t>
      </w:r>
      <w:r w:rsidRPr="004842AA">
        <w:rPr>
          <w:rFonts w:ascii="Times New Roman" w:hAnsi="Times New Roman" w:cs="Times New Roman"/>
        </w:rPr>
        <w:t xml:space="preserve">legal basis for the </w:t>
      </w:r>
      <w:r w:rsidR="00303F33" w:rsidRPr="004842AA">
        <w:rPr>
          <w:rFonts w:ascii="Times New Roman" w:hAnsi="Times New Roman" w:cs="Times New Roman"/>
        </w:rPr>
        <w:t xml:space="preserve">mutual recognition of future professional qualifications, even </w:t>
      </w:r>
      <w:r w:rsidRPr="004842AA">
        <w:rPr>
          <w:rFonts w:ascii="Times New Roman" w:hAnsi="Times New Roman" w:cs="Times New Roman"/>
        </w:rPr>
        <w:t xml:space="preserve">as regards </w:t>
      </w:r>
      <w:r w:rsidR="00303F33" w:rsidRPr="004842AA">
        <w:rPr>
          <w:rFonts w:ascii="Times New Roman" w:hAnsi="Times New Roman" w:cs="Times New Roman"/>
        </w:rPr>
        <w:t xml:space="preserve">individuals falling within </w:t>
      </w:r>
      <w:r w:rsidRPr="004842AA">
        <w:rPr>
          <w:rFonts w:ascii="Times New Roman" w:hAnsi="Times New Roman" w:cs="Times New Roman"/>
        </w:rPr>
        <w:t xml:space="preserve">the protective </w:t>
      </w:r>
      <w:r w:rsidR="00303F33" w:rsidRPr="004842AA">
        <w:rPr>
          <w:rFonts w:ascii="Times New Roman" w:hAnsi="Times New Roman" w:cs="Times New Roman"/>
        </w:rPr>
        <w:t xml:space="preserve">scope of </w:t>
      </w:r>
      <w:r w:rsidRPr="004842AA">
        <w:rPr>
          <w:rFonts w:ascii="Times New Roman" w:hAnsi="Times New Roman" w:cs="Times New Roman"/>
        </w:rPr>
        <w:t>Part Two</w:t>
      </w:r>
      <w:r w:rsidR="00303F33" w:rsidRPr="004842AA">
        <w:rPr>
          <w:rFonts w:ascii="Times New Roman" w:hAnsi="Times New Roman" w:cs="Times New Roman"/>
        </w:rPr>
        <w:t>:</w:t>
      </w:r>
      <w:r w:rsidRPr="004842AA">
        <w:rPr>
          <w:rFonts w:ascii="Times New Roman" w:hAnsi="Times New Roman" w:cs="Times New Roman"/>
        </w:rPr>
        <w:t xml:space="preserve"> the Commission maintained that this was </w:t>
      </w:r>
      <w:r w:rsidR="00303F33" w:rsidRPr="004842AA">
        <w:rPr>
          <w:rFonts w:ascii="Times New Roman" w:hAnsi="Times New Roman" w:cs="Times New Roman"/>
        </w:rPr>
        <w:t xml:space="preserve">outside </w:t>
      </w:r>
      <w:r w:rsidRPr="004842AA">
        <w:rPr>
          <w:rFonts w:ascii="Times New Roman" w:hAnsi="Times New Roman" w:cs="Times New Roman"/>
        </w:rPr>
        <w:t xml:space="preserve">the </w:t>
      </w:r>
      <w:r w:rsidR="00303F33" w:rsidRPr="004842AA">
        <w:rPr>
          <w:rFonts w:ascii="Times New Roman" w:hAnsi="Times New Roman" w:cs="Times New Roman"/>
        </w:rPr>
        <w:t xml:space="preserve">scope of </w:t>
      </w:r>
      <w:r w:rsidRPr="004842AA">
        <w:rPr>
          <w:rFonts w:ascii="Times New Roman" w:hAnsi="Times New Roman" w:cs="Times New Roman"/>
        </w:rPr>
        <w:t xml:space="preserve">its </w:t>
      </w:r>
      <w:r w:rsidR="00303F33" w:rsidRPr="004842AA">
        <w:rPr>
          <w:rFonts w:ascii="Times New Roman" w:hAnsi="Times New Roman" w:cs="Times New Roman"/>
        </w:rPr>
        <w:t xml:space="preserve">negotiating mandate </w:t>
      </w:r>
      <w:r w:rsidRPr="004842AA">
        <w:rPr>
          <w:rFonts w:ascii="Times New Roman" w:hAnsi="Times New Roman" w:cs="Times New Roman"/>
        </w:rPr>
        <w:t xml:space="preserve">and must be </w:t>
      </w:r>
      <w:r w:rsidR="00303F33" w:rsidRPr="004842AA">
        <w:rPr>
          <w:rFonts w:ascii="Times New Roman" w:hAnsi="Times New Roman" w:cs="Times New Roman"/>
        </w:rPr>
        <w:t xml:space="preserve">dealt with under </w:t>
      </w:r>
      <w:r w:rsidRPr="004842AA">
        <w:rPr>
          <w:rFonts w:ascii="Times New Roman" w:hAnsi="Times New Roman" w:cs="Times New Roman"/>
        </w:rPr>
        <w:t xml:space="preserve">negotiations about the </w:t>
      </w:r>
      <w:r w:rsidR="00303F33" w:rsidRPr="004842AA">
        <w:rPr>
          <w:rFonts w:ascii="Times New Roman" w:hAnsi="Times New Roman" w:cs="Times New Roman"/>
        </w:rPr>
        <w:t xml:space="preserve">future </w:t>
      </w:r>
      <w:r w:rsidRPr="004842AA">
        <w:rPr>
          <w:rFonts w:ascii="Times New Roman" w:hAnsi="Times New Roman" w:cs="Times New Roman"/>
        </w:rPr>
        <w:t xml:space="preserve">EU-UK </w:t>
      </w:r>
      <w:r w:rsidR="00303F33" w:rsidRPr="004842AA">
        <w:rPr>
          <w:rFonts w:ascii="Times New Roman" w:hAnsi="Times New Roman" w:cs="Times New Roman"/>
        </w:rPr>
        <w:t>relat</w:t>
      </w:r>
      <w:r w:rsidRPr="004842AA">
        <w:rPr>
          <w:rFonts w:ascii="Times New Roman" w:hAnsi="Times New Roman" w:cs="Times New Roman"/>
        </w:rPr>
        <w:t>ionship.</w:t>
      </w:r>
      <w:r w:rsidR="00E11F01">
        <w:rPr>
          <w:rStyle w:val="FootnoteReference"/>
          <w:rFonts w:ascii="Times New Roman" w:hAnsi="Times New Roman" w:cs="Times New Roman"/>
        </w:rPr>
        <w:footnoteReference w:id="233"/>
      </w:r>
      <w:r w:rsidRPr="004842AA">
        <w:rPr>
          <w:rFonts w:ascii="Times New Roman" w:hAnsi="Times New Roman" w:cs="Times New Roman"/>
        </w:rPr>
        <w:t xml:space="preserve">  Thirdly and on the same basis, the Commission refused to include within the Agreement any </w:t>
      </w:r>
      <w:r w:rsidR="00303F33" w:rsidRPr="004842AA">
        <w:rPr>
          <w:rFonts w:ascii="Times New Roman" w:hAnsi="Times New Roman" w:cs="Times New Roman"/>
        </w:rPr>
        <w:t>provision</w:t>
      </w:r>
      <w:r w:rsidR="00F444FD" w:rsidRPr="004842AA">
        <w:rPr>
          <w:rFonts w:ascii="Times New Roman" w:hAnsi="Times New Roman" w:cs="Times New Roman"/>
        </w:rPr>
        <w:t xml:space="preserve"> for protected UK migrants </w:t>
      </w:r>
      <w:r w:rsidR="00D035CD">
        <w:rPr>
          <w:rFonts w:ascii="Times New Roman" w:hAnsi="Times New Roman" w:cs="Times New Roman"/>
        </w:rPr>
        <w:t xml:space="preserve">to enjoy </w:t>
      </w:r>
      <w:r w:rsidR="00303F33" w:rsidRPr="004842AA">
        <w:rPr>
          <w:rFonts w:ascii="Times New Roman" w:hAnsi="Times New Roman" w:cs="Times New Roman"/>
        </w:rPr>
        <w:t xml:space="preserve">onward movement rights across </w:t>
      </w:r>
      <w:r w:rsidR="00F444FD" w:rsidRPr="004842AA">
        <w:rPr>
          <w:rFonts w:ascii="Times New Roman" w:hAnsi="Times New Roman" w:cs="Times New Roman"/>
        </w:rPr>
        <w:t xml:space="preserve">the rest of the </w:t>
      </w:r>
      <w:r w:rsidR="00303F33" w:rsidRPr="004842AA">
        <w:rPr>
          <w:rFonts w:ascii="Times New Roman" w:hAnsi="Times New Roman" w:cs="Times New Roman"/>
        </w:rPr>
        <w:t>EU</w:t>
      </w:r>
      <w:r w:rsidR="00F444FD" w:rsidRPr="004842AA">
        <w:rPr>
          <w:rFonts w:ascii="Times New Roman" w:hAnsi="Times New Roman" w:cs="Times New Roman"/>
        </w:rPr>
        <w:t>.</w:t>
      </w:r>
      <w:r w:rsidR="00F444FD" w:rsidRPr="004842AA">
        <w:rPr>
          <w:rStyle w:val="FootnoteReference"/>
          <w:rFonts w:ascii="Times New Roman" w:hAnsi="Times New Roman" w:cs="Times New Roman"/>
        </w:rPr>
        <w:footnoteReference w:id="234"/>
      </w:r>
      <w:r w:rsidR="00F444FD" w:rsidRPr="004842AA">
        <w:rPr>
          <w:rFonts w:ascii="Times New Roman" w:hAnsi="Times New Roman" w:cs="Times New Roman"/>
        </w:rPr>
        <w:t xml:space="preserve">  Affected British </w:t>
      </w:r>
      <w:r w:rsidR="00303F33" w:rsidRPr="004842AA">
        <w:rPr>
          <w:rFonts w:ascii="Times New Roman" w:hAnsi="Times New Roman" w:cs="Times New Roman"/>
        </w:rPr>
        <w:t>nationals</w:t>
      </w:r>
      <w:r w:rsidR="00F444FD" w:rsidRPr="004842AA">
        <w:rPr>
          <w:rFonts w:ascii="Times New Roman" w:hAnsi="Times New Roman" w:cs="Times New Roman"/>
        </w:rPr>
        <w:t xml:space="preserve"> are thus placed in a potentially difficult position – the so-called “</w:t>
      </w:r>
      <w:r w:rsidR="00303F33" w:rsidRPr="004842AA">
        <w:rPr>
          <w:rFonts w:ascii="Times New Roman" w:hAnsi="Times New Roman" w:cs="Times New Roman"/>
        </w:rPr>
        <w:t>golden cage</w:t>
      </w:r>
      <w:r w:rsidR="00F444FD" w:rsidRPr="004842AA">
        <w:rPr>
          <w:rFonts w:ascii="Times New Roman" w:hAnsi="Times New Roman" w:cs="Times New Roman"/>
        </w:rPr>
        <w:t xml:space="preserve">”: their status may well be </w:t>
      </w:r>
      <w:r w:rsidR="00F444FD" w:rsidRPr="004842AA">
        <w:rPr>
          <w:rFonts w:ascii="Times New Roman" w:hAnsi="Times New Roman" w:cs="Times New Roman"/>
        </w:rPr>
        <w:lastRenderedPageBreak/>
        <w:t>protected within their chosen state of residence; but they are unable to claim any further free movement under Union law (say, to change residence to</w:t>
      </w:r>
      <w:r w:rsidR="008F018A">
        <w:rPr>
          <w:rFonts w:ascii="Times New Roman" w:hAnsi="Times New Roman" w:cs="Times New Roman"/>
        </w:rPr>
        <w:t>,</w:t>
      </w:r>
      <w:r w:rsidR="00F444FD" w:rsidRPr="004842AA">
        <w:rPr>
          <w:rFonts w:ascii="Times New Roman" w:hAnsi="Times New Roman" w:cs="Times New Roman"/>
        </w:rPr>
        <w:t xml:space="preserve"> or conduct an economic activity within</w:t>
      </w:r>
      <w:r w:rsidR="008F018A">
        <w:rPr>
          <w:rFonts w:ascii="Times New Roman" w:hAnsi="Times New Roman" w:cs="Times New Roman"/>
        </w:rPr>
        <w:t>,</w:t>
      </w:r>
      <w:r w:rsidR="00F444FD" w:rsidRPr="004842AA">
        <w:rPr>
          <w:rFonts w:ascii="Times New Roman" w:hAnsi="Times New Roman" w:cs="Times New Roman"/>
        </w:rPr>
        <w:t xml:space="preserve"> another Member State); unless they qualify for certain onward migration rights under the Union rules on long-term resident third country nationals.</w:t>
      </w:r>
      <w:r w:rsidR="00F444FD" w:rsidRPr="004842AA">
        <w:rPr>
          <w:rStyle w:val="FootnoteReference"/>
          <w:rFonts w:ascii="Times New Roman" w:hAnsi="Times New Roman" w:cs="Times New Roman"/>
        </w:rPr>
        <w:footnoteReference w:id="235"/>
      </w:r>
    </w:p>
    <w:p w14:paraId="6C7D453A" w14:textId="77777777" w:rsidR="00303F33" w:rsidRPr="004842AA" w:rsidRDefault="00303F33" w:rsidP="004842AA">
      <w:pPr>
        <w:jc w:val="both"/>
        <w:rPr>
          <w:rFonts w:ascii="Times New Roman" w:hAnsi="Times New Roman" w:cs="Times New Roman"/>
        </w:rPr>
      </w:pPr>
    </w:p>
    <w:p w14:paraId="1CD5A7C0" w14:textId="5B19209B" w:rsidR="00303F33" w:rsidRPr="004842AA" w:rsidRDefault="003314D0" w:rsidP="004842AA">
      <w:pPr>
        <w:jc w:val="both"/>
        <w:rPr>
          <w:rFonts w:ascii="Times New Roman" w:hAnsi="Times New Roman" w:cs="Times New Roman"/>
          <w:i/>
        </w:rPr>
      </w:pPr>
      <w:r w:rsidRPr="004842AA">
        <w:rPr>
          <w:rFonts w:ascii="Times New Roman" w:hAnsi="Times New Roman" w:cs="Times New Roman"/>
          <w:i/>
        </w:rPr>
        <w:t>3.3.3</w:t>
      </w:r>
      <w:r w:rsidR="00B301AD" w:rsidRPr="004842AA">
        <w:rPr>
          <w:rFonts w:ascii="Times New Roman" w:hAnsi="Times New Roman" w:cs="Times New Roman"/>
          <w:i/>
        </w:rPr>
        <w:t xml:space="preserve">. </w:t>
      </w:r>
      <w:r w:rsidR="00B301AD" w:rsidRPr="004842AA">
        <w:rPr>
          <w:rFonts w:ascii="Times New Roman" w:hAnsi="Times New Roman" w:cs="Times New Roman"/>
          <w:i/>
        </w:rPr>
        <w:tab/>
        <w:t>Special provisions on Interpretation and</w:t>
      </w:r>
      <w:r w:rsidR="00303F33" w:rsidRPr="004842AA">
        <w:rPr>
          <w:rFonts w:ascii="Times New Roman" w:hAnsi="Times New Roman" w:cs="Times New Roman"/>
          <w:i/>
        </w:rPr>
        <w:t xml:space="preserve"> Enforcement </w:t>
      </w:r>
      <w:r w:rsidR="00B301AD" w:rsidRPr="004842AA">
        <w:rPr>
          <w:rFonts w:ascii="Times New Roman" w:hAnsi="Times New Roman" w:cs="Times New Roman"/>
          <w:i/>
        </w:rPr>
        <w:t>of Part Two</w:t>
      </w:r>
    </w:p>
    <w:p w14:paraId="1CF6366A" w14:textId="77777777" w:rsidR="00303F33" w:rsidRPr="004842AA" w:rsidRDefault="00303F33" w:rsidP="004842AA">
      <w:pPr>
        <w:jc w:val="both"/>
        <w:rPr>
          <w:rFonts w:ascii="Times New Roman" w:hAnsi="Times New Roman" w:cs="Times New Roman"/>
        </w:rPr>
      </w:pPr>
    </w:p>
    <w:p w14:paraId="2C7B9784" w14:textId="7EAD5C2B" w:rsidR="00F50C75" w:rsidRDefault="00F444FD" w:rsidP="004842AA">
      <w:pPr>
        <w:jc w:val="both"/>
        <w:rPr>
          <w:rFonts w:ascii="Times New Roman" w:hAnsi="Times New Roman" w:cs="Times New Roman"/>
        </w:rPr>
      </w:pPr>
      <w:r w:rsidRPr="004842AA">
        <w:rPr>
          <w:rFonts w:ascii="Times New Roman" w:hAnsi="Times New Roman" w:cs="Times New Roman"/>
        </w:rPr>
        <w:t xml:space="preserve">The </w:t>
      </w:r>
      <w:r w:rsidR="00303F33" w:rsidRPr="004842AA">
        <w:rPr>
          <w:rFonts w:ascii="Times New Roman" w:hAnsi="Times New Roman" w:cs="Times New Roman"/>
        </w:rPr>
        <w:t xml:space="preserve">provisions </w:t>
      </w:r>
      <w:r w:rsidRPr="004842AA">
        <w:rPr>
          <w:rFonts w:ascii="Times New Roman" w:hAnsi="Times New Roman" w:cs="Times New Roman"/>
        </w:rPr>
        <w:t xml:space="preserve">on </w:t>
      </w:r>
      <w:r w:rsidR="00303F33" w:rsidRPr="004842AA">
        <w:rPr>
          <w:rFonts w:ascii="Times New Roman" w:hAnsi="Times New Roman" w:cs="Times New Roman"/>
        </w:rPr>
        <w:t xml:space="preserve">governance </w:t>
      </w:r>
      <w:r w:rsidRPr="004842AA">
        <w:rPr>
          <w:rFonts w:ascii="Times New Roman" w:hAnsi="Times New Roman" w:cs="Times New Roman"/>
        </w:rPr>
        <w:t xml:space="preserve">of the Agreement as a whole are also applicable to </w:t>
      </w:r>
      <w:r w:rsidR="00E11F01">
        <w:rPr>
          <w:rFonts w:ascii="Times New Roman" w:hAnsi="Times New Roman" w:cs="Times New Roman"/>
        </w:rPr>
        <w:t xml:space="preserve">Part Two on </w:t>
      </w:r>
      <w:r w:rsidR="00303F33" w:rsidRPr="004842AA">
        <w:rPr>
          <w:rFonts w:ascii="Times New Roman" w:hAnsi="Times New Roman" w:cs="Times New Roman"/>
        </w:rPr>
        <w:t>citizens’ rights</w:t>
      </w:r>
      <w:r w:rsidRPr="004842AA">
        <w:rPr>
          <w:rFonts w:ascii="Times New Roman" w:hAnsi="Times New Roman" w:cs="Times New Roman"/>
        </w:rPr>
        <w:t xml:space="preserve">: the Joint Committee and relevant specialised committee; </w:t>
      </w:r>
      <w:r w:rsidR="00303F33" w:rsidRPr="004842AA">
        <w:rPr>
          <w:rFonts w:ascii="Times New Roman" w:hAnsi="Times New Roman" w:cs="Times New Roman"/>
        </w:rPr>
        <w:t xml:space="preserve">dispute settlement </w:t>
      </w:r>
      <w:r w:rsidRPr="004842AA">
        <w:rPr>
          <w:rFonts w:ascii="Times New Roman" w:hAnsi="Times New Roman" w:cs="Times New Roman"/>
        </w:rPr>
        <w:t xml:space="preserve">through arbitration (subject to the jurisdiction of the CJEU and the exclusion of Part Two from the </w:t>
      </w:r>
      <w:r w:rsidR="00FB40C3" w:rsidRPr="004842AA">
        <w:rPr>
          <w:rFonts w:ascii="Times New Roman" w:hAnsi="Times New Roman" w:cs="Times New Roman"/>
        </w:rPr>
        <w:t>system of sanctions for non-compliance) etc.</w:t>
      </w:r>
      <w:r w:rsidR="00FB40C3" w:rsidRPr="004842AA">
        <w:rPr>
          <w:rStyle w:val="FootnoteReference"/>
          <w:rFonts w:ascii="Times New Roman" w:hAnsi="Times New Roman" w:cs="Times New Roman"/>
        </w:rPr>
        <w:footnoteReference w:id="236"/>
      </w:r>
      <w:proofErr w:type="gramStart"/>
      <w:r w:rsidR="00FB40C3" w:rsidRPr="004842AA">
        <w:rPr>
          <w:rFonts w:ascii="Times New Roman" w:hAnsi="Times New Roman" w:cs="Times New Roman"/>
        </w:rPr>
        <w:t xml:space="preserve">  By</w:t>
      </w:r>
      <w:proofErr w:type="gramEnd"/>
      <w:r w:rsidR="00FB40C3" w:rsidRPr="004842AA">
        <w:rPr>
          <w:rFonts w:ascii="Times New Roman" w:hAnsi="Times New Roman" w:cs="Times New Roman"/>
        </w:rPr>
        <w:t xml:space="preserve"> their very nature, however, </w:t>
      </w:r>
      <w:r w:rsidR="00303F33" w:rsidRPr="004842AA">
        <w:rPr>
          <w:rFonts w:ascii="Times New Roman" w:hAnsi="Times New Roman" w:cs="Times New Roman"/>
        </w:rPr>
        <w:t xml:space="preserve">issues </w:t>
      </w:r>
      <w:r w:rsidR="00FB40C3" w:rsidRPr="004842AA">
        <w:rPr>
          <w:rFonts w:ascii="Times New Roman" w:hAnsi="Times New Roman" w:cs="Times New Roman"/>
        </w:rPr>
        <w:t xml:space="preserve">about </w:t>
      </w:r>
      <w:r w:rsidR="00303F33" w:rsidRPr="004842AA">
        <w:rPr>
          <w:rFonts w:ascii="Times New Roman" w:hAnsi="Times New Roman" w:cs="Times New Roman"/>
        </w:rPr>
        <w:t xml:space="preserve">interpretation and enforcement of </w:t>
      </w:r>
      <w:r w:rsidR="00FB40C3" w:rsidRPr="004842AA">
        <w:rPr>
          <w:rFonts w:ascii="Times New Roman" w:hAnsi="Times New Roman" w:cs="Times New Roman"/>
        </w:rPr>
        <w:t xml:space="preserve">the </w:t>
      </w:r>
      <w:r w:rsidR="00303F33" w:rsidRPr="004842AA">
        <w:rPr>
          <w:rFonts w:ascii="Times New Roman" w:hAnsi="Times New Roman" w:cs="Times New Roman"/>
        </w:rPr>
        <w:t>citizens</w:t>
      </w:r>
      <w:r w:rsidR="00FB40C3" w:rsidRPr="004842AA">
        <w:rPr>
          <w:rFonts w:ascii="Times New Roman" w:hAnsi="Times New Roman" w:cs="Times New Roman"/>
        </w:rPr>
        <w:t>’</w:t>
      </w:r>
      <w:r w:rsidR="00303F33" w:rsidRPr="004842AA">
        <w:rPr>
          <w:rFonts w:ascii="Times New Roman" w:hAnsi="Times New Roman" w:cs="Times New Roman"/>
        </w:rPr>
        <w:t xml:space="preserve"> rights </w:t>
      </w:r>
      <w:r w:rsidR="00FB40C3" w:rsidRPr="004842AA">
        <w:rPr>
          <w:rFonts w:ascii="Times New Roman" w:hAnsi="Times New Roman" w:cs="Times New Roman"/>
        </w:rPr>
        <w:t xml:space="preserve">regime </w:t>
      </w:r>
      <w:r w:rsidR="00303F33" w:rsidRPr="004842AA">
        <w:rPr>
          <w:rFonts w:ascii="Times New Roman" w:hAnsi="Times New Roman" w:cs="Times New Roman"/>
        </w:rPr>
        <w:t xml:space="preserve">are </w:t>
      </w:r>
      <w:r w:rsidR="00FB40C3" w:rsidRPr="004842AA">
        <w:rPr>
          <w:rFonts w:ascii="Times New Roman" w:hAnsi="Times New Roman" w:cs="Times New Roman"/>
        </w:rPr>
        <w:t xml:space="preserve">more </w:t>
      </w:r>
      <w:r w:rsidR="00303F33" w:rsidRPr="004842AA">
        <w:rPr>
          <w:rFonts w:ascii="Times New Roman" w:hAnsi="Times New Roman" w:cs="Times New Roman"/>
        </w:rPr>
        <w:t xml:space="preserve">important </w:t>
      </w:r>
      <w:r w:rsidR="00FB40C3" w:rsidRPr="004842AA">
        <w:rPr>
          <w:rFonts w:ascii="Times New Roman" w:hAnsi="Times New Roman" w:cs="Times New Roman"/>
        </w:rPr>
        <w:t xml:space="preserve">at the level of domestic implementation.  In that regard, commentators anticipated that the Agreement would give rise to numerous </w:t>
      </w:r>
      <w:r w:rsidR="00573968" w:rsidRPr="004842AA">
        <w:rPr>
          <w:rFonts w:ascii="Times New Roman" w:hAnsi="Times New Roman" w:cs="Times New Roman"/>
        </w:rPr>
        <w:t xml:space="preserve">empirical </w:t>
      </w:r>
      <w:r w:rsidR="00FB40C3" w:rsidRPr="004842AA">
        <w:rPr>
          <w:rFonts w:ascii="Times New Roman" w:hAnsi="Times New Roman" w:cs="Times New Roman"/>
        </w:rPr>
        <w:t xml:space="preserve">challenges.  Within the UK, for example, it was widely assumed that the “settled status” scheme would generate problems simply through the novelty of the system and </w:t>
      </w:r>
      <w:r w:rsidR="00303F33" w:rsidRPr="004842AA">
        <w:rPr>
          <w:rFonts w:ascii="Times New Roman" w:hAnsi="Times New Roman" w:cs="Times New Roman"/>
        </w:rPr>
        <w:t xml:space="preserve">sheer number of people </w:t>
      </w:r>
      <w:r w:rsidR="00FB40C3" w:rsidRPr="004842AA">
        <w:rPr>
          <w:rFonts w:ascii="Times New Roman" w:hAnsi="Times New Roman" w:cs="Times New Roman"/>
        </w:rPr>
        <w:t xml:space="preserve">affected; including particular concerns about uptake by those </w:t>
      </w:r>
      <w:r w:rsidR="00303F33" w:rsidRPr="004842AA">
        <w:rPr>
          <w:rFonts w:ascii="Times New Roman" w:hAnsi="Times New Roman" w:cs="Times New Roman"/>
        </w:rPr>
        <w:t xml:space="preserve">with only limited </w:t>
      </w:r>
      <w:r w:rsidR="00FB40C3" w:rsidRPr="004842AA">
        <w:rPr>
          <w:rFonts w:ascii="Times New Roman" w:hAnsi="Times New Roman" w:cs="Times New Roman"/>
        </w:rPr>
        <w:t xml:space="preserve">prior </w:t>
      </w:r>
      <w:r w:rsidR="00303F33" w:rsidRPr="004842AA">
        <w:rPr>
          <w:rFonts w:ascii="Times New Roman" w:hAnsi="Times New Roman" w:cs="Times New Roman"/>
        </w:rPr>
        <w:t xml:space="preserve">engagement </w:t>
      </w:r>
      <w:r w:rsidR="00FB40C3" w:rsidRPr="004842AA">
        <w:rPr>
          <w:rFonts w:ascii="Times New Roman" w:hAnsi="Times New Roman" w:cs="Times New Roman"/>
        </w:rPr>
        <w:t xml:space="preserve">with the </w:t>
      </w:r>
      <w:r w:rsidR="00303F33" w:rsidRPr="004842AA">
        <w:rPr>
          <w:rFonts w:ascii="Times New Roman" w:hAnsi="Times New Roman" w:cs="Times New Roman"/>
        </w:rPr>
        <w:t xml:space="preserve">immigration </w:t>
      </w:r>
      <w:r w:rsidR="00FB40C3" w:rsidRPr="004842AA">
        <w:rPr>
          <w:rFonts w:ascii="Times New Roman" w:hAnsi="Times New Roman" w:cs="Times New Roman"/>
        </w:rPr>
        <w:t xml:space="preserve">system and / or by relatively vulnerable citizens; and specific reservations about the </w:t>
      </w:r>
      <w:r w:rsidR="00303F33" w:rsidRPr="004842AA">
        <w:rPr>
          <w:rFonts w:ascii="Times New Roman" w:hAnsi="Times New Roman" w:cs="Times New Roman"/>
        </w:rPr>
        <w:t xml:space="preserve">clarity of </w:t>
      </w:r>
      <w:r w:rsidR="00FB40C3" w:rsidRPr="004842AA">
        <w:rPr>
          <w:rFonts w:ascii="Times New Roman" w:hAnsi="Times New Roman" w:cs="Times New Roman"/>
        </w:rPr>
        <w:t xml:space="preserve">the </w:t>
      </w:r>
      <w:r w:rsidR="00303F33" w:rsidRPr="004842AA">
        <w:rPr>
          <w:rFonts w:ascii="Times New Roman" w:hAnsi="Times New Roman" w:cs="Times New Roman"/>
        </w:rPr>
        <w:t xml:space="preserve">criteria </w:t>
      </w:r>
      <w:r w:rsidR="00FB40C3" w:rsidRPr="004842AA">
        <w:rPr>
          <w:rFonts w:ascii="Times New Roman" w:hAnsi="Times New Roman" w:cs="Times New Roman"/>
        </w:rPr>
        <w:t>governing the exercise</w:t>
      </w:r>
      <w:r w:rsidR="00303F33" w:rsidRPr="004842AA">
        <w:rPr>
          <w:rFonts w:ascii="Times New Roman" w:hAnsi="Times New Roman" w:cs="Times New Roman"/>
        </w:rPr>
        <w:t xml:space="preserve"> </w:t>
      </w:r>
      <w:r w:rsidR="00FB40C3" w:rsidRPr="004842AA">
        <w:rPr>
          <w:rFonts w:ascii="Times New Roman" w:hAnsi="Times New Roman" w:cs="Times New Roman"/>
        </w:rPr>
        <w:t xml:space="preserve">of administrative </w:t>
      </w:r>
      <w:r w:rsidR="00303F33" w:rsidRPr="004842AA">
        <w:rPr>
          <w:rFonts w:ascii="Times New Roman" w:hAnsi="Times New Roman" w:cs="Times New Roman"/>
        </w:rPr>
        <w:t xml:space="preserve">discretion in those situations </w:t>
      </w:r>
      <w:r w:rsidR="00FB40C3" w:rsidRPr="004842AA">
        <w:rPr>
          <w:rFonts w:ascii="Times New Roman" w:hAnsi="Times New Roman" w:cs="Times New Roman"/>
        </w:rPr>
        <w:t xml:space="preserve">(involving the verification of appropriate documentation or assessment of criminality checks) </w:t>
      </w:r>
      <w:r w:rsidR="00303F33" w:rsidRPr="004842AA">
        <w:rPr>
          <w:rFonts w:ascii="Times New Roman" w:hAnsi="Times New Roman" w:cs="Times New Roman"/>
        </w:rPr>
        <w:t xml:space="preserve">where </w:t>
      </w:r>
      <w:r w:rsidR="00FB40C3" w:rsidRPr="004842AA">
        <w:rPr>
          <w:rFonts w:ascii="Times New Roman" w:hAnsi="Times New Roman" w:cs="Times New Roman"/>
        </w:rPr>
        <w:t xml:space="preserve">the </w:t>
      </w:r>
      <w:r w:rsidR="00303F33" w:rsidRPr="004842AA">
        <w:rPr>
          <w:rFonts w:ascii="Times New Roman" w:hAnsi="Times New Roman" w:cs="Times New Roman"/>
        </w:rPr>
        <w:t xml:space="preserve">immigration authorities </w:t>
      </w:r>
      <w:r w:rsidR="00C923AF">
        <w:rPr>
          <w:rFonts w:ascii="Times New Roman" w:hAnsi="Times New Roman" w:cs="Times New Roman"/>
        </w:rPr>
        <w:t>enjoy</w:t>
      </w:r>
      <w:r w:rsidR="00FB40C3" w:rsidRPr="004842AA">
        <w:rPr>
          <w:rFonts w:ascii="Times New Roman" w:hAnsi="Times New Roman" w:cs="Times New Roman"/>
        </w:rPr>
        <w:t xml:space="preserve"> the </w:t>
      </w:r>
      <w:r w:rsidR="00303F33" w:rsidRPr="004842AA">
        <w:rPr>
          <w:rFonts w:ascii="Times New Roman" w:hAnsi="Times New Roman" w:cs="Times New Roman"/>
        </w:rPr>
        <w:t>power to reject application</w:t>
      </w:r>
      <w:r w:rsidR="00FB40C3" w:rsidRPr="004842AA">
        <w:rPr>
          <w:rFonts w:ascii="Times New Roman" w:hAnsi="Times New Roman" w:cs="Times New Roman"/>
        </w:rPr>
        <w:t>s.</w:t>
      </w:r>
      <w:r w:rsidR="00573968" w:rsidRPr="004842AA">
        <w:rPr>
          <w:rStyle w:val="FootnoteReference"/>
          <w:rFonts w:ascii="Times New Roman" w:hAnsi="Times New Roman" w:cs="Times New Roman"/>
        </w:rPr>
        <w:footnoteReference w:id="237"/>
      </w:r>
      <w:r w:rsidR="00FB40C3" w:rsidRPr="004842AA">
        <w:rPr>
          <w:rFonts w:ascii="Times New Roman" w:hAnsi="Times New Roman" w:cs="Times New Roman"/>
        </w:rPr>
        <w:t xml:space="preserve">  </w:t>
      </w:r>
    </w:p>
    <w:p w14:paraId="5815AC5E" w14:textId="0A267CA3" w:rsidR="00F50C75" w:rsidRPr="00CC0135" w:rsidRDefault="00670503" w:rsidP="00F50C75">
      <w:pPr>
        <w:ind w:firstLine="720"/>
        <w:jc w:val="both"/>
        <w:rPr>
          <w:rFonts w:ascii="Times New Roman" w:hAnsi="Times New Roman" w:cs="Times New Roman"/>
        </w:rPr>
      </w:pPr>
      <w:r>
        <w:rPr>
          <w:rFonts w:ascii="Times New Roman" w:hAnsi="Times New Roman" w:cs="Times New Roman"/>
        </w:rPr>
        <w:t>For such reasons</w:t>
      </w:r>
      <w:r w:rsidR="00573968" w:rsidRPr="004842AA">
        <w:rPr>
          <w:rFonts w:ascii="Times New Roman" w:hAnsi="Times New Roman" w:cs="Times New Roman"/>
        </w:rPr>
        <w:t xml:space="preserve">, several </w:t>
      </w:r>
      <w:r w:rsidR="00FB40C3" w:rsidRPr="004842AA">
        <w:rPr>
          <w:rFonts w:ascii="Times New Roman" w:hAnsi="Times New Roman" w:cs="Times New Roman"/>
        </w:rPr>
        <w:t xml:space="preserve">important </w:t>
      </w:r>
      <w:r w:rsidR="00303F33" w:rsidRPr="004842AA">
        <w:rPr>
          <w:rFonts w:ascii="Times New Roman" w:hAnsi="Times New Roman" w:cs="Times New Roman"/>
        </w:rPr>
        <w:t xml:space="preserve">legal </w:t>
      </w:r>
      <w:r w:rsidR="00573968" w:rsidRPr="004842AA">
        <w:rPr>
          <w:rFonts w:ascii="Times New Roman" w:hAnsi="Times New Roman" w:cs="Times New Roman"/>
        </w:rPr>
        <w:t xml:space="preserve">provisions relate specifically to </w:t>
      </w:r>
      <w:r w:rsidR="00303F33" w:rsidRPr="004842AA">
        <w:rPr>
          <w:rFonts w:ascii="Times New Roman" w:hAnsi="Times New Roman" w:cs="Times New Roman"/>
        </w:rPr>
        <w:t xml:space="preserve">interpretation </w:t>
      </w:r>
      <w:r w:rsidR="00FB40C3" w:rsidRPr="004842AA">
        <w:rPr>
          <w:rFonts w:ascii="Times New Roman" w:hAnsi="Times New Roman" w:cs="Times New Roman"/>
        </w:rPr>
        <w:t>and enforcement</w:t>
      </w:r>
      <w:r w:rsidR="00573968" w:rsidRPr="004842AA">
        <w:rPr>
          <w:rFonts w:ascii="Times New Roman" w:hAnsi="Times New Roman" w:cs="Times New Roman"/>
        </w:rPr>
        <w:t xml:space="preserve"> under Part Two of the Agreement</w:t>
      </w:r>
      <w:r w:rsidR="00FB40C3" w:rsidRPr="004842AA">
        <w:rPr>
          <w:rFonts w:ascii="Times New Roman" w:hAnsi="Times New Roman" w:cs="Times New Roman"/>
        </w:rPr>
        <w:t>.</w:t>
      </w:r>
      <w:r w:rsidR="00573968" w:rsidRPr="004842AA">
        <w:rPr>
          <w:rFonts w:ascii="Times New Roman" w:hAnsi="Times New Roman" w:cs="Times New Roman"/>
        </w:rPr>
        <w:t xml:space="preserve">  In the first place, and besides the general provisions on consistent </w:t>
      </w:r>
      <w:r w:rsidR="00303F33" w:rsidRPr="004842AA">
        <w:rPr>
          <w:rFonts w:ascii="Times New Roman" w:hAnsi="Times New Roman" w:cs="Times New Roman"/>
        </w:rPr>
        <w:t xml:space="preserve">interpretation of </w:t>
      </w:r>
      <w:r w:rsidR="00573968" w:rsidRPr="004842AA">
        <w:rPr>
          <w:rFonts w:ascii="Times New Roman" w:hAnsi="Times New Roman" w:cs="Times New Roman"/>
        </w:rPr>
        <w:t>the Agreement as a whole, including by the UK and its domestic judicial or administrative authorities,</w:t>
      </w:r>
      <w:r w:rsidR="00573968" w:rsidRPr="004842AA">
        <w:rPr>
          <w:rStyle w:val="FootnoteReference"/>
          <w:rFonts w:ascii="Times New Roman" w:hAnsi="Times New Roman" w:cs="Times New Roman"/>
        </w:rPr>
        <w:footnoteReference w:id="238"/>
      </w:r>
      <w:r w:rsidR="00573968" w:rsidRPr="004842AA">
        <w:rPr>
          <w:rFonts w:ascii="Times New Roman" w:hAnsi="Times New Roman" w:cs="Times New Roman"/>
        </w:rPr>
        <w:t xml:space="preserve"> </w:t>
      </w:r>
      <w:r w:rsidR="00303F33" w:rsidRPr="004842AA">
        <w:rPr>
          <w:rFonts w:ascii="Times New Roman" w:hAnsi="Times New Roman" w:cs="Times New Roman"/>
        </w:rPr>
        <w:t xml:space="preserve">Article 158 </w:t>
      </w:r>
      <w:r w:rsidR="00573968" w:rsidRPr="004842AA">
        <w:rPr>
          <w:rFonts w:ascii="Times New Roman" w:hAnsi="Times New Roman" w:cs="Times New Roman"/>
        </w:rPr>
        <w:t xml:space="preserve">WA provides that, for </w:t>
      </w:r>
      <w:r w:rsidR="00303F33" w:rsidRPr="004842AA">
        <w:rPr>
          <w:rFonts w:ascii="Times New Roman" w:hAnsi="Times New Roman" w:cs="Times New Roman"/>
        </w:rPr>
        <w:t xml:space="preserve">cases commenced within </w:t>
      </w:r>
      <w:r w:rsidR="00573968" w:rsidRPr="004842AA">
        <w:rPr>
          <w:rFonts w:ascii="Times New Roman" w:hAnsi="Times New Roman" w:cs="Times New Roman"/>
        </w:rPr>
        <w:t xml:space="preserve">eight </w:t>
      </w:r>
      <w:r w:rsidR="00303F33" w:rsidRPr="004842AA">
        <w:rPr>
          <w:rFonts w:ascii="Times New Roman" w:hAnsi="Times New Roman" w:cs="Times New Roman"/>
        </w:rPr>
        <w:t xml:space="preserve">years from </w:t>
      </w:r>
      <w:r w:rsidR="00573968" w:rsidRPr="004842AA">
        <w:rPr>
          <w:rFonts w:ascii="Times New Roman" w:hAnsi="Times New Roman" w:cs="Times New Roman"/>
        </w:rPr>
        <w:t xml:space="preserve">the </w:t>
      </w:r>
      <w:r w:rsidR="00303F33" w:rsidRPr="004842AA">
        <w:rPr>
          <w:rFonts w:ascii="Times New Roman" w:hAnsi="Times New Roman" w:cs="Times New Roman"/>
        </w:rPr>
        <w:t>end of transition</w:t>
      </w:r>
      <w:r w:rsidR="00573968" w:rsidRPr="004842AA">
        <w:rPr>
          <w:rFonts w:ascii="Times New Roman" w:hAnsi="Times New Roman" w:cs="Times New Roman"/>
        </w:rPr>
        <w:t xml:space="preserve">, in which a </w:t>
      </w:r>
      <w:r w:rsidR="00303F33" w:rsidRPr="004842AA">
        <w:rPr>
          <w:rFonts w:ascii="Times New Roman" w:hAnsi="Times New Roman" w:cs="Times New Roman"/>
        </w:rPr>
        <w:t xml:space="preserve">question </w:t>
      </w:r>
      <w:r w:rsidR="00573968" w:rsidRPr="004842AA">
        <w:rPr>
          <w:rFonts w:ascii="Times New Roman" w:hAnsi="Times New Roman" w:cs="Times New Roman"/>
        </w:rPr>
        <w:t xml:space="preserve">arises </w:t>
      </w:r>
      <w:r w:rsidR="00303F33" w:rsidRPr="004842AA">
        <w:rPr>
          <w:rFonts w:ascii="Times New Roman" w:hAnsi="Times New Roman" w:cs="Times New Roman"/>
        </w:rPr>
        <w:t xml:space="preserve">concerning </w:t>
      </w:r>
      <w:r w:rsidR="00573968" w:rsidRPr="004842AA">
        <w:rPr>
          <w:rFonts w:ascii="Times New Roman" w:hAnsi="Times New Roman" w:cs="Times New Roman"/>
        </w:rPr>
        <w:t xml:space="preserve">the </w:t>
      </w:r>
      <w:r w:rsidR="00303F33" w:rsidRPr="004842AA">
        <w:rPr>
          <w:rFonts w:ascii="Times New Roman" w:hAnsi="Times New Roman" w:cs="Times New Roman"/>
        </w:rPr>
        <w:t xml:space="preserve">interpretation of Part </w:t>
      </w:r>
      <w:r w:rsidR="00573968" w:rsidRPr="004842AA">
        <w:rPr>
          <w:rFonts w:ascii="Times New Roman" w:hAnsi="Times New Roman" w:cs="Times New Roman"/>
        </w:rPr>
        <w:t xml:space="preserve">Two, where a </w:t>
      </w:r>
      <w:r w:rsidR="00303F33" w:rsidRPr="004842AA">
        <w:rPr>
          <w:rFonts w:ascii="Times New Roman" w:hAnsi="Times New Roman" w:cs="Times New Roman"/>
        </w:rPr>
        <w:t xml:space="preserve">UK court considers </w:t>
      </w:r>
      <w:r w:rsidR="00573968" w:rsidRPr="004842AA">
        <w:rPr>
          <w:rFonts w:ascii="Times New Roman" w:hAnsi="Times New Roman" w:cs="Times New Roman"/>
        </w:rPr>
        <w:t xml:space="preserve">that a </w:t>
      </w:r>
      <w:r w:rsidR="00303F33" w:rsidRPr="004842AA">
        <w:rPr>
          <w:rFonts w:ascii="Times New Roman" w:hAnsi="Times New Roman" w:cs="Times New Roman"/>
        </w:rPr>
        <w:t xml:space="preserve">decision is necessary to enable it to </w:t>
      </w:r>
      <w:r w:rsidR="00573968" w:rsidRPr="004842AA">
        <w:rPr>
          <w:rFonts w:ascii="Times New Roman" w:hAnsi="Times New Roman" w:cs="Times New Roman"/>
        </w:rPr>
        <w:t xml:space="preserve">render </w:t>
      </w:r>
      <w:r w:rsidR="00303F33" w:rsidRPr="004842AA">
        <w:rPr>
          <w:rFonts w:ascii="Times New Roman" w:hAnsi="Times New Roman" w:cs="Times New Roman"/>
        </w:rPr>
        <w:t>judgment</w:t>
      </w:r>
      <w:r w:rsidR="00573968" w:rsidRPr="004842AA">
        <w:rPr>
          <w:rFonts w:ascii="Times New Roman" w:hAnsi="Times New Roman" w:cs="Times New Roman"/>
        </w:rPr>
        <w:t xml:space="preserve">, that court may send a </w:t>
      </w:r>
      <w:r w:rsidR="00303F33" w:rsidRPr="004842AA">
        <w:rPr>
          <w:rFonts w:ascii="Times New Roman" w:hAnsi="Times New Roman" w:cs="Times New Roman"/>
        </w:rPr>
        <w:t xml:space="preserve">preliminary reference to </w:t>
      </w:r>
      <w:r w:rsidR="00573968" w:rsidRPr="004842AA">
        <w:rPr>
          <w:rFonts w:ascii="Times New Roman" w:hAnsi="Times New Roman" w:cs="Times New Roman"/>
        </w:rPr>
        <w:t>the CJEU and will be bound by the latter’s response.</w:t>
      </w:r>
      <w:r w:rsidR="00573968" w:rsidRPr="004842AA">
        <w:rPr>
          <w:rStyle w:val="FootnoteReference"/>
          <w:rFonts w:ascii="Times New Roman" w:hAnsi="Times New Roman" w:cs="Times New Roman"/>
        </w:rPr>
        <w:footnoteReference w:id="239"/>
      </w:r>
      <w:r w:rsidR="00CC0135">
        <w:rPr>
          <w:rFonts w:ascii="Times New Roman" w:hAnsi="Times New Roman" w:cs="Times New Roman"/>
        </w:rPr>
        <w:t xml:space="preserve">  </w:t>
      </w:r>
      <w:r w:rsidR="00C923AF">
        <w:rPr>
          <w:rFonts w:ascii="Times New Roman" w:hAnsi="Times New Roman" w:cs="Times New Roman"/>
        </w:rPr>
        <w:t>That</w:t>
      </w:r>
      <w:r w:rsidR="00CC0135">
        <w:rPr>
          <w:rFonts w:ascii="Times New Roman" w:hAnsi="Times New Roman" w:cs="Times New Roman"/>
        </w:rPr>
        <w:t xml:space="preserve"> rather arbitrary deadline of eight years </w:t>
      </w:r>
      <w:r w:rsidR="00C923AF">
        <w:rPr>
          <w:rFonts w:ascii="Times New Roman" w:hAnsi="Times New Roman" w:cs="Times New Roman"/>
        </w:rPr>
        <w:t xml:space="preserve">is simply </w:t>
      </w:r>
      <w:r w:rsidR="00CC0135">
        <w:rPr>
          <w:rFonts w:ascii="Times New Roman" w:hAnsi="Times New Roman" w:cs="Times New Roman"/>
        </w:rPr>
        <w:t>a pragmatic compromise</w:t>
      </w:r>
      <w:r w:rsidR="00C923AF">
        <w:rPr>
          <w:rFonts w:ascii="Times New Roman" w:hAnsi="Times New Roman" w:cs="Times New Roman"/>
        </w:rPr>
        <w:t xml:space="preserve"> </w:t>
      </w:r>
      <w:r w:rsidR="00CC0135">
        <w:rPr>
          <w:rFonts w:ascii="Times New Roman" w:hAnsi="Times New Roman" w:cs="Times New Roman"/>
        </w:rPr>
        <w:t xml:space="preserve">between the Union’s original desire for </w:t>
      </w:r>
      <w:proofErr w:type="spellStart"/>
      <w:r w:rsidR="00CC0135">
        <w:rPr>
          <w:rFonts w:ascii="Times New Roman" w:hAnsi="Times New Roman" w:cs="Times New Roman"/>
        </w:rPr>
        <w:t>ongoing</w:t>
      </w:r>
      <w:proofErr w:type="spellEnd"/>
      <w:r w:rsidR="00CC0135">
        <w:rPr>
          <w:rFonts w:ascii="Times New Roman" w:hAnsi="Times New Roman" w:cs="Times New Roman"/>
        </w:rPr>
        <w:t xml:space="preserve"> dynamic alignment on citizens’ rights under the direct guidance of the CJEU </w:t>
      </w:r>
      <w:r w:rsidR="00CC0135" w:rsidRPr="00CC0135">
        <w:rPr>
          <w:rFonts w:ascii="Times New Roman" w:hAnsi="Times New Roman" w:cs="Times New Roman"/>
          <w:i/>
        </w:rPr>
        <w:t xml:space="preserve">versus </w:t>
      </w:r>
      <w:r w:rsidR="00CC0135">
        <w:rPr>
          <w:rFonts w:ascii="Times New Roman" w:hAnsi="Times New Roman" w:cs="Times New Roman"/>
        </w:rPr>
        <w:t>the UK’s starting point of declaring a “red line” over the jurisdiction of the Union courts after the expiry of transition.</w:t>
      </w:r>
      <w:r w:rsidR="00CC0135">
        <w:rPr>
          <w:rStyle w:val="FootnoteReference"/>
          <w:rFonts w:ascii="Times New Roman" w:hAnsi="Times New Roman" w:cs="Times New Roman"/>
        </w:rPr>
        <w:footnoteReference w:id="240"/>
      </w:r>
      <w:r w:rsidR="00C65C99">
        <w:rPr>
          <w:rFonts w:ascii="Times New Roman" w:hAnsi="Times New Roman" w:cs="Times New Roman"/>
        </w:rPr>
        <w:t xml:space="preserve">  </w:t>
      </w:r>
      <w:r w:rsidR="000751B1">
        <w:rPr>
          <w:rFonts w:ascii="Times New Roman" w:hAnsi="Times New Roman" w:cs="Times New Roman"/>
        </w:rPr>
        <w:t xml:space="preserve">Nevertheless, the </w:t>
      </w:r>
      <w:r w:rsidR="00C65C99">
        <w:rPr>
          <w:rFonts w:ascii="Times New Roman" w:hAnsi="Times New Roman" w:cs="Times New Roman"/>
        </w:rPr>
        <w:lastRenderedPageBreak/>
        <w:t xml:space="preserve">Commission hopes </w:t>
      </w:r>
      <w:r w:rsidR="00C923AF">
        <w:rPr>
          <w:rFonts w:ascii="Times New Roman" w:hAnsi="Times New Roman" w:cs="Times New Roman"/>
        </w:rPr>
        <w:t xml:space="preserve">that </w:t>
      </w:r>
      <w:r w:rsidR="000751B1">
        <w:rPr>
          <w:rFonts w:ascii="Times New Roman" w:hAnsi="Times New Roman" w:cs="Times New Roman"/>
        </w:rPr>
        <w:t>eight years</w:t>
      </w:r>
      <w:r w:rsidR="00C65C99">
        <w:rPr>
          <w:rFonts w:ascii="Times New Roman" w:hAnsi="Times New Roman" w:cs="Times New Roman"/>
        </w:rPr>
        <w:t xml:space="preserve"> will </w:t>
      </w:r>
      <w:r w:rsidR="000751B1">
        <w:rPr>
          <w:rFonts w:ascii="Times New Roman" w:hAnsi="Times New Roman" w:cs="Times New Roman"/>
        </w:rPr>
        <w:t xml:space="preserve">still manage to </w:t>
      </w:r>
      <w:r w:rsidR="00C65C99">
        <w:rPr>
          <w:rFonts w:ascii="Times New Roman" w:hAnsi="Times New Roman" w:cs="Times New Roman"/>
        </w:rPr>
        <w:t xml:space="preserve">provide a realistic period of time </w:t>
      </w:r>
      <w:r w:rsidR="000751B1">
        <w:rPr>
          <w:rFonts w:ascii="Times New Roman" w:hAnsi="Times New Roman" w:cs="Times New Roman"/>
        </w:rPr>
        <w:t xml:space="preserve">for </w:t>
      </w:r>
      <w:r w:rsidR="00C65C99">
        <w:rPr>
          <w:rFonts w:ascii="Times New Roman" w:hAnsi="Times New Roman" w:cs="Times New Roman"/>
        </w:rPr>
        <w:t>build</w:t>
      </w:r>
      <w:r w:rsidR="000751B1">
        <w:rPr>
          <w:rFonts w:ascii="Times New Roman" w:hAnsi="Times New Roman" w:cs="Times New Roman"/>
        </w:rPr>
        <w:t>ing</w:t>
      </w:r>
      <w:r w:rsidR="00C65C99">
        <w:rPr>
          <w:rFonts w:ascii="Times New Roman" w:hAnsi="Times New Roman" w:cs="Times New Roman"/>
        </w:rPr>
        <w:t xml:space="preserve"> </w:t>
      </w:r>
      <w:r w:rsidR="000751B1">
        <w:rPr>
          <w:rFonts w:ascii="Times New Roman" w:hAnsi="Times New Roman" w:cs="Times New Roman"/>
        </w:rPr>
        <w:t>up a new jurisprudence on citizens’ rights under the Agreement.</w:t>
      </w:r>
      <w:r w:rsidR="000751B1">
        <w:rPr>
          <w:rStyle w:val="FootnoteReference"/>
          <w:rFonts w:ascii="Times New Roman" w:hAnsi="Times New Roman" w:cs="Times New Roman"/>
        </w:rPr>
        <w:footnoteReference w:id="241"/>
      </w:r>
    </w:p>
    <w:p w14:paraId="2B6D5757" w14:textId="3F968C84" w:rsidR="00F50C75" w:rsidRDefault="00573968" w:rsidP="00F50C75">
      <w:pPr>
        <w:ind w:firstLine="720"/>
        <w:jc w:val="both"/>
        <w:rPr>
          <w:rFonts w:ascii="Times New Roman" w:hAnsi="Times New Roman" w:cs="Times New Roman"/>
        </w:rPr>
      </w:pPr>
      <w:r w:rsidRPr="004842AA">
        <w:rPr>
          <w:rFonts w:ascii="Times New Roman" w:hAnsi="Times New Roman" w:cs="Times New Roman"/>
        </w:rPr>
        <w:t xml:space="preserve">In the second place, and again besides the </w:t>
      </w:r>
      <w:r w:rsidR="00303F33" w:rsidRPr="004842AA">
        <w:rPr>
          <w:rFonts w:ascii="Times New Roman" w:hAnsi="Times New Roman" w:cs="Times New Roman"/>
        </w:rPr>
        <w:t xml:space="preserve">general provisions </w:t>
      </w:r>
      <w:r w:rsidRPr="004842AA">
        <w:rPr>
          <w:rFonts w:ascii="Times New Roman" w:hAnsi="Times New Roman" w:cs="Times New Roman"/>
        </w:rPr>
        <w:t xml:space="preserve">on domestic enforcement of the Agreement, including through the possibility of </w:t>
      </w:r>
      <w:r w:rsidR="00303F33" w:rsidRPr="004842AA">
        <w:rPr>
          <w:rFonts w:ascii="Times New Roman" w:hAnsi="Times New Roman" w:cs="Times New Roman"/>
        </w:rPr>
        <w:t xml:space="preserve">direct effect and </w:t>
      </w:r>
      <w:r w:rsidRPr="004842AA">
        <w:rPr>
          <w:rFonts w:ascii="Times New Roman" w:hAnsi="Times New Roman" w:cs="Times New Roman"/>
        </w:rPr>
        <w:t>primacy for all relevant provisions within the UK legal order,</w:t>
      </w:r>
      <w:r w:rsidRPr="004842AA">
        <w:rPr>
          <w:rStyle w:val="FootnoteReference"/>
          <w:rFonts w:ascii="Times New Roman" w:hAnsi="Times New Roman" w:cs="Times New Roman"/>
        </w:rPr>
        <w:footnoteReference w:id="242"/>
      </w:r>
      <w:r w:rsidRPr="004842AA">
        <w:rPr>
          <w:rFonts w:ascii="Times New Roman" w:hAnsi="Times New Roman" w:cs="Times New Roman"/>
        </w:rPr>
        <w:t xml:space="preserve"> the </w:t>
      </w:r>
      <w:r w:rsidR="00765401">
        <w:rPr>
          <w:rFonts w:ascii="Times New Roman" w:hAnsi="Times New Roman" w:cs="Times New Roman"/>
        </w:rPr>
        <w:t>Agreement</w:t>
      </w:r>
      <w:r w:rsidRPr="004842AA">
        <w:rPr>
          <w:rFonts w:ascii="Times New Roman" w:hAnsi="Times New Roman" w:cs="Times New Roman"/>
        </w:rPr>
        <w:t xml:space="preserve"> contains specific </w:t>
      </w:r>
      <w:r w:rsidR="00BE6612">
        <w:rPr>
          <w:rFonts w:ascii="Times New Roman" w:hAnsi="Times New Roman" w:cs="Times New Roman"/>
        </w:rPr>
        <w:t xml:space="preserve">rules </w:t>
      </w:r>
      <w:r w:rsidR="00303F33" w:rsidRPr="004842AA">
        <w:rPr>
          <w:rFonts w:ascii="Times New Roman" w:hAnsi="Times New Roman" w:cs="Times New Roman"/>
        </w:rPr>
        <w:t xml:space="preserve">on access to administrative </w:t>
      </w:r>
      <w:r w:rsidRPr="004842AA">
        <w:rPr>
          <w:rFonts w:ascii="Times New Roman" w:hAnsi="Times New Roman" w:cs="Times New Roman"/>
        </w:rPr>
        <w:t xml:space="preserve">and </w:t>
      </w:r>
      <w:r w:rsidR="00303F33" w:rsidRPr="004842AA">
        <w:rPr>
          <w:rFonts w:ascii="Times New Roman" w:hAnsi="Times New Roman" w:cs="Times New Roman"/>
        </w:rPr>
        <w:t xml:space="preserve">judicial procedures </w:t>
      </w:r>
      <w:r w:rsidRPr="004842AA">
        <w:rPr>
          <w:rFonts w:ascii="Times New Roman" w:hAnsi="Times New Roman" w:cs="Times New Roman"/>
        </w:rPr>
        <w:t xml:space="preserve">in respect of any </w:t>
      </w:r>
      <w:r w:rsidR="00303F33" w:rsidRPr="004842AA">
        <w:rPr>
          <w:rFonts w:ascii="Times New Roman" w:hAnsi="Times New Roman" w:cs="Times New Roman"/>
        </w:rPr>
        <w:t xml:space="preserve">refusal of </w:t>
      </w:r>
      <w:r w:rsidRPr="004842AA">
        <w:rPr>
          <w:rFonts w:ascii="Times New Roman" w:hAnsi="Times New Roman" w:cs="Times New Roman"/>
        </w:rPr>
        <w:t>or restriction</w:t>
      </w:r>
      <w:r w:rsidR="00303F33" w:rsidRPr="004842AA">
        <w:rPr>
          <w:rFonts w:ascii="Times New Roman" w:hAnsi="Times New Roman" w:cs="Times New Roman"/>
        </w:rPr>
        <w:t xml:space="preserve"> </w:t>
      </w:r>
      <w:r w:rsidRPr="004842AA">
        <w:rPr>
          <w:rFonts w:ascii="Times New Roman" w:hAnsi="Times New Roman" w:cs="Times New Roman"/>
        </w:rPr>
        <w:t>up</w:t>
      </w:r>
      <w:r w:rsidR="00303F33" w:rsidRPr="004842AA">
        <w:rPr>
          <w:rFonts w:ascii="Times New Roman" w:hAnsi="Times New Roman" w:cs="Times New Roman"/>
        </w:rPr>
        <w:t xml:space="preserve">on residency rights </w:t>
      </w:r>
      <w:r w:rsidRPr="004842AA">
        <w:rPr>
          <w:rFonts w:ascii="Times New Roman" w:hAnsi="Times New Roman" w:cs="Times New Roman"/>
        </w:rPr>
        <w:t xml:space="preserve">as contained in </w:t>
      </w:r>
      <w:r w:rsidR="00303F33" w:rsidRPr="004842AA">
        <w:rPr>
          <w:rFonts w:ascii="Times New Roman" w:hAnsi="Times New Roman" w:cs="Times New Roman"/>
        </w:rPr>
        <w:t xml:space="preserve">Part </w:t>
      </w:r>
      <w:r w:rsidRPr="004842AA">
        <w:rPr>
          <w:rFonts w:ascii="Times New Roman" w:hAnsi="Times New Roman" w:cs="Times New Roman"/>
        </w:rPr>
        <w:t>Two.</w:t>
      </w:r>
      <w:r w:rsidRPr="004842AA">
        <w:rPr>
          <w:rStyle w:val="FootnoteReference"/>
          <w:rFonts w:ascii="Times New Roman" w:hAnsi="Times New Roman" w:cs="Times New Roman"/>
        </w:rPr>
        <w:footnoteReference w:id="243"/>
      </w:r>
      <w:r w:rsidRPr="004842AA">
        <w:rPr>
          <w:rFonts w:ascii="Times New Roman" w:hAnsi="Times New Roman" w:cs="Times New Roman"/>
        </w:rPr>
        <w:t xml:space="preserve">  Furthermore, Article </w:t>
      </w:r>
      <w:r w:rsidR="00303F33" w:rsidRPr="004842AA">
        <w:rPr>
          <w:rFonts w:ascii="Times New Roman" w:hAnsi="Times New Roman" w:cs="Times New Roman"/>
        </w:rPr>
        <w:t>159</w:t>
      </w:r>
      <w:r w:rsidRPr="004842AA">
        <w:rPr>
          <w:rFonts w:ascii="Times New Roman" w:hAnsi="Times New Roman" w:cs="Times New Roman"/>
        </w:rPr>
        <w:t xml:space="preserve"> WA obliges the </w:t>
      </w:r>
      <w:r w:rsidR="00303F33" w:rsidRPr="004842AA">
        <w:rPr>
          <w:rFonts w:ascii="Times New Roman" w:hAnsi="Times New Roman" w:cs="Times New Roman"/>
        </w:rPr>
        <w:t xml:space="preserve">UK </w:t>
      </w:r>
      <w:r w:rsidRPr="004842AA">
        <w:rPr>
          <w:rFonts w:ascii="Times New Roman" w:hAnsi="Times New Roman" w:cs="Times New Roman"/>
        </w:rPr>
        <w:t xml:space="preserve">to </w:t>
      </w:r>
      <w:r w:rsidR="00303F33" w:rsidRPr="004842AA">
        <w:rPr>
          <w:rFonts w:ascii="Times New Roman" w:hAnsi="Times New Roman" w:cs="Times New Roman"/>
        </w:rPr>
        <w:t xml:space="preserve">establish </w:t>
      </w:r>
      <w:r w:rsidRPr="004842AA">
        <w:rPr>
          <w:rFonts w:ascii="Times New Roman" w:hAnsi="Times New Roman" w:cs="Times New Roman"/>
        </w:rPr>
        <w:t xml:space="preserve">an </w:t>
      </w:r>
      <w:r w:rsidR="00303F33" w:rsidRPr="004842AA">
        <w:rPr>
          <w:rFonts w:ascii="Times New Roman" w:hAnsi="Times New Roman" w:cs="Times New Roman"/>
        </w:rPr>
        <w:t xml:space="preserve">independent monitoring authority </w:t>
      </w:r>
      <w:r w:rsidRPr="004842AA">
        <w:rPr>
          <w:rFonts w:ascii="Times New Roman" w:hAnsi="Times New Roman" w:cs="Times New Roman"/>
        </w:rPr>
        <w:t>for citizens’ rights</w:t>
      </w:r>
      <w:r w:rsidR="000852C1" w:rsidRPr="004842AA">
        <w:rPr>
          <w:rFonts w:ascii="Times New Roman" w:hAnsi="Times New Roman" w:cs="Times New Roman"/>
        </w:rPr>
        <w:t xml:space="preserve">: to be fully operational as </w:t>
      </w:r>
      <w:r w:rsidR="006861A1">
        <w:rPr>
          <w:rFonts w:ascii="Times New Roman" w:hAnsi="Times New Roman" w:cs="Times New Roman"/>
        </w:rPr>
        <w:t>from the end of the transition</w:t>
      </w:r>
      <w:r w:rsidR="000852C1" w:rsidRPr="004842AA">
        <w:rPr>
          <w:rFonts w:ascii="Times New Roman" w:hAnsi="Times New Roman" w:cs="Times New Roman"/>
        </w:rPr>
        <w:t xml:space="preserve"> period; </w:t>
      </w:r>
      <w:r w:rsidRPr="004842AA">
        <w:rPr>
          <w:rFonts w:ascii="Times New Roman" w:hAnsi="Times New Roman" w:cs="Times New Roman"/>
        </w:rPr>
        <w:t xml:space="preserve">enjoying powers </w:t>
      </w:r>
      <w:r w:rsidR="00303F33" w:rsidRPr="004842AA">
        <w:rPr>
          <w:rFonts w:ascii="Times New Roman" w:hAnsi="Times New Roman" w:cs="Times New Roman"/>
        </w:rPr>
        <w:t xml:space="preserve">equivalent to </w:t>
      </w:r>
      <w:r w:rsidRPr="004842AA">
        <w:rPr>
          <w:rFonts w:ascii="Times New Roman" w:hAnsi="Times New Roman" w:cs="Times New Roman"/>
        </w:rPr>
        <w:t xml:space="preserve">those of the </w:t>
      </w:r>
      <w:r w:rsidR="00303F33" w:rsidRPr="004842AA">
        <w:rPr>
          <w:rFonts w:ascii="Times New Roman" w:hAnsi="Times New Roman" w:cs="Times New Roman"/>
        </w:rPr>
        <w:t>Commission</w:t>
      </w:r>
      <w:r w:rsidR="000852C1" w:rsidRPr="004842AA">
        <w:rPr>
          <w:rFonts w:ascii="Times New Roman" w:hAnsi="Times New Roman" w:cs="Times New Roman"/>
        </w:rPr>
        <w:t>;</w:t>
      </w:r>
      <w:r w:rsidRPr="004842AA">
        <w:rPr>
          <w:rFonts w:ascii="Times New Roman" w:hAnsi="Times New Roman" w:cs="Times New Roman"/>
        </w:rPr>
        <w:t xml:space="preserve"> </w:t>
      </w:r>
      <w:r w:rsidR="00303F33" w:rsidRPr="004842AA">
        <w:rPr>
          <w:rFonts w:ascii="Times New Roman" w:hAnsi="Times New Roman" w:cs="Times New Roman"/>
        </w:rPr>
        <w:t xml:space="preserve">able to act on </w:t>
      </w:r>
      <w:r w:rsidRPr="004842AA">
        <w:rPr>
          <w:rFonts w:ascii="Times New Roman" w:hAnsi="Times New Roman" w:cs="Times New Roman"/>
        </w:rPr>
        <w:t xml:space="preserve">its </w:t>
      </w:r>
      <w:r w:rsidR="00303F33" w:rsidRPr="004842AA">
        <w:rPr>
          <w:rFonts w:ascii="Times New Roman" w:hAnsi="Times New Roman" w:cs="Times New Roman"/>
        </w:rPr>
        <w:t>own initiative or in response to complaints</w:t>
      </w:r>
      <w:r w:rsidR="000852C1" w:rsidRPr="004842AA">
        <w:rPr>
          <w:rFonts w:ascii="Times New Roman" w:hAnsi="Times New Roman" w:cs="Times New Roman"/>
        </w:rPr>
        <w:t xml:space="preserve">; and </w:t>
      </w:r>
      <w:r w:rsidRPr="004842AA">
        <w:rPr>
          <w:rFonts w:ascii="Times New Roman" w:hAnsi="Times New Roman" w:cs="Times New Roman"/>
        </w:rPr>
        <w:t xml:space="preserve">including the </w:t>
      </w:r>
      <w:r w:rsidR="00303F33" w:rsidRPr="004842AA">
        <w:rPr>
          <w:rFonts w:ascii="Times New Roman" w:hAnsi="Times New Roman" w:cs="Times New Roman"/>
        </w:rPr>
        <w:t>power to seek judicial redress</w:t>
      </w:r>
      <w:r w:rsidRPr="004842AA">
        <w:rPr>
          <w:rFonts w:ascii="Times New Roman" w:hAnsi="Times New Roman" w:cs="Times New Roman"/>
        </w:rPr>
        <w:t>.</w:t>
      </w:r>
      <w:r w:rsidR="000852C1" w:rsidRPr="004842AA">
        <w:rPr>
          <w:rStyle w:val="FootnoteReference"/>
          <w:rFonts w:ascii="Times New Roman" w:hAnsi="Times New Roman" w:cs="Times New Roman"/>
        </w:rPr>
        <w:footnoteReference w:id="244"/>
      </w:r>
      <w:r w:rsidR="000852C1" w:rsidRPr="004842AA">
        <w:rPr>
          <w:rFonts w:ascii="Times New Roman" w:hAnsi="Times New Roman" w:cs="Times New Roman"/>
        </w:rPr>
        <w:t xml:space="preserve">  </w:t>
      </w:r>
    </w:p>
    <w:p w14:paraId="1DAE1D15" w14:textId="6563702B" w:rsidR="00303F33" w:rsidRPr="004842AA" w:rsidRDefault="000852C1" w:rsidP="006E440E">
      <w:pPr>
        <w:ind w:firstLine="720"/>
        <w:jc w:val="both"/>
        <w:rPr>
          <w:rFonts w:ascii="Times New Roman" w:hAnsi="Times New Roman" w:cs="Times New Roman"/>
        </w:rPr>
      </w:pPr>
      <w:r w:rsidRPr="004842AA">
        <w:rPr>
          <w:rFonts w:ascii="Times New Roman" w:hAnsi="Times New Roman" w:cs="Times New Roman"/>
        </w:rPr>
        <w:t xml:space="preserve">However, one legitimately fears that the </w:t>
      </w:r>
      <w:r w:rsidR="00765401">
        <w:rPr>
          <w:rFonts w:ascii="Times New Roman" w:hAnsi="Times New Roman" w:cs="Times New Roman"/>
        </w:rPr>
        <w:t>Agreement’s</w:t>
      </w:r>
      <w:r w:rsidRPr="004842AA">
        <w:rPr>
          <w:rFonts w:ascii="Times New Roman" w:hAnsi="Times New Roman" w:cs="Times New Roman"/>
        </w:rPr>
        <w:t xml:space="preserve"> dedicated provisions on interpretation and enforcement under Part Two will do little to tackle the risk of private (rather than public) sector confusion, abuse and discrimination.  Given the novelty and complexity of the new immigration system applicable to protected individuals, it seems inevitable that certain employers, landlords and other service providers might struggle to interact with or indeed seek deliberately to exploit </w:t>
      </w:r>
      <w:r w:rsidR="006E440E">
        <w:rPr>
          <w:rFonts w:ascii="Times New Roman" w:hAnsi="Times New Roman" w:cs="Times New Roman"/>
        </w:rPr>
        <w:t>migrant</w:t>
      </w:r>
      <w:r w:rsidRPr="004842AA">
        <w:rPr>
          <w:rFonts w:ascii="Times New Roman" w:hAnsi="Times New Roman" w:cs="Times New Roman"/>
        </w:rPr>
        <w:t xml:space="preserve"> UK or Union citizens.</w:t>
      </w:r>
      <w:r w:rsidR="00BE6612">
        <w:rPr>
          <w:rStyle w:val="FootnoteReference"/>
          <w:rFonts w:ascii="Times New Roman" w:hAnsi="Times New Roman" w:cs="Times New Roman"/>
        </w:rPr>
        <w:footnoteReference w:id="245"/>
      </w:r>
      <w:r w:rsidRPr="004842AA">
        <w:rPr>
          <w:rFonts w:ascii="Times New Roman" w:hAnsi="Times New Roman" w:cs="Times New Roman"/>
        </w:rPr>
        <w:t xml:space="preserve">  Those risks are only heightened by the fact that </w:t>
      </w:r>
      <w:r w:rsidR="00303F33" w:rsidRPr="004842AA">
        <w:rPr>
          <w:rFonts w:ascii="Times New Roman" w:hAnsi="Times New Roman" w:cs="Times New Roman"/>
        </w:rPr>
        <w:t xml:space="preserve">Article 18(1) </w:t>
      </w:r>
      <w:r w:rsidRPr="004842AA">
        <w:rPr>
          <w:rFonts w:ascii="Times New Roman" w:hAnsi="Times New Roman" w:cs="Times New Roman"/>
        </w:rPr>
        <w:t xml:space="preserve">WA </w:t>
      </w:r>
      <w:r w:rsidR="00303F33" w:rsidRPr="004842AA">
        <w:rPr>
          <w:rFonts w:ascii="Times New Roman" w:hAnsi="Times New Roman" w:cs="Times New Roman"/>
        </w:rPr>
        <w:t xml:space="preserve">allows for </w:t>
      </w:r>
      <w:r w:rsidRPr="004842AA">
        <w:rPr>
          <w:rFonts w:ascii="Times New Roman" w:hAnsi="Times New Roman" w:cs="Times New Roman"/>
        </w:rPr>
        <w:t xml:space="preserve">the host state to issue </w:t>
      </w:r>
      <w:r w:rsidR="00303F33" w:rsidRPr="004842AA">
        <w:rPr>
          <w:rFonts w:ascii="Times New Roman" w:hAnsi="Times New Roman" w:cs="Times New Roman"/>
        </w:rPr>
        <w:t>digital</w:t>
      </w:r>
      <w:r w:rsidRPr="004842AA">
        <w:rPr>
          <w:rFonts w:ascii="Times New Roman" w:hAnsi="Times New Roman" w:cs="Times New Roman"/>
        </w:rPr>
        <w:t>-only</w:t>
      </w:r>
      <w:r w:rsidR="00303F33" w:rsidRPr="004842AA">
        <w:rPr>
          <w:rFonts w:ascii="Times New Roman" w:hAnsi="Times New Roman" w:cs="Times New Roman"/>
        </w:rPr>
        <w:t xml:space="preserve"> residence documentation</w:t>
      </w:r>
      <w:r w:rsidRPr="004842AA">
        <w:rPr>
          <w:rFonts w:ascii="Times New Roman" w:hAnsi="Times New Roman" w:cs="Times New Roman"/>
        </w:rPr>
        <w:t xml:space="preserve">.  Certainly, the </w:t>
      </w:r>
      <w:r w:rsidR="00303F33" w:rsidRPr="004842AA">
        <w:rPr>
          <w:rFonts w:ascii="Times New Roman" w:hAnsi="Times New Roman" w:cs="Times New Roman"/>
        </w:rPr>
        <w:t xml:space="preserve">UK </w:t>
      </w:r>
      <w:r w:rsidRPr="004842AA">
        <w:rPr>
          <w:rFonts w:ascii="Times New Roman" w:hAnsi="Times New Roman" w:cs="Times New Roman"/>
        </w:rPr>
        <w:t xml:space="preserve">Government ignored multiple calls to provide Union citizens with </w:t>
      </w:r>
      <w:r w:rsidR="00303F33" w:rsidRPr="004842AA">
        <w:rPr>
          <w:rFonts w:ascii="Times New Roman" w:hAnsi="Times New Roman" w:cs="Times New Roman"/>
        </w:rPr>
        <w:t xml:space="preserve">hard </w:t>
      </w:r>
      <w:r w:rsidR="00885DF3">
        <w:rPr>
          <w:rFonts w:ascii="Times New Roman" w:hAnsi="Times New Roman" w:cs="Times New Roman"/>
        </w:rPr>
        <w:t xml:space="preserve">copy </w:t>
      </w:r>
      <w:r w:rsidRPr="004842AA">
        <w:rPr>
          <w:rFonts w:ascii="Times New Roman" w:hAnsi="Times New Roman" w:cs="Times New Roman"/>
        </w:rPr>
        <w:t>proof of status.</w:t>
      </w:r>
      <w:r w:rsidRPr="004842AA">
        <w:rPr>
          <w:rStyle w:val="FootnoteReference"/>
          <w:rFonts w:ascii="Times New Roman" w:hAnsi="Times New Roman" w:cs="Times New Roman"/>
        </w:rPr>
        <w:footnoteReference w:id="246"/>
      </w:r>
    </w:p>
    <w:p w14:paraId="3709B6ED" w14:textId="77777777" w:rsidR="002D7E71" w:rsidRPr="004842AA" w:rsidRDefault="002D7E71" w:rsidP="004842AA">
      <w:pPr>
        <w:jc w:val="both"/>
        <w:rPr>
          <w:rFonts w:ascii="Times New Roman" w:hAnsi="Times New Roman" w:cs="Times New Roman"/>
        </w:rPr>
      </w:pPr>
    </w:p>
    <w:p w14:paraId="5D242F25" w14:textId="0AA2EAD3" w:rsidR="00947667" w:rsidRPr="004842AA" w:rsidRDefault="00B365A3" w:rsidP="004842AA">
      <w:pPr>
        <w:rPr>
          <w:rFonts w:ascii="Times New Roman" w:hAnsi="Times New Roman" w:cs="Times New Roman"/>
          <w:i/>
        </w:rPr>
      </w:pPr>
      <w:r w:rsidRPr="004842AA">
        <w:rPr>
          <w:rFonts w:ascii="Times New Roman" w:hAnsi="Times New Roman" w:cs="Times New Roman"/>
          <w:i/>
        </w:rPr>
        <w:t>3.4</w:t>
      </w:r>
      <w:r w:rsidR="008850A9" w:rsidRPr="004842AA">
        <w:rPr>
          <w:rFonts w:ascii="Times New Roman" w:hAnsi="Times New Roman" w:cs="Times New Roman"/>
          <w:i/>
        </w:rPr>
        <w:t>.</w:t>
      </w:r>
      <w:r w:rsidR="008850A9" w:rsidRPr="004842AA">
        <w:rPr>
          <w:rFonts w:ascii="Times New Roman" w:hAnsi="Times New Roman" w:cs="Times New Roman"/>
          <w:i/>
        </w:rPr>
        <w:tab/>
      </w:r>
      <w:r w:rsidR="00947667" w:rsidRPr="004842AA">
        <w:rPr>
          <w:rFonts w:ascii="Times New Roman" w:hAnsi="Times New Roman" w:cs="Times New Roman"/>
          <w:i/>
        </w:rPr>
        <w:t>Ireland</w:t>
      </w:r>
      <w:r w:rsidR="003F400E" w:rsidRPr="004842AA">
        <w:rPr>
          <w:rFonts w:ascii="Times New Roman" w:hAnsi="Times New Roman" w:cs="Times New Roman"/>
          <w:i/>
        </w:rPr>
        <w:t xml:space="preserve"> and Northern Ireland</w:t>
      </w:r>
      <w:r w:rsidR="00947667" w:rsidRPr="004842AA">
        <w:rPr>
          <w:rFonts w:ascii="Times New Roman" w:hAnsi="Times New Roman" w:cs="Times New Roman"/>
          <w:i/>
        </w:rPr>
        <w:t xml:space="preserve"> </w:t>
      </w:r>
    </w:p>
    <w:p w14:paraId="7488EF36" w14:textId="77777777" w:rsidR="00303E3E" w:rsidRPr="004842AA" w:rsidRDefault="00303E3E" w:rsidP="004842AA">
      <w:pPr>
        <w:jc w:val="both"/>
        <w:rPr>
          <w:rFonts w:ascii="Times New Roman" w:hAnsi="Times New Roman" w:cs="Times New Roman"/>
          <w:highlight w:val="yellow"/>
        </w:rPr>
      </w:pPr>
    </w:p>
    <w:p w14:paraId="0417411C" w14:textId="6408F0D4" w:rsidR="00BE6612" w:rsidRDefault="00C51251" w:rsidP="004842AA">
      <w:pPr>
        <w:jc w:val="both"/>
        <w:rPr>
          <w:rFonts w:ascii="Times New Roman" w:hAnsi="Times New Roman" w:cs="Times New Roman"/>
        </w:rPr>
      </w:pPr>
      <w:r w:rsidRPr="004842AA">
        <w:rPr>
          <w:rFonts w:ascii="Times New Roman" w:hAnsi="Times New Roman" w:cs="Times New Roman"/>
        </w:rPr>
        <w:t>Of all the regions of the UK, Northern Ireland is likely to be most deeply affected by withdrawal</w:t>
      </w:r>
      <w:r w:rsidR="001B48B8" w:rsidRPr="004842AA">
        <w:rPr>
          <w:rFonts w:ascii="Times New Roman" w:hAnsi="Times New Roman" w:cs="Times New Roman"/>
        </w:rPr>
        <w:t xml:space="preserve"> (</w:t>
      </w:r>
      <w:r w:rsidR="00EF52D5">
        <w:rPr>
          <w:rFonts w:ascii="Times New Roman" w:hAnsi="Times New Roman" w:cs="Times New Roman"/>
        </w:rPr>
        <w:t>even though</w:t>
      </w:r>
      <w:r w:rsidRPr="004842AA">
        <w:rPr>
          <w:rFonts w:ascii="Times New Roman" w:hAnsi="Times New Roman" w:cs="Times New Roman"/>
        </w:rPr>
        <w:t xml:space="preserve"> a clear majority of the population there voted Remain in the 2016 referendum</w:t>
      </w:r>
      <w:r w:rsidR="001B48B8" w:rsidRPr="004842AA">
        <w:rPr>
          <w:rFonts w:ascii="Times New Roman" w:hAnsi="Times New Roman" w:cs="Times New Roman"/>
        </w:rPr>
        <w:t>)</w:t>
      </w:r>
      <w:r w:rsidR="00BA1217">
        <w:rPr>
          <w:rFonts w:ascii="Times New Roman" w:hAnsi="Times New Roman" w:cs="Times New Roman"/>
        </w:rPr>
        <w:t>;</w:t>
      </w:r>
      <w:r w:rsidR="001B48B8" w:rsidRPr="004842AA">
        <w:rPr>
          <w:rFonts w:ascii="Times New Roman" w:hAnsi="Times New Roman" w:cs="Times New Roman"/>
        </w:rPr>
        <w:t xml:space="preserve"> </w:t>
      </w:r>
      <w:r w:rsidR="00BA1217">
        <w:rPr>
          <w:rFonts w:ascii="Times New Roman" w:hAnsi="Times New Roman" w:cs="Times New Roman"/>
        </w:rPr>
        <w:t xml:space="preserve">while </w:t>
      </w:r>
      <w:r w:rsidR="001B48B8" w:rsidRPr="004842AA">
        <w:rPr>
          <w:rFonts w:ascii="Times New Roman" w:hAnsi="Times New Roman" w:cs="Times New Roman"/>
        </w:rPr>
        <w:t xml:space="preserve">of all the Member States of the Union, Ireland will be most significantly impacted by the </w:t>
      </w:r>
      <w:r w:rsidR="00885DF3">
        <w:rPr>
          <w:rFonts w:ascii="Times New Roman" w:hAnsi="Times New Roman" w:cs="Times New Roman"/>
        </w:rPr>
        <w:t xml:space="preserve">UK’s </w:t>
      </w:r>
      <w:r w:rsidR="001B48B8" w:rsidRPr="004842AA">
        <w:rPr>
          <w:rFonts w:ascii="Times New Roman" w:hAnsi="Times New Roman" w:cs="Times New Roman"/>
        </w:rPr>
        <w:t>departure (even though the Republic’s population obviously had no direct say in the 2016 referendum).</w:t>
      </w:r>
      <w:r w:rsidR="00D13B05" w:rsidRPr="004842AA">
        <w:rPr>
          <w:rStyle w:val="FootnoteReference"/>
          <w:rFonts w:ascii="Times New Roman" w:hAnsi="Times New Roman" w:cs="Times New Roman"/>
        </w:rPr>
        <w:footnoteReference w:id="247"/>
      </w:r>
      <w:r w:rsidR="00D13B05" w:rsidRPr="004842AA">
        <w:rPr>
          <w:rFonts w:ascii="Times New Roman" w:hAnsi="Times New Roman" w:cs="Times New Roman"/>
        </w:rPr>
        <w:t xml:space="preserve">  The Union therefore has a legitimate interest in and particular responsibility for the consequences of Brexit across the island of Ireland: not only due to the direct threat to the fundamental interests of a Member State; but also thanks to the Union’s role in the peace process centred around the Good Friday Agreement;</w:t>
      </w:r>
      <w:r w:rsidR="00E46F4B">
        <w:rPr>
          <w:rStyle w:val="FootnoteReference"/>
          <w:rFonts w:ascii="Times New Roman" w:hAnsi="Times New Roman" w:cs="Times New Roman"/>
        </w:rPr>
        <w:footnoteReference w:id="248"/>
      </w:r>
      <w:r w:rsidR="00D13B05" w:rsidRPr="004842AA">
        <w:rPr>
          <w:rFonts w:ascii="Times New Roman" w:hAnsi="Times New Roman" w:cs="Times New Roman"/>
        </w:rPr>
        <w:t xml:space="preserve"> as well as the fact that Northern Ireland now contains a </w:t>
      </w:r>
      <w:r w:rsidR="00D13B05" w:rsidRPr="004842AA">
        <w:rPr>
          <w:rFonts w:ascii="Times New Roman" w:hAnsi="Times New Roman" w:cs="Times New Roman"/>
        </w:rPr>
        <w:lastRenderedPageBreak/>
        <w:t xml:space="preserve">substantial and permanent non-resident population of Union citizens; and having regard to the </w:t>
      </w:r>
      <w:r w:rsidR="00E46F4B" w:rsidRPr="004842AA">
        <w:rPr>
          <w:rFonts w:ascii="Times New Roman" w:hAnsi="Times New Roman" w:cs="Times New Roman"/>
        </w:rPr>
        <w:t xml:space="preserve">future </w:t>
      </w:r>
      <w:r w:rsidR="00D13B05" w:rsidRPr="004842AA">
        <w:rPr>
          <w:rFonts w:ascii="Times New Roman" w:hAnsi="Times New Roman" w:cs="Times New Roman"/>
        </w:rPr>
        <w:t xml:space="preserve">possibility of </w:t>
      </w:r>
      <w:r w:rsidR="00885DF3">
        <w:rPr>
          <w:rFonts w:ascii="Times New Roman" w:hAnsi="Times New Roman" w:cs="Times New Roman"/>
        </w:rPr>
        <w:t xml:space="preserve">the North’s </w:t>
      </w:r>
      <w:r w:rsidR="00D13B05" w:rsidRPr="004842AA">
        <w:rPr>
          <w:rFonts w:ascii="Times New Roman" w:hAnsi="Times New Roman" w:cs="Times New Roman"/>
        </w:rPr>
        <w:t>reunification with the Republic inside the Union.</w:t>
      </w:r>
      <w:r w:rsidR="00D13B05" w:rsidRPr="004842AA">
        <w:rPr>
          <w:rStyle w:val="FootnoteReference"/>
          <w:rFonts w:ascii="Times New Roman" w:hAnsi="Times New Roman" w:cs="Times New Roman"/>
        </w:rPr>
        <w:footnoteReference w:id="249"/>
      </w:r>
      <w:r w:rsidR="00D13B05" w:rsidRPr="004842AA">
        <w:rPr>
          <w:rFonts w:ascii="Times New Roman" w:hAnsi="Times New Roman" w:cs="Times New Roman"/>
        </w:rPr>
        <w:t xml:space="preserve">   </w:t>
      </w:r>
    </w:p>
    <w:p w14:paraId="7C4FC5B5" w14:textId="6F215885" w:rsidR="003F400E" w:rsidRPr="004842AA" w:rsidRDefault="00D13B05" w:rsidP="006E440E">
      <w:pPr>
        <w:ind w:firstLine="720"/>
        <w:jc w:val="both"/>
        <w:rPr>
          <w:rFonts w:ascii="Times New Roman" w:hAnsi="Times New Roman" w:cs="Times New Roman"/>
        </w:rPr>
      </w:pPr>
      <w:r w:rsidRPr="004842AA">
        <w:rPr>
          <w:rFonts w:ascii="Times New Roman" w:hAnsi="Times New Roman" w:cs="Times New Roman"/>
        </w:rPr>
        <w:t xml:space="preserve">There are certain Brexit challenges facing </w:t>
      </w:r>
      <w:r w:rsidR="003F400E" w:rsidRPr="004842AA">
        <w:rPr>
          <w:rFonts w:ascii="Times New Roman" w:hAnsi="Times New Roman" w:cs="Times New Roman"/>
        </w:rPr>
        <w:t xml:space="preserve">the island of </w:t>
      </w:r>
      <w:r w:rsidRPr="004842AA">
        <w:rPr>
          <w:rFonts w:ascii="Times New Roman" w:hAnsi="Times New Roman" w:cs="Times New Roman"/>
        </w:rPr>
        <w:t xml:space="preserve">Ireland that the Agreement </w:t>
      </w:r>
      <w:r w:rsidR="008F018A">
        <w:rPr>
          <w:rFonts w:ascii="Times New Roman" w:hAnsi="Times New Roman" w:cs="Times New Roman"/>
        </w:rPr>
        <w:t xml:space="preserve">itself </w:t>
      </w:r>
      <w:r w:rsidRPr="004842AA">
        <w:rPr>
          <w:rFonts w:ascii="Times New Roman" w:hAnsi="Times New Roman" w:cs="Times New Roman"/>
        </w:rPr>
        <w:t xml:space="preserve">cannot do </w:t>
      </w:r>
      <w:r w:rsidR="003F400E" w:rsidRPr="004842AA">
        <w:rPr>
          <w:rFonts w:ascii="Times New Roman" w:hAnsi="Times New Roman" w:cs="Times New Roman"/>
        </w:rPr>
        <w:t xml:space="preserve">very </w:t>
      </w:r>
      <w:r w:rsidRPr="004842AA">
        <w:rPr>
          <w:rFonts w:ascii="Times New Roman" w:hAnsi="Times New Roman" w:cs="Times New Roman"/>
        </w:rPr>
        <w:t xml:space="preserve">much to address: for example, the economic </w:t>
      </w:r>
      <w:r w:rsidR="003F400E" w:rsidRPr="004842AA">
        <w:rPr>
          <w:rFonts w:ascii="Times New Roman" w:hAnsi="Times New Roman" w:cs="Times New Roman"/>
        </w:rPr>
        <w:t xml:space="preserve">risks </w:t>
      </w:r>
      <w:r w:rsidR="001E2F18">
        <w:rPr>
          <w:rFonts w:ascii="Times New Roman" w:hAnsi="Times New Roman" w:cs="Times New Roman"/>
        </w:rPr>
        <w:t>for</w:t>
      </w:r>
      <w:r w:rsidR="003F400E" w:rsidRPr="004842AA">
        <w:rPr>
          <w:rFonts w:ascii="Times New Roman" w:hAnsi="Times New Roman" w:cs="Times New Roman"/>
        </w:rPr>
        <w:t xml:space="preserve"> Northern Ireland, through its relative dependence on public employment</w:t>
      </w:r>
      <w:r w:rsidR="005E6297">
        <w:rPr>
          <w:rFonts w:ascii="Times New Roman" w:hAnsi="Times New Roman" w:cs="Times New Roman"/>
        </w:rPr>
        <w:t>, agricultural support</w:t>
      </w:r>
      <w:r w:rsidR="003F400E" w:rsidRPr="004842AA">
        <w:rPr>
          <w:rFonts w:ascii="Times New Roman" w:hAnsi="Times New Roman" w:cs="Times New Roman"/>
        </w:rPr>
        <w:t xml:space="preserve"> and the labour of</w:t>
      </w:r>
      <w:r w:rsidR="00815979" w:rsidRPr="004842AA">
        <w:rPr>
          <w:rFonts w:ascii="Times New Roman" w:hAnsi="Times New Roman" w:cs="Times New Roman"/>
        </w:rPr>
        <w:t xml:space="preserve"> </w:t>
      </w:r>
      <w:r w:rsidR="003F400E" w:rsidRPr="004842AA">
        <w:rPr>
          <w:rFonts w:ascii="Times New Roman" w:hAnsi="Times New Roman" w:cs="Times New Roman"/>
        </w:rPr>
        <w:t xml:space="preserve">Union citizens, </w:t>
      </w:r>
      <w:r w:rsidR="005E6297">
        <w:rPr>
          <w:rFonts w:ascii="Times New Roman" w:hAnsi="Times New Roman" w:cs="Times New Roman"/>
        </w:rPr>
        <w:t>all of which make</w:t>
      </w:r>
      <w:r w:rsidR="003F400E" w:rsidRPr="004842AA">
        <w:rPr>
          <w:rFonts w:ascii="Times New Roman" w:hAnsi="Times New Roman" w:cs="Times New Roman"/>
        </w:rPr>
        <w:t xml:space="preserve"> it particularly sensitive to any UK downturn</w:t>
      </w:r>
      <w:r w:rsidR="005E6297">
        <w:rPr>
          <w:rFonts w:ascii="Times New Roman" w:hAnsi="Times New Roman" w:cs="Times New Roman"/>
        </w:rPr>
        <w:t xml:space="preserve"> and / or relevant policy changes</w:t>
      </w:r>
      <w:r w:rsidR="003F400E" w:rsidRPr="004842AA">
        <w:rPr>
          <w:rFonts w:ascii="Times New Roman" w:hAnsi="Times New Roman" w:cs="Times New Roman"/>
        </w:rPr>
        <w:t>;</w:t>
      </w:r>
      <w:r w:rsidR="00E46F4B">
        <w:rPr>
          <w:rStyle w:val="FootnoteReference"/>
          <w:rFonts w:ascii="Times New Roman" w:hAnsi="Times New Roman" w:cs="Times New Roman"/>
        </w:rPr>
        <w:footnoteReference w:id="250"/>
      </w:r>
      <w:r w:rsidR="003F400E" w:rsidRPr="004842AA">
        <w:rPr>
          <w:rFonts w:ascii="Times New Roman" w:hAnsi="Times New Roman" w:cs="Times New Roman"/>
        </w:rPr>
        <w:t xml:space="preserve"> or the extraordinary degree to which the Republic’s own economy (from manufacturing sup</w:t>
      </w:r>
      <w:r w:rsidR="00815979" w:rsidRPr="004842AA">
        <w:rPr>
          <w:rFonts w:ascii="Times New Roman" w:hAnsi="Times New Roman" w:cs="Times New Roman"/>
        </w:rPr>
        <w:t>ply chains to financial service</w:t>
      </w:r>
      <w:r w:rsidR="003F400E" w:rsidRPr="004842AA">
        <w:rPr>
          <w:rFonts w:ascii="Times New Roman" w:hAnsi="Times New Roman" w:cs="Times New Roman"/>
        </w:rPr>
        <w:t xml:space="preserve"> networks) is interwoven with that of the UK, rendering it especially vulnerable to the economic rupture now being pursued by the Johnson Government.</w:t>
      </w:r>
      <w:r w:rsidR="003F400E" w:rsidRPr="004842AA">
        <w:rPr>
          <w:rStyle w:val="FootnoteReference"/>
          <w:rFonts w:ascii="Times New Roman" w:hAnsi="Times New Roman" w:cs="Times New Roman"/>
        </w:rPr>
        <w:footnoteReference w:id="251"/>
      </w:r>
      <w:r w:rsidR="003F400E" w:rsidRPr="004842AA">
        <w:rPr>
          <w:rFonts w:ascii="Times New Roman" w:hAnsi="Times New Roman" w:cs="Times New Roman"/>
        </w:rPr>
        <w:t xml:space="preserve"> </w:t>
      </w:r>
      <w:r w:rsidR="00815979" w:rsidRPr="004842AA">
        <w:rPr>
          <w:rFonts w:ascii="Times New Roman" w:hAnsi="Times New Roman" w:cs="Times New Roman"/>
        </w:rPr>
        <w:t xml:space="preserve"> Brexit also poses other real headaches for British-Irish relations which will need to be addressed within the context of the negotiations on future EU-UK relations as a whole: for example, </w:t>
      </w:r>
      <w:r w:rsidR="00DC40DD" w:rsidRPr="004842AA">
        <w:rPr>
          <w:rFonts w:ascii="Times New Roman" w:hAnsi="Times New Roman" w:cs="Times New Roman"/>
        </w:rPr>
        <w:t xml:space="preserve">trying to maintain effective cooperation between the competent authorities in </w:t>
      </w:r>
      <w:r w:rsidR="00815979" w:rsidRPr="004842AA">
        <w:rPr>
          <w:rFonts w:ascii="Times New Roman" w:hAnsi="Times New Roman" w:cs="Times New Roman"/>
        </w:rPr>
        <w:t xml:space="preserve">Northern Ireland and the Republic, </w:t>
      </w:r>
      <w:r w:rsidR="00DC40DD" w:rsidRPr="004842AA">
        <w:rPr>
          <w:rFonts w:ascii="Times New Roman" w:hAnsi="Times New Roman" w:cs="Times New Roman"/>
        </w:rPr>
        <w:t xml:space="preserve">without full </w:t>
      </w:r>
      <w:r w:rsidR="008F018A">
        <w:rPr>
          <w:rFonts w:ascii="Times New Roman" w:hAnsi="Times New Roman" w:cs="Times New Roman"/>
        </w:rPr>
        <w:t xml:space="preserve">UK </w:t>
      </w:r>
      <w:r w:rsidR="00DC40DD" w:rsidRPr="004842AA">
        <w:rPr>
          <w:rFonts w:ascii="Times New Roman" w:hAnsi="Times New Roman" w:cs="Times New Roman"/>
        </w:rPr>
        <w:t>access to the common instruments of police and judicial cooperation provided by Union law, particularly in fields such as terrorism and organised crime</w:t>
      </w:r>
      <w:r w:rsidR="00815979" w:rsidRPr="004842AA">
        <w:rPr>
          <w:rFonts w:ascii="Times New Roman" w:hAnsi="Times New Roman" w:cs="Times New Roman"/>
        </w:rPr>
        <w:t>.</w:t>
      </w:r>
      <w:r w:rsidR="00DC40DD" w:rsidRPr="004842AA">
        <w:rPr>
          <w:rStyle w:val="FootnoteReference"/>
          <w:rFonts w:ascii="Times New Roman" w:hAnsi="Times New Roman" w:cs="Times New Roman"/>
        </w:rPr>
        <w:footnoteReference w:id="252"/>
      </w:r>
      <w:r w:rsidR="00815979" w:rsidRPr="004842AA">
        <w:rPr>
          <w:rFonts w:ascii="Times New Roman" w:hAnsi="Times New Roman" w:cs="Times New Roman"/>
        </w:rPr>
        <w:t xml:space="preserve">  Nevertheless</w:t>
      </w:r>
      <w:r w:rsidR="003F400E" w:rsidRPr="004842AA">
        <w:rPr>
          <w:rFonts w:ascii="Times New Roman" w:hAnsi="Times New Roman" w:cs="Times New Roman"/>
        </w:rPr>
        <w:t xml:space="preserve">, there are </w:t>
      </w:r>
      <w:r w:rsidR="00815979" w:rsidRPr="004842AA">
        <w:rPr>
          <w:rFonts w:ascii="Times New Roman" w:hAnsi="Times New Roman" w:cs="Times New Roman"/>
        </w:rPr>
        <w:t xml:space="preserve">certain </w:t>
      </w:r>
      <w:r w:rsidR="003F400E" w:rsidRPr="004842AA">
        <w:rPr>
          <w:rFonts w:ascii="Times New Roman" w:hAnsi="Times New Roman" w:cs="Times New Roman"/>
        </w:rPr>
        <w:t xml:space="preserve">Brexit-derived </w:t>
      </w:r>
      <w:r w:rsidR="00815979" w:rsidRPr="004842AA">
        <w:rPr>
          <w:rFonts w:ascii="Times New Roman" w:hAnsi="Times New Roman" w:cs="Times New Roman"/>
        </w:rPr>
        <w:t xml:space="preserve">concerns </w:t>
      </w:r>
      <w:r w:rsidR="003F400E" w:rsidRPr="004842AA">
        <w:rPr>
          <w:rFonts w:ascii="Times New Roman" w:hAnsi="Times New Roman" w:cs="Times New Roman"/>
        </w:rPr>
        <w:t xml:space="preserve">that the Agreement does </w:t>
      </w:r>
      <w:r w:rsidR="00815979" w:rsidRPr="004842AA">
        <w:rPr>
          <w:rFonts w:ascii="Times New Roman" w:hAnsi="Times New Roman" w:cs="Times New Roman"/>
        </w:rPr>
        <w:t xml:space="preserve">indeed </w:t>
      </w:r>
      <w:r w:rsidR="003F400E" w:rsidRPr="004842AA">
        <w:rPr>
          <w:rFonts w:ascii="Times New Roman" w:hAnsi="Times New Roman" w:cs="Times New Roman"/>
        </w:rPr>
        <w:t>seek to alleviate</w:t>
      </w:r>
      <w:r w:rsidR="00815979" w:rsidRPr="004842AA">
        <w:rPr>
          <w:rFonts w:ascii="Times New Roman" w:hAnsi="Times New Roman" w:cs="Times New Roman"/>
        </w:rPr>
        <w:t xml:space="preserve">, through </w:t>
      </w:r>
      <w:r w:rsidR="001E2F18">
        <w:rPr>
          <w:rFonts w:ascii="Times New Roman" w:hAnsi="Times New Roman" w:cs="Times New Roman"/>
        </w:rPr>
        <w:t>a dedicated Protocol on Ireland/</w:t>
      </w:r>
      <w:r w:rsidR="00815979" w:rsidRPr="004842AA">
        <w:rPr>
          <w:rFonts w:ascii="Times New Roman" w:hAnsi="Times New Roman" w:cs="Times New Roman"/>
        </w:rPr>
        <w:t>Northern Ireland</w:t>
      </w:r>
      <w:r w:rsidR="003F400E" w:rsidRPr="004842AA">
        <w:rPr>
          <w:rFonts w:ascii="Times New Roman" w:hAnsi="Times New Roman" w:cs="Times New Roman"/>
        </w:rPr>
        <w:t xml:space="preserve">: for example, the importance of Union law in providing firm legal guarantees of non-discrimination </w:t>
      </w:r>
      <w:r w:rsidR="00815979" w:rsidRPr="004842AA">
        <w:rPr>
          <w:rFonts w:ascii="Times New Roman" w:hAnsi="Times New Roman" w:cs="Times New Roman"/>
        </w:rPr>
        <w:t xml:space="preserve">within </w:t>
      </w:r>
      <w:r w:rsidR="003F400E" w:rsidRPr="004842AA">
        <w:rPr>
          <w:rFonts w:ascii="Times New Roman" w:hAnsi="Times New Roman" w:cs="Times New Roman"/>
        </w:rPr>
        <w:t>Northern Ireland;</w:t>
      </w:r>
      <w:r w:rsidR="00815979" w:rsidRPr="004842AA">
        <w:rPr>
          <w:rStyle w:val="FootnoteReference"/>
          <w:rFonts w:ascii="Times New Roman" w:hAnsi="Times New Roman" w:cs="Times New Roman"/>
        </w:rPr>
        <w:footnoteReference w:id="253"/>
      </w:r>
      <w:r w:rsidR="003F400E" w:rsidRPr="004842AA">
        <w:rPr>
          <w:rFonts w:ascii="Times New Roman" w:hAnsi="Times New Roman" w:cs="Times New Roman"/>
        </w:rPr>
        <w:t xml:space="preserve"> the </w:t>
      </w:r>
      <w:r w:rsidR="00B93BC1">
        <w:rPr>
          <w:rFonts w:ascii="Times New Roman" w:hAnsi="Times New Roman" w:cs="Times New Roman"/>
        </w:rPr>
        <w:t>indispensa</w:t>
      </w:r>
      <w:r w:rsidR="00815979" w:rsidRPr="004842AA">
        <w:rPr>
          <w:rFonts w:ascii="Times New Roman" w:hAnsi="Times New Roman" w:cs="Times New Roman"/>
        </w:rPr>
        <w:t>ble role of Union legislation in facilitating the operation of the Single Electricity Market across the island of Ireland</w:t>
      </w:r>
      <w:r w:rsidR="002B21E1" w:rsidRPr="004842AA">
        <w:rPr>
          <w:rFonts w:ascii="Times New Roman" w:hAnsi="Times New Roman" w:cs="Times New Roman"/>
        </w:rPr>
        <w:t>;</w:t>
      </w:r>
      <w:r w:rsidR="00815979" w:rsidRPr="004842AA">
        <w:rPr>
          <w:rStyle w:val="FootnoteReference"/>
          <w:rFonts w:ascii="Times New Roman" w:hAnsi="Times New Roman" w:cs="Times New Roman"/>
        </w:rPr>
        <w:footnoteReference w:id="254"/>
      </w:r>
      <w:r w:rsidR="002B21E1" w:rsidRPr="004842AA">
        <w:rPr>
          <w:rFonts w:ascii="Times New Roman" w:hAnsi="Times New Roman" w:cs="Times New Roman"/>
        </w:rPr>
        <w:t xml:space="preserve"> and the contribution of Union law to effective North-South cooperation in fields such as </w:t>
      </w:r>
      <w:r w:rsidR="001E2F18">
        <w:rPr>
          <w:rFonts w:ascii="Times New Roman" w:hAnsi="Times New Roman" w:cs="Times New Roman"/>
        </w:rPr>
        <w:t xml:space="preserve">the </w:t>
      </w:r>
      <w:r w:rsidR="002B21E1" w:rsidRPr="004842AA">
        <w:rPr>
          <w:rFonts w:ascii="Times New Roman" w:hAnsi="Times New Roman" w:cs="Times New Roman"/>
        </w:rPr>
        <w:t>environment, health, transport, education, tourism and sport.</w:t>
      </w:r>
      <w:r w:rsidR="002B21E1" w:rsidRPr="004842AA">
        <w:rPr>
          <w:rStyle w:val="FootnoteReference"/>
          <w:rFonts w:ascii="Times New Roman" w:hAnsi="Times New Roman" w:cs="Times New Roman"/>
        </w:rPr>
        <w:footnoteReference w:id="255"/>
      </w:r>
      <w:r w:rsidR="00815979" w:rsidRPr="004842AA">
        <w:rPr>
          <w:rFonts w:ascii="Times New Roman" w:hAnsi="Times New Roman" w:cs="Times New Roman"/>
        </w:rPr>
        <w:t xml:space="preserve">  </w:t>
      </w:r>
    </w:p>
    <w:p w14:paraId="2C2EA80F" w14:textId="77777777" w:rsidR="00DC40DD" w:rsidRPr="004842AA" w:rsidRDefault="00DC40DD" w:rsidP="004842AA">
      <w:pPr>
        <w:jc w:val="both"/>
        <w:rPr>
          <w:rFonts w:ascii="Times New Roman" w:hAnsi="Times New Roman" w:cs="Times New Roman"/>
        </w:rPr>
      </w:pPr>
    </w:p>
    <w:p w14:paraId="528202AE" w14:textId="043E693F" w:rsidR="0061343B" w:rsidRPr="004842AA" w:rsidRDefault="0061343B" w:rsidP="004842AA">
      <w:pPr>
        <w:jc w:val="both"/>
        <w:rPr>
          <w:rFonts w:ascii="Times New Roman" w:hAnsi="Times New Roman" w:cs="Times New Roman"/>
          <w:i/>
        </w:rPr>
      </w:pPr>
      <w:r w:rsidRPr="004842AA">
        <w:rPr>
          <w:rFonts w:ascii="Times New Roman" w:hAnsi="Times New Roman" w:cs="Times New Roman"/>
          <w:i/>
        </w:rPr>
        <w:t xml:space="preserve">3.4.1. </w:t>
      </w:r>
      <w:r w:rsidRPr="004842AA">
        <w:rPr>
          <w:rFonts w:ascii="Times New Roman" w:hAnsi="Times New Roman" w:cs="Times New Roman"/>
          <w:i/>
        </w:rPr>
        <w:tab/>
        <w:t>The Border Problem Provoked by Brexit</w:t>
      </w:r>
    </w:p>
    <w:p w14:paraId="60ADBD27" w14:textId="77777777" w:rsidR="0061343B" w:rsidRPr="004842AA" w:rsidRDefault="0061343B" w:rsidP="004842AA">
      <w:pPr>
        <w:jc w:val="both"/>
        <w:rPr>
          <w:rFonts w:ascii="Times New Roman" w:hAnsi="Times New Roman" w:cs="Times New Roman"/>
        </w:rPr>
      </w:pPr>
    </w:p>
    <w:p w14:paraId="512298BE" w14:textId="1A5D5E4F" w:rsidR="00BE6612" w:rsidRDefault="00DC40DD" w:rsidP="004842AA">
      <w:pPr>
        <w:jc w:val="both"/>
        <w:rPr>
          <w:rFonts w:ascii="Times New Roman" w:hAnsi="Times New Roman" w:cs="Times New Roman"/>
        </w:rPr>
      </w:pPr>
      <w:r w:rsidRPr="004842AA">
        <w:rPr>
          <w:rFonts w:ascii="Times New Roman" w:hAnsi="Times New Roman" w:cs="Times New Roman"/>
        </w:rPr>
        <w:t>Yet the key Brexit challenge facing the island of Ireland is how to maintain an open border between the two constituent territories outside the context of common Union membership.</w:t>
      </w:r>
      <w:r w:rsidR="00E46F4B">
        <w:rPr>
          <w:rStyle w:val="FootnoteReference"/>
          <w:rFonts w:ascii="Times New Roman" w:hAnsi="Times New Roman" w:cs="Times New Roman"/>
        </w:rPr>
        <w:footnoteReference w:id="256"/>
      </w:r>
      <w:r w:rsidRPr="004842AA">
        <w:rPr>
          <w:rFonts w:ascii="Times New Roman" w:hAnsi="Times New Roman" w:cs="Times New Roman"/>
        </w:rPr>
        <w:t xml:space="preserve">  </w:t>
      </w:r>
    </w:p>
    <w:p w14:paraId="0FD41CC0" w14:textId="6F43045F" w:rsidR="00BE6612" w:rsidRDefault="00DC40DD" w:rsidP="00BE6612">
      <w:pPr>
        <w:ind w:firstLine="720"/>
        <w:jc w:val="both"/>
        <w:rPr>
          <w:rFonts w:ascii="Times New Roman" w:hAnsi="Times New Roman" w:cs="Times New Roman"/>
        </w:rPr>
      </w:pPr>
      <w:r w:rsidRPr="004842AA">
        <w:rPr>
          <w:rFonts w:ascii="Times New Roman" w:hAnsi="Times New Roman" w:cs="Times New Roman"/>
        </w:rPr>
        <w:t xml:space="preserve">An open frontier is not just a matter of </w:t>
      </w:r>
      <w:r w:rsidR="0020250E" w:rsidRPr="004842AA">
        <w:rPr>
          <w:rFonts w:ascii="Times New Roman" w:hAnsi="Times New Roman" w:cs="Times New Roman"/>
        </w:rPr>
        <w:t xml:space="preserve">enormous </w:t>
      </w:r>
      <w:r w:rsidRPr="004842AA">
        <w:rPr>
          <w:rFonts w:ascii="Times New Roman" w:hAnsi="Times New Roman" w:cs="Times New Roman"/>
        </w:rPr>
        <w:t xml:space="preserve">economic and social </w:t>
      </w:r>
      <w:proofErr w:type="gramStart"/>
      <w:r w:rsidRPr="004842AA">
        <w:rPr>
          <w:rFonts w:ascii="Times New Roman" w:hAnsi="Times New Roman" w:cs="Times New Roman"/>
        </w:rPr>
        <w:t>importance,</w:t>
      </w:r>
      <w:proofErr w:type="gramEnd"/>
      <w:r w:rsidRPr="004842AA">
        <w:rPr>
          <w:rFonts w:ascii="Times New Roman" w:hAnsi="Times New Roman" w:cs="Times New Roman"/>
        </w:rPr>
        <w:t xml:space="preserve"> especially for the border communities </w:t>
      </w:r>
      <w:r w:rsidR="0020250E" w:rsidRPr="004842AA">
        <w:rPr>
          <w:rFonts w:ascii="Times New Roman" w:hAnsi="Times New Roman" w:cs="Times New Roman"/>
        </w:rPr>
        <w:t xml:space="preserve">whose daily lives have been built around the current arrangements.  Nor it is just a matter of sensible logistics, faced with the </w:t>
      </w:r>
      <w:r w:rsidR="00E46F4B">
        <w:rPr>
          <w:rFonts w:ascii="Times New Roman" w:hAnsi="Times New Roman" w:cs="Times New Roman"/>
        </w:rPr>
        <w:t xml:space="preserve">almost </w:t>
      </w:r>
      <w:r w:rsidR="0020250E" w:rsidRPr="004842AA">
        <w:rPr>
          <w:rFonts w:ascii="Times New Roman" w:hAnsi="Times New Roman" w:cs="Times New Roman"/>
        </w:rPr>
        <w:lastRenderedPageBreak/>
        <w:t xml:space="preserve">impossible task of securing and patrolling such a complex boundary punctuated by hundreds of formal and innumerable informal crossing points.  Above all, </w:t>
      </w:r>
      <w:r w:rsidRPr="004842AA">
        <w:rPr>
          <w:rFonts w:ascii="Times New Roman" w:hAnsi="Times New Roman" w:cs="Times New Roman"/>
        </w:rPr>
        <w:t xml:space="preserve">the open border </w:t>
      </w:r>
      <w:r w:rsidR="0020250E" w:rsidRPr="004842AA">
        <w:rPr>
          <w:rFonts w:ascii="Times New Roman" w:hAnsi="Times New Roman" w:cs="Times New Roman"/>
        </w:rPr>
        <w:t xml:space="preserve">is of the utmost </w:t>
      </w:r>
      <w:r w:rsidRPr="004842AA">
        <w:rPr>
          <w:rFonts w:ascii="Times New Roman" w:hAnsi="Times New Roman" w:cs="Times New Roman"/>
        </w:rPr>
        <w:t>political significance.</w:t>
      </w:r>
      <w:r w:rsidR="0020250E" w:rsidRPr="004842AA">
        <w:rPr>
          <w:rFonts w:ascii="Times New Roman" w:hAnsi="Times New Roman" w:cs="Times New Roman"/>
        </w:rPr>
        <w:t xml:space="preserve">  The Good Friday Agreement </w:t>
      </w:r>
      <w:r w:rsidR="0020250E" w:rsidRPr="004842AA">
        <w:rPr>
          <w:rFonts w:ascii="Times New Roman" w:hAnsi="Times New Roman" w:cs="Times New Roman"/>
          <w:lang w:val="en-US"/>
        </w:rPr>
        <w:t xml:space="preserve">ended (or at least very significantly downgraded) the de facto civil war in Northern Ireland during which </w:t>
      </w:r>
      <w:r w:rsidRPr="004842AA">
        <w:rPr>
          <w:rFonts w:ascii="Times New Roman" w:hAnsi="Times New Roman" w:cs="Times New Roman"/>
          <w:lang w:val="en-US"/>
        </w:rPr>
        <w:t>thousands were killed</w:t>
      </w:r>
      <w:r w:rsidR="0020250E" w:rsidRPr="004842AA">
        <w:rPr>
          <w:rFonts w:ascii="Times New Roman" w:hAnsi="Times New Roman" w:cs="Times New Roman"/>
          <w:lang w:val="en-US"/>
        </w:rPr>
        <w:t xml:space="preserve">, tens </w:t>
      </w:r>
      <w:r w:rsidRPr="004842AA">
        <w:rPr>
          <w:rFonts w:ascii="Times New Roman" w:hAnsi="Times New Roman" w:cs="Times New Roman"/>
          <w:lang w:val="en-US"/>
        </w:rPr>
        <w:t>of thousands were injured</w:t>
      </w:r>
      <w:r w:rsidR="0020250E" w:rsidRPr="004842AA">
        <w:rPr>
          <w:rFonts w:ascii="Times New Roman" w:hAnsi="Times New Roman" w:cs="Times New Roman"/>
          <w:lang w:val="en-US"/>
        </w:rPr>
        <w:t xml:space="preserve"> and </w:t>
      </w:r>
      <w:r w:rsidRPr="004842AA">
        <w:rPr>
          <w:rFonts w:ascii="Times New Roman" w:hAnsi="Times New Roman" w:cs="Times New Roman"/>
          <w:lang w:val="en-US"/>
        </w:rPr>
        <w:t xml:space="preserve">entire communities were forced </w:t>
      </w:r>
      <w:r w:rsidR="0020250E" w:rsidRPr="004842AA">
        <w:rPr>
          <w:rFonts w:ascii="Times New Roman" w:hAnsi="Times New Roman" w:cs="Times New Roman"/>
          <w:lang w:val="en-US"/>
        </w:rPr>
        <w:t xml:space="preserve">from their </w:t>
      </w:r>
      <w:r w:rsidRPr="004842AA">
        <w:rPr>
          <w:rFonts w:ascii="Times New Roman" w:hAnsi="Times New Roman" w:cs="Times New Roman"/>
          <w:lang w:val="en-US"/>
        </w:rPr>
        <w:t>homes</w:t>
      </w:r>
      <w:r w:rsidR="0020250E" w:rsidRPr="004842AA">
        <w:rPr>
          <w:rFonts w:ascii="Times New Roman" w:hAnsi="Times New Roman" w:cs="Times New Roman"/>
          <w:lang w:val="en-US"/>
        </w:rPr>
        <w:t xml:space="preserve">.  Social division, </w:t>
      </w:r>
      <w:proofErr w:type="gramStart"/>
      <w:r w:rsidR="0020250E" w:rsidRPr="004842AA">
        <w:rPr>
          <w:rFonts w:ascii="Times New Roman" w:hAnsi="Times New Roman" w:cs="Times New Roman"/>
          <w:lang w:val="en-US"/>
        </w:rPr>
        <w:t>often complete</w:t>
      </w:r>
      <w:proofErr w:type="gramEnd"/>
      <w:r w:rsidR="0020250E" w:rsidRPr="004842AA">
        <w:rPr>
          <w:rFonts w:ascii="Times New Roman" w:hAnsi="Times New Roman" w:cs="Times New Roman"/>
          <w:lang w:val="en-US"/>
        </w:rPr>
        <w:t xml:space="preserve"> segregation, persists between </w:t>
      </w:r>
      <w:r w:rsidRPr="004842AA">
        <w:rPr>
          <w:rFonts w:ascii="Times New Roman" w:hAnsi="Times New Roman" w:cs="Times New Roman"/>
          <w:lang w:val="en-US"/>
        </w:rPr>
        <w:t>unionists</w:t>
      </w:r>
      <w:r w:rsidR="0020250E" w:rsidRPr="004842AA">
        <w:rPr>
          <w:rFonts w:ascii="Times New Roman" w:hAnsi="Times New Roman" w:cs="Times New Roman"/>
          <w:lang w:val="en-US"/>
        </w:rPr>
        <w:t xml:space="preserve"> (</w:t>
      </w:r>
      <w:r w:rsidRPr="004842AA">
        <w:rPr>
          <w:rFonts w:ascii="Times New Roman" w:hAnsi="Times New Roman" w:cs="Times New Roman"/>
          <w:lang w:val="en-US"/>
        </w:rPr>
        <w:t>largely Protestant</w:t>
      </w:r>
      <w:r w:rsidR="0020250E" w:rsidRPr="004842AA">
        <w:rPr>
          <w:rFonts w:ascii="Times New Roman" w:hAnsi="Times New Roman" w:cs="Times New Roman"/>
          <w:lang w:val="en-US"/>
        </w:rPr>
        <w:t xml:space="preserve"> and wanting </w:t>
      </w:r>
      <w:r w:rsidRPr="004842AA">
        <w:rPr>
          <w:rFonts w:ascii="Times New Roman" w:hAnsi="Times New Roman" w:cs="Times New Roman"/>
          <w:lang w:val="en-US"/>
        </w:rPr>
        <w:t xml:space="preserve">Northern Ireland to remain </w:t>
      </w:r>
      <w:r w:rsidR="0020250E" w:rsidRPr="004842AA">
        <w:rPr>
          <w:rFonts w:ascii="Times New Roman" w:hAnsi="Times New Roman" w:cs="Times New Roman"/>
          <w:lang w:val="en-US"/>
        </w:rPr>
        <w:t xml:space="preserve">within the </w:t>
      </w:r>
      <w:r w:rsidRPr="004842AA">
        <w:rPr>
          <w:rFonts w:ascii="Times New Roman" w:hAnsi="Times New Roman" w:cs="Times New Roman"/>
          <w:lang w:val="en-US"/>
        </w:rPr>
        <w:t>UK</w:t>
      </w:r>
      <w:r w:rsidR="0020250E" w:rsidRPr="004842AA">
        <w:rPr>
          <w:rFonts w:ascii="Times New Roman" w:hAnsi="Times New Roman" w:cs="Times New Roman"/>
          <w:lang w:val="en-US"/>
        </w:rPr>
        <w:t>) and nationalists (largely Catholic and wishing for reunification</w:t>
      </w:r>
      <w:r w:rsidRPr="004842AA">
        <w:rPr>
          <w:rFonts w:ascii="Times New Roman" w:hAnsi="Times New Roman" w:cs="Times New Roman"/>
          <w:lang w:val="en-US"/>
        </w:rPr>
        <w:t xml:space="preserve"> with the Republic</w:t>
      </w:r>
      <w:r w:rsidR="0020250E" w:rsidRPr="004842AA">
        <w:rPr>
          <w:rFonts w:ascii="Times New Roman" w:hAnsi="Times New Roman" w:cs="Times New Roman"/>
          <w:lang w:val="en-US"/>
        </w:rPr>
        <w:t xml:space="preserve">) – but at least those differences can be addressed under the conditions of relative peace and stability created by the Good Friday Agreement.  Part of the latter’s genius is that it allowed both main communities </w:t>
      </w:r>
      <w:r w:rsidRPr="004842AA">
        <w:rPr>
          <w:rFonts w:ascii="Times New Roman" w:hAnsi="Times New Roman" w:cs="Times New Roman"/>
          <w:lang w:val="en-US"/>
        </w:rPr>
        <w:t>to feel that the existing constitutional settlement serves their respective interests</w:t>
      </w:r>
      <w:r w:rsidR="0020250E" w:rsidRPr="004842AA">
        <w:rPr>
          <w:rFonts w:ascii="Times New Roman" w:hAnsi="Times New Roman" w:cs="Times New Roman"/>
          <w:lang w:val="en-US"/>
        </w:rPr>
        <w:t xml:space="preserve">: unionists were reassured that </w:t>
      </w:r>
      <w:r w:rsidRPr="004842AA">
        <w:rPr>
          <w:rFonts w:ascii="Times New Roman" w:hAnsi="Times New Roman" w:cs="Times New Roman"/>
          <w:lang w:val="en-US"/>
        </w:rPr>
        <w:t xml:space="preserve">Northern Ireland </w:t>
      </w:r>
      <w:r w:rsidR="0020250E" w:rsidRPr="004842AA">
        <w:rPr>
          <w:rFonts w:ascii="Times New Roman" w:hAnsi="Times New Roman" w:cs="Times New Roman"/>
          <w:lang w:val="en-US"/>
        </w:rPr>
        <w:t xml:space="preserve">would </w:t>
      </w:r>
      <w:r w:rsidRPr="004842AA">
        <w:rPr>
          <w:rFonts w:ascii="Times New Roman" w:hAnsi="Times New Roman" w:cs="Times New Roman"/>
          <w:lang w:val="en-US"/>
        </w:rPr>
        <w:t xml:space="preserve">remain part of the UK for as long as a majority of its population </w:t>
      </w:r>
      <w:r w:rsidR="0020250E" w:rsidRPr="004842AA">
        <w:rPr>
          <w:rFonts w:ascii="Times New Roman" w:hAnsi="Times New Roman" w:cs="Times New Roman"/>
          <w:lang w:val="en-US"/>
        </w:rPr>
        <w:t>desired;</w:t>
      </w:r>
      <w:r w:rsidR="00563737">
        <w:rPr>
          <w:rStyle w:val="FootnoteReference"/>
          <w:rFonts w:ascii="Times New Roman" w:hAnsi="Times New Roman" w:cs="Times New Roman"/>
          <w:lang w:val="en-US"/>
        </w:rPr>
        <w:footnoteReference w:id="257"/>
      </w:r>
      <w:r w:rsidR="0020250E" w:rsidRPr="004842AA">
        <w:rPr>
          <w:rFonts w:ascii="Times New Roman" w:hAnsi="Times New Roman" w:cs="Times New Roman"/>
          <w:lang w:val="en-US"/>
        </w:rPr>
        <w:t xml:space="preserve"> </w:t>
      </w:r>
      <w:r w:rsidR="00E46F4B">
        <w:rPr>
          <w:rFonts w:ascii="Times New Roman" w:hAnsi="Times New Roman" w:cs="Times New Roman"/>
          <w:lang w:val="en-US"/>
        </w:rPr>
        <w:t xml:space="preserve">and </w:t>
      </w:r>
      <w:r w:rsidR="0020250E" w:rsidRPr="004842AA">
        <w:rPr>
          <w:rFonts w:ascii="Times New Roman" w:hAnsi="Times New Roman" w:cs="Times New Roman"/>
          <w:lang w:val="en-US"/>
        </w:rPr>
        <w:t xml:space="preserve">while </w:t>
      </w:r>
      <w:r w:rsidR="0061343B" w:rsidRPr="004842AA">
        <w:rPr>
          <w:rFonts w:ascii="Times New Roman" w:hAnsi="Times New Roman" w:cs="Times New Roman"/>
          <w:lang w:val="en-US"/>
        </w:rPr>
        <w:t xml:space="preserve">nationalists might have to regard </w:t>
      </w:r>
      <w:r w:rsidRPr="004842AA">
        <w:rPr>
          <w:rFonts w:ascii="Times New Roman" w:hAnsi="Times New Roman" w:cs="Times New Roman"/>
          <w:lang w:val="en-US"/>
        </w:rPr>
        <w:t xml:space="preserve">reunification </w:t>
      </w:r>
      <w:r w:rsidR="0061343B" w:rsidRPr="004842AA">
        <w:rPr>
          <w:rFonts w:ascii="Times New Roman" w:hAnsi="Times New Roman" w:cs="Times New Roman"/>
          <w:lang w:val="en-US"/>
        </w:rPr>
        <w:t xml:space="preserve">as a more </w:t>
      </w:r>
      <w:r w:rsidR="0020250E" w:rsidRPr="004842AA">
        <w:rPr>
          <w:rFonts w:ascii="Times New Roman" w:hAnsi="Times New Roman" w:cs="Times New Roman"/>
          <w:lang w:val="en-US"/>
        </w:rPr>
        <w:t xml:space="preserve">distant </w:t>
      </w:r>
      <w:r w:rsidRPr="004842AA">
        <w:rPr>
          <w:rFonts w:ascii="Times New Roman" w:hAnsi="Times New Roman" w:cs="Times New Roman"/>
          <w:lang w:val="en-US"/>
        </w:rPr>
        <w:t>aspiration</w:t>
      </w:r>
      <w:r w:rsidR="0061343B" w:rsidRPr="004842AA">
        <w:rPr>
          <w:rFonts w:ascii="Times New Roman" w:hAnsi="Times New Roman" w:cs="Times New Roman"/>
          <w:lang w:val="en-US"/>
        </w:rPr>
        <w:t xml:space="preserve">, </w:t>
      </w:r>
      <w:r w:rsidRPr="004842AA">
        <w:rPr>
          <w:rFonts w:ascii="Times New Roman" w:hAnsi="Times New Roman" w:cs="Times New Roman"/>
          <w:lang w:val="en-US"/>
        </w:rPr>
        <w:t xml:space="preserve">in the meanwhile, one </w:t>
      </w:r>
      <w:r w:rsidR="0061343B" w:rsidRPr="004842AA">
        <w:rPr>
          <w:rFonts w:ascii="Times New Roman" w:hAnsi="Times New Roman" w:cs="Times New Roman"/>
          <w:lang w:val="en-US"/>
        </w:rPr>
        <w:t xml:space="preserve">could move freely across the island – with </w:t>
      </w:r>
      <w:r w:rsidRPr="004842AA">
        <w:rPr>
          <w:rFonts w:ascii="Times New Roman" w:hAnsi="Times New Roman" w:cs="Times New Roman"/>
          <w:lang w:val="en-US"/>
        </w:rPr>
        <w:t xml:space="preserve">the only obvious difference being the change on </w:t>
      </w:r>
      <w:proofErr w:type="spellStart"/>
      <w:r w:rsidRPr="004842AA">
        <w:rPr>
          <w:rFonts w:ascii="Times New Roman" w:hAnsi="Times New Roman" w:cs="Times New Roman"/>
          <w:lang w:val="en-US"/>
        </w:rPr>
        <w:t>roadsigns</w:t>
      </w:r>
      <w:proofErr w:type="spellEnd"/>
      <w:r w:rsidRPr="004842AA">
        <w:rPr>
          <w:rFonts w:ascii="Times New Roman" w:hAnsi="Times New Roman" w:cs="Times New Roman"/>
          <w:lang w:val="en-US"/>
        </w:rPr>
        <w:t xml:space="preserve"> from miles to </w:t>
      </w:r>
      <w:proofErr w:type="spellStart"/>
      <w:r w:rsidRPr="004842AA">
        <w:rPr>
          <w:rFonts w:ascii="Times New Roman" w:hAnsi="Times New Roman" w:cs="Times New Roman"/>
          <w:lang w:val="en-US"/>
        </w:rPr>
        <w:t>kilometres</w:t>
      </w:r>
      <w:proofErr w:type="spellEnd"/>
      <w:r w:rsidRPr="004842AA">
        <w:rPr>
          <w:rFonts w:ascii="Times New Roman" w:hAnsi="Times New Roman" w:cs="Times New Roman"/>
          <w:lang w:val="en-US"/>
        </w:rPr>
        <w:t xml:space="preserve">.  </w:t>
      </w:r>
      <w:r w:rsidR="0061343B" w:rsidRPr="004842AA">
        <w:rPr>
          <w:rFonts w:ascii="Times New Roman" w:hAnsi="Times New Roman" w:cs="Times New Roman"/>
          <w:lang w:val="en-US"/>
        </w:rPr>
        <w:t>In short</w:t>
      </w:r>
      <w:r w:rsidRPr="004842AA">
        <w:rPr>
          <w:rFonts w:ascii="Times New Roman" w:hAnsi="Times New Roman" w:cs="Times New Roman"/>
          <w:lang w:val="en-US"/>
        </w:rPr>
        <w:t xml:space="preserve">: the absence of a physical </w:t>
      </w:r>
      <w:r w:rsidR="00B30C51">
        <w:rPr>
          <w:rFonts w:ascii="Times New Roman" w:hAnsi="Times New Roman" w:cs="Times New Roman"/>
          <w:lang w:val="en-US"/>
        </w:rPr>
        <w:t xml:space="preserve">frontier is a crucial part of the </w:t>
      </w:r>
      <w:r w:rsidRPr="004842AA">
        <w:rPr>
          <w:rFonts w:ascii="Times New Roman" w:hAnsi="Times New Roman" w:cs="Times New Roman"/>
          <w:lang w:val="en-US"/>
        </w:rPr>
        <w:t>wider political settlement that helps secure and maintain cross-community support for the peace process.</w:t>
      </w:r>
    </w:p>
    <w:p w14:paraId="63374917" w14:textId="77777777" w:rsidR="00BE6612" w:rsidRDefault="0061343B" w:rsidP="00BE6612">
      <w:pPr>
        <w:ind w:firstLine="720"/>
        <w:jc w:val="both"/>
        <w:rPr>
          <w:rFonts w:ascii="Times New Roman" w:hAnsi="Times New Roman" w:cs="Times New Roman"/>
        </w:rPr>
      </w:pPr>
      <w:r w:rsidRPr="004842AA">
        <w:rPr>
          <w:rFonts w:ascii="Times New Roman" w:hAnsi="Times New Roman" w:cs="Times New Roman"/>
          <w:lang w:val="en-US"/>
        </w:rPr>
        <w:t>The terrible prospect raised by Brexit was that UK withdrawal from the Union might lead to the erection of a “hard border” across the island of Ireland</w:t>
      </w:r>
      <w:r w:rsidR="00696F90" w:rsidRPr="004842AA">
        <w:rPr>
          <w:rFonts w:ascii="Times New Roman" w:hAnsi="Times New Roman" w:cs="Times New Roman"/>
          <w:lang w:val="en-US"/>
        </w:rPr>
        <w:t>: either for the movement of people or for the passage of goods</w:t>
      </w:r>
      <w:r w:rsidR="002621DB" w:rsidRPr="004842AA">
        <w:rPr>
          <w:rFonts w:ascii="Times New Roman" w:hAnsi="Times New Roman" w:cs="Times New Roman"/>
          <w:lang w:val="en-US"/>
        </w:rPr>
        <w:t>.</w:t>
      </w:r>
    </w:p>
    <w:p w14:paraId="4E814034" w14:textId="2B73BD68" w:rsidR="0061343B" w:rsidRPr="004842AA" w:rsidRDefault="002621DB" w:rsidP="00BE6612">
      <w:pPr>
        <w:ind w:firstLine="720"/>
        <w:jc w:val="both"/>
        <w:rPr>
          <w:rFonts w:ascii="Times New Roman" w:hAnsi="Times New Roman" w:cs="Times New Roman"/>
        </w:rPr>
      </w:pPr>
      <w:r w:rsidRPr="004842AA">
        <w:rPr>
          <w:rFonts w:ascii="Times New Roman" w:hAnsi="Times New Roman" w:cs="Times New Roman"/>
          <w:lang w:val="en-US"/>
        </w:rPr>
        <w:t xml:space="preserve">Insofar as Brexit </w:t>
      </w:r>
      <w:r w:rsidR="0061343B" w:rsidRPr="004842AA">
        <w:rPr>
          <w:rFonts w:ascii="Times New Roman" w:hAnsi="Times New Roman" w:cs="Times New Roman"/>
        </w:rPr>
        <w:t>threat</w:t>
      </w:r>
      <w:r w:rsidRPr="004842AA">
        <w:rPr>
          <w:rFonts w:ascii="Times New Roman" w:hAnsi="Times New Roman" w:cs="Times New Roman"/>
        </w:rPr>
        <w:t>ens</w:t>
      </w:r>
      <w:r w:rsidR="0061343B" w:rsidRPr="004842AA">
        <w:rPr>
          <w:rFonts w:ascii="Times New Roman" w:hAnsi="Times New Roman" w:cs="Times New Roman"/>
        </w:rPr>
        <w:t xml:space="preserve"> </w:t>
      </w:r>
      <w:r w:rsidRPr="004842AA">
        <w:rPr>
          <w:rFonts w:ascii="Times New Roman" w:hAnsi="Times New Roman" w:cs="Times New Roman"/>
        </w:rPr>
        <w:t xml:space="preserve">the imposition </w:t>
      </w:r>
      <w:r w:rsidR="0061343B" w:rsidRPr="004842AA">
        <w:rPr>
          <w:rFonts w:ascii="Times New Roman" w:hAnsi="Times New Roman" w:cs="Times New Roman"/>
        </w:rPr>
        <w:t xml:space="preserve">of a physical frontier for the movement of </w:t>
      </w:r>
      <w:r w:rsidR="0061343B" w:rsidRPr="004842AA">
        <w:rPr>
          <w:rFonts w:ascii="Times New Roman" w:hAnsi="Times New Roman" w:cs="Times New Roman"/>
          <w:i/>
        </w:rPr>
        <w:t>people</w:t>
      </w:r>
      <w:r w:rsidR="00547997" w:rsidRPr="004842AA">
        <w:rPr>
          <w:rFonts w:ascii="Times New Roman" w:hAnsi="Times New Roman" w:cs="Times New Roman"/>
          <w:i/>
        </w:rPr>
        <w:t xml:space="preserve"> </w:t>
      </w:r>
      <w:r w:rsidR="00547997" w:rsidRPr="004842AA">
        <w:rPr>
          <w:rFonts w:ascii="Times New Roman" w:hAnsi="Times New Roman" w:cs="Times New Roman"/>
        </w:rPr>
        <w:t xml:space="preserve">between the North and the Republic, </w:t>
      </w:r>
      <w:r w:rsidR="00696F90" w:rsidRPr="004842AA">
        <w:rPr>
          <w:rFonts w:ascii="Times New Roman" w:hAnsi="Times New Roman" w:cs="Times New Roman"/>
        </w:rPr>
        <w:t>addressing that problem in fact has little to do with Union law</w:t>
      </w:r>
      <w:r w:rsidR="0061343B" w:rsidRPr="004842AA">
        <w:rPr>
          <w:rFonts w:ascii="Times New Roman" w:hAnsi="Times New Roman" w:cs="Times New Roman"/>
        </w:rPr>
        <w:t xml:space="preserve">.  </w:t>
      </w:r>
      <w:r w:rsidR="00696F90" w:rsidRPr="004842AA">
        <w:rPr>
          <w:rFonts w:ascii="Times New Roman" w:hAnsi="Times New Roman" w:cs="Times New Roman"/>
        </w:rPr>
        <w:t xml:space="preserve">After all, the </w:t>
      </w:r>
      <w:r w:rsidR="0061343B" w:rsidRPr="004842AA">
        <w:rPr>
          <w:rFonts w:ascii="Times New Roman" w:hAnsi="Times New Roman" w:cs="Times New Roman"/>
        </w:rPr>
        <w:t xml:space="preserve">UK and Ireland were never </w:t>
      </w:r>
      <w:r w:rsidR="00B30C51">
        <w:rPr>
          <w:rFonts w:ascii="Times New Roman" w:hAnsi="Times New Roman" w:cs="Times New Roman"/>
        </w:rPr>
        <w:t xml:space="preserve">fully </w:t>
      </w:r>
      <w:r w:rsidR="0061343B" w:rsidRPr="004842AA">
        <w:rPr>
          <w:rFonts w:ascii="Times New Roman" w:hAnsi="Times New Roman" w:cs="Times New Roman"/>
        </w:rPr>
        <w:t>part of the Schengen system</w:t>
      </w:r>
      <w:r w:rsidRPr="004842AA">
        <w:rPr>
          <w:rFonts w:ascii="Times New Roman" w:hAnsi="Times New Roman" w:cs="Times New Roman"/>
        </w:rPr>
        <w:t>.</w:t>
      </w:r>
      <w:r w:rsidR="00E46F4B">
        <w:rPr>
          <w:rStyle w:val="FootnoteReference"/>
          <w:rFonts w:ascii="Times New Roman" w:hAnsi="Times New Roman" w:cs="Times New Roman"/>
        </w:rPr>
        <w:footnoteReference w:id="258"/>
      </w:r>
      <w:r w:rsidRPr="004842AA">
        <w:rPr>
          <w:rFonts w:ascii="Times New Roman" w:hAnsi="Times New Roman" w:cs="Times New Roman"/>
        </w:rPr>
        <w:t xml:space="preserve">  They have instead maintained their own </w:t>
      </w:r>
      <w:r w:rsidR="0061343B" w:rsidRPr="004842AA">
        <w:rPr>
          <w:rFonts w:ascii="Times New Roman" w:hAnsi="Times New Roman" w:cs="Times New Roman"/>
        </w:rPr>
        <w:t>C</w:t>
      </w:r>
      <w:r w:rsidRPr="004842AA">
        <w:rPr>
          <w:rFonts w:ascii="Times New Roman" w:hAnsi="Times New Roman" w:cs="Times New Roman"/>
        </w:rPr>
        <w:t xml:space="preserve">ommon </w:t>
      </w:r>
      <w:r w:rsidR="0061343B" w:rsidRPr="004842AA">
        <w:rPr>
          <w:rFonts w:ascii="Times New Roman" w:hAnsi="Times New Roman" w:cs="Times New Roman"/>
        </w:rPr>
        <w:t>T</w:t>
      </w:r>
      <w:r w:rsidRPr="004842AA">
        <w:rPr>
          <w:rFonts w:ascii="Times New Roman" w:hAnsi="Times New Roman" w:cs="Times New Roman"/>
        </w:rPr>
        <w:t xml:space="preserve">ravel </w:t>
      </w:r>
      <w:r w:rsidR="0061343B" w:rsidRPr="004842AA">
        <w:rPr>
          <w:rFonts w:ascii="Times New Roman" w:hAnsi="Times New Roman" w:cs="Times New Roman"/>
        </w:rPr>
        <w:t>A</w:t>
      </w:r>
      <w:r w:rsidRPr="004842AA">
        <w:rPr>
          <w:rFonts w:ascii="Times New Roman" w:hAnsi="Times New Roman" w:cs="Times New Roman"/>
        </w:rPr>
        <w:t xml:space="preserve">rea – albeit informally as a matter of mutual understanding and internal practice, rather than under any explicit international agreement </w:t>
      </w:r>
      <w:r w:rsidR="00C31157" w:rsidRPr="004842AA">
        <w:rPr>
          <w:rFonts w:ascii="Times New Roman" w:hAnsi="Times New Roman" w:cs="Times New Roman"/>
        </w:rPr>
        <w:t xml:space="preserve">or obligation </w:t>
      </w:r>
      <w:r w:rsidRPr="004842AA">
        <w:rPr>
          <w:rFonts w:ascii="Times New Roman" w:hAnsi="Times New Roman" w:cs="Times New Roman"/>
        </w:rPr>
        <w:t xml:space="preserve">between </w:t>
      </w:r>
      <w:r w:rsidR="00C31157" w:rsidRPr="004842AA">
        <w:rPr>
          <w:rFonts w:ascii="Times New Roman" w:hAnsi="Times New Roman" w:cs="Times New Roman"/>
        </w:rPr>
        <w:t xml:space="preserve">or upon </w:t>
      </w:r>
      <w:r w:rsidRPr="004842AA">
        <w:rPr>
          <w:rFonts w:ascii="Times New Roman" w:hAnsi="Times New Roman" w:cs="Times New Roman"/>
        </w:rPr>
        <w:t>the two states</w:t>
      </w:r>
      <w:r w:rsidR="0061343B" w:rsidRPr="004842AA">
        <w:rPr>
          <w:rFonts w:ascii="Times New Roman" w:hAnsi="Times New Roman" w:cs="Times New Roman"/>
        </w:rPr>
        <w:t>.</w:t>
      </w:r>
      <w:r w:rsidRPr="004842AA">
        <w:rPr>
          <w:rStyle w:val="FootnoteReference"/>
          <w:rFonts w:ascii="Times New Roman" w:hAnsi="Times New Roman" w:cs="Times New Roman"/>
        </w:rPr>
        <w:footnoteReference w:id="259"/>
      </w:r>
      <w:r w:rsidRPr="004842AA">
        <w:rPr>
          <w:rFonts w:ascii="Times New Roman" w:hAnsi="Times New Roman" w:cs="Times New Roman"/>
        </w:rPr>
        <w:t xml:space="preserve">  Keeping an open border for persons </w:t>
      </w:r>
      <w:r w:rsidR="00696F90" w:rsidRPr="004842AA">
        <w:rPr>
          <w:rFonts w:ascii="Times New Roman" w:hAnsi="Times New Roman" w:cs="Times New Roman"/>
        </w:rPr>
        <w:t xml:space="preserve">is </w:t>
      </w:r>
      <w:r w:rsidRPr="004842AA">
        <w:rPr>
          <w:rFonts w:ascii="Times New Roman" w:hAnsi="Times New Roman" w:cs="Times New Roman"/>
        </w:rPr>
        <w:t xml:space="preserve">therefore primarily a bilateral issue to be resolved between the UK and Ireland.  </w:t>
      </w:r>
      <w:r w:rsidR="00696F90" w:rsidRPr="004842AA">
        <w:rPr>
          <w:rFonts w:ascii="Times New Roman" w:hAnsi="Times New Roman" w:cs="Times New Roman"/>
        </w:rPr>
        <w:t>T</w:t>
      </w:r>
      <w:r w:rsidRPr="004842AA">
        <w:rPr>
          <w:rFonts w:ascii="Times New Roman" w:hAnsi="Times New Roman" w:cs="Times New Roman"/>
        </w:rPr>
        <w:t xml:space="preserve">he Agreement </w:t>
      </w:r>
      <w:r w:rsidR="00696F90" w:rsidRPr="004842AA">
        <w:rPr>
          <w:rFonts w:ascii="Times New Roman" w:hAnsi="Times New Roman" w:cs="Times New Roman"/>
        </w:rPr>
        <w:t xml:space="preserve">simply </w:t>
      </w:r>
      <w:r w:rsidRPr="004842AA">
        <w:rPr>
          <w:rFonts w:ascii="Times New Roman" w:hAnsi="Times New Roman" w:cs="Times New Roman"/>
        </w:rPr>
        <w:t>recognise</w:t>
      </w:r>
      <w:r w:rsidR="00696F90" w:rsidRPr="004842AA">
        <w:rPr>
          <w:rFonts w:ascii="Times New Roman" w:hAnsi="Times New Roman" w:cs="Times New Roman"/>
        </w:rPr>
        <w:t>s their continued prerogatives</w:t>
      </w:r>
      <w:r w:rsidRPr="004842AA">
        <w:rPr>
          <w:rFonts w:ascii="Times New Roman" w:hAnsi="Times New Roman" w:cs="Times New Roman"/>
        </w:rPr>
        <w:t xml:space="preserve"> </w:t>
      </w:r>
      <w:r w:rsidR="00696F90" w:rsidRPr="004842AA">
        <w:rPr>
          <w:rFonts w:ascii="Times New Roman" w:hAnsi="Times New Roman" w:cs="Times New Roman"/>
        </w:rPr>
        <w:t xml:space="preserve">– subject to </w:t>
      </w:r>
      <w:r w:rsidRPr="004842AA">
        <w:rPr>
          <w:rFonts w:ascii="Times New Roman" w:hAnsi="Times New Roman" w:cs="Times New Roman"/>
        </w:rPr>
        <w:t>Ireland</w:t>
      </w:r>
      <w:r w:rsidR="00696F90" w:rsidRPr="004842AA">
        <w:rPr>
          <w:rFonts w:ascii="Times New Roman" w:hAnsi="Times New Roman" w:cs="Times New Roman"/>
        </w:rPr>
        <w:t>’s duty to uphold</w:t>
      </w:r>
      <w:r w:rsidRPr="004842AA">
        <w:rPr>
          <w:rFonts w:ascii="Times New Roman" w:hAnsi="Times New Roman" w:cs="Times New Roman"/>
        </w:rPr>
        <w:t xml:space="preserve"> the rights of entry and residence conferred upon Union citizens and their protected family</w:t>
      </w:r>
      <w:r w:rsidR="00696F90" w:rsidRPr="004842AA">
        <w:rPr>
          <w:rFonts w:ascii="Times New Roman" w:hAnsi="Times New Roman" w:cs="Times New Roman"/>
        </w:rPr>
        <w:t xml:space="preserve"> members under the Treaties</w:t>
      </w:r>
      <w:r w:rsidRPr="004842AA">
        <w:rPr>
          <w:rFonts w:ascii="Times New Roman" w:hAnsi="Times New Roman" w:cs="Times New Roman"/>
        </w:rPr>
        <w:t>.</w:t>
      </w:r>
      <w:r w:rsidRPr="004842AA">
        <w:rPr>
          <w:rStyle w:val="FootnoteReference"/>
          <w:rFonts w:ascii="Times New Roman" w:hAnsi="Times New Roman" w:cs="Times New Roman"/>
        </w:rPr>
        <w:footnoteReference w:id="260"/>
      </w:r>
      <w:r w:rsidRPr="004842AA">
        <w:rPr>
          <w:rFonts w:ascii="Times New Roman" w:hAnsi="Times New Roman" w:cs="Times New Roman"/>
        </w:rPr>
        <w:t xml:space="preserve">  Otherwise, the UK Government </w:t>
      </w:r>
      <w:r w:rsidR="00696F90" w:rsidRPr="004842AA">
        <w:rPr>
          <w:rFonts w:ascii="Times New Roman" w:hAnsi="Times New Roman" w:cs="Times New Roman"/>
        </w:rPr>
        <w:t>accepted that withdrawal should not impair the future functioning of the CTA</w:t>
      </w:r>
      <w:r w:rsidR="008F018A">
        <w:rPr>
          <w:rFonts w:ascii="Times New Roman" w:hAnsi="Times New Roman" w:cs="Times New Roman"/>
        </w:rPr>
        <w:t>;</w:t>
      </w:r>
      <w:r w:rsidR="00E46F4B">
        <w:rPr>
          <w:rStyle w:val="FootnoteReference"/>
          <w:rFonts w:ascii="Times New Roman" w:hAnsi="Times New Roman" w:cs="Times New Roman"/>
        </w:rPr>
        <w:footnoteReference w:id="261"/>
      </w:r>
      <w:r w:rsidR="008F018A">
        <w:rPr>
          <w:rFonts w:ascii="Times New Roman" w:hAnsi="Times New Roman" w:cs="Times New Roman"/>
        </w:rPr>
        <w:t xml:space="preserve"> and subsequently signed a Memorandum of Understanding with Ireland explicitly affirming their joint commitment to uphold the CTA.</w:t>
      </w:r>
      <w:r w:rsidR="008F018A">
        <w:rPr>
          <w:rStyle w:val="FootnoteReference"/>
          <w:rFonts w:ascii="Times New Roman" w:hAnsi="Times New Roman" w:cs="Times New Roman"/>
        </w:rPr>
        <w:footnoteReference w:id="262"/>
      </w:r>
      <w:r w:rsidR="008F018A">
        <w:rPr>
          <w:rFonts w:ascii="Times New Roman" w:hAnsi="Times New Roman" w:cs="Times New Roman"/>
        </w:rPr>
        <w:t xml:space="preserve">  </w:t>
      </w:r>
      <w:r w:rsidR="00696F90" w:rsidRPr="004842AA">
        <w:rPr>
          <w:rFonts w:ascii="Times New Roman" w:hAnsi="Times New Roman" w:cs="Times New Roman"/>
        </w:rPr>
        <w:t xml:space="preserve">Insofar as the British might harbour </w:t>
      </w:r>
      <w:r w:rsidR="0061343B" w:rsidRPr="004842AA">
        <w:rPr>
          <w:rFonts w:ascii="Times New Roman" w:hAnsi="Times New Roman" w:cs="Times New Roman"/>
        </w:rPr>
        <w:t>concerns about Ireland acting as a “soft underbelly” for illegal entry</w:t>
      </w:r>
      <w:r w:rsidR="00696F90" w:rsidRPr="004842AA">
        <w:rPr>
          <w:rFonts w:ascii="Times New Roman" w:hAnsi="Times New Roman" w:cs="Times New Roman"/>
        </w:rPr>
        <w:t>,</w:t>
      </w:r>
      <w:r w:rsidR="0061343B" w:rsidRPr="004842AA">
        <w:rPr>
          <w:rFonts w:ascii="Times New Roman" w:hAnsi="Times New Roman" w:cs="Times New Roman"/>
        </w:rPr>
        <w:t xml:space="preserve"> residence or work in the UK</w:t>
      </w:r>
      <w:r w:rsidR="00696F90" w:rsidRPr="004842AA">
        <w:rPr>
          <w:rFonts w:ascii="Times New Roman" w:hAnsi="Times New Roman" w:cs="Times New Roman"/>
        </w:rPr>
        <w:t xml:space="preserve"> by either EU or non-EU nationals, </w:t>
      </w:r>
      <w:r w:rsidR="0061343B" w:rsidRPr="004842AA">
        <w:rPr>
          <w:rFonts w:ascii="Times New Roman" w:hAnsi="Times New Roman" w:cs="Times New Roman"/>
        </w:rPr>
        <w:t xml:space="preserve">the British </w:t>
      </w:r>
      <w:r w:rsidR="0061343B" w:rsidRPr="004842AA">
        <w:rPr>
          <w:rFonts w:ascii="Times New Roman" w:hAnsi="Times New Roman" w:cs="Times New Roman"/>
        </w:rPr>
        <w:lastRenderedPageBreak/>
        <w:t xml:space="preserve">authorities </w:t>
      </w:r>
      <w:r w:rsidR="00696F90" w:rsidRPr="004842AA">
        <w:rPr>
          <w:rFonts w:ascii="Times New Roman" w:hAnsi="Times New Roman" w:cs="Times New Roman"/>
        </w:rPr>
        <w:t xml:space="preserve">will simply </w:t>
      </w:r>
      <w:r w:rsidR="0061343B" w:rsidRPr="004842AA">
        <w:rPr>
          <w:rFonts w:ascii="Times New Roman" w:hAnsi="Times New Roman" w:cs="Times New Roman"/>
        </w:rPr>
        <w:t>have to rely on more effective internal enforcement of their own immigration restrictions</w:t>
      </w:r>
      <w:r w:rsidR="00696F90" w:rsidRPr="004842AA">
        <w:rPr>
          <w:rFonts w:ascii="Times New Roman" w:hAnsi="Times New Roman" w:cs="Times New Roman"/>
        </w:rPr>
        <w:t xml:space="preserve"> (for example, </w:t>
      </w:r>
      <w:r w:rsidR="0061343B" w:rsidRPr="004842AA">
        <w:rPr>
          <w:rFonts w:ascii="Times New Roman" w:hAnsi="Times New Roman" w:cs="Times New Roman"/>
        </w:rPr>
        <w:t>at the point of seeking employment or access to public services</w:t>
      </w:r>
      <w:r w:rsidR="00696F90" w:rsidRPr="004842AA">
        <w:rPr>
          <w:rFonts w:ascii="Times New Roman" w:hAnsi="Times New Roman" w:cs="Times New Roman"/>
        </w:rPr>
        <w:t>)</w:t>
      </w:r>
      <w:r w:rsidR="0061343B" w:rsidRPr="004842AA">
        <w:rPr>
          <w:rFonts w:ascii="Times New Roman" w:hAnsi="Times New Roman" w:cs="Times New Roman"/>
        </w:rPr>
        <w:t>.</w:t>
      </w:r>
      <w:r w:rsidR="00696F90" w:rsidRPr="004842AA">
        <w:rPr>
          <w:rStyle w:val="FootnoteReference"/>
          <w:rFonts w:ascii="Times New Roman" w:hAnsi="Times New Roman" w:cs="Times New Roman"/>
        </w:rPr>
        <w:footnoteReference w:id="263"/>
      </w:r>
      <w:r w:rsidR="0061343B" w:rsidRPr="004842AA">
        <w:rPr>
          <w:rFonts w:ascii="Times New Roman" w:hAnsi="Times New Roman" w:cs="Times New Roman"/>
        </w:rPr>
        <w:t xml:space="preserve">  </w:t>
      </w:r>
      <w:r w:rsidR="00696F90" w:rsidRPr="004842AA">
        <w:rPr>
          <w:rFonts w:ascii="Times New Roman" w:hAnsi="Times New Roman" w:cs="Times New Roman"/>
        </w:rPr>
        <w:t xml:space="preserve">The CTA and with it an open border for persons are therefore safe – at least for now.  After all, there is </w:t>
      </w:r>
      <w:r w:rsidR="0061343B" w:rsidRPr="004842AA">
        <w:rPr>
          <w:rFonts w:ascii="Times New Roman" w:hAnsi="Times New Roman" w:cs="Times New Roman"/>
        </w:rPr>
        <w:t xml:space="preserve">nothing to stop a future </w:t>
      </w:r>
      <w:r w:rsidR="00696F90" w:rsidRPr="004842AA">
        <w:rPr>
          <w:rFonts w:ascii="Times New Roman" w:hAnsi="Times New Roman" w:cs="Times New Roman"/>
        </w:rPr>
        <w:t xml:space="preserve">UK </w:t>
      </w:r>
      <w:r w:rsidR="0061343B" w:rsidRPr="004842AA">
        <w:rPr>
          <w:rFonts w:ascii="Times New Roman" w:hAnsi="Times New Roman" w:cs="Times New Roman"/>
        </w:rPr>
        <w:t xml:space="preserve">administration from </w:t>
      </w:r>
      <w:r w:rsidR="00696F90" w:rsidRPr="004842AA">
        <w:rPr>
          <w:rFonts w:ascii="Times New Roman" w:hAnsi="Times New Roman" w:cs="Times New Roman"/>
        </w:rPr>
        <w:t xml:space="preserve">renouncing </w:t>
      </w:r>
      <w:r w:rsidR="0061343B" w:rsidRPr="004842AA">
        <w:rPr>
          <w:rFonts w:ascii="Times New Roman" w:hAnsi="Times New Roman" w:cs="Times New Roman"/>
        </w:rPr>
        <w:t>the CTA</w:t>
      </w:r>
      <w:r w:rsidR="00696F90" w:rsidRPr="004842AA">
        <w:rPr>
          <w:rFonts w:ascii="Times New Roman" w:hAnsi="Times New Roman" w:cs="Times New Roman"/>
        </w:rPr>
        <w:t>, regardless of the consequences for British-Irish relations in general or the situation of Northern Ireland in particular</w:t>
      </w:r>
      <w:r w:rsidR="0061343B" w:rsidRPr="004842AA">
        <w:rPr>
          <w:rFonts w:ascii="Times New Roman" w:hAnsi="Times New Roman" w:cs="Times New Roman"/>
        </w:rPr>
        <w:t>.</w:t>
      </w:r>
      <w:r w:rsidR="00696F90" w:rsidRPr="004842AA">
        <w:rPr>
          <w:rFonts w:ascii="Times New Roman" w:hAnsi="Times New Roman" w:cs="Times New Roman"/>
        </w:rPr>
        <w:t xml:space="preserve">  </w:t>
      </w:r>
      <w:r w:rsidR="00C31157" w:rsidRPr="004842AA">
        <w:rPr>
          <w:rFonts w:ascii="Times New Roman" w:hAnsi="Times New Roman" w:cs="Times New Roman"/>
        </w:rPr>
        <w:t>But e</w:t>
      </w:r>
      <w:r w:rsidR="00696F90" w:rsidRPr="004842AA">
        <w:rPr>
          <w:rFonts w:ascii="Times New Roman" w:hAnsi="Times New Roman" w:cs="Times New Roman"/>
        </w:rPr>
        <w:t xml:space="preserve">qually, the Republic </w:t>
      </w:r>
      <w:r w:rsidR="00C31157" w:rsidRPr="004842AA">
        <w:rPr>
          <w:rFonts w:ascii="Times New Roman" w:hAnsi="Times New Roman" w:cs="Times New Roman"/>
        </w:rPr>
        <w:t xml:space="preserve">itself </w:t>
      </w:r>
      <w:r w:rsidR="00696F90" w:rsidRPr="004842AA">
        <w:rPr>
          <w:rFonts w:ascii="Times New Roman" w:hAnsi="Times New Roman" w:cs="Times New Roman"/>
        </w:rPr>
        <w:t xml:space="preserve">might well decide to terminate the CTA and could </w:t>
      </w:r>
      <w:r w:rsidR="00C31157" w:rsidRPr="004842AA">
        <w:rPr>
          <w:rFonts w:ascii="Times New Roman" w:hAnsi="Times New Roman" w:cs="Times New Roman"/>
        </w:rPr>
        <w:t xml:space="preserve">then </w:t>
      </w:r>
      <w:r w:rsidR="00696F90" w:rsidRPr="004842AA">
        <w:rPr>
          <w:rFonts w:ascii="Times New Roman" w:hAnsi="Times New Roman" w:cs="Times New Roman"/>
        </w:rPr>
        <w:t xml:space="preserve">(in addition) exercise its right under Union law to become a full member of the </w:t>
      </w:r>
      <w:r w:rsidR="00DC41E9">
        <w:rPr>
          <w:rFonts w:ascii="Times New Roman" w:hAnsi="Times New Roman" w:cs="Times New Roman"/>
        </w:rPr>
        <w:t>AFSJ</w:t>
      </w:r>
      <w:r w:rsidR="00696F90" w:rsidRPr="004842AA">
        <w:rPr>
          <w:rFonts w:ascii="Times New Roman" w:hAnsi="Times New Roman" w:cs="Times New Roman"/>
        </w:rPr>
        <w:t xml:space="preserve"> – though </w:t>
      </w:r>
      <w:r w:rsidR="00B30C51">
        <w:rPr>
          <w:rFonts w:ascii="Times New Roman" w:hAnsi="Times New Roman" w:cs="Times New Roman"/>
        </w:rPr>
        <w:t xml:space="preserve">any such possibility is only conceivable </w:t>
      </w:r>
      <w:r w:rsidR="00696F90" w:rsidRPr="004842AA">
        <w:rPr>
          <w:rFonts w:ascii="Times New Roman" w:hAnsi="Times New Roman" w:cs="Times New Roman"/>
        </w:rPr>
        <w:t>in the future event of reunification with the North and thus the elimination of any threat of a “hard border”.</w:t>
      </w:r>
      <w:r w:rsidR="00E46F4B">
        <w:rPr>
          <w:rStyle w:val="FootnoteReference"/>
          <w:rFonts w:ascii="Times New Roman" w:hAnsi="Times New Roman" w:cs="Times New Roman"/>
        </w:rPr>
        <w:footnoteReference w:id="264"/>
      </w:r>
    </w:p>
    <w:p w14:paraId="389CDF03" w14:textId="77777777" w:rsidR="003F400E" w:rsidRPr="004842AA" w:rsidRDefault="003F400E" w:rsidP="004842AA">
      <w:pPr>
        <w:jc w:val="both"/>
        <w:rPr>
          <w:rFonts w:ascii="Times New Roman" w:hAnsi="Times New Roman" w:cs="Times New Roman"/>
          <w:highlight w:val="yellow"/>
        </w:rPr>
      </w:pPr>
    </w:p>
    <w:p w14:paraId="30F8F821" w14:textId="1E5E4CDE" w:rsidR="00C31157" w:rsidRPr="004842AA" w:rsidRDefault="00C31157" w:rsidP="004842AA">
      <w:pPr>
        <w:jc w:val="both"/>
        <w:rPr>
          <w:rFonts w:ascii="Times New Roman" w:hAnsi="Times New Roman" w:cs="Times New Roman"/>
          <w:i/>
        </w:rPr>
      </w:pPr>
      <w:r w:rsidRPr="004842AA">
        <w:rPr>
          <w:rFonts w:ascii="Times New Roman" w:hAnsi="Times New Roman" w:cs="Times New Roman"/>
          <w:i/>
        </w:rPr>
        <w:t>3.4.2.</w:t>
      </w:r>
      <w:r w:rsidRPr="004842AA">
        <w:rPr>
          <w:rFonts w:ascii="Times New Roman" w:hAnsi="Times New Roman" w:cs="Times New Roman"/>
          <w:i/>
        </w:rPr>
        <w:tab/>
        <w:t xml:space="preserve">The Challenge of Avoiding a Hard Border for the Movement of Goods </w:t>
      </w:r>
    </w:p>
    <w:p w14:paraId="1348697C" w14:textId="77777777" w:rsidR="00C51251" w:rsidRPr="004842AA" w:rsidRDefault="00C51251" w:rsidP="004842AA">
      <w:pPr>
        <w:jc w:val="both"/>
        <w:rPr>
          <w:rFonts w:ascii="Times New Roman" w:hAnsi="Times New Roman" w:cs="Times New Roman"/>
          <w:lang w:val="en-US"/>
        </w:rPr>
      </w:pPr>
    </w:p>
    <w:p w14:paraId="11FEC072" w14:textId="320110E1" w:rsidR="00BE6612" w:rsidRDefault="00C31157" w:rsidP="00BE6612">
      <w:pPr>
        <w:jc w:val="both"/>
        <w:rPr>
          <w:rFonts w:ascii="Times New Roman" w:hAnsi="Times New Roman" w:cs="Times New Roman"/>
        </w:rPr>
      </w:pPr>
      <w:r w:rsidRPr="004842AA">
        <w:rPr>
          <w:rFonts w:ascii="Times New Roman" w:hAnsi="Times New Roman" w:cs="Times New Roman"/>
        </w:rPr>
        <w:t xml:space="preserve">Far more serious problems were involved in the challenge of avoiding a “hard border” for the movement of </w:t>
      </w:r>
      <w:r w:rsidRPr="00DC41E9">
        <w:rPr>
          <w:rFonts w:ascii="Times New Roman" w:hAnsi="Times New Roman" w:cs="Times New Roman"/>
          <w:i/>
        </w:rPr>
        <w:t>goods</w:t>
      </w:r>
      <w:r w:rsidRPr="004842AA">
        <w:rPr>
          <w:rFonts w:ascii="Times New Roman" w:hAnsi="Times New Roman" w:cs="Times New Roman"/>
        </w:rPr>
        <w:t xml:space="preserve"> across the island of Ireland.  Of course, the constitutional framework applicable to trade in goods is fundamentally different from that applicable to the movement of persons.  After all, external customs and trade relations between the Single Market and third countries falls within the </w:t>
      </w:r>
      <w:r w:rsidR="00B30C51">
        <w:rPr>
          <w:rFonts w:ascii="Times New Roman" w:hAnsi="Times New Roman" w:cs="Times New Roman"/>
        </w:rPr>
        <w:t xml:space="preserve">Union’s </w:t>
      </w:r>
      <w:r w:rsidRPr="004842AA">
        <w:rPr>
          <w:rFonts w:ascii="Times New Roman" w:hAnsi="Times New Roman" w:cs="Times New Roman"/>
        </w:rPr>
        <w:t>exclusive competence: finding a solution to the Irish border on goods was therefore a matter for the EU and the UK.</w:t>
      </w:r>
      <w:r w:rsidRPr="004842AA">
        <w:rPr>
          <w:rStyle w:val="FootnoteReference"/>
          <w:rFonts w:ascii="Times New Roman" w:hAnsi="Times New Roman" w:cs="Times New Roman"/>
        </w:rPr>
        <w:footnoteReference w:id="265"/>
      </w:r>
      <w:r w:rsidRPr="004842AA">
        <w:rPr>
          <w:rFonts w:ascii="Times New Roman" w:hAnsi="Times New Roman" w:cs="Times New Roman"/>
        </w:rPr>
        <w:t xml:space="preserve">  But in and of itself, that allocation of responsibility was neither here nor there.  The real difficulties facing the island of Ireland were </w:t>
      </w:r>
      <w:r w:rsidR="00C51251" w:rsidRPr="004842AA">
        <w:rPr>
          <w:rFonts w:ascii="Times New Roman" w:hAnsi="Times New Roman" w:cs="Times New Roman"/>
          <w:lang w:val="en-US"/>
        </w:rPr>
        <w:t xml:space="preserve">entirely of the UK Government’s making.  </w:t>
      </w:r>
    </w:p>
    <w:p w14:paraId="034E357F" w14:textId="3EDACD5D" w:rsidR="00BE6612" w:rsidRDefault="00810B26" w:rsidP="00BE6612">
      <w:pPr>
        <w:ind w:firstLine="720"/>
        <w:jc w:val="both"/>
        <w:rPr>
          <w:rFonts w:ascii="Times New Roman" w:hAnsi="Times New Roman" w:cs="Times New Roman"/>
        </w:rPr>
      </w:pPr>
      <w:r>
        <w:rPr>
          <w:rFonts w:ascii="Times New Roman" w:hAnsi="Times New Roman" w:cs="Times New Roman"/>
          <w:lang w:val="en-US"/>
        </w:rPr>
        <w:t>A</w:t>
      </w:r>
      <w:r w:rsidR="006838C8" w:rsidRPr="004842AA">
        <w:rPr>
          <w:rFonts w:ascii="Times New Roman" w:hAnsi="Times New Roman" w:cs="Times New Roman"/>
          <w:lang w:val="en-US"/>
        </w:rPr>
        <w:t xml:space="preserve">fter </w:t>
      </w:r>
      <w:r w:rsidR="00C51251" w:rsidRPr="004842AA">
        <w:rPr>
          <w:rFonts w:ascii="Times New Roman" w:hAnsi="Times New Roman" w:cs="Times New Roman"/>
          <w:lang w:val="en-US"/>
        </w:rPr>
        <w:t xml:space="preserve">the 2016 referendum, </w:t>
      </w:r>
      <w:r w:rsidR="006838C8" w:rsidRPr="004842AA">
        <w:rPr>
          <w:rFonts w:ascii="Times New Roman" w:hAnsi="Times New Roman" w:cs="Times New Roman"/>
          <w:lang w:val="en-US"/>
        </w:rPr>
        <w:t xml:space="preserve">as we have seen, </w:t>
      </w:r>
      <w:r w:rsidR="00C51251" w:rsidRPr="004842AA">
        <w:rPr>
          <w:rFonts w:ascii="Times New Roman" w:hAnsi="Times New Roman" w:cs="Times New Roman"/>
          <w:lang w:val="en-US"/>
        </w:rPr>
        <w:t xml:space="preserve">the </w:t>
      </w:r>
      <w:r w:rsidR="006838C8" w:rsidRPr="004842AA">
        <w:rPr>
          <w:rFonts w:ascii="Times New Roman" w:hAnsi="Times New Roman" w:cs="Times New Roman"/>
          <w:lang w:val="en-US"/>
        </w:rPr>
        <w:t xml:space="preserve">UK </w:t>
      </w:r>
      <w:r w:rsidR="00C51251" w:rsidRPr="004842AA">
        <w:rPr>
          <w:rFonts w:ascii="Times New Roman" w:hAnsi="Times New Roman" w:cs="Times New Roman"/>
          <w:lang w:val="en-US"/>
        </w:rPr>
        <w:t xml:space="preserve">Government </w:t>
      </w:r>
      <w:r w:rsidR="006838C8" w:rsidRPr="004842AA">
        <w:rPr>
          <w:rFonts w:ascii="Times New Roman" w:hAnsi="Times New Roman" w:cs="Times New Roman"/>
          <w:lang w:val="en-US"/>
        </w:rPr>
        <w:t xml:space="preserve">announced </w:t>
      </w:r>
      <w:r w:rsidR="00C51251" w:rsidRPr="004842AA">
        <w:rPr>
          <w:rFonts w:ascii="Times New Roman" w:hAnsi="Times New Roman" w:cs="Times New Roman"/>
          <w:lang w:val="en-US"/>
        </w:rPr>
        <w:t>that the UK would be leaving not just the EU but also the Customs Union and the Single Market.</w:t>
      </w:r>
      <w:r w:rsidR="00E46F4B">
        <w:rPr>
          <w:rStyle w:val="FootnoteReference"/>
          <w:rFonts w:ascii="Times New Roman" w:hAnsi="Times New Roman" w:cs="Times New Roman"/>
          <w:lang w:val="en-US"/>
        </w:rPr>
        <w:footnoteReference w:id="266"/>
      </w:r>
      <w:r w:rsidR="00C51251" w:rsidRPr="004842AA">
        <w:rPr>
          <w:rFonts w:ascii="Times New Roman" w:hAnsi="Times New Roman" w:cs="Times New Roman"/>
          <w:lang w:val="en-US"/>
        </w:rPr>
        <w:t xml:space="preserve">  </w:t>
      </w:r>
      <w:r w:rsidR="006838C8" w:rsidRPr="004842AA">
        <w:rPr>
          <w:rFonts w:ascii="Times New Roman" w:hAnsi="Times New Roman" w:cs="Times New Roman"/>
          <w:lang w:val="en-US"/>
        </w:rPr>
        <w:t xml:space="preserve">In itself, that announcement implied the creation of separate customs and regulatory territories, together with all their accompanying checks and formalities, not only between the Union and the UK but also between Ireland and Northern Ireland.  </w:t>
      </w:r>
      <w:r w:rsidR="00E27D77" w:rsidRPr="004842AA">
        <w:rPr>
          <w:rFonts w:ascii="Times New Roman" w:hAnsi="Times New Roman" w:cs="Times New Roman"/>
          <w:lang w:val="en-US"/>
        </w:rPr>
        <w:t xml:space="preserve">However, </w:t>
      </w:r>
      <w:r w:rsidR="00DC41E9">
        <w:rPr>
          <w:rFonts w:ascii="Times New Roman" w:hAnsi="Times New Roman" w:cs="Times New Roman"/>
          <w:lang w:val="en-US"/>
        </w:rPr>
        <w:t>when</w:t>
      </w:r>
      <w:r w:rsidR="00E27D77" w:rsidRPr="004842AA">
        <w:rPr>
          <w:rFonts w:ascii="Times New Roman" w:hAnsi="Times New Roman" w:cs="Times New Roman"/>
          <w:lang w:val="en-US"/>
        </w:rPr>
        <w:t xml:space="preserve"> the serious dangers posed by that policy</w:t>
      </w:r>
      <w:r w:rsidR="00DC41E9">
        <w:rPr>
          <w:rFonts w:ascii="Times New Roman" w:hAnsi="Times New Roman" w:cs="Times New Roman"/>
          <w:lang w:val="en-US"/>
        </w:rPr>
        <w:t xml:space="preserve"> finally dawned upon</w:t>
      </w:r>
      <w:r w:rsidR="00E27D77" w:rsidRPr="004842AA">
        <w:rPr>
          <w:rFonts w:ascii="Times New Roman" w:hAnsi="Times New Roman" w:cs="Times New Roman"/>
          <w:lang w:val="en-US"/>
        </w:rPr>
        <w:t xml:space="preserve"> the </w:t>
      </w:r>
      <w:r w:rsidR="00C51251" w:rsidRPr="004842AA">
        <w:rPr>
          <w:rFonts w:ascii="Times New Roman" w:hAnsi="Times New Roman" w:cs="Times New Roman"/>
          <w:lang w:val="en-US"/>
        </w:rPr>
        <w:t>UK Government</w:t>
      </w:r>
      <w:r w:rsidR="00DC41E9">
        <w:rPr>
          <w:rFonts w:ascii="Times New Roman" w:hAnsi="Times New Roman" w:cs="Times New Roman"/>
          <w:lang w:val="en-US"/>
        </w:rPr>
        <w:t xml:space="preserve">, the latter </w:t>
      </w:r>
      <w:r w:rsidR="00E27D77" w:rsidRPr="004842AA">
        <w:rPr>
          <w:rFonts w:ascii="Times New Roman" w:hAnsi="Times New Roman" w:cs="Times New Roman"/>
          <w:lang w:val="en-US"/>
        </w:rPr>
        <w:t>made a second promise:</w:t>
      </w:r>
      <w:r w:rsidR="006838C8" w:rsidRPr="004842AA">
        <w:rPr>
          <w:rFonts w:ascii="Times New Roman" w:hAnsi="Times New Roman" w:cs="Times New Roman"/>
          <w:lang w:val="en-US"/>
        </w:rPr>
        <w:t xml:space="preserve"> </w:t>
      </w:r>
      <w:r w:rsidR="00C51251" w:rsidRPr="004842AA">
        <w:rPr>
          <w:rFonts w:ascii="Times New Roman" w:hAnsi="Times New Roman" w:cs="Times New Roman"/>
          <w:lang w:val="en-US"/>
        </w:rPr>
        <w:t xml:space="preserve">there would be no return to a hard </w:t>
      </w:r>
      <w:r w:rsidR="006838C8" w:rsidRPr="004842AA">
        <w:rPr>
          <w:rFonts w:ascii="Times New Roman" w:hAnsi="Times New Roman" w:cs="Times New Roman"/>
          <w:lang w:val="en-US"/>
        </w:rPr>
        <w:t>border on the island of Ireland</w:t>
      </w:r>
      <w:r w:rsidR="00C51251" w:rsidRPr="004842AA">
        <w:rPr>
          <w:rFonts w:ascii="Times New Roman" w:hAnsi="Times New Roman" w:cs="Times New Roman"/>
          <w:lang w:val="en-US"/>
        </w:rPr>
        <w:t xml:space="preserve"> under any circumstances.</w:t>
      </w:r>
      <w:r w:rsidR="00E46F4B">
        <w:rPr>
          <w:rStyle w:val="FootnoteReference"/>
          <w:rFonts w:ascii="Times New Roman" w:hAnsi="Times New Roman" w:cs="Times New Roman"/>
          <w:lang w:val="en-US"/>
        </w:rPr>
        <w:footnoteReference w:id="267"/>
      </w:r>
      <w:r w:rsidR="006838C8" w:rsidRPr="004842AA">
        <w:rPr>
          <w:rFonts w:ascii="Times New Roman" w:hAnsi="Times New Roman" w:cs="Times New Roman"/>
          <w:lang w:val="en-US"/>
        </w:rPr>
        <w:t xml:space="preserve">  </w:t>
      </w:r>
      <w:r w:rsidR="00586DEF" w:rsidRPr="004842AA">
        <w:rPr>
          <w:rFonts w:ascii="Times New Roman" w:hAnsi="Times New Roman" w:cs="Times New Roman"/>
          <w:lang w:val="en-US"/>
        </w:rPr>
        <w:t xml:space="preserve">Now, the </w:t>
      </w:r>
      <w:r w:rsidR="00C51251" w:rsidRPr="004842AA">
        <w:rPr>
          <w:rFonts w:ascii="Times New Roman" w:hAnsi="Times New Roman" w:cs="Times New Roman"/>
          <w:lang w:val="en-US"/>
        </w:rPr>
        <w:t>only feasible way to deliver that se</w:t>
      </w:r>
      <w:r w:rsidR="00586DEF" w:rsidRPr="004842AA">
        <w:rPr>
          <w:rFonts w:ascii="Times New Roman" w:hAnsi="Times New Roman" w:cs="Times New Roman"/>
          <w:lang w:val="en-US"/>
        </w:rPr>
        <w:t>cond promise, as well as keep</w:t>
      </w:r>
      <w:r w:rsidR="00C51251" w:rsidRPr="004842AA">
        <w:rPr>
          <w:rFonts w:ascii="Times New Roman" w:hAnsi="Times New Roman" w:cs="Times New Roman"/>
          <w:lang w:val="en-US"/>
        </w:rPr>
        <w:t xml:space="preserve"> the first, </w:t>
      </w:r>
      <w:r w:rsidR="00E27D77" w:rsidRPr="004842AA">
        <w:rPr>
          <w:rFonts w:ascii="Times New Roman" w:hAnsi="Times New Roman" w:cs="Times New Roman"/>
          <w:lang w:val="en-US"/>
        </w:rPr>
        <w:t xml:space="preserve">would be </w:t>
      </w:r>
      <w:r w:rsidR="00C51251" w:rsidRPr="004842AA">
        <w:rPr>
          <w:rFonts w:ascii="Times New Roman" w:hAnsi="Times New Roman" w:cs="Times New Roman"/>
          <w:lang w:val="en-US"/>
        </w:rPr>
        <w:t>for Northern Ireland to remain within the Customs Union and at le</w:t>
      </w:r>
      <w:r w:rsidR="00CB1BDB" w:rsidRPr="004842AA">
        <w:rPr>
          <w:rFonts w:ascii="Times New Roman" w:hAnsi="Times New Roman" w:cs="Times New Roman"/>
          <w:lang w:val="en-US"/>
        </w:rPr>
        <w:t>ast parts of the Single Market (</w:t>
      </w:r>
      <w:r w:rsidR="00C51251" w:rsidRPr="004842AA">
        <w:rPr>
          <w:rFonts w:ascii="Times New Roman" w:hAnsi="Times New Roman" w:cs="Times New Roman"/>
          <w:lang w:val="en-US"/>
        </w:rPr>
        <w:t xml:space="preserve">even if the rest of the UK </w:t>
      </w:r>
      <w:r w:rsidR="00E27D77" w:rsidRPr="004842AA">
        <w:rPr>
          <w:rFonts w:ascii="Times New Roman" w:hAnsi="Times New Roman" w:cs="Times New Roman"/>
          <w:lang w:val="en-US"/>
        </w:rPr>
        <w:t>did not</w:t>
      </w:r>
      <w:r w:rsidR="00CB1BDB" w:rsidRPr="004842AA">
        <w:rPr>
          <w:rFonts w:ascii="Times New Roman" w:hAnsi="Times New Roman" w:cs="Times New Roman"/>
          <w:lang w:val="en-US"/>
        </w:rPr>
        <w:t>)</w:t>
      </w:r>
      <w:r w:rsidR="00C51251" w:rsidRPr="004842AA">
        <w:rPr>
          <w:rFonts w:ascii="Times New Roman" w:hAnsi="Times New Roman" w:cs="Times New Roman"/>
          <w:lang w:val="en-US"/>
        </w:rPr>
        <w:t>.</w:t>
      </w:r>
      <w:r w:rsidR="00E27D77" w:rsidRPr="004842AA">
        <w:rPr>
          <w:rFonts w:ascii="Times New Roman" w:hAnsi="Times New Roman" w:cs="Times New Roman"/>
          <w:lang w:val="en-US"/>
        </w:rPr>
        <w:t xml:space="preserve">  </w:t>
      </w:r>
      <w:r w:rsidR="00C51251" w:rsidRPr="004842AA">
        <w:rPr>
          <w:rFonts w:ascii="Times New Roman" w:hAnsi="Times New Roman" w:cs="Times New Roman"/>
          <w:lang w:val="en-US"/>
        </w:rPr>
        <w:t xml:space="preserve">But </w:t>
      </w:r>
      <w:r w:rsidR="00E27D77" w:rsidRPr="004842AA">
        <w:rPr>
          <w:rFonts w:ascii="Times New Roman" w:hAnsi="Times New Roman" w:cs="Times New Roman"/>
          <w:lang w:val="en-US"/>
        </w:rPr>
        <w:t xml:space="preserve">under pressure from the hardline unionist DUP, upon whose parliamentary votes its </w:t>
      </w:r>
      <w:r w:rsidR="00CB1BDB" w:rsidRPr="004842AA">
        <w:rPr>
          <w:rFonts w:ascii="Times New Roman" w:hAnsi="Times New Roman" w:cs="Times New Roman"/>
          <w:lang w:val="en-US"/>
        </w:rPr>
        <w:t xml:space="preserve">very </w:t>
      </w:r>
      <w:r w:rsidR="00E27D77" w:rsidRPr="004842AA">
        <w:rPr>
          <w:rFonts w:ascii="Times New Roman" w:hAnsi="Times New Roman" w:cs="Times New Roman"/>
          <w:lang w:val="en-US"/>
        </w:rPr>
        <w:t xml:space="preserve">survival now depended, the UK </w:t>
      </w:r>
      <w:r w:rsidR="00C51251" w:rsidRPr="004842AA">
        <w:rPr>
          <w:rFonts w:ascii="Times New Roman" w:hAnsi="Times New Roman" w:cs="Times New Roman"/>
          <w:lang w:val="en-US"/>
        </w:rPr>
        <w:t xml:space="preserve">Government </w:t>
      </w:r>
      <w:r w:rsidR="00E46F4B">
        <w:rPr>
          <w:rFonts w:ascii="Times New Roman" w:hAnsi="Times New Roman" w:cs="Times New Roman"/>
          <w:lang w:val="en-US"/>
        </w:rPr>
        <w:t>also</w:t>
      </w:r>
      <w:r w:rsidR="00CB1BDB" w:rsidRPr="004842AA">
        <w:rPr>
          <w:rFonts w:ascii="Times New Roman" w:hAnsi="Times New Roman" w:cs="Times New Roman"/>
          <w:lang w:val="en-US"/>
        </w:rPr>
        <w:t xml:space="preserve"> </w:t>
      </w:r>
      <w:r w:rsidR="00C51251" w:rsidRPr="004842AA">
        <w:rPr>
          <w:rFonts w:ascii="Times New Roman" w:hAnsi="Times New Roman" w:cs="Times New Roman"/>
          <w:lang w:val="en-US"/>
        </w:rPr>
        <w:t xml:space="preserve">made a third promise: Northern Ireland </w:t>
      </w:r>
      <w:r w:rsidR="00E27D77" w:rsidRPr="004842AA">
        <w:rPr>
          <w:rFonts w:ascii="Times New Roman" w:hAnsi="Times New Roman" w:cs="Times New Roman"/>
          <w:lang w:val="en-US"/>
        </w:rPr>
        <w:t xml:space="preserve">would </w:t>
      </w:r>
      <w:r w:rsidR="00C51251" w:rsidRPr="004842AA">
        <w:rPr>
          <w:rFonts w:ascii="Times New Roman" w:hAnsi="Times New Roman" w:cs="Times New Roman"/>
          <w:lang w:val="en-US"/>
        </w:rPr>
        <w:t xml:space="preserve">be leaving the Customs Union and the Single Market along with the rest of the UK and there </w:t>
      </w:r>
      <w:r w:rsidR="00E27D77" w:rsidRPr="004842AA">
        <w:rPr>
          <w:rFonts w:ascii="Times New Roman" w:hAnsi="Times New Roman" w:cs="Times New Roman"/>
          <w:lang w:val="en-US"/>
        </w:rPr>
        <w:t xml:space="preserve">would </w:t>
      </w:r>
      <w:r w:rsidR="00C51251" w:rsidRPr="004842AA">
        <w:rPr>
          <w:rFonts w:ascii="Times New Roman" w:hAnsi="Times New Roman" w:cs="Times New Roman"/>
          <w:lang w:val="en-US"/>
        </w:rPr>
        <w:t>be no new barriers to trade erected within the UK itself.</w:t>
      </w:r>
      <w:r w:rsidR="00E46F4B">
        <w:rPr>
          <w:rStyle w:val="FootnoteReference"/>
          <w:rFonts w:ascii="Times New Roman" w:hAnsi="Times New Roman" w:cs="Times New Roman"/>
          <w:lang w:val="en-US"/>
        </w:rPr>
        <w:footnoteReference w:id="268"/>
      </w:r>
      <w:r w:rsidR="00C51251" w:rsidRPr="004842AA">
        <w:rPr>
          <w:rFonts w:ascii="Times New Roman" w:hAnsi="Times New Roman" w:cs="Times New Roman"/>
          <w:lang w:val="en-US"/>
        </w:rPr>
        <w:t xml:space="preserve">  </w:t>
      </w:r>
      <w:r w:rsidR="00CB1BDB" w:rsidRPr="004842AA">
        <w:rPr>
          <w:rFonts w:ascii="Times New Roman" w:hAnsi="Times New Roman" w:cs="Times New Roman"/>
          <w:lang w:val="en-US"/>
        </w:rPr>
        <w:t>Yet surely</w:t>
      </w:r>
      <w:r w:rsidR="00E27D77" w:rsidRPr="004842AA">
        <w:rPr>
          <w:rFonts w:ascii="Times New Roman" w:hAnsi="Times New Roman" w:cs="Times New Roman"/>
          <w:lang w:val="en-US"/>
        </w:rPr>
        <w:t xml:space="preserve"> </w:t>
      </w:r>
      <w:r w:rsidR="00C51251" w:rsidRPr="004842AA">
        <w:rPr>
          <w:rFonts w:ascii="Times New Roman" w:hAnsi="Times New Roman" w:cs="Times New Roman"/>
          <w:lang w:val="en-US"/>
        </w:rPr>
        <w:t xml:space="preserve">the only way to keep that third promise </w:t>
      </w:r>
      <w:r w:rsidR="00E27D77" w:rsidRPr="004842AA">
        <w:rPr>
          <w:rFonts w:ascii="Times New Roman" w:hAnsi="Times New Roman" w:cs="Times New Roman"/>
          <w:lang w:val="en-US"/>
        </w:rPr>
        <w:t>was</w:t>
      </w:r>
      <w:r w:rsidR="00C51251" w:rsidRPr="004842AA">
        <w:rPr>
          <w:rFonts w:ascii="Times New Roman" w:hAnsi="Times New Roman" w:cs="Times New Roman"/>
          <w:lang w:val="en-US"/>
        </w:rPr>
        <w:t>… for the UK as a whole to remain within the Customs Union and the Single Market</w:t>
      </w:r>
      <w:r w:rsidR="00CB1BDB" w:rsidRPr="004842AA">
        <w:rPr>
          <w:rFonts w:ascii="Times New Roman" w:hAnsi="Times New Roman" w:cs="Times New Roman"/>
          <w:lang w:val="en-US"/>
        </w:rPr>
        <w:t xml:space="preserve">!  </w:t>
      </w:r>
    </w:p>
    <w:p w14:paraId="7F13A227" w14:textId="3D5A5319" w:rsidR="00C51251" w:rsidRPr="004842AA" w:rsidRDefault="00CB1BDB" w:rsidP="00BE6612">
      <w:pPr>
        <w:ind w:firstLine="720"/>
        <w:jc w:val="both"/>
        <w:rPr>
          <w:rFonts w:ascii="Times New Roman" w:hAnsi="Times New Roman" w:cs="Times New Roman"/>
        </w:rPr>
      </w:pPr>
      <w:r w:rsidRPr="004842AA">
        <w:rPr>
          <w:rFonts w:ascii="Times New Roman" w:hAnsi="Times New Roman" w:cs="Times New Roman"/>
          <w:lang w:val="en-US"/>
        </w:rPr>
        <w:lastRenderedPageBreak/>
        <w:t>Having promised</w:t>
      </w:r>
      <w:r w:rsidR="00C51251" w:rsidRPr="004842AA">
        <w:rPr>
          <w:rFonts w:ascii="Times New Roman" w:hAnsi="Times New Roman" w:cs="Times New Roman"/>
          <w:lang w:val="en-US"/>
        </w:rPr>
        <w:t xml:space="preserve"> </w:t>
      </w:r>
      <w:r w:rsidRPr="004842AA">
        <w:rPr>
          <w:rFonts w:ascii="Times New Roman" w:hAnsi="Times New Roman" w:cs="Times New Roman"/>
          <w:lang w:val="en-US"/>
        </w:rPr>
        <w:t xml:space="preserve">entirely </w:t>
      </w:r>
      <w:r w:rsidR="00C51251" w:rsidRPr="004842AA">
        <w:rPr>
          <w:rFonts w:ascii="Times New Roman" w:hAnsi="Times New Roman" w:cs="Times New Roman"/>
          <w:lang w:val="en-US"/>
        </w:rPr>
        <w:t xml:space="preserve">irreconcilable </w:t>
      </w:r>
      <w:r w:rsidRPr="004842AA">
        <w:rPr>
          <w:rFonts w:ascii="Times New Roman" w:hAnsi="Times New Roman" w:cs="Times New Roman"/>
          <w:lang w:val="en-US"/>
        </w:rPr>
        <w:t xml:space="preserve">outcomes to different constituencies of people, the UK Government was </w:t>
      </w:r>
      <w:r w:rsidR="005014ED" w:rsidRPr="004842AA">
        <w:rPr>
          <w:rFonts w:ascii="Times New Roman" w:hAnsi="Times New Roman" w:cs="Times New Roman"/>
          <w:lang w:val="en-US"/>
        </w:rPr>
        <w:t xml:space="preserve">then </w:t>
      </w:r>
      <w:r w:rsidRPr="004842AA">
        <w:rPr>
          <w:rFonts w:ascii="Times New Roman" w:hAnsi="Times New Roman" w:cs="Times New Roman"/>
          <w:lang w:val="en-US"/>
        </w:rPr>
        <w:t xml:space="preserve">obliged to </w:t>
      </w:r>
      <w:r w:rsidR="005014ED" w:rsidRPr="004842AA">
        <w:rPr>
          <w:rFonts w:ascii="Times New Roman" w:hAnsi="Times New Roman" w:cs="Times New Roman"/>
          <w:lang w:val="en-US"/>
        </w:rPr>
        <w:t xml:space="preserve">negotiate </w:t>
      </w:r>
      <w:r w:rsidRPr="004842AA">
        <w:rPr>
          <w:rFonts w:ascii="Times New Roman" w:hAnsi="Times New Roman" w:cs="Times New Roman"/>
          <w:lang w:val="en-US"/>
        </w:rPr>
        <w:t xml:space="preserve">some </w:t>
      </w:r>
      <w:r w:rsidR="005014ED" w:rsidRPr="004842AA">
        <w:rPr>
          <w:rFonts w:ascii="Times New Roman" w:hAnsi="Times New Roman" w:cs="Times New Roman"/>
          <w:lang w:val="en-US"/>
        </w:rPr>
        <w:t xml:space="preserve">more </w:t>
      </w:r>
      <w:r w:rsidRPr="004842AA">
        <w:rPr>
          <w:rFonts w:ascii="Times New Roman" w:hAnsi="Times New Roman" w:cs="Times New Roman"/>
          <w:lang w:val="en-US"/>
        </w:rPr>
        <w:t xml:space="preserve">credible solution </w:t>
      </w:r>
      <w:r w:rsidR="005014ED" w:rsidRPr="004842AA">
        <w:rPr>
          <w:rFonts w:ascii="Times New Roman" w:hAnsi="Times New Roman" w:cs="Times New Roman"/>
          <w:lang w:val="en-US"/>
        </w:rPr>
        <w:t xml:space="preserve">directly </w:t>
      </w:r>
      <w:r w:rsidRPr="004842AA">
        <w:rPr>
          <w:rFonts w:ascii="Times New Roman" w:hAnsi="Times New Roman" w:cs="Times New Roman"/>
          <w:lang w:val="en-US"/>
        </w:rPr>
        <w:t>with the Union.</w:t>
      </w:r>
      <w:r w:rsidR="00D24240">
        <w:rPr>
          <w:rStyle w:val="FootnoteReference"/>
          <w:rFonts w:ascii="Times New Roman" w:hAnsi="Times New Roman" w:cs="Times New Roman"/>
          <w:lang w:val="en-US"/>
        </w:rPr>
        <w:footnoteReference w:id="269"/>
      </w:r>
      <w:r w:rsidRPr="004842AA">
        <w:rPr>
          <w:rFonts w:ascii="Times New Roman" w:hAnsi="Times New Roman" w:cs="Times New Roman"/>
          <w:lang w:val="en-US"/>
        </w:rPr>
        <w:t xml:space="preserve">  In their Joint Report of </w:t>
      </w:r>
      <w:r w:rsidR="00C51251" w:rsidRPr="004842AA">
        <w:rPr>
          <w:rFonts w:ascii="Times New Roman" w:hAnsi="Times New Roman" w:cs="Times New Roman"/>
          <w:lang w:val="en-US"/>
        </w:rPr>
        <w:t xml:space="preserve">December 2017, </w:t>
      </w:r>
      <w:r w:rsidRPr="004842AA">
        <w:rPr>
          <w:rFonts w:ascii="Times New Roman" w:hAnsi="Times New Roman" w:cs="Times New Roman"/>
          <w:lang w:val="en-US"/>
        </w:rPr>
        <w:t xml:space="preserve">the Commission and the UK </w:t>
      </w:r>
      <w:r w:rsidR="00C51251" w:rsidRPr="004842AA">
        <w:rPr>
          <w:rFonts w:ascii="Times New Roman" w:hAnsi="Times New Roman" w:cs="Times New Roman"/>
          <w:lang w:val="en-US"/>
        </w:rPr>
        <w:t xml:space="preserve">Government </w:t>
      </w:r>
      <w:r w:rsidRPr="004842AA">
        <w:rPr>
          <w:rFonts w:ascii="Times New Roman" w:hAnsi="Times New Roman" w:cs="Times New Roman"/>
          <w:lang w:val="en-US"/>
        </w:rPr>
        <w:t xml:space="preserve">agreed that </w:t>
      </w:r>
      <w:r w:rsidR="00C51251" w:rsidRPr="004842AA">
        <w:rPr>
          <w:rFonts w:ascii="Times New Roman" w:hAnsi="Times New Roman" w:cs="Times New Roman"/>
          <w:lang w:val="en-US"/>
        </w:rPr>
        <w:t xml:space="preserve">a </w:t>
      </w:r>
      <w:r w:rsidRPr="004842AA">
        <w:rPr>
          <w:rFonts w:ascii="Times New Roman" w:hAnsi="Times New Roman" w:cs="Times New Roman"/>
          <w:lang w:val="en-US"/>
        </w:rPr>
        <w:t xml:space="preserve">“hard border” for goods </w:t>
      </w:r>
      <w:r w:rsidR="008D242F" w:rsidRPr="004842AA">
        <w:rPr>
          <w:rFonts w:ascii="Times New Roman" w:hAnsi="Times New Roman" w:cs="Times New Roman"/>
          <w:lang w:val="en-US"/>
        </w:rPr>
        <w:t>would best</w:t>
      </w:r>
      <w:r w:rsidRPr="004842AA">
        <w:rPr>
          <w:rFonts w:ascii="Times New Roman" w:hAnsi="Times New Roman" w:cs="Times New Roman"/>
          <w:lang w:val="en-US"/>
        </w:rPr>
        <w:t xml:space="preserve"> be avoided through </w:t>
      </w:r>
      <w:r w:rsidR="00C51251" w:rsidRPr="004842AA">
        <w:rPr>
          <w:rFonts w:ascii="Times New Roman" w:hAnsi="Times New Roman" w:cs="Times New Roman"/>
          <w:lang w:val="en-US"/>
        </w:rPr>
        <w:t xml:space="preserve">the </w:t>
      </w:r>
      <w:r w:rsidR="008D242F" w:rsidRPr="004842AA">
        <w:rPr>
          <w:rFonts w:ascii="Times New Roman" w:hAnsi="Times New Roman" w:cs="Times New Roman"/>
          <w:lang w:val="en-US"/>
        </w:rPr>
        <w:t xml:space="preserve">overall future </w:t>
      </w:r>
      <w:r w:rsidRPr="004842AA">
        <w:rPr>
          <w:rFonts w:ascii="Times New Roman" w:hAnsi="Times New Roman" w:cs="Times New Roman"/>
          <w:lang w:val="en-US"/>
        </w:rPr>
        <w:t xml:space="preserve">EU-UK </w:t>
      </w:r>
      <w:r w:rsidR="00C51251" w:rsidRPr="004842AA">
        <w:rPr>
          <w:rFonts w:ascii="Times New Roman" w:hAnsi="Times New Roman" w:cs="Times New Roman"/>
          <w:lang w:val="en-US"/>
        </w:rPr>
        <w:t>relationship</w:t>
      </w:r>
      <w:r w:rsidR="008D242F" w:rsidRPr="004842AA">
        <w:rPr>
          <w:rFonts w:ascii="Times New Roman" w:hAnsi="Times New Roman" w:cs="Times New Roman"/>
          <w:lang w:val="en-US"/>
        </w:rPr>
        <w:t>.</w:t>
      </w:r>
      <w:r w:rsidR="005014ED" w:rsidRPr="004842AA">
        <w:rPr>
          <w:rStyle w:val="FootnoteReference"/>
          <w:rFonts w:ascii="Times New Roman" w:hAnsi="Times New Roman" w:cs="Times New Roman"/>
          <w:lang w:val="en-US"/>
        </w:rPr>
        <w:footnoteReference w:id="270"/>
      </w:r>
      <w:r w:rsidR="008D242F" w:rsidRPr="004842AA">
        <w:rPr>
          <w:rFonts w:ascii="Times New Roman" w:hAnsi="Times New Roman" w:cs="Times New Roman"/>
          <w:lang w:val="en-US"/>
        </w:rPr>
        <w:t xml:space="preserve">  </w:t>
      </w:r>
      <w:r w:rsidR="008D242F" w:rsidRPr="004842AA">
        <w:rPr>
          <w:rFonts w:ascii="Times New Roman" w:hAnsi="Times New Roman" w:cs="Times New Roman"/>
        </w:rPr>
        <w:t xml:space="preserve">However, those negotiations were not due to commence until after withdrawal </w:t>
      </w:r>
      <w:r w:rsidR="00F06077">
        <w:rPr>
          <w:rFonts w:ascii="Times New Roman" w:hAnsi="Times New Roman" w:cs="Times New Roman"/>
        </w:rPr>
        <w:t xml:space="preserve">was </w:t>
      </w:r>
      <w:r w:rsidR="008D242F" w:rsidRPr="004842AA">
        <w:rPr>
          <w:rFonts w:ascii="Times New Roman" w:hAnsi="Times New Roman" w:cs="Times New Roman"/>
        </w:rPr>
        <w:t>completed, m</w:t>
      </w:r>
      <w:r w:rsidR="00E46F4B">
        <w:rPr>
          <w:rFonts w:ascii="Times New Roman" w:hAnsi="Times New Roman" w:cs="Times New Roman"/>
        </w:rPr>
        <w:t>ight take a considerable period</w:t>
      </w:r>
      <w:r w:rsidR="008D242F" w:rsidRPr="004842AA">
        <w:rPr>
          <w:rFonts w:ascii="Times New Roman" w:hAnsi="Times New Roman" w:cs="Times New Roman"/>
        </w:rPr>
        <w:t xml:space="preserve"> of time, might not </w:t>
      </w:r>
      <w:r w:rsidR="00F06077">
        <w:rPr>
          <w:rFonts w:ascii="Times New Roman" w:hAnsi="Times New Roman" w:cs="Times New Roman"/>
        </w:rPr>
        <w:t xml:space="preserve">find </w:t>
      </w:r>
      <w:r w:rsidR="008D242F" w:rsidRPr="004842AA">
        <w:rPr>
          <w:rFonts w:ascii="Times New Roman" w:hAnsi="Times New Roman" w:cs="Times New Roman"/>
        </w:rPr>
        <w:t xml:space="preserve">any workable solution to the Irish border problem and indeed might not produce any final agreement at all.  To guard against those contingencies, the two parties therefore agreed that the Agreement should include a “backstop” </w:t>
      </w:r>
      <w:r w:rsidR="005014ED" w:rsidRPr="004842AA">
        <w:rPr>
          <w:rFonts w:ascii="Times New Roman" w:hAnsi="Times New Roman" w:cs="Times New Roman"/>
        </w:rPr>
        <w:t xml:space="preserve">to </w:t>
      </w:r>
      <w:r w:rsidR="008D242F" w:rsidRPr="004842AA">
        <w:rPr>
          <w:rFonts w:ascii="Times New Roman" w:hAnsi="Times New Roman" w:cs="Times New Roman"/>
        </w:rPr>
        <w:t xml:space="preserve">prevent the return of a hard border </w:t>
      </w:r>
      <w:r w:rsidR="005014ED" w:rsidRPr="004842AA">
        <w:rPr>
          <w:rFonts w:ascii="Times New Roman" w:hAnsi="Times New Roman" w:cs="Times New Roman"/>
        </w:rPr>
        <w:t xml:space="preserve">across the island of </w:t>
      </w:r>
      <w:r w:rsidR="008D242F" w:rsidRPr="004842AA">
        <w:rPr>
          <w:rFonts w:ascii="Times New Roman" w:hAnsi="Times New Roman" w:cs="Times New Roman"/>
        </w:rPr>
        <w:t>Ireland in any event</w:t>
      </w:r>
      <w:r w:rsidR="005014ED" w:rsidRPr="004842AA">
        <w:rPr>
          <w:rFonts w:ascii="Times New Roman" w:hAnsi="Times New Roman" w:cs="Times New Roman"/>
        </w:rPr>
        <w:t xml:space="preserve">.  In particular, </w:t>
      </w:r>
      <w:r w:rsidR="00C51251" w:rsidRPr="004842AA">
        <w:rPr>
          <w:rFonts w:ascii="Times New Roman" w:hAnsi="Times New Roman" w:cs="Times New Roman"/>
        </w:rPr>
        <w:t xml:space="preserve">“the United Kingdom </w:t>
      </w:r>
      <w:r w:rsidR="005014ED" w:rsidRPr="004842AA">
        <w:rPr>
          <w:rFonts w:ascii="Times New Roman" w:hAnsi="Times New Roman" w:cs="Times New Roman"/>
        </w:rPr>
        <w:t xml:space="preserve">[would] </w:t>
      </w:r>
      <w:proofErr w:type="gramStart"/>
      <w:r w:rsidR="00C51251" w:rsidRPr="004842AA">
        <w:rPr>
          <w:rFonts w:ascii="Times New Roman" w:hAnsi="Times New Roman" w:cs="Times New Roman"/>
        </w:rPr>
        <w:t>maintain</w:t>
      </w:r>
      <w:proofErr w:type="gramEnd"/>
      <w:r w:rsidR="00C51251" w:rsidRPr="004842AA">
        <w:rPr>
          <w:rFonts w:ascii="Times New Roman" w:hAnsi="Times New Roman" w:cs="Times New Roman"/>
        </w:rPr>
        <w:t xml:space="preserve"> full alignment with those rules of the Internal Market and the Customs Union which, now or in the future, support North-South cooperation, the all-island economy and the protection of the </w:t>
      </w:r>
      <w:r w:rsidR="005014ED" w:rsidRPr="004842AA">
        <w:rPr>
          <w:rFonts w:ascii="Times New Roman" w:hAnsi="Times New Roman" w:cs="Times New Roman"/>
        </w:rPr>
        <w:t>[Good Friday]</w:t>
      </w:r>
      <w:r w:rsidR="00C51251" w:rsidRPr="004842AA">
        <w:rPr>
          <w:rFonts w:ascii="Times New Roman" w:hAnsi="Times New Roman" w:cs="Times New Roman"/>
        </w:rPr>
        <w:t xml:space="preserve"> Agreement</w:t>
      </w:r>
      <w:r w:rsidRPr="004842AA">
        <w:rPr>
          <w:rFonts w:ascii="Times New Roman" w:hAnsi="Times New Roman" w:cs="Times New Roman"/>
        </w:rPr>
        <w:t>”.</w:t>
      </w:r>
      <w:r w:rsidRPr="004842AA">
        <w:rPr>
          <w:rStyle w:val="FootnoteReference"/>
          <w:rFonts w:ascii="Times New Roman" w:hAnsi="Times New Roman" w:cs="Times New Roman"/>
        </w:rPr>
        <w:footnoteReference w:id="271"/>
      </w:r>
      <w:r w:rsidR="00C51251" w:rsidRPr="004842AA">
        <w:rPr>
          <w:rFonts w:ascii="Times New Roman" w:hAnsi="Times New Roman" w:cs="Times New Roman"/>
        </w:rPr>
        <w:t xml:space="preserve"> </w:t>
      </w:r>
    </w:p>
    <w:p w14:paraId="57165104" w14:textId="77777777" w:rsidR="00C51251" w:rsidRPr="004842AA" w:rsidRDefault="00C51251" w:rsidP="004842AA">
      <w:pPr>
        <w:widowControl w:val="0"/>
        <w:autoSpaceDE w:val="0"/>
        <w:autoSpaceDN w:val="0"/>
        <w:adjustRightInd w:val="0"/>
        <w:jc w:val="both"/>
        <w:rPr>
          <w:rFonts w:ascii="Times New Roman" w:hAnsi="Times New Roman" w:cs="Times New Roman"/>
          <w:lang w:val="en-US"/>
        </w:rPr>
      </w:pPr>
    </w:p>
    <w:p w14:paraId="6752F9A0" w14:textId="46C933B0" w:rsidR="005014ED" w:rsidRPr="004842AA" w:rsidRDefault="005014ED" w:rsidP="004842AA">
      <w:pPr>
        <w:jc w:val="both"/>
        <w:rPr>
          <w:rFonts w:ascii="Times New Roman" w:hAnsi="Times New Roman" w:cs="Times New Roman"/>
          <w:i/>
        </w:rPr>
      </w:pPr>
      <w:r w:rsidRPr="004842AA">
        <w:rPr>
          <w:rFonts w:ascii="Times New Roman" w:hAnsi="Times New Roman" w:cs="Times New Roman"/>
          <w:i/>
        </w:rPr>
        <w:t>3.4.3.</w:t>
      </w:r>
      <w:r w:rsidRPr="004842AA">
        <w:rPr>
          <w:rFonts w:ascii="Times New Roman" w:hAnsi="Times New Roman" w:cs="Times New Roman"/>
          <w:i/>
        </w:rPr>
        <w:tab/>
        <w:t>One, two, then three “backstop” models</w:t>
      </w:r>
    </w:p>
    <w:p w14:paraId="06D2FD7B" w14:textId="77777777" w:rsidR="005014ED" w:rsidRPr="004842AA" w:rsidRDefault="005014ED" w:rsidP="004842AA">
      <w:pPr>
        <w:widowControl w:val="0"/>
        <w:autoSpaceDE w:val="0"/>
        <w:autoSpaceDN w:val="0"/>
        <w:adjustRightInd w:val="0"/>
        <w:jc w:val="both"/>
        <w:rPr>
          <w:rFonts w:ascii="Times New Roman" w:hAnsi="Times New Roman" w:cs="Times New Roman"/>
          <w:lang w:val="en-US"/>
        </w:rPr>
      </w:pPr>
    </w:p>
    <w:p w14:paraId="463F2680" w14:textId="037526BA" w:rsidR="00BE6612" w:rsidRDefault="005014ED" w:rsidP="004842AA">
      <w:pPr>
        <w:widowControl w:val="0"/>
        <w:autoSpaceDE w:val="0"/>
        <w:autoSpaceDN w:val="0"/>
        <w:adjustRightInd w:val="0"/>
        <w:jc w:val="both"/>
        <w:rPr>
          <w:rFonts w:ascii="Times New Roman" w:hAnsi="Times New Roman" w:cs="Times New Roman"/>
          <w:lang w:val="en-US"/>
        </w:rPr>
      </w:pPr>
      <w:r w:rsidRPr="004842AA">
        <w:rPr>
          <w:rFonts w:ascii="Times New Roman" w:hAnsi="Times New Roman" w:cs="Times New Roman"/>
          <w:lang w:val="en-US"/>
        </w:rPr>
        <w:t xml:space="preserve">It was </w:t>
      </w:r>
      <w:r w:rsidR="00F62DA8" w:rsidRPr="004842AA">
        <w:rPr>
          <w:rFonts w:ascii="Times New Roman" w:hAnsi="Times New Roman" w:cs="Times New Roman"/>
          <w:lang w:val="en-US"/>
        </w:rPr>
        <w:t xml:space="preserve">obvious </w:t>
      </w:r>
      <w:r w:rsidRPr="004842AA">
        <w:rPr>
          <w:rFonts w:ascii="Times New Roman" w:hAnsi="Times New Roman" w:cs="Times New Roman"/>
          <w:lang w:val="en-US"/>
        </w:rPr>
        <w:t xml:space="preserve">that the </w:t>
      </w:r>
      <w:r w:rsidR="00C51251" w:rsidRPr="004842AA">
        <w:rPr>
          <w:rFonts w:ascii="Times New Roman" w:hAnsi="Times New Roman" w:cs="Times New Roman"/>
          <w:lang w:val="en-US"/>
        </w:rPr>
        <w:t>UK Government</w:t>
      </w:r>
      <w:r w:rsidRPr="004842AA">
        <w:rPr>
          <w:rFonts w:ascii="Times New Roman" w:hAnsi="Times New Roman" w:cs="Times New Roman"/>
          <w:lang w:val="en-US"/>
        </w:rPr>
        <w:t xml:space="preserve"> would </w:t>
      </w:r>
      <w:r w:rsidR="00F62DA8" w:rsidRPr="004842AA">
        <w:rPr>
          <w:rFonts w:ascii="Times New Roman" w:hAnsi="Times New Roman" w:cs="Times New Roman"/>
          <w:lang w:val="en-US"/>
        </w:rPr>
        <w:t xml:space="preserve">struggle to </w:t>
      </w:r>
      <w:r w:rsidRPr="004842AA">
        <w:rPr>
          <w:rFonts w:ascii="Times New Roman" w:hAnsi="Times New Roman" w:cs="Times New Roman"/>
          <w:lang w:val="en-US"/>
        </w:rPr>
        <w:t xml:space="preserve">present </w:t>
      </w:r>
      <w:r w:rsidR="00C51251" w:rsidRPr="004842AA">
        <w:rPr>
          <w:rFonts w:ascii="Times New Roman" w:hAnsi="Times New Roman" w:cs="Times New Roman"/>
          <w:lang w:val="en-US"/>
        </w:rPr>
        <w:t xml:space="preserve">credible </w:t>
      </w:r>
      <w:r w:rsidRPr="004842AA">
        <w:rPr>
          <w:rFonts w:ascii="Times New Roman" w:hAnsi="Times New Roman" w:cs="Times New Roman"/>
          <w:lang w:val="en-US"/>
        </w:rPr>
        <w:t xml:space="preserve">proposals for a future economic </w:t>
      </w:r>
      <w:r w:rsidR="00F62DA8" w:rsidRPr="004842AA">
        <w:rPr>
          <w:rFonts w:ascii="Times New Roman" w:hAnsi="Times New Roman" w:cs="Times New Roman"/>
          <w:lang w:val="en-US"/>
        </w:rPr>
        <w:t>relationship that c</w:t>
      </w:r>
      <w:r w:rsidRPr="004842AA">
        <w:rPr>
          <w:rFonts w:ascii="Times New Roman" w:hAnsi="Times New Roman" w:cs="Times New Roman"/>
          <w:lang w:val="en-US"/>
        </w:rPr>
        <w:t>ould simultaneously permit the UK to leave the Customs Union and the Single Market</w:t>
      </w:r>
      <w:r w:rsidR="00E46F4B">
        <w:rPr>
          <w:rFonts w:ascii="Times New Roman" w:hAnsi="Times New Roman" w:cs="Times New Roman"/>
          <w:lang w:val="en-US"/>
        </w:rPr>
        <w:t>,</w:t>
      </w:r>
      <w:r w:rsidRPr="004842AA">
        <w:rPr>
          <w:rFonts w:ascii="Times New Roman" w:hAnsi="Times New Roman" w:cs="Times New Roman"/>
          <w:lang w:val="en-US"/>
        </w:rPr>
        <w:t xml:space="preserve"> </w:t>
      </w:r>
      <w:r w:rsidR="00F06077">
        <w:rPr>
          <w:rFonts w:ascii="Times New Roman" w:hAnsi="Times New Roman" w:cs="Times New Roman"/>
          <w:lang w:val="en-US"/>
        </w:rPr>
        <w:t xml:space="preserve">yet </w:t>
      </w:r>
      <w:r w:rsidRPr="004842AA">
        <w:rPr>
          <w:rFonts w:ascii="Times New Roman" w:hAnsi="Times New Roman" w:cs="Times New Roman"/>
          <w:lang w:val="en-US"/>
        </w:rPr>
        <w:t>without introducing trade barriers between the Union and the UK as a whole, and therefore between the Republic and the North in particular.</w:t>
      </w:r>
      <w:r w:rsidRPr="004842AA">
        <w:rPr>
          <w:rStyle w:val="FootnoteReference"/>
          <w:rFonts w:ascii="Times New Roman" w:hAnsi="Times New Roman" w:cs="Times New Roman"/>
          <w:lang w:val="en-US"/>
        </w:rPr>
        <w:footnoteReference w:id="272"/>
      </w:r>
      <w:r w:rsidRPr="004842AA">
        <w:rPr>
          <w:rFonts w:ascii="Times New Roman" w:hAnsi="Times New Roman" w:cs="Times New Roman"/>
          <w:lang w:val="en-US"/>
        </w:rPr>
        <w:t xml:space="preserve">  </w:t>
      </w:r>
      <w:r w:rsidR="00F62DA8" w:rsidRPr="004842AA">
        <w:rPr>
          <w:rFonts w:ascii="Times New Roman" w:hAnsi="Times New Roman" w:cs="Times New Roman"/>
          <w:lang w:val="en-US"/>
        </w:rPr>
        <w:t xml:space="preserve">But </w:t>
      </w:r>
      <w:r w:rsidR="00F06077">
        <w:rPr>
          <w:rFonts w:ascii="Times New Roman" w:hAnsi="Times New Roman" w:cs="Times New Roman"/>
          <w:lang w:val="en-US"/>
        </w:rPr>
        <w:t>al</w:t>
      </w:r>
      <w:r w:rsidR="00F62DA8" w:rsidRPr="004842AA">
        <w:rPr>
          <w:rFonts w:ascii="Times New Roman" w:hAnsi="Times New Roman" w:cs="Times New Roman"/>
          <w:lang w:val="en-US"/>
        </w:rPr>
        <w:t xml:space="preserve">though that only increased the importance of the </w:t>
      </w:r>
      <w:r w:rsidR="00203FC1" w:rsidRPr="004842AA">
        <w:rPr>
          <w:rFonts w:ascii="Times New Roman" w:hAnsi="Times New Roman" w:cs="Times New Roman"/>
          <w:lang w:val="en-US"/>
        </w:rPr>
        <w:t xml:space="preserve">default guarantee provided by the </w:t>
      </w:r>
      <w:r w:rsidR="00F62DA8" w:rsidRPr="004842AA">
        <w:rPr>
          <w:rFonts w:ascii="Times New Roman" w:hAnsi="Times New Roman" w:cs="Times New Roman"/>
          <w:lang w:val="en-US"/>
        </w:rPr>
        <w:t xml:space="preserve">“backstop”, </w:t>
      </w:r>
      <w:r w:rsidRPr="004842AA">
        <w:rPr>
          <w:rFonts w:ascii="Times New Roman" w:hAnsi="Times New Roman" w:cs="Times New Roman"/>
          <w:lang w:val="en-US"/>
        </w:rPr>
        <w:t xml:space="preserve">finding an acceptable </w:t>
      </w:r>
      <w:r w:rsidR="00F62DA8" w:rsidRPr="004842AA">
        <w:rPr>
          <w:rFonts w:ascii="Times New Roman" w:hAnsi="Times New Roman" w:cs="Times New Roman"/>
          <w:lang w:val="en-US"/>
        </w:rPr>
        <w:t xml:space="preserve">model </w:t>
      </w:r>
      <w:r w:rsidRPr="004842AA">
        <w:rPr>
          <w:rFonts w:ascii="Times New Roman" w:hAnsi="Times New Roman" w:cs="Times New Roman"/>
          <w:lang w:val="en-US"/>
        </w:rPr>
        <w:t xml:space="preserve">for inclusion in the Agreement </w:t>
      </w:r>
      <w:r w:rsidR="00F62DA8" w:rsidRPr="004842AA">
        <w:rPr>
          <w:rFonts w:ascii="Times New Roman" w:hAnsi="Times New Roman" w:cs="Times New Roman"/>
          <w:lang w:val="en-US"/>
        </w:rPr>
        <w:t>proved a torturous</w:t>
      </w:r>
      <w:r w:rsidRPr="004842AA">
        <w:rPr>
          <w:rFonts w:ascii="Times New Roman" w:hAnsi="Times New Roman" w:cs="Times New Roman"/>
          <w:lang w:val="en-US"/>
        </w:rPr>
        <w:t xml:space="preserve"> affair.  Three </w:t>
      </w:r>
      <w:r w:rsidR="00C51251" w:rsidRPr="004842AA">
        <w:rPr>
          <w:rFonts w:ascii="Times New Roman" w:hAnsi="Times New Roman" w:cs="Times New Roman"/>
          <w:lang w:val="en-US"/>
        </w:rPr>
        <w:t>main proposals assumed draft or final legal form</w:t>
      </w:r>
      <w:r w:rsidRPr="004842AA">
        <w:rPr>
          <w:rFonts w:ascii="Times New Roman" w:hAnsi="Times New Roman" w:cs="Times New Roman"/>
          <w:lang w:val="en-US"/>
        </w:rPr>
        <w:t>.</w:t>
      </w:r>
    </w:p>
    <w:p w14:paraId="6FB66BA0" w14:textId="405B52CF" w:rsidR="00BE6612" w:rsidRDefault="00793AA8" w:rsidP="00BE6612">
      <w:pPr>
        <w:widowControl w:val="0"/>
        <w:autoSpaceDE w:val="0"/>
        <w:autoSpaceDN w:val="0"/>
        <w:adjustRightInd w:val="0"/>
        <w:ind w:firstLine="720"/>
        <w:jc w:val="both"/>
        <w:rPr>
          <w:rFonts w:ascii="Times New Roman" w:hAnsi="Times New Roman" w:cs="Times New Roman"/>
          <w:lang w:val="en-US"/>
        </w:rPr>
      </w:pPr>
      <w:r w:rsidRPr="004842AA">
        <w:rPr>
          <w:rFonts w:ascii="Times New Roman" w:hAnsi="Times New Roman" w:cs="Times New Roman"/>
          <w:lang w:val="en-US"/>
        </w:rPr>
        <w:t>To begin with</w:t>
      </w:r>
      <w:r w:rsidR="005014ED" w:rsidRPr="004842AA">
        <w:rPr>
          <w:rFonts w:ascii="Times New Roman" w:hAnsi="Times New Roman" w:cs="Times New Roman"/>
          <w:lang w:val="en-US"/>
        </w:rPr>
        <w:t xml:space="preserve">, </w:t>
      </w:r>
      <w:r w:rsidRPr="004842AA">
        <w:rPr>
          <w:rFonts w:ascii="Times New Roman" w:hAnsi="Times New Roman" w:cs="Times New Roman"/>
          <w:lang w:val="en-US"/>
        </w:rPr>
        <w:t xml:space="preserve">in February 2018, </w:t>
      </w:r>
      <w:r w:rsidR="005014ED" w:rsidRPr="004842AA">
        <w:rPr>
          <w:rFonts w:ascii="Times New Roman" w:hAnsi="Times New Roman" w:cs="Times New Roman"/>
          <w:lang w:val="en-US"/>
        </w:rPr>
        <w:t xml:space="preserve">the Union suggested </w:t>
      </w:r>
      <w:r w:rsidR="00C51251" w:rsidRPr="004842AA">
        <w:rPr>
          <w:rFonts w:ascii="Times New Roman" w:hAnsi="Times New Roman" w:cs="Times New Roman"/>
          <w:lang w:val="en-US"/>
        </w:rPr>
        <w:t xml:space="preserve">a </w:t>
      </w:r>
      <w:r w:rsidR="005014ED" w:rsidRPr="004842AA">
        <w:rPr>
          <w:rFonts w:ascii="Times New Roman" w:hAnsi="Times New Roman" w:cs="Times New Roman"/>
          <w:lang w:val="en-US"/>
        </w:rPr>
        <w:t>Northern Ireland</w:t>
      </w:r>
      <w:r w:rsidR="00C51251" w:rsidRPr="004842AA">
        <w:rPr>
          <w:rFonts w:ascii="Times New Roman" w:hAnsi="Times New Roman" w:cs="Times New Roman"/>
          <w:lang w:val="en-US"/>
        </w:rPr>
        <w:t>-only backstop</w:t>
      </w:r>
      <w:r w:rsidRPr="004842AA">
        <w:rPr>
          <w:rFonts w:ascii="Times New Roman" w:hAnsi="Times New Roman" w:cs="Times New Roman"/>
          <w:lang w:val="en-US"/>
        </w:rPr>
        <w:t xml:space="preserve">: </w:t>
      </w:r>
      <w:r w:rsidR="00C51251" w:rsidRPr="004842AA">
        <w:rPr>
          <w:rFonts w:ascii="Times New Roman" w:hAnsi="Times New Roman" w:cs="Times New Roman"/>
          <w:lang w:val="en-US"/>
        </w:rPr>
        <w:t xml:space="preserve">the establishment of a “common regulatory area” </w:t>
      </w:r>
      <w:r w:rsidRPr="004842AA">
        <w:rPr>
          <w:rFonts w:ascii="Times New Roman" w:hAnsi="Times New Roman" w:cs="Times New Roman"/>
          <w:lang w:val="en-US"/>
        </w:rPr>
        <w:t xml:space="preserve">permitting the free movement of goods </w:t>
      </w:r>
      <w:r w:rsidR="00C51251" w:rsidRPr="004842AA">
        <w:rPr>
          <w:rFonts w:ascii="Times New Roman" w:hAnsi="Times New Roman" w:cs="Times New Roman"/>
          <w:lang w:val="en-US"/>
        </w:rPr>
        <w:t>between</w:t>
      </w:r>
      <w:r w:rsidR="00E46F4B">
        <w:rPr>
          <w:rFonts w:ascii="Times New Roman" w:hAnsi="Times New Roman" w:cs="Times New Roman"/>
          <w:lang w:val="en-US"/>
        </w:rPr>
        <w:t xml:space="preserve"> the Union and Northern Ireland;</w:t>
      </w:r>
      <w:r w:rsidR="00C51251" w:rsidRPr="004842AA">
        <w:rPr>
          <w:rFonts w:ascii="Times New Roman" w:hAnsi="Times New Roman" w:cs="Times New Roman"/>
          <w:lang w:val="en-US"/>
        </w:rPr>
        <w:t xml:space="preserve"> </w:t>
      </w:r>
      <w:r w:rsidRPr="004842AA">
        <w:rPr>
          <w:rFonts w:ascii="Times New Roman" w:hAnsi="Times New Roman" w:cs="Times New Roman"/>
          <w:lang w:val="en-US"/>
        </w:rPr>
        <w:t xml:space="preserve">based on the latter’s continued </w:t>
      </w:r>
      <w:r w:rsidR="00C51251" w:rsidRPr="004842AA">
        <w:rPr>
          <w:rFonts w:ascii="Times New Roman" w:hAnsi="Times New Roman" w:cs="Times New Roman"/>
          <w:lang w:val="en-US"/>
        </w:rPr>
        <w:t>inclusion within the Union customs territory</w:t>
      </w:r>
      <w:r w:rsidRPr="004842AA">
        <w:rPr>
          <w:rFonts w:ascii="Times New Roman" w:hAnsi="Times New Roman" w:cs="Times New Roman"/>
          <w:lang w:val="en-US"/>
        </w:rPr>
        <w:t xml:space="preserve"> as well as its alignment with a wide range of Union regulatory standards and level playing field guarantees; but also necessitating the expansion / introduction of checks on goods travelling by sea or air between Northern Ireland and Great Britain.</w:t>
      </w:r>
      <w:r w:rsidRPr="004842AA">
        <w:rPr>
          <w:rStyle w:val="FootnoteReference"/>
          <w:rFonts w:ascii="Times New Roman" w:hAnsi="Times New Roman" w:cs="Times New Roman"/>
          <w:lang w:val="en-US"/>
        </w:rPr>
        <w:footnoteReference w:id="273"/>
      </w:r>
      <w:r w:rsidRPr="004842AA">
        <w:rPr>
          <w:rFonts w:ascii="Times New Roman" w:hAnsi="Times New Roman" w:cs="Times New Roman"/>
          <w:lang w:val="en-US"/>
        </w:rPr>
        <w:t xml:space="preserve"> </w:t>
      </w:r>
      <w:r w:rsidR="00E93DD4">
        <w:rPr>
          <w:rFonts w:ascii="Times New Roman" w:hAnsi="Times New Roman" w:cs="Times New Roman"/>
          <w:lang w:val="en-US"/>
        </w:rPr>
        <w:t xml:space="preserve"> </w:t>
      </w:r>
      <w:r w:rsidRPr="004842AA">
        <w:rPr>
          <w:rFonts w:ascii="Times New Roman" w:hAnsi="Times New Roman" w:cs="Times New Roman"/>
          <w:lang w:val="en-US"/>
        </w:rPr>
        <w:t xml:space="preserve">In other words, </w:t>
      </w:r>
      <w:r w:rsidRPr="004842AA">
        <w:rPr>
          <w:rFonts w:ascii="Times New Roman" w:hAnsi="Times New Roman" w:cs="Times New Roman"/>
        </w:rPr>
        <w:t xml:space="preserve">the UK </w:t>
      </w:r>
      <w:r w:rsidR="00C51251" w:rsidRPr="004842AA">
        <w:rPr>
          <w:rFonts w:ascii="Times New Roman" w:hAnsi="Times New Roman" w:cs="Times New Roman"/>
        </w:rPr>
        <w:t xml:space="preserve">can keep </w:t>
      </w:r>
      <w:r w:rsidRPr="004842AA">
        <w:rPr>
          <w:rFonts w:ascii="Times New Roman" w:hAnsi="Times New Roman" w:cs="Times New Roman"/>
        </w:rPr>
        <w:t xml:space="preserve">its first and second </w:t>
      </w:r>
      <w:r w:rsidR="00C51251" w:rsidRPr="004842AA">
        <w:rPr>
          <w:rFonts w:ascii="Times New Roman" w:hAnsi="Times New Roman" w:cs="Times New Roman"/>
        </w:rPr>
        <w:t>promises</w:t>
      </w:r>
      <w:r w:rsidRPr="004842AA">
        <w:rPr>
          <w:rFonts w:ascii="Times New Roman" w:hAnsi="Times New Roman" w:cs="Times New Roman"/>
        </w:rPr>
        <w:t>, but only by breaking its third.  However, the UK Government (</w:t>
      </w:r>
      <w:r w:rsidR="00DC41E9">
        <w:rPr>
          <w:rFonts w:ascii="Times New Roman" w:hAnsi="Times New Roman" w:cs="Times New Roman"/>
        </w:rPr>
        <w:t xml:space="preserve">egged on </w:t>
      </w:r>
      <w:r w:rsidRPr="004842AA">
        <w:rPr>
          <w:rFonts w:ascii="Times New Roman" w:hAnsi="Times New Roman" w:cs="Times New Roman"/>
        </w:rPr>
        <w:t xml:space="preserve">by its </w:t>
      </w:r>
      <w:r w:rsidR="00DC41E9">
        <w:rPr>
          <w:rFonts w:ascii="Times New Roman" w:hAnsi="Times New Roman" w:cs="Times New Roman"/>
        </w:rPr>
        <w:t xml:space="preserve">incandescent </w:t>
      </w:r>
      <w:r w:rsidRPr="004842AA">
        <w:rPr>
          <w:rFonts w:ascii="Times New Roman" w:hAnsi="Times New Roman" w:cs="Times New Roman"/>
        </w:rPr>
        <w:t xml:space="preserve">DUP allies) rejected those proposals </w:t>
      </w:r>
      <w:r w:rsidR="00C51251" w:rsidRPr="004842AA">
        <w:rPr>
          <w:rFonts w:ascii="Times New Roman" w:hAnsi="Times New Roman" w:cs="Times New Roman"/>
          <w:lang w:val="en-US"/>
        </w:rPr>
        <w:t xml:space="preserve">as an unacceptable attempt to </w:t>
      </w:r>
      <w:r w:rsidR="00C51251" w:rsidRPr="004842AA">
        <w:rPr>
          <w:rFonts w:ascii="Times New Roman" w:hAnsi="Times New Roman" w:cs="Times New Roman"/>
          <w:lang w:val="en-US"/>
        </w:rPr>
        <w:lastRenderedPageBreak/>
        <w:t>undermine the territorial, constitutional and economic integrity of the UK</w:t>
      </w:r>
      <w:r w:rsidRPr="004842AA">
        <w:rPr>
          <w:rFonts w:ascii="Times New Roman" w:hAnsi="Times New Roman" w:cs="Times New Roman"/>
          <w:lang w:val="en-US"/>
        </w:rPr>
        <w:t>.</w:t>
      </w:r>
      <w:r w:rsidR="00E46F4B">
        <w:rPr>
          <w:rStyle w:val="FootnoteReference"/>
          <w:rFonts w:ascii="Times New Roman" w:hAnsi="Times New Roman" w:cs="Times New Roman"/>
          <w:lang w:val="en-US"/>
        </w:rPr>
        <w:footnoteReference w:id="274"/>
      </w:r>
      <w:r w:rsidRPr="004842AA">
        <w:rPr>
          <w:rFonts w:ascii="Times New Roman" w:hAnsi="Times New Roman" w:cs="Times New Roman"/>
          <w:lang w:val="en-US"/>
        </w:rPr>
        <w:t xml:space="preserve">  </w:t>
      </w:r>
      <w:r w:rsidRPr="004842AA">
        <w:rPr>
          <w:rFonts w:ascii="Times New Roman" w:hAnsi="Times New Roman" w:cs="Times New Roman"/>
        </w:rPr>
        <w:t xml:space="preserve">It is fair to say that many observers were perplexed by that reaction.  After all, it is self-evident that </w:t>
      </w:r>
      <w:r w:rsidR="00C51251" w:rsidRPr="004842AA">
        <w:rPr>
          <w:rFonts w:ascii="Times New Roman" w:hAnsi="Times New Roman" w:cs="Times New Roman"/>
        </w:rPr>
        <w:t xml:space="preserve">Northern Ireland is already treated </w:t>
      </w:r>
      <w:r w:rsidRPr="004842AA">
        <w:rPr>
          <w:rFonts w:ascii="Times New Roman" w:hAnsi="Times New Roman" w:cs="Times New Roman"/>
        </w:rPr>
        <w:t xml:space="preserve">very </w:t>
      </w:r>
      <w:r w:rsidR="00C51251" w:rsidRPr="004842AA">
        <w:rPr>
          <w:rFonts w:ascii="Times New Roman" w:hAnsi="Times New Roman" w:cs="Times New Roman"/>
        </w:rPr>
        <w:t xml:space="preserve">differently from the rest of the UK for all manner of </w:t>
      </w:r>
      <w:r w:rsidR="007B5ADB">
        <w:rPr>
          <w:rFonts w:ascii="Times New Roman" w:hAnsi="Times New Roman" w:cs="Times New Roman"/>
        </w:rPr>
        <w:t xml:space="preserve">(not only </w:t>
      </w:r>
      <w:r w:rsidR="00C51251" w:rsidRPr="004842AA">
        <w:rPr>
          <w:rFonts w:ascii="Times New Roman" w:hAnsi="Times New Roman" w:cs="Times New Roman"/>
        </w:rPr>
        <w:t>financial and regulatory</w:t>
      </w:r>
      <w:r w:rsidR="007B5ADB">
        <w:rPr>
          <w:rFonts w:ascii="Times New Roman" w:hAnsi="Times New Roman" w:cs="Times New Roman"/>
        </w:rPr>
        <w:t>)</w:t>
      </w:r>
      <w:r w:rsidR="00C51251" w:rsidRPr="004842AA">
        <w:rPr>
          <w:rFonts w:ascii="Times New Roman" w:hAnsi="Times New Roman" w:cs="Times New Roman"/>
        </w:rPr>
        <w:t xml:space="preserve"> purposes.</w:t>
      </w:r>
      <w:r w:rsidR="00E46F4B">
        <w:rPr>
          <w:rStyle w:val="FootnoteReference"/>
          <w:rFonts w:ascii="Times New Roman" w:hAnsi="Times New Roman" w:cs="Times New Roman"/>
        </w:rPr>
        <w:footnoteReference w:id="275"/>
      </w:r>
      <w:r w:rsidRPr="004842AA">
        <w:rPr>
          <w:rFonts w:ascii="Times New Roman" w:hAnsi="Times New Roman" w:cs="Times New Roman"/>
        </w:rPr>
        <w:t xml:space="preserve">  </w:t>
      </w:r>
    </w:p>
    <w:p w14:paraId="22EAB1F3" w14:textId="1FEB0412" w:rsidR="00BE6612" w:rsidRDefault="00C51251" w:rsidP="00BE6612">
      <w:pPr>
        <w:widowControl w:val="0"/>
        <w:autoSpaceDE w:val="0"/>
        <w:autoSpaceDN w:val="0"/>
        <w:adjustRightInd w:val="0"/>
        <w:ind w:firstLine="720"/>
        <w:jc w:val="both"/>
        <w:rPr>
          <w:rFonts w:ascii="Times New Roman" w:hAnsi="Times New Roman" w:cs="Times New Roman"/>
          <w:lang w:val="en-US"/>
        </w:rPr>
      </w:pPr>
      <w:r w:rsidRPr="004842AA">
        <w:rPr>
          <w:rFonts w:ascii="Times New Roman" w:hAnsi="Times New Roman" w:cs="Times New Roman"/>
        </w:rPr>
        <w:t xml:space="preserve">But </w:t>
      </w:r>
      <w:r w:rsidR="00793AA8" w:rsidRPr="004842AA">
        <w:rPr>
          <w:rFonts w:ascii="Times New Roman" w:hAnsi="Times New Roman" w:cs="Times New Roman"/>
        </w:rPr>
        <w:t xml:space="preserve">the ball was now in the UK’s court and its second </w:t>
      </w:r>
      <w:r w:rsidR="00B411F7" w:rsidRPr="004842AA">
        <w:rPr>
          <w:rFonts w:ascii="Times New Roman" w:hAnsi="Times New Roman" w:cs="Times New Roman"/>
        </w:rPr>
        <w:t xml:space="preserve">body of </w:t>
      </w:r>
      <w:r w:rsidR="00793AA8" w:rsidRPr="004842AA">
        <w:rPr>
          <w:rFonts w:ascii="Times New Roman" w:hAnsi="Times New Roman" w:cs="Times New Roman"/>
        </w:rPr>
        <w:t xml:space="preserve">proposals </w:t>
      </w:r>
      <w:r w:rsidR="00B411F7" w:rsidRPr="004842AA">
        <w:rPr>
          <w:rFonts w:ascii="Times New Roman" w:hAnsi="Times New Roman" w:cs="Times New Roman"/>
        </w:rPr>
        <w:t xml:space="preserve">– this time for a UK-wide backstop mechanism – ultimately </w:t>
      </w:r>
      <w:r w:rsidR="00793AA8" w:rsidRPr="004842AA">
        <w:rPr>
          <w:rFonts w:ascii="Times New Roman" w:hAnsi="Times New Roman" w:cs="Times New Roman"/>
        </w:rPr>
        <w:t xml:space="preserve">provided the basis </w:t>
      </w:r>
      <w:r w:rsidR="00B411F7" w:rsidRPr="004842AA">
        <w:rPr>
          <w:rFonts w:ascii="Times New Roman" w:hAnsi="Times New Roman" w:cs="Times New Roman"/>
        </w:rPr>
        <w:t xml:space="preserve">for agreeing the first Withdrawal Package </w:t>
      </w:r>
      <w:r w:rsidR="00F06077">
        <w:rPr>
          <w:rFonts w:ascii="Times New Roman" w:hAnsi="Times New Roman" w:cs="Times New Roman"/>
        </w:rPr>
        <w:t>of</w:t>
      </w:r>
      <w:r w:rsidR="00B411F7" w:rsidRPr="004842AA">
        <w:rPr>
          <w:rFonts w:ascii="Times New Roman" w:hAnsi="Times New Roman" w:cs="Times New Roman"/>
        </w:rPr>
        <w:t xml:space="preserve"> November 2018.</w:t>
      </w:r>
      <w:r w:rsidR="00E46F4B">
        <w:rPr>
          <w:rStyle w:val="FootnoteReference"/>
          <w:rFonts w:ascii="Times New Roman" w:hAnsi="Times New Roman" w:cs="Times New Roman"/>
        </w:rPr>
        <w:footnoteReference w:id="276"/>
      </w:r>
      <w:r w:rsidR="00B411F7" w:rsidRPr="004842AA">
        <w:rPr>
          <w:rFonts w:ascii="Times New Roman" w:hAnsi="Times New Roman" w:cs="Times New Roman"/>
        </w:rPr>
        <w:t xml:space="preserve">  The </w:t>
      </w:r>
      <w:r w:rsidRPr="004842AA">
        <w:rPr>
          <w:rFonts w:ascii="Times New Roman" w:hAnsi="Times New Roman" w:cs="Times New Roman"/>
        </w:rPr>
        <w:t xml:space="preserve">centrepiece of </w:t>
      </w:r>
      <w:r w:rsidR="00B411F7" w:rsidRPr="004842AA">
        <w:rPr>
          <w:rFonts w:ascii="Times New Roman" w:hAnsi="Times New Roman" w:cs="Times New Roman"/>
        </w:rPr>
        <w:t xml:space="preserve">that </w:t>
      </w:r>
      <w:r w:rsidRPr="004842AA">
        <w:rPr>
          <w:rFonts w:ascii="Times New Roman" w:hAnsi="Times New Roman" w:cs="Times New Roman"/>
        </w:rPr>
        <w:t xml:space="preserve">alternative backstop </w:t>
      </w:r>
      <w:r w:rsidR="00B411F7" w:rsidRPr="004842AA">
        <w:rPr>
          <w:rFonts w:ascii="Times New Roman" w:hAnsi="Times New Roman" w:cs="Times New Roman"/>
        </w:rPr>
        <w:t xml:space="preserve">consisted of </w:t>
      </w:r>
      <w:r w:rsidRPr="004842AA">
        <w:rPr>
          <w:rFonts w:ascii="Times New Roman" w:hAnsi="Times New Roman" w:cs="Times New Roman"/>
        </w:rPr>
        <w:t>a de facto customs union between the EU and the whole of the UK</w:t>
      </w:r>
      <w:r w:rsidR="00B411F7" w:rsidRPr="004842AA">
        <w:rPr>
          <w:rFonts w:ascii="Times New Roman" w:hAnsi="Times New Roman" w:cs="Times New Roman"/>
        </w:rPr>
        <w:t xml:space="preserve"> so as to remove </w:t>
      </w:r>
      <w:r w:rsidRPr="004842AA">
        <w:rPr>
          <w:rFonts w:ascii="Times New Roman" w:hAnsi="Times New Roman" w:cs="Times New Roman"/>
        </w:rPr>
        <w:t xml:space="preserve">tariffs in trade between the two parties </w:t>
      </w:r>
      <w:r w:rsidR="00B411F7" w:rsidRPr="004842AA">
        <w:rPr>
          <w:rFonts w:ascii="Times New Roman" w:hAnsi="Times New Roman" w:cs="Times New Roman"/>
        </w:rPr>
        <w:t>and thereby solve</w:t>
      </w:r>
      <w:r w:rsidRPr="004842AA">
        <w:rPr>
          <w:rFonts w:ascii="Times New Roman" w:hAnsi="Times New Roman" w:cs="Times New Roman"/>
        </w:rPr>
        <w:t xml:space="preserve"> half of the </w:t>
      </w:r>
      <w:r w:rsidR="00B411F7" w:rsidRPr="004842AA">
        <w:rPr>
          <w:rFonts w:ascii="Times New Roman" w:hAnsi="Times New Roman" w:cs="Times New Roman"/>
        </w:rPr>
        <w:t>Irish border problem</w:t>
      </w:r>
      <w:r w:rsidRPr="004842AA">
        <w:rPr>
          <w:rFonts w:ascii="Times New Roman" w:hAnsi="Times New Roman" w:cs="Times New Roman"/>
        </w:rPr>
        <w:t xml:space="preserve">.  </w:t>
      </w:r>
      <w:r w:rsidR="00B411F7" w:rsidRPr="004842AA">
        <w:rPr>
          <w:rFonts w:ascii="Times New Roman" w:hAnsi="Times New Roman" w:cs="Times New Roman"/>
        </w:rPr>
        <w:t xml:space="preserve">Naturally, that </w:t>
      </w:r>
      <w:r w:rsidRPr="004842AA">
        <w:rPr>
          <w:rFonts w:ascii="Times New Roman" w:hAnsi="Times New Roman" w:cs="Times New Roman"/>
        </w:rPr>
        <w:t xml:space="preserve">customs arrangement </w:t>
      </w:r>
      <w:r w:rsidR="00B411F7" w:rsidRPr="004842AA">
        <w:rPr>
          <w:rFonts w:ascii="Times New Roman" w:hAnsi="Times New Roman" w:cs="Times New Roman"/>
        </w:rPr>
        <w:t xml:space="preserve">was constructed </w:t>
      </w:r>
      <w:r w:rsidRPr="004842AA">
        <w:rPr>
          <w:rFonts w:ascii="Times New Roman" w:hAnsi="Times New Roman" w:cs="Times New Roman"/>
        </w:rPr>
        <w:t xml:space="preserve">almost entirely on the </w:t>
      </w:r>
      <w:r w:rsidR="00B411F7" w:rsidRPr="004842AA">
        <w:rPr>
          <w:rFonts w:ascii="Times New Roman" w:hAnsi="Times New Roman" w:cs="Times New Roman"/>
        </w:rPr>
        <w:t xml:space="preserve">Union’s own </w:t>
      </w:r>
      <w:r w:rsidRPr="004842AA">
        <w:rPr>
          <w:rFonts w:ascii="Times New Roman" w:hAnsi="Times New Roman" w:cs="Times New Roman"/>
        </w:rPr>
        <w:t xml:space="preserve">terms: for example, the UK would have to comply with the </w:t>
      </w:r>
      <w:r w:rsidR="00B411F7" w:rsidRPr="004842AA">
        <w:rPr>
          <w:rFonts w:ascii="Times New Roman" w:hAnsi="Times New Roman" w:cs="Times New Roman"/>
        </w:rPr>
        <w:t xml:space="preserve">Union’s </w:t>
      </w:r>
      <w:r w:rsidRPr="004842AA">
        <w:rPr>
          <w:rFonts w:ascii="Times New Roman" w:hAnsi="Times New Roman" w:cs="Times New Roman"/>
        </w:rPr>
        <w:t xml:space="preserve">tariff system and much of </w:t>
      </w:r>
      <w:r w:rsidR="00B411F7" w:rsidRPr="004842AA">
        <w:rPr>
          <w:rFonts w:ascii="Times New Roman" w:hAnsi="Times New Roman" w:cs="Times New Roman"/>
        </w:rPr>
        <w:t xml:space="preserve">the latter’s </w:t>
      </w:r>
      <w:r w:rsidRPr="004842AA">
        <w:rPr>
          <w:rFonts w:ascii="Times New Roman" w:hAnsi="Times New Roman" w:cs="Times New Roman"/>
        </w:rPr>
        <w:t xml:space="preserve">trade regime in relations with third countries; </w:t>
      </w:r>
      <w:r w:rsidR="00B411F7" w:rsidRPr="004842AA">
        <w:rPr>
          <w:rFonts w:ascii="Times New Roman" w:hAnsi="Times New Roman" w:cs="Times New Roman"/>
        </w:rPr>
        <w:t xml:space="preserve">as well as </w:t>
      </w:r>
      <w:r w:rsidRPr="004842AA">
        <w:rPr>
          <w:rFonts w:ascii="Times New Roman" w:hAnsi="Times New Roman" w:cs="Times New Roman"/>
        </w:rPr>
        <w:t xml:space="preserve">respect a </w:t>
      </w:r>
      <w:r w:rsidR="00B411F7" w:rsidRPr="004842AA">
        <w:rPr>
          <w:rFonts w:ascii="Times New Roman" w:hAnsi="Times New Roman" w:cs="Times New Roman"/>
        </w:rPr>
        <w:t xml:space="preserve">wide </w:t>
      </w:r>
      <w:r w:rsidRPr="004842AA">
        <w:rPr>
          <w:rFonts w:ascii="Times New Roman" w:hAnsi="Times New Roman" w:cs="Times New Roman"/>
        </w:rPr>
        <w:t>range of minimum standards in fields like competition, state aid, environmental and labour protection.</w:t>
      </w:r>
      <w:r w:rsidR="00B411F7" w:rsidRPr="004842AA">
        <w:rPr>
          <w:rFonts w:ascii="Times New Roman" w:hAnsi="Times New Roman" w:cs="Times New Roman"/>
        </w:rPr>
        <w:t xml:space="preserve">  Above all, </w:t>
      </w:r>
      <w:r w:rsidRPr="004842AA">
        <w:rPr>
          <w:rFonts w:ascii="Times New Roman" w:hAnsi="Times New Roman" w:cs="Times New Roman"/>
        </w:rPr>
        <w:t xml:space="preserve">this </w:t>
      </w:r>
      <w:r w:rsidR="00B411F7" w:rsidRPr="004842AA">
        <w:rPr>
          <w:rFonts w:ascii="Times New Roman" w:hAnsi="Times New Roman" w:cs="Times New Roman"/>
        </w:rPr>
        <w:t xml:space="preserve">de facto </w:t>
      </w:r>
      <w:r w:rsidRPr="004842AA">
        <w:rPr>
          <w:rFonts w:ascii="Times New Roman" w:hAnsi="Times New Roman" w:cs="Times New Roman"/>
        </w:rPr>
        <w:t xml:space="preserve">customs union </w:t>
      </w:r>
      <w:r w:rsidR="00B411F7" w:rsidRPr="004842AA">
        <w:rPr>
          <w:rFonts w:ascii="Times New Roman" w:hAnsi="Times New Roman" w:cs="Times New Roman"/>
        </w:rPr>
        <w:t xml:space="preserve">had </w:t>
      </w:r>
      <w:r w:rsidRPr="004842AA">
        <w:rPr>
          <w:rFonts w:ascii="Times New Roman" w:hAnsi="Times New Roman" w:cs="Times New Roman"/>
        </w:rPr>
        <w:t>no definite expiry date</w:t>
      </w:r>
      <w:r w:rsidR="00B411F7" w:rsidRPr="004842AA">
        <w:rPr>
          <w:rFonts w:ascii="Times New Roman" w:hAnsi="Times New Roman" w:cs="Times New Roman"/>
        </w:rPr>
        <w:t xml:space="preserve">: the </w:t>
      </w:r>
      <w:r w:rsidRPr="004842AA">
        <w:rPr>
          <w:rFonts w:ascii="Times New Roman" w:hAnsi="Times New Roman" w:cs="Times New Roman"/>
        </w:rPr>
        <w:t xml:space="preserve">two parties might </w:t>
      </w:r>
      <w:r w:rsidR="00B411F7" w:rsidRPr="004842AA">
        <w:rPr>
          <w:rFonts w:ascii="Times New Roman" w:hAnsi="Times New Roman" w:cs="Times New Roman"/>
        </w:rPr>
        <w:t>hope</w:t>
      </w:r>
      <w:r w:rsidRPr="004842AA">
        <w:rPr>
          <w:rFonts w:ascii="Times New Roman" w:hAnsi="Times New Roman" w:cs="Times New Roman"/>
        </w:rPr>
        <w:t xml:space="preserve"> to replace </w:t>
      </w:r>
      <w:r w:rsidR="00B411F7" w:rsidRPr="004842AA">
        <w:rPr>
          <w:rFonts w:ascii="Times New Roman" w:hAnsi="Times New Roman" w:cs="Times New Roman"/>
        </w:rPr>
        <w:t xml:space="preserve">it </w:t>
      </w:r>
      <w:r w:rsidRPr="004842AA">
        <w:rPr>
          <w:rFonts w:ascii="Times New Roman" w:hAnsi="Times New Roman" w:cs="Times New Roman"/>
        </w:rPr>
        <w:t xml:space="preserve">with </w:t>
      </w:r>
      <w:r w:rsidR="00B411F7" w:rsidRPr="004842AA">
        <w:rPr>
          <w:rFonts w:ascii="Times New Roman" w:hAnsi="Times New Roman" w:cs="Times New Roman"/>
        </w:rPr>
        <w:t xml:space="preserve">an </w:t>
      </w:r>
      <w:r w:rsidRPr="004842AA">
        <w:rPr>
          <w:rFonts w:ascii="Times New Roman" w:hAnsi="Times New Roman" w:cs="Times New Roman"/>
        </w:rPr>
        <w:t>alternative in the future</w:t>
      </w:r>
      <w:r w:rsidR="00E46F4B">
        <w:rPr>
          <w:rFonts w:ascii="Times New Roman" w:hAnsi="Times New Roman" w:cs="Times New Roman"/>
        </w:rPr>
        <w:t>;</w:t>
      </w:r>
      <w:r w:rsidR="00B411F7" w:rsidRPr="004842AA">
        <w:rPr>
          <w:rFonts w:ascii="Times New Roman" w:hAnsi="Times New Roman" w:cs="Times New Roman"/>
        </w:rPr>
        <w:t xml:space="preserve"> but </w:t>
      </w:r>
      <w:r w:rsidRPr="004842AA">
        <w:rPr>
          <w:rFonts w:ascii="Times New Roman" w:hAnsi="Times New Roman" w:cs="Times New Roman"/>
        </w:rPr>
        <w:t xml:space="preserve">once activated, the backstop would </w:t>
      </w:r>
      <w:r w:rsidR="00B411F7" w:rsidRPr="004842AA">
        <w:rPr>
          <w:rFonts w:ascii="Times New Roman" w:hAnsi="Times New Roman" w:cs="Times New Roman"/>
        </w:rPr>
        <w:t>remain</w:t>
      </w:r>
      <w:r w:rsidRPr="004842AA">
        <w:rPr>
          <w:rFonts w:ascii="Times New Roman" w:hAnsi="Times New Roman" w:cs="Times New Roman"/>
        </w:rPr>
        <w:t xml:space="preserve"> in place unless and until the </w:t>
      </w:r>
      <w:r w:rsidR="00B411F7" w:rsidRPr="004842AA">
        <w:rPr>
          <w:rFonts w:ascii="Times New Roman" w:hAnsi="Times New Roman" w:cs="Times New Roman"/>
        </w:rPr>
        <w:t xml:space="preserve">Union itself </w:t>
      </w:r>
      <w:r w:rsidRPr="004842AA">
        <w:rPr>
          <w:rFonts w:ascii="Times New Roman" w:hAnsi="Times New Roman" w:cs="Times New Roman"/>
        </w:rPr>
        <w:t xml:space="preserve">agreed to amend, replace or abolish it. </w:t>
      </w:r>
      <w:r w:rsidR="00B411F7" w:rsidRPr="004842AA">
        <w:rPr>
          <w:rFonts w:ascii="Times New Roman" w:hAnsi="Times New Roman" w:cs="Times New Roman"/>
        </w:rPr>
        <w:t xml:space="preserve"> </w:t>
      </w:r>
      <w:r w:rsidR="00E46F4B">
        <w:rPr>
          <w:rFonts w:ascii="Times New Roman" w:hAnsi="Times New Roman" w:cs="Times New Roman"/>
        </w:rPr>
        <w:t>Even then,</w:t>
      </w:r>
      <w:r w:rsidRPr="004842AA">
        <w:rPr>
          <w:rFonts w:ascii="Times New Roman" w:hAnsi="Times New Roman" w:cs="Times New Roman"/>
        </w:rPr>
        <w:t xml:space="preserve"> </w:t>
      </w:r>
      <w:proofErr w:type="gramStart"/>
      <w:r w:rsidR="00B411F7" w:rsidRPr="004842AA">
        <w:rPr>
          <w:rFonts w:ascii="Times New Roman" w:hAnsi="Times New Roman" w:cs="Times New Roman"/>
        </w:rPr>
        <w:t>an</w:t>
      </w:r>
      <w:proofErr w:type="gramEnd"/>
      <w:r w:rsidR="00B411F7" w:rsidRPr="004842AA">
        <w:rPr>
          <w:rFonts w:ascii="Times New Roman" w:hAnsi="Times New Roman" w:cs="Times New Roman"/>
        </w:rPr>
        <w:t xml:space="preserve"> </w:t>
      </w:r>
      <w:r w:rsidRPr="004842AA">
        <w:rPr>
          <w:rFonts w:ascii="Times New Roman" w:hAnsi="Times New Roman" w:cs="Times New Roman"/>
        </w:rPr>
        <w:t xml:space="preserve">EU-UK customs </w:t>
      </w:r>
      <w:r w:rsidR="00B411F7" w:rsidRPr="004842AA">
        <w:rPr>
          <w:rFonts w:ascii="Times New Roman" w:hAnsi="Times New Roman" w:cs="Times New Roman"/>
        </w:rPr>
        <w:t>union would only solve</w:t>
      </w:r>
      <w:r w:rsidRPr="004842AA">
        <w:rPr>
          <w:rFonts w:ascii="Times New Roman" w:hAnsi="Times New Roman" w:cs="Times New Roman"/>
        </w:rPr>
        <w:t xml:space="preserve"> half the Irish border problem.  </w:t>
      </w:r>
      <w:r w:rsidR="00B411F7" w:rsidRPr="004842AA">
        <w:rPr>
          <w:rFonts w:ascii="Times New Roman" w:hAnsi="Times New Roman" w:cs="Times New Roman"/>
        </w:rPr>
        <w:t xml:space="preserve">The remaining challenge, of avoiding regulatory checks on goods moving across the island of Ireland, would be addressed by </w:t>
      </w:r>
      <w:r w:rsidRPr="004842AA">
        <w:rPr>
          <w:rFonts w:ascii="Times New Roman" w:hAnsi="Times New Roman" w:cs="Times New Roman"/>
        </w:rPr>
        <w:t xml:space="preserve">Northern Ireland </w:t>
      </w:r>
      <w:r w:rsidR="00B411F7" w:rsidRPr="004842AA">
        <w:rPr>
          <w:rFonts w:ascii="Times New Roman" w:hAnsi="Times New Roman" w:cs="Times New Roman"/>
        </w:rPr>
        <w:t xml:space="preserve">indeed </w:t>
      </w:r>
      <w:r w:rsidRPr="004842AA">
        <w:rPr>
          <w:rFonts w:ascii="Times New Roman" w:hAnsi="Times New Roman" w:cs="Times New Roman"/>
        </w:rPr>
        <w:t>remain</w:t>
      </w:r>
      <w:r w:rsidR="00B411F7" w:rsidRPr="004842AA">
        <w:rPr>
          <w:rFonts w:ascii="Times New Roman" w:hAnsi="Times New Roman" w:cs="Times New Roman"/>
        </w:rPr>
        <w:t>ing</w:t>
      </w:r>
      <w:r w:rsidRPr="004842AA">
        <w:rPr>
          <w:rFonts w:ascii="Times New Roman" w:hAnsi="Times New Roman" w:cs="Times New Roman"/>
        </w:rPr>
        <w:t xml:space="preserve"> </w:t>
      </w:r>
      <w:r w:rsidR="00B411F7" w:rsidRPr="004842AA">
        <w:rPr>
          <w:rFonts w:ascii="Times New Roman" w:hAnsi="Times New Roman" w:cs="Times New Roman"/>
        </w:rPr>
        <w:t xml:space="preserve">aligned with all </w:t>
      </w:r>
      <w:r w:rsidRPr="004842AA">
        <w:rPr>
          <w:rFonts w:ascii="Times New Roman" w:hAnsi="Times New Roman" w:cs="Times New Roman"/>
        </w:rPr>
        <w:t xml:space="preserve">relevant </w:t>
      </w:r>
      <w:r w:rsidR="00B411F7" w:rsidRPr="004842AA">
        <w:rPr>
          <w:rFonts w:ascii="Times New Roman" w:hAnsi="Times New Roman" w:cs="Times New Roman"/>
        </w:rPr>
        <w:t xml:space="preserve">Single Market </w:t>
      </w:r>
      <w:r w:rsidRPr="004842AA">
        <w:rPr>
          <w:rFonts w:ascii="Times New Roman" w:hAnsi="Times New Roman" w:cs="Times New Roman"/>
        </w:rPr>
        <w:t>rules and processes</w:t>
      </w:r>
      <w:r w:rsidR="00B411F7" w:rsidRPr="004842AA">
        <w:rPr>
          <w:rFonts w:ascii="Times New Roman" w:hAnsi="Times New Roman" w:cs="Times New Roman"/>
        </w:rPr>
        <w:t xml:space="preserve"> and in </w:t>
      </w:r>
      <w:r w:rsidRPr="004842AA">
        <w:rPr>
          <w:rFonts w:ascii="Times New Roman" w:hAnsi="Times New Roman" w:cs="Times New Roman"/>
        </w:rPr>
        <w:t>turn</w:t>
      </w:r>
      <w:r w:rsidR="00B411F7" w:rsidRPr="004842AA">
        <w:rPr>
          <w:rFonts w:ascii="Times New Roman" w:hAnsi="Times New Roman" w:cs="Times New Roman"/>
        </w:rPr>
        <w:t xml:space="preserve"> expanding </w:t>
      </w:r>
      <w:r w:rsidR="00E46F4B">
        <w:rPr>
          <w:rFonts w:ascii="Times New Roman" w:hAnsi="Times New Roman" w:cs="Times New Roman"/>
        </w:rPr>
        <w:t>/</w:t>
      </w:r>
      <w:r w:rsidR="00B411F7" w:rsidRPr="004842AA">
        <w:rPr>
          <w:rFonts w:ascii="Times New Roman" w:hAnsi="Times New Roman" w:cs="Times New Roman"/>
        </w:rPr>
        <w:t xml:space="preserve"> </w:t>
      </w:r>
      <w:r w:rsidRPr="004842AA">
        <w:rPr>
          <w:rFonts w:ascii="Times New Roman" w:hAnsi="Times New Roman" w:cs="Times New Roman"/>
        </w:rPr>
        <w:t xml:space="preserve">introducing various checks on goods travelling from Great Britain </w:t>
      </w:r>
      <w:r w:rsidR="00B411F7" w:rsidRPr="004842AA">
        <w:rPr>
          <w:rFonts w:ascii="Times New Roman" w:hAnsi="Times New Roman" w:cs="Times New Roman"/>
        </w:rPr>
        <w:t>in</w:t>
      </w:r>
      <w:r w:rsidRPr="004842AA">
        <w:rPr>
          <w:rFonts w:ascii="Times New Roman" w:hAnsi="Times New Roman" w:cs="Times New Roman"/>
        </w:rPr>
        <w:t xml:space="preserve">to Northern Ireland.  </w:t>
      </w:r>
      <w:r w:rsidR="00B411F7" w:rsidRPr="004842AA">
        <w:rPr>
          <w:rFonts w:ascii="Times New Roman" w:hAnsi="Times New Roman" w:cs="Times New Roman"/>
        </w:rPr>
        <w:t>In other words, the UK Government would keep its second promise (no hard border in Ireland) but only part of its first promise (the UK as a whole might be leaving the Single Market</w:t>
      </w:r>
      <w:r w:rsidR="00E46F4B">
        <w:rPr>
          <w:rFonts w:ascii="Times New Roman" w:hAnsi="Times New Roman" w:cs="Times New Roman"/>
        </w:rPr>
        <w:t>,</w:t>
      </w:r>
      <w:r w:rsidR="00B411F7" w:rsidRPr="004842AA">
        <w:rPr>
          <w:rFonts w:ascii="Times New Roman" w:hAnsi="Times New Roman" w:cs="Times New Roman"/>
        </w:rPr>
        <w:t xml:space="preserve"> but would effectively stay in the Customs Union) and only part of its third promise (Northern Ireland might well be treated the same as the rest of the UK in customs, but not for regulatory purposes).</w:t>
      </w:r>
    </w:p>
    <w:p w14:paraId="634ADDA4" w14:textId="1D9E5F63" w:rsidR="00BE6612" w:rsidRDefault="00F06077" w:rsidP="00BE6612">
      <w:pPr>
        <w:widowControl w:val="0"/>
        <w:autoSpaceDE w:val="0"/>
        <w:autoSpaceDN w:val="0"/>
        <w:adjustRightInd w:val="0"/>
        <w:ind w:firstLine="720"/>
        <w:jc w:val="both"/>
        <w:rPr>
          <w:rFonts w:ascii="Times New Roman" w:hAnsi="Times New Roman" w:cs="Times New Roman"/>
          <w:lang w:val="en-US"/>
        </w:rPr>
      </w:pPr>
      <w:r>
        <w:rPr>
          <w:rFonts w:ascii="Times New Roman" w:hAnsi="Times New Roman" w:cs="Times New Roman"/>
        </w:rPr>
        <w:t>This time</w:t>
      </w:r>
      <w:r w:rsidR="00B411F7" w:rsidRPr="004842AA">
        <w:rPr>
          <w:rFonts w:ascii="Times New Roman" w:hAnsi="Times New Roman" w:cs="Times New Roman"/>
        </w:rPr>
        <w:t xml:space="preserve">, Tory Europhobes and the DUP </w:t>
      </w:r>
      <w:r w:rsidR="00CC06F8" w:rsidRPr="004842AA">
        <w:rPr>
          <w:rFonts w:ascii="Times New Roman" w:hAnsi="Times New Roman" w:cs="Times New Roman"/>
        </w:rPr>
        <w:t xml:space="preserve">clambered </w:t>
      </w:r>
      <w:r w:rsidR="00B411F7" w:rsidRPr="004842AA">
        <w:rPr>
          <w:rFonts w:ascii="Times New Roman" w:hAnsi="Times New Roman" w:cs="Times New Roman"/>
        </w:rPr>
        <w:t xml:space="preserve">to outperform each other </w:t>
      </w:r>
      <w:r w:rsidR="006B3230" w:rsidRPr="004842AA">
        <w:rPr>
          <w:rFonts w:ascii="Times New Roman" w:hAnsi="Times New Roman" w:cs="Times New Roman"/>
        </w:rPr>
        <w:t xml:space="preserve">with outrage and indignation.  And as we know, May attempted </w:t>
      </w:r>
      <w:r w:rsidR="00E718F2" w:rsidRPr="004842AA">
        <w:rPr>
          <w:rFonts w:ascii="Times New Roman" w:hAnsi="Times New Roman" w:cs="Times New Roman"/>
        </w:rPr>
        <w:t xml:space="preserve">in vain </w:t>
      </w:r>
      <w:r w:rsidR="006B3230" w:rsidRPr="004842AA">
        <w:rPr>
          <w:rFonts w:ascii="Times New Roman" w:hAnsi="Times New Roman" w:cs="Times New Roman"/>
        </w:rPr>
        <w:t>to salvage her Withdrawal Package in general, and backstop proposals in particular, by securing additional political assurances from the EU</w:t>
      </w:r>
      <w:r w:rsidR="00E718F2" w:rsidRPr="004842AA">
        <w:rPr>
          <w:rFonts w:ascii="Times New Roman" w:hAnsi="Times New Roman" w:cs="Times New Roman"/>
        </w:rPr>
        <w:t xml:space="preserve"> (</w:t>
      </w:r>
      <w:r w:rsidR="003B4BF6">
        <w:rPr>
          <w:rFonts w:ascii="Times New Roman" w:hAnsi="Times New Roman" w:cs="Times New Roman"/>
        </w:rPr>
        <w:t xml:space="preserve">for example, that </w:t>
      </w:r>
      <w:r w:rsidR="006B3230" w:rsidRPr="004842AA">
        <w:rPr>
          <w:rFonts w:ascii="Times New Roman" w:hAnsi="Times New Roman" w:cs="Times New Roman"/>
        </w:rPr>
        <w:t>neither party regarded the draft Pro</w:t>
      </w:r>
      <w:r w:rsidR="00E718F2" w:rsidRPr="004842AA">
        <w:rPr>
          <w:rFonts w:ascii="Times New Roman" w:hAnsi="Times New Roman" w:cs="Times New Roman"/>
        </w:rPr>
        <w:t>tocol arrangements as des</w:t>
      </w:r>
      <w:r w:rsidR="003B4BF6">
        <w:rPr>
          <w:rFonts w:ascii="Times New Roman" w:hAnsi="Times New Roman" w:cs="Times New Roman"/>
        </w:rPr>
        <w:t xml:space="preserve">irable and </w:t>
      </w:r>
      <w:r w:rsidR="006B3230" w:rsidRPr="004842AA">
        <w:rPr>
          <w:rFonts w:ascii="Times New Roman" w:hAnsi="Times New Roman" w:cs="Times New Roman"/>
        </w:rPr>
        <w:t>both sides would work hard to replace them as soon as possible with some more durable model</w:t>
      </w:r>
      <w:r w:rsidR="00E718F2" w:rsidRPr="004842AA">
        <w:rPr>
          <w:rFonts w:ascii="Times New Roman" w:hAnsi="Times New Roman" w:cs="Times New Roman"/>
        </w:rPr>
        <w:t>);</w:t>
      </w:r>
      <w:r w:rsidR="006B3230" w:rsidRPr="004842AA">
        <w:rPr>
          <w:rStyle w:val="FootnoteReference"/>
          <w:rFonts w:ascii="Times New Roman" w:hAnsi="Times New Roman" w:cs="Times New Roman"/>
        </w:rPr>
        <w:footnoteReference w:id="277"/>
      </w:r>
      <w:r w:rsidR="006B3230" w:rsidRPr="004842AA">
        <w:rPr>
          <w:rFonts w:ascii="Times New Roman" w:hAnsi="Times New Roman" w:cs="Times New Roman"/>
        </w:rPr>
        <w:t xml:space="preserve"> </w:t>
      </w:r>
      <w:r w:rsidR="00E718F2" w:rsidRPr="004842AA">
        <w:rPr>
          <w:rFonts w:ascii="Times New Roman" w:hAnsi="Times New Roman" w:cs="Times New Roman"/>
        </w:rPr>
        <w:t xml:space="preserve">but without </w:t>
      </w:r>
      <w:r w:rsidR="003B4BF6">
        <w:rPr>
          <w:rFonts w:ascii="Times New Roman" w:hAnsi="Times New Roman" w:cs="Times New Roman"/>
        </w:rPr>
        <w:t xml:space="preserve">the UK Government managing to </w:t>
      </w:r>
      <w:r w:rsidR="005F45FE">
        <w:rPr>
          <w:rFonts w:ascii="Times New Roman" w:hAnsi="Times New Roman" w:cs="Times New Roman"/>
        </w:rPr>
        <w:t xml:space="preserve">make good on its promise to </w:t>
      </w:r>
      <w:r w:rsidR="003B4BF6">
        <w:rPr>
          <w:rFonts w:ascii="Times New Roman" w:hAnsi="Times New Roman" w:cs="Times New Roman"/>
        </w:rPr>
        <w:t>secure</w:t>
      </w:r>
      <w:r w:rsidR="006B3230" w:rsidRPr="004842AA">
        <w:rPr>
          <w:rFonts w:ascii="Times New Roman" w:hAnsi="Times New Roman" w:cs="Times New Roman"/>
        </w:rPr>
        <w:t xml:space="preserve"> more radical, legally binding amendments to its own original proposals</w:t>
      </w:r>
      <w:r w:rsidR="00E718F2" w:rsidRPr="004842AA">
        <w:rPr>
          <w:rFonts w:ascii="Times New Roman" w:hAnsi="Times New Roman" w:cs="Times New Roman"/>
        </w:rPr>
        <w:t xml:space="preserve"> (</w:t>
      </w:r>
      <w:r w:rsidR="006B3230" w:rsidRPr="004842AA">
        <w:rPr>
          <w:rFonts w:ascii="Times New Roman" w:hAnsi="Times New Roman" w:cs="Times New Roman"/>
        </w:rPr>
        <w:t>either a fixed time-</w:t>
      </w:r>
      <w:r w:rsidR="00C51251" w:rsidRPr="004842AA">
        <w:rPr>
          <w:rFonts w:ascii="Times New Roman" w:hAnsi="Times New Roman" w:cs="Times New Roman"/>
        </w:rPr>
        <w:t xml:space="preserve">limit on </w:t>
      </w:r>
      <w:r w:rsidR="00E718F2" w:rsidRPr="004842AA">
        <w:rPr>
          <w:rFonts w:ascii="Times New Roman" w:hAnsi="Times New Roman" w:cs="Times New Roman"/>
        </w:rPr>
        <w:t xml:space="preserve">the backstop’s </w:t>
      </w:r>
      <w:r w:rsidR="00E718F2" w:rsidRPr="004842AA">
        <w:rPr>
          <w:rFonts w:ascii="Times New Roman" w:hAnsi="Times New Roman" w:cs="Times New Roman"/>
        </w:rPr>
        <w:lastRenderedPageBreak/>
        <w:t>lifespan,</w:t>
      </w:r>
      <w:r w:rsidR="006B3230" w:rsidRPr="004842AA">
        <w:rPr>
          <w:rFonts w:ascii="Times New Roman" w:hAnsi="Times New Roman" w:cs="Times New Roman"/>
        </w:rPr>
        <w:t xml:space="preserve"> or a </w:t>
      </w:r>
      <w:r w:rsidR="00C51251" w:rsidRPr="004842AA">
        <w:rPr>
          <w:rFonts w:ascii="Times New Roman" w:hAnsi="Times New Roman" w:cs="Times New Roman"/>
        </w:rPr>
        <w:t>unilateral right for the UK to terminate the backstop of its own free will</w:t>
      </w:r>
      <w:r w:rsidR="00E718F2" w:rsidRPr="004842AA">
        <w:rPr>
          <w:rFonts w:ascii="Times New Roman" w:hAnsi="Times New Roman" w:cs="Times New Roman"/>
        </w:rPr>
        <w:t>)</w:t>
      </w:r>
      <w:r w:rsidR="00C51251" w:rsidRPr="004842AA">
        <w:rPr>
          <w:rFonts w:ascii="Times New Roman" w:hAnsi="Times New Roman" w:cs="Times New Roman"/>
        </w:rPr>
        <w:t>.</w:t>
      </w:r>
      <w:r w:rsidR="006B3230" w:rsidRPr="004842AA">
        <w:rPr>
          <w:rStyle w:val="FootnoteReference"/>
          <w:rFonts w:ascii="Times New Roman" w:hAnsi="Times New Roman" w:cs="Times New Roman"/>
        </w:rPr>
        <w:footnoteReference w:id="278"/>
      </w:r>
      <w:r w:rsidR="006B3230" w:rsidRPr="004842AA">
        <w:rPr>
          <w:rFonts w:ascii="Times New Roman" w:hAnsi="Times New Roman" w:cs="Times New Roman"/>
        </w:rPr>
        <w:t xml:space="preserve">  </w:t>
      </w:r>
    </w:p>
    <w:p w14:paraId="0C664721" w14:textId="5FBE1535" w:rsidR="006B3230" w:rsidRPr="00BE6612" w:rsidRDefault="00E718F2" w:rsidP="00BE6612">
      <w:pPr>
        <w:widowControl w:val="0"/>
        <w:autoSpaceDE w:val="0"/>
        <w:autoSpaceDN w:val="0"/>
        <w:adjustRightInd w:val="0"/>
        <w:ind w:firstLine="720"/>
        <w:jc w:val="both"/>
        <w:rPr>
          <w:rFonts w:ascii="Times New Roman" w:hAnsi="Times New Roman" w:cs="Times New Roman"/>
          <w:lang w:val="en-US"/>
        </w:rPr>
      </w:pPr>
      <w:r w:rsidRPr="004842AA">
        <w:rPr>
          <w:rFonts w:ascii="Times New Roman" w:hAnsi="Times New Roman" w:cs="Times New Roman"/>
        </w:rPr>
        <w:t xml:space="preserve">The third and final set of proposals to avoid a “hard border” for the movement of goods across the island of Ireland emerged from the new UK Government under Boris Johnson, who approached the problem with a very different set of priorities and calculations from those which had </w:t>
      </w:r>
      <w:r w:rsidR="00203FC1" w:rsidRPr="004842AA">
        <w:rPr>
          <w:rFonts w:ascii="Times New Roman" w:hAnsi="Times New Roman" w:cs="Times New Roman"/>
        </w:rPr>
        <w:t xml:space="preserve">so </w:t>
      </w:r>
      <w:r w:rsidRPr="004842AA">
        <w:rPr>
          <w:rFonts w:ascii="Times New Roman" w:hAnsi="Times New Roman" w:cs="Times New Roman"/>
        </w:rPr>
        <w:t>taxed his immediate predecessor.</w:t>
      </w:r>
      <w:r w:rsidR="009E4049">
        <w:rPr>
          <w:rStyle w:val="FootnoteReference"/>
          <w:rFonts w:ascii="Times New Roman" w:hAnsi="Times New Roman" w:cs="Times New Roman"/>
        </w:rPr>
        <w:footnoteReference w:id="279"/>
      </w:r>
      <w:r w:rsidRPr="004842AA">
        <w:rPr>
          <w:rFonts w:ascii="Times New Roman" w:hAnsi="Times New Roman" w:cs="Times New Roman"/>
        </w:rPr>
        <w:t xml:space="preserve">  </w:t>
      </w:r>
      <w:r w:rsidR="00203FC1" w:rsidRPr="004842AA">
        <w:rPr>
          <w:rFonts w:ascii="Times New Roman" w:hAnsi="Times New Roman" w:cs="Times New Roman"/>
        </w:rPr>
        <w:t xml:space="preserve">Those proposals formed the basis of </w:t>
      </w:r>
      <w:r w:rsidR="00B936EB">
        <w:rPr>
          <w:rFonts w:ascii="Times New Roman" w:hAnsi="Times New Roman" w:cs="Times New Roman"/>
        </w:rPr>
        <w:t xml:space="preserve">further </w:t>
      </w:r>
      <w:r w:rsidR="00203FC1" w:rsidRPr="004842AA">
        <w:rPr>
          <w:rFonts w:ascii="Times New Roman" w:hAnsi="Times New Roman" w:cs="Times New Roman"/>
        </w:rPr>
        <w:t>intensive negotiations,</w:t>
      </w:r>
      <w:r w:rsidR="00B936EB">
        <w:rPr>
          <w:rStyle w:val="FootnoteReference"/>
          <w:rFonts w:ascii="Times New Roman" w:hAnsi="Times New Roman" w:cs="Times New Roman"/>
        </w:rPr>
        <w:footnoteReference w:id="280"/>
      </w:r>
      <w:r w:rsidR="00203FC1" w:rsidRPr="004842AA">
        <w:rPr>
          <w:rFonts w:ascii="Times New Roman" w:hAnsi="Times New Roman" w:cs="Times New Roman"/>
        </w:rPr>
        <w:t xml:space="preserve"> culminating in a new Protocol on Ireland/Northern Ireland, within the revised </w:t>
      </w:r>
      <w:r w:rsidR="006B3230" w:rsidRPr="004842AA">
        <w:rPr>
          <w:rFonts w:ascii="Times New Roman" w:hAnsi="Times New Roman" w:cs="Times New Roman"/>
        </w:rPr>
        <w:t xml:space="preserve">Withdrawal Package </w:t>
      </w:r>
      <w:r w:rsidR="00203FC1" w:rsidRPr="004842AA">
        <w:rPr>
          <w:rFonts w:ascii="Times New Roman" w:hAnsi="Times New Roman" w:cs="Times New Roman"/>
        </w:rPr>
        <w:t>of October 2019, on the basis of which UK withdrawal duly occurred.</w:t>
      </w:r>
      <w:r w:rsidR="00DF259E">
        <w:rPr>
          <w:rStyle w:val="FootnoteReference"/>
          <w:rFonts w:ascii="Times New Roman" w:hAnsi="Times New Roman" w:cs="Times New Roman"/>
        </w:rPr>
        <w:footnoteReference w:id="281"/>
      </w:r>
      <w:r w:rsidR="00203FC1" w:rsidRPr="004842AA">
        <w:rPr>
          <w:rFonts w:ascii="Times New Roman" w:hAnsi="Times New Roman" w:cs="Times New Roman"/>
        </w:rPr>
        <w:t xml:space="preserve"> </w:t>
      </w:r>
      <w:r w:rsidR="007C1E80" w:rsidRPr="004842AA">
        <w:rPr>
          <w:rFonts w:ascii="Times New Roman" w:hAnsi="Times New Roman" w:cs="Times New Roman"/>
        </w:rPr>
        <w:t xml:space="preserve"> In effect, </w:t>
      </w:r>
      <w:r w:rsidR="006B3230" w:rsidRPr="004842AA">
        <w:rPr>
          <w:rFonts w:ascii="Times New Roman" w:eastAsia="Times New Roman" w:hAnsi="Times New Roman" w:cs="Times New Roman"/>
          <w:shd w:val="clear" w:color="auto" w:fill="FFFFFF"/>
        </w:rPr>
        <w:t xml:space="preserve">May’s UK-wide backstop </w:t>
      </w:r>
      <w:r w:rsidR="007C1E80" w:rsidRPr="004842AA">
        <w:rPr>
          <w:rFonts w:ascii="Times New Roman" w:eastAsia="Times New Roman" w:hAnsi="Times New Roman" w:cs="Times New Roman"/>
          <w:shd w:val="clear" w:color="auto" w:fill="FFFFFF"/>
        </w:rPr>
        <w:t xml:space="preserve">has been </w:t>
      </w:r>
      <w:r w:rsidR="006B3230" w:rsidRPr="004842AA">
        <w:rPr>
          <w:rFonts w:ascii="Times New Roman" w:eastAsia="Times New Roman" w:hAnsi="Times New Roman" w:cs="Times New Roman"/>
          <w:shd w:val="clear" w:color="auto" w:fill="FFFFFF"/>
        </w:rPr>
        <w:t xml:space="preserve">replaced by another </w:t>
      </w:r>
      <w:r w:rsidR="007C1E80" w:rsidRPr="004842AA">
        <w:rPr>
          <w:rFonts w:ascii="Times New Roman" w:eastAsia="Times New Roman" w:hAnsi="Times New Roman" w:cs="Times New Roman"/>
          <w:shd w:val="clear" w:color="auto" w:fill="FFFFFF"/>
        </w:rPr>
        <w:t>Northern Ireland</w:t>
      </w:r>
      <w:r w:rsidR="006B3230" w:rsidRPr="004842AA">
        <w:rPr>
          <w:rFonts w:ascii="Times New Roman" w:eastAsia="Times New Roman" w:hAnsi="Times New Roman" w:cs="Times New Roman"/>
          <w:shd w:val="clear" w:color="auto" w:fill="FFFFFF"/>
        </w:rPr>
        <w:t xml:space="preserve">-specific </w:t>
      </w:r>
      <w:r w:rsidR="007C1E80" w:rsidRPr="004842AA">
        <w:rPr>
          <w:rFonts w:ascii="Times New Roman" w:eastAsia="Times New Roman" w:hAnsi="Times New Roman" w:cs="Times New Roman"/>
          <w:shd w:val="clear" w:color="auto" w:fill="FFFFFF"/>
        </w:rPr>
        <w:t xml:space="preserve">regime: </w:t>
      </w:r>
      <w:r w:rsidR="00DC41E9">
        <w:rPr>
          <w:rFonts w:ascii="Times New Roman" w:eastAsia="Times New Roman" w:hAnsi="Times New Roman" w:cs="Times New Roman"/>
          <w:shd w:val="clear" w:color="auto" w:fill="FFFFFF"/>
        </w:rPr>
        <w:t xml:space="preserve">after all that, </w:t>
      </w:r>
      <w:r w:rsidR="00DF259E">
        <w:rPr>
          <w:rFonts w:ascii="Times New Roman" w:eastAsia="Times New Roman" w:hAnsi="Times New Roman" w:cs="Times New Roman"/>
          <w:shd w:val="clear" w:color="auto" w:fill="FFFFFF"/>
        </w:rPr>
        <w:t>it was the UK’s</w:t>
      </w:r>
      <w:r w:rsidR="007C1E80" w:rsidRPr="004842AA">
        <w:rPr>
          <w:rFonts w:ascii="Times New Roman" w:eastAsia="Times New Roman" w:hAnsi="Times New Roman" w:cs="Times New Roman"/>
          <w:shd w:val="clear" w:color="auto" w:fill="FFFFFF"/>
        </w:rPr>
        <w:t xml:space="preserve"> inconvenient third promise </w:t>
      </w:r>
      <w:r w:rsidR="00DF259E">
        <w:rPr>
          <w:rFonts w:ascii="Times New Roman" w:eastAsia="Times New Roman" w:hAnsi="Times New Roman" w:cs="Times New Roman"/>
          <w:shd w:val="clear" w:color="auto" w:fill="FFFFFF"/>
        </w:rPr>
        <w:t xml:space="preserve">that </w:t>
      </w:r>
      <w:r w:rsidR="00DC41E9">
        <w:rPr>
          <w:rFonts w:ascii="Times New Roman" w:eastAsia="Times New Roman" w:hAnsi="Times New Roman" w:cs="Times New Roman"/>
          <w:shd w:val="clear" w:color="auto" w:fill="FFFFFF"/>
        </w:rPr>
        <w:t xml:space="preserve">indeed </w:t>
      </w:r>
      <w:r w:rsidR="00DF259E">
        <w:rPr>
          <w:rFonts w:ascii="Times New Roman" w:eastAsia="Times New Roman" w:hAnsi="Times New Roman" w:cs="Times New Roman"/>
          <w:shd w:val="clear" w:color="auto" w:fill="FFFFFF"/>
        </w:rPr>
        <w:t xml:space="preserve">gave </w:t>
      </w:r>
      <w:r w:rsidR="00447FE1" w:rsidRPr="004842AA">
        <w:rPr>
          <w:rFonts w:ascii="Times New Roman" w:eastAsia="Times New Roman" w:hAnsi="Times New Roman" w:cs="Times New Roman"/>
          <w:shd w:val="clear" w:color="auto" w:fill="FFFFFF"/>
        </w:rPr>
        <w:t>way in the end</w:t>
      </w:r>
      <w:r w:rsidR="007C1E80" w:rsidRPr="004842AA">
        <w:rPr>
          <w:rFonts w:ascii="Times New Roman" w:eastAsia="Times New Roman" w:hAnsi="Times New Roman" w:cs="Times New Roman"/>
          <w:shd w:val="clear" w:color="auto" w:fill="FFFFFF"/>
        </w:rPr>
        <w:t>.</w:t>
      </w:r>
      <w:r w:rsidR="00B936EB">
        <w:rPr>
          <w:rStyle w:val="FootnoteReference"/>
          <w:rFonts w:ascii="Times New Roman" w:eastAsia="Times New Roman" w:hAnsi="Times New Roman" w:cs="Times New Roman"/>
          <w:shd w:val="clear" w:color="auto" w:fill="FFFFFF"/>
        </w:rPr>
        <w:footnoteReference w:id="282"/>
      </w:r>
      <w:r w:rsidR="007C1E80" w:rsidRPr="004842AA">
        <w:rPr>
          <w:rFonts w:ascii="Times New Roman" w:eastAsia="Times New Roman" w:hAnsi="Times New Roman" w:cs="Times New Roman"/>
          <w:shd w:val="clear" w:color="auto" w:fill="FFFFFF"/>
        </w:rPr>
        <w:t xml:space="preserve">  However, the final agreement is </w:t>
      </w:r>
      <w:r w:rsidR="006B3230" w:rsidRPr="004842AA">
        <w:rPr>
          <w:rFonts w:ascii="Times New Roman" w:eastAsia="Times New Roman" w:hAnsi="Times New Roman" w:cs="Times New Roman"/>
          <w:shd w:val="clear" w:color="auto" w:fill="FFFFFF"/>
        </w:rPr>
        <w:t xml:space="preserve">not quite the same as the </w:t>
      </w:r>
      <w:r w:rsidR="007C1E80" w:rsidRPr="004842AA">
        <w:rPr>
          <w:rFonts w:ascii="Times New Roman" w:eastAsia="Times New Roman" w:hAnsi="Times New Roman" w:cs="Times New Roman"/>
          <w:shd w:val="clear" w:color="auto" w:fill="FFFFFF"/>
        </w:rPr>
        <w:t xml:space="preserve">Union’s </w:t>
      </w:r>
      <w:r w:rsidR="006B3230" w:rsidRPr="004842AA">
        <w:rPr>
          <w:rFonts w:ascii="Times New Roman" w:eastAsia="Times New Roman" w:hAnsi="Times New Roman" w:cs="Times New Roman"/>
          <w:shd w:val="clear" w:color="auto" w:fill="FFFFFF"/>
        </w:rPr>
        <w:t>original proposals</w:t>
      </w:r>
      <w:r w:rsidR="007C1E80" w:rsidRPr="004842AA">
        <w:rPr>
          <w:rFonts w:ascii="Times New Roman" w:eastAsia="Times New Roman" w:hAnsi="Times New Roman" w:cs="Times New Roman"/>
          <w:shd w:val="clear" w:color="auto" w:fill="FFFFFF"/>
        </w:rPr>
        <w:t xml:space="preserve"> for a “common regulatory area”:</w:t>
      </w:r>
      <w:r w:rsidR="006B3230" w:rsidRPr="004842AA">
        <w:rPr>
          <w:rFonts w:ascii="Times New Roman" w:eastAsia="Times New Roman" w:hAnsi="Times New Roman" w:cs="Times New Roman"/>
          <w:shd w:val="clear" w:color="auto" w:fill="FFFFFF"/>
        </w:rPr>
        <w:t xml:space="preserve"> </w:t>
      </w:r>
      <w:r w:rsidR="007C1E80" w:rsidRPr="004842AA">
        <w:rPr>
          <w:rFonts w:ascii="Times New Roman" w:eastAsia="Times New Roman" w:hAnsi="Times New Roman" w:cs="Times New Roman"/>
          <w:shd w:val="clear" w:color="auto" w:fill="FFFFFF"/>
        </w:rPr>
        <w:t xml:space="preserve">Northern Ireland will </w:t>
      </w:r>
      <w:r w:rsidR="006B3230" w:rsidRPr="004842AA">
        <w:rPr>
          <w:rFonts w:ascii="Times New Roman" w:eastAsia="Times New Roman" w:hAnsi="Times New Roman" w:cs="Times New Roman"/>
          <w:shd w:val="clear" w:color="auto" w:fill="FFFFFF"/>
        </w:rPr>
        <w:t>remain formally within the UK customs territory</w:t>
      </w:r>
      <w:r w:rsidR="00DF259E">
        <w:rPr>
          <w:rFonts w:ascii="Times New Roman" w:eastAsia="Times New Roman" w:hAnsi="Times New Roman" w:cs="Times New Roman"/>
          <w:shd w:val="clear" w:color="auto" w:fill="FFFFFF"/>
        </w:rPr>
        <w:t>,</w:t>
      </w:r>
      <w:r w:rsidR="006B3230" w:rsidRPr="004842AA">
        <w:rPr>
          <w:rFonts w:ascii="Times New Roman" w:eastAsia="Times New Roman" w:hAnsi="Times New Roman" w:cs="Times New Roman"/>
          <w:shd w:val="clear" w:color="auto" w:fill="FFFFFF"/>
        </w:rPr>
        <w:t xml:space="preserve"> </w:t>
      </w:r>
      <w:r w:rsidR="007C1E80" w:rsidRPr="004842AA">
        <w:rPr>
          <w:rFonts w:ascii="Times New Roman" w:eastAsia="Times New Roman" w:hAnsi="Times New Roman" w:cs="Times New Roman"/>
          <w:shd w:val="clear" w:color="auto" w:fill="FFFFFF"/>
        </w:rPr>
        <w:t xml:space="preserve">at the same time as </w:t>
      </w:r>
      <w:r w:rsidR="006B3230" w:rsidRPr="004842AA">
        <w:rPr>
          <w:rFonts w:ascii="Times New Roman" w:eastAsia="Times New Roman" w:hAnsi="Times New Roman" w:cs="Times New Roman"/>
          <w:shd w:val="clear" w:color="auto" w:fill="FFFFFF"/>
        </w:rPr>
        <w:t xml:space="preserve">being treated de facto as part of the </w:t>
      </w:r>
      <w:r w:rsidR="007C1E80" w:rsidRPr="004842AA">
        <w:rPr>
          <w:rFonts w:ascii="Times New Roman" w:eastAsia="Times New Roman" w:hAnsi="Times New Roman" w:cs="Times New Roman"/>
          <w:shd w:val="clear" w:color="auto" w:fill="FFFFFF"/>
        </w:rPr>
        <w:t xml:space="preserve">Union’s </w:t>
      </w:r>
      <w:r w:rsidR="006B3230" w:rsidRPr="004842AA">
        <w:rPr>
          <w:rFonts w:ascii="Times New Roman" w:eastAsia="Times New Roman" w:hAnsi="Times New Roman" w:cs="Times New Roman"/>
          <w:shd w:val="clear" w:color="auto" w:fill="FFFFFF"/>
        </w:rPr>
        <w:t xml:space="preserve">customs </w:t>
      </w:r>
      <w:r w:rsidR="00670FAA" w:rsidRPr="004842AA">
        <w:rPr>
          <w:rFonts w:ascii="Times New Roman" w:eastAsia="Times New Roman" w:hAnsi="Times New Roman" w:cs="Times New Roman"/>
          <w:shd w:val="clear" w:color="auto" w:fill="FFFFFF"/>
        </w:rPr>
        <w:t>zone</w:t>
      </w:r>
      <w:r w:rsidR="00DF259E">
        <w:rPr>
          <w:rFonts w:ascii="Times New Roman" w:eastAsia="Times New Roman" w:hAnsi="Times New Roman" w:cs="Times New Roman"/>
          <w:shd w:val="clear" w:color="auto" w:fill="FFFFFF"/>
        </w:rPr>
        <w:t>,</w:t>
      </w:r>
      <w:r w:rsidR="007C1E80" w:rsidRPr="004842AA">
        <w:rPr>
          <w:rFonts w:ascii="Times New Roman" w:eastAsia="Times New Roman" w:hAnsi="Times New Roman" w:cs="Times New Roman"/>
          <w:shd w:val="clear" w:color="auto" w:fill="FFFFFF"/>
        </w:rPr>
        <w:t xml:space="preserve"> </w:t>
      </w:r>
      <w:r w:rsidR="006B3230" w:rsidRPr="004842AA">
        <w:rPr>
          <w:rFonts w:ascii="Times New Roman" w:eastAsia="Times New Roman" w:hAnsi="Times New Roman" w:cs="Times New Roman"/>
          <w:shd w:val="clear" w:color="auto" w:fill="FFFFFF"/>
        </w:rPr>
        <w:t xml:space="preserve">and </w:t>
      </w:r>
      <w:r w:rsidR="007C1E80" w:rsidRPr="004842AA">
        <w:rPr>
          <w:rFonts w:ascii="Times New Roman" w:eastAsia="Times New Roman" w:hAnsi="Times New Roman" w:cs="Times New Roman"/>
          <w:shd w:val="clear" w:color="auto" w:fill="FFFFFF"/>
        </w:rPr>
        <w:t xml:space="preserve">directly subject to an (albeit more limited) array of </w:t>
      </w:r>
      <w:r w:rsidR="006B3230" w:rsidRPr="004842AA">
        <w:rPr>
          <w:rFonts w:ascii="Times New Roman" w:eastAsia="Times New Roman" w:hAnsi="Times New Roman" w:cs="Times New Roman"/>
          <w:shd w:val="clear" w:color="auto" w:fill="FFFFFF"/>
        </w:rPr>
        <w:t xml:space="preserve">Single Market </w:t>
      </w:r>
      <w:r w:rsidR="007C1E80" w:rsidRPr="004842AA">
        <w:rPr>
          <w:rFonts w:ascii="Times New Roman" w:eastAsia="Times New Roman" w:hAnsi="Times New Roman" w:cs="Times New Roman"/>
          <w:shd w:val="clear" w:color="auto" w:fill="FFFFFF"/>
        </w:rPr>
        <w:t xml:space="preserve">regulation.  </w:t>
      </w:r>
    </w:p>
    <w:p w14:paraId="4AC3679F" w14:textId="77777777" w:rsidR="006B3230" w:rsidRPr="004842AA" w:rsidRDefault="006B3230" w:rsidP="004842AA">
      <w:pPr>
        <w:jc w:val="both"/>
        <w:rPr>
          <w:rFonts w:ascii="Times New Roman" w:eastAsia="Times New Roman" w:hAnsi="Times New Roman" w:cs="Times New Roman"/>
          <w:shd w:val="clear" w:color="auto" w:fill="FFFFFF"/>
        </w:rPr>
      </w:pPr>
    </w:p>
    <w:p w14:paraId="4FB5842B" w14:textId="79E804A4" w:rsidR="007C1E80" w:rsidRPr="004842AA" w:rsidRDefault="007C1E80" w:rsidP="004842AA">
      <w:pPr>
        <w:jc w:val="both"/>
        <w:rPr>
          <w:rFonts w:ascii="Times New Roman" w:hAnsi="Times New Roman" w:cs="Times New Roman"/>
          <w:i/>
        </w:rPr>
      </w:pPr>
      <w:r w:rsidRPr="004842AA">
        <w:rPr>
          <w:rFonts w:ascii="Times New Roman" w:hAnsi="Times New Roman" w:cs="Times New Roman"/>
          <w:i/>
        </w:rPr>
        <w:t>3.4.4.</w:t>
      </w:r>
      <w:r w:rsidRPr="004842AA">
        <w:rPr>
          <w:rFonts w:ascii="Times New Roman" w:hAnsi="Times New Roman" w:cs="Times New Roman"/>
          <w:i/>
        </w:rPr>
        <w:tab/>
      </w:r>
      <w:proofErr w:type="gramStart"/>
      <w:r w:rsidRPr="004842AA">
        <w:rPr>
          <w:rFonts w:ascii="Times New Roman" w:hAnsi="Times New Roman" w:cs="Times New Roman"/>
          <w:i/>
        </w:rPr>
        <w:t>What</w:t>
      </w:r>
      <w:proofErr w:type="gramEnd"/>
      <w:r w:rsidRPr="004842AA">
        <w:rPr>
          <w:rFonts w:ascii="Times New Roman" w:hAnsi="Times New Roman" w:cs="Times New Roman"/>
          <w:i/>
        </w:rPr>
        <w:t xml:space="preserve"> complicated webs we weave…</w:t>
      </w:r>
    </w:p>
    <w:p w14:paraId="3D2208DC" w14:textId="77777777" w:rsidR="007C1E80" w:rsidRPr="004842AA" w:rsidRDefault="007C1E80" w:rsidP="004842AA">
      <w:pPr>
        <w:jc w:val="both"/>
        <w:rPr>
          <w:rFonts w:ascii="Times New Roman" w:eastAsia="Times New Roman" w:hAnsi="Times New Roman" w:cs="Times New Roman"/>
          <w:shd w:val="clear" w:color="auto" w:fill="FFFFFF"/>
        </w:rPr>
      </w:pPr>
    </w:p>
    <w:p w14:paraId="6C2F5BF0" w14:textId="6C299363" w:rsidR="00BE6612" w:rsidRDefault="00390F95" w:rsidP="004842AA">
      <w:pPr>
        <w:jc w:val="both"/>
        <w:rPr>
          <w:rFonts w:ascii="Times New Roman" w:eastAsia="Times New Roman" w:hAnsi="Times New Roman" w:cs="Times New Roman"/>
          <w:shd w:val="clear" w:color="auto" w:fill="FFFFFF"/>
        </w:rPr>
      </w:pPr>
      <w:r w:rsidRPr="004842AA">
        <w:rPr>
          <w:rFonts w:ascii="Times New Roman" w:eastAsia="Times New Roman" w:hAnsi="Times New Roman" w:cs="Times New Roman"/>
          <w:shd w:val="clear" w:color="auto" w:fill="FFFFFF"/>
        </w:rPr>
        <w:t>In the first place, the</w:t>
      </w:r>
      <w:r w:rsidR="002D11F3" w:rsidRPr="004842AA">
        <w:rPr>
          <w:rFonts w:ascii="Times New Roman" w:eastAsia="Times New Roman" w:hAnsi="Times New Roman" w:cs="Times New Roman"/>
          <w:shd w:val="clear" w:color="auto" w:fill="FFFFFF"/>
        </w:rPr>
        <w:t xml:space="preserve"> Protocol makes provision for Northern Ireland’s future place within the Union’s customs and regulatory area.  In particular, </w:t>
      </w:r>
      <w:r w:rsidR="00670FAA" w:rsidRPr="004842AA">
        <w:rPr>
          <w:rFonts w:ascii="Times New Roman" w:eastAsia="Times New Roman" w:hAnsi="Times New Roman" w:cs="Times New Roman"/>
          <w:shd w:val="clear" w:color="auto" w:fill="FFFFFF"/>
        </w:rPr>
        <w:t xml:space="preserve">Northern Ireland </w:t>
      </w:r>
      <w:r w:rsidR="006B3230" w:rsidRPr="004842AA">
        <w:rPr>
          <w:rFonts w:ascii="Times New Roman" w:eastAsia="Times New Roman" w:hAnsi="Times New Roman" w:cs="Times New Roman"/>
          <w:shd w:val="clear" w:color="auto" w:fill="FFFFFF"/>
        </w:rPr>
        <w:t xml:space="preserve">will remain subject to large swathes of </w:t>
      </w:r>
      <w:r w:rsidR="00670FAA" w:rsidRPr="004842AA">
        <w:rPr>
          <w:rFonts w:ascii="Times New Roman" w:eastAsia="Times New Roman" w:hAnsi="Times New Roman" w:cs="Times New Roman"/>
          <w:shd w:val="clear" w:color="auto" w:fill="FFFFFF"/>
        </w:rPr>
        <w:t xml:space="preserve">Union </w:t>
      </w:r>
      <w:r w:rsidR="006B3230" w:rsidRPr="004842AA">
        <w:rPr>
          <w:rFonts w:ascii="Times New Roman" w:eastAsia="Times New Roman" w:hAnsi="Times New Roman" w:cs="Times New Roman"/>
          <w:shd w:val="clear" w:color="auto" w:fill="FFFFFF"/>
        </w:rPr>
        <w:t xml:space="preserve">legislation </w:t>
      </w:r>
      <w:r w:rsidR="00670FAA" w:rsidRPr="004842AA">
        <w:rPr>
          <w:rFonts w:ascii="Times New Roman" w:eastAsia="Times New Roman" w:hAnsi="Times New Roman" w:cs="Times New Roman"/>
          <w:shd w:val="clear" w:color="auto" w:fill="FFFFFF"/>
        </w:rPr>
        <w:t xml:space="preserve">covering </w:t>
      </w:r>
      <w:r w:rsidR="006B3230" w:rsidRPr="004842AA">
        <w:rPr>
          <w:rFonts w:ascii="Times New Roman" w:eastAsia="Times New Roman" w:hAnsi="Times New Roman" w:cs="Times New Roman"/>
          <w:shd w:val="clear" w:color="auto" w:fill="FFFFFF"/>
        </w:rPr>
        <w:t xml:space="preserve">customs, </w:t>
      </w:r>
      <w:r w:rsidR="0086361A" w:rsidRPr="004842AA">
        <w:rPr>
          <w:rFonts w:ascii="Times New Roman" w:eastAsia="Times New Roman" w:hAnsi="Times New Roman" w:cs="Times New Roman"/>
          <w:shd w:val="clear" w:color="auto" w:fill="FFFFFF"/>
        </w:rPr>
        <w:t xml:space="preserve">trade, </w:t>
      </w:r>
      <w:proofErr w:type="gramStart"/>
      <w:r w:rsidR="0086361A" w:rsidRPr="004842AA">
        <w:rPr>
          <w:rFonts w:ascii="Times New Roman" w:eastAsia="Times New Roman" w:hAnsi="Times New Roman" w:cs="Times New Roman"/>
          <w:shd w:val="clear" w:color="auto" w:fill="FFFFFF"/>
        </w:rPr>
        <w:t>the</w:t>
      </w:r>
      <w:proofErr w:type="gramEnd"/>
      <w:r w:rsidR="0086361A" w:rsidRPr="004842AA">
        <w:rPr>
          <w:rFonts w:ascii="Times New Roman" w:eastAsia="Times New Roman" w:hAnsi="Times New Roman" w:cs="Times New Roman"/>
          <w:shd w:val="clear" w:color="auto" w:fill="FFFFFF"/>
        </w:rPr>
        <w:t xml:space="preserve"> manufacture and marketing of </w:t>
      </w:r>
      <w:r w:rsidR="00670FAA" w:rsidRPr="004842AA">
        <w:rPr>
          <w:rFonts w:ascii="Times New Roman" w:eastAsia="Times New Roman" w:hAnsi="Times New Roman" w:cs="Times New Roman"/>
          <w:shd w:val="clear" w:color="auto" w:fill="FFFFFF"/>
        </w:rPr>
        <w:t xml:space="preserve">goods, VAT, excise duties and </w:t>
      </w:r>
      <w:r w:rsidR="006B3230" w:rsidRPr="004842AA">
        <w:rPr>
          <w:rFonts w:ascii="Times New Roman" w:eastAsia="Times New Roman" w:hAnsi="Times New Roman" w:cs="Times New Roman"/>
          <w:shd w:val="clear" w:color="auto" w:fill="FFFFFF"/>
        </w:rPr>
        <w:t>state aid</w:t>
      </w:r>
      <w:r w:rsidR="006B5E03" w:rsidRPr="004842AA">
        <w:rPr>
          <w:rFonts w:ascii="Times New Roman" w:eastAsia="Times New Roman" w:hAnsi="Times New Roman" w:cs="Times New Roman"/>
          <w:shd w:val="clear" w:color="auto" w:fill="FFFFFF"/>
        </w:rPr>
        <w:t>.</w:t>
      </w:r>
      <w:r w:rsidR="006B5E03" w:rsidRPr="004842AA">
        <w:rPr>
          <w:rStyle w:val="FootnoteReference"/>
          <w:rFonts w:ascii="Times New Roman" w:eastAsia="Times New Roman" w:hAnsi="Times New Roman" w:cs="Times New Roman"/>
          <w:shd w:val="clear" w:color="auto" w:fill="FFFFFF"/>
        </w:rPr>
        <w:footnoteReference w:id="283"/>
      </w:r>
      <w:r w:rsidR="006B5E03" w:rsidRPr="004842AA">
        <w:rPr>
          <w:rFonts w:ascii="Times New Roman" w:eastAsia="Times New Roman" w:hAnsi="Times New Roman" w:cs="Times New Roman"/>
          <w:shd w:val="clear" w:color="auto" w:fill="FFFFFF"/>
        </w:rPr>
        <w:t xml:space="preserve">  Such legislation will apply to Northern Ireland </w:t>
      </w:r>
      <w:r w:rsidR="00670FAA" w:rsidRPr="004842AA">
        <w:rPr>
          <w:rFonts w:ascii="Times New Roman" w:eastAsia="Times New Roman" w:hAnsi="Times New Roman" w:cs="Times New Roman"/>
          <w:shd w:val="clear" w:color="auto" w:fill="FFFFFF"/>
        </w:rPr>
        <w:t xml:space="preserve">on a dynamic </w:t>
      </w:r>
      <w:r w:rsidR="006B3230" w:rsidRPr="004842AA">
        <w:rPr>
          <w:rFonts w:ascii="Times New Roman" w:eastAsia="Times New Roman" w:hAnsi="Times New Roman" w:cs="Times New Roman"/>
          <w:shd w:val="clear" w:color="auto" w:fill="FFFFFF"/>
        </w:rPr>
        <w:t>basis</w:t>
      </w:r>
      <w:r w:rsidR="00EE62C2" w:rsidRPr="004842AA">
        <w:rPr>
          <w:rFonts w:ascii="Times New Roman" w:eastAsia="Times New Roman" w:hAnsi="Times New Roman" w:cs="Times New Roman"/>
          <w:shd w:val="clear" w:color="auto" w:fill="FFFFFF"/>
        </w:rPr>
        <w:t>.</w:t>
      </w:r>
      <w:r w:rsidR="00EE62C2" w:rsidRPr="004842AA">
        <w:rPr>
          <w:rStyle w:val="FootnoteReference"/>
          <w:rFonts w:ascii="Times New Roman" w:eastAsia="Times New Roman" w:hAnsi="Times New Roman" w:cs="Times New Roman"/>
          <w:shd w:val="clear" w:color="auto" w:fill="FFFFFF"/>
        </w:rPr>
        <w:footnoteReference w:id="284"/>
      </w:r>
      <w:r w:rsidR="006B3230" w:rsidRPr="004842AA">
        <w:rPr>
          <w:rFonts w:ascii="Times New Roman" w:eastAsia="Times New Roman" w:hAnsi="Times New Roman" w:cs="Times New Roman"/>
          <w:shd w:val="clear" w:color="auto" w:fill="FFFFFF"/>
        </w:rPr>
        <w:t xml:space="preserve"> </w:t>
      </w:r>
      <w:r w:rsidR="00EE62C2" w:rsidRPr="004842AA">
        <w:rPr>
          <w:rFonts w:ascii="Times New Roman" w:eastAsia="Times New Roman" w:hAnsi="Times New Roman" w:cs="Times New Roman"/>
          <w:shd w:val="clear" w:color="auto" w:fill="FFFFFF"/>
        </w:rPr>
        <w:t xml:space="preserve"> </w:t>
      </w:r>
      <w:r w:rsidR="00A53025" w:rsidRPr="004842AA">
        <w:rPr>
          <w:rFonts w:ascii="Times New Roman" w:eastAsia="Times New Roman" w:hAnsi="Times New Roman" w:cs="Times New Roman"/>
          <w:shd w:val="clear" w:color="auto" w:fill="FFFFFF"/>
        </w:rPr>
        <w:t xml:space="preserve">The Joint Committee will also address the implications of the </w:t>
      </w:r>
      <w:r w:rsidR="00EE62C2" w:rsidRPr="004842AA">
        <w:rPr>
          <w:rFonts w:ascii="Times New Roman" w:eastAsia="Times New Roman" w:hAnsi="Times New Roman" w:cs="Times New Roman"/>
          <w:shd w:val="clear" w:color="auto" w:fill="FFFFFF"/>
        </w:rPr>
        <w:t xml:space="preserve">future adoption of </w:t>
      </w:r>
      <w:r w:rsidR="001E4556">
        <w:rPr>
          <w:rFonts w:ascii="Times New Roman" w:eastAsia="Times New Roman" w:hAnsi="Times New Roman" w:cs="Times New Roman"/>
          <w:shd w:val="clear" w:color="auto" w:fill="FFFFFF"/>
        </w:rPr>
        <w:t xml:space="preserve">entirely </w:t>
      </w:r>
      <w:r w:rsidR="00EE62C2" w:rsidRPr="004842AA">
        <w:rPr>
          <w:rFonts w:ascii="Times New Roman" w:eastAsia="Times New Roman" w:hAnsi="Times New Roman" w:cs="Times New Roman"/>
          <w:shd w:val="clear" w:color="auto" w:fill="FFFFFF"/>
        </w:rPr>
        <w:t xml:space="preserve">new Union rules </w:t>
      </w:r>
      <w:r w:rsidRPr="004842AA">
        <w:rPr>
          <w:rFonts w:ascii="Times New Roman" w:eastAsia="Times New Roman" w:hAnsi="Times New Roman" w:cs="Times New Roman"/>
          <w:shd w:val="clear" w:color="auto" w:fill="FFFFFF"/>
        </w:rPr>
        <w:t>that nevertheless fall</w:t>
      </w:r>
      <w:r w:rsidR="00EE62C2" w:rsidRPr="004842AA">
        <w:rPr>
          <w:rFonts w:ascii="Times New Roman" w:eastAsia="Times New Roman" w:hAnsi="Times New Roman" w:cs="Times New Roman"/>
          <w:shd w:val="clear" w:color="auto" w:fill="FFFFFF"/>
        </w:rPr>
        <w:t xml:space="preserve"> within </w:t>
      </w:r>
      <w:r w:rsidR="00A53025" w:rsidRPr="004842AA">
        <w:rPr>
          <w:rFonts w:ascii="Times New Roman" w:eastAsia="Times New Roman" w:hAnsi="Times New Roman" w:cs="Times New Roman"/>
          <w:shd w:val="clear" w:color="auto" w:fill="FFFFFF"/>
        </w:rPr>
        <w:t xml:space="preserve">the </w:t>
      </w:r>
      <w:r w:rsidR="00EE62C2" w:rsidRPr="004842AA">
        <w:rPr>
          <w:rFonts w:ascii="Times New Roman" w:eastAsia="Times New Roman" w:hAnsi="Times New Roman" w:cs="Times New Roman"/>
          <w:shd w:val="clear" w:color="auto" w:fill="FFFFFF"/>
        </w:rPr>
        <w:t xml:space="preserve">scope of </w:t>
      </w:r>
      <w:r w:rsidR="00A53025" w:rsidRPr="004842AA">
        <w:rPr>
          <w:rFonts w:ascii="Times New Roman" w:eastAsia="Times New Roman" w:hAnsi="Times New Roman" w:cs="Times New Roman"/>
          <w:shd w:val="clear" w:color="auto" w:fill="FFFFFF"/>
        </w:rPr>
        <w:t>application of the Protocol</w:t>
      </w:r>
      <w:r w:rsidR="00EE62C2" w:rsidRPr="004842AA">
        <w:rPr>
          <w:rFonts w:ascii="Times New Roman" w:eastAsia="Times New Roman" w:hAnsi="Times New Roman" w:cs="Times New Roman"/>
          <w:shd w:val="clear" w:color="auto" w:fill="FFFFFF"/>
        </w:rPr>
        <w:t>.</w:t>
      </w:r>
      <w:r w:rsidR="00A53025" w:rsidRPr="004842AA">
        <w:rPr>
          <w:rStyle w:val="FootnoteReference"/>
          <w:rFonts w:ascii="Times New Roman" w:eastAsia="Times New Roman" w:hAnsi="Times New Roman" w:cs="Times New Roman"/>
          <w:shd w:val="clear" w:color="auto" w:fill="FFFFFF"/>
        </w:rPr>
        <w:footnoteReference w:id="285"/>
      </w:r>
      <w:r w:rsidR="00EE62C2" w:rsidRPr="004842AA">
        <w:rPr>
          <w:rFonts w:ascii="Times New Roman" w:eastAsia="Times New Roman" w:hAnsi="Times New Roman" w:cs="Times New Roman"/>
          <w:shd w:val="clear" w:color="auto" w:fill="FFFFFF"/>
        </w:rPr>
        <w:t xml:space="preserve">  Unlike so much of the rest of the Agreement, </w:t>
      </w:r>
      <w:r w:rsidRPr="004842AA">
        <w:rPr>
          <w:rFonts w:ascii="Times New Roman" w:eastAsia="Times New Roman" w:hAnsi="Times New Roman" w:cs="Times New Roman"/>
          <w:shd w:val="clear" w:color="auto" w:fill="FFFFFF"/>
        </w:rPr>
        <w:t xml:space="preserve">all </w:t>
      </w:r>
      <w:r w:rsidR="00EE62C2" w:rsidRPr="004842AA">
        <w:rPr>
          <w:rFonts w:ascii="Times New Roman" w:eastAsia="Times New Roman" w:hAnsi="Times New Roman" w:cs="Times New Roman"/>
          <w:shd w:val="clear" w:color="auto" w:fill="FFFFFF"/>
        </w:rPr>
        <w:t xml:space="preserve">relevant Union concepts and provisions </w:t>
      </w:r>
      <w:r w:rsidRPr="004842AA">
        <w:rPr>
          <w:rFonts w:ascii="Times New Roman" w:eastAsia="Times New Roman" w:hAnsi="Times New Roman" w:cs="Times New Roman"/>
          <w:shd w:val="clear" w:color="auto" w:fill="FFFFFF"/>
        </w:rPr>
        <w:t xml:space="preserve">must </w:t>
      </w:r>
      <w:r w:rsidR="00EE62C2" w:rsidRPr="004842AA">
        <w:rPr>
          <w:rFonts w:ascii="Times New Roman" w:eastAsia="Times New Roman" w:hAnsi="Times New Roman" w:cs="Times New Roman"/>
          <w:shd w:val="clear" w:color="auto" w:fill="FFFFFF"/>
        </w:rPr>
        <w:t xml:space="preserve">be interpreted fully </w:t>
      </w:r>
      <w:r w:rsidR="006B3230" w:rsidRPr="004842AA">
        <w:rPr>
          <w:rFonts w:ascii="Times New Roman" w:eastAsia="Times New Roman" w:hAnsi="Times New Roman" w:cs="Times New Roman"/>
          <w:shd w:val="clear" w:color="auto" w:fill="FFFFFF"/>
        </w:rPr>
        <w:t xml:space="preserve">in accordance with </w:t>
      </w:r>
      <w:r w:rsidR="00EE62C2" w:rsidRPr="004842AA">
        <w:rPr>
          <w:rFonts w:ascii="Times New Roman" w:eastAsia="Times New Roman" w:hAnsi="Times New Roman" w:cs="Times New Roman"/>
          <w:shd w:val="clear" w:color="auto" w:fill="FFFFFF"/>
        </w:rPr>
        <w:t xml:space="preserve">the </w:t>
      </w:r>
      <w:r w:rsidR="00670FAA" w:rsidRPr="004842AA">
        <w:rPr>
          <w:rFonts w:ascii="Times New Roman" w:eastAsia="Times New Roman" w:hAnsi="Times New Roman" w:cs="Times New Roman"/>
          <w:shd w:val="clear" w:color="auto" w:fill="FFFFFF"/>
        </w:rPr>
        <w:t>CJEU</w:t>
      </w:r>
      <w:r w:rsidR="00EE62C2" w:rsidRPr="004842AA">
        <w:rPr>
          <w:rFonts w:ascii="Times New Roman" w:eastAsia="Times New Roman" w:hAnsi="Times New Roman" w:cs="Times New Roman"/>
          <w:shd w:val="clear" w:color="auto" w:fill="FFFFFF"/>
        </w:rPr>
        <w:t>’s evolving</w:t>
      </w:r>
      <w:r w:rsidR="00670FAA" w:rsidRPr="004842AA">
        <w:rPr>
          <w:rFonts w:ascii="Times New Roman" w:eastAsia="Times New Roman" w:hAnsi="Times New Roman" w:cs="Times New Roman"/>
          <w:shd w:val="clear" w:color="auto" w:fill="FFFFFF"/>
        </w:rPr>
        <w:t xml:space="preserve"> </w:t>
      </w:r>
      <w:proofErr w:type="spellStart"/>
      <w:r w:rsidR="006B3230" w:rsidRPr="004842AA">
        <w:rPr>
          <w:rFonts w:ascii="Times New Roman" w:eastAsia="Times New Roman" w:hAnsi="Times New Roman" w:cs="Times New Roman"/>
          <w:shd w:val="clear" w:color="auto" w:fill="FFFFFF"/>
        </w:rPr>
        <w:t>caselaw</w:t>
      </w:r>
      <w:proofErr w:type="spellEnd"/>
      <w:r w:rsidR="006B3230" w:rsidRPr="004842AA">
        <w:rPr>
          <w:rFonts w:ascii="Times New Roman" w:eastAsia="Times New Roman" w:hAnsi="Times New Roman" w:cs="Times New Roman"/>
          <w:shd w:val="clear" w:color="auto" w:fill="FFFFFF"/>
        </w:rPr>
        <w:t>.</w:t>
      </w:r>
      <w:r w:rsidR="00CC4BDB" w:rsidRPr="004842AA">
        <w:rPr>
          <w:rStyle w:val="FootnoteReference"/>
          <w:rFonts w:ascii="Times New Roman" w:eastAsia="Times New Roman" w:hAnsi="Times New Roman" w:cs="Times New Roman"/>
          <w:shd w:val="clear" w:color="auto" w:fill="FFFFFF"/>
        </w:rPr>
        <w:footnoteReference w:id="286"/>
      </w:r>
      <w:r w:rsidR="006B3230" w:rsidRPr="004842AA">
        <w:rPr>
          <w:rFonts w:ascii="Times New Roman" w:eastAsia="Times New Roman" w:hAnsi="Times New Roman" w:cs="Times New Roman"/>
          <w:shd w:val="clear" w:color="auto" w:fill="FFFFFF"/>
        </w:rPr>
        <w:t xml:space="preserve"> </w:t>
      </w:r>
      <w:r w:rsidR="00670FAA" w:rsidRPr="004842AA">
        <w:rPr>
          <w:rFonts w:ascii="Times New Roman" w:eastAsia="Times New Roman" w:hAnsi="Times New Roman" w:cs="Times New Roman"/>
          <w:shd w:val="clear" w:color="auto" w:fill="FFFFFF"/>
        </w:rPr>
        <w:t xml:space="preserve"> </w:t>
      </w:r>
      <w:r w:rsidR="0086361A" w:rsidRPr="004842AA">
        <w:rPr>
          <w:rFonts w:ascii="Times New Roman" w:eastAsia="Times New Roman" w:hAnsi="Times New Roman" w:cs="Times New Roman"/>
          <w:shd w:val="clear" w:color="auto" w:fill="FFFFFF"/>
        </w:rPr>
        <w:t>In return, Articles 30 and 110 TFEU will continue to apply to Northern Ireland</w:t>
      </w:r>
      <w:r w:rsidR="00977545" w:rsidRPr="004842AA">
        <w:rPr>
          <w:rFonts w:ascii="Times New Roman" w:eastAsia="Times New Roman" w:hAnsi="Times New Roman" w:cs="Times New Roman"/>
          <w:shd w:val="clear" w:color="auto" w:fill="FFFFFF"/>
        </w:rPr>
        <w:t>;</w:t>
      </w:r>
      <w:r w:rsidR="00977545" w:rsidRPr="004842AA">
        <w:rPr>
          <w:rStyle w:val="FootnoteReference"/>
          <w:rFonts w:ascii="Times New Roman" w:eastAsia="Times New Roman" w:hAnsi="Times New Roman" w:cs="Times New Roman"/>
          <w:shd w:val="clear" w:color="auto" w:fill="FFFFFF"/>
        </w:rPr>
        <w:footnoteReference w:id="287"/>
      </w:r>
      <w:r w:rsidR="0086361A" w:rsidRPr="004842AA">
        <w:rPr>
          <w:rFonts w:ascii="Times New Roman" w:eastAsia="Times New Roman" w:hAnsi="Times New Roman" w:cs="Times New Roman"/>
          <w:shd w:val="clear" w:color="auto" w:fill="FFFFFF"/>
        </w:rPr>
        <w:t xml:space="preserve"> quantitative restrictions shall be prohibited between the Union and Northern Ireland</w:t>
      </w:r>
      <w:r w:rsidR="00977545" w:rsidRPr="004842AA">
        <w:rPr>
          <w:rFonts w:ascii="Times New Roman" w:eastAsia="Times New Roman" w:hAnsi="Times New Roman" w:cs="Times New Roman"/>
          <w:shd w:val="clear" w:color="auto" w:fill="FFFFFF"/>
        </w:rPr>
        <w:t>;</w:t>
      </w:r>
      <w:r w:rsidR="0086361A" w:rsidRPr="004842AA">
        <w:rPr>
          <w:rStyle w:val="FootnoteReference"/>
          <w:rFonts w:ascii="Times New Roman" w:eastAsia="Times New Roman" w:hAnsi="Times New Roman" w:cs="Times New Roman"/>
          <w:shd w:val="clear" w:color="auto" w:fill="FFFFFF"/>
        </w:rPr>
        <w:footnoteReference w:id="288"/>
      </w:r>
      <w:r w:rsidR="00977545" w:rsidRPr="004842AA">
        <w:rPr>
          <w:rFonts w:ascii="Times New Roman" w:eastAsia="Times New Roman" w:hAnsi="Times New Roman" w:cs="Times New Roman"/>
          <w:shd w:val="clear" w:color="auto" w:fill="FFFFFF"/>
        </w:rPr>
        <w:t xml:space="preserve"> and </w:t>
      </w:r>
      <w:proofErr w:type="gramStart"/>
      <w:r w:rsidR="00977545" w:rsidRPr="004842AA">
        <w:rPr>
          <w:rFonts w:ascii="Times New Roman" w:eastAsia="Times New Roman" w:hAnsi="Times New Roman" w:cs="Times New Roman"/>
          <w:shd w:val="clear" w:color="auto" w:fill="FFFFFF"/>
        </w:rPr>
        <w:t>placing Union goods on the market in Northern Ireland shall otherwise be governed by Articles 34 and 36 TFEU</w:t>
      </w:r>
      <w:proofErr w:type="gramEnd"/>
      <w:r w:rsidR="00977545" w:rsidRPr="004842AA">
        <w:rPr>
          <w:rFonts w:ascii="Times New Roman" w:eastAsia="Times New Roman" w:hAnsi="Times New Roman" w:cs="Times New Roman"/>
          <w:shd w:val="clear" w:color="auto" w:fill="FFFFFF"/>
        </w:rPr>
        <w:t>.</w:t>
      </w:r>
      <w:r w:rsidR="00977545" w:rsidRPr="004842AA">
        <w:rPr>
          <w:rStyle w:val="FootnoteReference"/>
          <w:rFonts w:ascii="Times New Roman" w:eastAsia="Times New Roman" w:hAnsi="Times New Roman" w:cs="Times New Roman"/>
          <w:shd w:val="clear" w:color="auto" w:fill="FFFFFF"/>
        </w:rPr>
        <w:footnoteReference w:id="289"/>
      </w:r>
    </w:p>
    <w:p w14:paraId="4B748685" w14:textId="2F5CF37A" w:rsidR="00BE6612" w:rsidRDefault="00670FAA" w:rsidP="00BE6612">
      <w:pPr>
        <w:ind w:firstLine="720"/>
        <w:jc w:val="both"/>
        <w:rPr>
          <w:rFonts w:ascii="Times New Roman" w:eastAsia="Times New Roman" w:hAnsi="Times New Roman" w:cs="Times New Roman"/>
          <w:shd w:val="clear" w:color="auto" w:fill="FFFFFF"/>
        </w:rPr>
      </w:pPr>
      <w:r w:rsidRPr="004842AA">
        <w:rPr>
          <w:rFonts w:ascii="Times New Roman" w:eastAsia="Times New Roman" w:hAnsi="Times New Roman" w:cs="Times New Roman"/>
          <w:shd w:val="clear" w:color="auto" w:fill="FFFFFF"/>
        </w:rPr>
        <w:t xml:space="preserve">By those means, the Union </w:t>
      </w:r>
      <w:r w:rsidR="006B3230" w:rsidRPr="004842AA">
        <w:rPr>
          <w:rFonts w:ascii="Times New Roman" w:eastAsia="Times New Roman" w:hAnsi="Times New Roman" w:cs="Times New Roman"/>
          <w:shd w:val="clear" w:color="auto" w:fill="FFFFFF"/>
        </w:rPr>
        <w:t xml:space="preserve">succeeds in protecting the basic integrity of the </w:t>
      </w:r>
      <w:r w:rsidRPr="004842AA">
        <w:rPr>
          <w:rFonts w:ascii="Times New Roman" w:eastAsia="Times New Roman" w:hAnsi="Times New Roman" w:cs="Times New Roman"/>
          <w:shd w:val="clear" w:color="auto" w:fill="FFFFFF"/>
        </w:rPr>
        <w:t xml:space="preserve">Customs Union and </w:t>
      </w:r>
      <w:r w:rsidR="006B3230" w:rsidRPr="004842AA">
        <w:rPr>
          <w:rFonts w:ascii="Times New Roman" w:eastAsia="Times New Roman" w:hAnsi="Times New Roman" w:cs="Times New Roman"/>
          <w:shd w:val="clear" w:color="auto" w:fill="FFFFFF"/>
        </w:rPr>
        <w:t xml:space="preserve">Single Market whilst </w:t>
      </w:r>
      <w:r w:rsidRPr="004842AA">
        <w:rPr>
          <w:rFonts w:ascii="Times New Roman" w:eastAsia="Times New Roman" w:hAnsi="Times New Roman" w:cs="Times New Roman"/>
          <w:shd w:val="clear" w:color="auto" w:fill="FFFFFF"/>
        </w:rPr>
        <w:t xml:space="preserve">also </w:t>
      </w:r>
      <w:r w:rsidR="006B3230" w:rsidRPr="004842AA">
        <w:rPr>
          <w:rFonts w:ascii="Times New Roman" w:eastAsia="Times New Roman" w:hAnsi="Times New Roman" w:cs="Times New Roman"/>
          <w:shd w:val="clear" w:color="auto" w:fill="FFFFFF"/>
        </w:rPr>
        <w:t xml:space="preserve">avoiding a hard border </w:t>
      </w:r>
      <w:r w:rsidRPr="004842AA">
        <w:rPr>
          <w:rFonts w:ascii="Times New Roman" w:eastAsia="Times New Roman" w:hAnsi="Times New Roman" w:cs="Times New Roman"/>
          <w:shd w:val="clear" w:color="auto" w:fill="FFFFFF"/>
        </w:rPr>
        <w:t xml:space="preserve">for the movement </w:t>
      </w:r>
      <w:r w:rsidRPr="004842AA">
        <w:rPr>
          <w:rFonts w:ascii="Times New Roman" w:eastAsia="Times New Roman" w:hAnsi="Times New Roman" w:cs="Times New Roman"/>
          <w:shd w:val="clear" w:color="auto" w:fill="FFFFFF"/>
        </w:rPr>
        <w:lastRenderedPageBreak/>
        <w:t xml:space="preserve">of goods </w:t>
      </w:r>
      <w:r w:rsidR="006B3230" w:rsidRPr="004842AA">
        <w:rPr>
          <w:rFonts w:ascii="Times New Roman" w:eastAsia="Times New Roman" w:hAnsi="Times New Roman" w:cs="Times New Roman"/>
          <w:shd w:val="clear" w:color="auto" w:fill="FFFFFF"/>
        </w:rPr>
        <w:t>across the island of Ireland</w:t>
      </w:r>
      <w:r w:rsidRPr="004842AA">
        <w:rPr>
          <w:rFonts w:ascii="Times New Roman" w:eastAsia="Times New Roman" w:hAnsi="Times New Roman" w:cs="Times New Roman"/>
          <w:shd w:val="clear" w:color="auto" w:fill="FFFFFF"/>
        </w:rPr>
        <w:t>.  But this did involve making some important compromises.</w:t>
      </w:r>
      <w:r w:rsidR="00E97AD2" w:rsidRPr="004842AA">
        <w:rPr>
          <w:rFonts w:ascii="Times New Roman" w:eastAsia="Times New Roman" w:hAnsi="Times New Roman" w:cs="Times New Roman"/>
          <w:shd w:val="clear" w:color="auto" w:fill="FFFFFF"/>
        </w:rPr>
        <w:t xml:space="preserve"> For example,</w:t>
      </w:r>
      <w:r w:rsidRPr="004842AA">
        <w:rPr>
          <w:rFonts w:ascii="Times New Roman" w:eastAsia="Times New Roman" w:hAnsi="Times New Roman" w:cs="Times New Roman"/>
          <w:shd w:val="clear" w:color="auto" w:fill="FFFFFF"/>
        </w:rPr>
        <w:t xml:space="preserve"> as </w:t>
      </w:r>
      <w:proofErr w:type="spellStart"/>
      <w:r w:rsidRPr="004842AA">
        <w:rPr>
          <w:rFonts w:ascii="Times New Roman" w:eastAsia="Times New Roman" w:hAnsi="Times New Roman" w:cs="Times New Roman"/>
          <w:shd w:val="clear" w:color="auto" w:fill="FFFFFF"/>
        </w:rPr>
        <w:t>Weatherill</w:t>
      </w:r>
      <w:proofErr w:type="spellEnd"/>
      <w:r w:rsidRPr="004842AA">
        <w:rPr>
          <w:rFonts w:ascii="Times New Roman" w:eastAsia="Times New Roman" w:hAnsi="Times New Roman" w:cs="Times New Roman"/>
          <w:shd w:val="clear" w:color="auto" w:fill="FFFFFF"/>
        </w:rPr>
        <w:t xml:space="preserve"> has pointed out, the Union</w:t>
      </w:r>
      <w:r w:rsidR="00CC4BDB" w:rsidRPr="004842AA">
        <w:rPr>
          <w:rFonts w:ascii="Times New Roman" w:eastAsia="Times New Roman" w:hAnsi="Times New Roman" w:cs="Times New Roman"/>
          <w:shd w:val="clear" w:color="auto" w:fill="FFFFFF"/>
        </w:rPr>
        <w:t xml:space="preserve"> was forced to qualify its staunch political mantra that the four freedoms of the Single Market must be regarded as “indivisible”;</w:t>
      </w:r>
      <w:r w:rsidR="00CC4BDB" w:rsidRPr="004842AA">
        <w:rPr>
          <w:rStyle w:val="FootnoteReference"/>
          <w:rFonts w:ascii="Times New Roman" w:eastAsia="Times New Roman" w:hAnsi="Times New Roman" w:cs="Times New Roman"/>
          <w:shd w:val="clear" w:color="auto" w:fill="FFFFFF"/>
        </w:rPr>
        <w:footnoteReference w:id="290"/>
      </w:r>
      <w:r w:rsidRPr="004842AA">
        <w:rPr>
          <w:rFonts w:ascii="Times New Roman" w:eastAsia="Times New Roman" w:hAnsi="Times New Roman" w:cs="Times New Roman"/>
          <w:shd w:val="clear" w:color="auto" w:fill="FFFFFF"/>
        </w:rPr>
        <w:t xml:space="preserve"> </w:t>
      </w:r>
      <w:r w:rsidR="00CC4BDB" w:rsidRPr="004842AA">
        <w:rPr>
          <w:rFonts w:ascii="Times New Roman" w:eastAsia="Times New Roman" w:hAnsi="Times New Roman" w:cs="Times New Roman"/>
          <w:shd w:val="clear" w:color="auto" w:fill="FFFFFF"/>
        </w:rPr>
        <w:t xml:space="preserve">albeit by reference to </w:t>
      </w:r>
      <w:r w:rsidR="00FA32AE">
        <w:rPr>
          <w:rFonts w:ascii="Times New Roman" w:eastAsia="Times New Roman" w:hAnsi="Times New Roman" w:cs="Times New Roman"/>
          <w:shd w:val="clear" w:color="auto" w:fill="FFFFFF"/>
        </w:rPr>
        <w:t>the</w:t>
      </w:r>
      <w:r w:rsidR="00CC4BDB" w:rsidRPr="004842AA">
        <w:rPr>
          <w:rFonts w:ascii="Times New Roman" w:eastAsia="Times New Roman" w:hAnsi="Times New Roman" w:cs="Times New Roman"/>
          <w:shd w:val="clear" w:color="auto" w:fill="FFFFFF"/>
        </w:rPr>
        <w:t xml:space="preserve"> equally important slogan that the unique challenges </w:t>
      </w:r>
      <w:r w:rsidR="00390F95" w:rsidRPr="004842AA">
        <w:rPr>
          <w:rFonts w:ascii="Times New Roman" w:eastAsia="Times New Roman" w:hAnsi="Times New Roman" w:cs="Times New Roman"/>
          <w:shd w:val="clear" w:color="auto" w:fill="FFFFFF"/>
        </w:rPr>
        <w:t xml:space="preserve">for Ireland </w:t>
      </w:r>
      <w:r w:rsidR="00CC4BDB" w:rsidRPr="004842AA">
        <w:rPr>
          <w:rFonts w:ascii="Times New Roman" w:eastAsia="Times New Roman" w:hAnsi="Times New Roman" w:cs="Times New Roman"/>
          <w:shd w:val="clear" w:color="auto" w:fill="FFFFFF"/>
        </w:rPr>
        <w:t>posed by Brexit call for unique solutions.</w:t>
      </w:r>
      <w:r w:rsidR="00CC4BDB" w:rsidRPr="004842AA">
        <w:rPr>
          <w:rStyle w:val="FootnoteReference"/>
          <w:rFonts w:ascii="Times New Roman" w:eastAsia="Times New Roman" w:hAnsi="Times New Roman" w:cs="Times New Roman"/>
          <w:shd w:val="clear" w:color="auto" w:fill="FFFFFF"/>
        </w:rPr>
        <w:footnoteReference w:id="291"/>
      </w:r>
      <w:r w:rsidRPr="004842AA">
        <w:rPr>
          <w:rFonts w:ascii="Times New Roman" w:eastAsia="Times New Roman" w:hAnsi="Times New Roman" w:cs="Times New Roman"/>
          <w:shd w:val="clear" w:color="auto" w:fill="FFFFFF"/>
        </w:rPr>
        <w:t xml:space="preserve"> </w:t>
      </w:r>
      <w:r w:rsidR="00CC4BDB" w:rsidRPr="004842AA">
        <w:rPr>
          <w:rFonts w:ascii="Times New Roman" w:eastAsia="Times New Roman" w:hAnsi="Times New Roman" w:cs="Times New Roman"/>
          <w:shd w:val="clear" w:color="auto" w:fill="FFFFFF"/>
        </w:rPr>
        <w:t xml:space="preserve"> </w:t>
      </w:r>
      <w:r w:rsidR="00E97AD2" w:rsidRPr="004842AA">
        <w:rPr>
          <w:rFonts w:ascii="Times New Roman" w:eastAsia="Times New Roman" w:hAnsi="Times New Roman" w:cs="Times New Roman"/>
          <w:shd w:val="clear" w:color="auto" w:fill="FFFFFF"/>
        </w:rPr>
        <w:t>More significantly</w:t>
      </w:r>
      <w:r w:rsidR="00CC4BDB" w:rsidRPr="004842AA">
        <w:rPr>
          <w:rFonts w:ascii="Times New Roman" w:eastAsia="Times New Roman" w:hAnsi="Times New Roman" w:cs="Times New Roman"/>
          <w:shd w:val="clear" w:color="auto" w:fill="FFFFFF"/>
        </w:rPr>
        <w:t>, the Union has accepted</w:t>
      </w:r>
      <w:r w:rsidRPr="004842AA">
        <w:rPr>
          <w:rFonts w:ascii="Times New Roman" w:eastAsia="Times New Roman" w:hAnsi="Times New Roman" w:cs="Times New Roman"/>
          <w:shd w:val="clear" w:color="auto" w:fill="FFFFFF"/>
        </w:rPr>
        <w:t xml:space="preserve"> that an external frontier of the Customs Union and Single Market will in future be policed by a third country</w:t>
      </w:r>
      <w:r w:rsidR="00CC4BDB" w:rsidRPr="004842AA">
        <w:rPr>
          <w:rFonts w:ascii="Times New Roman" w:eastAsia="Times New Roman" w:hAnsi="Times New Roman" w:cs="Times New Roman"/>
          <w:shd w:val="clear" w:color="auto" w:fill="FFFFFF"/>
        </w:rPr>
        <w:t>:</w:t>
      </w:r>
      <w:r w:rsidRPr="004842AA">
        <w:rPr>
          <w:rFonts w:ascii="Times New Roman" w:eastAsia="Times New Roman" w:hAnsi="Times New Roman" w:cs="Times New Roman"/>
          <w:shd w:val="clear" w:color="auto" w:fill="FFFFFF"/>
        </w:rPr>
        <w:t xml:space="preserve"> </w:t>
      </w:r>
      <w:r w:rsidR="006B3230" w:rsidRPr="004842AA">
        <w:rPr>
          <w:rFonts w:ascii="Times New Roman" w:eastAsia="Times New Roman" w:hAnsi="Times New Roman" w:cs="Times New Roman"/>
          <w:shd w:val="clear" w:color="auto" w:fill="FFFFFF"/>
        </w:rPr>
        <w:t xml:space="preserve">many of the </w:t>
      </w:r>
      <w:r w:rsidR="00CC4BDB" w:rsidRPr="004842AA">
        <w:rPr>
          <w:rFonts w:ascii="Times New Roman" w:eastAsia="Times New Roman" w:hAnsi="Times New Roman" w:cs="Times New Roman"/>
          <w:shd w:val="clear" w:color="auto" w:fill="FFFFFF"/>
        </w:rPr>
        <w:t xml:space="preserve">Union </w:t>
      </w:r>
      <w:r w:rsidR="006B3230" w:rsidRPr="004842AA">
        <w:rPr>
          <w:rFonts w:ascii="Times New Roman" w:eastAsia="Times New Roman" w:hAnsi="Times New Roman" w:cs="Times New Roman"/>
          <w:shd w:val="clear" w:color="auto" w:fill="FFFFFF"/>
        </w:rPr>
        <w:t xml:space="preserve">rules </w:t>
      </w:r>
      <w:r w:rsidR="00CC4BDB" w:rsidRPr="004842AA">
        <w:rPr>
          <w:rFonts w:ascii="Times New Roman" w:eastAsia="Times New Roman" w:hAnsi="Times New Roman" w:cs="Times New Roman"/>
          <w:shd w:val="clear" w:color="auto" w:fill="FFFFFF"/>
        </w:rPr>
        <w:t xml:space="preserve">applicable to Northern Ireland </w:t>
      </w:r>
      <w:r w:rsidR="006B3230" w:rsidRPr="004842AA">
        <w:rPr>
          <w:rFonts w:ascii="Times New Roman" w:eastAsia="Times New Roman" w:hAnsi="Times New Roman" w:cs="Times New Roman"/>
          <w:shd w:val="clear" w:color="auto" w:fill="FFFFFF"/>
        </w:rPr>
        <w:t xml:space="preserve">will </w:t>
      </w:r>
      <w:r w:rsidRPr="004842AA">
        <w:rPr>
          <w:rFonts w:ascii="Times New Roman" w:eastAsia="Times New Roman" w:hAnsi="Times New Roman" w:cs="Times New Roman"/>
          <w:shd w:val="clear" w:color="auto" w:fill="FFFFFF"/>
        </w:rPr>
        <w:t xml:space="preserve">have to </w:t>
      </w:r>
      <w:r w:rsidR="006B3230" w:rsidRPr="004842AA">
        <w:rPr>
          <w:rFonts w:ascii="Times New Roman" w:eastAsia="Times New Roman" w:hAnsi="Times New Roman" w:cs="Times New Roman"/>
          <w:shd w:val="clear" w:color="auto" w:fill="FFFFFF"/>
        </w:rPr>
        <w:t xml:space="preserve">be enforced on the ground by </w:t>
      </w:r>
      <w:r w:rsidRPr="004842AA">
        <w:rPr>
          <w:rFonts w:ascii="Times New Roman" w:eastAsia="Times New Roman" w:hAnsi="Times New Roman" w:cs="Times New Roman"/>
          <w:shd w:val="clear" w:color="auto" w:fill="FFFFFF"/>
        </w:rPr>
        <w:t xml:space="preserve">the </w:t>
      </w:r>
      <w:r w:rsidR="006B3230" w:rsidRPr="004842AA">
        <w:rPr>
          <w:rFonts w:ascii="Times New Roman" w:eastAsia="Times New Roman" w:hAnsi="Times New Roman" w:cs="Times New Roman"/>
          <w:shd w:val="clear" w:color="auto" w:fill="FFFFFF"/>
        </w:rPr>
        <w:t xml:space="preserve">UK </w:t>
      </w:r>
      <w:r w:rsidRPr="004842AA">
        <w:rPr>
          <w:rFonts w:ascii="Times New Roman" w:eastAsia="Times New Roman" w:hAnsi="Times New Roman" w:cs="Times New Roman"/>
          <w:shd w:val="clear" w:color="auto" w:fill="FFFFFF"/>
        </w:rPr>
        <w:t>authorities</w:t>
      </w:r>
      <w:r w:rsidR="002B21E1" w:rsidRPr="004842AA">
        <w:rPr>
          <w:rFonts w:ascii="Times New Roman" w:eastAsia="Times New Roman" w:hAnsi="Times New Roman" w:cs="Times New Roman"/>
          <w:shd w:val="clear" w:color="auto" w:fill="FFFFFF"/>
        </w:rPr>
        <w:t>.</w:t>
      </w:r>
      <w:r w:rsidR="002B21E1" w:rsidRPr="004842AA">
        <w:rPr>
          <w:rStyle w:val="FootnoteReference"/>
          <w:rFonts w:ascii="Times New Roman" w:eastAsia="Times New Roman" w:hAnsi="Times New Roman" w:cs="Times New Roman"/>
          <w:shd w:val="clear" w:color="auto" w:fill="FFFFFF"/>
        </w:rPr>
        <w:footnoteReference w:id="292"/>
      </w:r>
      <w:r w:rsidR="002B21E1" w:rsidRPr="004842AA">
        <w:rPr>
          <w:rFonts w:ascii="Times New Roman" w:eastAsia="Times New Roman" w:hAnsi="Times New Roman" w:cs="Times New Roman"/>
          <w:shd w:val="clear" w:color="auto" w:fill="FFFFFF"/>
        </w:rPr>
        <w:t xml:space="preserve">  That is an </w:t>
      </w:r>
      <w:r w:rsidR="00E97AD2" w:rsidRPr="004842AA">
        <w:rPr>
          <w:rFonts w:ascii="Times New Roman" w:eastAsia="Times New Roman" w:hAnsi="Times New Roman" w:cs="Times New Roman"/>
          <w:shd w:val="clear" w:color="auto" w:fill="FFFFFF"/>
        </w:rPr>
        <w:t xml:space="preserve">especially noteworthy </w:t>
      </w:r>
      <w:r w:rsidR="00CC4BDB" w:rsidRPr="004842AA">
        <w:rPr>
          <w:rFonts w:ascii="Times New Roman" w:eastAsia="Times New Roman" w:hAnsi="Times New Roman" w:cs="Times New Roman"/>
          <w:shd w:val="clear" w:color="auto" w:fill="FFFFFF"/>
        </w:rPr>
        <w:t>concession, given that the latter currently stand accused of failing to tackle serious border fraud as regards the importation of third country goods into the Single Market.</w:t>
      </w:r>
      <w:r w:rsidR="00CC4BDB" w:rsidRPr="004842AA">
        <w:rPr>
          <w:rStyle w:val="FootnoteReference"/>
          <w:rFonts w:ascii="Times New Roman" w:eastAsia="Times New Roman" w:hAnsi="Times New Roman" w:cs="Times New Roman"/>
          <w:shd w:val="clear" w:color="auto" w:fill="FFFFFF"/>
        </w:rPr>
        <w:footnoteReference w:id="293"/>
      </w:r>
      <w:r w:rsidR="00CC4BDB" w:rsidRPr="004842AA">
        <w:rPr>
          <w:rFonts w:ascii="Times New Roman" w:eastAsia="Times New Roman" w:hAnsi="Times New Roman" w:cs="Times New Roman"/>
          <w:shd w:val="clear" w:color="auto" w:fill="FFFFFF"/>
        </w:rPr>
        <w:t xml:space="preserve">  </w:t>
      </w:r>
    </w:p>
    <w:p w14:paraId="23458304" w14:textId="4F6F8D93" w:rsidR="00BE6612" w:rsidRDefault="00670FAA" w:rsidP="00BE6612">
      <w:pPr>
        <w:ind w:firstLine="720"/>
        <w:jc w:val="both"/>
        <w:rPr>
          <w:rFonts w:ascii="Times New Roman" w:eastAsia="Times New Roman" w:hAnsi="Times New Roman" w:cs="Times New Roman"/>
          <w:shd w:val="clear" w:color="auto" w:fill="FFFFFF"/>
        </w:rPr>
      </w:pPr>
      <w:r w:rsidRPr="004842AA">
        <w:rPr>
          <w:rFonts w:ascii="Times New Roman" w:eastAsia="Times New Roman" w:hAnsi="Times New Roman" w:cs="Times New Roman"/>
          <w:shd w:val="clear" w:color="auto" w:fill="FFFFFF"/>
        </w:rPr>
        <w:t xml:space="preserve">However, </w:t>
      </w:r>
      <w:r w:rsidR="002B21E1" w:rsidRPr="004842AA">
        <w:rPr>
          <w:rFonts w:ascii="Times New Roman" w:eastAsia="Times New Roman" w:hAnsi="Times New Roman" w:cs="Times New Roman"/>
          <w:shd w:val="clear" w:color="auto" w:fill="FFFFFF"/>
        </w:rPr>
        <w:t xml:space="preserve">those </w:t>
      </w:r>
      <w:r w:rsidR="00CC4BDB" w:rsidRPr="004842AA">
        <w:rPr>
          <w:rFonts w:ascii="Times New Roman" w:eastAsia="Times New Roman" w:hAnsi="Times New Roman" w:cs="Times New Roman"/>
          <w:shd w:val="clear" w:color="auto" w:fill="FFFFFF"/>
        </w:rPr>
        <w:t>British authorities enforcing Union law in Northern Ireland</w:t>
      </w:r>
      <w:r w:rsidRPr="004842AA">
        <w:rPr>
          <w:rFonts w:ascii="Times New Roman" w:eastAsia="Times New Roman" w:hAnsi="Times New Roman" w:cs="Times New Roman"/>
          <w:shd w:val="clear" w:color="auto" w:fill="FFFFFF"/>
        </w:rPr>
        <w:t xml:space="preserve"> will </w:t>
      </w:r>
      <w:r w:rsidR="002B21E1" w:rsidRPr="004842AA">
        <w:rPr>
          <w:rFonts w:ascii="Times New Roman" w:eastAsia="Times New Roman" w:hAnsi="Times New Roman" w:cs="Times New Roman"/>
          <w:shd w:val="clear" w:color="auto" w:fill="FFFFFF"/>
        </w:rPr>
        <w:t>be</w:t>
      </w:r>
      <w:r w:rsidRPr="004842AA">
        <w:rPr>
          <w:rFonts w:ascii="Times New Roman" w:eastAsia="Times New Roman" w:hAnsi="Times New Roman" w:cs="Times New Roman"/>
          <w:shd w:val="clear" w:color="auto" w:fill="FFFFFF"/>
        </w:rPr>
        <w:t xml:space="preserve"> </w:t>
      </w:r>
      <w:r w:rsidR="006B3230" w:rsidRPr="004842AA">
        <w:rPr>
          <w:rFonts w:ascii="Times New Roman" w:eastAsia="Times New Roman" w:hAnsi="Times New Roman" w:cs="Times New Roman"/>
          <w:shd w:val="clear" w:color="auto" w:fill="FFFFFF"/>
        </w:rPr>
        <w:t xml:space="preserve">subject to </w:t>
      </w:r>
      <w:r w:rsidR="002B21E1" w:rsidRPr="004842AA">
        <w:rPr>
          <w:rFonts w:ascii="Times New Roman" w:eastAsia="Times New Roman" w:hAnsi="Times New Roman" w:cs="Times New Roman"/>
          <w:shd w:val="clear" w:color="auto" w:fill="FFFFFF"/>
        </w:rPr>
        <w:t xml:space="preserve">certain forms of </w:t>
      </w:r>
      <w:r w:rsidRPr="004842AA">
        <w:rPr>
          <w:rFonts w:ascii="Times New Roman" w:eastAsia="Times New Roman" w:hAnsi="Times New Roman" w:cs="Times New Roman"/>
          <w:shd w:val="clear" w:color="auto" w:fill="FFFFFF"/>
        </w:rPr>
        <w:t>Union supervision</w:t>
      </w:r>
      <w:r w:rsidR="00D540AB" w:rsidRPr="004842AA">
        <w:rPr>
          <w:rFonts w:ascii="Times New Roman" w:eastAsia="Times New Roman" w:hAnsi="Times New Roman" w:cs="Times New Roman"/>
          <w:shd w:val="clear" w:color="auto" w:fill="FFFFFF"/>
        </w:rPr>
        <w:t xml:space="preserve"> – including the duty to provide information on request, the right of Union representatives to be present during relevant activities and even the power of Union officials to order their UK colleagues to carry out control measures in individual cases for duly stated reasons</w:t>
      </w:r>
      <w:r w:rsidRPr="004842AA">
        <w:rPr>
          <w:rFonts w:ascii="Times New Roman" w:eastAsia="Times New Roman" w:hAnsi="Times New Roman" w:cs="Times New Roman"/>
          <w:shd w:val="clear" w:color="auto" w:fill="FFFFFF"/>
        </w:rPr>
        <w:t>.</w:t>
      </w:r>
      <w:r w:rsidR="00CC4BDB" w:rsidRPr="004842AA">
        <w:rPr>
          <w:rStyle w:val="FootnoteReference"/>
          <w:rFonts w:ascii="Times New Roman" w:eastAsia="Times New Roman" w:hAnsi="Times New Roman" w:cs="Times New Roman"/>
          <w:shd w:val="clear" w:color="auto" w:fill="FFFFFF"/>
        </w:rPr>
        <w:footnoteReference w:id="294"/>
      </w:r>
      <w:r w:rsidRPr="004842AA">
        <w:rPr>
          <w:rFonts w:ascii="Times New Roman" w:eastAsia="Times New Roman" w:hAnsi="Times New Roman" w:cs="Times New Roman"/>
          <w:shd w:val="clear" w:color="auto" w:fill="FFFFFF"/>
        </w:rPr>
        <w:t xml:space="preserve">  Moreover, </w:t>
      </w:r>
      <w:r w:rsidR="00D540AB" w:rsidRPr="004842AA">
        <w:rPr>
          <w:rFonts w:ascii="Times New Roman" w:eastAsia="Times New Roman" w:hAnsi="Times New Roman" w:cs="Times New Roman"/>
          <w:shd w:val="clear" w:color="auto" w:fill="FFFFFF"/>
        </w:rPr>
        <w:t xml:space="preserve">as regards </w:t>
      </w:r>
      <w:r w:rsidR="009A036B" w:rsidRPr="004842AA">
        <w:rPr>
          <w:rFonts w:ascii="Times New Roman" w:eastAsia="Times New Roman" w:hAnsi="Times New Roman" w:cs="Times New Roman"/>
          <w:shd w:val="clear" w:color="auto" w:fill="FFFFFF"/>
        </w:rPr>
        <w:t>the</w:t>
      </w:r>
      <w:r w:rsidR="00D540AB" w:rsidRPr="004842AA">
        <w:rPr>
          <w:rFonts w:ascii="Times New Roman" w:eastAsia="Times New Roman" w:hAnsi="Times New Roman" w:cs="Times New Roman"/>
          <w:shd w:val="clear" w:color="auto" w:fill="FFFFFF"/>
        </w:rPr>
        <w:t xml:space="preserve"> core Union rules made applicable to Northern Ireland by the Protocol,</w:t>
      </w:r>
      <w:r w:rsidR="00D540AB" w:rsidRPr="004842AA">
        <w:rPr>
          <w:rStyle w:val="FootnoteReference"/>
          <w:rFonts w:ascii="Times New Roman" w:eastAsia="Times New Roman" w:hAnsi="Times New Roman" w:cs="Times New Roman"/>
          <w:shd w:val="clear" w:color="auto" w:fill="FFFFFF"/>
        </w:rPr>
        <w:footnoteReference w:id="295"/>
      </w:r>
      <w:r w:rsidR="00D540AB" w:rsidRPr="004842AA">
        <w:rPr>
          <w:rFonts w:ascii="Times New Roman" w:eastAsia="Times New Roman" w:hAnsi="Times New Roman" w:cs="Times New Roman"/>
          <w:shd w:val="clear" w:color="auto" w:fill="FFFFFF"/>
        </w:rPr>
        <w:t xml:space="preserve"> </w:t>
      </w:r>
      <w:r w:rsidR="009A036B" w:rsidRPr="004842AA">
        <w:rPr>
          <w:rFonts w:ascii="Times New Roman" w:eastAsia="Times New Roman" w:hAnsi="Times New Roman" w:cs="Times New Roman"/>
          <w:shd w:val="clear" w:color="auto" w:fill="FFFFFF"/>
        </w:rPr>
        <w:t xml:space="preserve">the </w:t>
      </w:r>
      <w:r w:rsidR="00D540AB" w:rsidRPr="004842AA">
        <w:rPr>
          <w:rFonts w:ascii="Times New Roman" w:eastAsia="Times New Roman" w:hAnsi="Times New Roman" w:cs="Times New Roman"/>
          <w:shd w:val="clear" w:color="auto" w:fill="FFFFFF"/>
        </w:rPr>
        <w:t xml:space="preserve">Union’s </w:t>
      </w:r>
      <w:r w:rsidR="006B3230" w:rsidRPr="004842AA">
        <w:rPr>
          <w:rFonts w:ascii="Times New Roman" w:eastAsia="Times New Roman" w:hAnsi="Times New Roman" w:cs="Times New Roman"/>
          <w:shd w:val="clear" w:color="auto" w:fill="FFFFFF"/>
        </w:rPr>
        <w:t>institutions</w:t>
      </w:r>
      <w:r w:rsidRPr="004842AA">
        <w:rPr>
          <w:rFonts w:ascii="Times New Roman" w:eastAsia="Times New Roman" w:hAnsi="Times New Roman" w:cs="Times New Roman"/>
          <w:shd w:val="clear" w:color="auto" w:fill="FFFFFF"/>
        </w:rPr>
        <w:t>,</w:t>
      </w:r>
      <w:r w:rsidR="006B3230" w:rsidRPr="004842AA">
        <w:rPr>
          <w:rFonts w:ascii="Times New Roman" w:eastAsia="Times New Roman" w:hAnsi="Times New Roman" w:cs="Times New Roman"/>
          <w:shd w:val="clear" w:color="auto" w:fill="FFFFFF"/>
        </w:rPr>
        <w:t xml:space="preserve"> bodies</w:t>
      </w:r>
      <w:r w:rsidRPr="004842AA">
        <w:rPr>
          <w:rFonts w:ascii="Times New Roman" w:eastAsia="Times New Roman" w:hAnsi="Times New Roman" w:cs="Times New Roman"/>
          <w:shd w:val="clear" w:color="auto" w:fill="FFFFFF"/>
        </w:rPr>
        <w:t xml:space="preserve"> and agencies </w:t>
      </w:r>
      <w:proofErr w:type="spellStart"/>
      <w:r w:rsidRPr="004842AA">
        <w:rPr>
          <w:rFonts w:ascii="Times New Roman" w:eastAsia="Times New Roman" w:hAnsi="Times New Roman" w:cs="Times New Roman"/>
          <w:shd w:val="clear" w:color="auto" w:fill="FFFFFF"/>
        </w:rPr>
        <w:t>etc</w:t>
      </w:r>
      <w:proofErr w:type="spellEnd"/>
      <w:r w:rsidRPr="004842AA">
        <w:rPr>
          <w:rFonts w:ascii="Times New Roman" w:eastAsia="Times New Roman" w:hAnsi="Times New Roman" w:cs="Times New Roman"/>
          <w:shd w:val="clear" w:color="auto" w:fill="FFFFFF"/>
        </w:rPr>
        <w:t xml:space="preserve"> </w:t>
      </w:r>
      <w:r w:rsidR="009A036B" w:rsidRPr="004842AA">
        <w:rPr>
          <w:rFonts w:ascii="Times New Roman" w:eastAsia="Times New Roman" w:hAnsi="Times New Roman" w:cs="Times New Roman"/>
          <w:shd w:val="clear" w:color="auto" w:fill="FFFFFF"/>
        </w:rPr>
        <w:t xml:space="preserve">shall </w:t>
      </w:r>
      <w:r w:rsidR="006B3230" w:rsidRPr="004842AA">
        <w:rPr>
          <w:rFonts w:ascii="Times New Roman" w:eastAsia="Times New Roman" w:hAnsi="Times New Roman" w:cs="Times New Roman"/>
          <w:shd w:val="clear" w:color="auto" w:fill="FFFFFF"/>
        </w:rPr>
        <w:t xml:space="preserve">exercise </w:t>
      </w:r>
      <w:r w:rsidR="009A036B" w:rsidRPr="004842AA">
        <w:rPr>
          <w:rFonts w:ascii="Times New Roman" w:eastAsia="Times New Roman" w:hAnsi="Times New Roman" w:cs="Times New Roman"/>
          <w:shd w:val="clear" w:color="auto" w:fill="FFFFFF"/>
        </w:rPr>
        <w:t xml:space="preserve">those </w:t>
      </w:r>
      <w:r w:rsidR="006B3230" w:rsidRPr="004842AA">
        <w:rPr>
          <w:rFonts w:ascii="Times New Roman" w:eastAsia="Times New Roman" w:hAnsi="Times New Roman" w:cs="Times New Roman"/>
          <w:shd w:val="clear" w:color="auto" w:fill="FFFFFF"/>
        </w:rPr>
        <w:t xml:space="preserve">powers </w:t>
      </w:r>
      <w:r w:rsidR="009A036B" w:rsidRPr="004842AA">
        <w:rPr>
          <w:rFonts w:ascii="Times New Roman" w:eastAsia="Times New Roman" w:hAnsi="Times New Roman" w:cs="Times New Roman"/>
          <w:shd w:val="clear" w:color="auto" w:fill="FFFFFF"/>
        </w:rPr>
        <w:t>conferred upon them by or under the Treaties.</w:t>
      </w:r>
      <w:r w:rsidR="00CC4BDB" w:rsidRPr="004842AA">
        <w:rPr>
          <w:rStyle w:val="FootnoteReference"/>
          <w:rFonts w:ascii="Times New Roman" w:eastAsia="Times New Roman" w:hAnsi="Times New Roman" w:cs="Times New Roman"/>
          <w:shd w:val="clear" w:color="auto" w:fill="FFFFFF"/>
        </w:rPr>
        <w:footnoteReference w:id="296"/>
      </w:r>
      <w:r w:rsidR="009A036B" w:rsidRPr="004842AA">
        <w:rPr>
          <w:rFonts w:ascii="Times New Roman" w:eastAsia="Times New Roman" w:hAnsi="Times New Roman" w:cs="Times New Roman"/>
          <w:shd w:val="clear" w:color="auto" w:fill="FFFFFF"/>
        </w:rPr>
        <w:t xml:space="preserve">  In that regard, the Protocol specifies several particularly noteworthy features.  For example, the relevant Union </w:t>
      </w:r>
      <w:r w:rsidR="00FA32AE">
        <w:rPr>
          <w:rFonts w:ascii="Times New Roman" w:eastAsia="Times New Roman" w:hAnsi="Times New Roman" w:cs="Times New Roman"/>
          <w:shd w:val="clear" w:color="auto" w:fill="FFFFFF"/>
        </w:rPr>
        <w:t xml:space="preserve">entities are </w:t>
      </w:r>
      <w:r w:rsidR="009A036B" w:rsidRPr="004842AA">
        <w:rPr>
          <w:rFonts w:ascii="Times New Roman" w:eastAsia="Times New Roman" w:hAnsi="Times New Roman" w:cs="Times New Roman"/>
          <w:shd w:val="clear" w:color="auto" w:fill="FFFFFF"/>
        </w:rPr>
        <w:t xml:space="preserve">to </w:t>
      </w:r>
      <w:r w:rsidR="00B93BC1">
        <w:rPr>
          <w:rFonts w:ascii="Times New Roman" w:eastAsia="Times New Roman" w:hAnsi="Times New Roman" w:cs="Times New Roman"/>
          <w:shd w:val="clear" w:color="auto" w:fill="FFFFFF"/>
        </w:rPr>
        <w:t>exercise</w:t>
      </w:r>
      <w:r w:rsidR="009A036B" w:rsidRPr="004842AA">
        <w:rPr>
          <w:rFonts w:ascii="Times New Roman" w:eastAsia="Times New Roman" w:hAnsi="Times New Roman" w:cs="Times New Roman"/>
          <w:shd w:val="clear" w:color="auto" w:fill="FFFFFF"/>
        </w:rPr>
        <w:t xml:space="preserve"> </w:t>
      </w:r>
      <w:r w:rsidR="00B93BC1">
        <w:rPr>
          <w:rFonts w:ascii="Times New Roman" w:eastAsia="Times New Roman" w:hAnsi="Times New Roman" w:cs="Times New Roman"/>
          <w:shd w:val="clear" w:color="auto" w:fill="FFFFFF"/>
        </w:rPr>
        <w:t xml:space="preserve">their applicable powers </w:t>
      </w:r>
      <w:r w:rsidR="009A036B" w:rsidRPr="004842AA">
        <w:rPr>
          <w:rFonts w:ascii="Times New Roman" w:eastAsia="Times New Roman" w:hAnsi="Times New Roman" w:cs="Times New Roman"/>
          <w:shd w:val="clear" w:color="auto" w:fill="FFFFFF"/>
        </w:rPr>
        <w:t xml:space="preserve">in relation to the </w:t>
      </w:r>
      <w:r w:rsidR="00390F95" w:rsidRPr="004842AA">
        <w:rPr>
          <w:rFonts w:ascii="Times New Roman" w:eastAsia="Times New Roman" w:hAnsi="Times New Roman" w:cs="Times New Roman"/>
          <w:shd w:val="clear" w:color="auto" w:fill="FFFFFF"/>
        </w:rPr>
        <w:t xml:space="preserve">entire </w:t>
      </w:r>
      <w:r w:rsidR="009A036B" w:rsidRPr="004842AA">
        <w:rPr>
          <w:rFonts w:ascii="Times New Roman" w:eastAsia="Times New Roman" w:hAnsi="Times New Roman" w:cs="Times New Roman"/>
          <w:shd w:val="clear" w:color="auto" w:fill="FFFFFF"/>
        </w:rPr>
        <w:t>UK</w:t>
      </w:r>
      <w:r w:rsidR="00B93BC1">
        <w:rPr>
          <w:rFonts w:ascii="Times New Roman" w:eastAsia="Times New Roman" w:hAnsi="Times New Roman" w:cs="Times New Roman"/>
          <w:shd w:val="clear" w:color="auto" w:fill="FFFFFF"/>
        </w:rPr>
        <w:t>,</w:t>
      </w:r>
      <w:r w:rsidR="009A036B" w:rsidRPr="004842AA">
        <w:rPr>
          <w:rFonts w:ascii="Times New Roman" w:eastAsia="Times New Roman" w:hAnsi="Times New Roman" w:cs="Times New Roman"/>
          <w:shd w:val="clear" w:color="auto" w:fill="FFFFFF"/>
        </w:rPr>
        <w:t xml:space="preserve"> as well as natural and legal persons resident or established </w:t>
      </w:r>
      <w:r w:rsidR="00390F95" w:rsidRPr="004842AA">
        <w:rPr>
          <w:rFonts w:ascii="Times New Roman" w:eastAsia="Times New Roman" w:hAnsi="Times New Roman" w:cs="Times New Roman"/>
          <w:shd w:val="clear" w:color="auto" w:fill="FFFFFF"/>
        </w:rPr>
        <w:t xml:space="preserve">anywhere </w:t>
      </w:r>
      <w:r w:rsidR="009A036B" w:rsidRPr="004842AA">
        <w:rPr>
          <w:rFonts w:ascii="Times New Roman" w:eastAsia="Times New Roman" w:hAnsi="Times New Roman" w:cs="Times New Roman"/>
          <w:shd w:val="clear" w:color="auto" w:fill="FFFFFF"/>
        </w:rPr>
        <w:t xml:space="preserve">in the UK – not just </w:t>
      </w:r>
      <w:r w:rsidR="00EE62C2" w:rsidRPr="004842AA">
        <w:rPr>
          <w:rFonts w:ascii="Times New Roman" w:eastAsia="Times New Roman" w:hAnsi="Times New Roman" w:cs="Times New Roman"/>
          <w:shd w:val="clear" w:color="auto" w:fill="FFFFFF"/>
        </w:rPr>
        <w:t xml:space="preserve">in relation </w:t>
      </w:r>
      <w:r w:rsidR="009A036B" w:rsidRPr="004842AA">
        <w:rPr>
          <w:rFonts w:ascii="Times New Roman" w:eastAsia="Times New Roman" w:hAnsi="Times New Roman" w:cs="Times New Roman"/>
          <w:shd w:val="clear" w:color="auto" w:fill="FFFFFF"/>
        </w:rPr>
        <w:t>to</w:t>
      </w:r>
      <w:r w:rsidR="00390F95" w:rsidRPr="004842AA">
        <w:rPr>
          <w:rFonts w:ascii="Times New Roman" w:eastAsia="Times New Roman" w:hAnsi="Times New Roman" w:cs="Times New Roman"/>
          <w:shd w:val="clear" w:color="auto" w:fill="FFFFFF"/>
        </w:rPr>
        <w:t>,</w:t>
      </w:r>
      <w:r w:rsidR="009A036B" w:rsidRPr="004842AA">
        <w:rPr>
          <w:rFonts w:ascii="Times New Roman" w:eastAsia="Times New Roman" w:hAnsi="Times New Roman" w:cs="Times New Roman"/>
          <w:shd w:val="clear" w:color="auto" w:fill="FFFFFF"/>
        </w:rPr>
        <w:t xml:space="preserve"> or </w:t>
      </w:r>
      <w:r w:rsidR="00EE62C2" w:rsidRPr="004842AA">
        <w:rPr>
          <w:rFonts w:ascii="Times New Roman" w:eastAsia="Times New Roman" w:hAnsi="Times New Roman" w:cs="Times New Roman"/>
          <w:shd w:val="clear" w:color="auto" w:fill="FFFFFF"/>
        </w:rPr>
        <w:t xml:space="preserve">those </w:t>
      </w:r>
      <w:r w:rsidR="00390F95" w:rsidRPr="004842AA">
        <w:rPr>
          <w:rFonts w:ascii="Times New Roman" w:eastAsia="Times New Roman" w:hAnsi="Times New Roman" w:cs="Times New Roman"/>
          <w:shd w:val="clear" w:color="auto" w:fill="FFFFFF"/>
        </w:rPr>
        <w:t xml:space="preserve">located </w:t>
      </w:r>
      <w:r w:rsidR="009A036B" w:rsidRPr="004842AA">
        <w:rPr>
          <w:rFonts w:ascii="Times New Roman" w:eastAsia="Times New Roman" w:hAnsi="Times New Roman" w:cs="Times New Roman"/>
          <w:shd w:val="clear" w:color="auto" w:fill="FFFFFF"/>
        </w:rPr>
        <w:t>in</w:t>
      </w:r>
      <w:r w:rsidR="00390F95" w:rsidRPr="004842AA">
        <w:rPr>
          <w:rFonts w:ascii="Times New Roman" w:eastAsia="Times New Roman" w:hAnsi="Times New Roman" w:cs="Times New Roman"/>
          <w:shd w:val="clear" w:color="auto" w:fill="FFFFFF"/>
        </w:rPr>
        <w:t>,</w:t>
      </w:r>
      <w:r w:rsidR="009A036B" w:rsidRPr="004842AA">
        <w:rPr>
          <w:rFonts w:ascii="Times New Roman" w:eastAsia="Times New Roman" w:hAnsi="Times New Roman" w:cs="Times New Roman"/>
          <w:shd w:val="clear" w:color="auto" w:fill="FFFFFF"/>
        </w:rPr>
        <w:t xml:space="preserve"> Northern Ireland</w:t>
      </w:r>
      <w:r w:rsidR="00EE62C2" w:rsidRPr="004842AA">
        <w:rPr>
          <w:rFonts w:ascii="Times New Roman" w:eastAsia="Times New Roman" w:hAnsi="Times New Roman" w:cs="Times New Roman"/>
          <w:shd w:val="clear" w:color="auto" w:fill="FFFFFF"/>
        </w:rPr>
        <w:t xml:space="preserve"> itself</w:t>
      </w:r>
      <w:r w:rsidR="009A036B" w:rsidRPr="004842AA">
        <w:rPr>
          <w:rFonts w:ascii="Times New Roman" w:eastAsia="Times New Roman" w:hAnsi="Times New Roman" w:cs="Times New Roman"/>
          <w:shd w:val="clear" w:color="auto" w:fill="FFFFFF"/>
        </w:rPr>
        <w:t xml:space="preserve">.  The text </w:t>
      </w:r>
      <w:r w:rsidR="00EE62C2" w:rsidRPr="004842AA">
        <w:rPr>
          <w:rFonts w:ascii="Times New Roman" w:eastAsia="Times New Roman" w:hAnsi="Times New Roman" w:cs="Times New Roman"/>
          <w:shd w:val="clear" w:color="auto" w:fill="FFFFFF"/>
        </w:rPr>
        <w:t xml:space="preserve">also </w:t>
      </w:r>
      <w:r w:rsidR="009A036B" w:rsidRPr="004842AA">
        <w:rPr>
          <w:rFonts w:ascii="Times New Roman" w:eastAsia="Times New Roman" w:hAnsi="Times New Roman" w:cs="Times New Roman"/>
          <w:shd w:val="clear" w:color="auto" w:fill="FFFFFF"/>
        </w:rPr>
        <w:t xml:space="preserve">makes particular reference to the jurisdiction of the CJEU – including the </w:t>
      </w:r>
      <w:r w:rsidR="00262CFC">
        <w:rPr>
          <w:rFonts w:ascii="Times New Roman" w:eastAsia="Times New Roman" w:hAnsi="Times New Roman" w:cs="Times New Roman"/>
          <w:shd w:val="clear" w:color="auto" w:fill="FFFFFF"/>
        </w:rPr>
        <w:t xml:space="preserve">possibility for </w:t>
      </w:r>
      <w:r w:rsidR="00390F95" w:rsidRPr="004842AA">
        <w:rPr>
          <w:rFonts w:ascii="Times New Roman" w:eastAsia="Times New Roman" w:hAnsi="Times New Roman" w:cs="Times New Roman"/>
          <w:shd w:val="clear" w:color="auto" w:fill="FFFFFF"/>
        </w:rPr>
        <w:t xml:space="preserve">all competent </w:t>
      </w:r>
      <w:r w:rsidR="009A036B" w:rsidRPr="004842AA">
        <w:rPr>
          <w:rFonts w:ascii="Times New Roman" w:eastAsia="Times New Roman" w:hAnsi="Times New Roman" w:cs="Times New Roman"/>
          <w:shd w:val="clear" w:color="auto" w:fill="FFFFFF"/>
        </w:rPr>
        <w:t xml:space="preserve">UK courts to make preliminary references as regards relevant provisions of the Protocol </w:t>
      </w:r>
      <w:r w:rsidR="00262CFC">
        <w:rPr>
          <w:rFonts w:ascii="Times New Roman" w:eastAsia="Times New Roman" w:hAnsi="Times New Roman" w:cs="Times New Roman"/>
          <w:shd w:val="clear" w:color="auto" w:fill="FFFFFF"/>
        </w:rPr>
        <w:t xml:space="preserve">/ </w:t>
      </w:r>
      <w:r w:rsidR="009A036B" w:rsidRPr="004842AA">
        <w:rPr>
          <w:rFonts w:ascii="Times New Roman" w:eastAsia="Times New Roman" w:hAnsi="Times New Roman" w:cs="Times New Roman"/>
          <w:shd w:val="clear" w:color="auto" w:fill="FFFFFF"/>
        </w:rPr>
        <w:t>Union law made applicable thereunder.</w:t>
      </w:r>
      <w:r w:rsidR="00EE62C2" w:rsidRPr="004842AA">
        <w:rPr>
          <w:rStyle w:val="FootnoteReference"/>
          <w:rFonts w:ascii="Times New Roman" w:eastAsia="Times New Roman" w:hAnsi="Times New Roman" w:cs="Times New Roman"/>
          <w:shd w:val="clear" w:color="auto" w:fill="FFFFFF"/>
        </w:rPr>
        <w:footnoteReference w:id="297"/>
      </w:r>
      <w:r w:rsidR="00EE62C2" w:rsidRPr="004842AA">
        <w:rPr>
          <w:rFonts w:ascii="Times New Roman" w:eastAsia="Times New Roman" w:hAnsi="Times New Roman" w:cs="Times New Roman"/>
          <w:shd w:val="clear" w:color="auto" w:fill="FFFFFF"/>
        </w:rPr>
        <w:t xml:space="preserve">  In addition, the relevant acts of competent Union </w:t>
      </w:r>
      <w:r w:rsidR="00262CFC">
        <w:rPr>
          <w:rFonts w:ascii="Times New Roman" w:eastAsia="Times New Roman" w:hAnsi="Times New Roman" w:cs="Times New Roman"/>
          <w:shd w:val="clear" w:color="auto" w:fill="FFFFFF"/>
        </w:rPr>
        <w:t xml:space="preserve">entities </w:t>
      </w:r>
      <w:r w:rsidR="00EE62C2" w:rsidRPr="004842AA">
        <w:rPr>
          <w:rFonts w:ascii="Times New Roman" w:eastAsia="Times New Roman" w:hAnsi="Times New Roman" w:cs="Times New Roman"/>
          <w:shd w:val="clear" w:color="auto" w:fill="FFFFFF"/>
        </w:rPr>
        <w:t xml:space="preserve">must produce the same legal effects for the UK as they do within the Union and its Member States: poor </w:t>
      </w:r>
      <w:proofErr w:type="spellStart"/>
      <w:r w:rsidR="00EE62C2" w:rsidRPr="004842AA">
        <w:rPr>
          <w:rFonts w:ascii="Times New Roman" w:eastAsia="Times New Roman" w:hAnsi="Times New Roman" w:cs="Times New Roman"/>
          <w:shd w:val="clear" w:color="auto" w:fill="FFFFFF"/>
        </w:rPr>
        <w:t>Brexiters</w:t>
      </w:r>
      <w:proofErr w:type="spellEnd"/>
      <w:r w:rsidR="00EE62C2" w:rsidRPr="004842AA">
        <w:rPr>
          <w:rFonts w:ascii="Times New Roman" w:eastAsia="Times New Roman" w:hAnsi="Times New Roman" w:cs="Times New Roman"/>
          <w:shd w:val="clear" w:color="auto" w:fill="FFFFFF"/>
        </w:rPr>
        <w:t xml:space="preserve"> – there really is no escape from direct effect and primacy.</w:t>
      </w:r>
      <w:r w:rsidR="00EE62C2" w:rsidRPr="004842AA">
        <w:rPr>
          <w:rStyle w:val="FootnoteReference"/>
          <w:rFonts w:ascii="Times New Roman" w:eastAsia="Times New Roman" w:hAnsi="Times New Roman" w:cs="Times New Roman"/>
          <w:shd w:val="clear" w:color="auto" w:fill="FFFFFF"/>
        </w:rPr>
        <w:footnoteReference w:id="298"/>
      </w:r>
    </w:p>
    <w:p w14:paraId="58272F60" w14:textId="0C47EED5" w:rsidR="00BE6612" w:rsidRDefault="00390F95" w:rsidP="00BE6612">
      <w:pPr>
        <w:ind w:firstLine="720"/>
        <w:jc w:val="both"/>
        <w:rPr>
          <w:rFonts w:ascii="Times New Roman" w:eastAsia="Times New Roman" w:hAnsi="Times New Roman" w:cs="Times New Roman"/>
          <w:shd w:val="clear" w:color="auto" w:fill="FFFFFF"/>
        </w:rPr>
      </w:pPr>
      <w:r w:rsidRPr="004842AA">
        <w:rPr>
          <w:rFonts w:ascii="Times New Roman" w:eastAsia="Times New Roman" w:hAnsi="Times New Roman" w:cs="Times New Roman"/>
          <w:shd w:val="clear" w:color="auto" w:fill="FFFFFF"/>
        </w:rPr>
        <w:t>In the second place, the</w:t>
      </w:r>
      <w:r w:rsidR="002D11F3" w:rsidRPr="004842AA">
        <w:rPr>
          <w:rFonts w:ascii="Times New Roman" w:eastAsia="Times New Roman" w:hAnsi="Times New Roman" w:cs="Times New Roman"/>
          <w:shd w:val="clear" w:color="auto" w:fill="FFFFFF"/>
        </w:rPr>
        <w:t xml:space="preserve"> Protocol also makes provision for Northern Irelan</w:t>
      </w:r>
      <w:r w:rsidR="00B3565F" w:rsidRPr="004842AA">
        <w:rPr>
          <w:rFonts w:ascii="Times New Roman" w:eastAsia="Times New Roman" w:hAnsi="Times New Roman" w:cs="Times New Roman"/>
          <w:shd w:val="clear" w:color="auto" w:fill="FFFFFF"/>
        </w:rPr>
        <w:t>d’s future place within the UK’s own</w:t>
      </w:r>
      <w:r w:rsidR="002D11F3" w:rsidRPr="004842AA">
        <w:rPr>
          <w:rFonts w:ascii="Times New Roman" w:eastAsia="Times New Roman" w:hAnsi="Times New Roman" w:cs="Times New Roman"/>
          <w:shd w:val="clear" w:color="auto" w:fill="FFFFFF"/>
        </w:rPr>
        <w:t xml:space="preserve"> </w:t>
      </w:r>
      <w:r w:rsidR="00B3565F" w:rsidRPr="004842AA">
        <w:rPr>
          <w:rFonts w:ascii="Times New Roman" w:eastAsia="Times New Roman" w:hAnsi="Times New Roman" w:cs="Times New Roman"/>
          <w:shd w:val="clear" w:color="auto" w:fill="FFFFFF"/>
        </w:rPr>
        <w:t>trading system</w:t>
      </w:r>
      <w:r w:rsidR="002D11F3" w:rsidRPr="004842AA">
        <w:rPr>
          <w:rFonts w:ascii="Times New Roman" w:eastAsia="Times New Roman" w:hAnsi="Times New Roman" w:cs="Times New Roman"/>
          <w:shd w:val="clear" w:color="auto" w:fill="FFFFFF"/>
        </w:rPr>
        <w:t xml:space="preserve">.  The starting point is </w:t>
      </w:r>
      <w:r w:rsidRPr="004842AA">
        <w:rPr>
          <w:rFonts w:ascii="Times New Roman" w:eastAsia="Times New Roman" w:hAnsi="Times New Roman" w:cs="Times New Roman"/>
          <w:shd w:val="clear" w:color="auto" w:fill="FFFFFF"/>
        </w:rPr>
        <w:t xml:space="preserve">supposedly </w:t>
      </w:r>
      <w:r w:rsidR="002D11F3" w:rsidRPr="004842AA">
        <w:rPr>
          <w:rFonts w:ascii="Times New Roman" w:eastAsia="Times New Roman" w:hAnsi="Times New Roman" w:cs="Times New Roman"/>
          <w:shd w:val="clear" w:color="auto" w:fill="FFFFFF"/>
        </w:rPr>
        <w:t xml:space="preserve">that </w:t>
      </w:r>
      <w:r w:rsidR="002D11F3" w:rsidRPr="004842AA">
        <w:rPr>
          <w:rFonts w:ascii="Times New Roman" w:eastAsia="Times New Roman" w:hAnsi="Times New Roman" w:cs="Times New Roman"/>
          <w:shd w:val="clear" w:color="auto" w:fill="FFFFFF"/>
        </w:rPr>
        <w:lastRenderedPageBreak/>
        <w:t xml:space="preserve">Northern Ireland will </w:t>
      </w:r>
      <w:r w:rsidR="005241DC" w:rsidRPr="004842AA">
        <w:rPr>
          <w:rFonts w:ascii="Times New Roman" w:eastAsia="Times New Roman" w:hAnsi="Times New Roman" w:cs="Times New Roman"/>
          <w:shd w:val="clear" w:color="auto" w:fill="FFFFFF"/>
        </w:rPr>
        <w:t>form</w:t>
      </w:r>
      <w:r w:rsidR="002D11F3" w:rsidRPr="004842AA">
        <w:rPr>
          <w:rFonts w:ascii="Times New Roman" w:eastAsia="Times New Roman" w:hAnsi="Times New Roman" w:cs="Times New Roman"/>
          <w:shd w:val="clear" w:color="auto" w:fill="FFFFFF"/>
        </w:rPr>
        <w:t xml:space="preserve"> part of the customs territory of the UK</w:t>
      </w:r>
      <w:r w:rsidR="005241DC" w:rsidRPr="004842AA">
        <w:rPr>
          <w:rFonts w:ascii="Times New Roman" w:eastAsia="Times New Roman" w:hAnsi="Times New Roman" w:cs="Times New Roman"/>
          <w:shd w:val="clear" w:color="auto" w:fill="FFFFFF"/>
        </w:rPr>
        <w:t>;</w:t>
      </w:r>
      <w:r w:rsidR="005241DC" w:rsidRPr="004842AA">
        <w:rPr>
          <w:rStyle w:val="FootnoteReference"/>
          <w:rFonts w:ascii="Times New Roman" w:eastAsia="Times New Roman" w:hAnsi="Times New Roman" w:cs="Times New Roman"/>
          <w:shd w:val="clear" w:color="auto" w:fill="FFFFFF"/>
        </w:rPr>
        <w:footnoteReference w:id="299"/>
      </w:r>
      <w:r w:rsidR="002D11F3" w:rsidRPr="004842AA">
        <w:rPr>
          <w:rFonts w:ascii="Times New Roman" w:eastAsia="Times New Roman" w:hAnsi="Times New Roman" w:cs="Times New Roman"/>
          <w:shd w:val="clear" w:color="auto" w:fill="FFFFFF"/>
        </w:rPr>
        <w:t xml:space="preserve"> and the placing of goods on the Northern Irish market will take place in accordance with UK law.</w:t>
      </w:r>
      <w:r w:rsidR="00977545" w:rsidRPr="004842AA">
        <w:rPr>
          <w:rStyle w:val="FootnoteReference"/>
          <w:rFonts w:ascii="Times New Roman" w:eastAsia="Times New Roman" w:hAnsi="Times New Roman" w:cs="Times New Roman"/>
          <w:shd w:val="clear" w:color="auto" w:fill="FFFFFF"/>
        </w:rPr>
        <w:footnoteReference w:id="300"/>
      </w:r>
      <w:r w:rsidR="002D11F3" w:rsidRPr="004842AA">
        <w:rPr>
          <w:rFonts w:ascii="Times New Roman" w:eastAsia="Times New Roman" w:hAnsi="Times New Roman" w:cs="Times New Roman"/>
          <w:shd w:val="clear" w:color="auto" w:fill="FFFFFF"/>
        </w:rPr>
        <w:t xml:space="preserve">  </w:t>
      </w:r>
      <w:r w:rsidR="005C1AC4">
        <w:rPr>
          <w:rFonts w:ascii="Times New Roman" w:eastAsia="Times New Roman" w:hAnsi="Times New Roman" w:cs="Times New Roman"/>
          <w:shd w:val="clear" w:color="auto" w:fill="FFFFFF"/>
        </w:rPr>
        <w:t xml:space="preserve">And indeed: the Johnson Government has repeatedly claimed that, under its “great new Brexit deal”, there will be no border </w:t>
      </w:r>
      <w:r w:rsidR="004F6F5C">
        <w:rPr>
          <w:rFonts w:ascii="Times New Roman" w:eastAsia="Times New Roman" w:hAnsi="Times New Roman" w:cs="Times New Roman"/>
          <w:shd w:val="clear" w:color="auto" w:fill="FFFFFF"/>
        </w:rPr>
        <w:t xml:space="preserve">of any kind </w:t>
      </w:r>
      <w:r w:rsidR="005C1AC4">
        <w:rPr>
          <w:rFonts w:ascii="Times New Roman" w:eastAsia="Times New Roman" w:hAnsi="Times New Roman" w:cs="Times New Roman"/>
          <w:shd w:val="clear" w:color="auto" w:fill="FFFFFF"/>
        </w:rPr>
        <w:t>down the Irish Sea.</w:t>
      </w:r>
      <w:r w:rsidR="005C1AC4">
        <w:rPr>
          <w:rStyle w:val="FootnoteReference"/>
          <w:rFonts w:ascii="Times New Roman" w:eastAsia="Times New Roman" w:hAnsi="Times New Roman" w:cs="Times New Roman"/>
          <w:shd w:val="clear" w:color="auto" w:fill="FFFFFF"/>
        </w:rPr>
        <w:footnoteReference w:id="301"/>
      </w:r>
      <w:r w:rsidR="005C1AC4">
        <w:rPr>
          <w:rFonts w:ascii="Times New Roman" w:eastAsia="Times New Roman" w:hAnsi="Times New Roman" w:cs="Times New Roman"/>
          <w:shd w:val="clear" w:color="auto" w:fill="FFFFFF"/>
        </w:rPr>
        <w:t xml:space="preserve">  </w:t>
      </w:r>
      <w:r w:rsidR="002D11F3" w:rsidRPr="004842AA">
        <w:rPr>
          <w:rFonts w:ascii="Times New Roman" w:eastAsia="Times New Roman" w:hAnsi="Times New Roman" w:cs="Times New Roman"/>
          <w:shd w:val="clear" w:color="auto" w:fill="FFFFFF"/>
        </w:rPr>
        <w:t>But those initial propositions are entirely subject to</w:t>
      </w:r>
      <w:r w:rsidR="008B697B">
        <w:rPr>
          <w:rFonts w:ascii="Times New Roman" w:eastAsia="Times New Roman" w:hAnsi="Times New Roman" w:cs="Times New Roman"/>
          <w:shd w:val="clear" w:color="auto" w:fill="FFFFFF"/>
        </w:rPr>
        <w:t xml:space="preserve"> (</w:t>
      </w:r>
      <w:r w:rsidR="005C1AC4">
        <w:rPr>
          <w:rFonts w:ascii="Times New Roman" w:eastAsia="Times New Roman" w:hAnsi="Times New Roman" w:cs="Times New Roman"/>
          <w:shd w:val="clear" w:color="auto" w:fill="FFFFFF"/>
        </w:rPr>
        <w:t xml:space="preserve">and </w:t>
      </w:r>
      <w:r w:rsidR="004F6F5C">
        <w:rPr>
          <w:rFonts w:ascii="Times New Roman" w:eastAsia="Times New Roman" w:hAnsi="Times New Roman" w:cs="Times New Roman"/>
          <w:shd w:val="clear" w:color="auto" w:fill="FFFFFF"/>
        </w:rPr>
        <w:t xml:space="preserve">the UK’s </w:t>
      </w:r>
      <w:r w:rsidR="009711B9">
        <w:rPr>
          <w:rFonts w:ascii="Times New Roman" w:eastAsia="Times New Roman" w:hAnsi="Times New Roman" w:cs="Times New Roman"/>
          <w:shd w:val="clear" w:color="auto" w:fill="FFFFFF"/>
        </w:rPr>
        <w:t xml:space="preserve">political </w:t>
      </w:r>
      <w:r w:rsidR="005C1AC4">
        <w:rPr>
          <w:rFonts w:ascii="Times New Roman" w:eastAsia="Times New Roman" w:hAnsi="Times New Roman" w:cs="Times New Roman"/>
          <w:shd w:val="clear" w:color="auto" w:fill="FFFFFF"/>
        </w:rPr>
        <w:t xml:space="preserve">claims </w:t>
      </w:r>
      <w:r w:rsidR="004F6F5C">
        <w:rPr>
          <w:rFonts w:ascii="Times New Roman" w:eastAsia="Times New Roman" w:hAnsi="Times New Roman" w:cs="Times New Roman"/>
          <w:shd w:val="clear" w:color="auto" w:fill="FFFFFF"/>
        </w:rPr>
        <w:t xml:space="preserve">are </w:t>
      </w:r>
      <w:r w:rsidR="008B697B">
        <w:rPr>
          <w:rFonts w:ascii="Times New Roman" w:eastAsia="Times New Roman" w:hAnsi="Times New Roman" w:cs="Times New Roman"/>
          <w:shd w:val="clear" w:color="auto" w:fill="FFFFFF"/>
        </w:rPr>
        <w:t>directly contradicted by)</w:t>
      </w:r>
      <w:r w:rsidR="002D11F3" w:rsidRPr="004842AA">
        <w:rPr>
          <w:rFonts w:ascii="Times New Roman" w:eastAsia="Times New Roman" w:hAnsi="Times New Roman" w:cs="Times New Roman"/>
          <w:shd w:val="clear" w:color="auto" w:fill="FFFFFF"/>
        </w:rPr>
        <w:t xml:space="preserve"> the </w:t>
      </w:r>
      <w:r w:rsidR="005C1AC4">
        <w:rPr>
          <w:rFonts w:ascii="Times New Roman" w:eastAsia="Times New Roman" w:hAnsi="Times New Roman" w:cs="Times New Roman"/>
          <w:shd w:val="clear" w:color="auto" w:fill="FFFFFF"/>
        </w:rPr>
        <w:t xml:space="preserve">explicit </w:t>
      </w:r>
      <w:r w:rsidR="002D11F3" w:rsidRPr="004842AA">
        <w:rPr>
          <w:rFonts w:ascii="Times New Roman" w:eastAsia="Times New Roman" w:hAnsi="Times New Roman" w:cs="Times New Roman"/>
          <w:shd w:val="clear" w:color="auto" w:fill="FFFFFF"/>
        </w:rPr>
        <w:t xml:space="preserve">obligations contained in the Protocol </w:t>
      </w:r>
      <w:r w:rsidR="00E97AD2" w:rsidRPr="004842AA">
        <w:rPr>
          <w:rFonts w:ascii="Times New Roman" w:eastAsia="Times New Roman" w:hAnsi="Times New Roman" w:cs="Times New Roman"/>
          <w:shd w:val="clear" w:color="auto" w:fill="FFFFFF"/>
        </w:rPr>
        <w:t xml:space="preserve">as well as </w:t>
      </w:r>
      <w:r w:rsidR="002D11F3" w:rsidRPr="004842AA">
        <w:rPr>
          <w:rFonts w:ascii="Times New Roman" w:eastAsia="Times New Roman" w:hAnsi="Times New Roman" w:cs="Times New Roman"/>
          <w:shd w:val="clear" w:color="auto" w:fill="FFFFFF"/>
        </w:rPr>
        <w:t>Union law made applicable to Northern Ireland thereunder.</w:t>
      </w:r>
      <w:r w:rsidR="005241DC" w:rsidRPr="004842AA">
        <w:rPr>
          <w:rStyle w:val="FootnoteReference"/>
          <w:rFonts w:ascii="Times New Roman" w:eastAsia="Times New Roman" w:hAnsi="Times New Roman" w:cs="Times New Roman"/>
          <w:shd w:val="clear" w:color="auto" w:fill="FFFFFF"/>
        </w:rPr>
        <w:footnoteReference w:id="302"/>
      </w:r>
      <w:r w:rsidR="002D11F3" w:rsidRPr="004842AA">
        <w:rPr>
          <w:rFonts w:ascii="Times New Roman" w:eastAsia="Times New Roman" w:hAnsi="Times New Roman" w:cs="Times New Roman"/>
          <w:shd w:val="clear" w:color="auto" w:fill="FFFFFF"/>
        </w:rPr>
        <w:t xml:space="preserve">  </w:t>
      </w:r>
      <w:r w:rsidR="004F6F5C">
        <w:rPr>
          <w:rFonts w:ascii="Times New Roman" w:eastAsia="Times New Roman" w:hAnsi="Times New Roman" w:cs="Times New Roman"/>
          <w:shd w:val="clear" w:color="auto" w:fill="FFFFFF"/>
        </w:rPr>
        <w:t>T</w:t>
      </w:r>
      <w:r w:rsidR="00E97AD2" w:rsidRPr="004842AA">
        <w:rPr>
          <w:rFonts w:ascii="Times New Roman" w:eastAsia="Times New Roman" w:hAnsi="Times New Roman" w:cs="Times New Roman"/>
          <w:shd w:val="clear" w:color="auto" w:fill="FFFFFF"/>
        </w:rPr>
        <w:t xml:space="preserve">he relevant obligations are sufficiently extensive that Northern Ireland’s position within the UK </w:t>
      </w:r>
      <w:r w:rsidR="005C1AC4">
        <w:rPr>
          <w:rFonts w:ascii="Times New Roman" w:eastAsia="Times New Roman" w:hAnsi="Times New Roman" w:cs="Times New Roman"/>
          <w:shd w:val="clear" w:color="auto" w:fill="FFFFFF"/>
        </w:rPr>
        <w:t xml:space="preserve">trading system </w:t>
      </w:r>
      <w:r w:rsidR="004F6F5C">
        <w:rPr>
          <w:rFonts w:ascii="Times New Roman" w:eastAsia="Times New Roman" w:hAnsi="Times New Roman" w:cs="Times New Roman"/>
          <w:shd w:val="clear" w:color="auto" w:fill="FFFFFF"/>
        </w:rPr>
        <w:t xml:space="preserve">can at </w:t>
      </w:r>
      <w:r w:rsidR="00E97AD2" w:rsidRPr="004842AA">
        <w:rPr>
          <w:rFonts w:ascii="Times New Roman" w:eastAsia="Times New Roman" w:hAnsi="Times New Roman" w:cs="Times New Roman"/>
          <w:shd w:val="clear" w:color="auto" w:fill="FFFFFF"/>
        </w:rPr>
        <w:t xml:space="preserve">best politely </w:t>
      </w:r>
      <w:r w:rsidR="004F6F5C">
        <w:rPr>
          <w:rFonts w:ascii="Times New Roman" w:eastAsia="Times New Roman" w:hAnsi="Times New Roman" w:cs="Times New Roman"/>
          <w:shd w:val="clear" w:color="auto" w:fill="FFFFFF"/>
        </w:rPr>
        <w:t xml:space="preserve">be </w:t>
      </w:r>
      <w:r w:rsidR="00E97AD2" w:rsidRPr="004842AA">
        <w:rPr>
          <w:rFonts w:ascii="Times New Roman" w:eastAsia="Times New Roman" w:hAnsi="Times New Roman" w:cs="Times New Roman"/>
          <w:shd w:val="clear" w:color="auto" w:fill="FFFFFF"/>
        </w:rPr>
        <w:t xml:space="preserve">described as </w:t>
      </w:r>
      <w:r w:rsidRPr="004842AA">
        <w:rPr>
          <w:rFonts w:ascii="Times New Roman" w:eastAsia="Times New Roman" w:hAnsi="Times New Roman" w:cs="Times New Roman"/>
          <w:shd w:val="clear" w:color="auto" w:fill="FFFFFF"/>
        </w:rPr>
        <w:t>“</w:t>
      </w:r>
      <w:r w:rsidR="00E97AD2" w:rsidRPr="004842AA">
        <w:rPr>
          <w:rFonts w:ascii="Times New Roman" w:eastAsia="Times New Roman" w:hAnsi="Times New Roman" w:cs="Times New Roman"/>
          <w:shd w:val="clear" w:color="auto" w:fill="FFFFFF"/>
        </w:rPr>
        <w:t>complicated</w:t>
      </w:r>
      <w:r w:rsidRPr="004842AA">
        <w:rPr>
          <w:rFonts w:ascii="Times New Roman" w:eastAsia="Times New Roman" w:hAnsi="Times New Roman" w:cs="Times New Roman"/>
          <w:shd w:val="clear" w:color="auto" w:fill="FFFFFF"/>
        </w:rPr>
        <w:t>”</w:t>
      </w:r>
      <w:r w:rsidR="00E97AD2" w:rsidRPr="004842AA">
        <w:rPr>
          <w:rFonts w:ascii="Times New Roman" w:eastAsia="Times New Roman" w:hAnsi="Times New Roman" w:cs="Times New Roman"/>
          <w:shd w:val="clear" w:color="auto" w:fill="FFFFFF"/>
        </w:rPr>
        <w:t xml:space="preserve">.  </w:t>
      </w:r>
    </w:p>
    <w:p w14:paraId="7CD562B5" w14:textId="3732A9E6" w:rsidR="00BE6612" w:rsidRDefault="00390F95" w:rsidP="00BE6612">
      <w:pPr>
        <w:ind w:firstLine="720"/>
        <w:jc w:val="both"/>
        <w:rPr>
          <w:rFonts w:ascii="Times New Roman" w:eastAsia="Times New Roman" w:hAnsi="Times New Roman" w:cs="Times New Roman"/>
          <w:shd w:val="clear" w:color="auto" w:fill="FFFFFF"/>
        </w:rPr>
      </w:pPr>
      <w:r w:rsidRPr="004842AA">
        <w:rPr>
          <w:rFonts w:ascii="Times New Roman" w:eastAsia="Times New Roman" w:hAnsi="Times New Roman" w:cs="Times New Roman"/>
          <w:shd w:val="clear" w:color="auto" w:fill="FFFFFF"/>
        </w:rPr>
        <w:t>To begin with</w:t>
      </w:r>
      <w:r w:rsidR="00E97AD2" w:rsidRPr="004842AA">
        <w:rPr>
          <w:rFonts w:ascii="Times New Roman" w:eastAsia="Times New Roman" w:hAnsi="Times New Roman" w:cs="Times New Roman"/>
          <w:shd w:val="clear" w:color="auto" w:fill="FFFFFF"/>
        </w:rPr>
        <w:t xml:space="preserve">, </w:t>
      </w:r>
      <w:r w:rsidR="002D11F3" w:rsidRPr="004842AA">
        <w:rPr>
          <w:rFonts w:ascii="Times New Roman" w:eastAsia="Times New Roman" w:hAnsi="Times New Roman" w:cs="Times New Roman"/>
          <w:shd w:val="clear" w:color="auto" w:fill="FFFFFF"/>
        </w:rPr>
        <w:t xml:space="preserve">customs and regulatory checks will </w:t>
      </w:r>
      <w:r w:rsidR="00E97AD2" w:rsidRPr="004842AA">
        <w:rPr>
          <w:rFonts w:ascii="Times New Roman" w:eastAsia="Times New Roman" w:hAnsi="Times New Roman" w:cs="Times New Roman"/>
          <w:shd w:val="clear" w:color="auto" w:fill="FFFFFF"/>
        </w:rPr>
        <w:t xml:space="preserve">indeed </w:t>
      </w:r>
      <w:r w:rsidR="002D11F3" w:rsidRPr="004842AA">
        <w:rPr>
          <w:rFonts w:ascii="Times New Roman" w:eastAsia="Times New Roman" w:hAnsi="Times New Roman" w:cs="Times New Roman"/>
          <w:shd w:val="clear" w:color="auto" w:fill="FFFFFF"/>
        </w:rPr>
        <w:t xml:space="preserve">take place on trade between Northern Ireland and Great Britain – </w:t>
      </w:r>
      <w:proofErr w:type="gramStart"/>
      <w:r w:rsidR="002D11F3" w:rsidRPr="004842AA">
        <w:rPr>
          <w:rFonts w:ascii="Times New Roman" w:eastAsia="Times New Roman" w:hAnsi="Times New Roman" w:cs="Times New Roman"/>
          <w:shd w:val="clear" w:color="auto" w:fill="FFFFFF"/>
        </w:rPr>
        <w:t>something which we were told no British Prime Minister</w:t>
      </w:r>
      <w:proofErr w:type="gramEnd"/>
      <w:r w:rsidR="002D11F3" w:rsidRPr="004842AA">
        <w:rPr>
          <w:rFonts w:ascii="Times New Roman" w:eastAsia="Times New Roman" w:hAnsi="Times New Roman" w:cs="Times New Roman"/>
          <w:shd w:val="clear" w:color="auto" w:fill="FFFFFF"/>
        </w:rPr>
        <w:t xml:space="preserve"> could ever agree to, because it would destroy the </w:t>
      </w:r>
      <w:r w:rsidR="00DC6A0D">
        <w:rPr>
          <w:rFonts w:ascii="Times New Roman" w:eastAsia="Times New Roman" w:hAnsi="Times New Roman" w:cs="Times New Roman"/>
          <w:shd w:val="clear" w:color="auto" w:fill="FFFFFF"/>
        </w:rPr>
        <w:t xml:space="preserve">sovereignty and </w:t>
      </w:r>
      <w:r w:rsidR="002D11F3" w:rsidRPr="004842AA">
        <w:rPr>
          <w:rFonts w:ascii="Times New Roman" w:eastAsia="Times New Roman" w:hAnsi="Times New Roman" w:cs="Times New Roman"/>
          <w:shd w:val="clear" w:color="auto" w:fill="FFFFFF"/>
        </w:rPr>
        <w:t>integrity of the UK.</w:t>
      </w:r>
      <w:r w:rsidRPr="004842AA">
        <w:rPr>
          <w:rStyle w:val="FootnoteReference"/>
          <w:rFonts w:ascii="Times New Roman" w:eastAsia="Times New Roman" w:hAnsi="Times New Roman" w:cs="Times New Roman"/>
          <w:shd w:val="clear" w:color="auto" w:fill="FFFFFF"/>
        </w:rPr>
        <w:footnoteReference w:id="303"/>
      </w:r>
      <w:r w:rsidR="002D11F3" w:rsidRPr="004842AA">
        <w:rPr>
          <w:rFonts w:ascii="Times New Roman" w:eastAsia="Times New Roman" w:hAnsi="Times New Roman" w:cs="Times New Roman"/>
          <w:shd w:val="clear" w:color="auto" w:fill="FFFFFF"/>
        </w:rPr>
        <w:t xml:space="preserve">  </w:t>
      </w:r>
      <w:r w:rsidR="00E97AD2" w:rsidRPr="004842AA">
        <w:rPr>
          <w:rFonts w:ascii="Times New Roman" w:eastAsia="Times New Roman" w:hAnsi="Times New Roman" w:cs="Times New Roman"/>
          <w:shd w:val="clear" w:color="auto" w:fill="FFFFFF"/>
        </w:rPr>
        <w:t xml:space="preserve">On the one hand, trade </w:t>
      </w:r>
      <w:r w:rsidR="00E97AD2" w:rsidRPr="004842AA">
        <w:rPr>
          <w:rFonts w:ascii="Times New Roman" w:eastAsia="Times New Roman" w:hAnsi="Times New Roman" w:cs="Times New Roman"/>
          <w:i/>
          <w:shd w:val="clear" w:color="auto" w:fill="FFFFFF"/>
        </w:rPr>
        <w:t xml:space="preserve">from Great Britain into Northern Ireland </w:t>
      </w:r>
      <w:r w:rsidR="00E97AD2" w:rsidRPr="004842AA">
        <w:rPr>
          <w:rFonts w:ascii="Times New Roman" w:eastAsia="Times New Roman" w:hAnsi="Times New Roman" w:cs="Times New Roman"/>
          <w:shd w:val="clear" w:color="auto" w:fill="FFFFFF"/>
        </w:rPr>
        <w:t>will be subject to all relevant border checks in accordance with Union customs rules; and GB goods must be placed on the Northern Irish market in accordance with the applicable Union legislation.</w:t>
      </w:r>
      <w:r w:rsidR="005C1AC4">
        <w:rPr>
          <w:rStyle w:val="FootnoteReference"/>
          <w:rFonts w:ascii="Times New Roman" w:eastAsia="Times New Roman" w:hAnsi="Times New Roman" w:cs="Times New Roman"/>
          <w:shd w:val="clear" w:color="auto" w:fill="FFFFFF"/>
        </w:rPr>
        <w:footnoteReference w:id="304"/>
      </w:r>
      <w:r w:rsidR="00E97AD2" w:rsidRPr="004842AA">
        <w:rPr>
          <w:rFonts w:ascii="Times New Roman" w:eastAsia="Times New Roman" w:hAnsi="Times New Roman" w:cs="Times New Roman"/>
          <w:shd w:val="clear" w:color="auto" w:fill="FFFFFF"/>
        </w:rPr>
        <w:t xml:space="preserve">  </w:t>
      </w:r>
      <w:r w:rsidR="00012A40" w:rsidRPr="004842AA">
        <w:rPr>
          <w:rFonts w:ascii="Times New Roman" w:eastAsia="Times New Roman" w:hAnsi="Times New Roman" w:cs="Times New Roman"/>
          <w:shd w:val="clear" w:color="auto" w:fill="FFFFFF"/>
        </w:rPr>
        <w:t>The Joint Committee may make recommendations to avoid or minimise controls at Northern Ireland’s ports and airports.</w:t>
      </w:r>
      <w:r w:rsidR="00012A40" w:rsidRPr="004842AA">
        <w:rPr>
          <w:rStyle w:val="FootnoteReference"/>
          <w:rFonts w:ascii="Times New Roman" w:eastAsia="Times New Roman" w:hAnsi="Times New Roman" w:cs="Times New Roman"/>
          <w:shd w:val="clear" w:color="auto" w:fill="FFFFFF"/>
        </w:rPr>
        <w:footnoteReference w:id="305"/>
      </w:r>
      <w:r w:rsidR="00012A40" w:rsidRPr="004842AA">
        <w:rPr>
          <w:rFonts w:ascii="Times New Roman" w:eastAsia="Times New Roman" w:hAnsi="Times New Roman" w:cs="Times New Roman"/>
          <w:shd w:val="clear" w:color="auto" w:fill="FFFFFF"/>
        </w:rPr>
        <w:t xml:space="preserve">  But </w:t>
      </w:r>
      <w:r w:rsidR="00E97AD2" w:rsidRPr="004842AA">
        <w:rPr>
          <w:rFonts w:ascii="Times New Roman" w:eastAsia="Times New Roman" w:hAnsi="Times New Roman" w:cs="Times New Roman"/>
          <w:shd w:val="clear" w:color="auto" w:fill="FFFFFF"/>
        </w:rPr>
        <w:t xml:space="preserve">future EU-UK regulatory divergence </w:t>
      </w:r>
      <w:r w:rsidR="00012A40" w:rsidRPr="004842AA">
        <w:rPr>
          <w:rFonts w:ascii="Times New Roman" w:eastAsia="Times New Roman" w:hAnsi="Times New Roman" w:cs="Times New Roman"/>
          <w:shd w:val="clear" w:color="auto" w:fill="FFFFFF"/>
        </w:rPr>
        <w:t>may well mean</w:t>
      </w:r>
      <w:r w:rsidR="00E97AD2" w:rsidRPr="004842AA">
        <w:rPr>
          <w:rFonts w:ascii="Times New Roman" w:eastAsia="Times New Roman" w:hAnsi="Times New Roman" w:cs="Times New Roman"/>
          <w:shd w:val="clear" w:color="auto" w:fill="FFFFFF"/>
        </w:rPr>
        <w:t xml:space="preserve"> (for example) that toys manufactured in England or Scotland</w:t>
      </w:r>
      <w:r w:rsidR="00C63CCA" w:rsidRPr="004842AA">
        <w:rPr>
          <w:rFonts w:ascii="Times New Roman" w:eastAsia="Times New Roman" w:hAnsi="Times New Roman" w:cs="Times New Roman"/>
          <w:shd w:val="clear" w:color="auto" w:fill="FFFFFF"/>
        </w:rPr>
        <w:t>, even</w:t>
      </w:r>
      <w:r w:rsidR="00E97AD2" w:rsidRPr="004842AA">
        <w:rPr>
          <w:rFonts w:ascii="Times New Roman" w:eastAsia="Times New Roman" w:hAnsi="Times New Roman" w:cs="Times New Roman"/>
          <w:shd w:val="clear" w:color="auto" w:fill="FFFFFF"/>
        </w:rPr>
        <w:t xml:space="preserve"> with no ambition for export beyond the UK</w:t>
      </w:r>
      <w:r w:rsidR="00C63CCA" w:rsidRPr="004842AA">
        <w:rPr>
          <w:rFonts w:ascii="Times New Roman" w:eastAsia="Times New Roman" w:hAnsi="Times New Roman" w:cs="Times New Roman"/>
          <w:shd w:val="clear" w:color="auto" w:fill="FFFFFF"/>
        </w:rPr>
        <w:t>,</w:t>
      </w:r>
      <w:r w:rsidR="00E97AD2" w:rsidRPr="004842AA">
        <w:rPr>
          <w:rFonts w:ascii="Times New Roman" w:eastAsia="Times New Roman" w:hAnsi="Times New Roman" w:cs="Times New Roman"/>
          <w:shd w:val="clear" w:color="auto" w:fill="FFFFFF"/>
        </w:rPr>
        <w:t xml:space="preserve"> nevertheless still need to be adapted specifically for the Northern Irish market.  On the other hand, </w:t>
      </w:r>
      <w:r w:rsidR="00C63CCA" w:rsidRPr="004842AA">
        <w:rPr>
          <w:rFonts w:ascii="Times New Roman" w:eastAsia="Times New Roman" w:hAnsi="Times New Roman" w:cs="Times New Roman"/>
          <w:shd w:val="clear" w:color="auto" w:fill="FFFFFF"/>
        </w:rPr>
        <w:t>as</w:t>
      </w:r>
      <w:r w:rsidR="00E97AD2" w:rsidRPr="004842AA">
        <w:rPr>
          <w:rFonts w:ascii="Times New Roman" w:eastAsia="Times New Roman" w:hAnsi="Times New Roman" w:cs="Times New Roman"/>
          <w:shd w:val="clear" w:color="auto" w:fill="FFFFFF"/>
        </w:rPr>
        <w:t xml:space="preserve"> regards trade </w:t>
      </w:r>
      <w:r w:rsidR="00E97AD2" w:rsidRPr="004842AA">
        <w:rPr>
          <w:rFonts w:ascii="Times New Roman" w:eastAsia="Times New Roman" w:hAnsi="Times New Roman" w:cs="Times New Roman"/>
          <w:i/>
          <w:shd w:val="clear" w:color="auto" w:fill="FFFFFF"/>
        </w:rPr>
        <w:t xml:space="preserve">from </w:t>
      </w:r>
      <w:r w:rsidR="00C63CCA" w:rsidRPr="004842AA">
        <w:rPr>
          <w:rFonts w:ascii="Times New Roman" w:eastAsia="Times New Roman" w:hAnsi="Times New Roman" w:cs="Times New Roman"/>
          <w:i/>
          <w:shd w:val="clear" w:color="auto" w:fill="FFFFFF"/>
        </w:rPr>
        <w:t>Northern Ireland</w:t>
      </w:r>
      <w:r w:rsidR="00E97AD2" w:rsidRPr="004842AA">
        <w:rPr>
          <w:rFonts w:ascii="Times New Roman" w:eastAsia="Times New Roman" w:hAnsi="Times New Roman" w:cs="Times New Roman"/>
          <w:i/>
          <w:shd w:val="clear" w:color="auto" w:fill="FFFFFF"/>
        </w:rPr>
        <w:t xml:space="preserve"> to </w:t>
      </w:r>
      <w:r w:rsidR="00C63CCA" w:rsidRPr="004842AA">
        <w:rPr>
          <w:rFonts w:ascii="Times New Roman" w:eastAsia="Times New Roman" w:hAnsi="Times New Roman" w:cs="Times New Roman"/>
          <w:i/>
          <w:shd w:val="clear" w:color="auto" w:fill="FFFFFF"/>
        </w:rPr>
        <w:t>Great Britain</w:t>
      </w:r>
      <w:r w:rsidR="00C63CCA" w:rsidRPr="004842AA">
        <w:rPr>
          <w:rFonts w:ascii="Times New Roman" w:eastAsia="Times New Roman" w:hAnsi="Times New Roman" w:cs="Times New Roman"/>
          <w:shd w:val="clear" w:color="auto" w:fill="FFFFFF"/>
        </w:rPr>
        <w:t xml:space="preserve">, the </w:t>
      </w:r>
      <w:r w:rsidR="00E97AD2" w:rsidRPr="004842AA">
        <w:rPr>
          <w:rFonts w:ascii="Times New Roman" w:eastAsia="Times New Roman" w:hAnsi="Times New Roman" w:cs="Times New Roman"/>
          <w:shd w:val="clear" w:color="auto" w:fill="FFFFFF"/>
        </w:rPr>
        <w:t xml:space="preserve">Johnson Government </w:t>
      </w:r>
      <w:r w:rsidRPr="004842AA">
        <w:rPr>
          <w:rFonts w:ascii="Times New Roman" w:eastAsia="Times New Roman" w:hAnsi="Times New Roman" w:cs="Times New Roman"/>
          <w:shd w:val="clear" w:color="auto" w:fill="FFFFFF"/>
        </w:rPr>
        <w:t xml:space="preserve">maintained </w:t>
      </w:r>
      <w:r w:rsidR="00C63CCA" w:rsidRPr="004842AA">
        <w:rPr>
          <w:rFonts w:ascii="Times New Roman" w:eastAsia="Times New Roman" w:hAnsi="Times New Roman" w:cs="Times New Roman"/>
          <w:shd w:val="clear" w:color="auto" w:fill="FFFFFF"/>
        </w:rPr>
        <w:t xml:space="preserve">its </w:t>
      </w:r>
      <w:r w:rsidR="00E97AD2" w:rsidRPr="004842AA">
        <w:rPr>
          <w:rFonts w:ascii="Times New Roman" w:eastAsia="Times New Roman" w:hAnsi="Times New Roman" w:cs="Times New Roman"/>
          <w:shd w:val="clear" w:color="auto" w:fill="FFFFFF"/>
        </w:rPr>
        <w:t xml:space="preserve">predecessor’s promise to guarantee “unfettered </w:t>
      </w:r>
      <w:r w:rsidR="00012A40" w:rsidRPr="004842AA">
        <w:rPr>
          <w:rFonts w:ascii="Times New Roman" w:eastAsia="Times New Roman" w:hAnsi="Times New Roman" w:cs="Times New Roman"/>
          <w:shd w:val="clear" w:color="auto" w:fill="FFFFFF"/>
        </w:rPr>
        <w:t xml:space="preserve">market </w:t>
      </w:r>
      <w:r w:rsidR="00E97AD2" w:rsidRPr="004842AA">
        <w:rPr>
          <w:rFonts w:ascii="Times New Roman" w:eastAsia="Times New Roman" w:hAnsi="Times New Roman" w:cs="Times New Roman"/>
          <w:shd w:val="clear" w:color="auto" w:fill="FFFFFF"/>
        </w:rPr>
        <w:t>access” to E</w:t>
      </w:r>
      <w:r w:rsidR="00C63CCA" w:rsidRPr="004842AA">
        <w:rPr>
          <w:rFonts w:ascii="Times New Roman" w:eastAsia="Times New Roman" w:hAnsi="Times New Roman" w:cs="Times New Roman"/>
          <w:shd w:val="clear" w:color="auto" w:fill="FFFFFF"/>
        </w:rPr>
        <w:t>ngland, Scotland and Wales.</w:t>
      </w:r>
      <w:r w:rsidR="00012A40" w:rsidRPr="004842AA">
        <w:rPr>
          <w:rStyle w:val="FootnoteReference"/>
          <w:rFonts w:ascii="Times New Roman" w:eastAsia="Times New Roman" w:hAnsi="Times New Roman" w:cs="Times New Roman"/>
          <w:shd w:val="clear" w:color="auto" w:fill="FFFFFF"/>
        </w:rPr>
        <w:footnoteReference w:id="306"/>
      </w:r>
      <w:r w:rsidR="00C63CCA" w:rsidRPr="004842AA">
        <w:rPr>
          <w:rFonts w:ascii="Times New Roman" w:eastAsia="Times New Roman" w:hAnsi="Times New Roman" w:cs="Times New Roman"/>
          <w:shd w:val="clear" w:color="auto" w:fill="FFFFFF"/>
        </w:rPr>
        <w:t xml:space="preserve"> </w:t>
      </w:r>
      <w:r w:rsidR="005C1AC4">
        <w:rPr>
          <w:rFonts w:ascii="Times New Roman" w:eastAsia="Times New Roman" w:hAnsi="Times New Roman" w:cs="Times New Roman"/>
          <w:shd w:val="clear" w:color="auto" w:fill="FFFFFF"/>
        </w:rPr>
        <w:t xml:space="preserve"> </w:t>
      </w:r>
      <w:r w:rsidR="00C63CCA" w:rsidRPr="004842AA">
        <w:rPr>
          <w:rFonts w:ascii="Times New Roman" w:eastAsia="Times New Roman" w:hAnsi="Times New Roman" w:cs="Times New Roman"/>
          <w:shd w:val="clear" w:color="auto" w:fill="FFFFFF"/>
        </w:rPr>
        <w:t xml:space="preserve">Yet the plain text of the Protocol makes it clear that that is not entirely true: the </w:t>
      </w:r>
      <w:r w:rsidR="00765401">
        <w:rPr>
          <w:rFonts w:ascii="Times New Roman" w:eastAsia="Times New Roman" w:hAnsi="Times New Roman" w:cs="Times New Roman"/>
          <w:shd w:val="clear" w:color="auto" w:fill="FFFFFF"/>
        </w:rPr>
        <w:t>Agreement</w:t>
      </w:r>
      <w:r w:rsidR="00C63CCA" w:rsidRPr="004842AA">
        <w:rPr>
          <w:rFonts w:ascii="Times New Roman" w:eastAsia="Times New Roman" w:hAnsi="Times New Roman" w:cs="Times New Roman"/>
          <w:shd w:val="clear" w:color="auto" w:fill="FFFFFF"/>
        </w:rPr>
        <w:t xml:space="preserve"> specifically envisages certain trade restrictions from Northern Ireland to Great Britain (for example, as regards controlled goods subject to international export requirements).</w:t>
      </w:r>
      <w:r w:rsidR="00012A40" w:rsidRPr="004842AA">
        <w:rPr>
          <w:rStyle w:val="FootnoteReference"/>
          <w:rFonts w:ascii="Times New Roman" w:eastAsia="Times New Roman" w:hAnsi="Times New Roman" w:cs="Times New Roman"/>
          <w:shd w:val="clear" w:color="auto" w:fill="FFFFFF"/>
        </w:rPr>
        <w:footnoteReference w:id="307"/>
      </w:r>
      <w:r w:rsidR="00C63CCA" w:rsidRPr="004842AA">
        <w:rPr>
          <w:rFonts w:ascii="Times New Roman" w:eastAsia="Times New Roman" w:hAnsi="Times New Roman" w:cs="Times New Roman"/>
          <w:shd w:val="clear" w:color="auto" w:fill="FFFFFF"/>
        </w:rPr>
        <w:t xml:space="preserve">  In any case, the UK will still need to know which goods coming from Northern Ireland are in fact of EU rather than purely domestic origin (for example, so as to apply UK customs duties in compliance with its WTO obligations).</w:t>
      </w:r>
      <w:r w:rsidRPr="004842AA">
        <w:rPr>
          <w:rStyle w:val="FootnoteReference"/>
          <w:rFonts w:ascii="Times New Roman" w:eastAsia="Times New Roman" w:hAnsi="Times New Roman" w:cs="Times New Roman"/>
          <w:shd w:val="clear" w:color="auto" w:fill="FFFFFF"/>
        </w:rPr>
        <w:footnoteReference w:id="308"/>
      </w:r>
      <w:r w:rsidR="00C63CCA" w:rsidRPr="004842AA">
        <w:rPr>
          <w:rFonts w:ascii="Times New Roman" w:eastAsia="Times New Roman" w:hAnsi="Times New Roman" w:cs="Times New Roman"/>
          <w:shd w:val="clear" w:color="auto" w:fill="FFFFFF"/>
        </w:rPr>
        <w:t xml:space="preserve">  </w:t>
      </w:r>
    </w:p>
    <w:p w14:paraId="324A3E25" w14:textId="6D8D2CCF" w:rsidR="00BE6612" w:rsidRDefault="00390F95" w:rsidP="00BE6612">
      <w:pPr>
        <w:ind w:firstLine="720"/>
        <w:jc w:val="both"/>
        <w:rPr>
          <w:rFonts w:ascii="Times New Roman" w:eastAsia="Times New Roman" w:hAnsi="Times New Roman" w:cs="Times New Roman"/>
          <w:shd w:val="clear" w:color="auto" w:fill="FFFFFF"/>
        </w:rPr>
      </w:pPr>
      <w:r w:rsidRPr="004842AA">
        <w:rPr>
          <w:rFonts w:ascii="Times New Roman" w:hAnsi="Times New Roman" w:cs="Times New Roman"/>
        </w:rPr>
        <w:t xml:space="preserve">The </w:t>
      </w:r>
      <w:r w:rsidR="001B69FE" w:rsidRPr="004842AA">
        <w:rPr>
          <w:rFonts w:ascii="Times New Roman" w:hAnsi="Times New Roman" w:cs="Times New Roman"/>
        </w:rPr>
        <w:t xml:space="preserve">highly specific provisions governing Northern Ireland’s trade with Great Britain </w:t>
      </w:r>
      <w:r w:rsidR="00B3565F" w:rsidRPr="004842AA">
        <w:rPr>
          <w:rFonts w:ascii="Times New Roman" w:hAnsi="Times New Roman" w:cs="Times New Roman"/>
        </w:rPr>
        <w:t xml:space="preserve">aggravate an already </w:t>
      </w:r>
      <w:r w:rsidR="001B69FE" w:rsidRPr="004842AA">
        <w:rPr>
          <w:rFonts w:ascii="Times New Roman" w:hAnsi="Times New Roman" w:cs="Times New Roman"/>
        </w:rPr>
        <w:t>complex and sensitive task: deciding on the future design and operation of the UK internal market itself.</w:t>
      </w:r>
      <w:r w:rsidR="005C1AC4">
        <w:rPr>
          <w:rStyle w:val="FootnoteReference"/>
          <w:rFonts w:ascii="Times New Roman" w:hAnsi="Times New Roman" w:cs="Times New Roman"/>
        </w:rPr>
        <w:footnoteReference w:id="309"/>
      </w:r>
      <w:r w:rsidR="001B69FE" w:rsidRPr="004842AA">
        <w:rPr>
          <w:rFonts w:ascii="Times New Roman" w:hAnsi="Times New Roman" w:cs="Times New Roman"/>
        </w:rPr>
        <w:t xml:space="preserve">  </w:t>
      </w:r>
      <w:r w:rsidR="00DA55B2" w:rsidRPr="004842AA">
        <w:rPr>
          <w:rFonts w:ascii="Times New Roman" w:hAnsi="Times New Roman" w:cs="Times New Roman"/>
        </w:rPr>
        <w:t xml:space="preserve">Readers may be aware that </w:t>
      </w:r>
      <w:r w:rsidR="00B3565F" w:rsidRPr="004842AA">
        <w:rPr>
          <w:rFonts w:ascii="Times New Roman" w:hAnsi="Times New Roman" w:cs="Times New Roman"/>
        </w:rPr>
        <w:t>UK d</w:t>
      </w:r>
      <w:r w:rsidR="001B69FE" w:rsidRPr="004842AA">
        <w:rPr>
          <w:rFonts w:ascii="Times New Roman" w:hAnsi="Times New Roman" w:cs="Times New Roman"/>
        </w:rPr>
        <w:t xml:space="preserve">evolution was </w:t>
      </w:r>
      <w:r w:rsidR="00B3565F" w:rsidRPr="004842AA">
        <w:rPr>
          <w:rFonts w:ascii="Times New Roman" w:hAnsi="Times New Roman" w:cs="Times New Roman"/>
        </w:rPr>
        <w:t xml:space="preserve">only </w:t>
      </w:r>
      <w:r w:rsidR="001B69FE" w:rsidRPr="004842AA">
        <w:rPr>
          <w:rFonts w:ascii="Times New Roman" w:hAnsi="Times New Roman" w:cs="Times New Roman"/>
        </w:rPr>
        <w:t xml:space="preserve">created </w:t>
      </w:r>
      <w:r w:rsidR="00DA55B2" w:rsidRPr="004842AA">
        <w:rPr>
          <w:rFonts w:ascii="Times New Roman" w:hAnsi="Times New Roman" w:cs="Times New Roman"/>
        </w:rPr>
        <w:t xml:space="preserve">during and </w:t>
      </w:r>
      <w:r w:rsidR="001B69FE" w:rsidRPr="004842AA">
        <w:rPr>
          <w:rFonts w:ascii="Times New Roman" w:hAnsi="Times New Roman" w:cs="Times New Roman"/>
        </w:rPr>
        <w:t xml:space="preserve">within the context of EU membership.  The </w:t>
      </w:r>
      <w:r w:rsidR="00B3565F" w:rsidRPr="004842AA">
        <w:rPr>
          <w:rFonts w:ascii="Times New Roman" w:hAnsi="Times New Roman" w:cs="Times New Roman"/>
        </w:rPr>
        <w:t xml:space="preserve">devolved </w:t>
      </w:r>
      <w:r w:rsidR="001B69FE" w:rsidRPr="004842AA">
        <w:rPr>
          <w:rFonts w:ascii="Times New Roman" w:hAnsi="Times New Roman" w:cs="Times New Roman"/>
        </w:rPr>
        <w:t xml:space="preserve">authorities have </w:t>
      </w:r>
      <w:r w:rsidR="00B3565F" w:rsidRPr="004842AA">
        <w:rPr>
          <w:rFonts w:ascii="Times New Roman" w:hAnsi="Times New Roman" w:cs="Times New Roman"/>
        </w:rPr>
        <w:t xml:space="preserve">since </w:t>
      </w:r>
      <w:r w:rsidR="001B69FE" w:rsidRPr="004842AA">
        <w:rPr>
          <w:rFonts w:ascii="Times New Roman" w:hAnsi="Times New Roman" w:cs="Times New Roman"/>
        </w:rPr>
        <w:t>been promised that Brexit will lead to a significant increase in their local autonomy.</w:t>
      </w:r>
      <w:r w:rsidR="005C1AC4">
        <w:rPr>
          <w:rStyle w:val="FootnoteReference"/>
          <w:rFonts w:ascii="Times New Roman" w:hAnsi="Times New Roman" w:cs="Times New Roman"/>
        </w:rPr>
        <w:footnoteReference w:id="310"/>
      </w:r>
      <w:r w:rsidR="001B69FE" w:rsidRPr="004842AA">
        <w:rPr>
          <w:rFonts w:ascii="Times New Roman" w:hAnsi="Times New Roman" w:cs="Times New Roman"/>
        </w:rPr>
        <w:t xml:space="preserve">  Like any other state divided into territories with </w:t>
      </w:r>
      <w:r w:rsidR="00B3565F" w:rsidRPr="004842AA">
        <w:rPr>
          <w:rFonts w:ascii="Times New Roman" w:hAnsi="Times New Roman" w:cs="Times New Roman"/>
        </w:rPr>
        <w:t xml:space="preserve">independent regulatory powers, the UK </w:t>
      </w:r>
      <w:r w:rsidR="00DA55B2" w:rsidRPr="004842AA">
        <w:rPr>
          <w:rFonts w:ascii="Times New Roman" w:hAnsi="Times New Roman" w:cs="Times New Roman"/>
        </w:rPr>
        <w:t xml:space="preserve">now </w:t>
      </w:r>
      <w:r w:rsidR="00B3565F" w:rsidRPr="004842AA">
        <w:rPr>
          <w:rFonts w:ascii="Times New Roman" w:hAnsi="Times New Roman" w:cs="Times New Roman"/>
        </w:rPr>
        <w:t xml:space="preserve">needs to decide which </w:t>
      </w:r>
      <w:r w:rsidR="00DA55B2" w:rsidRPr="004842AA">
        <w:rPr>
          <w:rFonts w:ascii="Times New Roman" w:hAnsi="Times New Roman" w:cs="Times New Roman"/>
        </w:rPr>
        <w:t xml:space="preserve">domestic </w:t>
      </w:r>
      <w:r w:rsidR="00B3565F" w:rsidRPr="004842AA">
        <w:rPr>
          <w:rFonts w:ascii="Times New Roman" w:hAnsi="Times New Roman" w:cs="Times New Roman"/>
        </w:rPr>
        <w:t xml:space="preserve">barriers to </w:t>
      </w:r>
      <w:r w:rsidR="00B3565F" w:rsidRPr="004842AA">
        <w:rPr>
          <w:rFonts w:ascii="Times New Roman" w:hAnsi="Times New Roman" w:cs="Times New Roman"/>
        </w:rPr>
        <w:lastRenderedPageBreak/>
        <w:t>trade and distortions of competition are to be considered unacceptable; as well as which principles, instruments and institutions will ensure the smooth functioning of its own internal market.  Those discussions have already proved controversial and remain as yet unresolved – not least given the inherent demographic, economic and constitutional superiority of England over its smaller and more vulnerable partners.</w:t>
      </w:r>
      <w:r w:rsidR="005C1AC4">
        <w:rPr>
          <w:rStyle w:val="FootnoteReference"/>
          <w:rFonts w:ascii="Times New Roman" w:hAnsi="Times New Roman" w:cs="Times New Roman"/>
        </w:rPr>
        <w:footnoteReference w:id="311"/>
      </w:r>
      <w:r w:rsidR="00B3565F" w:rsidRPr="004842AA">
        <w:rPr>
          <w:rFonts w:ascii="Times New Roman" w:hAnsi="Times New Roman" w:cs="Times New Roman"/>
        </w:rPr>
        <w:t xml:space="preserve">  </w:t>
      </w:r>
      <w:r w:rsidR="00DA55B2" w:rsidRPr="004842AA">
        <w:rPr>
          <w:rFonts w:ascii="Times New Roman" w:hAnsi="Times New Roman" w:cs="Times New Roman"/>
        </w:rPr>
        <w:t>But the</w:t>
      </w:r>
      <w:r w:rsidR="00B3565F" w:rsidRPr="004842AA">
        <w:rPr>
          <w:rFonts w:ascii="Times New Roman" w:hAnsi="Times New Roman" w:cs="Times New Roman"/>
        </w:rPr>
        <w:t xml:space="preserve"> fact that </w:t>
      </w:r>
      <w:r w:rsidR="009711B9">
        <w:rPr>
          <w:rFonts w:ascii="Times New Roman" w:hAnsi="Times New Roman" w:cs="Times New Roman"/>
        </w:rPr>
        <w:t xml:space="preserve">Northern Ireland </w:t>
      </w:r>
      <w:r w:rsidR="00B3565F" w:rsidRPr="004842AA">
        <w:rPr>
          <w:rFonts w:ascii="Times New Roman" w:hAnsi="Times New Roman" w:cs="Times New Roman"/>
        </w:rPr>
        <w:t xml:space="preserve">will </w:t>
      </w:r>
      <w:r w:rsidR="009711B9">
        <w:rPr>
          <w:rFonts w:ascii="Times New Roman" w:hAnsi="Times New Roman" w:cs="Times New Roman"/>
        </w:rPr>
        <w:t xml:space="preserve">now </w:t>
      </w:r>
      <w:r w:rsidR="00B3565F" w:rsidRPr="004842AA">
        <w:rPr>
          <w:rFonts w:ascii="Times New Roman" w:hAnsi="Times New Roman" w:cs="Times New Roman"/>
        </w:rPr>
        <w:t xml:space="preserve">be governed by </w:t>
      </w:r>
      <w:r w:rsidR="009711B9">
        <w:rPr>
          <w:rFonts w:ascii="Times New Roman" w:hAnsi="Times New Roman" w:cs="Times New Roman"/>
        </w:rPr>
        <w:t xml:space="preserve">very </w:t>
      </w:r>
      <w:r w:rsidR="00B3565F" w:rsidRPr="004842AA">
        <w:rPr>
          <w:rFonts w:ascii="Times New Roman" w:hAnsi="Times New Roman" w:cs="Times New Roman"/>
        </w:rPr>
        <w:t xml:space="preserve">different </w:t>
      </w:r>
      <w:r w:rsidR="00DA55B2" w:rsidRPr="004842AA">
        <w:rPr>
          <w:rFonts w:ascii="Times New Roman" w:hAnsi="Times New Roman" w:cs="Times New Roman"/>
        </w:rPr>
        <w:t>domestic</w:t>
      </w:r>
      <w:r w:rsidR="00B3565F" w:rsidRPr="004842AA">
        <w:rPr>
          <w:rFonts w:ascii="Times New Roman" w:hAnsi="Times New Roman" w:cs="Times New Roman"/>
        </w:rPr>
        <w:t xml:space="preserve"> trade rules means that the UK internal market will </w:t>
      </w:r>
      <w:r w:rsidR="00DA55B2" w:rsidRPr="004842AA">
        <w:rPr>
          <w:rFonts w:ascii="Times New Roman" w:hAnsi="Times New Roman" w:cs="Times New Roman"/>
        </w:rPr>
        <w:t xml:space="preserve">be </w:t>
      </w:r>
      <w:r w:rsidR="00B3565F" w:rsidRPr="004842AA">
        <w:rPr>
          <w:rFonts w:ascii="Times New Roman" w:hAnsi="Times New Roman" w:cs="Times New Roman"/>
        </w:rPr>
        <w:t xml:space="preserve">asymmetrical from the very moment of its birth.  </w:t>
      </w:r>
    </w:p>
    <w:p w14:paraId="0780AF40" w14:textId="1CB21F3F" w:rsidR="00BE6612" w:rsidRDefault="00DA55B2" w:rsidP="00BE6612">
      <w:pPr>
        <w:ind w:firstLine="720"/>
        <w:jc w:val="both"/>
        <w:rPr>
          <w:rFonts w:ascii="Times New Roman" w:eastAsia="Times New Roman" w:hAnsi="Times New Roman" w:cs="Times New Roman"/>
          <w:shd w:val="clear" w:color="auto" w:fill="FFFFFF"/>
        </w:rPr>
      </w:pPr>
      <w:r w:rsidRPr="004842AA">
        <w:rPr>
          <w:rFonts w:ascii="Times New Roman" w:hAnsi="Times New Roman" w:cs="Times New Roman"/>
        </w:rPr>
        <w:t>I</w:t>
      </w:r>
      <w:r w:rsidR="00390F95" w:rsidRPr="004842AA">
        <w:rPr>
          <w:rFonts w:ascii="Times New Roman" w:hAnsi="Times New Roman" w:cs="Times New Roman"/>
        </w:rPr>
        <w:t>n addition</w:t>
      </w:r>
      <w:r w:rsidR="00B3565F" w:rsidRPr="004842AA">
        <w:rPr>
          <w:rFonts w:ascii="Times New Roman" w:hAnsi="Times New Roman" w:cs="Times New Roman"/>
        </w:rPr>
        <w:t xml:space="preserve">, </w:t>
      </w:r>
      <w:r w:rsidRPr="004842AA">
        <w:rPr>
          <w:rFonts w:ascii="Times New Roman" w:hAnsi="Times New Roman" w:cs="Times New Roman"/>
        </w:rPr>
        <w:t xml:space="preserve">recall that </w:t>
      </w:r>
      <w:r w:rsidR="00B3565F" w:rsidRPr="004842AA">
        <w:rPr>
          <w:rFonts w:ascii="Times New Roman" w:eastAsia="Times New Roman" w:hAnsi="Times New Roman" w:cs="Times New Roman"/>
          <w:shd w:val="clear" w:color="auto" w:fill="FFFFFF"/>
        </w:rPr>
        <w:t>Johnson</w:t>
      </w:r>
      <w:r w:rsidR="006B3230" w:rsidRPr="004842AA">
        <w:rPr>
          <w:rFonts w:ascii="Times New Roman" w:eastAsia="Times New Roman" w:hAnsi="Times New Roman" w:cs="Times New Roman"/>
          <w:shd w:val="clear" w:color="auto" w:fill="FFFFFF"/>
        </w:rPr>
        <w:t xml:space="preserve"> </w:t>
      </w:r>
      <w:r w:rsidR="00B3565F" w:rsidRPr="004842AA">
        <w:rPr>
          <w:rFonts w:ascii="Times New Roman" w:eastAsia="Times New Roman" w:hAnsi="Times New Roman" w:cs="Times New Roman"/>
          <w:shd w:val="clear" w:color="auto" w:fill="FFFFFF"/>
        </w:rPr>
        <w:t xml:space="preserve">insisted </w:t>
      </w:r>
      <w:r w:rsidRPr="004842AA">
        <w:rPr>
          <w:rFonts w:ascii="Times New Roman" w:eastAsia="Times New Roman" w:hAnsi="Times New Roman" w:cs="Times New Roman"/>
          <w:shd w:val="clear" w:color="auto" w:fill="FFFFFF"/>
        </w:rPr>
        <w:t>on</w:t>
      </w:r>
      <w:r w:rsidR="00B3565F" w:rsidRPr="004842AA">
        <w:rPr>
          <w:rFonts w:ascii="Times New Roman" w:eastAsia="Times New Roman" w:hAnsi="Times New Roman" w:cs="Times New Roman"/>
          <w:shd w:val="clear" w:color="auto" w:fill="FFFFFF"/>
        </w:rPr>
        <w:t xml:space="preserve"> Northern Ireland </w:t>
      </w:r>
      <w:r w:rsidRPr="004842AA">
        <w:rPr>
          <w:rFonts w:ascii="Times New Roman" w:eastAsia="Times New Roman" w:hAnsi="Times New Roman" w:cs="Times New Roman"/>
          <w:shd w:val="clear" w:color="auto" w:fill="FFFFFF"/>
        </w:rPr>
        <w:t xml:space="preserve">being </w:t>
      </w:r>
      <w:r w:rsidR="00B3565F" w:rsidRPr="004842AA">
        <w:rPr>
          <w:rFonts w:ascii="Times New Roman" w:eastAsia="Times New Roman" w:hAnsi="Times New Roman" w:cs="Times New Roman"/>
          <w:shd w:val="clear" w:color="auto" w:fill="FFFFFF"/>
        </w:rPr>
        <w:t xml:space="preserve">formally </w:t>
      </w:r>
      <w:r w:rsidRPr="004842AA">
        <w:rPr>
          <w:rFonts w:ascii="Times New Roman" w:eastAsia="Times New Roman" w:hAnsi="Times New Roman" w:cs="Times New Roman"/>
          <w:shd w:val="clear" w:color="auto" w:fill="FFFFFF"/>
        </w:rPr>
        <w:t xml:space="preserve">included </w:t>
      </w:r>
      <w:r w:rsidR="00B3565F" w:rsidRPr="004842AA">
        <w:rPr>
          <w:rFonts w:ascii="Times New Roman" w:eastAsia="Times New Roman" w:hAnsi="Times New Roman" w:cs="Times New Roman"/>
          <w:shd w:val="clear" w:color="auto" w:fill="FFFFFF"/>
        </w:rPr>
        <w:t xml:space="preserve">within the UK customs territory and </w:t>
      </w:r>
      <w:r w:rsidRPr="004842AA">
        <w:rPr>
          <w:rFonts w:ascii="Times New Roman" w:eastAsia="Times New Roman" w:hAnsi="Times New Roman" w:cs="Times New Roman"/>
          <w:shd w:val="clear" w:color="auto" w:fill="FFFFFF"/>
        </w:rPr>
        <w:t xml:space="preserve">thus </w:t>
      </w:r>
      <w:r w:rsidR="006B3230" w:rsidRPr="004842AA">
        <w:rPr>
          <w:rFonts w:ascii="Times New Roman" w:eastAsia="Times New Roman" w:hAnsi="Times New Roman" w:cs="Times New Roman"/>
          <w:shd w:val="clear" w:color="auto" w:fill="FFFFFF"/>
        </w:rPr>
        <w:t xml:space="preserve">able to share in </w:t>
      </w:r>
      <w:r w:rsidR="00B3565F" w:rsidRPr="004842AA">
        <w:rPr>
          <w:rFonts w:ascii="Times New Roman" w:eastAsia="Times New Roman" w:hAnsi="Times New Roman" w:cs="Times New Roman"/>
          <w:shd w:val="clear" w:color="auto" w:fill="FFFFFF"/>
        </w:rPr>
        <w:t xml:space="preserve">the </w:t>
      </w:r>
      <w:r w:rsidRPr="004842AA">
        <w:rPr>
          <w:rFonts w:ascii="Times New Roman" w:eastAsia="Times New Roman" w:hAnsi="Times New Roman" w:cs="Times New Roman"/>
          <w:shd w:val="clear" w:color="auto" w:fill="FFFFFF"/>
        </w:rPr>
        <w:t xml:space="preserve">aspirant </w:t>
      </w:r>
      <w:r w:rsidR="00B3565F" w:rsidRPr="004842AA">
        <w:rPr>
          <w:rFonts w:ascii="Times New Roman" w:eastAsia="Times New Roman" w:hAnsi="Times New Roman" w:cs="Times New Roman"/>
          <w:shd w:val="clear" w:color="auto" w:fill="FFFFFF"/>
        </w:rPr>
        <w:t xml:space="preserve">benefits of </w:t>
      </w:r>
      <w:r w:rsidR="00E86C42" w:rsidRPr="004842AA">
        <w:rPr>
          <w:rFonts w:ascii="Times New Roman" w:eastAsia="Times New Roman" w:hAnsi="Times New Roman" w:cs="Times New Roman"/>
          <w:shd w:val="clear" w:color="auto" w:fill="FFFFFF"/>
        </w:rPr>
        <w:t>an</w:t>
      </w:r>
      <w:r w:rsidR="00B3565F" w:rsidRPr="004842AA">
        <w:rPr>
          <w:rFonts w:ascii="Times New Roman" w:eastAsia="Times New Roman" w:hAnsi="Times New Roman" w:cs="Times New Roman"/>
          <w:shd w:val="clear" w:color="auto" w:fill="FFFFFF"/>
        </w:rPr>
        <w:t xml:space="preserve"> independent </w:t>
      </w:r>
      <w:r w:rsidR="00E86C42" w:rsidRPr="004842AA">
        <w:rPr>
          <w:rFonts w:ascii="Times New Roman" w:eastAsia="Times New Roman" w:hAnsi="Times New Roman" w:cs="Times New Roman"/>
          <w:shd w:val="clear" w:color="auto" w:fill="FFFFFF"/>
        </w:rPr>
        <w:t xml:space="preserve">UK </w:t>
      </w:r>
      <w:r w:rsidR="00B3565F" w:rsidRPr="004842AA">
        <w:rPr>
          <w:rFonts w:ascii="Times New Roman" w:eastAsia="Times New Roman" w:hAnsi="Times New Roman" w:cs="Times New Roman"/>
          <w:shd w:val="clear" w:color="auto" w:fill="FFFFFF"/>
        </w:rPr>
        <w:t xml:space="preserve">trade policy (for example, </w:t>
      </w:r>
      <w:r w:rsidR="006B3230" w:rsidRPr="004842AA">
        <w:rPr>
          <w:rFonts w:ascii="Times New Roman" w:eastAsia="Times New Roman" w:hAnsi="Times New Roman" w:cs="Times New Roman"/>
          <w:shd w:val="clear" w:color="auto" w:fill="FFFFFF"/>
        </w:rPr>
        <w:t>through reduced tariffs on trade with third countries</w:t>
      </w:r>
      <w:r w:rsidR="00B3565F" w:rsidRPr="004842AA">
        <w:rPr>
          <w:rFonts w:ascii="Times New Roman" w:eastAsia="Times New Roman" w:hAnsi="Times New Roman" w:cs="Times New Roman"/>
          <w:shd w:val="clear" w:color="auto" w:fill="FFFFFF"/>
        </w:rPr>
        <w:t>)</w:t>
      </w:r>
      <w:r w:rsidR="006B3230" w:rsidRPr="004842AA">
        <w:rPr>
          <w:rFonts w:ascii="Times New Roman" w:eastAsia="Times New Roman" w:hAnsi="Times New Roman" w:cs="Times New Roman"/>
          <w:shd w:val="clear" w:color="auto" w:fill="FFFFFF"/>
        </w:rPr>
        <w:t>.</w:t>
      </w:r>
      <w:r w:rsidR="005241DC" w:rsidRPr="004842AA">
        <w:rPr>
          <w:rStyle w:val="FootnoteReference"/>
          <w:rFonts w:ascii="Times New Roman" w:eastAsia="Times New Roman" w:hAnsi="Times New Roman" w:cs="Times New Roman"/>
          <w:shd w:val="clear" w:color="auto" w:fill="FFFFFF"/>
        </w:rPr>
        <w:footnoteReference w:id="312"/>
      </w:r>
      <w:r w:rsidR="00B3565F" w:rsidRPr="004842AA">
        <w:rPr>
          <w:rFonts w:ascii="Times New Roman" w:eastAsia="Times New Roman" w:hAnsi="Times New Roman" w:cs="Times New Roman"/>
          <w:shd w:val="clear" w:color="auto" w:fill="FFFFFF"/>
        </w:rPr>
        <w:t xml:space="preserve">  </w:t>
      </w:r>
      <w:r w:rsidR="009C3BEE" w:rsidRPr="004842AA">
        <w:rPr>
          <w:rFonts w:ascii="Times New Roman" w:eastAsia="Times New Roman" w:hAnsi="Times New Roman" w:cs="Times New Roman"/>
          <w:shd w:val="clear" w:color="auto" w:fill="FFFFFF"/>
        </w:rPr>
        <w:t xml:space="preserve">But as a </w:t>
      </w:r>
      <w:r w:rsidRPr="004842AA">
        <w:rPr>
          <w:rFonts w:ascii="Times New Roman" w:eastAsia="Times New Roman" w:hAnsi="Times New Roman" w:cs="Times New Roman"/>
          <w:shd w:val="clear" w:color="auto" w:fill="FFFFFF"/>
        </w:rPr>
        <w:t xml:space="preserve">direct </w:t>
      </w:r>
      <w:r w:rsidR="009C3BEE" w:rsidRPr="004842AA">
        <w:rPr>
          <w:rFonts w:ascii="Times New Roman" w:eastAsia="Times New Roman" w:hAnsi="Times New Roman" w:cs="Times New Roman"/>
          <w:shd w:val="clear" w:color="auto" w:fill="FFFFFF"/>
        </w:rPr>
        <w:t>result, Northern Ireland will become subject to two distinct customs regimes running simultaneously in respect of the same territory</w:t>
      </w:r>
      <w:r w:rsidRPr="004842AA">
        <w:rPr>
          <w:rFonts w:ascii="Times New Roman" w:eastAsia="Times New Roman" w:hAnsi="Times New Roman" w:cs="Times New Roman"/>
          <w:shd w:val="clear" w:color="auto" w:fill="FFFFFF"/>
        </w:rPr>
        <w:t xml:space="preserve">.  The </w:t>
      </w:r>
      <w:r w:rsidR="009C3BEE" w:rsidRPr="004842AA">
        <w:rPr>
          <w:rFonts w:ascii="Times New Roman" w:eastAsia="Times New Roman" w:hAnsi="Times New Roman" w:cs="Times New Roman"/>
          <w:shd w:val="clear" w:color="auto" w:fill="FFFFFF"/>
        </w:rPr>
        <w:t xml:space="preserve">Protocol </w:t>
      </w:r>
      <w:r w:rsidR="00E86C42" w:rsidRPr="004842AA">
        <w:rPr>
          <w:rFonts w:ascii="Times New Roman" w:eastAsia="Times New Roman" w:hAnsi="Times New Roman" w:cs="Times New Roman"/>
          <w:shd w:val="clear" w:color="auto" w:fill="FFFFFF"/>
        </w:rPr>
        <w:t>foresees</w:t>
      </w:r>
      <w:r w:rsidR="009C3BEE" w:rsidRPr="004842AA">
        <w:rPr>
          <w:rFonts w:ascii="Times New Roman" w:eastAsia="Times New Roman" w:hAnsi="Times New Roman" w:cs="Times New Roman"/>
          <w:shd w:val="clear" w:color="auto" w:fill="FFFFFF"/>
        </w:rPr>
        <w:t xml:space="preserve"> a nightmarish system for determining and administering which goods pay Union duties, UK duties or no duties</w:t>
      </w:r>
      <w:r w:rsidR="005241DC" w:rsidRPr="004842AA">
        <w:rPr>
          <w:rFonts w:ascii="Times New Roman" w:eastAsia="Times New Roman" w:hAnsi="Times New Roman" w:cs="Times New Roman"/>
          <w:shd w:val="clear" w:color="auto" w:fill="FFFFFF"/>
        </w:rPr>
        <w:t xml:space="preserve"> at all.</w:t>
      </w:r>
      <w:r w:rsidR="005241DC" w:rsidRPr="004842AA">
        <w:rPr>
          <w:rStyle w:val="FootnoteReference"/>
          <w:rFonts w:ascii="Times New Roman" w:eastAsia="Times New Roman" w:hAnsi="Times New Roman" w:cs="Times New Roman"/>
          <w:shd w:val="clear" w:color="auto" w:fill="FFFFFF"/>
        </w:rPr>
        <w:footnoteReference w:id="313"/>
      </w:r>
      <w:r w:rsidR="005241DC" w:rsidRPr="004842AA">
        <w:rPr>
          <w:rFonts w:ascii="Times New Roman" w:eastAsia="Times New Roman" w:hAnsi="Times New Roman" w:cs="Times New Roman"/>
          <w:shd w:val="clear" w:color="auto" w:fill="FFFFFF"/>
        </w:rPr>
        <w:t xml:space="preserve"> </w:t>
      </w:r>
      <w:r w:rsidR="00E86C42" w:rsidRPr="004842AA">
        <w:rPr>
          <w:rFonts w:ascii="Times New Roman" w:eastAsia="Times New Roman" w:hAnsi="Times New Roman" w:cs="Times New Roman"/>
          <w:shd w:val="clear" w:color="auto" w:fill="FFFFFF"/>
        </w:rPr>
        <w:t xml:space="preserve"> The </w:t>
      </w:r>
      <w:r w:rsidR="009C3BEE" w:rsidRPr="004842AA">
        <w:rPr>
          <w:rFonts w:ascii="Times New Roman" w:eastAsia="Times New Roman" w:hAnsi="Times New Roman" w:cs="Times New Roman"/>
          <w:shd w:val="clear" w:color="auto" w:fill="FFFFFF"/>
        </w:rPr>
        <w:t xml:space="preserve">presumption </w:t>
      </w:r>
      <w:r w:rsidR="00E86C42" w:rsidRPr="004842AA">
        <w:rPr>
          <w:rFonts w:ascii="Times New Roman" w:eastAsia="Times New Roman" w:hAnsi="Times New Roman" w:cs="Times New Roman"/>
          <w:shd w:val="clear" w:color="auto" w:fill="FFFFFF"/>
        </w:rPr>
        <w:t xml:space="preserve">is </w:t>
      </w:r>
      <w:r w:rsidR="009C3BEE" w:rsidRPr="004842AA">
        <w:rPr>
          <w:rFonts w:ascii="Times New Roman" w:eastAsia="Times New Roman" w:hAnsi="Times New Roman" w:cs="Times New Roman"/>
          <w:shd w:val="clear" w:color="auto" w:fill="FFFFFF"/>
        </w:rPr>
        <w:t xml:space="preserve">that Union duties should apply </w:t>
      </w:r>
      <w:r w:rsidR="00E86C42" w:rsidRPr="004842AA">
        <w:rPr>
          <w:rFonts w:ascii="Times New Roman" w:eastAsia="Times New Roman" w:hAnsi="Times New Roman" w:cs="Times New Roman"/>
          <w:shd w:val="clear" w:color="auto" w:fill="FFFFFF"/>
        </w:rPr>
        <w:t xml:space="preserve">to all goods entering Northern Ireland from outside the Union itself; </w:t>
      </w:r>
      <w:r w:rsidR="009C3BEE" w:rsidRPr="004842AA">
        <w:rPr>
          <w:rFonts w:ascii="Times New Roman" w:eastAsia="Times New Roman" w:hAnsi="Times New Roman" w:cs="Times New Roman"/>
          <w:shd w:val="clear" w:color="auto" w:fill="FFFFFF"/>
        </w:rPr>
        <w:t xml:space="preserve">unless </w:t>
      </w:r>
      <w:r w:rsidR="00E86C42" w:rsidRPr="004842AA">
        <w:rPr>
          <w:rFonts w:ascii="Times New Roman" w:eastAsia="Times New Roman" w:hAnsi="Times New Roman" w:cs="Times New Roman"/>
          <w:shd w:val="clear" w:color="auto" w:fill="FFFFFF"/>
        </w:rPr>
        <w:t>it is proven</w:t>
      </w:r>
      <w:r w:rsidR="009C3BEE" w:rsidRPr="004842AA">
        <w:rPr>
          <w:rFonts w:ascii="Times New Roman" w:eastAsia="Times New Roman" w:hAnsi="Times New Roman" w:cs="Times New Roman"/>
          <w:shd w:val="clear" w:color="auto" w:fill="FFFFFF"/>
        </w:rPr>
        <w:t xml:space="preserve"> </w:t>
      </w:r>
      <w:r w:rsidR="006B5E03" w:rsidRPr="004842AA">
        <w:rPr>
          <w:rFonts w:ascii="Times New Roman" w:eastAsia="Times New Roman" w:hAnsi="Times New Roman" w:cs="Times New Roman"/>
          <w:shd w:val="clear" w:color="auto" w:fill="FFFFFF"/>
        </w:rPr>
        <w:t xml:space="preserve">(in accordance with more detailed criteria to be adopted by the Joint Committee) </w:t>
      </w:r>
      <w:r w:rsidR="00E86C42" w:rsidRPr="004842AA">
        <w:rPr>
          <w:rFonts w:ascii="Times New Roman" w:eastAsia="Times New Roman" w:hAnsi="Times New Roman" w:cs="Times New Roman"/>
          <w:shd w:val="clear" w:color="auto" w:fill="FFFFFF"/>
        </w:rPr>
        <w:t>that the relevant goods are not at risk of subsequently being moved into the Union (whether by themselves or as part of other goods following processing); in which case they will pay UK duties (if originating from a third country) or no duties (if they come from Great Britain).</w:t>
      </w:r>
      <w:r w:rsidR="00E86C42" w:rsidRPr="004842AA">
        <w:rPr>
          <w:rStyle w:val="FootnoteReference"/>
          <w:rFonts w:ascii="Times New Roman" w:eastAsia="Times New Roman" w:hAnsi="Times New Roman" w:cs="Times New Roman"/>
          <w:shd w:val="clear" w:color="auto" w:fill="FFFFFF"/>
        </w:rPr>
        <w:footnoteReference w:id="314"/>
      </w:r>
      <w:r w:rsidR="00E86C42" w:rsidRPr="004842AA">
        <w:rPr>
          <w:rFonts w:ascii="Times New Roman" w:eastAsia="Times New Roman" w:hAnsi="Times New Roman" w:cs="Times New Roman"/>
          <w:shd w:val="clear" w:color="auto" w:fill="FFFFFF"/>
        </w:rPr>
        <w:t xml:space="preserve">  </w:t>
      </w:r>
      <w:r w:rsidR="0086361A" w:rsidRPr="004842AA">
        <w:rPr>
          <w:rFonts w:ascii="Times New Roman" w:eastAsia="Times New Roman" w:hAnsi="Times New Roman" w:cs="Times New Roman"/>
          <w:shd w:val="clear" w:color="auto" w:fill="FFFFFF"/>
        </w:rPr>
        <w:t xml:space="preserve">The Protocol </w:t>
      </w:r>
      <w:r w:rsidR="00012A40" w:rsidRPr="004842AA">
        <w:rPr>
          <w:rFonts w:ascii="Times New Roman" w:eastAsia="Times New Roman" w:hAnsi="Times New Roman" w:cs="Times New Roman"/>
          <w:shd w:val="clear" w:color="auto" w:fill="FFFFFF"/>
        </w:rPr>
        <w:t xml:space="preserve">also </w:t>
      </w:r>
      <w:r w:rsidR="0086361A" w:rsidRPr="004842AA">
        <w:rPr>
          <w:rFonts w:ascii="Times New Roman" w:eastAsia="Times New Roman" w:hAnsi="Times New Roman" w:cs="Times New Roman"/>
          <w:shd w:val="clear" w:color="auto" w:fill="FFFFFF"/>
        </w:rPr>
        <w:t>foresees a system of refunds by the UK authorities</w:t>
      </w:r>
      <w:r w:rsidR="00012A40" w:rsidRPr="004842AA">
        <w:rPr>
          <w:rFonts w:ascii="Times New Roman" w:eastAsia="Times New Roman" w:hAnsi="Times New Roman" w:cs="Times New Roman"/>
          <w:shd w:val="clear" w:color="auto" w:fill="FFFFFF"/>
        </w:rPr>
        <w:t>, for example, in respect of goods shown not to have entered the Union</w:t>
      </w:r>
      <w:r w:rsidR="0086361A" w:rsidRPr="004842AA">
        <w:rPr>
          <w:rFonts w:ascii="Times New Roman" w:eastAsia="Times New Roman" w:hAnsi="Times New Roman" w:cs="Times New Roman"/>
          <w:shd w:val="clear" w:color="auto" w:fill="FFFFFF"/>
        </w:rPr>
        <w:t>.</w:t>
      </w:r>
      <w:r w:rsidR="0086361A" w:rsidRPr="004842AA">
        <w:rPr>
          <w:rStyle w:val="FootnoteReference"/>
          <w:rFonts w:ascii="Times New Roman" w:eastAsia="Times New Roman" w:hAnsi="Times New Roman" w:cs="Times New Roman"/>
          <w:shd w:val="clear" w:color="auto" w:fill="FFFFFF"/>
        </w:rPr>
        <w:footnoteReference w:id="315"/>
      </w:r>
      <w:r w:rsidR="0086361A" w:rsidRPr="004842AA">
        <w:rPr>
          <w:rFonts w:ascii="Times New Roman" w:eastAsia="Times New Roman" w:hAnsi="Times New Roman" w:cs="Times New Roman"/>
          <w:shd w:val="clear" w:color="auto" w:fill="FFFFFF"/>
        </w:rPr>
        <w:t xml:space="preserve">  </w:t>
      </w:r>
      <w:r w:rsidR="009C3BEE" w:rsidRPr="004842AA">
        <w:rPr>
          <w:rFonts w:ascii="Times New Roman" w:eastAsia="Times New Roman" w:hAnsi="Times New Roman" w:cs="Times New Roman"/>
          <w:shd w:val="clear" w:color="auto" w:fill="FFFFFF"/>
        </w:rPr>
        <w:t xml:space="preserve">The </w:t>
      </w:r>
      <w:r w:rsidR="00012A40" w:rsidRPr="004842AA">
        <w:rPr>
          <w:rFonts w:ascii="Times New Roman" w:eastAsia="Times New Roman" w:hAnsi="Times New Roman" w:cs="Times New Roman"/>
          <w:shd w:val="clear" w:color="auto" w:fill="FFFFFF"/>
        </w:rPr>
        <w:t xml:space="preserve">whole </w:t>
      </w:r>
      <w:r w:rsidR="009C3BEE" w:rsidRPr="004842AA">
        <w:rPr>
          <w:rFonts w:ascii="Times New Roman" w:eastAsia="Times New Roman" w:hAnsi="Times New Roman" w:cs="Times New Roman"/>
          <w:shd w:val="clear" w:color="auto" w:fill="FFFFFF"/>
        </w:rPr>
        <w:t>model is r</w:t>
      </w:r>
      <w:r w:rsidR="006B3230" w:rsidRPr="004842AA">
        <w:rPr>
          <w:rFonts w:ascii="Times New Roman" w:eastAsia="Times New Roman" w:hAnsi="Times New Roman" w:cs="Times New Roman"/>
          <w:shd w:val="clear" w:color="auto" w:fill="FFFFFF"/>
        </w:rPr>
        <w:t xml:space="preserve">eminiscent of </w:t>
      </w:r>
      <w:r w:rsidR="00DC41E9">
        <w:rPr>
          <w:rFonts w:ascii="Times New Roman" w:eastAsia="Times New Roman" w:hAnsi="Times New Roman" w:cs="Times New Roman"/>
          <w:shd w:val="clear" w:color="auto" w:fill="FFFFFF"/>
        </w:rPr>
        <w:t>the 2018 Chequers Plan</w:t>
      </w:r>
      <w:r w:rsidR="009C3BEE" w:rsidRPr="004842AA">
        <w:rPr>
          <w:rFonts w:ascii="Times New Roman" w:eastAsia="Times New Roman" w:hAnsi="Times New Roman" w:cs="Times New Roman"/>
          <w:shd w:val="clear" w:color="auto" w:fill="FFFFFF"/>
        </w:rPr>
        <w:t xml:space="preserve"> for a </w:t>
      </w:r>
      <w:r w:rsidR="006B3230" w:rsidRPr="004842AA">
        <w:rPr>
          <w:rFonts w:ascii="Times New Roman" w:eastAsia="Times New Roman" w:hAnsi="Times New Roman" w:cs="Times New Roman"/>
          <w:shd w:val="clear" w:color="auto" w:fill="FFFFFF"/>
        </w:rPr>
        <w:t xml:space="preserve">“customs partnership” </w:t>
      </w:r>
      <w:r w:rsidR="009C3BEE" w:rsidRPr="004842AA">
        <w:rPr>
          <w:rFonts w:ascii="Times New Roman" w:eastAsia="Times New Roman" w:hAnsi="Times New Roman" w:cs="Times New Roman"/>
          <w:shd w:val="clear" w:color="auto" w:fill="FFFFFF"/>
        </w:rPr>
        <w:t xml:space="preserve">between the EU and the UK as a whole – proposals </w:t>
      </w:r>
      <w:r w:rsidR="006B3230" w:rsidRPr="004842AA">
        <w:rPr>
          <w:rFonts w:ascii="Times New Roman" w:eastAsia="Times New Roman" w:hAnsi="Times New Roman" w:cs="Times New Roman"/>
          <w:shd w:val="clear" w:color="auto" w:fill="FFFFFF"/>
        </w:rPr>
        <w:t xml:space="preserve">which were </w:t>
      </w:r>
      <w:r w:rsidR="00012A40" w:rsidRPr="004842AA">
        <w:rPr>
          <w:rFonts w:ascii="Times New Roman" w:eastAsia="Times New Roman" w:hAnsi="Times New Roman" w:cs="Times New Roman"/>
          <w:shd w:val="clear" w:color="auto" w:fill="FFFFFF"/>
        </w:rPr>
        <w:t xml:space="preserve">widely </w:t>
      </w:r>
      <w:r w:rsidR="006B3230" w:rsidRPr="004842AA">
        <w:rPr>
          <w:rFonts w:ascii="Times New Roman" w:eastAsia="Times New Roman" w:hAnsi="Times New Roman" w:cs="Times New Roman"/>
          <w:shd w:val="clear" w:color="auto" w:fill="FFFFFF"/>
        </w:rPr>
        <w:t xml:space="preserve">dismissed </w:t>
      </w:r>
      <w:r w:rsidR="00012A40" w:rsidRPr="004842AA">
        <w:rPr>
          <w:rFonts w:ascii="Times New Roman" w:eastAsia="Times New Roman" w:hAnsi="Times New Roman" w:cs="Times New Roman"/>
          <w:shd w:val="clear" w:color="auto" w:fill="FFFFFF"/>
        </w:rPr>
        <w:t xml:space="preserve">at the time </w:t>
      </w:r>
      <w:r w:rsidR="006B3230" w:rsidRPr="004842AA">
        <w:rPr>
          <w:rFonts w:ascii="Times New Roman" w:eastAsia="Times New Roman" w:hAnsi="Times New Roman" w:cs="Times New Roman"/>
          <w:shd w:val="clear" w:color="auto" w:fill="FFFFFF"/>
        </w:rPr>
        <w:t>as untested</w:t>
      </w:r>
      <w:r w:rsidR="00B37A59">
        <w:rPr>
          <w:rFonts w:ascii="Times New Roman" w:eastAsia="Times New Roman" w:hAnsi="Times New Roman" w:cs="Times New Roman"/>
          <w:shd w:val="clear" w:color="auto" w:fill="FFFFFF"/>
        </w:rPr>
        <w:t>,</w:t>
      </w:r>
      <w:r w:rsidR="006B3230" w:rsidRPr="004842AA">
        <w:rPr>
          <w:rFonts w:ascii="Times New Roman" w:eastAsia="Times New Roman" w:hAnsi="Times New Roman" w:cs="Times New Roman"/>
          <w:shd w:val="clear" w:color="auto" w:fill="FFFFFF"/>
        </w:rPr>
        <w:t xml:space="preserve"> speculative, massively bureaucratic and damaging to competitiveness</w:t>
      </w:r>
      <w:r w:rsidR="009C3BEE" w:rsidRPr="004842AA">
        <w:rPr>
          <w:rFonts w:ascii="Times New Roman" w:eastAsia="Times New Roman" w:hAnsi="Times New Roman" w:cs="Times New Roman"/>
          <w:shd w:val="clear" w:color="auto" w:fill="FFFFFF"/>
        </w:rPr>
        <w:t>.</w:t>
      </w:r>
      <w:r w:rsidR="005C1AC4">
        <w:rPr>
          <w:rStyle w:val="FootnoteReference"/>
          <w:rFonts w:ascii="Times New Roman" w:eastAsia="Times New Roman" w:hAnsi="Times New Roman" w:cs="Times New Roman"/>
          <w:shd w:val="clear" w:color="auto" w:fill="FFFFFF"/>
        </w:rPr>
        <w:footnoteReference w:id="316"/>
      </w:r>
      <w:r w:rsidR="009C3BEE" w:rsidRPr="004842AA">
        <w:rPr>
          <w:rFonts w:ascii="Times New Roman" w:eastAsia="Times New Roman" w:hAnsi="Times New Roman" w:cs="Times New Roman"/>
          <w:shd w:val="clear" w:color="auto" w:fill="FFFFFF"/>
        </w:rPr>
        <w:t xml:space="preserve">  Yet Northern Ireland is now </w:t>
      </w:r>
      <w:r w:rsidR="006B3230" w:rsidRPr="004842AA">
        <w:rPr>
          <w:rFonts w:ascii="Times New Roman" w:eastAsia="Times New Roman" w:hAnsi="Times New Roman" w:cs="Times New Roman"/>
          <w:shd w:val="clear" w:color="auto" w:fill="FFFFFF"/>
        </w:rPr>
        <w:t xml:space="preserve">being used as </w:t>
      </w:r>
      <w:r w:rsidR="009C3BEE" w:rsidRPr="004842AA">
        <w:rPr>
          <w:rFonts w:ascii="Times New Roman" w:eastAsia="Times New Roman" w:hAnsi="Times New Roman" w:cs="Times New Roman"/>
          <w:shd w:val="clear" w:color="auto" w:fill="FFFFFF"/>
        </w:rPr>
        <w:t xml:space="preserve">the </w:t>
      </w:r>
      <w:r w:rsidR="006B3230" w:rsidRPr="004842AA">
        <w:rPr>
          <w:rFonts w:ascii="Times New Roman" w:eastAsia="Times New Roman" w:hAnsi="Times New Roman" w:cs="Times New Roman"/>
          <w:shd w:val="clear" w:color="auto" w:fill="FFFFFF"/>
        </w:rPr>
        <w:t xml:space="preserve">guinea pig </w:t>
      </w:r>
      <w:r w:rsidR="009C3BEE" w:rsidRPr="004842AA">
        <w:rPr>
          <w:rFonts w:ascii="Times New Roman" w:eastAsia="Times New Roman" w:hAnsi="Times New Roman" w:cs="Times New Roman"/>
          <w:shd w:val="clear" w:color="auto" w:fill="FFFFFF"/>
        </w:rPr>
        <w:t xml:space="preserve">for precisely such a </w:t>
      </w:r>
      <w:r w:rsidR="006B3230" w:rsidRPr="004842AA">
        <w:rPr>
          <w:rFonts w:ascii="Times New Roman" w:eastAsia="Times New Roman" w:hAnsi="Times New Roman" w:cs="Times New Roman"/>
          <w:shd w:val="clear" w:color="auto" w:fill="FFFFFF"/>
        </w:rPr>
        <w:t>scheme</w:t>
      </w:r>
      <w:r w:rsidR="009C3BEE" w:rsidRPr="004842AA">
        <w:rPr>
          <w:rFonts w:ascii="Times New Roman" w:eastAsia="Times New Roman" w:hAnsi="Times New Roman" w:cs="Times New Roman"/>
          <w:shd w:val="clear" w:color="auto" w:fill="FFFFFF"/>
        </w:rPr>
        <w:t xml:space="preserve"> and risks being left </w:t>
      </w:r>
      <w:r w:rsidR="006B3230" w:rsidRPr="004842AA">
        <w:rPr>
          <w:rFonts w:ascii="Times New Roman" w:eastAsia="Times New Roman" w:hAnsi="Times New Roman" w:cs="Times New Roman"/>
          <w:shd w:val="clear" w:color="auto" w:fill="FFFFFF"/>
        </w:rPr>
        <w:t xml:space="preserve">worse off under </w:t>
      </w:r>
      <w:r w:rsidR="009C3BEE" w:rsidRPr="004842AA">
        <w:rPr>
          <w:rFonts w:ascii="Times New Roman" w:eastAsia="Times New Roman" w:hAnsi="Times New Roman" w:cs="Times New Roman"/>
          <w:shd w:val="clear" w:color="auto" w:fill="FFFFFF"/>
        </w:rPr>
        <w:t xml:space="preserve">the Johnson Protocol </w:t>
      </w:r>
      <w:r w:rsidR="006B3230" w:rsidRPr="004842AA">
        <w:rPr>
          <w:rFonts w:ascii="Times New Roman" w:eastAsia="Times New Roman" w:hAnsi="Times New Roman" w:cs="Times New Roman"/>
          <w:shd w:val="clear" w:color="auto" w:fill="FFFFFF"/>
        </w:rPr>
        <w:t xml:space="preserve">than it would have been under the </w:t>
      </w:r>
      <w:r w:rsidR="009C3BEE" w:rsidRPr="004842AA">
        <w:rPr>
          <w:rFonts w:ascii="Times New Roman" w:eastAsia="Times New Roman" w:hAnsi="Times New Roman" w:cs="Times New Roman"/>
          <w:shd w:val="clear" w:color="auto" w:fill="FFFFFF"/>
        </w:rPr>
        <w:t xml:space="preserve">previous backstop proposals from either the Commission or </w:t>
      </w:r>
      <w:r w:rsidR="006B3230" w:rsidRPr="004842AA">
        <w:rPr>
          <w:rFonts w:ascii="Times New Roman" w:eastAsia="Times New Roman" w:hAnsi="Times New Roman" w:cs="Times New Roman"/>
          <w:shd w:val="clear" w:color="auto" w:fill="FFFFFF"/>
        </w:rPr>
        <w:t>Theresa May</w:t>
      </w:r>
      <w:r w:rsidR="009C3BEE" w:rsidRPr="004842AA">
        <w:rPr>
          <w:rFonts w:ascii="Times New Roman" w:eastAsia="Times New Roman" w:hAnsi="Times New Roman" w:cs="Times New Roman"/>
          <w:shd w:val="clear" w:color="auto" w:fill="FFFFFF"/>
        </w:rPr>
        <w:t>.</w:t>
      </w:r>
    </w:p>
    <w:p w14:paraId="34CF33BA" w14:textId="77777777" w:rsidR="00A66223" w:rsidRDefault="00DA55B2" w:rsidP="00BE6612">
      <w:pPr>
        <w:ind w:firstLine="720"/>
        <w:jc w:val="both"/>
        <w:rPr>
          <w:rFonts w:ascii="Times New Roman" w:eastAsia="Times New Roman" w:hAnsi="Times New Roman" w:cs="Times New Roman"/>
          <w:shd w:val="clear" w:color="auto" w:fill="FFFFFF"/>
        </w:rPr>
      </w:pPr>
      <w:r w:rsidRPr="004842AA">
        <w:rPr>
          <w:rFonts w:ascii="Times New Roman" w:eastAsia="Times New Roman" w:hAnsi="Times New Roman" w:cs="Times New Roman"/>
          <w:shd w:val="clear" w:color="auto" w:fill="FFFFFF"/>
        </w:rPr>
        <w:t>In the third place, the Protocol ponders its own anticipated longevity and eventual mortality</w:t>
      </w:r>
      <w:r w:rsidR="009C3BEE" w:rsidRPr="004842AA">
        <w:rPr>
          <w:rFonts w:ascii="Times New Roman" w:eastAsia="Times New Roman" w:hAnsi="Times New Roman" w:cs="Times New Roman"/>
          <w:shd w:val="clear" w:color="auto" w:fill="FFFFFF"/>
        </w:rPr>
        <w:t xml:space="preserve">.  In </w:t>
      </w:r>
      <w:r w:rsidR="00A53025" w:rsidRPr="004842AA">
        <w:rPr>
          <w:rFonts w:ascii="Times New Roman" w:eastAsia="Times New Roman" w:hAnsi="Times New Roman" w:cs="Times New Roman"/>
          <w:shd w:val="clear" w:color="auto" w:fill="FFFFFF"/>
        </w:rPr>
        <w:t>theory</w:t>
      </w:r>
      <w:r w:rsidR="009C3BEE" w:rsidRPr="004842AA">
        <w:rPr>
          <w:rFonts w:ascii="Times New Roman" w:eastAsia="Times New Roman" w:hAnsi="Times New Roman" w:cs="Times New Roman"/>
          <w:shd w:val="clear" w:color="auto" w:fill="FFFFFF"/>
        </w:rPr>
        <w:t xml:space="preserve">, the entire system </w:t>
      </w:r>
      <w:r w:rsidR="006B3230" w:rsidRPr="004842AA">
        <w:rPr>
          <w:rFonts w:ascii="Times New Roman" w:eastAsia="Times New Roman" w:hAnsi="Times New Roman" w:cs="Times New Roman"/>
          <w:shd w:val="clear" w:color="auto" w:fill="FFFFFF"/>
        </w:rPr>
        <w:t xml:space="preserve">will </w:t>
      </w:r>
      <w:r w:rsidR="00A53025" w:rsidRPr="004842AA">
        <w:rPr>
          <w:rFonts w:ascii="Times New Roman" w:eastAsia="Times New Roman" w:hAnsi="Times New Roman" w:cs="Times New Roman"/>
          <w:shd w:val="clear" w:color="auto" w:fill="FFFFFF"/>
        </w:rPr>
        <w:t xml:space="preserve">continue to </w:t>
      </w:r>
      <w:r w:rsidR="006B3230" w:rsidRPr="004842AA">
        <w:rPr>
          <w:rFonts w:ascii="Times New Roman" w:eastAsia="Times New Roman" w:hAnsi="Times New Roman" w:cs="Times New Roman"/>
          <w:shd w:val="clear" w:color="auto" w:fill="FFFFFF"/>
        </w:rPr>
        <w:t>apply</w:t>
      </w:r>
      <w:r w:rsidRPr="004842AA">
        <w:rPr>
          <w:rFonts w:ascii="Times New Roman" w:eastAsia="Times New Roman" w:hAnsi="Times New Roman" w:cs="Times New Roman"/>
          <w:shd w:val="clear" w:color="auto" w:fill="FFFFFF"/>
        </w:rPr>
        <w:t>,</w:t>
      </w:r>
      <w:r w:rsidR="006B3230" w:rsidRPr="004842AA">
        <w:rPr>
          <w:rFonts w:ascii="Times New Roman" w:eastAsia="Times New Roman" w:hAnsi="Times New Roman" w:cs="Times New Roman"/>
          <w:shd w:val="clear" w:color="auto" w:fill="FFFFFF"/>
        </w:rPr>
        <w:t xml:space="preserve"> unless and until replaced </w:t>
      </w:r>
      <w:r w:rsidR="00A53025" w:rsidRPr="004842AA">
        <w:rPr>
          <w:rFonts w:ascii="Times New Roman" w:eastAsia="Times New Roman" w:hAnsi="Times New Roman" w:cs="Times New Roman"/>
          <w:shd w:val="clear" w:color="auto" w:fill="FFFFFF"/>
        </w:rPr>
        <w:t xml:space="preserve">in whole or in part </w:t>
      </w:r>
      <w:r w:rsidR="006B3230" w:rsidRPr="004842AA">
        <w:rPr>
          <w:rFonts w:ascii="Times New Roman" w:eastAsia="Times New Roman" w:hAnsi="Times New Roman" w:cs="Times New Roman"/>
          <w:shd w:val="clear" w:color="auto" w:fill="FFFFFF"/>
        </w:rPr>
        <w:t xml:space="preserve">by </w:t>
      </w:r>
      <w:r w:rsidR="00A53025" w:rsidRPr="004842AA">
        <w:rPr>
          <w:rFonts w:ascii="Times New Roman" w:eastAsia="Times New Roman" w:hAnsi="Times New Roman" w:cs="Times New Roman"/>
          <w:shd w:val="clear" w:color="auto" w:fill="FFFFFF"/>
        </w:rPr>
        <w:t xml:space="preserve">any </w:t>
      </w:r>
      <w:r w:rsidR="006B3230" w:rsidRPr="004842AA">
        <w:rPr>
          <w:rFonts w:ascii="Times New Roman" w:eastAsia="Times New Roman" w:hAnsi="Times New Roman" w:cs="Times New Roman"/>
          <w:shd w:val="clear" w:color="auto" w:fill="FFFFFF"/>
        </w:rPr>
        <w:t>new EU-UK deal.</w:t>
      </w:r>
      <w:r w:rsidR="00A53025" w:rsidRPr="004842AA">
        <w:rPr>
          <w:rStyle w:val="FootnoteReference"/>
          <w:rFonts w:ascii="Times New Roman" w:eastAsia="Times New Roman" w:hAnsi="Times New Roman" w:cs="Times New Roman"/>
          <w:shd w:val="clear" w:color="auto" w:fill="FFFFFF"/>
        </w:rPr>
        <w:footnoteReference w:id="317"/>
      </w:r>
      <w:r w:rsidR="006B3230" w:rsidRPr="004842AA">
        <w:rPr>
          <w:rFonts w:ascii="Times New Roman" w:eastAsia="Times New Roman" w:hAnsi="Times New Roman" w:cs="Times New Roman"/>
          <w:shd w:val="clear" w:color="auto" w:fill="FFFFFF"/>
        </w:rPr>
        <w:t xml:space="preserve"> </w:t>
      </w:r>
      <w:r w:rsidR="009C3BEE" w:rsidRPr="004842AA">
        <w:rPr>
          <w:rFonts w:ascii="Times New Roman" w:eastAsia="Times New Roman" w:hAnsi="Times New Roman" w:cs="Times New Roman"/>
          <w:shd w:val="clear" w:color="auto" w:fill="FFFFFF"/>
        </w:rPr>
        <w:t xml:space="preserve"> </w:t>
      </w:r>
      <w:r w:rsidR="006B3230" w:rsidRPr="004842AA">
        <w:rPr>
          <w:rFonts w:ascii="Times New Roman" w:eastAsia="Times New Roman" w:hAnsi="Times New Roman" w:cs="Times New Roman"/>
          <w:shd w:val="clear" w:color="auto" w:fill="FFFFFF"/>
        </w:rPr>
        <w:t xml:space="preserve">But </w:t>
      </w:r>
      <w:r w:rsidR="009C3BEE" w:rsidRPr="004842AA">
        <w:rPr>
          <w:rFonts w:ascii="Times New Roman" w:eastAsia="Times New Roman" w:hAnsi="Times New Roman" w:cs="Times New Roman"/>
          <w:shd w:val="clear" w:color="auto" w:fill="FFFFFF"/>
        </w:rPr>
        <w:t xml:space="preserve">in practice, </w:t>
      </w:r>
      <w:r w:rsidR="006B3230" w:rsidRPr="004842AA">
        <w:rPr>
          <w:rFonts w:ascii="Times New Roman" w:eastAsia="Times New Roman" w:hAnsi="Times New Roman" w:cs="Times New Roman"/>
          <w:shd w:val="clear" w:color="auto" w:fill="FFFFFF"/>
        </w:rPr>
        <w:t xml:space="preserve">that is </w:t>
      </w:r>
      <w:r w:rsidR="009C3BEE" w:rsidRPr="004842AA">
        <w:rPr>
          <w:rFonts w:ascii="Times New Roman" w:eastAsia="Times New Roman" w:hAnsi="Times New Roman" w:cs="Times New Roman"/>
          <w:shd w:val="clear" w:color="auto" w:fill="FFFFFF"/>
        </w:rPr>
        <w:t>un</w:t>
      </w:r>
      <w:r w:rsidR="006B3230" w:rsidRPr="004842AA">
        <w:rPr>
          <w:rFonts w:ascii="Times New Roman" w:eastAsia="Times New Roman" w:hAnsi="Times New Roman" w:cs="Times New Roman"/>
          <w:shd w:val="clear" w:color="auto" w:fill="FFFFFF"/>
        </w:rPr>
        <w:t>likely to happen</w:t>
      </w:r>
      <w:r w:rsidRPr="004842AA">
        <w:rPr>
          <w:rFonts w:ascii="Times New Roman" w:eastAsia="Times New Roman" w:hAnsi="Times New Roman" w:cs="Times New Roman"/>
          <w:shd w:val="clear" w:color="auto" w:fill="FFFFFF"/>
        </w:rPr>
        <w:t>,</w:t>
      </w:r>
      <w:r w:rsidR="009C3BEE" w:rsidRPr="004842AA">
        <w:rPr>
          <w:rFonts w:ascii="Times New Roman" w:eastAsia="Times New Roman" w:hAnsi="Times New Roman" w:cs="Times New Roman"/>
          <w:shd w:val="clear" w:color="auto" w:fill="FFFFFF"/>
        </w:rPr>
        <w:t xml:space="preserve"> given the </w:t>
      </w:r>
      <w:r w:rsidRPr="004842AA">
        <w:rPr>
          <w:rFonts w:ascii="Times New Roman" w:eastAsia="Times New Roman" w:hAnsi="Times New Roman" w:cs="Times New Roman"/>
          <w:shd w:val="clear" w:color="auto" w:fill="FFFFFF"/>
        </w:rPr>
        <w:t xml:space="preserve">revised </w:t>
      </w:r>
      <w:r w:rsidR="009C3BEE" w:rsidRPr="004842AA">
        <w:rPr>
          <w:rFonts w:ascii="Times New Roman" w:eastAsia="Times New Roman" w:hAnsi="Times New Roman" w:cs="Times New Roman"/>
          <w:shd w:val="clear" w:color="auto" w:fill="FFFFFF"/>
        </w:rPr>
        <w:t xml:space="preserve">preferences of the Johnson Government for the future </w:t>
      </w:r>
      <w:r w:rsidRPr="004842AA">
        <w:rPr>
          <w:rFonts w:ascii="Times New Roman" w:eastAsia="Times New Roman" w:hAnsi="Times New Roman" w:cs="Times New Roman"/>
          <w:shd w:val="clear" w:color="auto" w:fill="FFFFFF"/>
        </w:rPr>
        <w:t xml:space="preserve">EU-UK </w:t>
      </w:r>
      <w:r w:rsidR="000A613A" w:rsidRPr="004842AA">
        <w:rPr>
          <w:rFonts w:ascii="Times New Roman" w:eastAsia="Times New Roman" w:hAnsi="Times New Roman" w:cs="Times New Roman"/>
          <w:shd w:val="clear" w:color="auto" w:fill="FFFFFF"/>
        </w:rPr>
        <w:t>relationship.</w:t>
      </w:r>
      <w:r w:rsidR="00A53025" w:rsidRPr="004842AA">
        <w:rPr>
          <w:rStyle w:val="FootnoteReference"/>
          <w:rFonts w:ascii="Times New Roman" w:eastAsia="Times New Roman" w:hAnsi="Times New Roman" w:cs="Times New Roman"/>
          <w:shd w:val="clear" w:color="auto" w:fill="FFFFFF"/>
        </w:rPr>
        <w:footnoteReference w:id="318"/>
      </w:r>
      <w:r w:rsidR="000A613A" w:rsidRPr="004842AA">
        <w:rPr>
          <w:rFonts w:ascii="Times New Roman" w:eastAsia="Times New Roman" w:hAnsi="Times New Roman" w:cs="Times New Roman"/>
          <w:shd w:val="clear" w:color="auto" w:fill="FFFFFF"/>
        </w:rPr>
        <w:t xml:space="preserve">  So in </w:t>
      </w:r>
      <w:r w:rsidR="006B3230" w:rsidRPr="004842AA">
        <w:rPr>
          <w:rFonts w:ascii="Times New Roman" w:eastAsia="Times New Roman" w:hAnsi="Times New Roman" w:cs="Times New Roman"/>
          <w:shd w:val="clear" w:color="auto" w:fill="FFFFFF"/>
        </w:rPr>
        <w:t xml:space="preserve">reality, </w:t>
      </w:r>
      <w:r w:rsidR="000A613A" w:rsidRPr="004842AA">
        <w:rPr>
          <w:rFonts w:ascii="Times New Roman" w:eastAsia="Times New Roman" w:hAnsi="Times New Roman" w:cs="Times New Roman"/>
          <w:shd w:val="clear" w:color="auto" w:fill="FFFFFF"/>
        </w:rPr>
        <w:t xml:space="preserve">and as the Commission has repeatedly stressed, the </w:t>
      </w:r>
      <w:r w:rsidR="003268AA" w:rsidRPr="004842AA">
        <w:rPr>
          <w:rFonts w:ascii="Times New Roman" w:eastAsia="Times New Roman" w:hAnsi="Times New Roman" w:cs="Times New Roman"/>
          <w:shd w:val="clear" w:color="auto" w:fill="FFFFFF"/>
        </w:rPr>
        <w:t xml:space="preserve">border </w:t>
      </w:r>
      <w:r w:rsidR="000A613A" w:rsidRPr="004842AA">
        <w:rPr>
          <w:rFonts w:ascii="Times New Roman" w:eastAsia="Times New Roman" w:hAnsi="Times New Roman" w:cs="Times New Roman"/>
          <w:shd w:val="clear" w:color="auto" w:fill="FFFFFF"/>
        </w:rPr>
        <w:lastRenderedPageBreak/>
        <w:t xml:space="preserve">arrangements </w:t>
      </w:r>
      <w:r w:rsidR="003268AA" w:rsidRPr="004842AA">
        <w:rPr>
          <w:rFonts w:ascii="Times New Roman" w:eastAsia="Times New Roman" w:hAnsi="Times New Roman" w:cs="Times New Roman"/>
          <w:shd w:val="clear" w:color="auto" w:fill="FFFFFF"/>
        </w:rPr>
        <w:t xml:space="preserve">contained in the Protocol </w:t>
      </w:r>
      <w:r w:rsidRPr="004842AA">
        <w:rPr>
          <w:rFonts w:ascii="Times New Roman" w:eastAsia="Times New Roman" w:hAnsi="Times New Roman" w:cs="Times New Roman"/>
          <w:shd w:val="clear" w:color="auto" w:fill="FFFFFF"/>
        </w:rPr>
        <w:t>should be treated</w:t>
      </w:r>
      <w:r w:rsidR="000A613A" w:rsidRPr="004842AA">
        <w:rPr>
          <w:rFonts w:ascii="Times New Roman" w:eastAsia="Times New Roman" w:hAnsi="Times New Roman" w:cs="Times New Roman"/>
          <w:shd w:val="clear" w:color="auto" w:fill="FFFFFF"/>
        </w:rPr>
        <w:t xml:space="preserve"> </w:t>
      </w:r>
      <w:r w:rsidRPr="004842AA">
        <w:rPr>
          <w:rFonts w:ascii="Times New Roman" w:eastAsia="Times New Roman" w:hAnsi="Times New Roman" w:cs="Times New Roman"/>
          <w:shd w:val="clear" w:color="auto" w:fill="FFFFFF"/>
        </w:rPr>
        <w:t xml:space="preserve">as </w:t>
      </w:r>
      <w:r w:rsidR="006B3230" w:rsidRPr="004842AA">
        <w:rPr>
          <w:rFonts w:ascii="Times New Roman" w:eastAsia="Times New Roman" w:hAnsi="Times New Roman" w:cs="Times New Roman"/>
          <w:shd w:val="clear" w:color="auto" w:fill="FFFFFF"/>
        </w:rPr>
        <w:t>permanent</w:t>
      </w:r>
      <w:r w:rsidR="000A613A" w:rsidRPr="004842AA">
        <w:rPr>
          <w:rFonts w:ascii="Times New Roman" w:eastAsia="Times New Roman" w:hAnsi="Times New Roman" w:cs="Times New Roman"/>
          <w:shd w:val="clear" w:color="auto" w:fill="FFFFFF"/>
        </w:rPr>
        <w:t>.</w:t>
      </w:r>
      <w:r w:rsidR="000A613A" w:rsidRPr="004842AA">
        <w:rPr>
          <w:rStyle w:val="FootnoteReference"/>
          <w:rFonts w:ascii="Times New Roman" w:eastAsia="Times New Roman" w:hAnsi="Times New Roman" w:cs="Times New Roman"/>
          <w:shd w:val="clear" w:color="auto" w:fill="FFFFFF"/>
        </w:rPr>
        <w:footnoteReference w:id="319"/>
      </w:r>
      <w:r w:rsidR="000A613A" w:rsidRPr="004842AA">
        <w:rPr>
          <w:rFonts w:ascii="Times New Roman" w:eastAsia="Times New Roman" w:hAnsi="Times New Roman" w:cs="Times New Roman"/>
          <w:shd w:val="clear" w:color="auto" w:fill="FFFFFF"/>
        </w:rPr>
        <w:t xml:space="preserve">  For that reason, the parties agreed to create </w:t>
      </w:r>
      <w:r w:rsidR="0060120B" w:rsidRPr="004842AA">
        <w:rPr>
          <w:rFonts w:ascii="Times New Roman" w:eastAsia="Times New Roman" w:hAnsi="Times New Roman" w:cs="Times New Roman"/>
          <w:shd w:val="clear" w:color="auto" w:fill="FFFFFF"/>
        </w:rPr>
        <w:t xml:space="preserve">not only various dedicated governance </w:t>
      </w:r>
      <w:r w:rsidRPr="004842AA">
        <w:rPr>
          <w:rFonts w:ascii="Times New Roman" w:eastAsia="Times New Roman" w:hAnsi="Times New Roman" w:cs="Times New Roman"/>
          <w:shd w:val="clear" w:color="auto" w:fill="FFFFFF"/>
        </w:rPr>
        <w:t>tools</w:t>
      </w:r>
      <w:r w:rsidR="0060120B" w:rsidRPr="004842AA">
        <w:rPr>
          <w:rFonts w:ascii="Times New Roman" w:eastAsia="Times New Roman" w:hAnsi="Times New Roman" w:cs="Times New Roman"/>
          <w:shd w:val="clear" w:color="auto" w:fill="FFFFFF"/>
        </w:rPr>
        <w:t xml:space="preserve"> to help promote the smooth long-term functioning of the Protocol;</w:t>
      </w:r>
      <w:r w:rsidR="0060120B" w:rsidRPr="004842AA">
        <w:rPr>
          <w:rStyle w:val="FootnoteReference"/>
          <w:rFonts w:ascii="Times New Roman" w:eastAsia="Times New Roman" w:hAnsi="Times New Roman" w:cs="Times New Roman"/>
          <w:shd w:val="clear" w:color="auto" w:fill="FFFFFF"/>
        </w:rPr>
        <w:footnoteReference w:id="320"/>
      </w:r>
      <w:r w:rsidR="0060120B" w:rsidRPr="004842AA">
        <w:rPr>
          <w:rFonts w:ascii="Times New Roman" w:eastAsia="Times New Roman" w:hAnsi="Times New Roman" w:cs="Times New Roman"/>
          <w:shd w:val="clear" w:color="auto" w:fill="FFFFFF"/>
        </w:rPr>
        <w:t xml:space="preserve"> but also </w:t>
      </w:r>
      <w:r w:rsidR="000A613A" w:rsidRPr="004842AA">
        <w:rPr>
          <w:rFonts w:ascii="Times New Roman" w:eastAsia="Times New Roman" w:hAnsi="Times New Roman" w:cs="Times New Roman"/>
          <w:shd w:val="clear" w:color="auto" w:fill="FFFFFF"/>
        </w:rPr>
        <w:t xml:space="preserve">a </w:t>
      </w:r>
      <w:r w:rsidRPr="004842AA">
        <w:rPr>
          <w:rFonts w:ascii="Times New Roman" w:eastAsia="Times New Roman" w:hAnsi="Times New Roman" w:cs="Times New Roman"/>
          <w:shd w:val="clear" w:color="auto" w:fill="FFFFFF"/>
        </w:rPr>
        <w:t>specific</w:t>
      </w:r>
      <w:r w:rsidR="0060120B" w:rsidRPr="004842AA">
        <w:rPr>
          <w:rFonts w:ascii="Times New Roman" w:eastAsia="Times New Roman" w:hAnsi="Times New Roman" w:cs="Times New Roman"/>
          <w:shd w:val="clear" w:color="auto" w:fill="FFFFFF"/>
        </w:rPr>
        <w:t xml:space="preserve"> </w:t>
      </w:r>
      <w:r w:rsidR="000A613A" w:rsidRPr="004842AA">
        <w:rPr>
          <w:rFonts w:ascii="Times New Roman" w:eastAsia="Times New Roman" w:hAnsi="Times New Roman" w:cs="Times New Roman"/>
          <w:shd w:val="clear" w:color="auto" w:fill="FFFFFF"/>
        </w:rPr>
        <w:t xml:space="preserve">“consent mechanism” to ensure that the population of Northern Ireland might periodically reaffirm their willingness to </w:t>
      </w:r>
      <w:r w:rsidRPr="004842AA">
        <w:rPr>
          <w:rFonts w:ascii="Times New Roman" w:eastAsia="Times New Roman" w:hAnsi="Times New Roman" w:cs="Times New Roman"/>
          <w:shd w:val="clear" w:color="auto" w:fill="FFFFFF"/>
        </w:rPr>
        <w:t>remain subject</w:t>
      </w:r>
      <w:r w:rsidR="000A613A" w:rsidRPr="004842AA">
        <w:rPr>
          <w:rFonts w:ascii="Times New Roman" w:eastAsia="Times New Roman" w:hAnsi="Times New Roman" w:cs="Times New Roman"/>
          <w:shd w:val="clear" w:color="auto" w:fill="FFFFFF"/>
        </w:rPr>
        <w:t xml:space="preserve"> </w:t>
      </w:r>
      <w:r w:rsidRPr="004842AA">
        <w:rPr>
          <w:rFonts w:ascii="Times New Roman" w:eastAsia="Times New Roman" w:hAnsi="Times New Roman" w:cs="Times New Roman"/>
          <w:shd w:val="clear" w:color="auto" w:fill="FFFFFF"/>
        </w:rPr>
        <w:t>to</w:t>
      </w:r>
      <w:r w:rsidR="000A613A" w:rsidRPr="004842AA">
        <w:rPr>
          <w:rFonts w:ascii="Times New Roman" w:eastAsia="Times New Roman" w:hAnsi="Times New Roman" w:cs="Times New Roman"/>
          <w:shd w:val="clear" w:color="auto" w:fill="FFFFFF"/>
        </w:rPr>
        <w:t xml:space="preserve"> the </w:t>
      </w:r>
      <w:r w:rsidR="00E010C1" w:rsidRPr="004842AA">
        <w:rPr>
          <w:rFonts w:ascii="Times New Roman" w:eastAsia="Times New Roman" w:hAnsi="Times New Roman" w:cs="Times New Roman"/>
          <w:shd w:val="clear" w:color="auto" w:fill="FFFFFF"/>
        </w:rPr>
        <w:t xml:space="preserve">border provisions </w:t>
      </w:r>
      <w:r w:rsidR="003268AA" w:rsidRPr="004842AA">
        <w:rPr>
          <w:rFonts w:ascii="Times New Roman" w:eastAsia="Times New Roman" w:hAnsi="Times New Roman" w:cs="Times New Roman"/>
          <w:shd w:val="clear" w:color="auto" w:fill="FFFFFF"/>
        </w:rPr>
        <w:t xml:space="preserve">contained in </w:t>
      </w:r>
      <w:r w:rsidR="00E010C1" w:rsidRPr="004842AA">
        <w:rPr>
          <w:rFonts w:ascii="Times New Roman" w:eastAsia="Times New Roman" w:hAnsi="Times New Roman" w:cs="Times New Roman"/>
          <w:shd w:val="clear" w:color="auto" w:fill="FFFFFF"/>
        </w:rPr>
        <w:t xml:space="preserve">the </w:t>
      </w:r>
      <w:r w:rsidR="000A613A" w:rsidRPr="004842AA">
        <w:rPr>
          <w:rFonts w:ascii="Times New Roman" w:eastAsia="Times New Roman" w:hAnsi="Times New Roman" w:cs="Times New Roman"/>
          <w:shd w:val="clear" w:color="auto" w:fill="FFFFFF"/>
        </w:rPr>
        <w:t>Protocol.</w:t>
      </w:r>
      <w:r w:rsidR="003268AA" w:rsidRPr="004842AA">
        <w:rPr>
          <w:rStyle w:val="FootnoteReference"/>
          <w:rFonts w:ascii="Times New Roman" w:eastAsia="Times New Roman" w:hAnsi="Times New Roman" w:cs="Times New Roman"/>
          <w:shd w:val="clear" w:color="auto" w:fill="FFFFFF"/>
        </w:rPr>
        <w:footnoteReference w:id="321"/>
      </w:r>
      <w:r w:rsidR="000A613A" w:rsidRPr="004842AA">
        <w:rPr>
          <w:rFonts w:ascii="Times New Roman" w:eastAsia="Times New Roman" w:hAnsi="Times New Roman" w:cs="Times New Roman"/>
          <w:shd w:val="clear" w:color="auto" w:fill="FFFFFF"/>
        </w:rPr>
        <w:t xml:space="preserve">  On a rolling basis</w:t>
      </w:r>
      <w:r w:rsidR="003268AA" w:rsidRPr="004842AA">
        <w:rPr>
          <w:rFonts w:ascii="Times New Roman" w:eastAsia="Times New Roman" w:hAnsi="Times New Roman" w:cs="Times New Roman"/>
          <w:shd w:val="clear" w:color="auto" w:fill="FFFFFF"/>
        </w:rPr>
        <w:t>, commencing four years a</w:t>
      </w:r>
      <w:r w:rsidR="006861A1">
        <w:rPr>
          <w:rFonts w:ascii="Times New Roman" w:eastAsia="Times New Roman" w:hAnsi="Times New Roman" w:cs="Times New Roman"/>
          <w:shd w:val="clear" w:color="auto" w:fill="FFFFFF"/>
        </w:rPr>
        <w:t>fter the end of the transition</w:t>
      </w:r>
      <w:r w:rsidR="003268AA" w:rsidRPr="004842AA">
        <w:rPr>
          <w:rFonts w:ascii="Times New Roman" w:eastAsia="Times New Roman" w:hAnsi="Times New Roman" w:cs="Times New Roman"/>
          <w:shd w:val="clear" w:color="auto" w:fill="FFFFFF"/>
        </w:rPr>
        <w:t xml:space="preserve"> period</w:t>
      </w:r>
      <w:r w:rsidR="000A613A" w:rsidRPr="004842AA">
        <w:rPr>
          <w:rFonts w:ascii="Times New Roman" w:eastAsia="Times New Roman" w:hAnsi="Times New Roman" w:cs="Times New Roman"/>
          <w:shd w:val="clear" w:color="auto" w:fill="FFFFFF"/>
        </w:rPr>
        <w:t xml:space="preserve">: if the </w:t>
      </w:r>
      <w:r w:rsidR="003268AA" w:rsidRPr="004842AA">
        <w:rPr>
          <w:rFonts w:ascii="Times New Roman" w:eastAsia="Times New Roman" w:hAnsi="Times New Roman" w:cs="Times New Roman"/>
          <w:shd w:val="clear" w:color="auto" w:fill="FFFFFF"/>
        </w:rPr>
        <w:t xml:space="preserve">border regime receives </w:t>
      </w:r>
      <w:r w:rsidR="000A613A" w:rsidRPr="004842AA">
        <w:rPr>
          <w:rFonts w:ascii="Times New Roman" w:eastAsia="Times New Roman" w:hAnsi="Times New Roman" w:cs="Times New Roman"/>
          <w:shd w:val="clear" w:color="auto" w:fill="FFFFFF"/>
        </w:rPr>
        <w:t xml:space="preserve">cross-community support within the Northern Irish Assembly, it will extend for another eight years; if there is a simple majority but without cross-community support, the </w:t>
      </w:r>
      <w:r w:rsidRPr="004842AA">
        <w:rPr>
          <w:rFonts w:ascii="Times New Roman" w:eastAsia="Times New Roman" w:hAnsi="Times New Roman" w:cs="Times New Roman"/>
          <w:shd w:val="clear" w:color="auto" w:fill="FFFFFF"/>
        </w:rPr>
        <w:t xml:space="preserve">relevant </w:t>
      </w:r>
      <w:r w:rsidR="000A613A" w:rsidRPr="004842AA">
        <w:rPr>
          <w:rFonts w:ascii="Times New Roman" w:eastAsia="Times New Roman" w:hAnsi="Times New Roman" w:cs="Times New Roman"/>
          <w:shd w:val="clear" w:color="auto" w:fill="FFFFFF"/>
        </w:rPr>
        <w:t xml:space="preserve">Protocol </w:t>
      </w:r>
      <w:r w:rsidRPr="004842AA">
        <w:rPr>
          <w:rFonts w:ascii="Times New Roman" w:eastAsia="Times New Roman" w:hAnsi="Times New Roman" w:cs="Times New Roman"/>
          <w:shd w:val="clear" w:color="auto" w:fill="FFFFFF"/>
        </w:rPr>
        <w:t xml:space="preserve">provisions </w:t>
      </w:r>
      <w:r w:rsidR="000A613A" w:rsidRPr="004842AA">
        <w:rPr>
          <w:rFonts w:ascii="Times New Roman" w:eastAsia="Times New Roman" w:hAnsi="Times New Roman" w:cs="Times New Roman"/>
          <w:shd w:val="clear" w:color="auto" w:fill="FFFFFF"/>
        </w:rPr>
        <w:t xml:space="preserve">will extend for another four </w:t>
      </w:r>
      <w:r w:rsidR="006B3230" w:rsidRPr="004842AA">
        <w:rPr>
          <w:rFonts w:ascii="Times New Roman" w:eastAsia="Times New Roman" w:hAnsi="Times New Roman" w:cs="Times New Roman"/>
          <w:shd w:val="clear" w:color="auto" w:fill="FFFFFF"/>
        </w:rPr>
        <w:t>year</w:t>
      </w:r>
      <w:r w:rsidR="000A613A" w:rsidRPr="004842AA">
        <w:rPr>
          <w:rFonts w:ascii="Times New Roman" w:eastAsia="Times New Roman" w:hAnsi="Times New Roman" w:cs="Times New Roman"/>
          <w:shd w:val="clear" w:color="auto" w:fill="FFFFFF"/>
        </w:rPr>
        <w:t>s</w:t>
      </w:r>
      <w:r w:rsidRPr="004842AA">
        <w:rPr>
          <w:rFonts w:ascii="Times New Roman" w:eastAsia="Times New Roman" w:hAnsi="Times New Roman" w:cs="Times New Roman"/>
          <w:shd w:val="clear" w:color="auto" w:fill="FFFFFF"/>
        </w:rPr>
        <w:t xml:space="preserve">; whereas in the event of </w:t>
      </w:r>
      <w:r w:rsidRPr="004842AA">
        <w:rPr>
          <w:rFonts w:ascii="Times New Roman" w:hAnsi="Times New Roman" w:cs="Times New Roman"/>
          <w:lang w:val="en-US"/>
        </w:rPr>
        <w:t>non-consent, the border arrangements will cease to apply after a further two years of operation</w:t>
      </w:r>
      <w:r w:rsidR="00B93BC1">
        <w:rPr>
          <w:rFonts w:ascii="Times New Roman" w:hAnsi="Times New Roman" w:cs="Times New Roman"/>
          <w:lang w:val="en-US"/>
        </w:rPr>
        <w:t xml:space="preserve"> (giving at least some time for all relevant parties to decide / prepare for what might happen next)</w:t>
      </w:r>
      <w:r w:rsidR="000A613A" w:rsidRPr="004842AA">
        <w:rPr>
          <w:rFonts w:ascii="Times New Roman" w:eastAsia="Times New Roman" w:hAnsi="Times New Roman" w:cs="Times New Roman"/>
          <w:shd w:val="clear" w:color="auto" w:fill="FFFFFF"/>
        </w:rPr>
        <w:t>.</w:t>
      </w:r>
      <w:r w:rsidR="003268AA" w:rsidRPr="004842AA">
        <w:rPr>
          <w:rStyle w:val="FootnoteReference"/>
          <w:rFonts w:ascii="Times New Roman" w:eastAsia="Times New Roman" w:hAnsi="Times New Roman" w:cs="Times New Roman"/>
          <w:shd w:val="clear" w:color="auto" w:fill="FFFFFF"/>
        </w:rPr>
        <w:footnoteReference w:id="322"/>
      </w:r>
      <w:r w:rsidR="000A613A" w:rsidRPr="004842AA">
        <w:rPr>
          <w:rFonts w:ascii="Times New Roman" w:eastAsia="Times New Roman" w:hAnsi="Times New Roman" w:cs="Times New Roman"/>
          <w:shd w:val="clear" w:color="auto" w:fill="FFFFFF"/>
        </w:rPr>
        <w:t xml:space="preserve">  </w:t>
      </w:r>
    </w:p>
    <w:p w14:paraId="63BF3704" w14:textId="6DA3978B" w:rsidR="006B3230" w:rsidRPr="004842AA" w:rsidRDefault="000A613A" w:rsidP="00BE6612">
      <w:pPr>
        <w:ind w:firstLine="720"/>
        <w:jc w:val="both"/>
        <w:rPr>
          <w:rFonts w:ascii="Times New Roman" w:eastAsia="Times New Roman" w:hAnsi="Times New Roman" w:cs="Times New Roman"/>
          <w:shd w:val="clear" w:color="auto" w:fill="FFFFFF"/>
        </w:rPr>
      </w:pPr>
      <w:r w:rsidRPr="004842AA">
        <w:rPr>
          <w:rFonts w:ascii="Times New Roman" w:eastAsia="Times New Roman" w:hAnsi="Times New Roman" w:cs="Times New Roman"/>
          <w:shd w:val="clear" w:color="auto" w:fill="FFFFFF"/>
        </w:rPr>
        <w:t>In effect, for as long as they remain within the UK</w:t>
      </w:r>
      <w:r w:rsidR="003268AA" w:rsidRPr="004842AA">
        <w:rPr>
          <w:rFonts w:ascii="Times New Roman" w:eastAsia="Times New Roman" w:hAnsi="Times New Roman" w:cs="Times New Roman"/>
          <w:shd w:val="clear" w:color="auto" w:fill="FFFFFF"/>
        </w:rPr>
        <w:t>,</w:t>
      </w:r>
      <w:r w:rsidRPr="004842AA">
        <w:rPr>
          <w:rFonts w:ascii="Times New Roman" w:eastAsia="Times New Roman" w:hAnsi="Times New Roman" w:cs="Times New Roman"/>
          <w:shd w:val="clear" w:color="auto" w:fill="FFFFFF"/>
        </w:rPr>
        <w:t xml:space="preserve"> and </w:t>
      </w:r>
      <w:r w:rsidR="003268AA" w:rsidRPr="004842AA">
        <w:rPr>
          <w:rFonts w:ascii="Times New Roman" w:eastAsia="Times New Roman" w:hAnsi="Times New Roman" w:cs="Times New Roman"/>
          <w:shd w:val="clear" w:color="auto" w:fill="FFFFFF"/>
        </w:rPr>
        <w:t xml:space="preserve">for as long as </w:t>
      </w:r>
      <w:r w:rsidRPr="004842AA">
        <w:rPr>
          <w:rFonts w:ascii="Times New Roman" w:eastAsia="Times New Roman" w:hAnsi="Times New Roman" w:cs="Times New Roman"/>
          <w:shd w:val="clear" w:color="auto" w:fill="FFFFFF"/>
        </w:rPr>
        <w:t xml:space="preserve">the latter remains outside the EU, the Northern Irish get to </w:t>
      </w:r>
      <w:r w:rsidR="00DA55B2" w:rsidRPr="004842AA">
        <w:rPr>
          <w:rFonts w:ascii="Times New Roman" w:eastAsia="Times New Roman" w:hAnsi="Times New Roman" w:cs="Times New Roman"/>
          <w:shd w:val="clear" w:color="auto" w:fill="FFFFFF"/>
        </w:rPr>
        <w:t>decide</w:t>
      </w:r>
      <w:r w:rsidRPr="004842AA">
        <w:rPr>
          <w:rFonts w:ascii="Times New Roman" w:eastAsia="Times New Roman" w:hAnsi="Times New Roman" w:cs="Times New Roman"/>
          <w:shd w:val="clear" w:color="auto" w:fill="FFFFFF"/>
        </w:rPr>
        <w:t xml:space="preserve"> whether they would rather have a hard border than </w:t>
      </w:r>
      <w:r w:rsidR="00DA55B2" w:rsidRPr="004842AA">
        <w:rPr>
          <w:rFonts w:ascii="Times New Roman" w:eastAsia="Times New Roman" w:hAnsi="Times New Roman" w:cs="Times New Roman"/>
          <w:shd w:val="clear" w:color="auto" w:fill="FFFFFF"/>
        </w:rPr>
        <w:t xml:space="preserve">continue to </w:t>
      </w:r>
      <w:r w:rsidRPr="004842AA">
        <w:rPr>
          <w:rFonts w:ascii="Times New Roman" w:eastAsia="Times New Roman" w:hAnsi="Times New Roman" w:cs="Times New Roman"/>
          <w:shd w:val="clear" w:color="auto" w:fill="FFFFFF"/>
        </w:rPr>
        <w:t xml:space="preserve">live </w:t>
      </w:r>
      <w:r w:rsidR="00DA55B2" w:rsidRPr="004842AA">
        <w:rPr>
          <w:rFonts w:ascii="Times New Roman" w:eastAsia="Times New Roman" w:hAnsi="Times New Roman" w:cs="Times New Roman"/>
          <w:shd w:val="clear" w:color="auto" w:fill="FFFFFF"/>
        </w:rPr>
        <w:t>with</w:t>
      </w:r>
      <w:r w:rsidRPr="004842AA">
        <w:rPr>
          <w:rFonts w:ascii="Times New Roman" w:eastAsia="Times New Roman" w:hAnsi="Times New Roman" w:cs="Times New Roman"/>
          <w:shd w:val="clear" w:color="auto" w:fill="FFFFFF"/>
        </w:rPr>
        <w:t xml:space="preserve"> the Protocol</w:t>
      </w:r>
      <w:r w:rsidR="006E440E">
        <w:rPr>
          <w:rFonts w:ascii="Times New Roman" w:eastAsia="Times New Roman" w:hAnsi="Times New Roman" w:cs="Times New Roman"/>
          <w:shd w:val="clear" w:color="auto" w:fill="FFFFFF"/>
        </w:rPr>
        <w:t xml:space="preserve">.  </w:t>
      </w:r>
      <w:r w:rsidR="00A66223">
        <w:rPr>
          <w:rFonts w:ascii="Times New Roman" w:eastAsia="Times New Roman" w:hAnsi="Times New Roman" w:cs="Times New Roman"/>
          <w:shd w:val="clear" w:color="auto" w:fill="FFFFFF"/>
        </w:rPr>
        <w:t>But at</w:t>
      </w:r>
      <w:r w:rsidR="006E440E">
        <w:rPr>
          <w:rFonts w:ascii="Times New Roman" w:eastAsia="Times New Roman" w:hAnsi="Times New Roman" w:cs="Times New Roman"/>
          <w:shd w:val="clear" w:color="auto" w:fill="FFFFFF"/>
        </w:rPr>
        <w:t xml:space="preserve"> least the consent</w:t>
      </w:r>
      <w:r w:rsidR="00AC4275">
        <w:rPr>
          <w:rFonts w:ascii="Times New Roman" w:eastAsia="Times New Roman" w:hAnsi="Times New Roman" w:cs="Times New Roman"/>
          <w:shd w:val="clear" w:color="auto" w:fill="FFFFFF"/>
        </w:rPr>
        <w:t xml:space="preserve">-conditionality </w:t>
      </w:r>
      <w:r w:rsidR="006E440E">
        <w:rPr>
          <w:rFonts w:ascii="Times New Roman" w:eastAsia="Times New Roman" w:hAnsi="Times New Roman" w:cs="Times New Roman"/>
          <w:shd w:val="clear" w:color="auto" w:fill="FFFFFF"/>
        </w:rPr>
        <w:t xml:space="preserve">provision in </w:t>
      </w:r>
      <w:r w:rsidR="00AC4275">
        <w:rPr>
          <w:rFonts w:ascii="Times New Roman" w:eastAsia="Times New Roman" w:hAnsi="Times New Roman" w:cs="Times New Roman"/>
          <w:shd w:val="clear" w:color="auto" w:fill="FFFFFF"/>
        </w:rPr>
        <w:t xml:space="preserve">the Protocol </w:t>
      </w:r>
      <w:r w:rsidR="006E440E">
        <w:rPr>
          <w:rFonts w:ascii="Times New Roman" w:eastAsia="Times New Roman" w:hAnsi="Times New Roman" w:cs="Times New Roman"/>
          <w:shd w:val="clear" w:color="auto" w:fill="FFFFFF"/>
        </w:rPr>
        <w:t xml:space="preserve">makes </w:t>
      </w:r>
      <w:r w:rsidR="00AC4275">
        <w:rPr>
          <w:rFonts w:ascii="Times New Roman" w:eastAsia="Times New Roman" w:hAnsi="Times New Roman" w:cs="Times New Roman"/>
          <w:shd w:val="clear" w:color="auto" w:fill="FFFFFF"/>
        </w:rPr>
        <w:t xml:space="preserve">it easier to reconcile with </w:t>
      </w:r>
      <w:r w:rsidR="006E440E">
        <w:rPr>
          <w:rFonts w:ascii="Times New Roman" w:eastAsia="Times New Roman" w:hAnsi="Times New Roman" w:cs="Times New Roman"/>
          <w:shd w:val="clear" w:color="auto" w:fill="FFFFFF"/>
        </w:rPr>
        <w:t>Article 50 TEU as a legal basis supposedly limited to settling “orderly withdrawal” issues rather than establishing long term future relations</w:t>
      </w:r>
      <w:r w:rsidR="00AC4275">
        <w:rPr>
          <w:rFonts w:ascii="Times New Roman" w:eastAsia="Times New Roman" w:hAnsi="Times New Roman" w:cs="Times New Roman"/>
          <w:shd w:val="clear" w:color="auto" w:fill="FFFFFF"/>
        </w:rPr>
        <w:t>.</w:t>
      </w:r>
      <w:r w:rsidR="006E440E">
        <w:rPr>
          <w:rStyle w:val="FootnoteReference"/>
          <w:rFonts w:ascii="Times New Roman" w:eastAsia="Times New Roman" w:hAnsi="Times New Roman" w:cs="Times New Roman"/>
          <w:shd w:val="clear" w:color="auto" w:fill="FFFFFF"/>
        </w:rPr>
        <w:footnoteReference w:id="323"/>
      </w:r>
    </w:p>
    <w:p w14:paraId="669CA90B" w14:textId="77777777" w:rsidR="005014ED" w:rsidRPr="004842AA" w:rsidRDefault="005014ED" w:rsidP="004842AA">
      <w:pPr>
        <w:jc w:val="both"/>
        <w:rPr>
          <w:rFonts w:ascii="Times New Roman" w:hAnsi="Times New Roman" w:cs="Times New Roman"/>
        </w:rPr>
      </w:pPr>
    </w:p>
    <w:p w14:paraId="7EB34B66" w14:textId="54248A6E" w:rsidR="000A613A" w:rsidRPr="004842AA" w:rsidRDefault="000A613A" w:rsidP="004842AA">
      <w:pPr>
        <w:jc w:val="both"/>
        <w:rPr>
          <w:rFonts w:ascii="Times New Roman" w:hAnsi="Times New Roman" w:cs="Times New Roman"/>
          <w:i/>
        </w:rPr>
      </w:pPr>
      <w:r w:rsidRPr="004842AA">
        <w:rPr>
          <w:rFonts w:ascii="Times New Roman" w:hAnsi="Times New Roman" w:cs="Times New Roman"/>
          <w:i/>
        </w:rPr>
        <w:t>3.4.5.</w:t>
      </w:r>
      <w:r w:rsidR="00722648" w:rsidRPr="004842AA">
        <w:rPr>
          <w:rFonts w:ascii="Times New Roman" w:hAnsi="Times New Roman" w:cs="Times New Roman"/>
          <w:i/>
        </w:rPr>
        <w:tab/>
      </w:r>
      <w:r w:rsidR="0003179B">
        <w:rPr>
          <w:rFonts w:ascii="Times New Roman" w:hAnsi="Times New Roman" w:cs="Times New Roman"/>
          <w:i/>
        </w:rPr>
        <w:t xml:space="preserve">The Irish border: </w:t>
      </w:r>
      <w:r w:rsidR="00722648" w:rsidRPr="004842AA">
        <w:rPr>
          <w:rFonts w:ascii="Times New Roman" w:hAnsi="Times New Roman" w:cs="Times New Roman"/>
          <w:i/>
        </w:rPr>
        <w:t>Risks and prospects</w:t>
      </w:r>
      <w:r w:rsidR="0003179B">
        <w:rPr>
          <w:rFonts w:ascii="Times New Roman" w:hAnsi="Times New Roman" w:cs="Times New Roman"/>
          <w:i/>
        </w:rPr>
        <w:t xml:space="preserve"> </w:t>
      </w:r>
      <w:r w:rsidRPr="004842AA">
        <w:rPr>
          <w:rFonts w:ascii="Times New Roman" w:hAnsi="Times New Roman" w:cs="Times New Roman"/>
          <w:i/>
        </w:rPr>
        <w:tab/>
      </w:r>
    </w:p>
    <w:p w14:paraId="3C5D92A0" w14:textId="77777777" w:rsidR="00722648" w:rsidRPr="004842AA" w:rsidRDefault="00722648" w:rsidP="004842AA">
      <w:pPr>
        <w:jc w:val="both"/>
        <w:rPr>
          <w:rFonts w:ascii="Times New Roman" w:hAnsi="Times New Roman" w:cs="Times New Roman"/>
        </w:rPr>
      </w:pPr>
    </w:p>
    <w:p w14:paraId="25F1DB2C" w14:textId="77777777" w:rsidR="00BE6612" w:rsidRDefault="00722648" w:rsidP="004842AA">
      <w:pPr>
        <w:jc w:val="both"/>
        <w:rPr>
          <w:rFonts w:ascii="Times New Roman" w:hAnsi="Times New Roman" w:cs="Times New Roman"/>
        </w:rPr>
      </w:pPr>
      <w:r w:rsidRPr="004842AA">
        <w:rPr>
          <w:rFonts w:ascii="Times New Roman" w:hAnsi="Times New Roman" w:cs="Times New Roman"/>
        </w:rPr>
        <w:t xml:space="preserve">The Good Friday Agreement was meant to bring relative stability to Northern Ireland – offering time and space for divisions to heal and differences to soften.  After the 2016 referendum, anything but the softest of soft </w:t>
      </w:r>
      <w:proofErr w:type="spellStart"/>
      <w:r w:rsidRPr="004842AA">
        <w:rPr>
          <w:rFonts w:ascii="Times New Roman" w:hAnsi="Times New Roman" w:cs="Times New Roman"/>
        </w:rPr>
        <w:t>Brexits</w:t>
      </w:r>
      <w:proofErr w:type="spellEnd"/>
      <w:r w:rsidRPr="004842AA">
        <w:rPr>
          <w:rFonts w:ascii="Times New Roman" w:hAnsi="Times New Roman" w:cs="Times New Roman"/>
        </w:rPr>
        <w:t xml:space="preserve"> was bound to be a problem for the island of Ireland.  </w:t>
      </w:r>
      <w:r w:rsidR="001F106B" w:rsidRPr="004842AA">
        <w:rPr>
          <w:rFonts w:ascii="Times New Roman" w:hAnsi="Times New Roman" w:cs="Times New Roman"/>
        </w:rPr>
        <w:t xml:space="preserve">Now that the Johnson Government is determined to pursue a hard Brexit (deal or no deal), the challenges facing the North and the Republic are considerably worse.  The common hope is that the revised </w:t>
      </w:r>
      <w:r w:rsidRPr="004842AA">
        <w:rPr>
          <w:rFonts w:ascii="Times New Roman" w:hAnsi="Times New Roman" w:cs="Times New Roman"/>
        </w:rPr>
        <w:t xml:space="preserve">Protocol </w:t>
      </w:r>
      <w:r w:rsidR="001F106B" w:rsidRPr="004842AA">
        <w:rPr>
          <w:rFonts w:ascii="Times New Roman" w:hAnsi="Times New Roman" w:cs="Times New Roman"/>
        </w:rPr>
        <w:t xml:space="preserve">will </w:t>
      </w:r>
      <w:r w:rsidRPr="004842AA">
        <w:rPr>
          <w:rFonts w:ascii="Times New Roman" w:hAnsi="Times New Roman" w:cs="Times New Roman"/>
        </w:rPr>
        <w:t xml:space="preserve">provide a credible and durable solution to </w:t>
      </w:r>
      <w:r w:rsidR="001F106B" w:rsidRPr="004842AA">
        <w:rPr>
          <w:rFonts w:ascii="Times New Roman" w:hAnsi="Times New Roman" w:cs="Times New Roman"/>
        </w:rPr>
        <w:t xml:space="preserve">the </w:t>
      </w:r>
      <w:r w:rsidRPr="004842AA">
        <w:rPr>
          <w:rFonts w:ascii="Times New Roman" w:hAnsi="Times New Roman" w:cs="Times New Roman"/>
        </w:rPr>
        <w:t xml:space="preserve">Irish border problem that </w:t>
      </w:r>
      <w:r w:rsidR="001F106B" w:rsidRPr="004842AA">
        <w:rPr>
          <w:rFonts w:ascii="Times New Roman" w:hAnsi="Times New Roman" w:cs="Times New Roman"/>
        </w:rPr>
        <w:t xml:space="preserve">not only </w:t>
      </w:r>
      <w:r w:rsidRPr="004842AA">
        <w:rPr>
          <w:rFonts w:ascii="Times New Roman" w:hAnsi="Times New Roman" w:cs="Times New Roman"/>
        </w:rPr>
        <w:t xml:space="preserve">protects </w:t>
      </w:r>
      <w:r w:rsidR="001F106B" w:rsidRPr="004842AA">
        <w:rPr>
          <w:rFonts w:ascii="Times New Roman" w:hAnsi="Times New Roman" w:cs="Times New Roman"/>
        </w:rPr>
        <w:t xml:space="preserve">the </w:t>
      </w:r>
      <w:r w:rsidRPr="004842AA">
        <w:rPr>
          <w:rFonts w:ascii="Times New Roman" w:hAnsi="Times New Roman" w:cs="Times New Roman"/>
        </w:rPr>
        <w:t xml:space="preserve">peace in </w:t>
      </w:r>
      <w:r w:rsidR="001F106B" w:rsidRPr="004842AA">
        <w:rPr>
          <w:rFonts w:ascii="Times New Roman" w:hAnsi="Times New Roman" w:cs="Times New Roman"/>
        </w:rPr>
        <w:t>Northern Ireland</w:t>
      </w:r>
      <w:r w:rsidRPr="004842AA">
        <w:rPr>
          <w:rFonts w:ascii="Times New Roman" w:hAnsi="Times New Roman" w:cs="Times New Roman"/>
        </w:rPr>
        <w:t xml:space="preserve">, </w:t>
      </w:r>
      <w:r w:rsidR="001F106B" w:rsidRPr="004842AA">
        <w:rPr>
          <w:rFonts w:ascii="Times New Roman" w:hAnsi="Times New Roman" w:cs="Times New Roman"/>
        </w:rPr>
        <w:t xml:space="preserve">but also </w:t>
      </w:r>
      <w:r w:rsidRPr="004842AA">
        <w:rPr>
          <w:rFonts w:ascii="Times New Roman" w:hAnsi="Times New Roman" w:cs="Times New Roman"/>
        </w:rPr>
        <w:t xml:space="preserve">respects </w:t>
      </w:r>
      <w:r w:rsidR="001F106B" w:rsidRPr="004842AA">
        <w:rPr>
          <w:rFonts w:ascii="Times New Roman" w:hAnsi="Times New Roman" w:cs="Times New Roman"/>
        </w:rPr>
        <w:t xml:space="preserve">the Union’s </w:t>
      </w:r>
      <w:r w:rsidRPr="004842AA">
        <w:rPr>
          <w:rFonts w:ascii="Times New Roman" w:hAnsi="Times New Roman" w:cs="Times New Roman"/>
        </w:rPr>
        <w:t>customs and regulatory concerns</w:t>
      </w:r>
      <w:r w:rsidR="001F106B" w:rsidRPr="004842AA">
        <w:rPr>
          <w:rFonts w:ascii="Times New Roman" w:hAnsi="Times New Roman" w:cs="Times New Roman"/>
        </w:rPr>
        <w:t>, while also satisfying the</w:t>
      </w:r>
      <w:r w:rsidRPr="004842AA">
        <w:rPr>
          <w:rFonts w:ascii="Times New Roman" w:hAnsi="Times New Roman" w:cs="Times New Roman"/>
        </w:rPr>
        <w:t xml:space="preserve"> UK</w:t>
      </w:r>
      <w:r w:rsidR="001F106B" w:rsidRPr="004842AA">
        <w:rPr>
          <w:rFonts w:ascii="Times New Roman" w:hAnsi="Times New Roman" w:cs="Times New Roman"/>
        </w:rPr>
        <w:t>’s demand for an independent</w:t>
      </w:r>
      <w:r w:rsidRPr="004842AA">
        <w:rPr>
          <w:rFonts w:ascii="Times New Roman" w:hAnsi="Times New Roman" w:cs="Times New Roman"/>
        </w:rPr>
        <w:t xml:space="preserve"> trade </w:t>
      </w:r>
      <w:r w:rsidR="001F106B" w:rsidRPr="004842AA">
        <w:rPr>
          <w:rFonts w:ascii="Times New Roman" w:hAnsi="Times New Roman" w:cs="Times New Roman"/>
        </w:rPr>
        <w:t xml:space="preserve">policy.  </w:t>
      </w:r>
    </w:p>
    <w:p w14:paraId="75F009D6" w14:textId="5372C1B9" w:rsidR="00BE6612" w:rsidRDefault="00722648" w:rsidP="00BE6612">
      <w:pPr>
        <w:ind w:firstLine="720"/>
        <w:jc w:val="both"/>
        <w:rPr>
          <w:rFonts w:ascii="Times New Roman" w:hAnsi="Times New Roman" w:cs="Times New Roman"/>
        </w:rPr>
      </w:pPr>
      <w:r w:rsidRPr="004842AA">
        <w:rPr>
          <w:rFonts w:ascii="Times New Roman" w:hAnsi="Times New Roman" w:cs="Times New Roman"/>
        </w:rPr>
        <w:t xml:space="preserve">But </w:t>
      </w:r>
      <w:r w:rsidR="001F106B" w:rsidRPr="004842AA">
        <w:rPr>
          <w:rFonts w:ascii="Times New Roman" w:hAnsi="Times New Roman" w:cs="Times New Roman"/>
        </w:rPr>
        <w:t xml:space="preserve">the </w:t>
      </w:r>
      <w:r w:rsidRPr="004842AA">
        <w:rPr>
          <w:rFonts w:ascii="Times New Roman" w:hAnsi="Times New Roman" w:cs="Times New Roman"/>
        </w:rPr>
        <w:t>Protocol contains considerable economic risks for every relevant party.</w:t>
      </w:r>
      <w:r w:rsidR="0060120B" w:rsidRPr="004842AA">
        <w:rPr>
          <w:rStyle w:val="FootnoteReference"/>
          <w:rFonts w:ascii="Times New Roman" w:hAnsi="Times New Roman" w:cs="Times New Roman"/>
        </w:rPr>
        <w:footnoteReference w:id="324"/>
      </w:r>
      <w:r w:rsidRPr="004842AA">
        <w:rPr>
          <w:rFonts w:ascii="Times New Roman" w:hAnsi="Times New Roman" w:cs="Times New Roman"/>
        </w:rPr>
        <w:t xml:space="preserve">  </w:t>
      </w:r>
      <w:r w:rsidR="001F106B" w:rsidRPr="004842AA">
        <w:rPr>
          <w:rFonts w:ascii="Times New Roman" w:hAnsi="Times New Roman" w:cs="Times New Roman"/>
        </w:rPr>
        <w:t xml:space="preserve">The Union’s </w:t>
      </w:r>
      <w:r w:rsidRPr="004842AA">
        <w:rPr>
          <w:rFonts w:ascii="Times New Roman" w:hAnsi="Times New Roman" w:cs="Times New Roman"/>
        </w:rPr>
        <w:t xml:space="preserve">own borders </w:t>
      </w:r>
      <w:r w:rsidR="001F106B" w:rsidRPr="004842AA">
        <w:rPr>
          <w:rFonts w:ascii="Times New Roman" w:hAnsi="Times New Roman" w:cs="Times New Roman"/>
        </w:rPr>
        <w:t xml:space="preserve">will be </w:t>
      </w:r>
      <w:r w:rsidRPr="004842AA">
        <w:rPr>
          <w:rFonts w:ascii="Times New Roman" w:hAnsi="Times New Roman" w:cs="Times New Roman"/>
        </w:rPr>
        <w:t xml:space="preserve">policed by </w:t>
      </w:r>
      <w:r w:rsidR="001F106B" w:rsidRPr="004842AA">
        <w:rPr>
          <w:rFonts w:ascii="Times New Roman" w:hAnsi="Times New Roman" w:cs="Times New Roman"/>
        </w:rPr>
        <w:t xml:space="preserve">a </w:t>
      </w:r>
      <w:r w:rsidRPr="004842AA">
        <w:rPr>
          <w:rFonts w:ascii="Times New Roman" w:hAnsi="Times New Roman" w:cs="Times New Roman"/>
        </w:rPr>
        <w:t xml:space="preserve">third country </w:t>
      </w:r>
      <w:r w:rsidR="001F106B" w:rsidRPr="004842AA">
        <w:rPr>
          <w:rFonts w:ascii="Times New Roman" w:hAnsi="Times New Roman" w:cs="Times New Roman"/>
        </w:rPr>
        <w:t xml:space="preserve">which has already proven itself unreliable in that task and whose Government insists on making misleading statements about its own obligations under </w:t>
      </w:r>
      <w:r w:rsidR="00A66223">
        <w:rPr>
          <w:rFonts w:ascii="Times New Roman" w:hAnsi="Times New Roman" w:cs="Times New Roman"/>
        </w:rPr>
        <w:t>its own</w:t>
      </w:r>
      <w:r w:rsidR="001F106B" w:rsidRPr="004842AA">
        <w:rPr>
          <w:rFonts w:ascii="Times New Roman" w:hAnsi="Times New Roman" w:cs="Times New Roman"/>
        </w:rPr>
        <w:t xml:space="preserve"> Agreement.  The </w:t>
      </w:r>
      <w:r w:rsidRPr="004842AA">
        <w:rPr>
          <w:rFonts w:ascii="Times New Roman" w:hAnsi="Times New Roman" w:cs="Times New Roman"/>
        </w:rPr>
        <w:t>UK</w:t>
      </w:r>
      <w:r w:rsidR="001F106B" w:rsidRPr="004842AA">
        <w:rPr>
          <w:rFonts w:ascii="Times New Roman" w:hAnsi="Times New Roman" w:cs="Times New Roman"/>
        </w:rPr>
        <w:t xml:space="preserve"> itself </w:t>
      </w:r>
      <w:r w:rsidR="00DA55B2" w:rsidRPr="004842AA">
        <w:rPr>
          <w:rFonts w:ascii="Times New Roman" w:hAnsi="Times New Roman" w:cs="Times New Roman"/>
        </w:rPr>
        <w:t xml:space="preserve">now </w:t>
      </w:r>
      <w:r w:rsidR="001F106B" w:rsidRPr="004842AA">
        <w:rPr>
          <w:rFonts w:ascii="Times New Roman" w:hAnsi="Times New Roman" w:cs="Times New Roman"/>
        </w:rPr>
        <w:t xml:space="preserve">faces </w:t>
      </w:r>
      <w:r w:rsidRPr="004842AA">
        <w:rPr>
          <w:rFonts w:ascii="Times New Roman" w:hAnsi="Times New Roman" w:cs="Times New Roman"/>
        </w:rPr>
        <w:t xml:space="preserve">significant </w:t>
      </w:r>
      <w:r w:rsidR="00DA55B2" w:rsidRPr="004842AA">
        <w:rPr>
          <w:rFonts w:ascii="Times New Roman" w:hAnsi="Times New Roman" w:cs="Times New Roman"/>
        </w:rPr>
        <w:t xml:space="preserve">uncertainty and </w:t>
      </w:r>
      <w:r w:rsidRPr="004842AA">
        <w:rPr>
          <w:rFonts w:ascii="Times New Roman" w:hAnsi="Times New Roman" w:cs="Times New Roman"/>
        </w:rPr>
        <w:t xml:space="preserve">disruption </w:t>
      </w:r>
      <w:r w:rsidR="001F106B" w:rsidRPr="004842AA">
        <w:rPr>
          <w:rFonts w:ascii="Times New Roman" w:hAnsi="Times New Roman" w:cs="Times New Roman"/>
        </w:rPr>
        <w:t xml:space="preserve">within its </w:t>
      </w:r>
      <w:r w:rsidR="00DA55B2" w:rsidRPr="004842AA">
        <w:rPr>
          <w:rFonts w:ascii="Times New Roman" w:hAnsi="Times New Roman" w:cs="Times New Roman"/>
        </w:rPr>
        <w:t>fledgling</w:t>
      </w:r>
      <w:r w:rsidR="001F106B" w:rsidRPr="004842AA">
        <w:rPr>
          <w:rFonts w:ascii="Times New Roman" w:hAnsi="Times New Roman" w:cs="Times New Roman"/>
        </w:rPr>
        <w:t xml:space="preserve"> i</w:t>
      </w:r>
      <w:r w:rsidRPr="004842AA">
        <w:rPr>
          <w:rFonts w:ascii="Times New Roman" w:hAnsi="Times New Roman" w:cs="Times New Roman"/>
        </w:rPr>
        <w:t>nternal market</w:t>
      </w:r>
      <w:r w:rsidR="001F106B" w:rsidRPr="004842AA">
        <w:rPr>
          <w:rFonts w:ascii="Times New Roman" w:hAnsi="Times New Roman" w:cs="Times New Roman"/>
        </w:rPr>
        <w:t xml:space="preserve">, whose design </w:t>
      </w:r>
      <w:r w:rsidR="001F106B" w:rsidRPr="004842AA">
        <w:rPr>
          <w:rFonts w:ascii="Times New Roman" w:hAnsi="Times New Roman" w:cs="Times New Roman"/>
        </w:rPr>
        <w:lastRenderedPageBreak/>
        <w:t xml:space="preserve">and operation are already marked by </w:t>
      </w:r>
      <w:r w:rsidR="0021188A" w:rsidRPr="004842AA">
        <w:rPr>
          <w:rFonts w:ascii="Times New Roman" w:hAnsi="Times New Roman" w:cs="Times New Roman"/>
        </w:rPr>
        <w:t>difficult</w:t>
      </w:r>
      <w:r w:rsidR="001F106B" w:rsidRPr="004842AA">
        <w:rPr>
          <w:rFonts w:ascii="Times New Roman" w:hAnsi="Times New Roman" w:cs="Times New Roman"/>
        </w:rPr>
        <w:t xml:space="preserve"> </w:t>
      </w:r>
      <w:r w:rsidRPr="004842AA">
        <w:rPr>
          <w:rFonts w:ascii="Times New Roman" w:hAnsi="Times New Roman" w:cs="Times New Roman"/>
        </w:rPr>
        <w:t>tensions with Wales</w:t>
      </w:r>
      <w:r w:rsidR="001F106B" w:rsidRPr="004842AA">
        <w:rPr>
          <w:rFonts w:ascii="Times New Roman" w:hAnsi="Times New Roman" w:cs="Times New Roman"/>
        </w:rPr>
        <w:t xml:space="preserve"> and especially Scotland</w:t>
      </w:r>
      <w:r w:rsidRPr="004842AA">
        <w:rPr>
          <w:rFonts w:ascii="Times New Roman" w:hAnsi="Times New Roman" w:cs="Times New Roman"/>
        </w:rPr>
        <w:t xml:space="preserve">.  For </w:t>
      </w:r>
      <w:r w:rsidR="001F106B" w:rsidRPr="004842AA">
        <w:rPr>
          <w:rFonts w:ascii="Times New Roman" w:hAnsi="Times New Roman" w:cs="Times New Roman"/>
        </w:rPr>
        <w:t xml:space="preserve">Northern Ireland </w:t>
      </w:r>
      <w:r w:rsidRPr="004842AA">
        <w:rPr>
          <w:rFonts w:ascii="Times New Roman" w:hAnsi="Times New Roman" w:cs="Times New Roman"/>
        </w:rPr>
        <w:t>itself</w:t>
      </w:r>
      <w:r w:rsidR="001F106B" w:rsidRPr="004842AA">
        <w:rPr>
          <w:rFonts w:ascii="Times New Roman" w:hAnsi="Times New Roman" w:cs="Times New Roman"/>
        </w:rPr>
        <w:t xml:space="preserve">, political salesmen like to claim that it </w:t>
      </w:r>
      <w:r w:rsidR="0021188A" w:rsidRPr="004842AA">
        <w:rPr>
          <w:rFonts w:ascii="Times New Roman" w:hAnsi="Times New Roman" w:cs="Times New Roman"/>
        </w:rPr>
        <w:t xml:space="preserve">will soon occupy </w:t>
      </w:r>
      <w:r w:rsidR="001F106B" w:rsidRPr="004842AA">
        <w:rPr>
          <w:rFonts w:ascii="Times New Roman" w:hAnsi="Times New Roman" w:cs="Times New Roman"/>
        </w:rPr>
        <w:t xml:space="preserve">a uniquely privileged position, </w:t>
      </w:r>
      <w:r w:rsidR="0021188A" w:rsidRPr="004842AA">
        <w:rPr>
          <w:rFonts w:ascii="Times New Roman" w:hAnsi="Times New Roman" w:cs="Times New Roman"/>
        </w:rPr>
        <w:t xml:space="preserve">enjoying the best of </w:t>
      </w:r>
      <w:r w:rsidR="001F106B" w:rsidRPr="004842AA">
        <w:rPr>
          <w:rFonts w:ascii="Times New Roman" w:hAnsi="Times New Roman" w:cs="Times New Roman"/>
        </w:rPr>
        <w:t xml:space="preserve">both </w:t>
      </w:r>
      <w:r w:rsidR="0021188A" w:rsidRPr="004842AA">
        <w:rPr>
          <w:rFonts w:ascii="Times New Roman" w:hAnsi="Times New Roman" w:cs="Times New Roman"/>
        </w:rPr>
        <w:t xml:space="preserve">worlds by straddling </w:t>
      </w:r>
      <w:r w:rsidR="001F106B" w:rsidRPr="004842AA">
        <w:rPr>
          <w:rFonts w:ascii="Times New Roman" w:hAnsi="Times New Roman" w:cs="Times New Roman"/>
        </w:rPr>
        <w:t>the EU and UK market</w:t>
      </w:r>
      <w:r w:rsidR="0021188A" w:rsidRPr="004842AA">
        <w:rPr>
          <w:rFonts w:ascii="Times New Roman" w:hAnsi="Times New Roman" w:cs="Times New Roman"/>
        </w:rPr>
        <w:t>s</w:t>
      </w:r>
      <w:r w:rsidR="001F106B" w:rsidRPr="004842AA">
        <w:rPr>
          <w:rFonts w:ascii="Times New Roman" w:hAnsi="Times New Roman" w:cs="Times New Roman"/>
        </w:rPr>
        <w:t xml:space="preserve"> – but in reality, the Protocol is based on the experiment of a </w:t>
      </w:r>
      <w:r w:rsidRPr="004842AA">
        <w:rPr>
          <w:rFonts w:ascii="Times New Roman" w:hAnsi="Times New Roman" w:cs="Times New Roman"/>
        </w:rPr>
        <w:t>dual customs regime</w:t>
      </w:r>
      <w:r w:rsidR="001F106B" w:rsidRPr="004842AA">
        <w:rPr>
          <w:rFonts w:ascii="Times New Roman" w:hAnsi="Times New Roman" w:cs="Times New Roman"/>
        </w:rPr>
        <w:t>,</w:t>
      </w:r>
      <w:r w:rsidRPr="004842AA">
        <w:rPr>
          <w:rFonts w:ascii="Times New Roman" w:hAnsi="Times New Roman" w:cs="Times New Roman"/>
        </w:rPr>
        <w:t xml:space="preserve"> once dismissed </w:t>
      </w:r>
      <w:r w:rsidR="001F106B" w:rsidRPr="004842AA">
        <w:rPr>
          <w:rFonts w:ascii="Times New Roman" w:hAnsi="Times New Roman" w:cs="Times New Roman"/>
        </w:rPr>
        <w:t xml:space="preserve">even </w:t>
      </w:r>
      <w:r w:rsidRPr="004842AA">
        <w:rPr>
          <w:rFonts w:ascii="Times New Roman" w:hAnsi="Times New Roman" w:cs="Times New Roman"/>
        </w:rPr>
        <w:t>by Johnson as damaging and unworkable.</w:t>
      </w:r>
    </w:p>
    <w:p w14:paraId="08B80557" w14:textId="498C4700" w:rsidR="00BE6612" w:rsidRDefault="001F106B" w:rsidP="00BE6612">
      <w:pPr>
        <w:ind w:firstLine="720"/>
        <w:jc w:val="both"/>
        <w:rPr>
          <w:rFonts w:ascii="Times New Roman" w:hAnsi="Times New Roman" w:cs="Times New Roman"/>
        </w:rPr>
      </w:pPr>
      <w:r w:rsidRPr="004842AA">
        <w:rPr>
          <w:rFonts w:ascii="Times New Roman" w:hAnsi="Times New Roman" w:cs="Times New Roman"/>
        </w:rPr>
        <w:t xml:space="preserve">Nor should one overlook the fact that the </w:t>
      </w:r>
      <w:r w:rsidR="00722648" w:rsidRPr="004842AA">
        <w:rPr>
          <w:rFonts w:ascii="Times New Roman" w:hAnsi="Times New Roman" w:cs="Times New Roman"/>
        </w:rPr>
        <w:t xml:space="preserve">Protocol is </w:t>
      </w:r>
      <w:r w:rsidRPr="004842AA">
        <w:rPr>
          <w:rFonts w:ascii="Times New Roman" w:hAnsi="Times New Roman" w:cs="Times New Roman"/>
        </w:rPr>
        <w:t xml:space="preserve">already </w:t>
      </w:r>
      <w:r w:rsidR="00722648" w:rsidRPr="004842AA">
        <w:rPr>
          <w:rFonts w:ascii="Times New Roman" w:hAnsi="Times New Roman" w:cs="Times New Roman"/>
        </w:rPr>
        <w:t xml:space="preserve">damaging political stability within </w:t>
      </w:r>
      <w:r w:rsidRPr="004842AA">
        <w:rPr>
          <w:rFonts w:ascii="Times New Roman" w:hAnsi="Times New Roman" w:cs="Times New Roman"/>
        </w:rPr>
        <w:t>Northern Ireland</w:t>
      </w:r>
      <w:r w:rsidR="00722648" w:rsidRPr="004842AA">
        <w:rPr>
          <w:rFonts w:ascii="Times New Roman" w:hAnsi="Times New Roman" w:cs="Times New Roman"/>
        </w:rPr>
        <w:t xml:space="preserve">.  </w:t>
      </w:r>
      <w:r w:rsidRPr="004842AA">
        <w:rPr>
          <w:rFonts w:ascii="Times New Roman" w:hAnsi="Times New Roman" w:cs="Times New Roman"/>
        </w:rPr>
        <w:t>In the trade barriers that will so</w:t>
      </w:r>
      <w:r w:rsidR="00DC41E9">
        <w:rPr>
          <w:rFonts w:ascii="Times New Roman" w:hAnsi="Times New Roman" w:cs="Times New Roman"/>
        </w:rPr>
        <w:t>on exist across the Irish Sea, u</w:t>
      </w:r>
      <w:r w:rsidR="00722648" w:rsidRPr="004842AA">
        <w:rPr>
          <w:rFonts w:ascii="Times New Roman" w:hAnsi="Times New Roman" w:cs="Times New Roman"/>
        </w:rPr>
        <w:t xml:space="preserve">nionists perceive a </w:t>
      </w:r>
      <w:r w:rsidRPr="004842AA">
        <w:rPr>
          <w:rFonts w:ascii="Times New Roman" w:hAnsi="Times New Roman" w:cs="Times New Roman"/>
        </w:rPr>
        <w:t xml:space="preserve">serious </w:t>
      </w:r>
      <w:r w:rsidR="00722648" w:rsidRPr="004842AA">
        <w:rPr>
          <w:rFonts w:ascii="Times New Roman" w:hAnsi="Times New Roman" w:cs="Times New Roman"/>
        </w:rPr>
        <w:t xml:space="preserve">threat to their British identity.  </w:t>
      </w:r>
      <w:r w:rsidRPr="004842AA">
        <w:rPr>
          <w:rFonts w:ascii="Times New Roman" w:hAnsi="Times New Roman" w:cs="Times New Roman"/>
        </w:rPr>
        <w:t xml:space="preserve">Among </w:t>
      </w:r>
      <w:r w:rsidR="00722648" w:rsidRPr="004842AA">
        <w:rPr>
          <w:rFonts w:ascii="Times New Roman" w:hAnsi="Times New Roman" w:cs="Times New Roman"/>
        </w:rPr>
        <w:t>nationalists</w:t>
      </w:r>
      <w:r w:rsidRPr="004842AA">
        <w:rPr>
          <w:rFonts w:ascii="Times New Roman" w:hAnsi="Times New Roman" w:cs="Times New Roman"/>
        </w:rPr>
        <w:t xml:space="preserve">, Brexit in general and the Protocol in particular have </w:t>
      </w:r>
      <w:r w:rsidR="007D3F25">
        <w:rPr>
          <w:rFonts w:ascii="Times New Roman" w:hAnsi="Times New Roman" w:cs="Times New Roman"/>
        </w:rPr>
        <w:t>revived</w:t>
      </w:r>
      <w:r w:rsidRPr="004842AA">
        <w:rPr>
          <w:rFonts w:ascii="Times New Roman" w:hAnsi="Times New Roman" w:cs="Times New Roman"/>
        </w:rPr>
        <w:t xml:space="preserve"> dreams of </w:t>
      </w:r>
      <w:r w:rsidR="00722648" w:rsidRPr="004842AA">
        <w:rPr>
          <w:rFonts w:ascii="Times New Roman" w:hAnsi="Times New Roman" w:cs="Times New Roman"/>
        </w:rPr>
        <w:t xml:space="preserve">reunification far </w:t>
      </w:r>
      <w:r w:rsidRPr="004842AA">
        <w:rPr>
          <w:rFonts w:ascii="Times New Roman" w:hAnsi="Times New Roman" w:cs="Times New Roman"/>
        </w:rPr>
        <w:t xml:space="preserve">sooner </w:t>
      </w:r>
      <w:r w:rsidR="00722648" w:rsidRPr="004842AA">
        <w:rPr>
          <w:rFonts w:ascii="Times New Roman" w:hAnsi="Times New Roman" w:cs="Times New Roman"/>
        </w:rPr>
        <w:t xml:space="preserve">than many </w:t>
      </w:r>
      <w:r w:rsidRPr="004842AA">
        <w:rPr>
          <w:rFonts w:ascii="Times New Roman" w:hAnsi="Times New Roman" w:cs="Times New Roman"/>
        </w:rPr>
        <w:t xml:space="preserve">had </w:t>
      </w:r>
      <w:r w:rsidR="00722648" w:rsidRPr="004842AA">
        <w:rPr>
          <w:rFonts w:ascii="Times New Roman" w:hAnsi="Times New Roman" w:cs="Times New Roman"/>
        </w:rPr>
        <w:t xml:space="preserve">expected. </w:t>
      </w:r>
      <w:r w:rsidRPr="004842AA">
        <w:rPr>
          <w:rFonts w:ascii="Times New Roman" w:hAnsi="Times New Roman" w:cs="Times New Roman"/>
        </w:rPr>
        <w:t xml:space="preserve"> It should be a cause of serious concern that the </w:t>
      </w:r>
      <w:r w:rsidR="00722648" w:rsidRPr="004842AA">
        <w:rPr>
          <w:rFonts w:ascii="Times New Roman" w:hAnsi="Times New Roman" w:cs="Times New Roman"/>
        </w:rPr>
        <w:t xml:space="preserve">Protocol </w:t>
      </w:r>
      <w:r w:rsidRPr="004842AA">
        <w:rPr>
          <w:rFonts w:ascii="Times New Roman" w:hAnsi="Times New Roman" w:cs="Times New Roman"/>
        </w:rPr>
        <w:t xml:space="preserve">effectively </w:t>
      </w:r>
      <w:r w:rsidR="00722648" w:rsidRPr="004842AA">
        <w:rPr>
          <w:rFonts w:ascii="Times New Roman" w:hAnsi="Times New Roman" w:cs="Times New Roman"/>
        </w:rPr>
        <w:t xml:space="preserve">reduces </w:t>
      </w:r>
      <w:r w:rsidRPr="004842AA">
        <w:rPr>
          <w:rFonts w:ascii="Times New Roman" w:hAnsi="Times New Roman" w:cs="Times New Roman"/>
        </w:rPr>
        <w:t xml:space="preserve">the collective </w:t>
      </w:r>
      <w:r w:rsidR="00722648" w:rsidRPr="004842AA">
        <w:rPr>
          <w:rFonts w:ascii="Times New Roman" w:hAnsi="Times New Roman" w:cs="Times New Roman"/>
        </w:rPr>
        <w:t xml:space="preserve">incentive to make </w:t>
      </w:r>
      <w:r w:rsidRPr="004842AA">
        <w:rPr>
          <w:rFonts w:ascii="Times New Roman" w:hAnsi="Times New Roman" w:cs="Times New Roman"/>
        </w:rPr>
        <w:t xml:space="preserve">the Good Friday Agreement </w:t>
      </w:r>
      <w:r w:rsidR="00722648" w:rsidRPr="004842AA">
        <w:rPr>
          <w:rFonts w:ascii="Times New Roman" w:hAnsi="Times New Roman" w:cs="Times New Roman"/>
        </w:rPr>
        <w:t>work</w:t>
      </w:r>
      <w:r w:rsidR="00DC41E9">
        <w:rPr>
          <w:rFonts w:ascii="Times New Roman" w:hAnsi="Times New Roman" w:cs="Times New Roman"/>
        </w:rPr>
        <w:t>,</w:t>
      </w:r>
      <w:r w:rsidR="00722648" w:rsidRPr="004842AA">
        <w:rPr>
          <w:rFonts w:ascii="Times New Roman" w:hAnsi="Times New Roman" w:cs="Times New Roman"/>
        </w:rPr>
        <w:t xml:space="preserve"> </w:t>
      </w:r>
      <w:r w:rsidRPr="004842AA">
        <w:rPr>
          <w:rFonts w:ascii="Times New Roman" w:hAnsi="Times New Roman" w:cs="Times New Roman"/>
        </w:rPr>
        <w:t xml:space="preserve">at the same time as rekindling rather than </w:t>
      </w:r>
      <w:r w:rsidR="00722648" w:rsidRPr="004842AA">
        <w:rPr>
          <w:rFonts w:ascii="Times New Roman" w:hAnsi="Times New Roman" w:cs="Times New Roman"/>
        </w:rPr>
        <w:t xml:space="preserve">defusing </w:t>
      </w:r>
      <w:r w:rsidRPr="004842AA">
        <w:rPr>
          <w:rFonts w:ascii="Times New Roman" w:hAnsi="Times New Roman" w:cs="Times New Roman"/>
        </w:rPr>
        <w:t xml:space="preserve">the </w:t>
      </w:r>
      <w:r w:rsidR="00D7475F">
        <w:rPr>
          <w:rFonts w:ascii="Times New Roman" w:hAnsi="Times New Roman" w:cs="Times New Roman"/>
        </w:rPr>
        <w:t>tensions</w:t>
      </w:r>
      <w:r w:rsidRPr="004842AA">
        <w:rPr>
          <w:rFonts w:ascii="Times New Roman" w:hAnsi="Times New Roman" w:cs="Times New Roman"/>
        </w:rPr>
        <w:t xml:space="preserve"> of </w:t>
      </w:r>
      <w:r w:rsidR="00720DD8" w:rsidRPr="004842AA">
        <w:rPr>
          <w:rFonts w:ascii="Times New Roman" w:hAnsi="Times New Roman" w:cs="Times New Roman"/>
        </w:rPr>
        <w:t xml:space="preserve">sectarian </w:t>
      </w:r>
      <w:r w:rsidR="00722648" w:rsidRPr="004842AA">
        <w:rPr>
          <w:rFonts w:ascii="Times New Roman" w:hAnsi="Times New Roman" w:cs="Times New Roman"/>
        </w:rPr>
        <w:t>identity politics.</w:t>
      </w:r>
      <w:r w:rsidR="00720DD8" w:rsidRPr="004842AA">
        <w:rPr>
          <w:rFonts w:ascii="Times New Roman" w:hAnsi="Times New Roman" w:cs="Times New Roman"/>
        </w:rPr>
        <w:t xml:space="preserve">  </w:t>
      </w:r>
    </w:p>
    <w:p w14:paraId="0832190F" w14:textId="5898D2B6" w:rsidR="00722648" w:rsidRPr="004842AA" w:rsidRDefault="00720DD8" w:rsidP="00BE6612">
      <w:pPr>
        <w:ind w:firstLine="720"/>
        <w:jc w:val="both"/>
        <w:rPr>
          <w:rFonts w:ascii="Times New Roman" w:hAnsi="Times New Roman" w:cs="Times New Roman"/>
        </w:rPr>
      </w:pPr>
      <w:r w:rsidRPr="004842AA">
        <w:rPr>
          <w:rFonts w:ascii="Times New Roman" w:hAnsi="Times New Roman" w:cs="Times New Roman"/>
        </w:rPr>
        <w:t xml:space="preserve">Even a small risk that the </w:t>
      </w:r>
      <w:r w:rsidR="00722648" w:rsidRPr="004842AA">
        <w:rPr>
          <w:rFonts w:ascii="Times New Roman" w:hAnsi="Times New Roman" w:cs="Times New Roman"/>
        </w:rPr>
        <w:t xml:space="preserve">Protocol system may simply break down </w:t>
      </w:r>
      <w:r w:rsidRPr="004842AA">
        <w:rPr>
          <w:rFonts w:ascii="Times New Roman" w:hAnsi="Times New Roman" w:cs="Times New Roman"/>
        </w:rPr>
        <w:t xml:space="preserve">is still too high </w:t>
      </w:r>
      <w:r w:rsidR="00722648" w:rsidRPr="004842AA">
        <w:rPr>
          <w:rFonts w:ascii="Times New Roman" w:hAnsi="Times New Roman" w:cs="Times New Roman"/>
        </w:rPr>
        <w:t xml:space="preserve">– </w:t>
      </w:r>
      <w:r w:rsidRPr="004842AA">
        <w:rPr>
          <w:rFonts w:ascii="Times New Roman" w:hAnsi="Times New Roman" w:cs="Times New Roman"/>
        </w:rPr>
        <w:t xml:space="preserve">not least since </w:t>
      </w:r>
      <w:r w:rsidR="00722648" w:rsidRPr="004842AA">
        <w:rPr>
          <w:rFonts w:ascii="Times New Roman" w:hAnsi="Times New Roman" w:cs="Times New Roman"/>
        </w:rPr>
        <w:t xml:space="preserve">every other pathway </w:t>
      </w:r>
      <w:r w:rsidRPr="004842AA">
        <w:rPr>
          <w:rFonts w:ascii="Times New Roman" w:hAnsi="Times New Roman" w:cs="Times New Roman"/>
        </w:rPr>
        <w:t xml:space="preserve">leading away </w:t>
      </w:r>
      <w:r w:rsidR="00722648" w:rsidRPr="004842AA">
        <w:rPr>
          <w:rFonts w:ascii="Times New Roman" w:hAnsi="Times New Roman" w:cs="Times New Roman"/>
        </w:rPr>
        <w:t xml:space="preserve">from such a scenario </w:t>
      </w:r>
      <w:r w:rsidRPr="004842AA">
        <w:rPr>
          <w:rFonts w:ascii="Times New Roman" w:hAnsi="Times New Roman" w:cs="Times New Roman"/>
        </w:rPr>
        <w:t>would only present</w:t>
      </w:r>
      <w:r w:rsidR="00722648" w:rsidRPr="004842AA">
        <w:rPr>
          <w:rFonts w:ascii="Times New Roman" w:hAnsi="Times New Roman" w:cs="Times New Roman"/>
        </w:rPr>
        <w:t xml:space="preserve"> </w:t>
      </w:r>
      <w:r w:rsidRPr="004842AA">
        <w:rPr>
          <w:rFonts w:ascii="Times New Roman" w:hAnsi="Times New Roman" w:cs="Times New Roman"/>
        </w:rPr>
        <w:t xml:space="preserve">even greater </w:t>
      </w:r>
      <w:r w:rsidR="00722648" w:rsidRPr="004842AA">
        <w:rPr>
          <w:rFonts w:ascii="Times New Roman" w:hAnsi="Times New Roman" w:cs="Times New Roman"/>
        </w:rPr>
        <w:t>problems</w:t>
      </w:r>
      <w:r w:rsidRPr="004842AA">
        <w:rPr>
          <w:rFonts w:ascii="Times New Roman" w:hAnsi="Times New Roman" w:cs="Times New Roman"/>
        </w:rPr>
        <w:t xml:space="preserve"> of its own</w:t>
      </w:r>
      <w:r w:rsidR="00722648" w:rsidRPr="004842AA">
        <w:rPr>
          <w:rFonts w:ascii="Times New Roman" w:hAnsi="Times New Roman" w:cs="Times New Roman"/>
        </w:rPr>
        <w:t xml:space="preserve">.  </w:t>
      </w:r>
      <w:r w:rsidRPr="004842AA">
        <w:rPr>
          <w:rFonts w:ascii="Times New Roman" w:hAnsi="Times New Roman" w:cs="Times New Roman"/>
        </w:rPr>
        <w:t xml:space="preserve">For example: what would we do, if the Union were effectively </w:t>
      </w:r>
      <w:r w:rsidR="00722648" w:rsidRPr="004842AA">
        <w:rPr>
          <w:rFonts w:ascii="Times New Roman" w:hAnsi="Times New Roman" w:cs="Times New Roman"/>
        </w:rPr>
        <w:t xml:space="preserve">forced to impose </w:t>
      </w:r>
      <w:r w:rsidRPr="004842AA">
        <w:rPr>
          <w:rFonts w:ascii="Times New Roman" w:hAnsi="Times New Roman" w:cs="Times New Roman"/>
        </w:rPr>
        <w:t xml:space="preserve">a hard </w:t>
      </w:r>
      <w:r w:rsidR="00722648" w:rsidRPr="004842AA">
        <w:rPr>
          <w:rFonts w:ascii="Times New Roman" w:hAnsi="Times New Roman" w:cs="Times New Roman"/>
        </w:rPr>
        <w:t>border</w:t>
      </w:r>
      <w:r w:rsidRPr="004842AA">
        <w:rPr>
          <w:rFonts w:ascii="Times New Roman" w:hAnsi="Times New Roman" w:cs="Times New Roman"/>
        </w:rPr>
        <w:t xml:space="preserve"> across the island of Ireland, so as to </w:t>
      </w:r>
      <w:r w:rsidR="00722648" w:rsidRPr="004842AA">
        <w:rPr>
          <w:rFonts w:ascii="Times New Roman" w:hAnsi="Times New Roman" w:cs="Times New Roman"/>
        </w:rPr>
        <w:t xml:space="preserve">protect </w:t>
      </w:r>
      <w:r w:rsidRPr="004842AA">
        <w:rPr>
          <w:rFonts w:ascii="Times New Roman" w:hAnsi="Times New Roman" w:cs="Times New Roman"/>
        </w:rPr>
        <w:t>its own Customs Union and Single M</w:t>
      </w:r>
      <w:r w:rsidR="00722648" w:rsidRPr="004842AA">
        <w:rPr>
          <w:rFonts w:ascii="Times New Roman" w:hAnsi="Times New Roman" w:cs="Times New Roman"/>
        </w:rPr>
        <w:t xml:space="preserve">arket, faced with </w:t>
      </w:r>
      <w:r w:rsidRPr="004842AA">
        <w:rPr>
          <w:rFonts w:ascii="Times New Roman" w:hAnsi="Times New Roman" w:cs="Times New Roman"/>
        </w:rPr>
        <w:t xml:space="preserve">the intolerable provocation of a British </w:t>
      </w:r>
      <w:r w:rsidR="00722648" w:rsidRPr="004842AA">
        <w:rPr>
          <w:rFonts w:ascii="Times New Roman" w:hAnsi="Times New Roman" w:cs="Times New Roman"/>
        </w:rPr>
        <w:t xml:space="preserve">government that </w:t>
      </w:r>
      <w:r w:rsidRPr="004842AA">
        <w:rPr>
          <w:rFonts w:ascii="Times New Roman" w:hAnsi="Times New Roman" w:cs="Times New Roman"/>
        </w:rPr>
        <w:t xml:space="preserve">simply </w:t>
      </w:r>
      <w:r w:rsidR="00722648" w:rsidRPr="004842AA">
        <w:rPr>
          <w:rFonts w:ascii="Times New Roman" w:hAnsi="Times New Roman" w:cs="Times New Roman"/>
        </w:rPr>
        <w:t xml:space="preserve">refuses to respect </w:t>
      </w:r>
      <w:r w:rsidRPr="004842AA">
        <w:rPr>
          <w:rFonts w:ascii="Times New Roman" w:hAnsi="Times New Roman" w:cs="Times New Roman"/>
        </w:rPr>
        <w:t xml:space="preserve">and enforce the terms of </w:t>
      </w:r>
      <w:r w:rsidR="007D3F25">
        <w:rPr>
          <w:rFonts w:ascii="Times New Roman" w:hAnsi="Times New Roman" w:cs="Times New Roman"/>
        </w:rPr>
        <w:t>the A</w:t>
      </w:r>
      <w:r w:rsidR="00722648" w:rsidRPr="004842AA">
        <w:rPr>
          <w:rFonts w:ascii="Times New Roman" w:hAnsi="Times New Roman" w:cs="Times New Roman"/>
        </w:rPr>
        <w:t>greement</w:t>
      </w:r>
      <w:r w:rsidRPr="004842AA">
        <w:rPr>
          <w:rFonts w:ascii="Times New Roman" w:hAnsi="Times New Roman" w:cs="Times New Roman"/>
        </w:rPr>
        <w:t xml:space="preserve"> and shows little concern about the impact of its own behaviour upon Northern Ireland?</w:t>
      </w:r>
      <w:r w:rsidR="00722648" w:rsidRPr="004842AA">
        <w:rPr>
          <w:rFonts w:ascii="Times New Roman" w:hAnsi="Times New Roman" w:cs="Times New Roman"/>
        </w:rPr>
        <w:t xml:space="preserve">  </w:t>
      </w:r>
      <w:proofErr w:type="gramStart"/>
      <w:r w:rsidRPr="004842AA">
        <w:rPr>
          <w:rFonts w:ascii="Times New Roman" w:hAnsi="Times New Roman" w:cs="Times New Roman"/>
        </w:rPr>
        <w:t>An unlikely, yet not entirely fanciful prospect.</w:t>
      </w:r>
      <w:proofErr w:type="gramEnd"/>
      <w:r w:rsidRPr="004842AA">
        <w:rPr>
          <w:rFonts w:ascii="Times New Roman" w:hAnsi="Times New Roman" w:cs="Times New Roman"/>
        </w:rPr>
        <w:t xml:space="preserve">  Would a better solution to the entire problem of Brexit and the </w:t>
      </w:r>
      <w:r w:rsidR="0021188A" w:rsidRPr="004842AA">
        <w:rPr>
          <w:rFonts w:ascii="Times New Roman" w:hAnsi="Times New Roman" w:cs="Times New Roman"/>
        </w:rPr>
        <w:t xml:space="preserve">difficulties of the </w:t>
      </w:r>
      <w:r w:rsidRPr="004842AA">
        <w:rPr>
          <w:rFonts w:ascii="Times New Roman" w:hAnsi="Times New Roman" w:cs="Times New Roman"/>
        </w:rPr>
        <w:t xml:space="preserve">revised Protocol really lie (as many now believe) in a border poll leading to Irish reunification within the Union?  </w:t>
      </w:r>
      <w:proofErr w:type="gramStart"/>
      <w:r w:rsidRPr="004842AA">
        <w:rPr>
          <w:rFonts w:ascii="Times New Roman" w:hAnsi="Times New Roman" w:cs="Times New Roman"/>
        </w:rPr>
        <w:t xml:space="preserve">An entirely possible, yet </w:t>
      </w:r>
      <w:r w:rsidR="0021188A" w:rsidRPr="004842AA">
        <w:rPr>
          <w:rFonts w:ascii="Times New Roman" w:hAnsi="Times New Roman" w:cs="Times New Roman"/>
        </w:rPr>
        <w:t xml:space="preserve">still </w:t>
      </w:r>
      <w:r w:rsidRPr="004842AA">
        <w:rPr>
          <w:rFonts w:ascii="Times New Roman" w:hAnsi="Times New Roman" w:cs="Times New Roman"/>
        </w:rPr>
        <w:t>not straightforward outcome.</w:t>
      </w:r>
      <w:proofErr w:type="gramEnd"/>
      <w:r w:rsidRPr="004842AA">
        <w:rPr>
          <w:rFonts w:ascii="Times New Roman" w:hAnsi="Times New Roman" w:cs="Times New Roman"/>
        </w:rPr>
        <w:t xml:space="preserve">  After all, there are also significant dangers in a premature push for reunification, before </w:t>
      </w:r>
      <w:r w:rsidR="00722648" w:rsidRPr="004842AA">
        <w:rPr>
          <w:rFonts w:ascii="Times New Roman" w:hAnsi="Times New Roman" w:cs="Times New Roman"/>
        </w:rPr>
        <w:t xml:space="preserve">both main communities feel </w:t>
      </w:r>
      <w:r w:rsidRPr="004842AA">
        <w:rPr>
          <w:rFonts w:ascii="Times New Roman" w:hAnsi="Times New Roman" w:cs="Times New Roman"/>
        </w:rPr>
        <w:t xml:space="preserve">genuinely </w:t>
      </w:r>
      <w:r w:rsidR="00722648" w:rsidRPr="004842AA">
        <w:rPr>
          <w:rFonts w:ascii="Times New Roman" w:hAnsi="Times New Roman" w:cs="Times New Roman"/>
        </w:rPr>
        <w:t xml:space="preserve">comfortable </w:t>
      </w:r>
      <w:r w:rsidRPr="004842AA">
        <w:rPr>
          <w:rFonts w:ascii="Times New Roman" w:hAnsi="Times New Roman" w:cs="Times New Roman"/>
        </w:rPr>
        <w:t xml:space="preserve">at the idea, and until we are sure </w:t>
      </w:r>
      <w:r w:rsidR="0021188A" w:rsidRPr="004842AA">
        <w:rPr>
          <w:rFonts w:ascii="Times New Roman" w:hAnsi="Times New Roman" w:cs="Times New Roman"/>
        </w:rPr>
        <w:t xml:space="preserve">that </w:t>
      </w:r>
      <w:r w:rsidRPr="004842AA">
        <w:rPr>
          <w:rFonts w:ascii="Times New Roman" w:hAnsi="Times New Roman" w:cs="Times New Roman"/>
        </w:rPr>
        <w:t xml:space="preserve">the </w:t>
      </w:r>
      <w:r w:rsidR="00722648" w:rsidRPr="004842AA">
        <w:rPr>
          <w:rFonts w:ascii="Times New Roman" w:hAnsi="Times New Roman" w:cs="Times New Roman"/>
        </w:rPr>
        <w:t xml:space="preserve">Republic </w:t>
      </w:r>
      <w:r w:rsidRPr="004842AA">
        <w:rPr>
          <w:rFonts w:ascii="Times New Roman" w:hAnsi="Times New Roman" w:cs="Times New Roman"/>
        </w:rPr>
        <w:t xml:space="preserve">itself </w:t>
      </w:r>
      <w:r w:rsidR="00722648" w:rsidRPr="004842AA">
        <w:rPr>
          <w:rFonts w:ascii="Times New Roman" w:hAnsi="Times New Roman" w:cs="Times New Roman"/>
        </w:rPr>
        <w:t xml:space="preserve">is </w:t>
      </w:r>
      <w:r w:rsidRPr="004842AA">
        <w:rPr>
          <w:rFonts w:ascii="Times New Roman" w:hAnsi="Times New Roman" w:cs="Times New Roman"/>
        </w:rPr>
        <w:t xml:space="preserve">willing and able </w:t>
      </w:r>
      <w:r w:rsidR="00722648" w:rsidRPr="004842AA">
        <w:rPr>
          <w:rFonts w:ascii="Times New Roman" w:hAnsi="Times New Roman" w:cs="Times New Roman"/>
        </w:rPr>
        <w:t xml:space="preserve">to handle </w:t>
      </w:r>
      <w:r w:rsidR="0021188A" w:rsidRPr="004842AA">
        <w:rPr>
          <w:rFonts w:ascii="Times New Roman" w:hAnsi="Times New Roman" w:cs="Times New Roman"/>
        </w:rPr>
        <w:t>the consequences of such a momentous event</w:t>
      </w:r>
      <w:r w:rsidR="00722648" w:rsidRPr="004842AA">
        <w:rPr>
          <w:rFonts w:ascii="Times New Roman" w:hAnsi="Times New Roman" w:cs="Times New Roman"/>
        </w:rPr>
        <w:t>.</w:t>
      </w:r>
    </w:p>
    <w:p w14:paraId="42224652" w14:textId="77777777" w:rsidR="00C51251" w:rsidRPr="004842AA" w:rsidRDefault="00C51251" w:rsidP="004842AA">
      <w:pPr>
        <w:rPr>
          <w:rFonts w:ascii="Times New Roman" w:hAnsi="Times New Roman" w:cs="Times New Roman"/>
          <w:b/>
          <w:highlight w:val="yellow"/>
        </w:rPr>
      </w:pPr>
    </w:p>
    <w:p w14:paraId="66E5033E" w14:textId="16E7E6B1" w:rsidR="00947667" w:rsidRPr="004842AA" w:rsidRDefault="00B365A3" w:rsidP="004842AA">
      <w:pPr>
        <w:jc w:val="both"/>
        <w:rPr>
          <w:rFonts w:ascii="Times New Roman" w:hAnsi="Times New Roman" w:cs="Times New Roman"/>
          <w:b/>
        </w:rPr>
      </w:pPr>
      <w:r w:rsidRPr="004842AA">
        <w:rPr>
          <w:rFonts w:ascii="Times New Roman" w:hAnsi="Times New Roman" w:cs="Times New Roman"/>
          <w:b/>
        </w:rPr>
        <w:t>4</w:t>
      </w:r>
      <w:r w:rsidR="008850A9" w:rsidRPr="004842AA">
        <w:rPr>
          <w:rFonts w:ascii="Times New Roman" w:hAnsi="Times New Roman" w:cs="Times New Roman"/>
          <w:b/>
        </w:rPr>
        <w:t xml:space="preserve">. </w:t>
      </w:r>
      <w:r w:rsidR="008850A9" w:rsidRPr="004842AA">
        <w:rPr>
          <w:rFonts w:ascii="Times New Roman" w:hAnsi="Times New Roman" w:cs="Times New Roman"/>
          <w:b/>
        </w:rPr>
        <w:tab/>
      </w:r>
      <w:r w:rsidR="00D9649B">
        <w:rPr>
          <w:rFonts w:ascii="Times New Roman" w:hAnsi="Times New Roman" w:cs="Times New Roman"/>
          <w:b/>
        </w:rPr>
        <w:t xml:space="preserve">The </w:t>
      </w:r>
      <w:r w:rsidR="00947667" w:rsidRPr="004842AA">
        <w:rPr>
          <w:rFonts w:ascii="Times New Roman" w:hAnsi="Times New Roman" w:cs="Times New Roman"/>
          <w:b/>
        </w:rPr>
        <w:t>Future Relations</w:t>
      </w:r>
      <w:r w:rsidR="00BC4143" w:rsidRPr="004842AA">
        <w:rPr>
          <w:rFonts w:ascii="Times New Roman" w:hAnsi="Times New Roman" w:cs="Times New Roman"/>
          <w:b/>
        </w:rPr>
        <w:t>hip</w:t>
      </w:r>
    </w:p>
    <w:p w14:paraId="5A8ED663" w14:textId="77777777" w:rsidR="00947667" w:rsidRPr="004842AA" w:rsidRDefault="00947667" w:rsidP="004842AA">
      <w:pPr>
        <w:jc w:val="both"/>
        <w:rPr>
          <w:rFonts w:ascii="Times New Roman" w:hAnsi="Times New Roman" w:cs="Times New Roman"/>
          <w:b/>
        </w:rPr>
      </w:pPr>
    </w:p>
    <w:p w14:paraId="608E982A" w14:textId="62BC0BBA" w:rsidR="00BC4143" w:rsidRPr="004842AA" w:rsidRDefault="00BC4143" w:rsidP="004842AA">
      <w:pPr>
        <w:jc w:val="both"/>
        <w:rPr>
          <w:rFonts w:ascii="Times New Roman" w:hAnsi="Times New Roman" w:cs="Times New Roman"/>
        </w:rPr>
      </w:pPr>
      <w:r w:rsidRPr="004842AA">
        <w:rPr>
          <w:rFonts w:ascii="Times New Roman" w:hAnsi="Times New Roman" w:cs="Times New Roman"/>
        </w:rPr>
        <w:t>The future EU-UK relationship is currently under negotiation.</w:t>
      </w:r>
      <w:r w:rsidR="004F6F5C">
        <w:rPr>
          <w:rStyle w:val="FootnoteReference"/>
          <w:rFonts w:ascii="Times New Roman" w:hAnsi="Times New Roman" w:cs="Times New Roman"/>
        </w:rPr>
        <w:footnoteReference w:id="325"/>
      </w:r>
      <w:r w:rsidRPr="004842AA">
        <w:rPr>
          <w:rFonts w:ascii="Times New Roman" w:hAnsi="Times New Roman" w:cs="Times New Roman"/>
        </w:rPr>
        <w:t xml:space="preserve"> </w:t>
      </w:r>
      <w:r w:rsidR="00DA5F6A" w:rsidRPr="004842AA">
        <w:rPr>
          <w:rFonts w:ascii="Times New Roman" w:hAnsi="Times New Roman" w:cs="Times New Roman"/>
        </w:rPr>
        <w:t xml:space="preserve"> </w:t>
      </w:r>
      <w:r w:rsidRPr="004842AA">
        <w:rPr>
          <w:rFonts w:ascii="Times New Roman" w:hAnsi="Times New Roman" w:cs="Times New Roman"/>
        </w:rPr>
        <w:t xml:space="preserve">Once </w:t>
      </w:r>
      <w:r w:rsidR="007366BB">
        <w:rPr>
          <w:rFonts w:ascii="Times New Roman" w:hAnsi="Times New Roman" w:cs="Times New Roman"/>
        </w:rPr>
        <w:t>more concrete</w:t>
      </w:r>
      <w:r w:rsidRPr="004842AA">
        <w:rPr>
          <w:rFonts w:ascii="Times New Roman" w:hAnsi="Times New Roman" w:cs="Times New Roman"/>
        </w:rPr>
        <w:t xml:space="preserve"> terms </w:t>
      </w:r>
      <w:proofErr w:type="gramStart"/>
      <w:r w:rsidRPr="004842AA">
        <w:rPr>
          <w:rFonts w:ascii="Times New Roman" w:hAnsi="Times New Roman" w:cs="Times New Roman"/>
        </w:rPr>
        <w:t>emerge,</w:t>
      </w:r>
      <w:proofErr w:type="gramEnd"/>
      <w:r w:rsidRPr="004842AA">
        <w:rPr>
          <w:rFonts w:ascii="Times New Roman" w:hAnsi="Times New Roman" w:cs="Times New Roman"/>
        </w:rPr>
        <w:t xml:space="preserve"> they will doubtless provide the subject for extensive analysis.  For present purposes, it </w:t>
      </w:r>
      <w:r w:rsidR="00D82A02">
        <w:rPr>
          <w:rFonts w:ascii="Times New Roman" w:hAnsi="Times New Roman" w:cs="Times New Roman"/>
        </w:rPr>
        <w:t>must</w:t>
      </w:r>
      <w:r w:rsidRPr="004842AA">
        <w:rPr>
          <w:rFonts w:ascii="Times New Roman" w:hAnsi="Times New Roman" w:cs="Times New Roman"/>
        </w:rPr>
        <w:t xml:space="preserve"> suffice to highlight some of the key constraints, preferences and choices </w:t>
      </w:r>
      <w:r w:rsidR="00DA5F6A" w:rsidRPr="004842AA">
        <w:rPr>
          <w:rFonts w:ascii="Times New Roman" w:hAnsi="Times New Roman" w:cs="Times New Roman"/>
        </w:rPr>
        <w:t>that</w:t>
      </w:r>
      <w:r w:rsidRPr="004842AA">
        <w:rPr>
          <w:rFonts w:ascii="Times New Roman" w:hAnsi="Times New Roman" w:cs="Times New Roman"/>
        </w:rPr>
        <w:t xml:space="preserve"> have </w:t>
      </w:r>
      <w:r w:rsidR="00ED74B9">
        <w:rPr>
          <w:rFonts w:ascii="Times New Roman" w:hAnsi="Times New Roman" w:cs="Times New Roman"/>
        </w:rPr>
        <w:t xml:space="preserve">already </w:t>
      </w:r>
      <w:r w:rsidRPr="004842AA">
        <w:rPr>
          <w:rFonts w:ascii="Times New Roman" w:hAnsi="Times New Roman" w:cs="Times New Roman"/>
        </w:rPr>
        <w:t xml:space="preserve">shaped the negotiations and will influence their </w:t>
      </w:r>
      <w:r w:rsidR="005C660F">
        <w:rPr>
          <w:rFonts w:ascii="Times New Roman" w:hAnsi="Times New Roman" w:cs="Times New Roman"/>
        </w:rPr>
        <w:t xml:space="preserve">eventual </w:t>
      </w:r>
      <w:r w:rsidRPr="004842AA">
        <w:rPr>
          <w:rFonts w:ascii="Times New Roman" w:hAnsi="Times New Roman" w:cs="Times New Roman"/>
        </w:rPr>
        <w:t>outcome</w:t>
      </w:r>
      <w:r w:rsidR="005C660F">
        <w:rPr>
          <w:rFonts w:ascii="Times New Roman" w:hAnsi="Times New Roman" w:cs="Times New Roman"/>
        </w:rPr>
        <w:t>s</w:t>
      </w:r>
      <w:r w:rsidRPr="004842AA">
        <w:rPr>
          <w:rFonts w:ascii="Times New Roman" w:hAnsi="Times New Roman" w:cs="Times New Roman"/>
        </w:rPr>
        <w:t xml:space="preserve">.  </w:t>
      </w:r>
    </w:p>
    <w:p w14:paraId="49177E14" w14:textId="77777777" w:rsidR="00BC4143" w:rsidRPr="004842AA" w:rsidRDefault="00BC4143" w:rsidP="004842AA">
      <w:pPr>
        <w:jc w:val="both"/>
        <w:rPr>
          <w:rFonts w:ascii="Times New Roman" w:hAnsi="Times New Roman" w:cs="Times New Roman"/>
        </w:rPr>
      </w:pPr>
    </w:p>
    <w:p w14:paraId="15E708DA" w14:textId="463FA19C" w:rsidR="00801981" w:rsidRPr="004842AA" w:rsidRDefault="00801981" w:rsidP="004842AA">
      <w:pPr>
        <w:jc w:val="both"/>
        <w:rPr>
          <w:rFonts w:ascii="Times New Roman" w:hAnsi="Times New Roman" w:cs="Times New Roman"/>
          <w:i/>
        </w:rPr>
      </w:pPr>
      <w:r w:rsidRPr="004842AA">
        <w:rPr>
          <w:rFonts w:ascii="Times New Roman" w:hAnsi="Times New Roman" w:cs="Times New Roman"/>
          <w:i/>
        </w:rPr>
        <w:t xml:space="preserve">4.1. </w:t>
      </w:r>
      <w:r w:rsidRPr="004842AA">
        <w:rPr>
          <w:rFonts w:ascii="Times New Roman" w:hAnsi="Times New Roman" w:cs="Times New Roman"/>
          <w:i/>
        </w:rPr>
        <w:tab/>
        <w:t xml:space="preserve">Context of and background to the Political Declaration </w:t>
      </w:r>
    </w:p>
    <w:p w14:paraId="5B4B574E" w14:textId="77777777" w:rsidR="00801981" w:rsidRPr="004842AA" w:rsidRDefault="00801981" w:rsidP="004842AA">
      <w:pPr>
        <w:jc w:val="both"/>
        <w:rPr>
          <w:rFonts w:ascii="Times New Roman" w:hAnsi="Times New Roman" w:cs="Times New Roman"/>
        </w:rPr>
      </w:pPr>
    </w:p>
    <w:p w14:paraId="205F4A5E" w14:textId="20938B27" w:rsidR="005F3860" w:rsidRDefault="00BC4143" w:rsidP="004842AA">
      <w:pPr>
        <w:jc w:val="both"/>
        <w:rPr>
          <w:rFonts w:ascii="Times New Roman" w:hAnsi="Times New Roman" w:cs="Times New Roman"/>
        </w:rPr>
      </w:pPr>
      <w:r w:rsidRPr="004842AA">
        <w:rPr>
          <w:rFonts w:ascii="Times New Roman" w:hAnsi="Times New Roman" w:cs="Times New Roman"/>
        </w:rPr>
        <w:t xml:space="preserve">The common experience of humanity </w:t>
      </w:r>
      <w:r w:rsidR="00DA5F6A" w:rsidRPr="004842AA">
        <w:rPr>
          <w:rFonts w:ascii="Times New Roman" w:hAnsi="Times New Roman" w:cs="Times New Roman"/>
        </w:rPr>
        <w:t>provides</w:t>
      </w:r>
      <w:r w:rsidRPr="004842AA">
        <w:rPr>
          <w:rFonts w:ascii="Times New Roman" w:hAnsi="Times New Roman" w:cs="Times New Roman"/>
        </w:rPr>
        <w:t xml:space="preserve"> us with a familiar agenda for international cooperation in fields such as trade and security – a closely inter-related bundle of decisions to be made about the overall level of ambition the parties are willing to p</w:t>
      </w:r>
      <w:r w:rsidR="00423F2A" w:rsidRPr="004842AA">
        <w:rPr>
          <w:rFonts w:ascii="Times New Roman" w:hAnsi="Times New Roman" w:cs="Times New Roman"/>
        </w:rPr>
        <w:t>ursue;</w:t>
      </w:r>
      <w:r w:rsidRPr="004842AA">
        <w:rPr>
          <w:rFonts w:ascii="Times New Roman" w:hAnsi="Times New Roman" w:cs="Times New Roman"/>
        </w:rPr>
        <w:t xml:space="preserve"> the specific legal instruments they are willin</w:t>
      </w:r>
      <w:r w:rsidR="00423F2A" w:rsidRPr="004842AA">
        <w:rPr>
          <w:rFonts w:ascii="Times New Roman" w:hAnsi="Times New Roman" w:cs="Times New Roman"/>
        </w:rPr>
        <w:t>g to employ to pursue that goal;</w:t>
      </w:r>
      <w:r w:rsidRPr="004842AA">
        <w:rPr>
          <w:rFonts w:ascii="Times New Roman" w:hAnsi="Times New Roman" w:cs="Times New Roman"/>
        </w:rPr>
        <w:t xml:space="preserve"> </w:t>
      </w:r>
      <w:r w:rsidR="00FD27B2" w:rsidRPr="004842AA">
        <w:rPr>
          <w:rFonts w:ascii="Times New Roman" w:hAnsi="Times New Roman" w:cs="Times New Roman"/>
        </w:rPr>
        <w:t xml:space="preserve">an appropriate and commensurate </w:t>
      </w:r>
      <w:r w:rsidRPr="004842AA">
        <w:rPr>
          <w:rFonts w:ascii="Times New Roman" w:hAnsi="Times New Roman" w:cs="Times New Roman"/>
        </w:rPr>
        <w:t>range of ancillary or flanking policies and safeguards</w:t>
      </w:r>
      <w:r w:rsidR="00423F2A" w:rsidRPr="004842AA">
        <w:rPr>
          <w:rFonts w:ascii="Times New Roman" w:hAnsi="Times New Roman" w:cs="Times New Roman"/>
        </w:rPr>
        <w:t>; the institutional structures and processes that will operationalise the agreement;</w:t>
      </w:r>
      <w:r w:rsidRPr="004842AA">
        <w:rPr>
          <w:rFonts w:ascii="Times New Roman" w:hAnsi="Times New Roman" w:cs="Times New Roman"/>
        </w:rPr>
        <w:t xml:space="preserve"> </w:t>
      </w:r>
      <w:r w:rsidR="00423F2A" w:rsidRPr="004842AA">
        <w:rPr>
          <w:rFonts w:ascii="Times New Roman" w:hAnsi="Times New Roman" w:cs="Times New Roman"/>
        </w:rPr>
        <w:t xml:space="preserve">the principles and disciplines governing its interpretation, application and enforcement. </w:t>
      </w:r>
      <w:r w:rsidR="00BB073A">
        <w:rPr>
          <w:rFonts w:ascii="Times New Roman" w:hAnsi="Times New Roman" w:cs="Times New Roman"/>
        </w:rPr>
        <w:t xml:space="preserve"> </w:t>
      </w:r>
      <w:r w:rsidR="00423F2A" w:rsidRPr="004842AA">
        <w:rPr>
          <w:rFonts w:ascii="Times New Roman" w:hAnsi="Times New Roman" w:cs="Times New Roman"/>
        </w:rPr>
        <w:t xml:space="preserve">Likewise, experience has taught us various empirical lessons about the likely challenges facing negotiations aimed at closer international cooperation: for example, that integrating </w:t>
      </w:r>
      <w:r w:rsidR="00423F2A" w:rsidRPr="004842AA">
        <w:rPr>
          <w:rFonts w:ascii="Times New Roman" w:hAnsi="Times New Roman" w:cs="Times New Roman"/>
        </w:rPr>
        <w:lastRenderedPageBreak/>
        <w:t xml:space="preserve">markets for services is significantly more difficult than for goods; </w:t>
      </w:r>
      <w:r w:rsidR="00F74B0F">
        <w:rPr>
          <w:rFonts w:ascii="Times New Roman" w:hAnsi="Times New Roman" w:cs="Times New Roman"/>
        </w:rPr>
        <w:t xml:space="preserve">that geography matters, insofar as greater proximity increases the opportunities for and intensity of trade relations; </w:t>
      </w:r>
      <w:r w:rsidR="00423F2A" w:rsidRPr="004842AA">
        <w:rPr>
          <w:rFonts w:ascii="Times New Roman" w:hAnsi="Times New Roman" w:cs="Times New Roman"/>
        </w:rPr>
        <w:t>that size matters, since larger players simply bring greater economic and political clout to the table; that the parties’ willingness to create effective institutions is central to any genuinely ambitious agreement.</w:t>
      </w:r>
      <w:r w:rsidR="00423F2A" w:rsidRPr="004842AA">
        <w:rPr>
          <w:rStyle w:val="FootnoteReference"/>
          <w:rFonts w:ascii="Times New Roman" w:hAnsi="Times New Roman" w:cs="Times New Roman"/>
        </w:rPr>
        <w:footnoteReference w:id="326"/>
      </w:r>
      <w:r w:rsidR="00423F2A" w:rsidRPr="004842AA">
        <w:rPr>
          <w:rFonts w:ascii="Times New Roman" w:hAnsi="Times New Roman" w:cs="Times New Roman"/>
        </w:rPr>
        <w:t xml:space="preserve"> </w:t>
      </w:r>
    </w:p>
    <w:p w14:paraId="244AB47D" w14:textId="2C0A6D4A" w:rsidR="005F3860" w:rsidRDefault="00423F2A" w:rsidP="005F3860">
      <w:pPr>
        <w:ind w:firstLine="720"/>
        <w:jc w:val="both"/>
        <w:rPr>
          <w:rFonts w:ascii="Times New Roman" w:hAnsi="Times New Roman" w:cs="Times New Roman"/>
        </w:rPr>
      </w:pPr>
      <w:r w:rsidRPr="004842AA">
        <w:rPr>
          <w:rFonts w:ascii="Times New Roman" w:hAnsi="Times New Roman" w:cs="Times New Roman"/>
        </w:rPr>
        <w:t>Future EU-UK relations will not be magically exempt from that agenda and those lessons.</w:t>
      </w:r>
      <w:r w:rsidR="006843B7">
        <w:rPr>
          <w:rStyle w:val="FootnoteReference"/>
          <w:rFonts w:ascii="Times New Roman" w:hAnsi="Times New Roman" w:cs="Times New Roman"/>
        </w:rPr>
        <w:footnoteReference w:id="327"/>
      </w:r>
      <w:r w:rsidRPr="004842AA">
        <w:rPr>
          <w:rFonts w:ascii="Times New Roman" w:hAnsi="Times New Roman" w:cs="Times New Roman"/>
        </w:rPr>
        <w:t xml:space="preserve">  </w:t>
      </w:r>
      <w:r w:rsidR="009C0571" w:rsidRPr="004842AA">
        <w:rPr>
          <w:rFonts w:ascii="Times New Roman" w:hAnsi="Times New Roman" w:cs="Times New Roman"/>
        </w:rPr>
        <w:t xml:space="preserve">In addition, however, both parties must live with several inescapable features of the </w:t>
      </w:r>
      <w:r w:rsidR="00972653" w:rsidRPr="004842AA">
        <w:rPr>
          <w:rFonts w:ascii="Times New Roman" w:hAnsi="Times New Roman" w:cs="Times New Roman"/>
        </w:rPr>
        <w:t xml:space="preserve">EU </w:t>
      </w:r>
      <w:r w:rsidR="009C0571" w:rsidRPr="004842AA">
        <w:rPr>
          <w:rFonts w:ascii="Times New Roman" w:hAnsi="Times New Roman" w:cs="Times New Roman"/>
        </w:rPr>
        <w:t xml:space="preserve">constitutional order concerning the conduct of external relations: for example, the complex division of competences between the Union and its Member States, including the possibility of </w:t>
      </w:r>
      <w:proofErr w:type="spellStart"/>
      <w:r w:rsidR="009C0571" w:rsidRPr="004842AA">
        <w:rPr>
          <w:rFonts w:ascii="Times New Roman" w:hAnsi="Times New Roman" w:cs="Times New Roman"/>
        </w:rPr>
        <w:t>mixity</w:t>
      </w:r>
      <w:proofErr w:type="spellEnd"/>
      <w:r w:rsidR="009C0571" w:rsidRPr="004842AA">
        <w:rPr>
          <w:rFonts w:ascii="Times New Roman" w:hAnsi="Times New Roman" w:cs="Times New Roman"/>
        </w:rPr>
        <w:t>, which then precipitates national as well as Union level ratification;</w:t>
      </w:r>
      <w:r w:rsidR="009C0571" w:rsidRPr="004842AA">
        <w:rPr>
          <w:rStyle w:val="FootnoteReference"/>
          <w:rFonts w:ascii="Times New Roman" w:hAnsi="Times New Roman" w:cs="Times New Roman"/>
        </w:rPr>
        <w:footnoteReference w:id="328"/>
      </w:r>
      <w:r w:rsidR="009C0571" w:rsidRPr="004842AA">
        <w:rPr>
          <w:rFonts w:ascii="Times New Roman" w:hAnsi="Times New Roman" w:cs="Times New Roman"/>
        </w:rPr>
        <w:t xml:space="preserve"> the non-</w:t>
      </w:r>
      <w:proofErr w:type="spellStart"/>
      <w:r w:rsidR="009C0571" w:rsidRPr="004842AA">
        <w:rPr>
          <w:rFonts w:ascii="Times New Roman" w:hAnsi="Times New Roman" w:cs="Times New Roman"/>
        </w:rPr>
        <w:t>derogable</w:t>
      </w:r>
      <w:proofErr w:type="spellEnd"/>
      <w:r w:rsidR="009C0571" w:rsidRPr="004842AA">
        <w:rPr>
          <w:rFonts w:ascii="Times New Roman" w:hAnsi="Times New Roman" w:cs="Times New Roman"/>
        </w:rPr>
        <w:t xml:space="preserve"> principles developed by the CJEU to protect the </w:t>
      </w:r>
      <w:r w:rsidR="00E307F7" w:rsidRPr="004842AA">
        <w:rPr>
          <w:rFonts w:ascii="Times New Roman" w:hAnsi="Times New Roman" w:cs="Times New Roman"/>
        </w:rPr>
        <w:t>autonomy</w:t>
      </w:r>
      <w:r w:rsidR="009C0571" w:rsidRPr="004842AA">
        <w:rPr>
          <w:rFonts w:ascii="Times New Roman" w:hAnsi="Times New Roman" w:cs="Times New Roman"/>
        </w:rPr>
        <w:t xml:space="preserve"> of the EU legal system from external interference by third countries or other international bodies</w:t>
      </w:r>
      <w:r w:rsidR="00E307F7" w:rsidRPr="004842AA">
        <w:rPr>
          <w:rFonts w:ascii="Times New Roman" w:hAnsi="Times New Roman" w:cs="Times New Roman"/>
        </w:rPr>
        <w:t>;</w:t>
      </w:r>
      <w:r w:rsidR="009C0571" w:rsidRPr="004842AA">
        <w:rPr>
          <w:rStyle w:val="FootnoteReference"/>
          <w:rFonts w:ascii="Times New Roman" w:hAnsi="Times New Roman" w:cs="Times New Roman"/>
        </w:rPr>
        <w:footnoteReference w:id="329"/>
      </w:r>
      <w:r w:rsidR="00E307F7" w:rsidRPr="004842AA">
        <w:rPr>
          <w:rFonts w:ascii="Times New Roman" w:hAnsi="Times New Roman" w:cs="Times New Roman"/>
        </w:rPr>
        <w:t xml:space="preserve"> </w:t>
      </w:r>
      <w:r w:rsidR="009C0571" w:rsidRPr="004842AA">
        <w:rPr>
          <w:rFonts w:ascii="Times New Roman" w:hAnsi="Times New Roman" w:cs="Times New Roman"/>
        </w:rPr>
        <w:t xml:space="preserve">and the particular status of international agreements within the Union legal order itself, which creates a strong knock-on pressure to ensure </w:t>
      </w:r>
      <w:r w:rsidR="00E307F7" w:rsidRPr="004842AA">
        <w:rPr>
          <w:rFonts w:ascii="Times New Roman" w:hAnsi="Times New Roman" w:cs="Times New Roman"/>
        </w:rPr>
        <w:t>reciprocity</w:t>
      </w:r>
      <w:r w:rsidR="009C0571" w:rsidRPr="004842AA">
        <w:rPr>
          <w:rFonts w:ascii="Times New Roman" w:hAnsi="Times New Roman" w:cs="Times New Roman"/>
        </w:rPr>
        <w:t xml:space="preserve"> of internal legal effects </w:t>
      </w:r>
      <w:r w:rsidR="00D54175">
        <w:rPr>
          <w:rFonts w:ascii="Times New Roman" w:hAnsi="Times New Roman" w:cs="Times New Roman"/>
        </w:rPr>
        <w:t xml:space="preserve">(either by levelling-up or by levelling-down) </w:t>
      </w:r>
      <w:r w:rsidR="009C0571" w:rsidRPr="004842AA">
        <w:rPr>
          <w:rFonts w:ascii="Times New Roman" w:hAnsi="Times New Roman" w:cs="Times New Roman"/>
        </w:rPr>
        <w:t>with the Union’s international partners.</w:t>
      </w:r>
      <w:r w:rsidR="009C0571" w:rsidRPr="004842AA">
        <w:rPr>
          <w:rStyle w:val="FootnoteReference"/>
          <w:rFonts w:ascii="Times New Roman" w:hAnsi="Times New Roman" w:cs="Times New Roman"/>
        </w:rPr>
        <w:footnoteReference w:id="330"/>
      </w:r>
      <w:r w:rsidR="009C0571" w:rsidRPr="004842AA">
        <w:rPr>
          <w:rFonts w:ascii="Times New Roman" w:hAnsi="Times New Roman" w:cs="Times New Roman"/>
        </w:rPr>
        <w:t xml:space="preserve">  </w:t>
      </w:r>
      <w:r w:rsidR="002E2EC0" w:rsidRPr="004842AA">
        <w:rPr>
          <w:rFonts w:ascii="Times New Roman" w:hAnsi="Times New Roman" w:cs="Times New Roman"/>
        </w:rPr>
        <w:t xml:space="preserve">It is worth noting that the UK itself lacks many comparable constitutional constraints: whatever conventions or statutes might currently apply to </w:t>
      </w:r>
      <w:r w:rsidR="005F3860">
        <w:rPr>
          <w:rFonts w:ascii="Times New Roman" w:hAnsi="Times New Roman" w:cs="Times New Roman"/>
        </w:rPr>
        <w:t xml:space="preserve">the conduct of international relations or conclusion of international agreements, as regards </w:t>
      </w:r>
      <w:r w:rsidR="002E2EC0" w:rsidRPr="004842AA">
        <w:rPr>
          <w:rFonts w:ascii="Times New Roman" w:hAnsi="Times New Roman" w:cs="Times New Roman"/>
        </w:rPr>
        <w:t>the division of labour between executive and legislature, or between the central and devolved authorities, are easily overcome or overturned by a London Government with a working Commons majority.</w:t>
      </w:r>
      <w:r w:rsidR="002E2EC0" w:rsidRPr="004842AA">
        <w:rPr>
          <w:rStyle w:val="FootnoteReference"/>
          <w:rFonts w:ascii="Times New Roman" w:hAnsi="Times New Roman" w:cs="Times New Roman"/>
        </w:rPr>
        <w:footnoteReference w:id="331"/>
      </w:r>
      <w:r w:rsidR="002E2EC0" w:rsidRPr="004842AA">
        <w:rPr>
          <w:rFonts w:ascii="Times New Roman" w:hAnsi="Times New Roman" w:cs="Times New Roman"/>
        </w:rPr>
        <w:t xml:space="preserve">  The UK’s negotiating partners need only really worry about the implications for reciprocity of the dualist nature of its domestic legal order.  </w:t>
      </w:r>
    </w:p>
    <w:p w14:paraId="0640FA69" w14:textId="2550319D" w:rsidR="005F3860" w:rsidRDefault="009C0571" w:rsidP="005F3860">
      <w:pPr>
        <w:ind w:firstLine="720"/>
        <w:jc w:val="both"/>
        <w:rPr>
          <w:rFonts w:ascii="Times New Roman" w:hAnsi="Times New Roman" w:cs="Times New Roman"/>
        </w:rPr>
      </w:pPr>
      <w:r w:rsidRPr="004842AA">
        <w:rPr>
          <w:rFonts w:ascii="Times New Roman" w:hAnsi="Times New Roman" w:cs="Times New Roman"/>
        </w:rPr>
        <w:t xml:space="preserve">Against that background, the </w:t>
      </w:r>
      <w:r w:rsidR="00423F2A" w:rsidRPr="004842AA">
        <w:rPr>
          <w:rFonts w:ascii="Times New Roman" w:hAnsi="Times New Roman" w:cs="Times New Roman"/>
        </w:rPr>
        <w:t xml:space="preserve">European Council </w:t>
      </w:r>
      <w:r w:rsidRPr="004842AA">
        <w:rPr>
          <w:rFonts w:ascii="Times New Roman" w:hAnsi="Times New Roman" w:cs="Times New Roman"/>
        </w:rPr>
        <w:t xml:space="preserve">articulated </w:t>
      </w:r>
      <w:r w:rsidR="00FD27B2" w:rsidRPr="004842AA">
        <w:rPr>
          <w:rFonts w:ascii="Times New Roman" w:hAnsi="Times New Roman" w:cs="Times New Roman"/>
        </w:rPr>
        <w:t>its</w:t>
      </w:r>
      <w:r w:rsidRPr="004842AA">
        <w:rPr>
          <w:rFonts w:ascii="Times New Roman" w:hAnsi="Times New Roman" w:cs="Times New Roman"/>
        </w:rPr>
        <w:t xml:space="preserve"> overall </w:t>
      </w:r>
      <w:r w:rsidR="00BC4143" w:rsidRPr="004842AA">
        <w:rPr>
          <w:rFonts w:ascii="Times New Roman" w:hAnsi="Times New Roman" w:cs="Times New Roman"/>
        </w:rPr>
        <w:t xml:space="preserve">position </w:t>
      </w:r>
      <w:r w:rsidRPr="004842AA">
        <w:rPr>
          <w:rFonts w:ascii="Times New Roman" w:hAnsi="Times New Roman" w:cs="Times New Roman"/>
        </w:rPr>
        <w:t>towards future relations with the UK in its guidelines from April 2017</w:t>
      </w:r>
      <w:r w:rsidR="004D27DF" w:rsidRPr="004842AA">
        <w:rPr>
          <w:rFonts w:ascii="Times New Roman" w:hAnsi="Times New Roman" w:cs="Times New Roman"/>
        </w:rPr>
        <w:t>,</w:t>
      </w:r>
      <w:r w:rsidR="00801981" w:rsidRPr="004842AA">
        <w:rPr>
          <w:rStyle w:val="FootnoteReference"/>
          <w:rFonts w:ascii="Times New Roman" w:hAnsi="Times New Roman" w:cs="Times New Roman"/>
        </w:rPr>
        <w:footnoteReference w:id="332"/>
      </w:r>
      <w:r w:rsidR="004D27DF" w:rsidRPr="004842AA">
        <w:rPr>
          <w:rFonts w:ascii="Times New Roman" w:hAnsi="Times New Roman" w:cs="Times New Roman"/>
        </w:rPr>
        <w:t xml:space="preserve"> as well as in additional guidelines adopted in </w:t>
      </w:r>
      <w:r w:rsidR="00AA180D" w:rsidRPr="004842AA">
        <w:rPr>
          <w:rFonts w:ascii="Times New Roman" w:hAnsi="Times New Roman" w:cs="Times New Roman"/>
        </w:rPr>
        <w:t>March</w:t>
      </w:r>
      <w:r w:rsidR="004D27DF" w:rsidRPr="004842AA">
        <w:rPr>
          <w:rFonts w:ascii="Times New Roman" w:hAnsi="Times New Roman" w:cs="Times New Roman"/>
        </w:rPr>
        <w:t xml:space="preserve"> 2018.</w:t>
      </w:r>
      <w:r w:rsidR="004D27DF" w:rsidRPr="004842AA">
        <w:rPr>
          <w:rStyle w:val="FootnoteReference"/>
          <w:rFonts w:ascii="Times New Roman" w:hAnsi="Times New Roman" w:cs="Times New Roman"/>
        </w:rPr>
        <w:footnoteReference w:id="333"/>
      </w:r>
      <w:r w:rsidR="004D27DF" w:rsidRPr="004842AA">
        <w:rPr>
          <w:rFonts w:ascii="Times New Roman" w:hAnsi="Times New Roman" w:cs="Times New Roman"/>
        </w:rPr>
        <w:t xml:space="preserve">  </w:t>
      </w:r>
      <w:r w:rsidR="00FD27B2" w:rsidRPr="004842AA">
        <w:rPr>
          <w:rFonts w:ascii="Times New Roman" w:hAnsi="Times New Roman" w:cs="Times New Roman"/>
        </w:rPr>
        <w:t>A</w:t>
      </w:r>
      <w:r w:rsidRPr="004842AA">
        <w:rPr>
          <w:rFonts w:ascii="Times New Roman" w:hAnsi="Times New Roman" w:cs="Times New Roman"/>
        </w:rPr>
        <w:t xml:space="preserve">s we have seen, the </w:t>
      </w:r>
      <w:r w:rsidR="00FD27B2" w:rsidRPr="004842AA">
        <w:rPr>
          <w:rFonts w:ascii="Times New Roman" w:hAnsi="Times New Roman" w:cs="Times New Roman"/>
        </w:rPr>
        <w:t>Union desires a close partnership with the UK, but not at any cost:</w:t>
      </w:r>
      <w:r w:rsidR="00BC4143" w:rsidRPr="004842AA">
        <w:rPr>
          <w:rFonts w:ascii="Times New Roman" w:hAnsi="Times New Roman" w:cs="Times New Roman"/>
        </w:rPr>
        <w:t xml:space="preserve"> </w:t>
      </w:r>
      <w:r w:rsidR="00FD27B2" w:rsidRPr="004842AA">
        <w:rPr>
          <w:rFonts w:ascii="Times New Roman" w:hAnsi="Times New Roman" w:cs="Times New Roman"/>
        </w:rPr>
        <w:t xml:space="preserve">preserving the integrity of the Union’s own policy ecosystems is paramount; in particular: the Union will not allow “cherry-picking” from within the Single Market.  Furthermore, the Union insists upon a fair balance of rights and obligations: for example, robust level playing field commitments to ensure free and fair competition between the Union and UK markets; </w:t>
      </w:r>
      <w:r w:rsidR="009D60BE">
        <w:rPr>
          <w:rFonts w:ascii="Times New Roman" w:hAnsi="Times New Roman" w:cs="Times New Roman"/>
        </w:rPr>
        <w:t xml:space="preserve">plus </w:t>
      </w:r>
      <w:r w:rsidR="00FD27B2" w:rsidRPr="004842AA">
        <w:rPr>
          <w:rFonts w:ascii="Times New Roman" w:hAnsi="Times New Roman" w:cs="Times New Roman"/>
        </w:rPr>
        <w:t xml:space="preserve">various human rights and data protection guarantees as a precondition for </w:t>
      </w:r>
      <w:r w:rsidR="00801981" w:rsidRPr="004842AA">
        <w:rPr>
          <w:rFonts w:ascii="Times New Roman" w:hAnsi="Times New Roman" w:cs="Times New Roman"/>
        </w:rPr>
        <w:t xml:space="preserve">cross-border </w:t>
      </w:r>
      <w:r w:rsidR="00FD27B2" w:rsidRPr="004842AA">
        <w:rPr>
          <w:rFonts w:ascii="Times New Roman" w:hAnsi="Times New Roman" w:cs="Times New Roman"/>
        </w:rPr>
        <w:t>cooperation between police and security forces as well as in the sphere of criminal justice</w:t>
      </w:r>
      <w:r w:rsidR="00E307F7" w:rsidRPr="004842AA">
        <w:rPr>
          <w:rFonts w:ascii="Times New Roman" w:hAnsi="Times New Roman" w:cs="Times New Roman"/>
        </w:rPr>
        <w:t>.</w:t>
      </w:r>
      <w:r w:rsidR="00C63883">
        <w:rPr>
          <w:rStyle w:val="FootnoteReference"/>
          <w:rFonts w:ascii="Times New Roman" w:hAnsi="Times New Roman" w:cs="Times New Roman"/>
        </w:rPr>
        <w:footnoteReference w:id="334"/>
      </w:r>
    </w:p>
    <w:p w14:paraId="1477DC26" w14:textId="7324C028" w:rsidR="005F3860" w:rsidRDefault="00801981" w:rsidP="005F3860">
      <w:pPr>
        <w:ind w:firstLine="720"/>
        <w:jc w:val="both"/>
        <w:rPr>
          <w:rFonts w:ascii="Times New Roman" w:hAnsi="Times New Roman" w:cs="Times New Roman"/>
        </w:rPr>
      </w:pPr>
      <w:r w:rsidRPr="004842AA">
        <w:rPr>
          <w:rFonts w:ascii="Times New Roman" w:hAnsi="Times New Roman" w:cs="Times New Roman"/>
        </w:rPr>
        <w:lastRenderedPageBreak/>
        <w:t xml:space="preserve">However, the </w:t>
      </w:r>
      <w:r w:rsidR="00972653" w:rsidRPr="004842AA">
        <w:rPr>
          <w:rFonts w:ascii="Times New Roman" w:hAnsi="Times New Roman" w:cs="Times New Roman"/>
        </w:rPr>
        <w:t xml:space="preserve">UK debate took place </w:t>
      </w:r>
      <w:r w:rsidRPr="004842AA">
        <w:rPr>
          <w:rFonts w:ascii="Times New Roman" w:hAnsi="Times New Roman" w:cs="Times New Roman"/>
        </w:rPr>
        <w:t xml:space="preserve">almost </w:t>
      </w:r>
      <w:r w:rsidR="00972653" w:rsidRPr="004842AA">
        <w:rPr>
          <w:rFonts w:ascii="Times New Roman" w:hAnsi="Times New Roman" w:cs="Times New Roman"/>
        </w:rPr>
        <w:t xml:space="preserve">regardless of those </w:t>
      </w:r>
      <w:r w:rsidRPr="004842AA">
        <w:rPr>
          <w:rFonts w:ascii="Times New Roman" w:hAnsi="Times New Roman" w:cs="Times New Roman"/>
        </w:rPr>
        <w:t xml:space="preserve">legal and political </w:t>
      </w:r>
      <w:r w:rsidR="00972653" w:rsidRPr="004842AA">
        <w:rPr>
          <w:rFonts w:ascii="Times New Roman" w:hAnsi="Times New Roman" w:cs="Times New Roman"/>
        </w:rPr>
        <w:t>realities</w:t>
      </w:r>
      <w:r w:rsidRPr="004842AA">
        <w:rPr>
          <w:rFonts w:ascii="Times New Roman" w:hAnsi="Times New Roman" w:cs="Times New Roman"/>
        </w:rPr>
        <w:t xml:space="preserve">.  </w:t>
      </w:r>
      <w:r w:rsidR="004D27DF" w:rsidRPr="004842AA">
        <w:rPr>
          <w:rFonts w:ascii="Times New Roman" w:hAnsi="Times New Roman" w:cs="Times New Roman"/>
        </w:rPr>
        <w:t>T</w:t>
      </w:r>
      <w:r w:rsidRPr="004842AA">
        <w:rPr>
          <w:rFonts w:ascii="Times New Roman" w:hAnsi="Times New Roman" w:cs="Times New Roman"/>
        </w:rPr>
        <w:t>he Leave campaign never properly defined its vision for the future, preferring instead to make entirely fantastical and mutually contradictory promises in order to win the referendum</w:t>
      </w:r>
      <w:r w:rsidR="004D27DF" w:rsidRPr="004842AA">
        <w:rPr>
          <w:rFonts w:ascii="Times New Roman" w:hAnsi="Times New Roman" w:cs="Times New Roman"/>
        </w:rPr>
        <w:t xml:space="preserve">.  Yet the basic </w:t>
      </w:r>
      <w:r w:rsidRPr="004842AA">
        <w:rPr>
          <w:rFonts w:ascii="Times New Roman" w:hAnsi="Times New Roman" w:cs="Times New Roman"/>
        </w:rPr>
        <w:t xml:space="preserve">choice facing </w:t>
      </w:r>
      <w:r w:rsidR="004D27DF" w:rsidRPr="004842AA">
        <w:rPr>
          <w:rFonts w:ascii="Times New Roman" w:hAnsi="Times New Roman" w:cs="Times New Roman"/>
        </w:rPr>
        <w:t xml:space="preserve">Brexit Britain </w:t>
      </w:r>
      <w:r w:rsidRPr="004842AA">
        <w:rPr>
          <w:rFonts w:ascii="Times New Roman" w:hAnsi="Times New Roman" w:cs="Times New Roman"/>
        </w:rPr>
        <w:t xml:space="preserve">was </w:t>
      </w:r>
      <w:r w:rsidR="004D27DF" w:rsidRPr="004842AA">
        <w:rPr>
          <w:rFonts w:ascii="Times New Roman" w:hAnsi="Times New Roman" w:cs="Times New Roman"/>
        </w:rPr>
        <w:t>simple</w:t>
      </w:r>
      <w:r w:rsidRPr="004842AA">
        <w:rPr>
          <w:rFonts w:ascii="Times New Roman" w:hAnsi="Times New Roman" w:cs="Times New Roman"/>
        </w:rPr>
        <w:t>.</w:t>
      </w:r>
      <w:r w:rsidR="000751B1">
        <w:rPr>
          <w:rStyle w:val="FootnoteReference"/>
          <w:rFonts w:ascii="Times New Roman" w:hAnsi="Times New Roman" w:cs="Times New Roman"/>
        </w:rPr>
        <w:footnoteReference w:id="335"/>
      </w:r>
      <w:r w:rsidRPr="004842AA">
        <w:rPr>
          <w:rFonts w:ascii="Times New Roman" w:hAnsi="Times New Roman" w:cs="Times New Roman"/>
        </w:rPr>
        <w:t xml:space="preserve">  Either the UK could aim for a relatively close future </w:t>
      </w:r>
      <w:r w:rsidR="00972653" w:rsidRPr="004842AA">
        <w:rPr>
          <w:rFonts w:ascii="Times New Roman" w:hAnsi="Times New Roman" w:cs="Times New Roman"/>
        </w:rPr>
        <w:t xml:space="preserve">relationship </w:t>
      </w:r>
      <w:r w:rsidRPr="004842AA">
        <w:rPr>
          <w:rFonts w:ascii="Times New Roman" w:hAnsi="Times New Roman" w:cs="Times New Roman"/>
        </w:rPr>
        <w:t xml:space="preserve">with the Union: that would </w:t>
      </w:r>
      <w:r w:rsidR="00972653" w:rsidRPr="004842AA">
        <w:rPr>
          <w:rFonts w:ascii="Times New Roman" w:hAnsi="Times New Roman" w:cs="Times New Roman"/>
        </w:rPr>
        <w:t xml:space="preserve">minimise disruption </w:t>
      </w:r>
      <w:r w:rsidRPr="004842AA">
        <w:rPr>
          <w:rFonts w:ascii="Times New Roman" w:hAnsi="Times New Roman" w:cs="Times New Roman"/>
        </w:rPr>
        <w:t>in trade and security</w:t>
      </w:r>
      <w:r w:rsidR="00833D68" w:rsidRPr="004842AA">
        <w:rPr>
          <w:rFonts w:ascii="Times New Roman" w:hAnsi="Times New Roman" w:cs="Times New Roman"/>
        </w:rPr>
        <w:t>;</w:t>
      </w:r>
      <w:r w:rsidRPr="004842AA">
        <w:rPr>
          <w:rFonts w:ascii="Times New Roman" w:hAnsi="Times New Roman" w:cs="Times New Roman"/>
        </w:rPr>
        <w:t xml:space="preserve"> and also make the Irish border problem less difficult to manage</w:t>
      </w:r>
      <w:r w:rsidR="00833D68" w:rsidRPr="004842AA">
        <w:rPr>
          <w:rFonts w:ascii="Times New Roman" w:hAnsi="Times New Roman" w:cs="Times New Roman"/>
        </w:rPr>
        <w:t xml:space="preserve"> as part of a UK-wide settlement</w:t>
      </w:r>
      <w:r w:rsidRPr="004842AA">
        <w:rPr>
          <w:rFonts w:ascii="Times New Roman" w:hAnsi="Times New Roman" w:cs="Times New Roman"/>
        </w:rPr>
        <w:t xml:space="preserve">; </w:t>
      </w:r>
      <w:r w:rsidR="00972653" w:rsidRPr="004842AA">
        <w:rPr>
          <w:rFonts w:ascii="Times New Roman" w:hAnsi="Times New Roman" w:cs="Times New Roman"/>
        </w:rPr>
        <w:t xml:space="preserve">but </w:t>
      </w:r>
      <w:r w:rsidRPr="004842AA">
        <w:rPr>
          <w:rFonts w:ascii="Times New Roman" w:hAnsi="Times New Roman" w:cs="Times New Roman"/>
        </w:rPr>
        <w:t xml:space="preserve">it would come at the price of the UK aligning itself to the Union and its regulatory standards without exercising any appreciable degree of influence.  Or the UK could settle for a relatively </w:t>
      </w:r>
      <w:r w:rsidR="00E307F7" w:rsidRPr="004842AA">
        <w:rPr>
          <w:rFonts w:ascii="Times New Roman" w:hAnsi="Times New Roman" w:cs="Times New Roman"/>
        </w:rPr>
        <w:t xml:space="preserve">distant </w:t>
      </w:r>
      <w:r w:rsidR="002E2EC0" w:rsidRPr="004842AA">
        <w:rPr>
          <w:rFonts w:ascii="Times New Roman" w:hAnsi="Times New Roman" w:cs="Times New Roman"/>
        </w:rPr>
        <w:t xml:space="preserve">future </w:t>
      </w:r>
      <w:r w:rsidR="00E307F7" w:rsidRPr="004842AA">
        <w:rPr>
          <w:rFonts w:ascii="Times New Roman" w:hAnsi="Times New Roman" w:cs="Times New Roman"/>
        </w:rPr>
        <w:t xml:space="preserve">relationship </w:t>
      </w:r>
      <w:r w:rsidR="002E2EC0" w:rsidRPr="004842AA">
        <w:rPr>
          <w:rFonts w:ascii="Times New Roman" w:hAnsi="Times New Roman" w:cs="Times New Roman"/>
        </w:rPr>
        <w:t xml:space="preserve">with the Union: that might appear to tally with the political slogan of </w:t>
      </w:r>
      <w:r w:rsidR="00E307F7" w:rsidRPr="004842AA">
        <w:rPr>
          <w:rFonts w:ascii="Times New Roman" w:hAnsi="Times New Roman" w:cs="Times New Roman"/>
        </w:rPr>
        <w:t>“</w:t>
      </w:r>
      <w:r w:rsidR="002E2EC0" w:rsidRPr="004842AA">
        <w:rPr>
          <w:rFonts w:ascii="Times New Roman" w:hAnsi="Times New Roman" w:cs="Times New Roman"/>
        </w:rPr>
        <w:t>taking back control</w:t>
      </w:r>
      <w:r w:rsidR="00E307F7" w:rsidRPr="004842AA">
        <w:rPr>
          <w:rFonts w:ascii="Times New Roman" w:hAnsi="Times New Roman" w:cs="Times New Roman"/>
        </w:rPr>
        <w:t>” (</w:t>
      </w:r>
      <w:r w:rsidR="00833D68" w:rsidRPr="004842AA">
        <w:rPr>
          <w:rFonts w:ascii="Times New Roman" w:hAnsi="Times New Roman" w:cs="Times New Roman"/>
        </w:rPr>
        <w:t>and offer the Leave R</w:t>
      </w:r>
      <w:r w:rsidR="002E2EC0" w:rsidRPr="004842AA">
        <w:rPr>
          <w:rFonts w:ascii="Times New Roman" w:hAnsi="Times New Roman" w:cs="Times New Roman"/>
        </w:rPr>
        <w:t xml:space="preserve">ight </w:t>
      </w:r>
      <w:r w:rsidR="00833D68" w:rsidRPr="004842AA">
        <w:rPr>
          <w:rFonts w:ascii="Times New Roman" w:hAnsi="Times New Roman" w:cs="Times New Roman"/>
        </w:rPr>
        <w:t xml:space="preserve">greater </w:t>
      </w:r>
      <w:r w:rsidR="002E2EC0" w:rsidRPr="004842AA">
        <w:rPr>
          <w:rFonts w:ascii="Times New Roman" w:hAnsi="Times New Roman" w:cs="Times New Roman"/>
        </w:rPr>
        <w:t xml:space="preserve">freedom to </w:t>
      </w:r>
      <w:r w:rsidR="00E307F7" w:rsidRPr="004842AA">
        <w:rPr>
          <w:rFonts w:ascii="Times New Roman" w:hAnsi="Times New Roman" w:cs="Times New Roman"/>
        </w:rPr>
        <w:t xml:space="preserve">depart from </w:t>
      </w:r>
      <w:r w:rsidR="002E2EC0" w:rsidRPr="004842AA">
        <w:rPr>
          <w:rFonts w:ascii="Times New Roman" w:hAnsi="Times New Roman" w:cs="Times New Roman"/>
        </w:rPr>
        <w:t xml:space="preserve">the </w:t>
      </w:r>
      <w:r w:rsidR="00833D68" w:rsidRPr="004842AA">
        <w:rPr>
          <w:rFonts w:ascii="Times New Roman" w:hAnsi="Times New Roman" w:cs="Times New Roman"/>
        </w:rPr>
        <w:t xml:space="preserve">hated </w:t>
      </w:r>
      <w:r w:rsidR="00E307F7" w:rsidRPr="004842AA">
        <w:rPr>
          <w:rFonts w:ascii="Times New Roman" w:hAnsi="Times New Roman" w:cs="Times New Roman"/>
        </w:rPr>
        <w:t>European economic and social model)</w:t>
      </w:r>
      <w:r w:rsidR="002E2EC0" w:rsidRPr="004842AA">
        <w:rPr>
          <w:rFonts w:ascii="Times New Roman" w:hAnsi="Times New Roman" w:cs="Times New Roman"/>
        </w:rPr>
        <w:t>;</w:t>
      </w:r>
      <w:r w:rsidR="00E307F7" w:rsidRPr="004842AA">
        <w:rPr>
          <w:rFonts w:ascii="Times New Roman" w:hAnsi="Times New Roman" w:cs="Times New Roman"/>
        </w:rPr>
        <w:t xml:space="preserve"> but </w:t>
      </w:r>
      <w:r w:rsidR="002E2EC0" w:rsidRPr="004842AA">
        <w:rPr>
          <w:rFonts w:ascii="Times New Roman" w:hAnsi="Times New Roman" w:cs="Times New Roman"/>
        </w:rPr>
        <w:t xml:space="preserve">it would come at the cost of much </w:t>
      </w:r>
      <w:r w:rsidR="00E307F7" w:rsidRPr="004842AA">
        <w:rPr>
          <w:rFonts w:ascii="Times New Roman" w:hAnsi="Times New Roman" w:cs="Times New Roman"/>
        </w:rPr>
        <w:t xml:space="preserve">greater </w:t>
      </w:r>
      <w:r w:rsidR="002E2EC0" w:rsidRPr="004842AA">
        <w:rPr>
          <w:rFonts w:ascii="Times New Roman" w:hAnsi="Times New Roman" w:cs="Times New Roman"/>
        </w:rPr>
        <w:t xml:space="preserve">dislocation in </w:t>
      </w:r>
      <w:r w:rsidR="00833D68" w:rsidRPr="004842AA">
        <w:rPr>
          <w:rFonts w:ascii="Times New Roman" w:hAnsi="Times New Roman" w:cs="Times New Roman"/>
        </w:rPr>
        <w:t xml:space="preserve">trade and security; </w:t>
      </w:r>
      <w:r w:rsidR="002E2EC0" w:rsidRPr="004842AA">
        <w:rPr>
          <w:rFonts w:ascii="Times New Roman" w:hAnsi="Times New Roman" w:cs="Times New Roman"/>
        </w:rPr>
        <w:t xml:space="preserve">and also </w:t>
      </w:r>
      <w:r w:rsidR="00833D68" w:rsidRPr="004842AA">
        <w:rPr>
          <w:rFonts w:ascii="Times New Roman" w:hAnsi="Times New Roman" w:cs="Times New Roman"/>
        </w:rPr>
        <w:t>increase the pressure to address the Irish border problem by treating Northern Ireland very differently from the rest of the UK</w:t>
      </w:r>
      <w:r w:rsidR="002E2EC0" w:rsidRPr="004842AA">
        <w:rPr>
          <w:rFonts w:ascii="Times New Roman" w:hAnsi="Times New Roman" w:cs="Times New Roman"/>
        </w:rPr>
        <w:t xml:space="preserve">.  </w:t>
      </w:r>
      <w:r w:rsidR="004D27DF" w:rsidRPr="004842AA">
        <w:rPr>
          <w:rFonts w:ascii="Times New Roman" w:hAnsi="Times New Roman" w:cs="Times New Roman"/>
        </w:rPr>
        <w:t>However, s</w:t>
      </w:r>
      <w:r w:rsidR="00C43734">
        <w:rPr>
          <w:rFonts w:ascii="Times New Roman" w:hAnsi="Times New Roman" w:cs="Times New Roman"/>
        </w:rPr>
        <w:t>ince its very survival depended</w:t>
      </w:r>
      <w:r w:rsidR="004D27DF" w:rsidRPr="004842AA">
        <w:rPr>
          <w:rFonts w:ascii="Times New Roman" w:hAnsi="Times New Roman" w:cs="Times New Roman"/>
        </w:rPr>
        <w:t xml:space="preserve"> precisely on obscuring and avoiding that very choice, the May Government maintained its official </w:t>
      </w:r>
      <w:r w:rsidR="00E307F7" w:rsidRPr="004842AA">
        <w:rPr>
          <w:rFonts w:ascii="Times New Roman" w:hAnsi="Times New Roman" w:cs="Times New Roman"/>
        </w:rPr>
        <w:t xml:space="preserve">“cake and eat it” </w:t>
      </w:r>
      <w:r w:rsidR="004D27DF" w:rsidRPr="004842AA">
        <w:rPr>
          <w:rFonts w:ascii="Times New Roman" w:hAnsi="Times New Roman" w:cs="Times New Roman"/>
        </w:rPr>
        <w:t xml:space="preserve">policy for as long as possible: </w:t>
      </w:r>
      <w:r w:rsidR="00833D68" w:rsidRPr="004842AA">
        <w:rPr>
          <w:rFonts w:ascii="Times New Roman" w:hAnsi="Times New Roman" w:cs="Times New Roman"/>
        </w:rPr>
        <w:t xml:space="preserve">the British desired </w:t>
      </w:r>
      <w:r w:rsidR="004D27DF" w:rsidRPr="004842AA">
        <w:rPr>
          <w:rFonts w:ascii="Times New Roman" w:hAnsi="Times New Roman" w:cs="Times New Roman"/>
        </w:rPr>
        <w:t xml:space="preserve">a deep and special partnership, </w:t>
      </w:r>
      <w:r w:rsidR="009D60BE">
        <w:rPr>
          <w:rFonts w:ascii="Times New Roman" w:hAnsi="Times New Roman" w:cs="Times New Roman"/>
        </w:rPr>
        <w:t>with the UK retaining</w:t>
      </w:r>
      <w:r w:rsidR="004D27DF" w:rsidRPr="004842AA">
        <w:rPr>
          <w:rFonts w:ascii="Times New Roman" w:hAnsi="Times New Roman" w:cs="Times New Roman"/>
        </w:rPr>
        <w:t xml:space="preserve"> many of the benefits of Union membership, without having to accept the corresponding obligations.</w:t>
      </w:r>
      <w:r w:rsidR="00833D68" w:rsidRPr="004842AA">
        <w:rPr>
          <w:rStyle w:val="FootnoteReference"/>
          <w:rFonts w:ascii="Times New Roman" w:hAnsi="Times New Roman" w:cs="Times New Roman"/>
        </w:rPr>
        <w:footnoteReference w:id="336"/>
      </w:r>
      <w:r w:rsidR="004D27DF" w:rsidRPr="004842AA">
        <w:rPr>
          <w:rFonts w:ascii="Times New Roman" w:hAnsi="Times New Roman" w:cs="Times New Roman"/>
        </w:rPr>
        <w:t xml:space="preserve">  </w:t>
      </w:r>
    </w:p>
    <w:p w14:paraId="2C0C7960" w14:textId="692E94EE" w:rsidR="00ED0000" w:rsidRPr="004842AA" w:rsidRDefault="004D27DF" w:rsidP="005F3860">
      <w:pPr>
        <w:ind w:firstLine="720"/>
        <w:jc w:val="both"/>
        <w:rPr>
          <w:rFonts w:ascii="Times New Roman" w:hAnsi="Times New Roman" w:cs="Times New Roman"/>
        </w:rPr>
      </w:pPr>
      <w:r w:rsidRPr="004842AA">
        <w:rPr>
          <w:rFonts w:ascii="Times New Roman" w:hAnsi="Times New Roman" w:cs="Times New Roman"/>
        </w:rPr>
        <w:t xml:space="preserve">That façade cracked upon publication of the </w:t>
      </w:r>
      <w:r w:rsidR="00E307F7" w:rsidRPr="004842AA">
        <w:rPr>
          <w:rFonts w:ascii="Times New Roman" w:hAnsi="Times New Roman" w:cs="Times New Roman"/>
        </w:rPr>
        <w:t xml:space="preserve">Chequers </w:t>
      </w:r>
      <w:r w:rsidRPr="004842AA">
        <w:rPr>
          <w:rFonts w:ascii="Times New Roman" w:hAnsi="Times New Roman" w:cs="Times New Roman"/>
        </w:rPr>
        <w:t>Plan in July 2018</w:t>
      </w:r>
      <w:r w:rsidR="009D60BE">
        <w:rPr>
          <w:rFonts w:ascii="Times New Roman" w:hAnsi="Times New Roman" w:cs="Times New Roman"/>
        </w:rPr>
        <w:t>.</w:t>
      </w:r>
      <w:r w:rsidR="00833D68" w:rsidRPr="004842AA">
        <w:rPr>
          <w:rStyle w:val="FootnoteReference"/>
          <w:rFonts w:ascii="Times New Roman" w:hAnsi="Times New Roman" w:cs="Times New Roman"/>
        </w:rPr>
        <w:footnoteReference w:id="337"/>
      </w:r>
      <w:r w:rsidRPr="004842AA">
        <w:rPr>
          <w:rFonts w:ascii="Times New Roman" w:hAnsi="Times New Roman" w:cs="Times New Roman"/>
        </w:rPr>
        <w:t xml:space="preserve"> </w:t>
      </w:r>
      <w:r w:rsidR="009D60BE">
        <w:rPr>
          <w:rFonts w:ascii="Times New Roman" w:hAnsi="Times New Roman" w:cs="Times New Roman"/>
        </w:rPr>
        <w:t xml:space="preserve"> When </w:t>
      </w:r>
      <w:r w:rsidRPr="004842AA">
        <w:rPr>
          <w:rFonts w:ascii="Times New Roman" w:hAnsi="Times New Roman" w:cs="Times New Roman"/>
        </w:rPr>
        <w:t xml:space="preserve">the May Government was </w:t>
      </w:r>
      <w:r w:rsidR="00833D68" w:rsidRPr="004842AA">
        <w:rPr>
          <w:rFonts w:ascii="Times New Roman" w:hAnsi="Times New Roman" w:cs="Times New Roman"/>
        </w:rPr>
        <w:t xml:space="preserve">eventually </w:t>
      </w:r>
      <w:r w:rsidRPr="004842AA">
        <w:rPr>
          <w:rFonts w:ascii="Times New Roman" w:hAnsi="Times New Roman" w:cs="Times New Roman"/>
        </w:rPr>
        <w:t>forced to cho</w:t>
      </w:r>
      <w:r w:rsidR="00833D68" w:rsidRPr="004842AA">
        <w:rPr>
          <w:rFonts w:ascii="Times New Roman" w:hAnsi="Times New Roman" w:cs="Times New Roman"/>
        </w:rPr>
        <w:t>o</w:t>
      </w:r>
      <w:r w:rsidRPr="004842AA">
        <w:rPr>
          <w:rFonts w:ascii="Times New Roman" w:hAnsi="Times New Roman" w:cs="Times New Roman"/>
        </w:rPr>
        <w:t xml:space="preserve">se, the original Political Declaration of November 2018 </w:t>
      </w:r>
      <w:r w:rsidR="00833D68" w:rsidRPr="004842AA">
        <w:rPr>
          <w:rFonts w:ascii="Times New Roman" w:hAnsi="Times New Roman" w:cs="Times New Roman"/>
        </w:rPr>
        <w:t>effectively prioritised minimising EU-UK trade disruption and finding a UK-wide solution to the Irish border problem (at least in the short and medium term):</w:t>
      </w:r>
      <w:r w:rsidR="007558F3">
        <w:rPr>
          <w:rStyle w:val="FootnoteReference"/>
          <w:rFonts w:ascii="Times New Roman" w:hAnsi="Times New Roman" w:cs="Times New Roman"/>
        </w:rPr>
        <w:footnoteReference w:id="338"/>
      </w:r>
      <w:r w:rsidR="00833D68" w:rsidRPr="004842AA">
        <w:rPr>
          <w:rFonts w:ascii="Times New Roman" w:hAnsi="Times New Roman" w:cs="Times New Roman"/>
        </w:rPr>
        <w:t xml:space="preserve"> on its face, the parties envisaged only a relatively distant future EU-UK relationship, with the UK entirely outside the Customs Union and the Single Market</w:t>
      </w:r>
      <w:r w:rsidR="00BE7D68" w:rsidRPr="004842AA">
        <w:rPr>
          <w:rFonts w:ascii="Times New Roman" w:hAnsi="Times New Roman" w:cs="Times New Roman"/>
        </w:rPr>
        <w:t xml:space="preserve">, albeit willing to consider alignment with Union rules </w:t>
      </w:r>
      <w:r w:rsidR="00E46918" w:rsidRPr="004842AA">
        <w:rPr>
          <w:rFonts w:ascii="Times New Roman" w:hAnsi="Times New Roman" w:cs="Times New Roman"/>
        </w:rPr>
        <w:t>across various sectors</w:t>
      </w:r>
      <w:r w:rsidR="00833D68" w:rsidRPr="004842AA">
        <w:rPr>
          <w:rFonts w:ascii="Times New Roman" w:hAnsi="Times New Roman" w:cs="Times New Roman"/>
        </w:rPr>
        <w:t xml:space="preserve">; but the “Irish backstop” contained in the corresponding version of the Agreement meant that, in reality, the UK would remain </w:t>
      </w:r>
      <w:r w:rsidR="00E46918" w:rsidRPr="004842AA">
        <w:rPr>
          <w:rFonts w:ascii="Times New Roman" w:hAnsi="Times New Roman" w:cs="Times New Roman"/>
        </w:rPr>
        <w:t xml:space="preserve">much </w:t>
      </w:r>
      <w:r w:rsidR="00833D68" w:rsidRPr="004842AA">
        <w:rPr>
          <w:rFonts w:ascii="Times New Roman" w:hAnsi="Times New Roman" w:cs="Times New Roman"/>
        </w:rPr>
        <w:t>more closely linked to the EU in a wide range of policy fields for at least the foreseeable future.</w:t>
      </w:r>
      <w:r w:rsidR="001A414B" w:rsidRPr="004842AA">
        <w:rPr>
          <w:rStyle w:val="FootnoteReference"/>
          <w:rFonts w:ascii="Times New Roman" w:hAnsi="Times New Roman" w:cs="Times New Roman"/>
        </w:rPr>
        <w:footnoteReference w:id="339"/>
      </w:r>
      <w:r w:rsidR="00833D68" w:rsidRPr="004842AA">
        <w:rPr>
          <w:rFonts w:ascii="Times New Roman" w:hAnsi="Times New Roman" w:cs="Times New Roman"/>
        </w:rPr>
        <w:t xml:space="preserve">  However, when the </w:t>
      </w:r>
      <w:r w:rsidR="00E307F7" w:rsidRPr="004842AA">
        <w:rPr>
          <w:rFonts w:ascii="Times New Roman" w:hAnsi="Times New Roman" w:cs="Times New Roman"/>
        </w:rPr>
        <w:t xml:space="preserve">Johnson </w:t>
      </w:r>
      <w:r w:rsidR="00833D68" w:rsidRPr="004842AA">
        <w:rPr>
          <w:rFonts w:ascii="Times New Roman" w:hAnsi="Times New Roman" w:cs="Times New Roman"/>
        </w:rPr>
        <w:t xml:space="preserve">Government came to renegotiate the Withdrawal Package, it brought a very different </w:t>
      </w:r>
      <w:r w:rsidR="001A414B" w:rsidRPr="004842AA">
        <w:rPr>
          <w:rFonts w:ascii="Times New Roman" w:hAnsi="Times New Roman" w:cs="Times New Roman"/>
        </w:rPr>
        <w:t>set of priorities to the table: “taking back control” demanded that a genuinely distant future EU-UK relationship be put in place as soon as possible, so that the UK could exercise its freedom to diverge from Union regulatory standards and embark upon its “Global Britain” trade policy; significant dislocation and disruption in existing trade and security relations, as well as the legal and economic segregation of Northern Ireland from the rest of the UK internal market, were prices worth paying to realise that objective.  The Political Declaration was therefore redrafted to dilute still further the ambition for future EU-UK relations</w:t>
      </w:r>
      <w:r w:rsidR="00B93C2C">
        <w:rPr>
          <w:rFonts w:ascii="Times New Roman" w:hAnsi="Times New Roman" w:cs="Times New Roman"/>
        </w:rPr>
        <w:t>;</w:t>
      </w:r>
      <w:r w:rsidR="00B93C2C">
        <w:rPr>
          <w:rStyle w:val="FootnoteReference"/>
          <w:rFonts w:ascii="Times New Roman" w:hAnsi="Times New Roman" w:cs="Times New Roman"/>
        </w:rPr>
        <w:footnoteReference w:id="340"/>
      </w:r>
      <w:r w:rsidR="001A414B" w:rsidRPr="004842AA">
        <w:rPr>
          <w:rFonts w:ascii="Times New Roman" w:hAnsi="Times New Roman" w:cs="Times New Roman"/>
        </w:rPr>
        <w:t xml:space="preserve"> and </w:t>
      </w:r>
      <w:r w:rsidR="001A414B" w:rsidRPr="004842AA">
        <w:rPr>
          <w:rFonts w:ascii="Times New Roman" w:hAnsi="Times New Roman" w:cs="Times New Roman"/>
        </w:rPr>
        <w:lastRenderedPageBreak/>
        <w:t>the Protocol on Ireland/Northern Ireland was revised to ensure that the Irish border problem did not stand in Johnson’s way.</w:t>
      </w:r>
      <w:r w:rsidR="001A414B" w:rsidRPr="004842AA">
        <w:rPr>
          <w:rStyle w:val="FootnoteReference"/>
          <w:rFonts w:ascii="Times New Roman" w:hAnsi="Times New Roman" w:cs="Times New Roman"/>
        </w:rPr>
        <w:footnoteReference w:id="341"/>
      </w:r>
      <w:r w:rsidR="001A414B" w:rsidRPr="004842AA">
        <w:rPr>
          <w:rFonts w:ascii="Times New Roman" w:hAnsi="Times New Roman" w:cs="Times New Roman"/>
        </w:rPr>
        <w:t xml:space="preserve">  </w:t>
      </w:r>
    </w:p>
    <w:p w14:paraId="0C7D600D" w14:textId="77777777" w:rsidR="00ED0000" w:rsidRPr="004842AA" w:rsidRDefault="00ED0000" w:rsidP="004842AA">
      <w:pPr>
        <w:jc w:val="both"/>
        <w:rPr>
          <w:rFonts w:ascii="Times New Roman" w:hAnsi="Times New Roman" w:cs="Times New Roman"/>
        </w:rPr>
      </w:pPr>
    </w:p>
    <w:p w14:paraId="27AF3B5A" w14:textId="59611220" w:rsidR="00801981" w:rsidRPr="004842AA" w:rsidRDefault="00801981" w:rsidP="004842AA">
      <w:pPr>
        <w:jc w:val="both"/>
        <w:rPr>
          <w:rFonts w:ascii="Times New Roman" w:hAnsi="Times New Roman" w:cs="Times New Roman"/>
          <w:i/>
        </w:rPr>
      </w:pPr>
      <w:r w:rsidRPr="004842AA">
        <w:rPr>
          <w:rFonts w:ascii="Times New Roman" w:hAnsi="Times New Roman" w:cs="Times New Roman"/>
          <w:i/>
        </w:rPr>
        <w:t xml:space="preserve">4.2. </w:t>
      </w:r>
      <w:r w:rsidRPr="004842AA">
        <w:rPr>
          <w:rFonts w:ascii="Times New Roman" w:hAnsi="Times New Roman" w:cs="Times New Roman"/>
          <w:i/>
        </w:rPr>
        <w:tab/>
        <w:t>Revised Political Declaration of October 2019</w:t>
      </w:r>
      <w:r w:rsidR="00847834" w:rsidRPr="004842AA">
        <w:rPr>
          <w:rFonts w:ascii="Times New Roman" w:hAnsi="Times New Roman" w:cs="Times New Roman"/>
          <w:i/>
        </w:rPr>
        <w:t>: key points</w:t>
      </w:r>
    </w:p>
    <w:p w14:paraId="20C15732" w14:textId="77777777" w:rsidR="00947667" w:rsidRPr="004842AA" w:rsidRDefault="00947667" w:rsidP="004842AA">
      <w:pPr>
        <w:jc w:val="both"/>
        <w:rPr>
          <w:rFonts w:ascii="Times New Roman" w:hAnsi="Times New Roman" w:cs="Times New Roman"/>
        </w:rPr>
      </w:pPr>
    </w:p>
    <w:p w14:paraId="0A77F98F" w14:textId="02E327BA" w:rsidR="005F3860" w:rsidRDefault="00AA180D" w:rsidP="004842AA">
      <w:pPr>
        <w:jc w:val="both"/>
        <w:rPr>
          <w:rFonts w:ascii="Times New Roman" w:hAnsi="Times New Roman" w:cs="Times New Roman"/>
        </w:rPr>
      </w:pPr>
      <w:r w:rsidRPr="004842AA">
        <w:rPr>
          <w:rFonts w:ascii="Times New Roman" w:hAnsi="Times New Roman" w:cs="Times New Roman"/>
        </w:rPr>
        <w:t xml:space="preserve">The Political Declaration states that the future EU-UK relationship will be based on a balance of rights and obligations, taking into account the </w:t>
      </w:r>
      <w:r w:rsidR="00AC7BCD">
        <w:rPr>
          <w:rFonts w:ascii="Times New Roman" w:hAnsi="Times New Roman" w:cs="Times New Roman"/>
        </w:rPr>
        <w:t>“</w:t>
      </w:r>
      <w:r w:rsidRPr="004842AA">
        <w:rPr>
          <w:rFonts w:ascii="Times New Roman" w:hAnsi="Times New Roman" w:cs="Times New Roman"/>
        </w:rPr>
        <w:t>principles</w:t>
      </w:r>
      <w:r w:rsidR="00AC7BCD">
        <w:rPr>
          <w:rFonts w:ascii="Times New Roman" w:hAnsi="Times New Roman" w:cs="Times New Roman"/>
        </w:rPr>
        <w:t>”</w:t>
      </w:r>
      <w:r w:rsidRPr="004842AA">
        <w:rPr>
          <w:rFonts w:ascii="Times New Roman" w:hAnsi="Times New Roman" w:cs="Times New Roman"/>
        </w:rPr>
        <w:t xml:space="preserve"> </w:t>
      </w:r>
      <w:r w:rsidR="00AC7BCD">
        <w:rPr>
          <w:rFonts w:ascii="Times New Roman" w:hAnsi="Times New Roman" w:cs="Times New Roman"/>
        </w:rPr>
        <w:t xml:space="preserve">expressed by </w:t>
      </w:r>
      <w:r w:rsidRPr="004842AA">
        <w:rPr>
          <w:rFonts w:ascii="Times New Roman" w:hAnsi="Times New Roman" w:cs="Times New Roman"/>
        </w:rPr>
        <w:t>each party: for the Union, protecting the autonomy of its own decision making</w:t>
      </w:r>
      <w:r w:rsidR="004E099B" w:rsidRPr="004842AA">
        <w:rPr>
          <w:rFonts w:ascii="Times New Roman" w:hAnsi="Times New Roman" w:cs="Times New Roman"/>
        </w:rPr>
        <w:t>,</w:t>
      </w:r>
      <w:r w:rsidRPr="004842AA">
        <w:rPr>
          <w:rFonts w:ascii="Times New Roman" w:hAnsi="Times New Roman" w:cs="Times New Roman"/>
        </w:rPr>
        <w:t xml:space="preserve"> respecting the integrity of the Single Market / Customs Union</w:t>
      </w:r>
      <w:r w:rsidR="004E099B" w:rsidRPr="004842AA">
        <w:rPr>
          <w:rFonts w:ascii="Times New Roman" w:hAnsi="Times New Roman" w:cs="Times New Roman"/>
        </w:rPr>
        <w:t xml:space="preserve"> and upholding the indivisibility of the four freedoms</w:t>
      </w:r>
      <w:r w:rsidRPr="004842AA">
        <w:rPr>
          <w:rFonts w:ascii="Times New Roman" w:hAnsi="Times New Roman" w:cs="Times New Roman"/>
        </w:rPr>
        <w:t>; for the UK, respecting its sovereignty, pr</w:t>
      </w:r>
      <w:r w:rsidR="004E099B" w:rsidRPr="004842AA">
        <w:rPr>
          <w:rFonts w:ascii="Times New Roman" w:hAnsi="Times New Roman" w:cs="Times New Roman"/>
        </w:rPr>
        <w:t>otecting</w:t>
      </w:r>
      <w:r w:rsidRPr="004842AA">
        <w:rPr>
          <w:rFonts w:ascii="Times New Roman" w:hAnsi="Times New Roman" w:cs="Times New Roman"/>
        </w:rPr>
        <w:t xml:space="preserve"> its </w:t>
      </w:r>
      <w:r w:rsidR="004E099B" w:rsidRPr="004842AA">
        <w:rPr>
          <w:rFonts w:ascii="Times New Roman" w:hAnsi="Times New Roman" w:cs="Times New Roman"/>
        </w:rPr>
        <w:t xml:space="preserve">own </w:t>
      </w:r>
      <w:r w:rsidRPr="004842AA">
        <w:rPr>
          <w:rFonts w:ascii="Times New Roman" w:hAnsi="Times New Roman" w:cs="Times New Roman"/>
        </w:rPr>
        <w:t xml:space="preserve">internal market, the development of </w:t>
      </w:r>
      <w:r w:rsidR="004E099B" w:rsidRPr="004842AA">
        <w:rPr>
          <w:rFonts w:ascii="Times New Roman" w:hAnsi="Times New Roman" w:cs="Times New Roman"/>
        </w:rPr>
        <w:t xml:space="preserve">an </w:t>
      </w:r>
      <w:r w:rsidRPr="004842AA">
        <w:rPr>
          <w:rFonts w:ascii="Times New Roman" w:hAnsi="Times New Roman" w:cs="Times New Roman"/>
        </w:rPr>
        <w:t xml:space="preserve">independent trade policy and ending </w:t>
      </w:r>
      <w:r w:rsidR="004E099B" w:rsidRPr="004842AA">
        <w:rPr>
          <w:rFonts w:ascii="Times New Roman" w:hAnsi="Times New Roman" w:cs="Times New Roman"/>
        </w:rPr>
        <w:t xml:space="preserve">the </w:t>
      </w:r>
      <w:r w:rsidRPr="004842AA">
        <w:rPr>
          <w:rFonts w:ascii="Times New Roman" w:hAnsi="Times New Roman" w:cs="Times New Roman"/>
        </w:rPr>
        <w:t>free movement of people.</w:t>
      </w:r>
      <w:r w:rsidR="004E099B" w:rsidRPr="004842AA">
        <w:rPr>
          <w:rFonts w:ascii="Times New Roman" w:hAnsi="Times New Roman" w:cs="Times New Roman"/>
        </w:rPr>
        <w:t xml:space="preserve">  The future relationship needs to take account of the unique context of EU-UK relations: while </w:t>
      </w:r>
      <w:r w:rsidRPr="004842AA">
        <w:rPr>
          <w:rFonts w:ascii="Times New Roman" w:hAnsi="Times New Roman" w:cs="Times New Roman"/>
        </w:rPr>
        <w:t xml:space="preserve">it cannot amount to the rights or obligations of </w:t>
      </w:r>
      <w:r w:rsidR="004E099B" w:rsidRPr="004842AA">
        <w:rPr>
          <w:rFonts w:ascii="Times New Roman" w:hAnsi="Times New Roman" w:cs="Times New Roman"/>
        </w:rPr>
        <w:t xml:space="preserve">Union </w:t>
      </w:r>
      <w:r w:rsidRPr="004842AA">
        <w:rPr>
          <w:rFonts w:ascii="Times New Roman" w:hAnsi="Times New Roman" w:cs="Times New Roman"/>
        </w:rPr>
        <w:t xml:space="preserve">membership, </w:t>
      </w:r>
      <w:r w:rsidR="004E099B" w:rsidRPr="004842AA">
        <w:rPr>
          <w:rFonts w:ascii="Times New Roman" w:hAnsi="Times New Roman" w:cs="Times New Roman"/>
        </w:rPr>
        <w:t xml:space="preserve">it </w:t>
      </w:r>
      <w:r w:rsidRPr="004842AA">
        <w:rPr>
          <w:rFonts w:ascii="Times New Roman" w:hAnsi="Times New Roman" w:cs="Times New Roman"/>
        </w:rPr>
        <w:t xml:space="preserve">should </w:t>
      </w:r>
      <w:r w:rsidR="004E099B" w:rsidRPr="004842AA">
        <w:rPr>
          <w:rFonts w:ascii="Times New Roman" w:hAnsi="Times New Roman" w:cs="Times New Roman"/>
        </w:rPr>
        <w:t xml:space="preserve">still </w:t>
      </w:r>
      <w:r w:rsidRPr="004842AA">
        <w:rPr>
          <w:rFonts w:ascii="Times New Roman" w:hAnsi="Times New Roman" w:cs="Times New Roman"/>
        </w:rPr>
        <w:t xml:space="preserve">be approached with high ambition </w:t>
      </w:r>
      <w:r w:rsidR="004E099B" w:rsidRPr="004842AA">
        <w:rPr>
          <w:rFonts w:ascii="Times New Roman" w:hAnsi="Times New Roman" w:cs="Times New Roman"/>
        </w:rPr>
        <w:t xml:space="preserve">as </w:t>
      </w:r>
      <w:r w:rsidRPr="004842AA">
        <w:rPr>
          <w:rFonts w:ascii="Times New Roman" w:hAnsi="Times New Roman" w:cs="Times New Roman"/>
        </w:rPr>
        <w:t>regard</w:t>
      </w:r>
      <w:r w:rsidR="004E099B" w:rsidRPr="004842AA">
        <w:rPr>
          <w:rFonts w:ascii="Times New Roman" w:hAnsi="Times New Roman" w:cs="Times New Roman"/>
        </w:rPr>
        <w:t>s</w:t>
      </w:r>
      <w:r w:rsidRPr="004842AA">
        <w:rPr>
          <w:rFonts w:ascii="Times New Roman" w:hAnsi="Times New Roman" w:cs="Times New Roman"/>
        </w:rPr>
        <w:t xml:space="preserve"> its scope and depth</w:t>
      </w:r>
      <w:r w:rsidR="004E099B" w:rsidRPr="004842AA">
        <w:rPr>
          <w:rFonts w:ascii="Times New Roman" w:hAnsi="Times New Roman" w:cs="Times New Roman"/>
        </w:rPr>
        <w:t xml:space="preserve">.  </w:t>
      </w:r>
    </w:p>
    <w:p w14:paraId="58A5B41B" w14:textId="77777777" w:rsidR="005F3860" w:rsidRDefault="004E099B" w:rsidP="005F3860">
      <w:pPr>
        <w:ind w:firstLine="720"/>
        <w:jc w:val="both"/>
        <w:rPr>
          <w:rFonts w:ascii="Times New Roman" w:hAnsi="Times New Roman" w:cs="Times New Roman"/>
        </w:rPr>
      </w:pPr>
      <w:r w:rsidRPr="004842AA">
        <w:rPr>
          <w:rFonts w:ascii="Times New Roman" w:hAnsi="Times New Roman" w:cs="Times New Roman"/>
        </w:rPr>
        <w:t xml:space="preserve">The future relationship should be underpinned by shared values – including the UK’s continued commitment to respect the ECHR.  Given the overall importance of data flows to the future relationship, the Commission will assess the UK’s data protection standards with a view to adopting an adequacy decision (in accordance with existing Union law) before 2021.  The UK will do the same under its own regulatory framework.  </w:t>
      </w:r>
      <w:r w:rsidR="008E0988" w:rsidRPr="004842AA">
        <w:rPr>
          <w:rFonts w:ascii="Times New Roman" w:hAnsi="Times New Roman" w:cs="Times New Roman"/>
        </w:rPr>
        <w:t xml:space="preserve">The parties will also establish general terms and conditions for UK participation (in accordance with applicable Union legislation) in a range of Union programmes; as well as working together on other joint initiatives such as renewed funding for peace and reconciliation in Northern Ireland; and exploring other options such as the UK’s future relationship with the European Investment Bank Group.   </w:t>
      </w:r>
    </w:p>
    <w:p w14:paraId="156EC756" w14:textId="3EFD0921" w:rsidR="00C6248B" w:rsidRDefault="008E0988" w:rsidP="005F3860">
      <w:pPr>
        <w:ind w:firstLine="720"/>
        <w:jc w:val="both"/>
        <w:rPr>
          <w:rFonts w:ascii="Times New Roman" w:hAnsi="Times New Roman" w:cs="Times New Roman"/>
        </w:rPr>
      </w:pPr>
      <w:r w:rsidRPr="004842AA">
        <w:rPr>
          <w:rFonts w:ascii="Times New Roman" w:hAnsi="Times New Roman" w:cs="Times New Roman"/>
        </w:rPr>
        <w:t>However, the bulk of the Political Declaration is dedicated to two main topics.  In the first place, an economic partnership between the Union and the UK – based on a Free Trade Agreement and wider sectoral cooperation.  Space precludes us from doing more than highlighting a few key points.  In the field of goods, the parties will form separate customs and regulatory territories</w:t>
      </w:r>
      <w:r w:rsidR="00BE7D68" w:rsidRPr="004842AA">
        <w:rPr>
          <w:rFonts w:ascii="Times New Roman" w:hAnsi="Times New Roman" w:cs="Times New Roman"/>
        </w:rPr>
        <w:t>,</w:t>
      </w:r>
      <w:r w:rsidRPr="004842AA">
        <w:rPr>
          <w:rFonts w:ascii="Times New Roman" w:hAnsi="Times New Roman" w:cs="Times New Roman"/>
        </w:rPr>
        <w:t xml:space="preserve"> but will aim for no tariffs or quantitative restrictions across all sectors</w:t>
      </w:r>
      <w:r w:rsidR="00BE7D68" w:rsidRPr="004842AA">
        <w:rPr>
          <w:rFonts w:ascii="Times New Roman" w:hAnsi="Times New Roman" w:cs="Times New Roman"/>
        </w:rPr>
        <w:t>, and to engage in customs and regulatory cooperation with a view to minimising trade barriers</w:t>
      </w:r>
      <w:r w:rsidRPr="004842AA">
        <w:rPr>
          <w:rFonts w:ascii="Times New Roman" w:hAnsi="Times New Roman" w:cs="Times New Roman"/>
        </w:rPr>
        <w:t>.</w:t>
      </w:r>
      <w:r w:rsidR="00BE7D68" w:rsidRPr="004842AA">
        <w:rPr>
          <w:rFonts w:ascii="Times New Roman" w:hAnsi="Times New Roman" w:cs="Times New Roman"/>
        </w:rPr>
        <w:t xml:space="preserve">  As regards services, the parties will negotiate provisions on market access and national treatment under host state rules, together with arrangements on the temporary entry </w:t>
      </w:r>
      <w:r w:rsidR="009D60BE">
        <w:rPr>
          <w:rFonts w:ascii="Times New Roman" w:hAnsi="Times New Roman" w:cs="Times New Roman"/>
        </w:rPr>
        <w:t>/</w:t>
      </w:r>
      <w:r w:rsidR="00BE7D68" w:rsidRPr="004842AA">
        <w:rPr>
          <w:rFonts w:ascii="Times New Roman" w:hAnsi="Times New Roman" w:cs="Times New Roman"/>
        </w:rPr>
        <w:t xml:space="preserve"> stay of natural persons for business purposes, and possibly also rules to govern </w:t>
      </w:r>
      <w:r w:rsidR="00DC41E9">
        <w:rPr>
          <w:rFonts w:ascii="Times New Roman" w:hAnsi="Times New Roman" w:cs="Times New Roman"/>
        </w:rPr>
        <w:t xml:space="preserve">the mutual recognition of </w:t>
      </w:r>
      <w:r w:rsidR="00BE7D68" w:rsidRPr="004842AA">
        <w:rPr>
          <w:rFonts w:ascii="Times New Roman" w:hAnsi="Times New Roman" w:cs="Times New Roman"/>
        </w:rPr>
        <w:t xml:space="preserve">certain professional qualifications.  </w:t>
      </w:r>
      <w:r w:rsidR="00E46918" w:rsidRPr="004842AA">
        <w:rPr>
          <w:rFonts w:ascii="Times New Roman" w:hAnsi="Times New Roman" w:cs="Times New Roman"/>
        </w:rPr>
        <w:t xml:space="preserve">When it comes to </w:t>
      </w:r>
      <w:r w:rsidR="00BE7D68" w:rsidRPr="004842AA">
        <w:rPr>
          <w:rFonts w:ascii="Times New Roman" w:hAnsi="Times New Roman" w:cs="Times New Roman"/>
        </w:rPr>
        <w:t xml:space="preserve">financial services in particular, </w:t>
      </w:r>
      <w:r w:rsidR="00E46918" w:rsidRPr="004842AA">
        <w:rPr>
          <w:rFonts w:ascii="Times New Roman" w:hAnsi="Times New Roman" w:cs="Times New Roman"/>
        </w:rPr>
        <w:t xml:space="preserve">the Union will assess the </w:t>
      </w:r>
      <w:r w:rsidR="003A1D6E">
        <w:rPr>
          <w:rFonts w:ascii="Times New Roman" w:hAnsi="Times New Roman" w:cs="Times New Roman"/>
        </w:rPr>
        <w:t xml:space="preserve">relevant </w:t>
      </w:r>
      <w:r w:rsidR="00E46918" w:rsidRPr="004842AA">
        <w:rPr>
          <w:rFonts w:ascii="Times New Roman" w:hAnsi="Times New Roman" w:cs="Times New Roman"/>
        </w:rPr>
        <w:t xml:space="preserve">UK regimes with a view to adopting equivalency decisions (in accordance with </w:t>
      </w:r>
      <w:r w:rsidR="003A1D6E">
        <w:rPr>
          <w:rFonts w:ascii="Times New Roman" w:hAnsi="Times New Roman" w:cs="Times New Roman"/>
        </w:rPr>
        <w:t xml:space="preserve">existing </w:t>
      </w:r>
      <w:r w:rsidR="00E46918" w:rsidRPr="004842AA">
        <w:rPr>
          <w:rFonts w:ascii="Times New Roman" w:hAnsi="Times New Roman" w:cs="Times New Roman"/>
        </w:rPr>
        <w:t xml:space="preserve">Union </w:t>
      </w:r>
      <w:r w:rsidR="003A1D6E">
        <w:rPr>
          <w:rFonts w:ascii="Times New Roman" w:hAnsi="Times New Roman" w:cs="Times New Roman"/>
        </w:rPr>
        <w:t>law</w:t>
      </w:r>
      <w:r w:rsidR="00E46918" w:rsidRPr="004842AA">
        <w:rPr>
          <w:rFonts w:ascii="Times New Roman" w:hAnsi="Times New Roman" w:cs="Times New Roman"/>
        </w:rPr>
        <w:t xml:space="preserve">) before July 2020.  The UK will do the same under its own regulatory framework.  </w:t>
      </w:r>
    </w:p>
    <w:p w14:paraId="69173E73" w14:textId="4673366C" w:rsidR="005F3860" w:rsidRDefault="00E46918" w:rsidP="005F3860">
      <w:pPr>
        <w:ind w:firstLine="720"/>
        <w:jc w:val="both"/>
        <w:rPr>
          <w:rFonts w:ascii="Times New Roman" w:hAnsi="Times New Roman" w:cs="Times New Roman"/>
        </w:rPr>
      </w:pPr>
      <w:r w:rsidRPr="004842AA">
        <w:rPr>
          <w:rFonts w:ascii="Times New Roman" w:hAnsi="Times New Roman" w:cs="Times New Roman"/>
        </w:rPr>
        <w:t>There are also more detailed provisions for other specific sectors, for example: digital, intellectual property, public procurement, transport</w:t>
      </w:r>
      <w:r w:rsidR="001E322E" w:rsidRPr="004842AA">
        <w:rPr>
          <w:rFonts w:ascii="Times New Roman" w:hAnsi="Times New Roman" w:cs="Times New Roman"/>
        </w:rPr>
        <w:t>,</w:t>
      </w:r>
      <w:r w:rsidRPr="004842AA">
        <w:rPr>
          <w:rFonts w:ascii="Times New Roman" w:hAnsi="Times New Roman" w:cs="Times New Roman"/>
        </w:rPr>
        <w:t xml:space="preserve"> energy</w:t>
      </w:r>
      <w:r w:rsidR="003A1D6E">
        <w:rPr>
          <w:rFonts w:ascii="Times New Roman" w:hAnsi="Times New Roman" w:cs="Times New Roman"/>
        </w:rPr>
        <w:t xml:space="preserve"> and</w:t>
      </w:r>
      <w:r w:rsidR="001E322E" w:rsidRPr="004842AA">
        <w:rPr>
          <w:rFonts w:ascii="Times New Roman" w:hAnsi="Times New Roman" w:cs="Times New Roman"/>
        </w:rPr>
        <w:t xml:space="preserve"> global cooperation in fields such as environmental protection and financial stability</w:t>
      </w:r>
      <w:r w:rsidRPr="004842AA">
        <w:rPr>
          <w:rFonts w:ascii="Times New Roman" w:hAnsi="Times New Roman" w:cs="Times New Roman"/>
        </w:rPr>
        <w:t xml:space="preserve">.  Several </w:t>
      </w:r>
      <w:r w:rsidR="001E322E" w:rsidRPr="004842AA">
        <w:rPr>
          <w:rFonts w:ascii="Times New Roman" w:hAnsi="Times New Roman" w:cs="Times New Roman"/>
        </w:rPr>
        <w:t xml:space="preserve">sections </w:t>
      </w:r>
      <w:r w:rsidRPr="004842AA">
        <w:rPr>
          <w:rFonts w:ascii="Times New Roman" w:hAnsi="Times New Roman" w:cs="Times New Roman"/>
        </w:rPr>
        <w:t xml:space="preserve">are of particular note.  For </w:t>
      </w:r>
      <w:r w:rsidR="003A1D6E">
        <w:rPr>
          <w:rFonts w:ascii="Times New Roman" w:hAnsi="Times New Roman" w:cs="Times New Roman"/>
        </w:rPr>
        <w:t>instance</w:t>
      </w:r>
      <w:r w:rsidRPr="004842AA">
        <w:rPr>
          <w:rFonts w:ascii="Times New Roman" w:hAnsi="Times New Roman" w:cs="Times New Roman"/>
        </w:rPr>
        <w:t xml:space="preserve">, the Political Declaration reflects the UK’s low future </w:t>
      </w:r>
      <w:r w:rsidR="001E322E" w:rsidRPr="004842AA">
        <w:rPr>
          <w:rFonts w:ascii="Times New Roman" w:hAnsi="Times New Roman" w:cs="Times New Roman"/>
        </w:rPr>
        <w:t xml:space="preserve">tolerance for the </w:t>
      </w:r>
      <w:r w:rsidRPr="004842AA">
        <w:rPr>
          <w:rFonts w:ascii="Times New Roman" w:hAnsi="Times New Roman" w:cs="Times New Roman"/>
        </w:rPr>
        <w:t xml:space="preserve">mobility of people (other than with Ireland): </w:t>
      </w:r>
      <w:r w:rsidR="001E322E" w:rsidRPr="004842AA">
        <w:rPr>
          <w:rFonts w:ascii="Times New Roman" w:hAnsi="Times New Roman" w:cs="Times New Roman"/>
        </w:rPr>
        <w:t xml:space="preserve">the parties should </w:t>
      </w:r>
      <w:r w:rsidR="00DC41E9">
        <w:rPr>
          <w:rFonts w:ascii="Times New Roman" w:hAnsi="Times New Roman" w:cs="Times New Roman"/>
        </w:rPr>
        <w:t xml:space="preserve">simply </w:t>
      </w:r>
      <w:r w:rsidR="001E322E" w:rsidRPr="004842AA">
        <w:rPr>
          <w:rFonts w:ascii="Times New Roman" w:hAnsi="Times New Roman" w:cs="Times New Roman"/>
        </w:rPr>
        <w:t xml:space="preserve">aim for </w:t>
      </w:r>
      <w:r w:rsidRPr="004842AA">
        <w:rPr>
          <w:rFonts w:ascii="Times New Roman" w:hAnsi="Times New Roman" w:cs="Times New Roman"/>
        </w:rPr>
        <w:t xml:space="preserve">reciprocal visa-free travel for short-term visits, possibly also arrangements </w:t>
      </w:r>
      <w:r w:rsidR="001E322E" w:rsidRPr="004842AA">
        <w:rPr>
          <w:rFonts w:ascii="Times New Roman" w:hAnsi="Times New Roman" w:cs="Times New Roman"/>
        </w:rPr>
        <w:t xml:space="preserve">on entry </w:t>
      </w:r>
      <w:r w:rsidR="003A1D6E">
        <w:rPr>
          <w:rFonts w:ascii="Times New Roman" w:hAnsi="Times New Roman" w:cs="Times New Roman"/>
        </w:rPr>
        <w:t>/</w:t>
      </w:r>
      <w:r w:rsidR="001E322E" w:rsidRPr="004842AA">
        <w:rPr>
          <w:rFonts w:ascii="Times New Roman" w:hAnsi="Times New Roman" w:cs="Times New Roman"/>
        </w:rPr>
        <w:t xml:space="preserve"> stays for </w:t>
      </w:r>
      <w:r w:rsidRPr="004842AA">
        <w:rPr>
          <w:rFonts w:ascii="Times New Roman" w:hAnsi="Times New Roman" w:cs="Times New Roman"/>
        </w:rPr>
        <w:t>research and study, maybe some cross-border social security coordination and judicial cooperation in family law.</w:t>
      </w:r>
      <w:r w:rsidR="001E322E" w:rsidRPr="004842AA">
        <w:rPr>
          <w:rFonts w:ascii="Times New Roman" w:hAnsi="Times New Roman" w:cs="Times New Roman"/>
        </w:rPr>
        <w:t xml:space="preserve">  Another example concerns </w:t>
      </w:r>
      <w:r w:rsidR="001E322E" w:rsidRPr="004842AA">
        <w:rPr>
          <w:rFonts w:ascii="Times New Roman" w:hAnsi="Times New Roman" w:cs="Times New Roman"/>
        </w:rPr>
        <w:lastRenderedPageBreak/>
        <w:t>fisheries: the parties will cooperate in bilateral and international fora to ensure sustainable fishing and protect the marine environment, including the management of shared stocks; together with a new agreement covering access to waters and quota shares – using best endeavours to reach such an agreement by July 2020, so it can provide the basis for determining fishing opportunities after expiry of the transi</w:t>
      </w:r>
      <w:r w:rsidR="006861A1">
        <w:rPr>
          <w:rFonts w:ascii="Times New Roman" w:hAnsi="Times New Roman" w:cs="Times New Roman"/>
        </w:rPr>
        <w:t>tion</w:t>
      </w:r>
      <w:r w:rsidR="001E322E" w:rsidRPr="004842AA">
        <w:rPr>
          <w:rFonts w:ascii="Times New Roman" w:hAnsi="Times New Roman" w:cs="Times New Roman"/>
        </w:rPr>
        <w:t xml:space="preserve"> period.  </w:t>
      </w:r>
      <w:r w:rsidRPr="004842AA">
        <w:rPr>
          <w:rFonts w:ascii="Times New Roman" w:hAnsi="Times New Roman" w:cs="Times New Roman"/>
        </w:rPr>
        <w:t xml:space="preserve">  </w:t>
      </w:r>
    </w:p>
    <w:p w14:paraId="27670E11" w14:textId="4690F21A" w:rsidR="005F3860" w:rsidRDefault="001E322E" w:rsidP="005F3860">
      <w:pPr>
        <w:ind w:firstLine="720"/>
        <w:jc w:val="both"/>
        <w:rPr>
          <w:rFonts w:ascii="Times New Roman" w:hAnsi="Times New Roman" w:cs="Times New Roman"/>
        </w:rPr>
      </w:pPr>
      <w:r w:rsidRPr="004842AA">
        <w:rPr>
          <w:rFonts w:ascii="Times New Roman" w:hAnsi="Times New Roman" w:cs="Times New Roman"/>
        </w:rPr>
        <w:t>Central to the economic partnership provisions of the Political Declaration is the section on a level playing field.  The original version agreed by the May Government provided that</w:t>
      </w:r>
      <w:r w:rsidR="00F65FBF" w:rsidRPr="004842AA">
        <w:rPr>
          <w:rFonts w:ascii="Times New Roman" w:hAnsi="Times New Roman" w:cs="Times New Roman"/>
        </w:rPr>
        <w:t xml:space="preserve"> </w:t>
      </w:r>
      <w:r w:rsidR="00F65FBF" w:rsidRPr="004842AA">
        <w:rPr>
          <w:rFonts w:ascii="Times New Roman" w:eastAsia="Times New Roman" w:hAnsi="Times New Roman" w:cs="Times New Roman"/>
          <w:shd w:val="clear" w:color="auto" w:fill="FFFFFF"/>
        </w:rPr>
        <w:t xml:space="preserve">the future relationship should include provisions on state aid, competition, employment and environmental standards and relevant tax matters – </w:t>
      </w:r>
      <w:r w:rsidR="00025B9A" w:rsidRPr="004842AA">
        <w:rPr>
          <w:rFonts w:ascii="Times New Roman" w:eastAsia="Times New Roman" w:hAnsi="Times New Roman" w:cs="Times New Roman"/>
          <w:shd w:val="clear" w:color="auto" w:fill="FFFFFF"/>
        </w:rPr>
        <w:t>but</w:t>
      </w:r>
      <w:r w:rsidR="00F65FBF" w:rsidRPr="004842AA">
        <w:rPr>
          <w:rFonts w:ascii="Times New Roman" w:eastAsia="Times New Roman" w:hAnsi="Times New Roman" w:cs="Times New Roman"/>
          <w:shd w:val="clear" w:color="auto" w:fill="FFFFFF"/>
        </w:rPr>
        <w:t xml:space="preserve"> building on the corresponding arrangements provided for in the Agreement, </w:t>
      </w:r>
      <w:r w:rsidR="00025B9A" w:rsidRPr="004842AA">
        <w:rPr>
          <w:rFonts w:ascii="Times New Roman" w:eastAsia="Times New Roman" w:hAnsi="Times New Roman" w:cs="Times New Roman"/>
          <w:shd w:val="clear" w:color="auto" w:fill="FFFFFF"/>
        </w:rPr>
        <w:t>in particular,</w:t>
      </w:r>
      <w:r w:rsidR="00F65FBF" w:rsidRPr="004842AA">
        <w:rPr>
          <w:rFonts w:ascii="Times New Roman" w:eastAsia="Times New Roman" w:hAnsi="Times New Roman" w:cs="Times New Roman"/>
          <w:shd w:val="clear" w:color="auto" w:fill="FFFFFF"/>
        </w:rPr>
        <w:t xml:space="preserve"> the </w:t>
      </w:r>
      <w:r w:rsidR="00025B9A" w:rsidRPr="004842AA">
        <w:rPr>
          <w:rFonts w:ascii="Times New Roman" w:eastAsia="Times New Roman" w:hAnsi="Times New Roman" w:cs="Times New Roman"/>
          <w:shd w:val="clear" w:color="auto" w:fill="FFFFFF"/>
        </w:rPr>
        <w:t xml:space="preserve">alignment </w:t>
      </w:r>
      <w:r w:rsidR="00F65FBF" w:rsidRPr="004842AA">
        <w:rPr>
          <w:rFonts w:ascii="Times New Roman" w:eastAsia="Times New Roman" w:hAnsi="Times New Roman" w:cs="Times New Roman"/>
          <w:shd w:val="clear" w:color="auto" w:fill="FFFFFF"/>
        </w:rPr>
        <w:t>obligation</w:t>
      </w:r>
      <w:r w:rsidR="00025B9A" w:rsidRPr="004842AA">
        <w:rPr>
          <w:rFonts w:ascii="Times New Roman" w:eastAsia="Times New Roman" w:hAnsi="Times New Roman" w:cs="Times New Roman"/>
          <w:shd w:val="clear" w:color="auto" w:fill="FFFFFF"/>
        </w:rPr>
        <w:t>s</w:t>
      </w:r>
      <w:r w:rsidR="00F65FBF" w:rsidRPr="004842AA">
        <w:rPr>
          <w:rFonts w:ascii="Times New Roman" w:eastAsia="Times New Roman" w:hAnsi="Times New Roman" w:cs="Times New Roman"/>
          <w:shd w:val="clear" w:color="auto" w:fill="FFFFFF"/>
        </w:rPr>
        <w:t xml:space="preserve"> contained in the </w:t>
      </w:r>
      <w:r w:rsidR="00025B9A" w:rsidRPr="004842AA">
        <w:rPr>
          <w:rFonts w:ascii="Times New Roman" w:eastAsia="Times New Roman" w:hAnsi="Times New Roman" w:cs="Times New Roman"/>
          <w:shd w:val="clear" w:color="auto" w:fill="FFFFFF"/>
        </w:rPr>
        <w:t xml:space="preserve">UK-wide </w:t>
      </w:r>
      <w:r w:rsidR="00F65FBF" w:rsidRPr="004842AA">
        <w:rPr>
          <w:rFonts w:ascii="Times New Roman" w:eastAsia="Times New Roman" w:hAnsi="Times New Roman" w:cs="Times New Roman"/>
          <w:shd w:val="clear" w:color="auto" w:fill="FFFFFF"/>
        </w:rPr>
        <w:t>“Irish backstop”.</w:t>
      </w:r>
      <w:r w:rsidR="00F65FBF" w:rsidRPr="004842AA">
        <w:rPr>
          <w:rStyle w:val="FootnoteReference"/>
          <w:rFonts w:ascii="Times New Roman" w:eastAsia="Times New Roman" w:hAnsi="Times New Roman" w:cs="Times New Roman"/>
          <w:shd w:val="clear" w:color="auto" w:fill="FFFFFF"/>
        </w:rPr>
        <w:footnoteReference w:id="342"/>
      </w:r>
      <w:r w:rsidR="00F65FBF" w:rsidRPr="004842AA">
        <w:rPr>
          <w:rFonts w:ascii="Times New Roman" w:eastAsia="Times New Roman" w:hAnsi="Times New Roman" w:cs="Times New Roman"/>
          <w:shd w:val="clear" w:color="auto" w:fill="FFFFFF"/>
        </w:rPr>
        <w:t xml:space="preserve">  However, the revised Political Declaration now states that the future relationship should encompass robust commitments to prevent distortions of trade and unfair competitive advantages – to which end, the parties should uphold the common </w:t>
      </w:r>
      <w:r w:rsidR="003A1D6E">
        <w:rPr>
          <w:rFonts w:ascii="Times New Roman" w:eastAsia="Times New Roman" w:hAnsi="Times New Roman" w:cs="Times New Roman"/>
          <w:shd w:val="clear" w:color="auto" w:fill="FFFFFF"/>
        </w:rPr>
        <w:t xml:space="preserve">high </w:t>
      </w:r>
      <w:r w:rsidR="00F65FBF" w:rsidRPr="004842AA">
        <w:rPr>
          <w:rFonts w:ascii="Times New Roman" w:eastAsia="Times New Roman" w:hAnsi="Times New Roman" w:cs="Times New Roman"/>
          <w:shd w:val="clear" w:color="auto" w:fill="FFFFFF"/>
        </w:rPr>
        <w:t xml:space="preserve">standards applicable </w:t>
      </w:r>
      <w:r w:rsidR="006861A1">
        <w:rPr>
          <w:rFonts w:ascii="Times New Roman" w:eastAsia="Times New Roman" w:hAnsi="Times New Roman" w:cs="Times New Roman"/>
          <w:shd w:val="clear" w:color="auto" w:fill="FFFFFF"/>
        </w:rPr>
        <w:t>at the end of transition</w:t>
      </w:r>
      <w:r w:rsidR="00F65FBF" w:rsidRPr="004842AA">
        <w:rPr>
          <w:rFonts w:ascii="Times New Roman" w:eastAsia="Times New Roman" w:hAnsi="Times New Roman" w:cs="Times New Roman"/>
          <w:shd w:val="clear" w:color="auto" w:fill="FFFFFF"/>
        </w:rPr>
        <w:t xml:space="preserve"> in the areas of state aid, competition, employment and environmental standards and relevant tax matters</w:t>
      </w:r>
      <w:r w:rsidR="003A1D6E">
        <w:rPr>
          <w:rFonts w:ascii="Times New Roman" w:eastAsia="Times New Roman" w:hAnsi="Times New Roman" w:cs="Times New Roman"/>
          <w:shd w:val="clear" w:color="auto" w:fill="FFFFFF"/>
        </w:rPr>
        <w:t xml:space="preserve"> – a </w:t>
      </w:r>
      <w:r w:rsidR="00025B9A" w:rsidRPr="004842AA">
        <w:rPr>
          <w:rFonts w:ascii="Times New Roman" w:eastAsia="Times New Roman" w:hAnsi="Times New Roman" w:cs="Times New Roman"/>
          <w:shd w:val="clear" w:color="auto" w:fill="FFFFFF"/>
        </w:rPr>
        <w:t xml:space="preserve">less onerous </w:t>
      </w:r>
      <w:r w:rsidR="003A1D6E">
        <w:rPr>
          <w:rFonts w:ascii="Times New Roman" w:eastAsia="Times New Roman" w:hAnsi="Times New Roman" w:cs="Times New Roman"/>
          <w:shd w:val="clear" w:color="auto" w:fill="FFFFFF"/>
        </w:rPr>
        <w:t>though</w:t>
      </w:r>
      <w:r w:rsidR="00025B9A" w:rsidRPr="004842AA">
        <w:rPr>
          <w:rFonts w:ascii="Times New Roman" w:eastAsia="Times New Roman" w:hAnsi="Times New Roman" w:cs="Times New Roman"/>
          <w:shd w:val="clear" w:color="auto" w:fill="FFFFFF"/>
        </w:rPr>
        <w:t xml:space="preserve"> still important non-regression commitment</w:t>
      </w:r>
      <w:r w:rsidR="00F65FBF" w:rsidRPr="004842AA">
        <w:rPr>
          <w:rFonts w:ascii="Times New Roman" w:eastAsia="Times New Roman" w:hAnsi="Times New Roman" w:cs="Times New Roman"/>
          <w:shd w:val="clear" w:color="auto" w:fill="FFFFFF"/>
        </w:rPr>
        <w:t>.</w:t>
      </w:r>
      <w:r w:rsidR="00025B9A" w:rsidRPr="004842AA">
        <w:rPr>
          <w:rStyle w:val="FootnoteReference"/>
          <w:rFonts w:ascii="Times New Roman" w:eastAsia="Times New Roman" w:hAnsi="Times New Roman" w:cs="Times New Roman"/>
          <w:shd w:val="clear" w:color="auto" w:fill="FFFFFF"/>
        </w:rPr>
        <w:footnoteReference w:id="343"/>
      </w:r>
      <w:r w:rsidR="00F65FBF" w:rsidRPr="004842AA">
        <w:rPr>
          <w:rFonts w:ascii="Times New Roman" w:eastAsia="Times New Roman" w:hAnsi="Times New Roman" w:cs="Times New Roman"/>
          <w:shd w:val="clear" w:color="auto" w:fill="FFFFFF"/>
        </w:rPr>
        <w:t xml:space="preserve"> </w:t>
      </w:r>
    </w:p>
    <w:p w14:paraId="7E24C796" w14:textId="644BAC6E" w:rsidR="005F3860" w:rsidRDefault="00025B9A" w:rsidP="005F3860">
      <w:pPr>
        <w:ind w:firstLine="720"/>
        <w:jc w:val="both"/>
        <w:rPr>
          <w:rFonts w:ascii="Times New Roman" w:hAnsi="Times New Roman" w:cs="Times New Roman"/>
        </w:rPr>
      </w:pPr>
      <w:r w:rsidRPr="004842AA">
        <w:rPr>
          <w:rFonts w:ascii="Times New Roman" w:hAnsi="Times New Roman" w:cs="Times New Roman"/>
          <w:lang w:val="en-US"/>
        </w:rPr>
        <w:t>In the second place, the P</w:t>
      </w:r>
      <w:r w:rsidR="008E0988" w:rsidRPr="004842AA">
        <w:rPr>
          <w:rFonts w:ascii="Times New Roman" w:hAnsi="Times New Roman" w:cs="Times New Roman"/>
          <w:lang w:val="en-US"/>
        </w:rPr>
        <w:t xml:space="preserve">olitical Declaration </w:t>
      </w:r>
      <w:r w:rsidRPr="004842AA">
        <w:rPr>
          <w:rFonts w:ascii="Times New Roman" w:hAnsi="Times New Roman" w:cs="Times New Roman"/>
          <w:lang w:val="en-US"/>
        </w:rPr>
        <w:t xml:space="preserve">also </w:t>
      </w:r>
      <w:r w:rsidR="008E0988" w:rsidRPr="004842AA">
        <w:rPr>
          <w:rFonts w:ascii="Times New Roman" w:hAnsi="Times New Roman" w:cs="Times New Roman"/>
          <w:lang w:val="en-US"/>
        </w:rPr>
        <w:t xml:space="preserve">devotes considerable attention to a security partnership between the Union and the UK.  </w:t>
      </w:r>
      <w:r w:rsidR="00BE7D68" w:rsidRPr="004842AA">
        <w:rPr>
          <w:rFonts w:ascii="Times New Roman" w:hAnsi="Times New Roman" w:cs="Times New Roman"/>
          <w:lang w:val="en-US"/>
        </w:rPr>
        <w:t xml:space="preserve">Again, </w:t>
      </w:r>
      <w:r w:rsidR="00BE7D68" w:rsidRPr="004842AA">
        <w:rPr>
          <w:rFonts w:ascii="Times New Roman" w:hAnsi="Times New Roman" w:cs="Times New Roman"/>
        </w:rPr>
        <w:t xml:space="preserve">space precludes us from doing more than highlighting a few key points.  </w:t>
      </w:r>
      <w:r w:rsidRPr="004842AA">
        <w:rPr>
          <w:rFonts w:ascii="Times New Roman" w:hAnsi="Times New Roman" w:cs="Times New Roman"/>
        </w:rPr>
        <w:t>As regards EU-UK cooperation in criminal matters, the parties desire a comprehensive, close, balanced and reciprocal system of cooperation – but reflecting the commitments the UK is willing to make as regards (for example) regulatory alignment, dispute settlement and enforcement; and taking into account the fact that the UK will be a non-Schengen third country that does not provide for the free movement of persons.  On that basis, the security partnership will address</w:t>
      </w:r>
      <w:r w:rsidR="00AD2ADD" w:rsidRPr="004842AA">
        <w:rPr>
          <w:rFonts w:ascii="Times New Roman" w:hAnsi="Times New Roman" w:cs="Times New Roman"/>
        </w:rPr>
        <w:t>:</w:t>
      </w:r>
      <w:r w:rsidRPr="004842AA">
        <w:rPr>
          <w:rFonts w:ascii="Times New Roman" w:hAnsi="Times New Roman" w:cs="Times New Roman"/>
        </w:rPr>
        <w:t xml:space="preserve"> EU-UK data exchanges</w:t>
      </w:r>
      <w:r w:rsidR="00AD2ADD" w:rsidRPr="004842AA">
        <w:rPr>
          <w:rFonts w:ascii="Times New Roman" w:hAnsi="Times New Roman" w:cs="Times New Roman"/>
        </w:rPr>
        <w:t>,</w:t>
      </w:r>
      <w:r w:rsidRPr="004842AA">
        <w:rPr>
          <w:rFonts w:ascii="Times New Roman" w:hAnsi="Times New Roman" w:cs="Times New Roman"/>
        </w:rPr>
        <w:t xml:space="preserve"> </w:t>
      </w:r>
      <w:r w:rsidR="00AD2ADD" w:rsidRPr="004842AA">
        <w:rPr>
          <w:rFonts w:ascii="Times New Roman" w:hAnsi="Times New Roman" w:cs="Times New Roman"/>
        </w:rPr>
        <w:t xml:space="preserve">including in fields such as passenger name records and the </w:t>
      </w:r>
      <w:proofErr w:type="spellStart"/>
      <w:r w:rsidR="00AD2ADD" w:rsidRPr="004842AA">
        <w:rPr>
          <w:rFonts w:ascii="Times New Roman" w:hAnsi="Times New Roman" w:cs="Times New Roman"/>
        </w:rPr>
        <w:t>Prüm</w:t>
      </w:r>
      <w:proofErr w:type="spellEnd"/>
      <w:r w:rsidR="00AD2ADD" w:rsidRPr="004842AA">
        <w:rPr>
          <w:rFonts w:ascii="Times New Roman" w:hAnsi="Times New Roman" w:cs="Times New Roman"/>
        </w:rPr>
        <w:t xml:space="preserve"> system; operational cooperation between law enforcement authorities and cross-border judicial cooperation in criminal matters; and cooperation as regards money-laundering and terrorist financing.  The Political Declaration also describes the parties’ aspirations in the fields of foreign policy, security and defence: flexible and scalable cooperation</w:t>
      </w:r>
      <w:proofErr w:type="gramStart"/>
      <w:r w:rsidR="00AD2ADD" w:rsidRPr="004842AA">
        <w:rPr>
          <w:rFonts w:ascii="Times New Roman" w:hAnsi="Times New Roman" w:cs="Times New Roman"/>
        </w:rPr>
        <w:t>;</w:t>
      </w:r>
      <w:proofErr w:type="gramEnd"/>
      <w:r w:rsidR="00AD2ADD" w:rsidRPr="004842AA">
        <w:rPr>
          <w:rFonts w:ascii="Times New Roman" w:hAnsi="Times New Roman" w:cs="Times New Roman"/>
        </w:rPr>
        <w:t xml:space="preserve"> including appropriate mechanisms for dialogue, consulta</w:t>
      </w:r>
      <w:r w:rsidR="003A1D6E">
        <w:rPr>
          <w:rFonts w:ascii="Times New Roman" w:hAnsi="Times New Roman" w:cs="Times New Roman"/>
        </w:rPr>
        <w:t xml:space="preserve">tion and </w:t>
      </w:r>
      <w:r w:rsidR="00AD2ADD" w:rsidRPr="004842AA">
        <w:rPr>
          <w:rFonts w:ascii="Times New Roman" w:hAnsi="Times New Roman" w:cs="Times New Roman"/>
        </w:rPr>
        <w:t>coordination</w:t>
      </w:r>
      <w:r w:rsidR="00A7654F" w:rsidRPr="004842AA">
        <w:rPr>
          <w:rFonts w:ascii="Times New Roman" w:hAnsi="Times New Roman" w:cs="Times New Roman"/>
        </w:rPr>
        <w:t>.  P</w:t>
      </w:r>
      <w:r w:rsidR="00AD2ADD" w:rsidRPr="004842AA">
        <w:rPr>
          <w:rFonts w:ascii="Times New Roman" w:hAnsi="Times New Roman" w:cs="Times New Roman"/>
        </w:rPr>
        <w:t xml:space="preserve">articular provisions </w:t>
      </w:r>
      <w:r w:rsidR="00A7654F" w:rsidRPr="004842AA">
        <w:rPr>
          <w:rFonts w:ascii="Times New Roman" w:hAnsi="Times New Roman" w:cs="Times New Roman"/>
        </w:rPr>
        <w:t>address issues such as: sanctions;</w:t>
      </w:r>
      <w:r w:rsidR="00AD2ADD" w:rsidRPr="004842AA">
        <w:rPr>
          <w:rFonts w:ascii="Times New Roman" w:hAnsi="Times New Roman" w:cs="Times New Roman"/>
        </w:rPr>
        <w:t xml:space="preserve"> UK participation in CSDP missions and operations</w:t>
      </w:r>
      <w:r w:rsidR="00A7654F" w:rsidRPr="004842AA">
        <w:rPr>
          <w:rFonts w:ascii="Times New Roman" w:hAnsi="Times New Roman" w:cs="Times New Roman"/>
        </w:rPr>
        <w:t>;</w:t>
      </w:r>
      <w:r w:rsidR="00AD2ADD" w:rsidRPr="004842AA">
        <w:rPr>
          <w:rFonts w:ascii="Times New Roman" w:hAnsi="Times New Roman" w:cs="Times New Roman"/>
        </w:rPr>
        <w:t xml:space="preserve"> UK collaboration in the development of European defence capabilities</w:t>
      </w:r>
      <w:r w:rsidR="00A7654F" w:rsidRPr="004842AA">
        <w:rPr>
          <w:rFonts w:ascii="Times New Roman" w:hAnsi="Times New Roman" w:cs="Times New Roman"/>
        </w:rPr>
        <w:t xml:space="preserve">; thematic cooperation in fields such as cyber-security, illegal migration and counter-terrorism; and the need for agreements on the protection of classified and sensitive information.   </w:t>
      </w:r>
    </w:p>
    <w:p w14:paraId="02ADECFE" w14:textId="6F3A4BF7" w:rsidR="00AA180D" w:rsidRPr="005F3860" w:rsidRDefault="00A7654F" w:rsidP="005F3860">
      <w:pPr>
        <w:ind w:firstLine="720"/>
        <w:jc w:val="both"/>
        <w:rPr>
          <w:rFonts w:ascii="Times New Roman" w:hAnsi="Times New Roman" w:cs="Times New Roman"/>
        </w:rPr>
      </w:pPr>
      <w:r w:rsidRPr="004842AA">
        <w:rPr>
          <w:rFonts w:ascii="Times New Roman" w:hAnsi="Times New Roman" w:cs="Times New Roman"/>
          <w:lang w:val="en-US"/>
        </w:rPr>
        <w:t xml:space="preserve">The Political Declaration also sketches out the parties’ thinking about the structure and governance of their future relationship.  The precise legal form will be determined in due course, but should include an overarching institutional framework, which could take the form of an association agreement, while allowing for more specific governance arrangements in particular areas.  </w:t>
      </w:r>
      <w:r w:rsidR="00847834" w:rsidRPr="004842AA">
        <w:rPr>
          <w:rFonts w:ascii="Times New Roman" w:hAnsi="Times New Roman" w:cs="Times New Roman"/>
          <w:lang w:val="en-US"/>
        </w:rPr>
        <w:t xml:space="preserve">As well as dialogue at appropriate levels to provide strategic direction, the parties will also support inter-parliamentary and encourage civil society </w:t>
      </w:r>
      <w:r w:rsidR="003A1D6E">
        <w:rPr>
          <w:rFonts w:ascii="Times New Roman" w:hAnsi="Times New Roman" w:cs="Times New Roman"/>
          <w:lang w:val="en-US"/>
        </w:rPr>
        <w:t>exchanges</w:t>
      </w:r>
      <w:r w:rsidR="00847834" w:rsidRPr="004842AA">
        <w:rPr>
          <w:rFonts w:ascii="Times New Roman" w:hAnsi="Times New Roman" w:cs="Times New Roman"/>
          <w:lang w:val="en-US"/>
        </w:rPr>
        <w:t xml:space="preserve">.  But as usual, the core governance institution will be a </w:t>
      </w:r>
      <w:r w:rsidR="00AA180D" w:rsidRPr="004842AA">
        <w:rPr>
          <w:rFonts w:ascii="Times New Roman" w:hAnsi="Times New Roman" w:cs="Times New Roman"/>
          <w:lang w:val="en-US"/>
        </w:rPr>
        <w:t>Joint Committee</w:t>
      </w:r>
      <w:r w:rsidR="00847834" w:rsidRPr="004842AA">
        <w:rPr>
          <w:rFonts w:ascii="Times New Roman" w:hAnsi="Times New Roman" w:cs="Times New Roman"/>
          <w:lang w:val="en-US"/>
        </w:rPr>
        <w:t>; the parties will seek to ensure consistent interpretation and application of their agreements; d</w:t>
      </w:r>
      <w:r w:rsidR="00AA180D" w:rsidRPr="004842AA">
        <w:rPr>
          <w:rFonts w:ascii="Times New Roman" w:hAnsi="Times New Roman" w:cs="Times New Roman"/>
          <w:lang w:val="en-US"/>
        </w:rPr>
        <w:t xml:space="preserve">ispute settlement </w:t>
      </w:r>
      <w:r w:rsidR="00847834" w:rsidRPr="004842AA">
        <w:rPr>
          <w:rFonts w:ascii="Times New Roman" w:hAnsi="Times New Roman" w:cs="Times New Roman"/>
          <w:lang w:val="en-US"/>
        </w:rPr>
        <w:t xml:space="preserve">as necessary through an independent arbitration </w:t>
      </w:r>
      <w:r w:rsidR="00847834" w:rsidRPr="004842AA">
        <w:rPr>
          <w:rFonts w:ascii="Times New Roman" w:hAnsi="Times New Roman" w:cs="Times New Roman"/>
          <w:lang w:val="en-US"/>
        </w:rPr>
        <w:lastRenderedPageBreak/>
        <w:t>panel; a preliminary reference system so as to protect the CJEU’s exclusive jurisdiction over the binding interpretation of Union law; and a system of sanctions for non-compliance as well as general safeguards and rebalancing measures</w:t>
      </w:r>
      <w:r w:rsidR="00AA180D" w:rsidRPr="004842AA">
        <w:rPr>
          <w:rFonts w:ascii="Times New Roman" w:hAnsi="Times New Roman" w:cs="Times New Roman"/>
          <w:lang w:val="en-US"/>
        </w:rPr>
        <w:t xml:space="preserve">.  </w:t>
      </w:r>
    </w:p>
    <w:p w14:paraId="5A9636F2" w14:textId="77777777" w:rsidR="00637907" w:rsidRPr="004842AA" w:rsidRDefault="00637907" w:rsidP="004842AA">
      <w:pPr>
        <w:jc w:val="both"/>
        <w:rPr>
          <w:rFonts w:ascii="Times New Roman" w:hAnsi="Times New Roman" w:cs="Times New Roman"/>
        </w:rPr>
      </w:pPr>
    </w:p>
    <w:p w14:paraId="7DE56D8D" w14:textId="0713ECC2" w:rsidR="00801981" w:rsidRPr="004842AA" w:rsidRDefault="00801981" w:rsidP="004842AA">
      <w:pPr>
        <w:jc w:val="both"/>
        <w:rPr>
          <w:rFonts w:ascii="Times New Roman" w:hAnsi="Times New Roman" w:cs="Times New Roman"/>
          <w:i/>
        </w:rPr>
      </w:pPr>
      <w:r w:rsidRPr="004842AA">
        <w:rPr>
          <w:rFonts w:ascii="Times New Roman" w:hAnsi="Times New Roman" w:cs="Times New Roman"/>
          <w:i/>
        </w:rPr>
        <w:t xml:space="preserve">4.3. </w:t>
      </w:r>
      <w:r w:rsidRPr="004842AA">
        <w:rPr>
          <w:rFonts w:ascii="Times New Roman" w:hAnsi="Times New Roman" w:cs="Times New Roman"/>
          <w:i/>
        </w:rPr>
        <w:tab/>
        <w:t>Post-Withdrawal Negotiating Positions</w:t>
      </w:r>
    </w:p>
    <w:p w14:paraId="0DB7FDC0" w14:textId="77777777" w:rsidR="00801981" w:rsidRPr="004842AA" w:rsidRDefault="00801981" w:rsidP="004842AA">
      <w:pPr>
        <w:jc w:val="both"/>
        <w:rPr>
          <w:rFonts w:ascii="Times New Roman" w:hAnsi="Times New Roman" w:cs="Times New Roman"/>
        </w:rPr>
      </w:pPr>
    </w:p>
    <w:p w14:paraId="753586A6" w14:textId="6D3C0D81" w:rsidR="005F3860" w:rsidRDefault="00861101" w:rsidP="005F3860">
      <w:pPr>
        <w:jc w:val="both"/>
        <w:rPr>
          <w:rFonts w:ascii="Times New Roman" w:hAnsi="Times New Roman" w:cs="Times New Roman"/>
        </w:rPr>
      </w:pPr>
      <w:r w:rsidRPr="004842AA">
        <w:rPr>
          <w:rFonts w:ascii="Times New Roman" w:hAnsi="Times New Roman" w:cs="Times New Roman"/>
        </w:rPr>
        <w:t>The Political Declaration is not intended to be legally binding</w:t>
      </w:r>
      <w:r w:rsidR="0008608D">
        <w:rPr>
          <w:rFonts w:ascii="Times New Roman" w:hAnsi="Times New Roman" w:cs="Times New Roman"/>
        </w:rPr>
        <w:t xml:space="preserve"> or enforceable: it is a good faith</w:t>
      </w:r>
      <w:r w:rsidRPr="004842AA">
        <w:rPr>
          <w:rFonts w:ascii="Times New Roman" w:hAnsi="Times New Roman" w:cs="Times New Roman"/>
        </w:rPr>
        <w:t xml:space="preserve"> expression of </w:t>
      </w:r>
      <w:r w:rsidR="0008608D">
        <w:rPr>
          <w:rFonts w:ascii="Times New Roman" w:hAnsi="Times New Roman" w:cs="Times New Roman"/>
        </w:rPr>
        <w:t xml:space="preserve">the parties’ </w:t>
      </w:r>
      <w:r w:rsidRPr="004842AA">
        <w:rPr>
          <w:rFonts w:ascii="Times New Roman" w:hAnsi="Times New Roman" w:cs="Times New Roman"/>
        </w:rPr>
        <w:t xml:space="preserve">common political understanding which </w:t>
      </w:r>
      <w:r w:rsidR="00AA180D" w:rsidRPr="004842AA">
        <w:rPr>
          <w:rFonts w:ascii="Times New Roman" w:hAnsi="Times New Roman" w:cs="Times New Roman"/>
        </w:rPr>
        <w:t>“accompanies</w:t>
      </w:r>
      <w:r w:rsidRPr="004842AA">
        <w:rPr>
          <w:rFonts w:ascii="Times New Roman" w:hAnsi="Times New Roman" w:cs="Times New Roman"/>
        </w:rPr>
        <w:t>”</w:t>
      </w:r>
      <w:r w:rsidR="00AA180D" w:rsidRPr="004842AA">
        <w:rPr>
          <w:rFonts w:ascii="Times New Roman" w:hAnsi="Times New Roman" w:cs="Times New Roman"/>
        </w:rPr>
        <w:t xml:space="preserve"> the </w:t>
      </w:r>
      <w:r w:rsidRPr="004842AA">
        <w:rPr>
          <w:rFonts w:ascii="Times New Roman" w:hAnsi="Times New Roman" w:cs="Times New Roman"/>
        </w:rPr>
        <w:t xml:space="preserve">Agreement and is intended to provide the </w:t>
      </w:r>
      <w:r w:rsidR="00AC7BCD">
        <w:rPr>
          <w:rFonts w:ascii="Times New Roman" w:hAnsi="Times New Roman" w:cs="Times New Roman"/>
        </w:rPr>
        <w:t>framework</w:t>
      </w:r>
      <w:r w:rsidRPr="004842AA">
        <w:rPr>
          <w:rFonts w:ascii="Times New Roman" w:hAnsi="Times New Roman" w:cs="Times New Roman"/>
        </w:rPr>
        <w:t xml:space="preserve"> for </w:t>
      </w:r>
      <w:r w:rsidR="0008608D">
        <w:rPr>
          <w:rFonts w:ascii="Times New Roman" w:hAnsi="Times New Roman" w:cs="Times New Roman"/>
        </w:rPr>
        <w:t xml:space="preserve">subsequent </w:t>
      </w:r>
      <w:r w:rsidRPr="004842AA">
        <w:rPr>
          <w:rFonts w:ascii="Times New Roman" w:hAnsi="Times New Roman" w:cs="Times New Roman"/>
        </w:rPr>
        <w:t>formal negotiations.</w:t>
      </w:r>
      <w:r w:rsidR="00E206AE">
        <w:rPr>
          <w:rStyle w:val="FootnoteReference"/>
          <w:rFonts w:ascii="Times New Roman" w:hAnsi="Times New Roman" w:cs="Times New Roman"/>
        </w:rPr>
        <w:footnoteReference w:id="344"/>
      </w:r>
      <w:r w:rsidRPr="004842AA">
        <w:rPr>
          <w:rFonts w:ascii="Times New Roman" w:hAnsi="Times New Roman" w:cs="Times New Roman"/>
        </w:rPr>
        <w:t xml:space="preserve">  The latter might well produce a new agreement o</w:t>
      </w:r>
      <w:r w:rsidR="001E6540">
        <w:rPr>
          <w:rFonts w:ascii="Times New Roman" w:hAnsi="Times New Roman" w:cs="Times New Roman"/>
        </w:rPr>
        <w:t>n the future EU-UK relationship</w:t>
      </w:r>
      <w:r w:rsidRPr="004842AA">
        <w:rPr>
          <w:rFonts w:ascii="Times New Roman" w:hAnsi="Times New Roman" w:cs="Times New Roman"/>
        </w:rPr>
        <w:t xml:space="preserve"> either similar to or very different from </w:t>
      </w:r>
      <w:r w:rsidR="00535F38">
        <w:rPr>
          <w:rFonts w:ascii="Times New Roman" w:hAnsi="Times New Roman" w:cs="Times New Roman"/>
        </w:rPr>
        <w:t>that</w:t>
      </w:r>
      <w:r w:rsidRPr="004842AA">
        <w:rPr>
          <w:rFonts w:ascii="Times New Roman" w:hAnsi="Times New Roman" w:cs="Times New Roman"/>
        </w:rPr>
        <w:t xml:space="preserve"> envisaged in the Political Declaration itself.  Equally, the talks could well lead to no successful outcome; or produce only a very limited set of future arrangements.  Moreover, the Political Declaration is in many places so sketchy that it </w:t>
      </w:r>
      <w:r w:rsidR="00CB06B5" w:rsidRPr="004842AA">
        <w:rPr>
          <w:rFonts w:ascii="Times New Roman" w:hAnsi="Times New Roman" w:cs="Times New Roman"/>
        </w:rPr>
        <w:t xml:space="preserve">effectively offers </w:t>
      </w:r>
      <w:r w:rsidR="00810960" w:rsidRPr="004842AA">
        <w:rPr>
          <w:rFonts w:ascii="Times New Roman" w:hAnsi="Times New Roman" w:cs="Times New Roman"/>
        </w:rPr>
        <w:t xml:space="preserve">no more than </w:t>
      </w:r>
      <w:r w:rsidR="00CB06B5" w:rsidRPr="004842AA">
        <w:rPr>
          <w:rFonts w:ascii="Times New Roman" w:hAnsi="Times New Roman" w:cs="Times New Roman"/>
        </w:rPr>
        <w:t>a basic checklist for the negotiating agenda</w:t>
      </w:r>
      <w:r w:rsidR="00810960" w:rsidRPr="004842AA">
        <w:rPr>
          <w:rFonts w:ascii="Times New Roman" w:hAnsi="Times New Roman" w:cs="Times New Roman"/>
        </w:rPr>
        <w:t>,</w:t>
      </w:r>
      <w:r w:rsidR="00CB06B5" w:rsidRPr="004842AA">
        <w:rPr>
          <w:rFonts w:ascii="Times New Roman" w:hAnsi="Times New Roman" w:cs="Times New Roman"/>
        </w:rPr>
        <w:t xml:space="preserve"> but can </w:t>
      </w:r>
      <w:r w:rsidRPr="004842AA">
        <w:rPr>
          <w:rFonts w:ascii="Times New Roman" w:hAnsi="Times New Roman" w:cs="Times New Roman"/>
        </w:rPr>
        <w:t xml:space="preserve">hardly </w:t>
      </w:r>
      <w:r w:rsidR="00CB06B5" w:rsidRPr="004842AA">
        <w:rPr>
          <w:rFonts w:ascii="Times New Roman" w:hAnsi="Times New Roman" w:cs="Times New Roman"/>
        </w:rPr>
        <w:t>be said to provide</w:t>
      </w:r>
      <w:r w:rsidRPr="004842AA">
        <w:rPr>
          <w:rFonts w:ascii="Times New Roman" w:hAnsi="Times New Roman" w:cs="Times New Roman"/>
        </w:rPr>
        <w:t xml:space="preserve"> a meaningful guide to what the parties </w:t>
      </w:r>
      <w:r w:rsidR="00CB06B5" w:rsidRPr="004842AA">
        <w:rPr>
          <w:rFonts w:ascii="Times New Roman" w:hAnsi="Times New Roman" w:cs="Times New Roman"/>
        </w:rPr>
        <w:t>even intended let alone what they might ultimately achieve.</w:t>
      </w:r>
      <w:r w:rsidR="00CB06B5" w:rsidRPr="004842AA">
        <w:rPr>
          <w:rStyle w:val="FootnoteReference"/>
          <w:rFonts w:ascii="Times New Roman" w:hAnsi="Times New Roman" w:cs="Times New Roman"/>
        </w:rPr>
        <w:footnoteReference w:id="345"/>
      </w:r>
    </w:p>
    <w:p w14:paraId="45022175" w14:textId="6CDD5784" w:rsidR="005F3860" w:rsidRDefault="00847834" w:rsidP="005F3860">
      <w:pPr>
        <w:ind w:firstLine="720"/>
        <w:jc w:val="both"/>
        <w:rPr>
          <w:rFonts w:ascii="Times New Roman" w:hAnsi="Times New Roman" w:cs="Times New Roman"/>
          <w:lang w:val="en-US"/>
        </w:rPr>
      </w:pPr>
      <w:r w:rsidRPr="004842AA">
        <w:rPr>
          <w:rFonts w:ascii="Times New Roman" w:hAnsi="Times New Roman" w:cs="Times New Roman"/>
          <w:lang w:val="en-US"/>
        </w:rPr>
        <w:t>Article 184 WA</w:t>
      </w:r>
      <w:r w:rsidR="00CB06B5" w:rsidRPr="004842AA">
        <w:rPr>
          <w:rFonts w:ascii="Times New Roman" w:hAnsi="Times New Roman" w:cs="Times New Roman"/>
          <w:lang w:val="en-US"/>
        </w:rPr>
        <w:t xml:space="preserve"> provides that the Union </w:t>
      </w:r>
      <w:r w:rsidR="00CB06B5" w:rsidRPr="004842AA">
        <w:rPr>
          <w:rFonts w:ascii="Times New Roman" w:hAnsi="Times New Roman" w:cs="Times New Roman"/>
        </w:rPr>
        <w:t xml:space="preserve">and the </w:t>
      </w:r>
      <w:r w:rsidRPr="004842AA">
        <w:rPr>
          <w:rFonts w:ascii="Times New Roman" w:hAnsi="Times New Roman" w:cs="Times New Roman"/>
        </w:rPr>
        <w:t xml:space="preserve">UK </w:t>
      </w:r>
      <w:r w:rsidR="00CB06B5" w:rsidRPr="004842AA">
        <w:rPr>
          <w:rFonts w:ascii="Times New Roman" w:hAnsi="Times New Roman" w:cs="Times New Roman"/>
        </w:rPr>
        <w:t xml:space="preserve">shall </w:t>
      </w:r>
      <w:r w:rsidRPr="004842AA">
        <w:rPr>
          <w:rFonts w:ascii="Times New Roman" w:hAnsi="Times New Roman" w:cs="Times New Roman"/>
        </w:rPr>
        <w:t xml:space="preserve">use </w:t>
      </w:r>
      <w:r w:rsidR="00CB06B5" w:rsidRPr="004842AA">
        <w:rPr>
          <w:rFonts w:ascii="Times New Roman" w:hAnsi="Times New Roman" w:cs="Times New Roman"/>
        </w:rPr>
        <w:t xml:space="preserve">their </w:t>
      </w:r>
      <w:r w:rsidRPr="004842AA">
        <w:rPr>
          <w:rFonts w:ascii="Times New Roman" w:hAnsi="Times New Roman" w:cs="Times New Roman"/>
        </w:rPr>
        <w:t xml:space="preserve">best endeavours in good faith to negotiate and </w:t>
      </w:r>
      <w:r w:rsidR="00CB06B5" w:rsidRPr="004842AA">
        <w:rPr>
          <w:rFonts w:ascii="Times New Roman" w:hAnsi="Times New Roman" w:cs="Times New Roman"/>
        </w:rPr>
        <w:t xml:space="preserve">ratify the </w:t>
      </w:r>
      <w:r w:rsidRPr="004842AA">
        <w:rPr>
          <w:rFonts w:ascii="Times New Roman" w:hAnsi="Times New Roman" w:cs="Times New Roman"/>
        </w:rPr>
        <w:t>agreement</w:t>
      </w:r>
      <w:r w:rsidR="00CB06B5" w:rsidRPr="004842AA">
        <w:rPr>
          <w:rFonts w:ascii="Times New Roman" w:hAnsi="Times New Roman" w:cs="Times New Roman"/>
        </w:rPr>
        <w:t>s</w:t>
      </w:r>
      <w:r w:rsidRPr="004842AA">
        <w:rPr>
          <w:rFonts w:ascii="Times New Roman" w:hAnsi="Times New Roman" w:cs="Times New Roman"/>
        </w:rPr>
        <w:t xml:space="preserve"> </w:t>
      </w:r>
      <w:r w:rsidR="00CB06B5" w:rsidRPr="004842AA">
        <w:rPr>
          <w:rFonts w:ascii="Times New Roman" w:hAnsi="Times New Roman" w:cs="Times New Roman"/>
        </w:rPr>
        <w:t xml:space="preserve">governing their </w:t>
      </w:r>
      <w:r w:rsidRPr="004842AA">
        <w:rPr>
          <w:rFonts w:ascii="Times New Roman" w:hAnsi="Times New Roman" w:cs="Times New Roman"/>
        </w:rPr>
        <w:t xml:space="preserve">future relationship with </w:t>
      </w:r>
      <w:r w:rsidR="00810960" w:rsidRPr="004842AA">
        <w:rPr>
          <w:rFonts w:ascii="Times New Roman" w:hAnsi="Times New Roman" w:cs="Times New Roman"/>
        </w:rPr>
        <w:t xml:space="preserve">a </w:t>
      </w:r>
      <w:r w:rsidRPr="004842AA">
        <w:rPr>
          <w:rFonts w:ascii="Times New Roman" w:hAnsi="Times New Roman" w:cs="Times New Roman"/>
        </w:rPr>
        <w:t xml:space="preserve">view to </w:t>
      </w:r>
      <w:r w:rsidR="00CB06B5" w:rsidRPr="004842AA">
        <w:rPr>
          <w:rFonts w:ascii="Times New Roman" w:hAnsi="Times New Roman" w:cs="Times New Roman"/>
        </w:rPr>
        <w:t xml:space="preserve">their </w:t>
      </w:r>
      <w:r w:rsidRPr="004842AA">
        <w:rPr>
          <w:rFonts w:ascii="Times New Roman" w:hAnsi="Times New Roman" w:cs="Times New Roman"/>
        </w:rPr>
        <w:t xml:space="preserve">application from </w:t>
      </w:r>
      <w:r w:rsidR="00CB06B5" w:rsidRPr="004842AA">
        <w:rPr>
          <w:rFonts w:ascii="Times New Roman" w:hAnsi="Times New Roman" w:cs="Times New Roman"/>
        </w:rPr>
        <w:t xml:space="preserve">the </w:t>
      </w:r>
      <w:r w:rsidRPr="004842AA">
        <w:rPr>
          <w:rFonts w:ascii="Times New Roman" w:hAnsi="Times New Roman" w:cs="Times New Roman"/>
        </w:rPr>
        <w:t xml:space="preserve">end of </w:t>
      </w:r>
      <w:r w:rsidR="00CB06B5" w:rsidRPr="004842AA">
        <w:rPr>
          <w:rFonts w:ascii="Times New Roman" w:hAnsi="Times New Roman" w:cs="Times New Roman"/>
        </w:rPr>
        <w:t xml:space="preserve">the </w:t>
      </w:r>
      <w:r w:rsidR="006861A1">
        <w:rPr>
          <w:rFonts w:ascii="Times New Roman" w:hAnsi="Times New Roman" w:cs="Times New Roman"/>
        </w:rPr>
        <w:t>transition</w:t>
      </w:r>
      <w:r w:rsidRPr="004842AA">
        <w:rPr>
          <w:rFonts w:ascii="Times New Roman" w:hAnsi="Times New Roman" w:cs="Times New Roman"/>
        </w:rPr>
        <w:t xml:space="preserve"> period</w:t>
      </w:r>
      <w:r w:rsidR="00810960" w:rsidRPr="004842AA">
        <w:rPr>
          <w:rFonts w:ascii="Times New Roman" w:hAnsi="Times New Roman" w:cs="Times New Roman"/>
        </w:rPr>
        <w:t xml:space="preserve"> – </w:t>
      </w:r>
      <w:r w:rsidR="002E6073" w:rsidRPr="004842AA">
        <w:rPr>
          <w:rFonts w:ascii="Times New Roman" w:hAnsi="Times New Roman" w:cs="Times New Roman"/>
        </w:rPr>
        <w:t xml:space="preserve">permitting that </w:t>
      </w:r>
      <w:r w:rsidR="00810960" w:rsidRPr="004842AA">
        <w:rPr>
          <w:rFonts w:ascii="Times New Roman" w:hAnsi="Times New Roman" w:cs="Times New Roman"/>
        </w:rPr>
        <w:t>crucial “</w:t>
      </w:r>
      <w:r w:rsidR="002E6073" w:rsidRPr="004842AA">
        <w:rPr>
          <w:rFonts w:ascii="Times New Roman" w:hAnsi="Times New Roman" w:cs="Times New Roman"/>
        </w:rPr>
        <w:t xml:space="preserve">single </w:t>
      </w:r>
      <w:r w:rsidR="00810960" w:rsidRPr="004842AA">
        <w:rPr>
          <w:rFonts w:ascii="Times New Roman" w:hAnsi="Times New Roman" w:cs="Times New Roman"/>
        </w:rPr>
        <w:t xml:space="preserve">regulatory change” which </w:t>
      </w:r>
      <w:r w:rsidR="002E6073" w:rsidRPr="004842AA">
        <w:rPr>
          <w:rFonts w:ascii="Times New Roman" w:hAnsi="Times New Roman" w:cs="Times New Roman"/>
        </w:rPr>
        <w:t xml:space="preserve">would at least </w:t>
      </w:r>
      <w:r w:rsidR="00810960" w:rsidRPr="004842AA">
        <w:rPr>
          <w:rFonts w:ascii="Times New Roman" w:hAnsi="Times New Roman" w:cs="Times New Roman"/>
        </w:rPr>
        <w:t xml:space="preserve">lessen the disruption caused by </w:t>
      </w:r>
      <w:r w:rsidR="002E6073" w:rsidRPr="004842AA">
        <w:rPr>
          <w:rFonts w:ascii="Times New Roman" w:hAnsi="Times New Roman" w:cs="Times New Roman"/>
        </w:rPr>
        <w:t>Brexit</w:t>
      </w:r>
      <w:r w:rsidR="00CB06B5" w:rsidRPr="004842AA">
        <w:rPr>
          <w:rFonts w:ascii="Times New Roman" w:hAnsi="Times New Roman" w:cs="Times New Roman"/>
        </w:rPr>
        <w:t xml:space="preserve">.  To help realise that exceptionally ambitious timetable, the Political Declaration proposes that parallel negotiations covering the various strands of the future relationship should begin as soon as possible after the UK’s formal withdrawal and </w:t>
      </w:r>
      <w:r w:rsidR="00810960" w:rsidRPr="004842AA">
        <w:rPr>
          <w:rFonts w:ascii="Times New Roman" w:hAnsi="Times New Roman" w:cs="Times New Roman"/>
        </w:rPr>
        <w:t xml:space="preserve">that </w:t>
      </w:r>
      <w:r w:rsidR="00CB06B5" w:rsidRPr="004842AA">
        <w:rPr>
          <w:rFonts w:ascii="Times New Roman" w:hAnsi="Times New Roman" w:cs="Times New Roman"/>
        </w:rPr>
        <w:t xml:space="preserve">a high level meeting </w:t>
      </w:r>
      <w:r w:rsidR="00810960" w:rsidRPr="004842AA">
        <w:rPr>
          <w:rFonts w:ascii="Times New Roman" w:hAnsi="Times New Roman" w:cs="Times New Roman"/>
        </w:rPr>
        <w:t>should convene in June 2020 to take stock of progress – no doubt taking account the deadline by which the Joint Committee may agree a one-off extension</w:t>
      </w:r>
      <w:r w:rsidR="00CB06B5" w:rsidRPr="004842AA">
        <w:rPr>
          <w:rFonts w:ascii="Times New Roman" w:hAnsi="Times New Roman" w:cs="Times New Roman"/>
        </w:rPr>
        <w:t xml:space="preserve"> </w:t>
      </w:r>
      <w:r w:rsidR="006861A1">
        <w:rPr>
          <w:rFonts w:ascii="Times New Roman" w:hAnsi="Times New Roman" w:cs="Times New Roman"/>
        </w:rPr>
        <w:t>to the transition</w:t>
      </w:r>
      <w:r w:rsidR="00810960" w:rsidRPr="004842AA">
        <w:rPr>
          <w:rFonts w:ascii="Times New Roman" w:hAnsi="Times New Roman" w:cs="Times New Roman"/>
        </w:rPr>
        <w:t xml:space="preserve"> period in accordance with Article 132 WA.</w:t>
      </w:r>
      <w:r w:rsidR="00810960" w:rsidRPr="004842AA">
        <w:rPr>
          <w:rStyle w:val="FootnoteReference"/>
          <w:rFonts w:ascii="Times New Roman" w:hAnsi="Times New Roman" w:cs="Times New Roman"/>
        </w:rPr>
        <w:footnoteReference w:id="346"/>
      </w:r>
    </w:p>
    <w:p w14:paraId="15DF08AF" w14:textId="788BAC14" w:rsidR="005F3860" w:rsidRDefault="002E6073" w:rsidP="005F3860">
      <w:pPr>
        <w:ind w:firstLine="720"/>
        <w:jc w:val="both"/>
        <w:rPr>
          <w:rFonts w:ascii="Times New Roman" w:hAnsi="Times New Roman" w:cs="Times New Roman"/>
          <w:lang w:val="en-US"/>
        </w:rPr>
      </w:pPr>
      <w:r w:rsidRPr="004842AA">
        <w:rPr>
          <w:rFonts w:ascii="Times New Roman" w:hAnsi="Times New Roman" w:cs="Times New Roman"/>
        </w:rPr>
        <w:t>The Council adopted the Commission’s formal negotiating mandate on 25 February 2020.</w:t>
      </w:r>
      <w:r w:rsidRPr="004842AA">
        <w:rPr>
          <w:rStyle w:val="FootnoteReference"/>
          <w:rFonts w:ascii="Times New Roman" w:hAnsi="Times New Roman" w:cs="Times New Roman"/>
        </w:rPr>
        <w:footnoteReference w:id="347"/>
      </w:r>
      <w:r w:rsidRPr="004842AA">
        <w:rPr>
          <w:rFonts w:ascii="Times New Roman" w:hAnsi="Times New Roman" w:cs="Times New Roman"/>
        </w:rPr>
        <w:t xml:space="preserve">  It contains no great surprises – largely following the European Council’s previous guidelines from April 2017 and March 2018 as well as the terms of the </w:t>
      </w:r>
      <w:r w:rsidR="00B93C2C">
        <w:rPr>
          <w:rFonts w:ascii="Times New Roman" w:hAnsi="Times New Roman" w:cs="Times New Roman"/>
        </w:rPr>
        <w:t xml:space="preserve">revised </w:t>
      </w:r>
      <w:r w:rsidRPr="004842AA">
        <w:rPr>
          <w:rFonts w:ascii="Times New Roman" w:hAnsi="Times New Roman" w:cs="Times New Roman"/>
        </w:rPr>
        <w:t>Political Declaration as approved in October 2019.</w:t>
      </w:r>
      <w:r w:rsidR="00C46EAE">
        <w:rPr>
          <w:rStyle w:val="FootnoteReference"/>
          <w:rFonts w:ascii="Times New Roman" w:hAnsi="Times New Roman" w:cs="Times New Roman"/>
        </w:rPr>
        <w:footnoteReference w:id="348"/>
      </w:r>
      <w:r w:rsidRPr="004842AA">
        <w:rPr>
          <w:rFonts w:ascii="Times New Roman" w:hAnsi="Times New Roman" w:cs="Times New Roman"/>
        </w:rPr>
        <w:t xml:space="preserve">  For its part, the UK published </w:t>
      </w:r>
      <w:r w:rsidR="00535F38">
        <w:rPr>
          <w:rFonts w:ascii="Times New Roman" w:hAnsi="Times New Roman" w:cs="Times New Roman"/>
        </w:rPr>
        <w:t xml:space="preserve">a parliamentary </w:t>
      </w:r>
      <w:r w:rsidRPr="004842AA">
        <w:rPr>
          <w:rFonts w:ascii="Times New Roman" w:hAnsi="Times New Roman" w:cs="Times New Roman"/>
        </w:rPr>
        <w:t xml:space="preserve">statement </w:t>
      </w:r>
      <w:r w:rsidR="009D5BC2" w:rsidRPr="004842AA">
        <w:rPr>
          <w:rFonts w:ascii="Times New Roman" w:hAnsi="Times New Roman" w:cs="Times New Roman"/>
        </w:rPr>
        <w:t xml:space="preserve">about </w:t>
      </w:r>
      <w:r w:rsidRPr="004842AA">
        <w:rPr>
          <w:rFonts w:ascii="Times New Roman" w:hAnsi="Times New Roman" w:cs="Times New Roman"/>
        </w:rPr>
        <w:t xml:space="preserve">its negotiating objectives on </w:t>
      </w:r>
      <w:r w:rsidR="00625A55" w:rsidRPr="004842AA">
        <w:rPr>
          <w:rFonts w:ascii="Times New Roman" w:hAnsi="Times New Roman" w:cs="Times New Roman"/>
        </w:rPr>
        <w:t>3</w:t>
      </w:r>
      <w:r w:rsidRPr="004842AA">
        <w:rPr>
          <w:rFonts w:ascii="Times New Roman" w:hAnsi="Times New Roman" w:cs="Times New Roman"/>
        </w:rPr>
        <w:t xml:space="preserve"> February 2020 which made clear that the Government did not regard itself even </w:t>
      </w:r>
      <w:r w:rsidR="009D5BC2" w:rsidRPr="004842AA">
        <w:rPr>
          <w:rFonts w:ascii="Times New Roman" w:hAnsi="Times New Roman" w:cs="Times New Roman"/>
        </w:rPr>
        <w:t xml:space="preserve">as </w:t>
      </w:r>
      <w:r w:rsidRPr="004842AA">
        <w:rPr>
          <w:rFonts w:ascii="Times New Roman" w:hAnsi="Times New Roman" w:cs="Times New Roman"/>
        </w:rPr>
        <w:t>morally bound to respect the terms of its own revised Political Declaration</w:t>
      </w:r>
      <w:r w:rsidR="009D5BC2" w:rsidRPr="004842AA">
        <w:rPr>
          <w:rFonts w:ascii="Times New Roman" w:hAnsi="Times New Roman" w:cs="Times New Roman"/>
        </w:rPr>
        <w:t xml:space="preserve">: Johnson here revives </w:t>
      </w:r>
      <w:r w:rsidR="00625A55" w:rsidRPr="004842AA">
        <w:rPr>
          <w:rFonts w:ascii="Times New Roman" w:hAnsi="Times New Roman" w:cs="Times New Roman"/>
        </w:rPr>
        <w:t>his tired “cake and eat it” act (for example)</w:t>
      </w:r>
      <w:r w:rsidR="009D5BC2" w:rsidRPr="004842AA">
        <w:rPr>
          <w:rFonts w:ascii="Times New Roman" w:hAnsi="Times New Roman" w:cs="Times New Roman"/>
        </w:rPr>
        <w:t xml:space="preserve"> </w:t>
      </w:r>
      <w:r w:rsidR="00625A55" w:rsidRPr="004842AA">
        <w:rPr>
          <w:rFonts w:ascii="Times New Roman" w:hAnsi="Times New Roman" w:cs="Times New Roman"/>
        </w:rPr>
        <w:t xml:space="preserve">by </w:t>
      </w:r>
      <w:r w:rsidR="009D5BC2" w:rsidRPr="004842AA">
        <w:rPr>
          <w:rFonts w:ascii="Times New Roman" w:hAnsi="Times New Roman" w:cs="Times New Roman"/>
        </w:rPr>
        <w:t>peddling the fantasy that the UK should enjoy full tariff-free access to the Single Market without having to undertake any</w:t>
      </w:r>
      <w:r w:rsidR="00CE50A3" w:rsidRPr="004842AA">
        <w:rPr>
          <w:rFonts w:ascii="Times New Roman" w:hAnsi="Times New Roman" w:cs="Times New Roman"/>
        </w:rPr>
        <w:t>thing more than the minimal</w:t>
      </w:r>
      <w:r w:rsidR="009D5BC2" w:rsidRPr="004842AA">
        <w:rPr>
          <w:rFonts w:ascii="Times New Roman" w:hAnsi="Times New Roman" w:cs="Times New Roman"/>
        </w:rPr>
        <w:t xml:space="preserve"> level playing field commitments </w:t>
      </w:r>
      <w:r w:rsidR="00CE50A3" w:rsidRPr="004842AA">
        <w:rPr>
          <w:rFonts w:ascii="Times New Roman" w:hAnsi="Times New Roman" w:cs="Times New Roman"/>
        </w:rPr>
        <w:t>contained in standard free trade agreements</w:t>
      </w:r>
      <w:r w:rsidR="009D5BC2" w:rsidRPr="004842AA">
        <w:rPr>
          <w:rFonts w:ascii="Times New Roman" w:hAnsi="Times New Roman" w:cs="Times New Roman"/>
        </w:rPr>
        <w:t xml:space="preserve">; but essentially, the UK Government now </w:t>
      </w:r>
      <w:r w:rsidR="00CE50A3" w:rsidRPr="004842AA">
        <w:rPr>
          <w:rFonts w:ascii="Times New Roman" w:hAnsi="Times New Roman" w:cs="Times New Roman"/>
        </w:rPr>
        <w:t xml:space="preserve">proposes an extreme form of </w:t>
      </w:r>
      <w:r w:rsidR="009D5BC2" w:rsidRPr="004842AA">
        <w:rPr>
          <w:rFonts w:ascii="Times New Roman" w:hAnsi="Times New Roman" w:cs="Times New Roman"/>
        </w:rPr>
        <w:t xml:space="preserve">“clean break Brexit” which rejects any </w:t>
      </w:r>
      <w:r w:rsidR="00625A55" w:rsidRPr="004842AA">
        <w:rPr>
          <w:rFonts w:ascii="Times New Roman" w:hAnsi="Times New Roman" w:cs="Times New Roman"/>
        </w:rPr>
        <w:t xml:space="preserve">form of </w:t>
      </w:r>
      <w:r w:rsidR="009D5BC2" w:rsidRPr="004842AA">
        <w:rPr>
          <w:rFonts w:ascii="Times New Roman" w:hAnsi="Times New Roman" w:cs="Times New Roman"/>
        </w:rPr>
        <w:t xml:space="preserve">regulatory alignment </w:t>
      </w:r>
      <w:r w:rsidR="00625A55" w:rsidRPr="004842AA">
        <w:rPr>
          <w:rFonts w:ascii="Times New Roman" w:hAnsi="Times New Roman" w:cs="Times New Roman"/>
        </w:rPr>
        <w:t>with the EU</w:t>
      </w:r>
      <w:r w:rsidR="00CE50A3" w:rsidRPr="004842AA">
        <w:rPr>
          <w:rFonts w:ascii="Times New Roman" w:hAnsi="Times New Roman" w:cs="Times New Roman"/>
        </w:rPr>
        <w:t>,</w:t>
      </w:r>
      <w:r w:rsidR="00625A55" w:rsidRPr="004842AA">
        <w:rPr>
          <w:rFonts w:ascii="Times New Roman" w:hAnsi="Times New Roman" w:cs="Times New Roman"/>
        </w:rPr>
        <w:t xml:space="preserve"> any form of supranational control over UK law in any area</w:t>
      </w:r>
      <w:r w:rsidR="00CE50A3" w:rsidRPr="004842AA">
        <w:rPr>
          <w:rFonts w:ascii="Times New Roman" w:hAnsi="Times New Roman" w:cs="Times New Roman"/>
        </w:rPr>
        <w:t xml:space="preserve">, or any constraint upon the future </w:t>
      </w:r>
      <w:r w:rsidR="00CE50A3" w:rsidRPr="004842AA">
        <w:rPr>
          <w:rFonts w:ascii="Times New Roman" w:hAnsi="Times New Roman" w:cs="Times New Roman"/>
        </w:rPr>
        <w:lastRenderedPageBreak/>
        <w:t>autonomy of the UK legal system in any way</w:t>
      </w:r>
      <w:r w:rsidRPr="004842AA">
        <w:rPr>
          <w:rFonts w:ascii="Times New Roman" w:hAnsi="Times New Roman" w:cs="Times New Roman"/>
        </w:rPr>
        <w:t>.</w:t>
      </w:r>
      <w:r w:rsidRPr="004842AA">
        <w:rPr>
          <w:rStyle w:val="FootnoteReference"/>
          <w:rFonts w:ascii="Times New Roman" w:hAnsi="Times New Roman" w:cs="Times New Roman"/>
        </w:rPr>
        <w:footnoteReference w:id="349"/>
      </w:r>
      <w:r w:rsidRPr="004842AA">
        <w:rPr>
          <w:rFonts w:ascii="Times New Roman" w:hAnsi="Times New Roman" w:cs="Times New Roman"/>
        </w:rPr>
        <w:t xml:space="preserve">  </w:t>
      </w:r>
      <w:r w:rsidR="009D5BC2" w:rsidRPr="00535F38">
        <w:rPr>
          <w:rFonts w:ascii="Times New Roman" w:hAnsi="Times New Roman" w:cs="Times New Roman"/>
        </w:rPr>
        <w:t>When more details</w:t>
      </w:r>
      <w:r w:rsidRPr="00535F38">
        <w:rPr>
          <w:rFonts w:ascii="Times New Roman" w:hAnsi="Times New Roman" w:cs="Times New Roman"/>
        </w:rPr>
        <w:t xml:space="preserve"> were released </w:t>
      </w:r>
      <w:r w:rsidR="009D5BC2" w:rsidRPr="00535F38">
        <w:rPr>
          <w:rFonts w:ascii="Times New Roman" w:hAnsi="Times New Roman" w:cs="Times New Roman"/>
        </w:rPr>
        <w:t xml:space="preserve">a few </w:t>
      </w:r>
      <w:r w:rsidR="00625A55" w:rsidRPr="00535F38">
        <w:rPr>
          <w:rFonts w:ascii="Times New Roman" w:hAnsi="Times New Roman" w:cs="Times New Roman"/>
        </w:rPr>
        <w:t>weeks</w:t>
      </w:r>
      <w:r w:rsidR="009D5BC2" w:rsidRPr="00535F38">
        <w:rPr>
          <w:rFonts w:ascii="Times New Roman" w:hAnsi="Times New Roman" w:cs="Times New Roman"/>
        </w:rPr>
        <w:t xml:space="preserve"> later</w:t>
      </w:r>
      <w:r w:rsidRPr="00535F38">
        <w:rPr>
          <w:rFonts w:ascii="Times New Roman" w:hAnsi="Times New Roman" w:cs="Times New Roman"/>
        </w:rPr>
        <w:t xml:space="preserve">, </w:t>
      </w:r>
      <w:r w:rsidR="00535F38">
        <w:rPr>
          <w:rFonts w:ascii="Times New Roman" w:hAnsi="Times New Roman" w:cs="Times New Roman"/>
        </w:rPr>
        <w:t xml:space="preserve">in the UK’s official “Approach to Negotiations”, </w:t>
      </w:r>
      <w:r w:rsidRPr="00535F38">
        <w:rPr>
          <w:rFonts w:ascii="Times New Roman" w:hAnsi="Times New Roman" w:cs="Times New Roman"/>
        </w:rPr>
        <w:t xml:space="preserve">it became clear that the UK was </w:t>
      </w:r>
      <w:r w:rsidR="00FA6C69">
        <w:rPr>
          <w:rFonts w:ascii="Times New Roman" w:hAnsi="Times New Roman" w:cs="Times New Roman"/>
        </w:rPr>
        <w:t xml:space="preserve">indeed </w:t>
      </w:r>
      <w:r w:rsidRPr="00535F38">
        <w:rPr>
          <w:rFonts w:ascii="Times New Roman" w:hAnsi="Times New Roman" w:cs="Times New Roman"/>
        </w:rPr>
        <w:t xml:space="preserve">intent on pursuing </w:t>
      </w:r>
      <w:r w:rsidR="009D5BC2" w:rsidRPr="00535F38">
        <w:rPr>
          <w:rFonts w:ascii="Times New Roman" w:hAnsi="Times New Roman" w:cs="Times New Roman"/>
        </w:rPr>
        <w:t>an even more distant model of future relations</w:t>
      </w:r>
      <w:r w:rsidRPr="00535F38">
        <w:rPr>
          <w:rFonts w:ascii="Times New Roman" w:hAnsi="Times New Roman" w:cs="Times New Roman"/>
        </w:rPr>
        <w:t xml:space="preserve"> </w:t>
      </w:r>
      <w:r w:rsidR="009D5BC2" w:rsidRPr="00535F38">
        <w:rPr>
          <w:rFonts w:ascii="Times New Roman" w:hAnsi="Times New Roman" w:cs="Times New Roman"/>
        </w:rPr>
        <w:t>with the Union (if indeed it had any genuine intention of reaching any serious agreement at all)</w:t>
      </w:r>
      <w:r w:rsidR="00535F38" w:rsidRPr="00535F38">
        <w:rPr>
          <w:rFonts w:ascii="Times New Roman" w:hAnsi="Times New Roman" w:cs="Times New Roman"/>
        </w:rPr>
        <w:t>.</w:t>
      </w:r>
      <w:r w:rsidR="009D5BC2" w:rsidRPr="00535F38">
        <w:rPr>
          <w:rStyle w:val="FootnoteReference"/>
          <w:rFonts w:ascii="Times New Roman" w:hAnsi="Times New Roman" w:cs="Times New Roman"/>
        </w:rPr>
        <w:footnoteReference w:id="350"/>
      </w:r>
      <w:r w:rsidR="00E307F7" w:rsidRPr="004842AA">
        <w:rPr>
          <w:rFonts w:ascii="Times New Roman" w:hAnsi="Times New Roman" w:cs="Times New Roman"/>
          <w:highlight w:val="green"/>
        </w:rPr>
        <w:t xml:space="preserve"> </w:t>
      </w:r>
    </w:p>
    <w:p w14:paraId="3DBC8581" w14:textId="77777777" w:rsidR="005F3860" w:rsidRDefault="00535F38" w:rsidP="005F3860">
      <w:pPr>
        <w:ind w:firstLine="720"/>
        <w:jc w:val="both"/>
        <w:rPr>
          <w:rFonts w:ascii="Times New Roman" w:hAnsi="Times New Roman" w:cs="Times New Roman"/>
          <w:lang w:val="en-US"/>
        </w:rPr>
      </w:pPr>
      <w:r w:rsidRPr="00535F38">
        <w:rPr>
          <w:rFonts w:ascii="Times New Roman" w:hAnsi="Times New Roman" w:cs="Times New Roman"/>
        </w:rPr>
        <w:t>The UK position as set out in February 2020 is not only a significant departure from the revised Political Declaration, but also light years away from the Union’s negotiating mandate in a variety of important respects.</w:t>
      </w:r>
      <w:r w:rsidRPr="00535F38">
        <w:rPr>
          <w:rStyle w:val="FootnoteReference"/>
          <w:rFonts w:ascii="Times New Roman" w:hAnsi="Times New Roman" w:cs="Times New Roman"/>
        </w:rPr>
        <w:footnoteReference w:id="351"/>
      </w:r>
    </w:p>
    <w:p w14:paraId="6FF81244" w14:textId="36A08A1C" w:rsidR="005F3860" w:rsidRDefault="00535F38" w:rsidP="005F3860">
      <w:pPr>
        <w:ind w:firstLine="720"/>
        <w:jc w:val="both"/>
        <w:rPr>
          <w:rFonts w:ascii="Times New Roman" w:hAnsi="Times New Roman" w:cs="Times New Roman"/>
          <w:lang w:val="en-US"/>
        </w:rPr>
      </w:pPr>
      <w:r w:rsidRPr="00FA6C69">
        <w:rPr>
          <w:rFonts w:ascii="Times New Roman" w:hAnsi="Times New Roman" w:cs="Times New Roman"/>
        </w:rPr>
        <w:t>First</w:t>
      </w:r>
      <w:r w:rsidR="00AC5D56">
        <w:rPr>
          <w:rFonts w:ascii="Times New Roman" w:hAnsi="Times New Roman" w:cs="Times New Roman"/>
        </w:rPr>
        <w:t xml:space="preserve"> and foremost</w:t>
      </w:r>
      <w:r w:rsidRPr="00FA6C69">
        <w:rPr>
          <w:rFonts w:ascii="Times New Roman" w:hAnsi="Times New Roman" w:cs="Times New Roman"/>
        </w:rPr>
        <w:t>,</w:t>
      </w:r>
      <w:r w:rsidR="00AC5D56">
        <w:rPr>
          <w:rFonts w:ascii="Times New Roman" w:hAnsi="Times New Roman" w:cs="Times New Roman"/>
        </w:rPr>
        <w:t xml:space="preserve"> the parties are embarking from very different (almost philosophical) starting points.  </w:t>
      </w:r>
      <w:r w:rsidR="000346FA">
        <w:rPr>
          <w:rFonts w:ascii="Times New Roman" w:hAnsi="Times New Roman" w:cs="Times New Roman"/>
        </w:rPr>
        <w:t xml:space="preserve">On the one hand, the </w:t>
      </w:r>
      <w:r w:rsidR="00AC5D56">
        <w:rPr>
          <w:rFonts w:ascii="Times New Roman" w:hAnsi="Times New Roman" w:cs="Times New Roman"/>
        </w:rPr>
        <w:t>Union regards its future relationship with the UK as of particular importance in terms of trade, security and strategic interests</w:t>
      </w:r>
      <w:r w:rsidR="000346FA">
        <w:rPr>
          <w:rFonts w:ascii="Times New Roman" w:hAnsi="Times New Roman" w:cs="Times New Roman"/>
        </w:rPr>
        <w:t>: the UK may be a third country, but it is in a unique situation relative to the Union – for a wide range of historical, geographical, demographic, economic and political reasons – which together call for an especially close relationship, not only in terms of privileges but also regards obligations.  On the other hand, the Johnson Government regards the EU-UK relationship almost with indifference – merely one component in the grand designs of “Global Britain”: trade can be conducted on terms similar to that offered to Canada or Japan; other interests can be managed through ad hoc arrangements if indeed there need to be any at all; nothing can intrude upon the sovereignty of the UK once it “fully recover[s] its economic and political independence”.</w:t>
      </w:r>
      <w:r w:rsidR="000346FA">
        <w:rPr>
          <w:rStyle w:val="FootnoteReference"/>
          <w:rFonts w:ascii="Times New Roman" w:hAnsi="Times New Roman" w:cs="Times New Roman"/>
        </w:rPr>
        <w:footnoteReference w:id="352"/>
      </w:r>
      <w:r w:rsidR="00E04179">
        <w:rPr>
          <w:rFonts w:ascii="Times New Roman" w:hAnsi="Times New Roman" w:cs="Times New Roman"/>
        </w:rPr>
        <w:t xml:space="preserve">  </w:t>
      </w:r>
      <w:r w:rsidR="00A43DF6">
        <w:rPr>
          <w:rFonts w:ascii="Times New Roman" w:hAnsi="Times New Roman" w:cs="Times New Roman"/>
        </w:rPr>
        <w:t>I</w:t>
      </w:r>
      <w:r w:rsidR="00E04179">
        <w:rPr>
          <w:rFonts w:ascii="Times New Roman" w:hAnsi="Times New Roman" w:cs="Times New Roman"/>
        </w:rPr>
        <w:t>f anything, we would do well to bear in mind that a substantial proportion of the UK’s current ruling party are ideologically hostile to the Union’s very existence: far from seeing these negotiations as the route to maintaining close and friendly cooperation, they measure the success of their beloved Brexit only relative to the damage it might inflict, and that they can blame, on the despised “EUSSR”.</w:t>
      </w:r>
      <w:r w:rsidR="00DC41E9">
        <w:rPr>
          <w:rStyle w:val="FootnoteReference"/>
          <w:rFonts w:ascii="Times New Roman" w:hAnsi="Times New Roman" w:cs="Times New Roman"/>
        </w:rPr>
        <w:footnoteReference w:id="353"/>
      </w:r>
    </w:p>
    <w:p w14:paraId="2336814B" w14:textId="444702F3" w:rsidR="005F3860" w:rsidRDefault="00535F38" w:rsidP="005F3860">
      <w:pPr>
        <w:ind w:firstLine="720"/>
        <w:jc w:val="both"/>
        <w:rPr>
          <w:rFonts w:ascii="Times New Roman" w:hAnsi="Times New Roman" w:cs="Times New Roman"/>
          <w:lang w:val="en-US"/>
        </w:rPr>
      </w:pPr>
      <w:r w:rsidRPr="00FA6C69">
        <w:rPr>
          <w:rFonts w:ascii="Times New Roman" w:hAnsi="Times New Roman" w:cs="Times New Roman"/>
        </w:rPr>
        <w:t>Secondly,</w:t>
      </w:r>
      <w:r w:rsidR="000346FA">
        <w:rPr>
          <w:rFonts w:ascii="Times New Roman" w:hAnsi="Times New Roman" w:cs="Times New Roman"/>
        </w:rPr>
        <w:t xml:space="preserve"> the UK has thrown the </w:t>
      </w:r>
      <w:r w:rsidR="00B63707">
        <w:rPr>
          <w:rFonts w:ascii="Times New Roman" w:hAnsi="Times New Roman" w:cs="Times New Roman"/>
        </w:rPr>
        <w:t xml:space="preserve">very </w:t>
      </w:r>
      <w:r w:rsidR="000346FA">
        <w:rPr>
          <w:rFonts w:ascii="Times New Roman" w:hAnsi="Times New Roman" w:cs="Times New Roman"/>
        </w:rPr>
        <w:t xml:space="preserve">scope and structure of the future relationship entirely into the air.  Whereas the EU bases its mandate on the </w:t>
      </w:r>
      <w:r w:rsidR="00B63707">
        <w:rPr>
          <w:rFonts w:ascii="Times New Roman" w:hAnsi="Times New Roman" w:cs="Times New Roman"/>
        </w:rPr>
        <w:t xml:space="preserve">vision of an </w:t>
      </w:r>
      <w:r w:rsidR="00E04179">
        <w:rPr>
          <w:rFonts w:ascii="Times New Roman" w:hAnsi="Times New Roman" w:cs="Times New Roman"/>
        </w:rPr>
        <w:t xml:space="preserve">overall </w:t>
      </w:r>
      <w:r w:rsidR="000346FA">
        <w:rPr>
          <w:rFonts w:ascii="Times New Roman" w:hAnsi="Times New Roman" w:cs="Times New Roman"/>
        </w:rPr>
        <w:t xml:space="preserve">institutional framework </w:t>
      </w:r>
      <w:r w:rsidR="00B63707">
        <w:rPr>
          <w:rFonts w:ascii="Times New Roman" w:hAnsi="Times New Roman" w:cs="Times New Roman"/>
        </w:rPr>
        <w:t xml:space="preserve">plus </w:t>
      </w:r>
      <w:r w:rsidR="00E04179">
        <w:rPr>
          <w:rFonts w:ascii="Times New Roman" w:hAnsi="Times New Roman" w:cs="Times New Roman"/>
        </w:rPr>
        <w:t xml:space="preserve">broad </w:t>
      </w:r>
      <w:r w:rsidR="000346FA">
        <w:rPr>
          <w:rFonts w:ascii="Times New Roman" w:hAnsi="Times New Roman" w:cs="Times New Roman"/>
        </w:rPr>
        <w:t xml:space="preserve">economic </w:t>
      </w:r>
      <w:r w:rsidR="00E04179">
        <w:rPr>
          <w:rFonts w:ascii="Times New Roman" w:hAnsi="Times New Roman" w:cs="Times New Roman"/>
        </w:rPr>
        <w:t xml:space="preserve">and </w:t>
      </w:r>
      <w:r w:rsidR="000346FA">
        <w:rPr>
          <w:rFonts w:ascii="Times New Roman" w:hAnsi="Times New Roman" w:cs="Times New Roman"/>
        </w:rPr>
        <w:t xml:space="preserve">security partnerships </w:t>
      </w:r>
      <w:r w:rsidR="00B63707">
        <w:rPr>
          <w:rFonts w:ascii="Times New Roman" w:hAnsi="Times New Roman" w:cs="Times New Roman"/>
        </w:rPr>
        <w:t xml:space="preserve">as </w:t>
      </w:r>
      <w:r w:rsidR="000346FA">
        <w:rPr>
          <w:rFonts w:ascii="Times New Roman" w:hAnsi="Times New Roman" w:cs="Times New Roman"/>
        </w:rPr>
        <w:t xml:space="preserve">agreed in October 2019, the Johnson Government now rejects </w:t>
      </w:r>
      <w:r w:rsidR="00B63707">
        <w:rPr>
          <w:rFonts w:ascii="Times New Roman" w:hAnsi="Times New Roman" w:cs="Times New Roman"/>
        </w:rPr>
        <w:t xml:space="preserve">the idea of </w:t>
      </w:r>
      <w:r w:rsidR="000346FA">
        <w:rPr>
          <w:rFonts w:ascii="Times New Roman" w:hAnsi="Times New Roman" w:cs="Times New Roman"/>
        </w:rPr>
        <w:t xml:space="preserve">any </w:t>
      </w:r>
      <w:r w:rsidR="00B63707">
        <w:rPr>
          <w:rFonts w:ascii="Times New Roman" w:hAnsi="Times New Roman" w:cs="Times New Roman"/>
        </w:rPr>
        <w:t xml:space="preserve">such </w:t>
      </w:r>
      <w:r w:rsidR="000346FA">
        <w:rPr>
          <w:rFonts w:ascii="Times New Roman" w:hAnsi="Times New Roman" w:cs="Times New Roman"/>
        </w:rPr>
        <w:t xml:space="preserve">comprehensive framework.  Instead, the UK proposes only a free trade agreement; together with a series of more limited </w:t>
      </w:r>
      <w:r w:rsidR="00B63707">
        <w:rPr>
          <w:rFonts w:ascii="Times New Roman" w:hAnsi="Times New Roman" w:cs="Times New Roman"/>
        </w:rPr>
        <w:t xml:space="preserve">and entirely separate </w:t>
      </w:r>
      <w:r w:rsidR="000346FA">
        <w:rPr>
          <w:rFonts w:ascii="Times New Roman" w:hAnsi="Times New Roman" w:cs="Times New Roman"/>
        </w:rPr>
        <w:t>agreements on specific issues (</w:t>
      </w:r>
      <w:r w:rsidR="00B63707">
        <w:rPr>
          <w:rFonts w:ascii="Times New Roman" w:hAnsi="Times New Roman" w:cs="Times New Roman"/>
        </w:rPr>
        <w:t xml:space="preserve">providing for cooperation in sectors such as </w:t>
      </w:r>
      <w:r w:rsidR="000346FA">
        <w:rPr>
          <w:rFonts w:ascii="Times New Roman" w:hAnsi="Times New Roman" w:cs="Times New Roman"/>
        </w:rPr>
        <w:t>air transport, energy</w:t>
      </w:r>
      <w:r w:rsidR="00B63707">
        <w:rPr>
          <w:rFonts w:ascii="Times New Roman" w:hAnsi="Times New Roman" w:cs="Times New Roman"/>
        </w:rPr>
        <w:t xml:space="preserve">, </w:t>
      </w:r>
      <w:r w:rsidR="000346FA">
        <w:rPr>
          <w:rFonts w:ascii="Times New Roman" w:hAnsi="Times New Roman" w:cs="Times New Roman"/>
        </w:rPr>
        <w:t>nuclear</w:t>
      </w:r>
      <w:r w:rsidR="00B63707">
        <w:rPr>
          <w:rFonts w:ascii="Times New Roman" w:hAnsi="Times New Roman" w:cs="Times New Roman"/>
        </w:rPr>
        <w:t xml:space="preserve"> and law enforcement / criminal justice).  The concept of a distinct security partnership (including any particular provisions on foreign policy, security or defence) simply disappears.</w:t>
      </w:r>
      <w:r w:rsidR="00E04179">
        <w:rPr>
          <w:rStyle w:val="FootnoteReference"/>
          <w:rFonts w:ascii="Times New Roman" w:hAnsi="Times New Roman" w:cs="Times New Roman"/>
        </w:rPr>
        <w:footnoteReference w:id="354"/>
      </w:r>
      <w:r w:rsidR="00B63707">
        <w:rPr>
          <w:rFonts w:ascii="Times New Roman" w:hAnsi="Times New Roman" w:cs="Times New Roman"/>
        </w:rPr>
        <w:t xml:space="preserve">  </w:t>
      </w:r>
      <w:r w:rsidR="00B63707">
        <w:rPr>
          <w:rFonts w:ascii="Times New Roman" w:hAnsi="Times New Roman" w:cs="Times New Roman"/>
        </w:rPr>
        <w:lastRenderedPageBreak/>
        <w:t xml:space="preserve">And the UK </w:t>
      </w:r>
      <w:r w:rsidR="00E04179">
        <w:rPr>
          <w:rFonts w:ascii="Times New Roman" w:hAnsi="Times New Roman" w:cs="Times New Roman"/>
        </w:rPr>
        <w:t xml:space="preserve">shows no </w:t>
      </w:r>
      <w:r w:rsidR="008E6AE6">
        <w:rPr>
          <w:rFonts w:ascii="Times New Roman" w:hAnsi="Times New Roman" w:cs="Times New Roman"/>
        </w:rPr>
        <w:t xml:space="preserve">particular </w:t>
      </w:r>
      <w:r w:rsidR="00E04179">
        <w:rPr>
          <w:rFonts w:ascii="Times New Roman" w:hAnsi="Times New Roman" w:cs="Times New Roman"/>
        </w:rPr>
        <w:t xml:space="preserve">interest in any more </w:t>
      </w:r>
      <w:r w:rsidR="00B63707">
        <w:rPr>
          <w:rFonts w:ascii="Times New Roman" w:hAnsi="Times New Roman" w:cs="Times New Roman"/>
        </w:rPr>
        <w:t xml:space="preserve">general </w:t>
      </w:r>
      <w:r w:rsidR="00E04179">
        <w:rPr>
          <w:rFonts w:ascii="Times New Roman" w:hAnsi="Times New Roman" w:cs="Times New Roman"/>
        </w:rPr>
        <w:t xml:space="preserve">expression of common values; </w:t>
      </w:r>
      <w:r w:rsidR="008E6AE6">
        <w:rPr>
          <w:rFonts w:ascii="Times New Roman" w:hAnsi="Times New Roman" w:cs="Times New Roman"/>
        </w:rPr>
        <w:t xml:space="preserve">in institutionalised structures to engage in overall strategic discussions; </w:t>
      </w:r>
      <w:r w:rsidR="00E04179">
        <w:rPr>
          <w:rFonts w:ascii="Times New Roman" w:hAnsi="Times New Roman" w:cs="Times New Roman"/>
        </w:rPr>
        <w:t xml:space="preserve">or </w:t>
      </w:r>
      <w:r w:rsidR="008E6AE6">
        <w:rPr>
          <w:rFonts w:ascii="Times New Roman" w:hAnsi="Times New Roman" w:cs="Times New Roman"/>
        </w:rPr>
        <w:t xml:space="preserve">in regular opportunities for </w:t>
      </w:r>
      <w:r w:rsidR="00B63707">
        <w:rPr>
          <w:rFonts w:ascii="Times New Roman" w:hAnsi="Times New Roman" w:cs="Times New Roman"/>
        </w:rPr>
        <w:t>dialogue on matters of mutual interest.</w:t>
      </w:r>
      <w:r w:rsidR="00E04179">
        <w:rPr>
          <w:rFonts w:ascii="Times New Roman" w:hAnsi="Times New Roman" w:cs="Times New Roman"/>
        </w:rPr>
        <w:t xml:space="preserve">  Indeed, the UK has remarkably little to say at all on the entire subject of governance – concentrating its energy on </w:t>
      </w:r>
      <w:r w:rsidR="008E6AE6">
        <w:rPr>
          <w:rFonts w:ascii="Times New Roman" w:hAnsi="Times New Roman" w:cs="Times New Roman"/>
        </w:rPr>
        <w:t xml:space="preserve">repeatedly asserting </w:t>
      </w:r>
      <w:r w:rsidR="00E04179">
        <w:rPr>
          <w:rFonts w:ascii="Times New Roman" w:hAnsi="Times New Roman" w:cs="Times New Roman"/>
        </w:rPr>
        <w:t xml:space="preserve">the </w:t>
      </w:r>
      <w:r w:rsidR="008E6AE6">
        <w:rPr>
          <w:rFonts w:ascii="Times New Roman" w:hAnsi="Times New Roman" w:cs="Times New Roman"/>
        </w:rPr>
        <w:t xml:space="preserve">importance of its own </w:t>
      </w:r>
      <w:r w:rsidR="00E04179">
        <w:rPr>
          <w:rFonts w:ascii="Times New Roman" w:hAnsi="Times New Roman" w:cs="Times New Roman"/>
        </w:rPr>
        <w:t>untrammelled sovereignty.</w:t>
      </w:r>
      <w:r w:rsidR="0097008D">
        <w:rPr>
          <w:rStyle w:val="FootnoteReference"/>
          <w:rFonts w:ascii="Times New Roman" w:hAnsi="Times New Roman" w:cs="Times New Roman"/>
        </w:rPr>
        <w:footnoteReference w:id="355"/>
      </w:r>
    </w:p>
    <w:p w14:paraId="3C92B869" w14:textId="07ABB4D8" w:rsidR="005F3860" w:rsidRDefault="00535F38" w:rsidP="005F3860">
      <w:pPr>
        <w:ind w:firstLine="720"/>
        <w:jc w:val="both"/>
        <w:rPr>
          <w:rFonts w:ascii="Times New Roman" w:hAnsi="Times New Roman" w:cs="Times New Roman"/>
          <w:lang w:val="en-US"/>
        </w:rPr>
      </w:pPr>
      <w:r w:rsidRPr="00FA6C69">
        <w:rPr>
          <w:rFonts w:ascii="Times New Roman" w:hAnsi="Times New Roman" w:cs="Times New Roman"/>
        </w:rPr>
        <w:t>Thirdly,</w:t>
      </w:r>
      <w:r w:rsidR="00B63707">
        <w:rPr>
          <w:rFonts w:ascii="Times New Roman" w:hAnsi="Times New Roman" w:cs="Times New Roman"/>
        </w:rPr>
        <w:t xml:space="preserve"> even within the economic partnership / free trade agreement, the two parties are simply diametrically opposed on the central question of the nature of a level playing field to guarantee free and fair competition.  The Union takes the Political Declaration as its starting point but significantly fleshes out the implications and expectations</w:t>
      </w:r>
      <w:r w:rsidR="00AC7BCD">
        <w:rPr>
          <w:rFonts w:ascii="Times New Roman" w:hAnsi="Times New Roman" w:cs="Times New Roman"/>
        </w:rPr>
        <w:t xml:space="preserve"> – based on the maxim, “no tariffs, no quotas, no dumping”</w:t>
      </w:r>
      <w:r w:rsidR="00B63707">
        <w:rPr>
          <w:rFonts w:ascii="Times New Roman" w:hAnsi="Times New Roman" w:cs="Times New Roman"/>
        </w:rPr>
        <w:t>.</w:t>
      </w:r>
      <w:r w:rsidR="00AC7BCD">
        <w:rPr>
          <w:rStyle w:val="FootnoteReference"/>
          <w:rFonts w:ascii="Times New Roman" w:hAnsi="Times New Roman" w:cs="Times New Roman"/>
        </w:rPr>
        <w:footnoteReference w:id="356"/>
      </w:r>
      <w:r w:rsidR="00B63707">
        <w:rPr>
          <w:rFonts w:ascii="Times New Roman" w:hAnsi="Times New Roman" w:cs="Times New Roman"/>
        </w:rPr>
        <w:t xml:space="preserve">  In fields such as employment and the environment, the parties should uphold Union standards as they stand at the end of transition; but there should also be a mechanism for raising standards over time – using Union law as a reference point and with an additional commitment to non-regression for the purposes of encouraging trade / investment;</w:t>
      </w:r>
      <w:r w:rsidR="005D740A">
        <w:rPr>
          <w:rStyle w:val="FootnoteReference"/>
          <w:rFonts w:ascii="Times New Roman" w:hAnsi="Times New Roman" w:cs="Times New Roman"/>
        </w:rPr>
        <w:footnoteReference w:id="357"/>
      </w:r>
      <w:r w:rsidR="00B63707">
        <w:rPr>
          <w:rFonts w:ascii="Times New Roman" w:hAnsi="Times New Roman" w:cs="Times New Roman"/>
        </w:rPr>
        <w:t xml:space="preserve"> </w:t>
      </w:r>
      <w:r w:rsidR="00297AFF">
        <w:rPr>
          <w:rFonts w:ascii="Times New Roman" w:hAnsi="Times New Roman" w:cs="Times New Roman"/>
        </w:rPr>
        <w:t xml:space="preserve">and the Union should be able to take autonomous measures to react quickly against relevant disruptions in competition.  In the realm of state aid, the Commission’s mandate goes even further: Union law should apply to and in the UK on a dynamic basis, enforced by an independent UK authority working closely with the Commission, and amenable to dispute settlement through arbitration (subject to </w:t>
      </w:r>
      <w:r w:rsidR="0045110D">
        <w:rPr>
          <w:rFonts w:ascii="Times New Roman" w:hAnsi="Times New Roman" w:cs="Times New Roman"/>
        </w:rPr>
        <w:t>adequate protections for the autonomy of Union law</w:t>
      </w:r>
      <w:r w:rsidR="00297AFF">
        <w:rPr>
          <w:rFonts w:ascii="Times New Roman" w:hAnsi="Times New Roman" w:cs="Times New Roman"/>
        </w:rPr>
        <w:t xml:space="preserve">).  In stark contrast, the UK entirely downplays the importance of the level playing field and renounces the approach agreed in the Political Declaration: the UK will enact its own state aid regime and disputes over its application should not be amenable to dispute settlement under the agreement; similarly, the UK’s autonomous standards on employment and environmental protection should </w:t>
      </w:r>
      <w:r w:rsidR="000F20D2">
        <w:rPr>
          <w:rFonts w:ascii="Times New Roman" w:hAnsi="Times New Roman" w:cs="Times New Roman"/>
        </w:rPr>
        <w:t xml:space="preserve">merely be subject to a non-regression duty </w:t>
      </w:r>
      <w:r w:rsidR="00023968">
        <w:rPr>
          <w:rFonts w:ascii="Times New Roman" w:hAnsi="Times New Roman" w:cs="Times New Roman"/>
        </w:rPr>
        <w:t xml:space="preserve">specifically </w:t>
      </w:r>
      <w:r w:rsidR="000F20D2">
        <w:rPr>
          <w:rFonts w:ascii="Times New Roman" w:hAnsi="Times New Roman" w:cs="Times New Roman"/>
        </w:rPr>
        <w:t>on grounds of encouraging trade / investment.</w:t>
      </w:r>
    </w:p>
    <w:p w14:paraId="79C32817" w14:textId="6658CAE9" w:rsidR="005F3860" w:rsidRDefault="00535F38" w:rsidP="005F3860">
      <w:pPr>
        <w:ind w:firstLine="720"/>
        <w:jc w:val="both"/>
        <w:rPr>
          <w:rFonts w:ascii="Times New Roman" w:hAnsi="Times New Roman" w:cs="Times New Roman"/>
          <w:lang w:val="en-US"/>
        </w:rPr>
      </w:pPr>
      <w:r w:rsidRPr="00FA6C69">
        <w:rPr>
          <w:rFonts w:ascii="Times New Roman" w:hAnsi="Times New Roman" w:cs="Times New Roman"/>
        </w:rPr>
        <w:t>Fourthly,</w:t>
      </w:r>
      <w:r w:rsidR="000F20D2">
        <w:rPr>
          <w:rFonts w:ascii="Times New Roman" w:hAnsi="Times New Roman" w:cs="Times New Roman"/>
        </w:rPr>
        <w:t xml:space="preserve"> an equally wide chasm separates the parties </w:t>
      </w:r>
      <w:r w:rsidR="00963D18">
        <w:rPr>
          <w:rFonts w:ascii="Times New Roman" w:hAnsi="Times New Roman" w:cs="Times New Roman"/>
        </w:rPr>
        <w:t>over</w:t>
      </w:r>
      <w:r w:rsidR="000F20D2">
        <w:rPr>
          <w:rFonts w:ascii="Times New Roman" w:hAnsi="Times New Roman" w:cs="Times New Roman"/>
        </w:rPr>
        <w:t xml:space="preserve"> the vexed question of fisheries.  Besides cooperation over the conservation and management of fish stocks, the Union’s primary objective is to maintain the status quo as regards reciprocal access to waters and </w:t>
      </w:r>
      <w:r w:rsidR="00963D18">
        <w:rPr>
          <w:rFonts w:ascii="Times New Roman" w:hAnsi="Times New Roman" w:cs="Times New Roman"/>
        </w:rPr>
        <w:t xml:space="preserve">the allocation of </w:t>
      </w:r>
      <w:r w:rsidR="000F20D2">
        <w:rPr>
          <w:rFonts w:ascii="Times New Roman" w:hAnsi="Times New Roman" w:cs="Times New Roman"/>
        </w:rPr>
        <w:t xml:space="preserve">quota shares, so as to avoid economic dislocation for Union fishermen that have carried out activities in UK </w:t>
      </w:r>
      <w:r w:rsidR="00963D18">
        <w:rPr>
          <w:rFonts w:ascii="Times New Roman" w:hAnsi="Times New Roman" w:cs="Times New Roman"/>
        </w:rPr>
        <w:t>seas</w:t>
      </w:r>
      <w:r w:rsidR="000F20D2">
        <w:rPr>
          <w:rFonts w:ascii="Times New Roman" w:hAnsi="Times New Roman" w:cs="Times New Roman"/>
        </w:rPr>
        <w:t xml:space="preserve"> – </w:t>
      </w:r>
      <w:r w:rsidR="00963D18">
        <w:rPr>
          <w:rFonts w:ascii="Times New Roman" w:hAnsi="Times New Roman" w:cs="Times New Roman"/>
        </w:rPr>
        <w:t xml:space="preserve">explicitly </w:t>
      </w:r>
      <w:r w:rsidR="000F20D2">
        <w:rPr>
          <w:rFonts w:ascii="Times New Roman" w:hAnsi="Times New Roman" w:cs="Times New Roman"/>
        </w:rPr>
        <w:t xml:space="preserve">linking the conclusion of such an agreement to the conditions for UK access to the Single Market.  However, the UK </w:t>
      </w:r>
      <w:r w:rsidR="00963D18">
        <w:rPr>
          <w:rFonts w:ascii="Times New Roman" w:hAnsi="Times New Roman" w:cs="Times New Roman"/>
        </w:rPr>
        <w:t xml:space="preserve">wants trade in fisheries products to be dealt with under the proposed FTA, with an entirely separate agreement on access to waters and cooperation on conservation and management issues – based on annual negotiations; rejecting the relative stability mechanism employed under Union law; and with </w:t>
      </w:r>
      <w:r w:rsidR="00023968">
        <w:rPr>
          <w:rFonts w:ascii="Times New Roman" w:hAnsi="Times New Roman" w:cs="Times New Roman"/>
        </w:rPr>
        <w:t xml:space="preserve">a </w:t>
      </w:r>
      <w:r w:rsidR="00963D18">
        <w:rPr>
          <w:rFonts w:ascii="Times New Roman" w:hAnsi="Times New Roman" w:cs="Times New Roman"/>
        </w:rPr>
        <w:t xml:space="preserve">heavy emphasis on combatting illegal fishing activities.  </w:t>
      </w:r>
    </w:p>
    <w:p w14:paraId="5814A2C5" w14:textId="67AFFB6C" w:rsidR="005F3860" w:rsidRDefault="000F20D2" w:rsidP="005F3860">
      <w:pPr>
        <w:ind w:firstLine="720"/>
        <w:jc w:val="both"/>
        <w:rPr>
          <w:rFonts w:ascii="Times New Roman" w:hAnsi="Times New Roman" w:cs="Times New Roman"/>
          <w:lang w:val="en-US"/>
        </w:rPr>
      </w:pPr>
      <w:r>
        <w:rPr>
          <w:rFonts w:ascii="Times New Roman" w:hAnsi="Times New Roman" w:cs="Times New Roman"/>
        </w:rPr>
        <w:t xml:space="preserve">Fifthly, </w:t>
      </w:r>
      <w:r w:rsidR="00F8464C">
        <w:rPr>
          <w:rFonts w:ascii="Times New Roman" w:hAnsi="Times New Roman" w:cs="Times New Roman"/>
        </w:rPr>
        <w:t xml:space="preserve">major divergences in approach are apparent </w:t>
      </w:r>
      <w:r w:rsidR="00023968">
        <w:rPr>
          <w:rFonts w:ascii="Times New Roman" w:hAnsi="Times New Roman" w:cs="Times New Roman"/>
        </w:rPr>
        <w:t xml:space="preserve">as regards </w:t>
      </w:r>
      <w:r w:rsidR="00F8464C">
        <w:rPr>
          <w:rFonts w:ascii="Times New Roman" w:hAnsi="Times New Roman" w:cs="Times New Roman"/>
        </w:rPr>
        <w:t xml:space="preserve">not only the </w:t>
      </w:r>
      <w:r w:rsidR="00023968">
        <w:rPr>
          <w:rFonts w:ascii="Times New Roman" w:hAnsi="Times New Roman" w:cs="Times New Roman"/>
        </w:rPr>
        <w:t>economic partnership</w:t>
      </w:r>
      <w:r w:rsidR="00F8464C">
        <w:rPr>
          <w:rFonts w:ascii="Times New Roman" w:hAnsi="Times New Roman" w:cs="Times New Roman"/>
        </w:rPr>
        <w:t xml:space="preserve"> but also security cooperation.  For example, the Union insists that, </w:t>
      </w:r>
      <w:r w:rsidR="00F8464C">
        <w:rPr>
          <w:rFonts w:ascii="Times New Roman" w:hAnsi="Times New Roman" w:cs="Times New Roman"/>
        </w:rPr>
        <w:lastRenderedPageBreak/>
        <w:t xml:space="preserve">as part of the essential conditions that underpin their entire future relationship, the UK must uphold existing human rights commitments as provided for under the ECHR.  In the context of the proposed security partnership, the Commission’s mandate goes even further: should the UK denounce the ECHR, the provisions on law enforcement and judicial cooperation in criminal matters should be automatically terminated; while if the UK were to change its domestic law so as to deprive the ECHR of direct internal legal effects, </w:t>
      </w:r>
      <w:r w:rsidR="00CC269B">
        <w:rPr>
          <w:rFonts w:ascii="Times New Roman" w:hAnsi="Times New Roman" w:cs="Times New Roman"/>
        </w:rPr>
        <w:t xml:space="preserve">those </w:t>
      </w:r>
      <w:r w:rsidR="00F8464C">
        <w:rPr>
          <w:rFonts w:ascii="Times New Roman" w:hAnsi="Times New Roman" w:cs="Times New Roman"/>
        </w:rPr>
        <w:t>same provisions should be automatically suspended.</w:t>
      </w:r>
      <w:r w:rsidR="00CC269B">
        <w:rPr>
          <w:rFonts w:ascii="Times New Roman" w:hAnsi="Times New Roman" w:cs="Times New Roman"/>
        </w:rPr>
        <w:t xml:space="preserve">  The UK Government once again takes a highly sovereigntist approach: its more narrow agreement on security cooperation must not constrain the UK’s autonomy in any way, including by specifying how the UK should protect human rights within its own legal system; </w:t>
      </w:r>
      <w:r w:rsidR="00DC41E9">
        <w:rPr>
          <w:rFonts w:ascii="Times New Roman" w:hAnsi="Times New Roman" w:cs="Times New Roman"/>
        </w:rPr>
        <w:t>though</w:t>
      </w:r>
      <w:r w:rsidR="00CC269B">
        <w:rPr>
          <w:rFonts w:ascii="Times New Roman" w:hAnsi="Times New Roman" w:cs="Times New Roman"/>
        </w:rPr>
        <w:t xml:space="preserve"> the treaty should include a general and unrestricted power for either party to suspend or terminate its provisions in whole or in part.</w:t>
      </w:r>
      <w:r w:rsidR="0045110D">
        <w:rPr>
          <w:rStyle w:val="FootnoteReference"/>
          <w:rFonts w:ascii="Times New Roman" w:hAnsi="Times New Roman" w:cs="Times New Roman"/>
        </w:rPr>
        <w:footnoteReference w:id="358"/>
      </w:r>
    </w:p>
    <w:p w14:paraId="4F23DE3F" w14:textId="654D3A52" w:rsidR="005F3860" w:rsidRDefault="00963D18" w:rsidP="005F3860">
      <w:pPr>
        <w:ind w:firstLine="720"/>
        <w:jc w:val="both"/>
        <w:rPr>
          <w:rFonts w:ascii="Times New Roman" w:hAnsi="Times New Roman" w:cs="Times New Roman"/>
          <w:lang w:val="en-US"/>
        </w:rPr>
      </w:pPr>
      <w:r w:rsidRPr="003A5A49">
        <w:rPr>
          <w:rFonts w:ascii="Times New Roman" w:hAnsi="Times New Roman" w:cs="Times New Roman"/>
        </w:rPr>
        <w:t>Last but far from least, the parties hold very different views on the timescales for negotiating their future partnership.  While the EU continues both to stress the difficulty of achieving agreement before the end of 2020 and to highlight the possibili</w:t>
      </w:r>
      <w:r w:rsidR="006861A1">
        <w:rPr>
          <w:rFonts w:ascii="Times New Roman" w:hAnsi="Times New Roman" w:cs="Times New Roman"/>
        </w:rPr>
        <w:t>ty of extending the transition</w:t>
      </w:r>
      <w:r w:rsidRPr="003A5A49">
        <w:rPr>
          <w:rFonts w:ascii="Times New Roman" w:hAnsi="Times New Roman" w:cs="Times New Roman"/>
        </w:rPr>
        <w:t xml:space="preserve"> period in accordance with Article 132 WA, the UK Government has declared itself absolutely adamant that there will be no such extension</w:t>
      </w:r>
      <w:r w:rsidR="003A5A49">
        <w:rPr>
          <w:rFonts w:ascii="Times New Roman" w:hAnsi="Times New Roman" w:cs="Times New Roman"/>
        </w:rPr>
        <w:t xml:space="preserve"> under any circumstances</w:t>
      </w:r>
      <w:r w:rsidRPr="003A5A49">
        <w:rPr>
          <w:rFonts w:ascii="Times New Roman" w:hAnsi="Times New Roman" w:cs="Times New Roman"/>
        </w:rPr>
        <w:t xml:space="preserve"> – not only in its general election manifesto,</w:t>
      </w:r>
      <w:r w:rsidR="003A5A49" w:rsidRPr="003A5A49">
        <w:rPr>
          <w:rStyle w:val="FootnoteReference"/>
          <w:rFonts w:ascii="Times New Roman" w:hAnsi="Times New Roman" w:cs="Times New Roman"/>
        </w:rPr>
        <w:footnoteReference w:id="359"/>
      </w:r>
      <w:r w:rsidRPr="003A5A49">
        <w:rPr>
          <w:rFonts w:ascii="Times New Roman" w:hAnsi="Times New Roman" w:cs="Times New Roman"/>
        </w:rPr>
        <w:t xml:space="preserve"> but also </w:t>
      </w:r>
      <w:r w:rsidR="003A5A49" w:rsidRPr="003A5A49">
        <w:rPr>
          <w:rFonts w:ascii="Times New Roman" w:hAnsi="Times New Roman" w:cs="Times New Roman"/>
        </w:rPr>
        <w:t>in major policy statements since December 2019,</w:t>
      </w:r>
      <w:r w:rsidR="003A5A49" w:rsidRPr="003A5A49">
        <w:rPr>
          <w:rStyle w:val="FootnoteReference"/>
          <w:rFonts w:ascii="Times New Roman" w:hAnsi="Times New Roman" w:cs="Times New Roman"/>
        </w:rPr>
        <w:footnoteReference w:id="360"/>
      </w:r>
      <w:r w:rsidR="003A5A49" w:rsidRPr="003A5A49">
        <w:rPr>
          <w:rFonts w:ascii="Times New Roman" w:hAnsi="Times New Roman" w:cs="Times New Roman"/>
        </w:rPr>
        <w:t xml:space="preserve"> and indeed </w:t>
      </w:r>
      <w:r w:rsidR="00023968">
        <w:rPr>
          <w:rFonts w:ascii="Times New Roman" w:hAnsi="Times New Roman" w:cs="Times New Roman"/>
        </w:rPr>
        <w:t xml:space="preserve">now </w:t>
      </w:r>
      <w:r w:rsidR="003A5A49" w:rsidRPr="003A5A49">
        <w:rPr>
          <w:rFonts w:ascii="Times New Roman" w:hAnsi="Times New Roman" w:cs="Times New Roman"/>
        </w:rPr>
        <w:t xml:space="preserve">explicitly enshrined in </w:t>
      </w:r>
      <w:r w:rsidR="00C6248B">
        <w:rPr>
          <w:rFonts w:ascii="Times New Roman" w:hAnsi="Times New Roman" w:cs="Times New Roman"/>
        </w:rPr>
        <w:t>primary legislation</w:t>
      </w:r>
      <w:r w:rsidRPr="003A5A49">
        <w:rPr>
          <w:rFonts w:ascii="Times New Roman" w:hAnsi="Times New Roman" w:cs="Times New Roman"/>
        </w:rPr>
        <w:t>.</w:t>
      </w:r>
      <w:r w:rsidR="003A5A49" w:rsidRPr="003A5A49">
        <w:rPr>
          <w:rStyle w:val="FootnoteReference"/>
          <w:rFonts w:ascii="Times New Roman" w:hAnsi="Times New Roman" w:cs="Times New Roman"/>
        </w:rPr>
        <w:footnoteReference w:id="361"/>
      </w:r>
      <w:r w:rsidR="006861A1">
        <w:rPr>
          <w:rFonts w:ascii="Times New Roman" w:hAnsi="Times New Roman" w:cs="Times New Roman"/>
        </w:rPr>
        <w:t xml:space="preserve">  Thus, the transition</w:t>
      </w:r>
      <w:r w:rsidRPr="003A5A49">
        <w:rPr>
          <w:rFonts w:ascii="Times New Roman" w:hAnsi="Times New Roman" w:cs="Times New Roman"/>
        </w:rPr>
        <w:t xml:space="preserve"> period </w:t>
      </w:r>
      <w:r w:rsidR="003A5A49" w:rsidRPr="003A5A49">
        <w:rPr>
          <w:rFonts w:ascii="Times New Roman" w:hAnsi="Times New Roman" w:cs="Times New Roman"/>
        </w:rPr>
        <w:t xml:space="preserve">looks set to expire </w:t>
      </w:r>
      <w:r w:rsidRPr="003A5A49">
        <w:rPr>
          <w:rFonts w:ascii="Times New Roman" w:hAnsi="Times New Roman" w:cs="Times New Roman"/>
        </w:rPr>
        <w:t xml:space="preserve">on 31 December 2020 and the new EU-UK relationship will commence on the basis of whatever </w:t>
      </w:r>
      <w:r w:rsidR="003A5A49" w:rsidRPr="003A5A49">
        <w:rPr>
          <w:rFonts w:ascii="Times New Roman" w:hAnsi="Times New Roman" w:cs="Times New Roman"/>
        </w:rPr>
        <w:t xml:space="preserve">happens to be </w:t>
      </w:r>
      <w:r w:rsidRPr="003A5A49">
        <w:rPr>
          <w:rFonts w:ascii="Times New Roman" w:hAnsi="Times New Roman" w:cs="Times New Roman"/>
        </w:rPr>
        <w:t xml:space="preserve">in place after that date.  </w:t>
      </w:r>
      <w:r w:rsidR="003A5A49" w:rsidRPr="003A5A49">
        <w:rPr>
          <w:rFonts w:ascii="Times New Roman" w:hAnsi="Times New Roman" w:cs="Times New Roman"/>
        </w:rPr>
        <w:t xml:space="preserve">For the UK: if that means “no deal” (now disingenuously described as an </w:t>
      </w:r>
      <w:r w:rsidR="003A5A49">
        <w:rPr>
          <w:rFonts w:ascii="Times New Roman" w:hAnsi="Times New Roman" w:cs="Times New Roman"/>
        </w:rPr>
        <w:t>“</w:t>
      </w:r>
      <w:r w:rsidR="003A5A49" w:rsidRPr="003A5A49">
        <w:rPr>
          <w:rFonts w:ascii="Times New Roman" w:hAnsi="Times New Roman" w:cs="Times New Roman"/>
        </w:rPr>
        <w:t>Australia-style</w:t>
      </w:r>
      <w:r w:rsidR="003A5A49">
        <w:rPr>
          <w:rFonts w:ascii="Times New Roman" w:hAnsi="Times New Roman" w:cs="Times New Roman"/>
        </w:rPr>
        <w:t>”</w:t>
      </w:r>
      <w:r w:rsidR="003A5A49" w:rsidRPr="003A5A49">
        <w:rPr>
          <w:rFonts w:ascii="Times New Roman" w:hAnsi="Times New Roman" w:cs="Times New Roman"/>
        </w:rPr>
        <w:t xml:space="preserve"> Brexit) then so </w:t>
      </w:r>
      <w:proofErr w:type="gramStart"/>
      <w:r w:rsidR="003A5A49" w:rsidRPr="003A5A49">
        <w:rPr>
          <w:rFonts w:ascii="Times New Roman" w:hAnsi="Times New Roman" w:cs="Times New Roman"/>
        </w:rPr>
        <w:t>be</w:t>
      </w:r>
      <w:proofErr w:type="gramEnd"/>
      <w:r w:rsidR="003A5A49" w:rsidRPr="003A5A49">
        <w:rPr>
          <w:rFonts w:ascii="Times New Roman" w:hAnsi="Times New Roman" w:cs="Times New Roman"/>
        </w:rPr>
        <w:t xml:space="preserve"> it.  Indeed, in its “Approach to Negotiations”, the Johnson Government declares that, if the June 2020 </w:t>
      </w:r>
      <w:r w:rsidR="003A5A49">
        <w:rPr>
          <w:rFonts w:ascii="Times New Roman" w:hAnsi="Times New Roman" w:cs="Times New Roman"/>
        </w:rPr>
        <w:t>stock-take can</w:t>
      </w:r>
      <w:r w:rsidR="003A5A49" w:rsidRPr="003A5A49">
        <w:rPr>
          <w:rFonts w:ascii="Times New Roman" w:hAnsi="Times New Roman" w:cs="Times New Roman"/>
        </w:rPr>
        <w:t xml:space="preserve">not identify the broad outlines of an agreement </w:t>
      </w:r>
      <w:r w:rsidR="003A5A49">
        <w:rPr>
          <w:rFonts w:ascii="Times New Roman" w:hAnsi="Times New Roman" w:cs="Times New Roman"/>
        </w:rPr>
        <w:t xml:space="preserve">that is </w:t>
      </w:r>
      <w:r w:rsidR="003A5A49" w:rsidRPr="003A5A49">
        <w:rPr>
          <w:rFonts w:ascii="Times New Roman" w:hAnsi="Times New Roman" w:cs="Times New Roman"/>
        </w:rPr>
        <w:t>capable of being finalised by September</w:t>
      </w:r>
      <w:r w:rsidR="003A5A49">
        <w:rPr>
          <w:rFonts w:ascii="Times New Roman" w:hAnsi="Times New Roman" w:cs="Times New Roman"/>
        </w:rPr>
        <w:t xml:space="preserve"> 2020</w:t>
      </w:r>
      <w:r w:rsidR="003A5A49" w:rsidRPr="003A5A49">
        <w:rPr>
          <w:rFonts w:ascii="Times New Roman" w:hAnsi="Times New Roman" w:cs="Times New Roman"/>
        </w:rPr>
        <w:t>, the UK may well walk away from further talks altogether.</w:t>
      </w:r>
      <w:r w:rsidR="003A5A49" w:rsidRPr="003A5A49">
        <w:rPr>
          <w:rStyle w:val="FootnoteReference"/>
          <w:rFonts w:ascii="Times New Roman" w:hAnsi="Times New Roman" w:cs="Times New Roman"/>
        </w:rPr>
        <w:footnoteReference w:id="362"/>
      </w:r>
    </w:p>
    <w:p w14:paraId="2A97E7B0" w14:textId="46ECC0CA" w:rsidR="002E6073" w:rsidRPr="005F3860" w:rsidRDefault="004842AA" w:rsidP="005F3860">
      <w:pPr>
        <w:ind w:firstLine="720"/>
        <w:jc w:val="both"/>
        <w:rPr>
          <w:rFonts w:ascii="Times New Roman" w:hAnsi="Times New Roman" w:cs="Times New Roman"/>
          <w:lang w:val="en-US"/>
        </w:rPr>
      </w:pPr>
      <w:r w:rsidRPr="00F8464C">
        <w:rPr>
          <w:rFonts w:ascii="Times New Roman" w:hAnsi="Times New Roman" w:cs="Times New Roman"/>
        </w:rPr>
        <w:t>Of course</w:t>
      </w:r>
      <w:r w:rsidR="003A5A49" w:rsidRPr="00F8464C">
        <w:rPr>
          <w:rFonts w:ascii="Times New Roman" w:hAnsi="Times New Roman" w:cs="Times New Roman"/>
        </w:rPr>
        <w:t>,</w:t>
      </w:r>
      <w:r w:rsidRPr="00F8464C">
        <w:rPr>
          <w:rFonts w:ascii="Times New Roman" w:hAnsi="Times New Roman" w:cs="Times New Roman"/>
        </w:rPr>
        <w:t xml:space="preserve"> </w:t>
      </w:r>
      <w:r w:rsidR="003A5A49" w:rsidRPr="00F8464C">
        <w:rPr>
          <w:rFonts w:ascii="Times New Roman" w:hAnsi="Times New Roman" w:cs="Times New Roman"/>
        </w:rPr>
        <w:t xml:space="preserve">and particularly given the sweeping distance </w:t>
      </w:r>
      <w:r w:rsidR="00023968">
        <w:rPr>
          <w:rFonts w:ascii="Times New Roman" w:hAnsi="Times New Roman" w:cs="Times New Roman"/>
        </w:rPr>
        <w:t xml:space="preserve">now </w:t>
      </w:r>
      <w:r w:rsidR="003A5A49" w:rsidRPr="00F8464C">
        <w:rPr>
          <w:rFonts w:ascii="Times New Roman" w:hAnsi="Times New Roman" w:cs="Times New Roman"/>
        </w:rPr>
        <w:t xml:space="preserve">separating the parties, there seems scant </w:t>
      </w:r>
      <w:r w:rsidR="00625A55" w:rsidRPr="00F8464C">
        <w:rPr>
          <w:rFonts w:ascii="Times New Roman" w:hAnsi="Times New Roman" w:cs="Times New Roman"/>
        </w:rPr>
        <w:t xml:space="preserve">chance </w:t>
      </w:r>
      <w:r w:rsidR="003A5A49" w:rsidRPr="00F8464C">
        <w:rPr>
          <w:rFonts w:ascii="Times New Roman" w:hAnsi="Times New Roman" w:cs="Times New Roman"/>
        </w:rPr>
        <w:t xml:space="preserve">that such </w:t>
      </w:r>
      <w:r w:rsidR="002E6073" w:rsidRPr="00F8464C">
        <w:rPr>
          <w:rFonts w:ascii="Times New Roman" w:hAnsi="Times New Roman" w:cs="Times New Roman"/>
        </w:rPr>
        <w:t xml:space="preserve">complex and sensitive negotiations </w:t>
      </w:r>
      <w:r w:rsidR="003A5A49" w:rsidRPr="00F8464C">
        <w:rPr>
          <w:rFonts w:ascii="Times New Roman" w:hAnsi="Times New Roman" w:cs="Times New Roman"/>
        </w:rPr>
        <w:t>will be progressed and completed within such short timescales and deadlines – even without making due allowance for the possibility of judicial action before the CJEU about the compatibility of any proposed agreement with Union law</w:t>
      </w:r>
      <w:r w:rsidR="00F8464C" w:rsidRPr="00F8464C">
        <w:rPr>
          <w:rFonts w:ascii="Times New Roman" w:hAnsi="Times New Roman" w:cs="Times New Roman"/>
        </w:rPr>
        <w:t>;</w:t>
      </w:r>
      <w:r w:rsidR="00B93C2C">
        <w:rPr>
          <w:rStyle w:val="FootnoteReference"/>
          <w:rFonts w:ascii="Times New Roman" w:hAnsi="Times New Roman" w:cs="Times New Roman"/>
        </w:rPr>
        <w:footnoteReference w:id="363"/>
      </w:r>
      <w:r w:rsidR="003A5A49" w:rsidRPr="00F8464C">
        <w:rPr>
          <w:rFonts w:ascii="Times New Roman" w:hAnsi="Times New Roman" w:cs="Times New Roman"/>
        </w:rPr>
        <w:t xml:space="preserve"> and </w:t>
      </w:r>
      <w:r w:rsidR="00F8464C" w:rsidRPr="00F8464C">
        <w:rPr>
          <w:rFonts w:ascii="Times New Roman" w:hAnsi="Times New Roman" w:cs="Times New Roman"/>
        </w:rPr>
        <w:t xml:space="preserve">for the potential requirement that any mixed agreement may call also for </w:t>
      </w:r>
      <w:r w:rsidR="002E6073" w:rsidRPr="00F8464C">
        <w:rPr>
          <w:rFonts w:ascii="Times New Roman" w:hAnsi="Times New Roman" w:cs="Times New Roman"/>
        </w:rPr>
        <w:t>Member State ratifications</w:t>
      </w:r>
      <w:r w:rsidR="00F8464C" w:rsidRPr="00F8464C">
        <w:rPr>
          <w:rFonts w:ascii="Times New Roman" w:hAnsi="Times New Roman" w:cs="Times New Roman"/>
        </w:rPr>
        <w:t>.</w:t>
      </w:r>
      <w:r w:rsidR="00B93C2C">
        <w:rPr>
          <w:rStyle w:val="FootnoteReference"/>
          <w:rFonts w:ascii="Times New Roman" w:hAnsi="Times New Roman" w:cs="Times New Roman"/>
        </w:rPr>
        <w:footnoteReference w:id="364"/>
      </w:r>
      <w:r w:rsidR="00F8464C" w:rsidRPr="00F8464C">
        <w:rPr>
          <w:rFonts w:ascii="Times New Roman" w:hAnsi="Times New Roman" w:cs="Times New Roman"/>
        </w:rPr>
        <w:t xml:space="preserve">  E</w:t>
      </w:r>
      <w:r w:rsidR="00625A55" w:rsidRPr="00F8464C">
        <w:rPr>
          <w:rFonts w:ascii="Times New Roman" w:hAnsi="Times New Roman" w:cs="Times New Roman"/>
        </w:rPr>
        <w:t xml:space="preserve">ven </w:t>
      </w:r>
      <w:r w:rsidR="00F8464C" w:rsidRPr="00F8464C">
        <w:rPr>
          <w:rFonts w:ascii="Times New Roman" w:hAnsi="Times New Roman" w:cs="Times New Roman"/>
        </w:rPr>
        <w:t xml:space="preserve">on the most optimistic assessment: if a </w:t>
      </w:r>
      <w:r w:rsidR="002E6073" w:rsidRPr="00F8464C">
        <w:rPr>
          <w:rFonts w:ascii="Times New Roman" w:hAnsi="Times New Roman" w:cs="Times New Roman"/>
        </w:rPr>
        <w:t xml:space="preserve">deal </w:t>
      </w:r>
      <w:r w:rsidR="00F8464C" w:rsidRPr="00F8464C">
        <w:rPr>
          <w:rFonts w:ascii="Times New Roman" w:hAnsi="Times New Roman" w:cs="Times New Roman"/>
        </w:rPr>
        <w:t xml:space="preserve">is done, on terms acceptable to both parties, in time for entry into force in </w:t>
      </w:r>
      <w:r w:rsidR="002E6073" w:rsidRPr="00F8464C">
        <w:rPr>
          <w:rFonts w:ascii="Times New Roman" w:hAnsi="Times New Roman" w:cs="Times New Roman"/>
        </w:rPr>
        <w:t xml:space="preserve">2021, </w:t>
      </w:r>
      <w:r w:rsidR="00F8464C" w:rsidRPr="00F8464C">
        <w:rPr>
          <w:rFonts w:ascii="Times New Roman" w:hAnsi="Times New Roman" w:cs="Times New Roman"/>
        </w:rPr>
        <w:t xml:space="preserve">it would involve </w:t>
      </w:r>
      <w:r w:rsidR="002E6073" w:rsidRPr="00F8464C">
        <w:rPr>
          <w:rFonts w:ascii="Times New Roman" w:hAnsi="Times New Roman" w:cs="Times New Roman"/>
        </w:rPr>
        <w:t xml:space="preserve">such a transformation </w:t>
      </w:r>
      <w:r w:rsidR="00F8464C" w:rsidRPr="00F8464C">
        <w:rPr>
          <w:rFonts w:ascii="Times New Roman" w:hAnsi="Times New Roman" w:cs="Times New Roman"/>
        </w:rPr>
        <w:t xml:space="preserve">/ downgrading </w:t>
      </w:r>
      <w:r w:rsidR="002E6073" w:rsidRPr="00F8464C">
        <w:rPr>
          <w:rFonts w:ascii="Times New Roman" w:hAnsi="Times New Roman" w:cs="Times New Roman"/>
        </w:rPr>
        <w:t>in EU-UK relations that</w:t>
      </w:r>
      <w:r w:rsidR="00F8464C" w:rsidRPr="00F8464C">
        <w:rPr>
          <w:rFonts w:ascii="Times New Roman" w:hAnsi="Times New Roman" w:cs="Times New Roman"/>
        </w:rPr>
        <w:t xml:space="preserve"> (</w:t>
      </w:r>
      <w:r w:rsidR="002E6073" w:rsidRPr="00F8464C">
        <w:rPr>
          <w:rFonts w:ascii="Times New Roman" w:hAnsi="Times New Roman" w:cs="Times New Roman"/>
        </w:rPr>
        <w:t>for many sectors</w:t>
      </w:r>
      <w:r w:rsidR="00F8464C" w:rsidRPr="00F8464C">
        <w:rPr>
          <w:rFonts w:ascii="Times New Roman" w:hAnsi="Times New Roman" w:cs="Times New Roman"/>
        </w:rPr>
        <w:t xml:space="preserve"> and actors) </w:t>
      </w:r>
      <w:r w:rsidR="002E6073" w:rsidRPr="00F8464C">
        <w:rPr>
          <w:rFonts w:ascii="Times New Roman" w:hAnsi="Times New Roman" w:cs="Times New Roman"/>
        </w:rPr>
        <w:t>there may as well be no deal at all</w:t>
      </w:r>
      <w:r w:rsidR="00F8464C" w:rsidRPr="00F8464C">
        <w:rPr>
          <w:rFonts w:ascii="Times New Roman" w:hAnsi="Times New Roman" w:cs="Times New Roman"/>
        </w:rPr>
        <w:t xml:space="preserve">.  But it seems </w:t>
      </w:r>
      <w:r w:rsidR="00625A55" w:rsidRPr="00F8464C">
        <w:rPr>
          <w:rFonts w:ascii="Times New Roman" w:hAnsi="Times New Roman" w:cs="Times New Roman"/>
        </w:rPr>
        <w:t xml:space="preserve">far </w:t>
      </w:r>
      <w:r w:rsidR="002E6073" w:rsidRPr="00F8464C">
        <w:rPr>
          <w:rFonts w:ascii="Times New Roman" w:hAnsi="Times New Roman" w:cs="Times New Roman"/>
        </w:rPr>
        <w:t xml:space="preserve">more likely that </w:t>
      </w:r>
      <w:r w:rsidR="00F8464C" w:rsidRPr="00F8464C">
        <w:rPr>
          <w:rFonts w:ascii="Times New Roman" w:hAnsi="Times New Roman" w:cs="Times New Roman"/>
        </w:rPr>
        <w:t xml:space="preserve">negotiating </w:t>
      </w:r>
      <w:r w:rsidR="002E6073" w:rsidRPr="00F8464C">
        <w:rPr>
          <w:rFonts w:ascii="Times New Roman" w:hAnsi="Times New Roman" w:cs="Times New Roman"/>
        </w:rPr>
        <w:t xml:space="preserve">time will run out and the </w:t>
      </w:r>
      <w:r w:rsidR="002E6073" w:rsidRPr="00F8464C">
        <w:rPr>
          <w:rFonts w:ascii="Times New Roman" w:hAnsi="Times New Roman" w:cs="Times New Roman"/>
        </w:rPr>
        <w:lastRenderedPageBreak/>
        <w:t xml:space="preserve">transition period will expire with no </w:t>
      </w:r>
      <w:r w:rsidR="00F8464C" w:rsidRPr="00F8464C">
        <w:rPr>
          <w:rFonts w:ascii="Times New Roman" w:hAnsi="Times New Roman" w:cs="Times New Roman"/>
        </w:rPr>
        <w:t xml:space="preserve">significant / comprehensive agreement </w:t>
      </w:r>
      <w:r w:rsidR="002E6073" w:rsidRPr="00F8464C">
        <w:rPr>
          <w:rFonts w:ascii="Times New Roman" w:hAnsi="Times New Roman" w:cs="Times New Roman"/>
        </w:rPr>
        <w:t>in place</w:t>
      </w:r>
      <w:r w:rsidR="00F8464C" w:rsidRPr="00F8464C">
        <w:rPr>
          <w:rFonts w:ascii="Times New Roman" w:hAnsi="Times New Roman" w:cs="Times New Roman"/>
        </w:rPr>
        <w:t xml:space="preserve"> – in which case, </w:t>
      </w:r>
      <w:r w:rsidR="002E6073" w:rsidRPr="00F8464C">
        <w:rPr>
          <w:rFonts w:ascii="Times New Roman" w:hAnsi="Times New Roman" w:cs="Times New Roman"/>
        </w:rPr>
        <w:t xml:space="preserve">Johnson’s </w:t>
      </w:r>
      <w:r w:rsidR="00F8464C" w:rsidRPr="00F8464C">
        <w:rPr>
          <w:rFonts w:ascii="Times New Roman" w:hAnsi="Times New Roman" w:cs="Times New Roman"/>
        </w:rPr>
        <w:t xml:space="preserve">right </w:t>
      </w:r>
      <w:r w:rsidR="00023968">
        <w:rPr>
          <w:rFonts w:ascii="Times New Roman" w:hAnsi="Times New Roman" w:cs="Times New Roman"/>
        </w:rPr>
        <w:t xml:space="preserve">wing </w:t>
      </w:r>
      <w:r w:rsidR="002E6073" w:rsidRPr="00F8464C">
        <w:rPr>
          <w:rFonts w:ascii="Times New Roman" w:hAnsi="Times New Roman" w:cs="Times New Roman"/>
        </w:rPr>
        <w:t xml:space="preserve">supporters will have succeeded in procuring the </w:t>
      </w:r>
      <w:r w:rsidR="00F8464C" w:rsidRPr="00F8464C">
        <w:rPr>
          <w:rFonts w:ascii="Times New Roman" w:hAnsi="Times New Roman" w:cs="Times New Roman"/>
        </w:rPr>
        <w:t xml:space="preserve">“hard Brexit” they </w:t>
      </w:r>
      <w:r w:rsidR="002E6073" w:rsidRPr="00F8464C">
        <w:rPr>
          <w:rFonts w:ascii="Times New Roman" w:hAnsi="Times New Roman" w:cs="Times New Roman"/>
        </w:rPr>
        <w:t>had always hoped for</w:t>
      </w:r>
      <w:r w:rsidR="00F8464C" w:rsidRPr="00F8464C">
        <w:rPr>
          <w:rFonts w:ascii="Times New Roman" w:hAnsi="Times New Roman" w:cs="Times New Roman"/>
        </w:rPr>
        <w:t xml:space="preserve">.  </w:t>
      </w:r>
      <w:r w:rsidR="002E6073" w:rsidRPr="00F8464C">
        <w:rPr>
          <w:rFonts w:ascii="Times New Roman" w:hAnsi="Times New Roman" w:cs="Times New Roman"/>
        </w:rPr>
        <w:t xml:space="preserve">And even if </w:t>
      </w:r>
      <w:r w:rsidR="00F8464C" w:rsidRPr="00F8464C">
        <w:rPr>
          <w:rFonts w:ascii="Times New Roman" w:hAnsi="Times New Roman" w:cs="Times New Roman"/>
        </w:rPr>
        <w:t xml:space="preserve">a </w:t>
      </w:r>
      <w:r w:rsidR="002E6073" w:rsidRPr="00F8464C">
        <w:rPr>
          <w:rFonts w:ascii="Times New Roman" w:hAnsi="Times New Roman" w:cs="Times New Roman"/>
        </w:rPr>
        <w:t xml:space="preserve">deal </w:t>
      </w:r>
      <w:r w:rsidR="00F8464C" w:rsidRPr="00F8464C">
        <w:rPr>
          <w:rFonts w:ascii="Times New Roman" w:hAnsi="Times New Roman" w:cs="Times New Roman"/>
        </w:rPr>
        <w:t>does eventually emerge</w:t>
      </w:r>
      <w:r w:rsidR="002E6073" w:rsidRPr="00F8464C">
        <w:rPr>
          <w:rFonts w:ascii="Times New Roman" w:hAnsi="Times New Roman" w:cs="Times New Roman"/>
        </w:rPr>
        <w:t xml:space="preserve"> at some later point down the line</w:t>
      </w:r>
      <w:r w:rsidR="00F8464C" w:rsidRPr="00F8464C">
        <w:rPr>
          <w:rFonts w:ascii="Times New Roman" w:hAnsi="Times New Roman" w:cs="Times New Roman"/>
        </w:rPr>
        <w:t xml:space="preserve">, </w:t>
      </w:r>
      <w:r w:rsidR="002E6073" w:rsidRPr="00F8464C">
        <w:rPr>
          <w:rFonts w:ascii="Times New Roman" w:hAnsi="Times New Roman" w:cs="Times New Roman"/>
        </w:rPr>
        <w:t xml:space="preserve">that will </w:t>
      </w:r>
      <w:r w:rsidR="00F8464C" w:rsidRPr="00F8464C">
        <w:rPr>
          <w:rFonts w:ascii="Times New Roman" w:hAnsi="Times New Roman" w:cs="Times New Roman"/>
        </w:rPr>
        <w:t xml:space="preserve">only </w:t>
      </w:r>
      <w:r w:rsidR="002E6073" w:rsidRPr="00F8464C">
        <w:rPr>
          <w:rFonts w:ascii="Times New Roman" w:hAnsi="Times New Roman" w:cs="Times New Roman"/>
        </w:rPr>
        <w:t xml:space="preserve">mean </w:t>
      </w:r>
      <w:r w:rsidR="00F8464C" w:rsidRPr="00F8464C">
        <w:rPr>
          <w:rFonts w:ascii="Times New Roman" w:hAnsi="Times New Roman" w:cs="Times New Roman"/>
        </w:rPr>
        <w:t>“</w:t>
      </w:r>
      <w:r w:rsidR="002E6073" w:rsidRPr="00F8464C">
        <w:rPr>
          <w:rFonts w:ascii="Times New Roman" w:hAnsi="Times New Roman" w:cs="Times New Roman"/>
        </w:rPr>
        <w:t xml:space="preserve">two regulatory </w:t>
      </w:r>
      <w:r w:rsidR="00F8464C" w:rsidRPr="00F8464C">
        <w:rPr>
          <w:rFonts w:ascii="Times New Roman" w:hAnsi="Times New Roman" w:cs="Times New Roman"/>
        </w:rPr>
        <w:t xml:space="preserve">changes” </w:t>
      </w:r>
      <w:r w:rsidR="006861A1">
        <w:rPr>
          <w:rFonts w:ascii="Times New Roman" w:hAnsi="Times New Roman" w:cs="Times New Roman"/>
        </w:rPr>
        <w:t>– something the transition</w:t>
      </w:r>
      <w:r w:rsidR="002E6073" w:rsidRPr="00F8464C">
        <w:rPr>
          <w:rFonts w:ascii="Times New Roman" w:hAnsi="Times New Roman" w:cs="Times New Roman"/>
        </w:rPr>
        <w:t xml:space="preserve"> period and the possibility of extension were precisely designed to avoid</w:t>
      </w:r>
      <w:r w:rsidR="00F8464C" w:rsidRPr="00F8464C">
        <w:rPr>
          <w:rFonts w:ascii="Times New Roman" w:hAnsi="Times New Roman" w:cs="Times New Roman"/>
        </w:rPr>
        <w:t>.</w:t>
      </w:r>
      <w:r w:rsidR="00B93C2C">
        <w:rPr>
          <w:rStyle w:val="FootnoteReference"/>
          <w:rFonts w:ascii="Times New Roman" w:hAnsi="Times New Roman" w:cs="Times New Roman"/>
        </w:rPr>
        <w:footnoteReference w:id="365"/>
      </w:r>
    </w:p>
    <w:p w14:paraId="40549AD0" w14:textId="77777777" w:rsidR="00AA180D" w:rsidRPr="004842AA" w:rsidRDefault="00AA180D" w:rsidP="004842AA">
      <w:pPr>
        <w:rPr>
          <w:rFonts w:ascii="Times New Roman" w:hAnsi="Times New Roman" w:cs="Times New Roman"/>
          <w:b/>
          <w:highlight w:val="yellow"/>
        </w:rPr>
      </w:pPr>
    </w:p>
    <w:p w14:paraId="5AEE6914" w14:textId="60D9805F" w:rsidR="00637907" w:rsidRPr="004842AA" w:rsidRDefault="00637907" w:rsidP="004842AA">
      <w:pPr>
        <w:rPr>
          <w:rFonts w:ascii="Times New Roman" w:hAnsi="Times New Roman" w:cs="Times New Roman"/>
          <w:i/>
        </w:rPr>
      </w:pPr>
      <w:r w:rsidRPr="004842AA">
        <w:rPr>
          <w:rFonts w:ascii="Times New Roman" w:hAnsi="Times New Roman" w:cs="Times New Roman"/>
          <w:i/>
        </w:rPr>
        <w:t xml:space="preserve">4.4. </w:t>
      </w:r>
      <w:r w:rsidRPr="004842AA">
        <w:rPr>
          <w:rFonts w:ascii="Times New Roman" w:hAnsi="Times New Roman" w:cs="Times New Roman"/>
          <w:i/>
        </w:rPr>
        <w:tab/>
        <w:t>Prospects</w:t>
      </w:r>
      <w:r w:rsidR="00E206AE">
        <w:rPr>
          <w:rFonts w:ascii="Times New Roman" w:hAnsi="Times New Roman" w:cs="Times New Roman"/>
          <w:i/>
        </w:rPr>
        <w:t xml:space="preserve"> for future EU-UK relations</w:t>
      </w:r>
    </w:p>
    <w:p w14:paraId="0741F8B7" w14:textId="77777777" w:rsidR="00637907" w:rsidRPr="004842AA" w:rsidRDefault="00637907" w:rsidP="004842AA">
      <w:pPr>
        <w:jc w:val="both"/>
        <w:rPr>
          <w:rFonts w:ascii="Times New Roman" w:hAnsi="Times New Roman" w:cs="Times New Roman"/>
          <w:b/>
          <w:highlight w:val="yellow"/>
        </w:rPr>
      </w:pPr>
    </w:p>
    <w:p w14:paraId="32D4DD75" w14:textId="77777777" w:rsidR="005F3860" w:rsidRDefault="001C3DE4" w:rsidP="004842AA">
      <w:pPr>
        <w:jc w:val="both"/>
        <w:rPr>
          <w:rFonts w:ascii="Times New Roman" w:hAnsi="Times New Roman" w:cs="Times New Roman"/>
        </w:rPr>
      </w:pPr>
      <w:r w:rsidRPr="001C3DE4">
        <w:rPr>
          <w:rFonts w:ascii="Times New Roman" w:hAnsi="Times New Roman" w:cs="Times New Roman"/>
        </w:rPr>
        <w:t xml:space="preserve">On paper, Boris Johnson may have “got Brexit done”: the UK is no longer a Member State of the European Union.  But in practice, </w:t>
      </w:r>
      <w:r w:rsidR="007240C2">
        <w:rPr>
          <w:rFonts w:ascii="Times New Roman" w:hAnsi="Times New Roman" w:cs="Times New Roman"/>
        </w:rPr>
        <w:t>many of the</w:t>
      </w:r>
      <w:r w:rsidRPr="001C3DE4">
        <w:rPr>
          <w:rFonts w:ascii="Times New Roman" w:hAnsi="Times New Roman" w:cs="Times New Roman"/>
        </w:rPr>
        <w:t xml:space="preserve"> real questions about future relations between the UK and the EU remain to be </w:t>
      </w:r>
      <w:r w:rsidR="007240C2">
        <w:rPr>
          <w:rFonts w:ascii="Times New Roman" w:hAnsi="Times New Roman" w:cs="Times New Roman"/>
        </w:rPr>
        <w:t>settled</w:t>
      </w:r>
      <w:r w:rsidRPr="001C3DE4">
        <w:rPr>
          <w:rFonts w:ascii="Times New Roman" w:hAnsi="Times New Roman" w:cs="Times New Roman"/>
        </w:rPr>
        <w:t xml:space="preserve">.  </w:t>
      </w:r>
    </w:p>
    <w:p w14:paraId="21FCD507" w14:textId="77777777" w:rsidR="00DC41E9" w:rsidRDefault="007240C2" w:rsidP="005F3860">
      <w:pPr>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On the one hand, it</w:t>
      </w:r>
      <w:r w:rsidR="007A6E91" w:rsidRPr="001C3DE4">
        <w:rPr>
          <w:rFonts w:ascii="Times New Roman" w:eastAsia="Times New Roman" w:hAnsi="Times New Roman" w:cs="Times New Roman"/>
          <w:shd w:val="clear" w:color="auto" w:fill="FFFFFF"/>
        </w:rPr>
        <w:t xml:space="preserve"> </w:t>
      </w:r>
      <w:r w:rsidR="00017247" w:rsidRPr="001C3DE4">
        <w:rPr>
          <w:rFonts w:ascii="Times New Roman" w:eastAsia="Times New Roman" w:hAnsi="Times New Roman" w:cs="Times New Roman"/>
          <w:shd w:val="clear" w:color="auto" w:fill="FFFFFF"/>
        </w:rPr>
        <w:t xml:space="preserve">might fairly be </w:t>
      </w:r>
      <w:r w:rsidR="007A6E91" w:rsidRPr="001C3DE4">
        <w:rPr>
          <w:rFonts w:ascii="Times New Roman" w:eastAsia="Times New Roman" w:hAnsi="Times New Roman" w:cs="Times New Roman"/>
          <w:shd w:val="clear" w:color="auto" w:fill="FFFFFF"/>
        </w:rPr>
        <w:t xml:space="preserve">said that the </w:t>
      </w:r>
      <w:r w:rsidR="00637907" w:rsidRPr="001C3DE4">
        <w:rPr>
          <w:rFonts w:ascii="Times New Roman" w:eastAsia="Times New Roman" w:hAnsi="Times New Roman" w:cs="Times New Roman"/>
          <w:shd w:val="clear" w:color="auto" w:fill="FFFFFF"/>
        </w:rPr>
        <w:t xml:space="preserve">UK </w:t>
      </w:r>
      <w:r w:rsidR="007A6E91" w:rsidRPr="001C3DE4">
        <w:rPr>
          <w:rFonts w:ascii="Times New Roman" w:eastAsia="Times New Roman" w:hAnsi="Times New Roman" w:cs="Times New Roman"/>
          <w:shd w:val="clear" w:color="auto" w:fill="FFFFFF"/>
        </w:rPr>
        <w:t xml:space="preserve">Government under Boris Johnson </w:t>
      </w:r>
      <w:r w:rsidR="00637907" w:rsidRPr="001C3DE4">
        <w:rPr>
          <w:rFonts w:ascii="Times New Roman" w:eastAsia="Times New Roman" w:hAnsi="Times New Roman" w:cs="Times New Roman"/>
          <w:shd w:val="clear" w:color="auto" w:fill="FFFFFF"/>
        </w:rPr>
        <w:t xml:space="preserve">finally </w:t>
      </w:r>
      <w:r w:rsidR="007A6E91" w:rsidRPr="001C3DE4">
        <w:rPr>
          <w:rFonts w:ascii="Times New Roman" w:eastAsia="Times New Roman" w:hAnsi="Times New Roman" w:cs="Times New Roman"/>
          <w:shd w:val="clear" w:color="auto" w:fill="FFFFFF"/>
        </w:rPr>
        <w:t xml:space="preserve">pulled itself free of the </w:t>
      </w:r>
      <w:r w:rsidR="00637907" w:rsidRPr="001C3DE4">
        <w:rPr>
          <w:rFonts w:ascii="Times New Roman" w:eastAsia="Times New Roman" w:hAnsi="Times New Roman" w:cs="Times New Roman"/>
          <w:shd w:val="clear" w:color="auto" w:fill="FFFFFF"/>
        </w:rPr>
        <w:t xml:space="preserve">excruciating period when </w:t>
      </w:r>
      <w:r w:rsidR="007A6E91" w:rsidRPr="001C3DE4">
        <w:rPr>
          <w:rFonts w:ascii="Times New Roman" w:eastAsia="Times New Roman" w:hAnsi="Times New Roman" w:cs="Times New Roman"/>
          <w:shd w:val="clear" w:color="auto" w:fill="FFFFFF"/>
        </w:rPr>
        <w:t>leading Leave c</w:t>
      </w:r>
      <w:r w:rsidR="00637907" w:rsidRPr="001C3DE4">
        <w:rPr>
          <w:rFonts w:ascii="Times New Roman" w:eastAsia="Times New Roman" w:hAnsi="Times New Roman" w:cs="Times New Roman"/>
          <w:shd w:val="clear" w:color="auto" w:fill="FFFFFF"/>
        </w:rPr>
        <w:t>ampaign</w:t>
      </w:r>
      <w:r w:rsidR="007A6E91" w:rsidRPr="001C3DE4">
        <w:rPr>
          <w:rFonts w:ascii="Times New Roman" w:eastAsia="Times New Roman" w:hAnsi="Times New Roman" w:cs="Times New Roman"/>
          <w:shd w:val="clear" w:color="auto" w:fill="FFFFFF"/>
        </w:rPr>
        <w:t>ers</w:t>
      </w:r>
      <w:r w:rsidR="00017247" w:rsidRPr="001C3DE4">
        <w:rPr>
          <w:rFonts w:ascii="Times New Roman" w:eastAsia="Times New Roman" w:hAnsi="Times New Roman" w:cs="Times New Roman"/>
          <w:shd w:val="clear" w:color="auto" w:fill="FFFFFF"/>
        </w:rPr>
        <w:t>,</w:t>
      </w:r>
      <w:r w:rsidR="00637907" w:rsidRPr="001C3DE4">
        <w:rPr>
          <w:rFonts w:ascii="Times New Roman" w:eastAsia="Times New Roman" w:hAnsi="Times New Roman" w:cs="Times New Roman"/>
          <w:shd w:val="clear" w:color="auto" w:fill="FFFFFF"/>
        </w:rPr>
        <w:t xml:space="preserve"> </w:t>
      </w:r>
      <w:r w:rsidR="007A6E91" w:rsidRPr="001C3DE4">
        <w:rPr>
          <w:rFonts w:ascii="Times New Roman" w:eastAsia="Times New Roman" w:hAnsi="Times New Roman" w:cs="Times New Roman"/>
          <w:shd w:val="clear" w:color="auto" w:fill="FFFFFF"/>
        </w:rPr>
        <w:t xml:space="preserve">and then the administration of Theresa </w:t>
      </w:r>
      <w:r w:rsidR="00637907" w:rsidRPr="001C3DE4">
        <w:rPr>
          <w:rFonts w:ascii="Times New Roman" w:eastAsia="Times New Roman" w:hAnsi="Times New Roman" w:cs="Times New Roman"/>
          <w:shd w:val="clear" w:color="auto" w:fill="FFFFFF"/>
        </w:rPr>
        <w:t>May</w:t>
      </w:r>
      <w:r w:rsidR="00017247" w:rsidRPr="001C3DE4">
        <w:rPr>
          <w:rFonts w:ascii="Times New Roman" w:eastAsia="Times New Roman" w:hAnsi="Times New Roman" w:cs="Times New Roman"/>
          <w:shd w:val="clear" w:color="auto" w:fill="FFFFFF"/>
        </w:rPr>
        <w:t>,</w:t>
      </w:r>
      <w:r w:rsidR="00637907" w:rsidRPr="001C3DE4">
        <w:rPr>
          <w:rFonts w:ascii="Times New Roman" w:eastAsia="Times New Roman" w:hAnsi="Times New Roman" w:cs="Times New Roman"/>
          <w:shd w:val="clear" w:color="auto" w:fill="FFFFFF"/>
        </w:rPr>
        <w:t xml:space="preserve"> promised all things to all people</w:t>
      </w:r>
      <w:r w:rsidR="007A6E91" w:rsidRPr="001C3DE4">
        <w:rPr>
          <w:rFonts w:ascii="Times New Roman" w:eastAsia="Times New Roman" w:hAnsi="Times New Roman" w:cs="Times New Roman"/>
          <w:shd w:val="clear" w:color="auto" w:fill="FFFFFF"/>
        </w:rPr>
        <w:t xml:space="preserve"> and either believed or pretended that </w:t>
      </w:r>
      <w:r w:rsidR="00017247" w:rsidRPr="001C3DE4">
        <w:rPr>
          <w:rFonts w:ascii="Times New Roman" w:eastAsia="Times New Roman" w:hAnsi="Times New Roman" w:cs="Times New Roman"/>
          <w:shd w:val="clear" w:color="auto" w:fill="FFFFFF"/>
        </w:rPr>
        <w:t xml:space="preserve">that </w:t>
      </w:r>
      <w:r w:rsidR="00637907" w:rsidRPr="001C3DE4">
        <w:rPr>
          <w:rFonts w:ascii="Times New Roman" w:eastAsia="Times New Roman" w:hAnsi="Times New Roman" w:cs="Times New Roman"/>
          <w:shd w:val="clear" w:color="auto" w:fill="FFFFFF"/>
        </w:rPr>
        <w:t>could ever possibly happen</w:t>
      </w:r>
      <w:r w:rsidR="00017247" w:rsidRPr="001C3DE4">
        <w:rPr>
          <w:rFonts w:ascii="Times New Roman" w:eastAsia="Times New Roman" w:hAnsi="Times New Roman" w:cs="Times New Roman"/>
          <w:shd w:val="clear" w:color="auto" w:fill="FFFFFF"/>
        </w:rPr>
        <w:t xml:space="preserve"> in reality</w:t>
      </w:r>
      <w:r w:rsidR="00637907" w:rsidRPr="001C3DE4">
        <w:rPr>
          <w:rFonts w:ascii="Times New Roman" w:eastAsia="Times New Roman" w:hAnsi="Times New Roman" w:cs="Times New Roman"/>
          <w:shd w:val="clear" w:color="auto" w:fill="FFFFFF"/>
        </w:rPr>
        <w:t xml:space="preserve">. </w:t>
      </w:r>
      <w:r w:rsidR="007A6E91" w:rsidRPr="001C3DE4">
        <w:rPr>
          <w:rFonts w:ascii="Times New Roman" w:eastAsia="Times New Roman" w:hAnsi="Times New Roman" w:cs="Times New Roman"/>
          <w:shd w:val="clear" w:color="auto" w:fill="FFFFFF"/>
        </w:rPr>
        <w:t xml:space="preserve"> The </w:t>
      </w:r>
      <w:r w:rsidR="00017247" w:rsidRPr="001C3DE4">
        <w:rPr>
          <w:rFonts w:ascii="Times New Roman" w:eastAsia="Times New Roman" w:hAnsi="Times New Roman" w:cs="Times New Roman"/>
          <w:shd w:val="clear" w:color="auto" w:fill="FFFFFF"/>
        </w:rPr>
        <w:t xml:space="preserve">current </w:t>
      </w:r>
      <w:r w:rsidR="00637907" w:rsidRPr="001C3DE4">
        <w:rPr>
          <w:rFonts w:ascii="Times New Roman" w:eastAsia="Times New Roman" w:hAnsi="Times New Roman" w:cs="Times New Roman"/>
          <w:shd w:val="clear" w:color="auto" w:fill="FFFFFF"/>
        </w:rPr>
        <w:t xml:space="preserve">UK position </w:t>
      </w:r>
      <w:r w:rsidR="007A6E91" w:rsidRPr="001C3DE4">
        <w:rPr>
          <w:rFonts w:ascii="Times New Roman" w:eastAsia="Times New Roman" w:hAnsi="Times New Roman" w:cs="Times New Roman"/>
          <w:shd w:val="clear" w:color="auto" w:fill="FFFFFF"/>
        </w:rPr>
        <w:t xml:space="preserve">on future relations with the EU is at least possessed of </w:t>
      </w:r>
      <w:r w:rsidR="00637907" w:rsidRPr="001C3DE4">
        <w:rPr>
          <w:rFonts w:ascii="Times New Roman" w:eastAsia="Times New Roman" w:hAnsi="Times New Roman" w:cs="Times New Roman"/>
          <w:shd w:val="clear" w:color="auto" w:fill="FFFFFF"/>
        </w:rPr>
        <w:t xml:space="preserve">greater </w:t>
      </w:r>
      <w:r w:rsidR="00017247" w:rsidRPr="001C3DE4">
        <w:rPr>
          <w:rFonts w:ascii="Times New Roman" w:eastAsia="Times New Roman" w:hAnsi="Times New Roman" w:cs="Times New Roman"/>
          <w:shd w:val="clear" w:color="auto" w:fill="FFFFFF"/>
        </w:rPr>
        <w:t xml:space="preserve">internal </w:t>
      </w:r>
      <w:r w:rsidR="00637907" w:rsidRPr="001C3DE4">
        <w:rPr>
          <w:rFonts w:ascii="Times New Roman" w:eastAsia="Times New Roman" w:hAnsi="Times New Roman" w:cs="Times New Roman"/>
          <w:shd w:val="clear" w:color="auto" w:fill="FFFFFF"/>
        </w:rPr>
        <w:t>coherence</w:t>
      </w:r>
      <w:r w:rsidR="007A6E91" w:rsidRPr="001C3DE4">
        <w:rPr>
          <w:rFonts w:ascii="Times New Roman" w:eastAsia="Times New Roman" w:hAnsi="Times New Roman" w:cs="Times New Roman"/>
          <w:shd w:val="clear" w:color="auto" w:fill="FFFFFF"/>
        </w:rPr>
        <w:t xml:space="preserve"> and </w:t>
      </w:r>
      <w:r w:rsidR="00017247" w:rsidRPr="001C3DE4">
        <w:rPr>
          <w:rFonts w:ascii="Times New Roman" w:eastAsia="Times New Roman" w:hAnsi="Times New Roman" w:cs="Times New Roman"/>
          <w:shd w:val="clear" w:color="auto" w:fill="FFFFFF"/>
        </w:rPr>
        <w:t xml:space="preserve">demonstrates a higher level of </w:t>
      </w:r>
      <w:r w:rsidR="00637907" w:rsidRPr="001C3DE4">
        <w:rPr>
          <w:rFonts w:ascii="Times New Roman" w:eastAsia="Times New Roman" w:hAnsi="Times New Roman" w:cs="Times New Roman"/>
          <w:shd w:val="clear" w:color="auto" w:fill="FFFFFF"/>
        </w:rPr>
        <w:t>political realism</w:t>
      </w:r>
      <w:r w:rsidR="00017247" w:rsidRPr="001C3DE4">
        <w:rPr>
          <w:rFonts w:ascii="Times New Roman" w:eastAsia="Times New Roman" w:hAnsi="Times New Roman" w:cs="Times New Roman"/>
          <w:shd w:val="clear" w:color="auto" w:fill="FFFFFF"/>
        </w:rPr>
        <w:t xml:space="preserve">.  </w:t>
      </w:r>
    </w:p>
    <w:p w14:paraId="6C0BA6A4" w14:textId="2A749B65" w:rsidR="005F3860" w:rsidRDefault="007240C2" w:rsidP="005F3860">
      <w:pPr>
        <w:ind w:firstLine="720"/>
        <w:jc w:val="both"/>
        <w:rPr>
          <w:rFonts w:ascii="Times New Roman" w:hAnsi="Times New Roman" w:cs="Times New Roman"/>
        </w:rPr>
      </w:pPr>
      <w:r>
        <w:rPr>
          <w:rFonts w:ascii="Times New Roman" w:eastAsia="Times New Roman" w:hAnsi="Times New Roman" w:cs="Times New Roman"/>
          <w:shd w:val="clear" w:color="auto" w:fill="FFFFFF"/>
        </w:rPr>
        <w:t xml:space="preserve">On the other hand, </w:t>
      </w:r>
      <w:r w:rsidR="00017247" w:rsidRPr="001C3DE4">
        <w:rPr>
          <w:rFonts w:ascii="Times New Roman" w:eastAsia="Times New Roman" w:hAnsi="Times New Roman" w:cs="Times New Roman"/>
          <w:shd w:val="clear" w:color="auto" w:fill="FFFFFF"/>
        </w:rPr>
        <w:t xml:space="preserve">the </w:t>
      </w:r>
      <w:r w:rsidR="00637907" w:rsidRPr="001C3DE4">
        <w:rPr>
          <w:rFonts w:ascii="Times New Roman" w:eastAsia="Times New Roman" w:hAnsi="Times New Roman" w:cs="Times New Roman"/>
          <w:shd w:val="clear" w:color="auto" w:fill="FFFFFF"/>
        </w:rPr>
        <w:t xml:space="preserve">cost of </w:t>
      </w:r>
      <w:r w:rsidR="00017247" w:rsidRPr="001C3DE4">
        <w:rPr>
          <w:rFonts w:ascii="Times New Roman" w:eastAsia="Times New Roman" w:hAnsi="Times New Roman" w:cs="Times New Roman"/>
          <w:shd w:val="clear" w:color="auto" w:fill="FFFFFF"/>
        </w:rPr>
        <w:t xml:space="preserve">such </w:t>
      </w:r>
      <w:r w:rsidR="00637907" w:rsidRPr="001C3DE4">
        <w:rPr>
          <w:rFonts w:ascii="Times New Roman" w:eastAsia="Times New Roman" w:hAnsi="Times New Roman" w:cs="Times New Roman"/>
          <w:shd w:val="clear" w:color="auto" w:fill="FFFFFF"/>
        </w:rPr>
        <w:t>clarity</w:t>
      </w:r>
      <w:r w:rsidR="00017247" w:rsidRPr="001C3DE4">
        <w:rPr>
          <w:rFonts w:ascii="Times New Roman" w:eastAsia="Times New Roman" w:hAnsi="Times New Roman" w:cs="Times New Roman"/>
          <w:shd w:val="clear" w:color="auto" w:fill="FFFFFF"/>
        </w:rPr>
        <w:t xml:space="preserve"> is that the </w:t>
      </w:r>
      <w:r w:rsidR="00637907" w:rsidRPr="001C3DE4">
        <w:rPr>
          <w:rFonts w:ascii="Times New Roman" w:eastAsia="Times New Roman" w:hAnsi="Times New Roman" w:cs="Times New Roman"/>
          <w:shd w:val="clear" w:color="auto" w:fill="FFFFFF"/>
        </w:rPr>
        <w:t xml:space="preserve">UK Government is driving headlong towards </w:t>
      </w:r>
      <w:r w:rsidR="00017247" w:rsidRPr="001C3DE4">
        <w:rPr>
          <w:rFonts w:ascii="Times New Roman" w:eastAsia="Times New Roman" w:hAnsi="Times New Roman" w:cs="Times New Roman"/>
          <w:shd w:val="clear" w:color="auto" w:fill="FFFFFF"/>
        </w:rPr>
        <w:t xml:space="preserve">a </w:t>
      </w:r>
      <w:r w:rsidR="00637907" w:rsidRPr="001C3DE4">
        <w:rPr>
          <w:rFonts w:ascii="Times New Roman" w:eastAsia="Times New Roman" w:hAnsi="Times New Roman" w:cs="Times New Roman"/>
          <w:shd w:val="clear" w:color="auto" w:fill="FFFFFF"/>
        </w:rPr>
        <w:t xml:space="preserve">serious rupture in relations with </w:t>
      </w:r>
      <w:r w:rsidR="00017247" w:rsidRPr="001C3DE4">
        <w:rPr>
          <w:rFonts w:ascii="Times New Roman" w:eastAsia="Times New Roman" w:hAnsi="Times New Roman" w:cs="Times New Roman"/>
          <w:shd w:val="clear" w:color="auto" w:fill="FFFFFF"/>
        </w:rPr>
        <w:t xml:space="preserve">the EU – </w:t>
      </w:r>
      <w:r w:rsidR="001C3DE4" w:rsidRPr="007240C2">
        <w:rPr>
          <w:rFonts w:ascii="Times New Roman" w:hAnsi="Times New Roman" w:cs="Times New Roman"/>
        </w:rPr>
        <w:t xml:space="preserve">a far cry from </w:t>
      </w:r>
      <w:r w:rsidRPr="007240C2">
        <w:rPr>
          <w:rFonts w:ascii="Times New Roman" w:hAnsi="Times New Roman" w:cs="Times New Roman"/>
        </w:rPr>
        <w:t xml:space="preserve">many of the Leave </w:t>
      </w:r>
      <w:r w:rsidR="00DC41E9">
        <w:rPr>
          <w:rFonts w:ascii="Times New Roman" w:hAnsi="Times New Roman" w:cs="Times New Roman"/>
        </w:rPr>
        <w:t>promises</w:t>
      </w:r>
      <w:r w:rsidRPr="007240C2">
        <w:rPr>
          <w:rFonts w:ascii="Times New Roman" w:hAnsi="Times New Roman" w:cs="Times New Roman"/>
        </w:rPr>
        <w:t xml:space="preserve"> </w:t>
      </w:r>
      <w:r w:rsidR="001C3DE4" w:rsidRPr="007240C2">
        <w:rPr>
          <w:rFonts w:ascii="Times New Roman" w:hAnsi="Times New Roman" w:cs="Times New Roman"/>
        </w:rPr>
        <w:t>made back in 2016</w:t>
      </w:r>
      <w:r w:rsidRPr="007240C2">
        <w:rPr>
          <w:rFonts w:ascii="Times New Roman" w:hAnsi="Times New Roman" w:cs="Times New Roman"/>
        </w:rPr>
        <w:t xml:space="preserve"> and repeated consistently thereafter </w:t>
      </w:r>
      <w:r>
        <w:rPr>
          <w:rFonts w:ascii="Times New Roman" w:hAnsi="Times New Roman" w:cs="Times New Roman"/>
        </w:rPr>
        <w:t xml:space="preserve">– </w:t>
      </w:r>
      <w:r w:rsidR="00017247" w:rsidRPr="001C3DE4">
        <w:rPr>
          <w:rFonts w:ascii="Times New Roman" w:eastAsia="Times New Roman" w:hAnsi="Times New Roman" w:cs="Times New Roman"/>
          <w:shd w:val="clear" w:color="auto" w:fill="FFFFFF"/>
        </w:rPr>
        <w:t xml:space="preserve">and crucially, that </w:t>
      </w:r>
      <w:r>
        <w:rPr>
          <w:rFonts w:ascii="Times New Roman" w:eastAsia="Times New Roman" w:hAnsi="Times New Roman" w:cs="Times New Roman"/>
          <w:shd w:val="clear" w:color="auto" w:fill="FFFFFF"/>
        </w:rPr>
        <w:t>will be</w:t>
      </w:r>
      <w:r w:rsidR="00017247" w:rsidRPr="001C3DE4">
        <w:rPr>
          <w:rFonts w:ascii="Times New Roman" w:eastAsia="Times New Roman" w:hAnsi="Times New Roman" w:cs="Times New Roman"/>
          <w:shd w:val="clear" w:color="auto" w:fill="FFFFFF"/>
        </w:rPr>
        <w:t xml:space="preserve"> true regardless of </w:t>
      </w:r>
      <w:r w:rsidR="00637907" w:rsidRPr="001C3DE4">
        <w:rPr>
          <w:rFonts w:ascii="Times New Roman" w:eastAsia="Times New Roman" w:hAnsi="Times New Roman" w:cs="Times New Roman"/>
          <w:shd w:val="clear" w:color="auto" w:fill="FFFFFF"/>
        </w:rPr>
        <w:t xml:space="preserve">whether there is a deal or whether there is none. </w:t>
      </w:r>
      <w:r w:rsidR="00017247" w:rsidRPr="001C3DE4">
        <w:rPr>
          <w:rFonts w:ascii="Times New Roman" w:eastAsia="Times New Roman" w:hAnsi="Times New Roman" w:cs="Times New Roman"/>
          <w:shd w:val="clear" w:color="auto" w:fill="FFFFFF"/>
        </w:rPr>
        <w:t xml:space="preserve"> The British decision to rule out any </w:t>
      </w:r>
      <w:r w:rsidR="00637907" w:rsidRPr="001C3DE4">
        <w:rPr>
          <w:rFonts w:ascii="Times New Roman" w:eastAsia="Times New Roman" w:hAnsi="Times New Roman" w:cs="Times New Roman"/>
          <w:shd w:val="clear" w:color="auto" w:fill="FFFFFF"/>
        </w:rPr>
        <w:t xml:space="preserve">transitional extension only exacerbates </w:t>
      </w:r>
      <w:r w:rsidR="00017247" w:rsidRPr="001C3DE4">
        <w:rPr>
          <w:rFonts w:ascii="Times New Roman" w:eastAsia="Times New Roman" w:hAnsi="Times New Roman" w:cs="Times New Roman"/>
          <w:shd w:val="clear" w:color="auto" w:fill="FFFFFF"/>
        </w:rPr>
        <w:t xml:space="preserve">the </w:t>
      </w:r>
      <w:r w:rsidR="00637907" w:rsidRPr="001C3DE4">
        <w:rPr>
          <w:rFonts w:ascii="Times New Roman" w:eastAsia="Times New Roman" w:hAnsi="Times New Roman" w:cs="Times New Roman"/>
          <w:shd w:val="clear" w:color="auto" w:fill="FFFFFF"/>
        </w:rPr>
        <w:t>situation</w:t>
      </w:r>
      <w:r w:rsidR="00017247" w:rsidRPr="001C3DE4">
        <w:rPr>
          <w:rFonts w:ascii="Times New Roman" w:eastAsia="Times New Roman" w:hAnsi="Times New Roman" w:cs="Times New Roman"/>
          <w:shd w:val="clear" w:color="auto" w:fill="FFFFFF"/>
        </w:rPr>
        <w:t xml:space="preserve"> by making “two regulatory changes” more likely in due course.  </w:t>
      </w:r>
      <w:r w:rsidRPr="00D9649B">
        <w:rPr>
          <w:rFonts w:ascii="Times New Roman" w:hAnsi="Times New Roman" w:cs="Times New Roman"/>
        </w:rPr>
        <w:t xml:space="preserve">And of course, there remains a </w:t>
      </w:r>
      <w:r w:rsidR="00203E51">
        <w:rPr>
          <w:rFonts w:ascii="Times New Roman" w:hAnsi="Times New Roman" w:cs="Times New Roman"/>
        </w:rPr>
        <w:t>striking</w:t>
      </w:r>
      <w:r w:rsidRPr="00D9649B">
        <w:rPr>
          <w:rFonts w:ascii="Times New Roman" w:hAnsi="Times New Roman" w:cs="Times New Roman"/>
        </w:rPr>
        <w:t xml:space="preserve"> contradiction between Johnson’s </w:t>
      </w:r>
      <w:r w:rsidR="00203E51">
        <w:rPr>
          <w:rFonts w:ascii="Times New Roman" w:hAnsi="Times New Roman" w:cs="Times New Roman"/>
        </w:rPr>
        <w:t xml:space="preserve">proud </w:t>
      </w:r>
      <w:proofErr w:type="gramStart"/>
      <w:r w:rsidR="00203E51">
        <w:rPr>
          <w:rFonts w:ascii="Times New Roman" w:hAnsi="Times New Roman" w:cs="Times New Roman"/>
        </w:rPr>
        <w:t>depiction</w:t>
      </w:r>
      <w:proofErr w:type="gramEnd"/>
      <w:r w:rsidR="00203E51">
        <w:rPr>
          <w:rFonts w:ascii="Times New Roman" w:hAnsi="Times New Roman" w:cs="Times New Roman"/>
        </w:rPr>
        <w:t xml:space="preserve"> of </w:t>
      </w:r>
      <w:r w:rsidR="00D9649B" w:rsidRPr="00D9649B">
        <w:rPr>
          <w:rFonts w:ascii="Times New Roman" w:hAnsi="Times New Roman" w:cs="Times New Roman"/>
        </w:rPr>
        <w:t>“</w:t>
      </w:r>
      <w:r w:rsidRPr="00D9649B">
        <w:rPr>
          <w:rFonts w:ascii="Times New Roman" w:hAnsi="Times New Roman" w:cs="Times New Roman"/>
        </w:rPr>
        <w:t>Global Britain</w:t>
      </w:r>
      <w:r w:rsidR="00D9649B" w:rsidRPr="00D9649B">
        <w:rPr>
          <w:rFonts w:ascii="Times New Roman" w:hAnsi="Times New Roman" w:cs="Times New Roman"/>
        </w:rPr>
        <w:t>”</w:t>
      </w:r>
      <w:r w:rsidRPr="00D9649B">
        <w:rPr>
          <w:rFonts w:ascii="Times New Roman" w:hAnsi="Times New Roman" w:cs="Times New Roman"/>
        </w:rPr>
        <w:t xml:space="preserve"> </w:t>
      </w:r>
      <w:r w:rsidR="00D9649B">
        <w:rPr>
          <w:rFonts w:ascii="Times New Roman" w:hAnsi="Times New Roman" w:cs="Times New Roman"/>
        </w:rPr>
        <w:t xml:space="preserve">as </w:t>
      </w:r>
      <w:r w:rsidRPr="00D9649B">
        <w:rPr>
          <w:rFonts w:ascii="Times New Roman" w:hAnsi="Times New Roman" w:cs="Times New Roman"/>
        </w:rPr>
        <w:t>the champion of free trade</w:t>
      </w:r>
      <w:r w:rsidR="00D9649B" w:rsidRPr="00D9649B">
        <w:rPr>
          <w:rFonts w:ascii="Times New Roman" w:hAnsi="Times New Roman" w:cs="Times New Roman"/>
        </w:rPr>
        <w:t xml:space="preserve"> </w:t>
      </w:r>
      <w:r w:rsidR="00D9649B" w:rsidRPr="00D9649B">
        <w:rPr>
          <w:rFonts w:ascii="Times New Roman" w:hAnsi="Times New Roman" w:cs="Times New Roman"/>
          <w:i/>
        </w:rPr>
        <w:t xml:space="preserve">versus </w:t>
      </w:r>
      <w:r w:rsidRPr="00D9649B">
        <w:rPr>
          <w:rFonts w:ascii="Times New Roman" w:hAnsi="Times New Roman" w:cs="Times New Roman"/>
        </w:rPr>
        <w:t>the reality</w:t>
      </w:r>
      <w:r w:rsidR="00D9649B" w:rsidRPr="00D9649B">
        <w:rPr>
          <w:rFonts w:ascii="Times New Roman" w:hAnsi="Times New Roman" w:cs="Times New Roman"/>
        </w:rPr>
        <w:t xml:space="preserve"> of a </w:t>
      </w:r>
      <w:r w:rsidRPr="00D9649B">
        <w:rPr>
          <w:rFonts w:ascii="Times New Roman" w:hAnsi="Times New Roman" w:cs="Times New Roman"/>
        </w:rPr>
        <w:t>Government poised to commit the single gravest act of economic segregation in modern history</w:t>
      </w:r>
      <w:r w:rsidR="00D9649B" w:rsidRPr="00D9649B">
        <w:rPr>
          <w:rFonts w:ascii="Times New Roman" w:hAnsi="Times New Roman" w:cs="Times New Roman"/>
        </w:rPr>
        <w:t>.</w:t>
      </w:r>
    </w:p>
    <w:p w14:paraId="18D6B64B" w14:textId="56092DA8" w:rsidR="005F3860" w:rsidRDefault="00637907" w:rsidP="005F3860">
      <w:pPr>
        <w:ind w:firstLine="720"/>
        <w:jc w:val="both"/>
        <w:rPr>
          <w:rFonts w:ascii="Times New Roman" w:hAnsi="Times New Roman" w:cs="Times New Roman"/>
        </w:rPr>
      </w:pPr>
      <w:r w:rsidRPr="001C3DE4">
        <w:rPr>
          <w:rFonts w:ascii="Times New Roman" w:eastAsia="Times New Roman" w:hAnsi="Times New Roman" w:cs="Times New Roman"/>
          <w:shd w:val="clear" w:color="auto" w:fill="FFFFFF"/>
        </w:rPr>
        <w:t xml:space="preserve">Besides </w:t>
      </w:r>
      <w:r w:rsidR="00017247" w:rsidRPr="001C3DE4">
        <w:rPr>
          <w:rFonts w:ascii="Times New Roman" w:eastAsia="Times New Roman" w:hAnsi="Times New Roman" w:cs="Times New Roman"/>
          <w:shd w:val="clear" w:color="auto" w:fill="FFFFFF"/>
        </w:rPr>
        <w:t xml:space="preserve">the </w:t>
      </w:r>
      <w:r w:rsidRPr="001C3DE4">
        <w:rPr>
          <w:rFonts w:ascii="Times New Roman" w:eastAsia="Times New Roman" w:hAnsi="Times New Roman" w:cs="Times New Roman"/>
          <w:shd w:val="clear" w:color="auto" w:fill="FFFFFF"/>
        </w:rPr>
        <w:t xml:space="preserve">damage </w:t>
      </w:r>
      <w:r w:rsidR="00017247" w:rsidRPr="001C3DE4">
        <w:rPr>
          <w:rFonts w:ascii="Times New Roman" w:eastAsia="Times New Roman" w:hAnsi="Times New Roman" w:cs="Times New Roman"/>
          <w:shd w:val="clear" w:color="auto" w:fill="FFFFFF"/>
        </w:rPr>
        <w:t>which will inevitably flow from the UK’s decision deliberately</w:t>
      </w:r>
      <w:r w:rsidRPr="001C3DE4">
        <w:rPr>
          <w:rFonts w:ascii="Times New Roman" w:eastAsia="Times New Roman" w:hAnsi="Times New Roman" w:cs="Times New Roman"/>
          <w:shd w:val="clear" w:color="auto" w:fill="FFFFFF"/>
        </w:rPr>
        <w:t xml:space="preserve"> </w:t>
      </w:r>
      <w:r w:rsidR="00017247" w:rsidRPr="001C3DE4">
        <w:rPr>
          <w:rFonts w:ascii="Times New Roman" w:eastAsia="Times New Roman" w:hAnsi="Times New Roman" w:cs="Times New Roman"/>
          <w:shd w:val="clear" w:color="auto" w:fill="FFFFFF"/>
        </w:rPr>
        <w:t xml:space="preserve">to dislocate and distance itself </w:t>
      </w:r>
      <w:r w:rsidRPr="001C3DE4">
        <w:rPr>
          <w:rFonts w:ascii="Times New Roman" w:eastAsia="Times New Roman" w:hAnsi="Times New Roman" w:cs="Times New Roman"/>
          <w:shd w:val="clear" w:color="auto" w:fill="FFFFFF"/>
        </w:rPr>
        <w:t xml:space="preserve">from </w:t>
      </w:r>
      <w:r w:rsidR="00017247" w:rsidRPr="001C3DE4">
        <w:rPr>
          <w:rFonts w:ascii="Times New Roman" w:eastAsia="Times New Roman" w:hAnsi="Times New Roman" w:cs="Times New Roman"/>
          <w:shd w:val="clear" w:color="auto" w:fill="FFFFFF"/>
        </w:rPr>
        <w:t>the Union</w:t>
      </w:r>
      <w:r w:rsidRPr="001C3DE4">
        <w:rPr>
          <w:rFonts w:ascii="Times New Roman" w:eastAsia="Times New Roman" w:hAnsi="Times New Roman" w:cs="Times New Roman"/>
          <w:shd w:val="clear" w:color="auto" w:fill="FFFFFF"/>
        </w:rPr>
        <w:t xml:space="preserve">, that choice also has various </w:t>
      </w:r>
      <w:r w:rsidR="00017247" w:rsidRPr="001C3DE4">
        <w:rPr>
          <w:rFonts w:ascii="Times New Roman" w:eastAsia="Times New Roman" w:hAnsi="Times New Roman" w:cs="Times New Roman"/>
          <w:shd w:val="clear" w:color="auto" w:fill="FFFFFF"/>
        </w:rPr>
        <w:t xml:space="preserve">important internal </w:t>
      </w:r>
      <w:r w:rsidRPr="001C3DE4">
        <w:rPr>
          <w:rFonts w:ascii="Times New Roman" w:eastAsia="Times New Roman" w:hAnsi="Times New Roman" w:cs="Times New Roman"/>
          <w:shd w:val="clear" w:color="auto" w:fill="FFFFFF"/>
        </w:rPr>
        <w:t xml:space="preserve">consequences for </w:t>
      </w:r>
      <w:r w:rsidR="00017247" w:rsidRPr="001C3DE4">
        <w:rPr>
          <w:rFonts w:ascii="Times New Roman" w:eastAsia="Times New Roman" w:hAnsi="Times New Roman" w:cs="Times New Roman"/>
          <w:shd w:val="clear" w:color="auto" w:fill="FFFFFF"/>
        </w:rPr>
        <w:t xml:space="preserve">the </w:t>
      </w:r>
      <w:r w:rsidRPr="001C3DE4">
        <w:rPr>
          <w:rFonts w:ascii="Times New Roman" w:eastAsia="Times New Roman" w:hAnsi="Times New Roman" w:cs="Times New Roman"/>
          <w:shd w:val="clear" w:color="auto" w:fill="FFFFFF"/>
        </w:rPr>
        <w:t>UK itself</w:t>
      </w:r>
      <w:r w:rsidR="00017247" w:rsidRPr="001C3DE4">
        <w:rPr>
          <w:rFonts w:ascii="Times New Roman" w:eastAsia="Times New Roman" w:hAnsi="Times New Roman" w:cs="Times New Roman"/>
          <w:shd w:val="clear" w:color="auto" w:fill="FFFFFF"/>
        </w:rPr>
        <w:t xml:space="preserve">: for example, the </w:t>
      </w:r>
      <w:r w:rsidRPr="001C3DE4">
        <w:rPr>
          <w:rFonts w:ascii="Times New Roman" w:eastAsia="Times New Roman" w:hAnsi="Times New Roman" w:cs="Times New Roman"/>
          <w:shd w:val="clear" w:color="auto" w:fill="FFFFFF"/>
        </w:rPr>
        <w:t xml:space="preserve">customs tensions </w:t>
      </w:r>
      <w:r w:rsidR="00017247" w:rsidRPr="001C3DE4">
        <w:rPr>
          <w:rFonts w:ascii="Times New Roman" w:eastAsia="Times New Roman" w:hAnsi="Times New Roman" w:cs="Times New Roman"/>
          <w:shd w:val="clear" w:color="auto" w:fill="FFFFFF"/>
        </w:rPr>
        <w:t xml:space="preserve">affecting Northern Ireland will only </w:t>
      </w:r>
      <w:r w:rsidRPr="001C3DE4">
        <w:rPr>
          <w:rFonts w:ascii="Times New Roman" w:eastAsia="Times New Roman" w:hAnsi="Times New Roman" w:cs="Times New Roman"/>
          <w:shd w:val="clear" w:color="auto" w:fill="FFFFFF"/>
        </w:rPr>
        <w:t xml:space="preserve">grow in proportion to </w:t>
      </w:r>
      <w:r w:rsidR="00017247" w:rsidRPr="001C3DE4">
        <w:rPr>
          <w:rFonts w:ascii="Times New Roman" w:eastAsia="Times New Roman" w:hAnsi="Times New Roman" w:cs="Times New Roman"/>
          <w:shd w:val="clear" w:color="auto" w:fill="FFFFFF"/>
        </w:rPr>
        <w:t xml:space="preserve">the degree of Great Britain’s </w:t>
      </w:r>
      <w:r w:rsidRPr="001C3DE4">
        <w:rPr>
          <w:rFonts w:ascii="Times New Roman" w:eastAsia="Times New Roman" w:hAnsi="Times New Roman" w:cs="Times New Roman"/>
          <w:shd w:val="clear" w:color="auto" w:fill="FFFFFF"/>
        </w:rPr>
        <w:t xml:space="preserve">divergence from </w:t>
      </w:r>
      <w:r w:rsidR="00017247" w:rsidRPr="001C3DE4">
        <w:rPr>
          <w:rFonts w:ascii="Times New Roman" w:eastAsia="Times New Roman" w:hAnsi="Times New Roman" w:cs="Times New Roman"/>
          <w:shd w:val="clear" w:color="auto" w:fill="FFFFFF"/>
        </w:rPr>
        <w:t xml:space="preserve">Union law; and the same is true as regards the management of internal trade between </w:t>
      </w:r>
      <w:r w:rsidRPr="001C3DE4">
        <w:rPr>
          <w:rFonts w:ascii="Times New Roman" w:eastAsia="Times New Roman" w:hAnsi="Times New Roman" w:cs="Times New Roman"/>
          <w:shd w:val="clear" w:color="auto" w:fill="FFFFFF"/>
        </w:rPr>
        <w:t>England</w:t>
      </w:r>
      <w:r w:rsidR="00017247" w:rsidRPr="001C3DE4">
        <w:rPr>
          <w:rFonts w:ascii="Times New Roman" w:eastAsia="Times New Roman" w:hAnsi="Times New Roman" w:cs="Times New Roman"/>
          <w:shd w:val="clear" w:color="auto" w:fill="FFFFFF"/>
        </w:rPr>
        <w:t xml:space="preserve">, </w:t>
      </w:r>
      <w:r w:rsidRPr="001C3DE4">
        <w:rPr>
          <w:rFonts w:ascii="Times New Roman" w:eastAsia="Times New Roman" w:hAnsi="Times New Roman" w:cs="Times New Roman"/>
          <w:shd w:val="clear" w:color="auto" w:fill="FFFFFF"/>
        </w:rPr>
        <w:t>Scotland</w:t>
      </w:r>
      <w:r w:rsidR="00017247" w:rsidRPr="001C3DE4">
        <w:rPr>
          <w:rFonts w:ascii="Times New Roman" w:eastAsia="Times New Roman" w:hAnsi="Times New Roman" w:cs="Times New Roman"/>
          <w:shd w:val="clear" w:color="auto" w:fill="FFFFFF"/>
        </w:rPr>
        <w:t xml:space="preserve"> and </w:t>
      </w:r>
      <w:r w:rsidRPr="001C3DE4">
        <w:rPr>
          <w:rFonts w:ascii="Times New Roman" w:eastAsia="Times New Roman" w:hAnsi="Times New Roman" w:cs="Times New Roman"/>
          <w:shd w:val="clear" w:color="auto" w:fill="FFFFFF"/>
        </w:rPr>
        <w:t>Wales</w:t>
      </w:r>
      <w:r w:rsidR="00017247" w:rsidRPr="001C3DE4">
        <w:rPr>
          <w:rFonts w:ascii="Times New Roman" w:eastAsia="Times New Roman" w:hAnsi="Times New Roman" w:cs="Times New Roman"/>
          <w:shd w:val="clear" w:color="auto" w:fill="FFFFFF"/>
        </w:rPr>
        <w:t xml:space="preserve">.  </w:t>
      </w:r>
      <w:r w:rsidRPr="001C3DE4">
        <w:rPr>
          <w:rFonts w:ascii="Times New Roman" w:eastAsia="Times New Roman" w:hAnsi="Times New Roman" w:cs="Times New Roman"/>
          <w:shd w:val="clear" w:color="auto" w:fill="FFFFFF"/>
        </w:rPr>
        <w:t xml:space="preserve">But most of all: </w:t>
      </w:r>
      <w:r w:rsidR="00534974">
        <w:rPr>
          <w:rFonts w:ascii="Times New Roman" w:eastAsia="Times New Roman" w:hAnsi="Times New Roman" w:cs="Times New Roman"/>
          <w:shd w:val="clear" w:color="auto" w:fill="FFFFFF"/>
        </w:rPr>
        <w:t xml:space="preserve">one wonders </w:t>
      </w:r>
      <w:r w:rsidRPr="001C3DE4">
        <w:rPr>
          <w:rFonts w:ascii="Times New Roman" w:eastAsia="Times New Roman" w:hAnsi="Times New Roman" w:cs="Times New Roman"/>
          <w:shd w:val="clear" w:color="auto" w:fill="FFFFFF"/>
        </w:rPr>
        <w:t xml:space="preserve">why </w:t>
      </w:r>
      <w:r w:rsidR="00017247" w:rsidRPr="001C3DE4">
        <w:rPr>
          <w:rFonts w:ascii="Times New Roman" w:eastAsia="Times New Roman" w:hAnsi="Times New Roman" w:cs="Times New Roman"/>
          <w:shd w:val="clear" w:color="auto" w:fill="FFFFFF"/>
        </w:rPr>
        <w:t xml:space="preserve">the Johnson Government </w:t>
      </w:r>
      <w:r w:rsidR="00534974">
        <w:rPr>
          <w:rFonts w:ascii="Times New Roman" w:eastAsia="Times New Roman" w:hAnsi="Times New Roman" w:cs="Times New Roman"/>
          <w:shd w:val="clear" w:color="auto" w:fill="FFFFFF"/>
        </w:rPr>
        <w:t xml:space="preserve">appears </w:t>
      </w:r>
      <w:r w:rsidR="00F97491" w:rsidRPr="001C3DE4">
        <w:rPr>
          <w:rFonts w:ascii="Times New Roman" w:eastAsia="Times New Roman" w:hAnsi="Times New Roman" w:cs="Times New Roman"/>
          <w:shd w:val="clear" w:color="auto" w:fill="FFFFFF"/>
        </w:rPr>
        <w:t xml:space="preserve">so </w:t>
      </w:r>
      <w:r w:rsidR="0079297C">
        <w:rPr>
          <w:rFonts w:ascii="Times New Roman" w:eastAsia="Times New Roman" w:hAnsi="Times New Roman" w:cs="Times New Roman"/>
          <w:shd w:val="clear" w:color="auto" w:fill="FFFFFF"/>
        </w:rPr>
        <w:t>fixated</w:t>
      </w:r>
      <w:r w:rsidR="00F97491" w:rsidRPr="001C3DE4">
        <w:rPr>
          <w:rFonts w:ascii="Times New Roman" w:eastAsia="Times New Roman" w:hAnsi="Times New Roman" w:cs="Times New Roman"/>
          <w:shd w:val="clear" w:color="auto" w:fill="FFFFFF"/>
        </w:rPr>
        <w:t xml:space="preserve"> </w:t>
      </w:r>
      <w:r w:rsidR="0079297C">
        <w:rPr>
          <w:rFonts w:ascii="Times New Roman" w:eastAsia="Times New Roman" w:hAnsi="Times New Roman" w:cs="Times New Roman"/>
          <w:shd w:val="clear" w:color="auto" w:fill="FFFFFF"/>
        </w:rPr>
        <w:t xml:space="preserve">on </w:t>
      </w:r>
      <w:r w:rsidR="00F97491" w:rsidRPr="001C3DE4">
        <w:rPr>
          <w:rFonts w:ascii="Times New Roman" w:eastAsia="Times New Roman" w:hAnsi="Times New Roman" w:cs="Times New Roman"/>
          <w:shd w:val="clear" w:color="auto" w:fill="FFFFFF"/>
        </w:rPr>
        <w:t xml:space="preserve">the </w:t>
      </w:r>
      <w:r w:rsidRPr="001C3DE4">
        <w:rPr>
          <w:rFonts w:ascii="Times New Roman" w:eastAsia="Times New Roman" w:hAnsi="Times New Roman" w:cs="Times New Roman"/>
          <w:shd w:val="clear" w:color="auto" w:fill="FFFFFF"/>
        </w:rPr>
        <w:t xml:space="preserve">power to diverge from </w:t>
      </w:r>
      <w:r w:rsidR="00F97491" w:rsidRPr="001C3DE4">
        <w:rPr>
          <w:rFonts w:ascii="Times New Roman" w:eastAsia="Times New Roman" w:hAnsi="Times New Roman" w:cs="Times New Roman"/>
          <w:shd w:val="clear" w:color="auto" w:fill="FFFFFF"/>
        </w:rPr>
        <w:t xml:space="preserve">Union regulatory </w:t>
      </w:r>
      <w:r w:rsidRPr="001C3DE4">
        <w:rPr>
          <w:rFonts w:ascii="Times New Roman" w:eastAsia="Times New Roman" w:hAnsi="Times New Roman" w:cs="Times New Roman"/>
          <w:shd w:val="clear" w:color="auto" w:fill="FFFFFF"/>
        </w:rPr>
        <w:t xml:space="preserve">standards, many of which are </w:t>
      </w:r>
      <w:r w:rsidR="00F97491" w:rsidRPr="001C3DE4">
        <w:rPr>
          <w:rFonts w:ascii="Times New Roman" w:eastAsia="Times New Roman" w:hAnsi="Times New Roman" w:cs="Times New Roman"/>
          <w:shd w:val="clear" w:color="auto" w:fill="FFFFFF"/>
        </w:rPr>
        <w:t xml:space="preserve">only </w:t>
      </w:r>
      <w:r w:rsidRPr="001C3DE4">
        <w:rPr>
          <w:rFonts w:ascii="Times New Roman" w:eastAsia="Times New Roman" w:hAnsi="Times New Roman" w:cs="Times New Roman"/>
          <w:shd w:val="clear" w:color="auto" w:fill="FFFFFF"/>
        </w:rPr>
        <w:t xml:space="preserve">minimum </w:t>
      </w:r>
      <w:r w:rsidR="00F97491" w:rsidRPr="001C3DE4">
        <w:rPr>
          <w:rFonts w:ascii="Times New Roman" w:eastAsia="Times New Roman" w:hAnsi="Times New Roman" w:cs="Times New Roman"/>
          <w:shd w:val="clear" w:color="auto" w:fill="FFFFFF"/>
        </w:rPr>
        <w:t xml:space="preserve">in nature and </w:t>
      </w:r>
      <w:r w:rsidRPr="001C3DE4">
        <w:rPr>
          <w:rFonts w:ascii="Times New Roman" w:eastAsia="Times New Roman" w:hAnsi="Times New Roman" w:cs="Times New Roman"/>
          <w:shd w:val="clear" w:color="auto" w:fill="FFFFFF"/>
        </w:rPr>
        <w:t xml:space="preserve">do not prevent </w:t>
      </w:r>
      <w:r w:rsidR="00F97491" w:rsidRPr="001C3DE4">
        <w:rPr>
          <w:rFonts w:ascii="Times New Roman" w:eastAsia="Times New Roman" w:hAnsi="Times New Roman" w:cs="Times New Roman"/>
          <w:shd w:val="clear" w:color="auto" w:fill="FFFFFF"/>
        </w:rPr>
        <w:t xml:space="preserve">the UK from pursuing </w:t>
      </w:r>
      <w:r w:rsidR="00023968">
        <w:rPr>
          <w:rFonts w:ascii="Times New Roman" w:eastAsia="Times New Roman" w:hAnsi="Times New Roman" w:cs="Times New Roman"/>
          <w:shd w:val="clear" w:color="auto" w:fill="FFFFFF"/>
        </w:rPr>
        <w:t>higher levels of protection.</w:t>
      </w:r>
      <w:r w:rsidRPr="001C3DE4">
        <w:rPr>
          <w:rFonts w:ascii="Times New Roman" w:eastAsia="Times New Roman" w:hAnsi="Times New Roman" w:cs="Times New Roman"/>
          <w:shd w:val="clear" w:color="auto" w:fill="FFFFFF"/>
        </w:rPr>
        <w:t xml:space="preserve"> </w:t>
      </w:r>
      <w:r w:rsidR="00F97491" w:rsidRPr="001C3DE4">
        <w:rPr>
          <w:rFonts w:ascii="Times New Roman" w:eastAsia="Times New Roman" w:hAnsi="Times New Roman" w:cs="Times New Roman"/>
          <w:shd w:val="clear" w:color="auto" w:fill="FFFFFF"/>
        </w:rPr>
        <w:t xml:space="preserve"> Perhaps “taking back control”</w:t>
      </w:r>
      <w:r w:rsidRPr="001C3DE4">
        <w:rPr>
          <w:rFonts w:ascii="Times New Roman" w:eastAsia="Times New Roman" w:hAnsi="Times New Roman" w:cs="Times New Roman"/>
          <w:shd w:val="clear" w:color="auto" w:fill="FFFFFF"/>
        </w:rPr>
        <w:t xml:space="preserve"> is just </w:t>
      </w:r>
      <w:r w:rsidR="00F97491" w:rsidRPr="001C3DE4">
        <w:rPr>
          <w:rFonts w:ascii="Times New Roman" w:eastAsia="Times New Roman" w:hAnsi="Times New Roman" w:cs="Times New Roman"/>
          <w:shd w:val="clear" w:color="auto" w:fill="FFFFFF"/>
        </w:rPr>
        <w:t xml:space="preserve">an exercise in </w:t>
      </w:r>
      <w:r w:rsidRPr="001C3DE4">
        <w:rPr>
          <w:rFonts w:ascii="Times New Roman" w:eastAsia="Times New Roman" w:hAnsi="Times New Roman" w:cs="Times New Roman"/>
          <w:shd w:val="clear" w:color="auto" w:fill="FFFFFF"/>
        </w:rPr>
        <w:t xml:space="preserve">nationalist </w:t>
      </w:r>
      <w:r w:rsidR="00F97491" w:rsidRPr="001C3DE4">
        <w:rPr>
          <w:rFonts w:ascii="Times New Roman" w:eastAsia="Times New Roman" w:hAnsi="Times New Roman" w:cs="Times New Roman"/>
          <w:shd w:val="clear" w:color="auto" w:fill="FFFFFF"/>
        </w:rPr>
        <w:t xml:space="preserve">political </w:t>
      </w:r>
      <w:r w:rsidRPr="001C3DE4">
        <w:rPr>
          <w:rFonts w:ascii="Times New Roman" w:eastAsia="Times New Roman" w:hAnsi="Times New Roman" w:cs="Times New Roman"/>
          <w:shd w:val="clear" w:color="auto" w:fill="FFFFFF"/>
        </w:rPr>
        <w:t>rhetoric.</w:t>
      </w:r>
      <w:r w:rsidR="00534974">
        <w:rPr>
          <w:rStyle w:val="FootnoteReference"/>
          <w:rFonts w:ascii="Times New Roman" w:eastAsia="Times New Roman" w:hAnsi="Times New Roman" w:cs="Times New Roman"/>
          <w:shd w:val="clear" w:color="auto" w:fill="FFFFFF"/>
        </w:rPr>
        <w:footnoteReference w:id="366"/>
      </w:r>
      <w:r w:rsidR="00F97491" w:rsidRPr="001C3DE4">
        <w:rPr>
          <w:rFonts w:ascii="Times New Roman" w:eastAsia="Times New Roman" w:hAnsi="Times New Roman" w:cs="Times New Roman"/>
          <w:shd w:val="clear" w:color="auto" w:fill="FFFFFF"/>
        </w:rPr>
        <w:t xml:space="preserve"> </w:t>
      </w:r>
      <w:r w:rsidRPr="001C3DE4">
        <w:rPr>
          <w:rFonts w:ascii="Times New Roman" w:eastAsia="Times New Roman" w:hAnsi="Times New Roman" w:cs="Times New Roman"/>
          <w:shd w:val="clear" w:color="auto" w:fill="FFFFFF"/>
        </w:rPr>
        <w:t xml:space="preserve"> </w:t>
      </w:r>
      <w:r w:rsidR="00023968">
        <w:rPr>
          <w:rFonts w:ascii="Times New Roman" w:eastAsia="Times New Roman" w:hAnsi="Times New Roman" w:cs="Times New Roman"/>
          <w:shd w:val="clear" w:color="auto" w:fill="FFFFFF"/>
        </w:rPr>
        <w:t xml:space="preserve">Or maybe </w:t>
      </w:r>
      <w:r w:rsidR="00F97491" w:rsidRPr="001C3DE4">
        <w:rPr>
          <w:rFonts w:ascii="Times New Roman" w:eastAsia="Times New Roman" w:hAnsi="Times New Roman" w:cs="Times New Roman"/>
          <w:shd w:val="clear" w:color="auto" w:fill="FFFFFF"/>
        </w:rPr>
        <w:t xml:space="preserve">the </w:t>
      </w:r>
      <w:r w:rsidRPr="001C3DE4">
        <w:rPr>
          <w:rFonts w:ascii="Times New Roman" w:eastAsia="Times New Roman" w:hAnsi="Times New Roman" w:cs="Times New Roman"/>
          <w:shd w:val="clear" w:color="auto" w:fill="FFFFFF"/>
        </w:rPr>
        <w:t xml:space="preserve">Tories </w:t>
      </w:r>
      <w:r w:rsidR="00F97491" w:rsidRPr="001C3DE4">
        <w:rPr>
          <w:rFonts w:ascii="Times New Roman" w:eastAsia="Times New Roman" w:hAnsi="Times New Roman" w:cs="Times New Roman"/>
          <w:shd w:val="clear" w:color="auto" w:fill="FFFFFF"/>
        </w:rPr>
        <w:t>do indeed harbour dream</w:t>
      </w:r>
      <w:r w:rsidR="00023968">
        <w:rPr>
          <w:rFonts w:ascii="Times New Roman" w:eastAsia="Times New Roman" w:hAnsi="Times New Roman" w:cs="Times New Roman"/>
          <w:shd w:val="clear" w:color="auto" w:fill="FFFFFF"/>
        </w:rPr>
        <w:t>s</w:t>
      </w:r>
      <w:r w:rsidR="00F97491" w:rsidRPr="001C3DE4">
        <w:rPr>
          <w:rFonts w:ascii="Times New Roman" w:eastAsia="Times New Roman" w:hAnsi="Times New Roman" w:cs="Times New Roman"/>
          <w:shd w:val="clear" w:color="auto" w:fill="FFFFFF"/>
        </w:rPr>
        <w:t xml:space="preserve"> of dismantling</w:t>
      </w:r>
      <w:r w:rsidRPr="001C3DE4">
        <w:rPr>
          <w:rFonts w:ascii="Times New Roman" w:eastAsia="Times New Roman" w:hAnsi="Times New Roman" w:cs="Times New Roman"/>
          <w:shd w:val="clear" w:color="auto" w:fill="FFFFFF"/>
        </w:rPr>
        <w:t xml:space="preserve"> </w:t>
      </w:r>
      <w:r w:rsidR="00023968">
        <w:rPr>
          <w:rFonts w:ascii="Times New Roman" w:eastAsia="Times New Roman" w:hAnsi="Times New Roman" w:cs="Times New Roman"/>
          <w:shd w:val="clear" w:color="auto" w:fill="FFFFFF"/>
        </w:rPr>
        <w:t>UK</w:t>
      </w:r>
      <w:r w:rsidR="00F97491" w:rsidRPr="001C3DE4">
        <w:rPr>
          <w:rFonts w:ascii="Times New Roman" w:eastAsia="Times New Roman" w:hAnsi="Times New Roman" w:cs="Times New Roman"/>
          <w:shd w:val="clear" w:color="auto" w:fill="FFFFFF"/>
        </w:rPr>
        <w:t xml:space="preserve"> adherence to Europe’s distinctive </w:t>
      </w:r>
      <w:r w:rsidRPr="001C3DE4">
        <w:rPr>
          <w:rFonts w:ascii="Times New Roman" w:eastAsia="Times New Roman" w:hAnsi="Times New Roman" w:cs="Times New Roman"/>
          <w:shd w:val="clear" w:color="auto" w:fill="FFFFFF"/>
        </w:rPr>
        <w:t>socio-economic model</w:t>
      </w:r>
      <w:r w:rsidR="00F97491" w:rsidRPr="001C3DE4">
        <w:rPr>
          <w:rFonts w:ascii="Times New Roman" w:eastAsia="Times New Roman" w:hAnsi="Times New Roman" w:cs="Times New Roman"/>
          <w:shd w:val="clear" w:color="auto" w:fill="FFFFFF"/>
        </w:rPr>
        <w:t xml:space="preserve">.  </w:t>
      </w:r>
    </w:p>
    <w:p w14:paraId="520F5783" w14:textId="36F86FE7" w:rsidR="002E6073" w:rsidRPr="005F3860" w:rsidRDefault="00F97491" w:rsidP="005F3860">
      <w:pPr>
        <w:ind w:firstLine="720"/>
        <w:jc w:val="both"/>
        <w:rPr>
          <w:rFonts w:ascii="Times New Roman" w:hAnsi="Times New Roman" w:cs="Times New Roman"/>
        </w:rPr>
      </w:pPr>
      <w:r w:rsidRPr="00D9649B">
        <w:rPr>
          <w:rFonts w:ascii="Times New Roman" w:eastAsia="Times New Roman" w:hAnsi="Times New Roman" w:cs="Times New Roman"/>
          <w:shd w:val="clear" w:color="auto" w:fill="FFFFFF"/>
        </w:rPr>
        <w:t xml:space="preserve">Moreover, the </w:t>
      </w:r>
      <w:r w:rsidR="00637907" w:rsidRPr="00D9649B">
        <w:rPr>
          <w:rFonts w:ascii="Times New Roman" w:eastAsia="Times New Roman" w:hAnsi="Times New Roman" w:cs="Times New Roman"/>
          <w:shd w:val="clear" w:color="auto" w:fill="FFFFFF"/>
        </w:rPr>
        <w:t>UK</w:t>
      </w:r>
      <w:r w:rsidRPr="00D9649B">
        <w:rPr>
          <w:rFonts w:ascii="Times New Roman" w:eastAsia="Times New Roman" w:hAnsi="Times New Roman" w:cs="Times New Roman"/>
          <w:shd w:val="clear" w:color="auto" w:fill="FFFFFF"/>
        </w:rPr>
        <w:t>’s</w:t>
      </w:r>
      <w:r w:rsidR="00637907" w:rsidRPr="00D9649B">
        <w:rPr>
          <w:rFonts w:ascii="Times New Roman" w:eastAsia="Times New Roman" w:hAnsi="Times New Roman" w:cs="Times New Roman"/>
          <w:shd w:val="clear" w:color="auto" w:fill="FFFFFF"/>
        </w:rPr>
        <w:t xml:space="preserve"> </w:t>
      </w:r>
      <w:r w:rsidR="001C3DE4" w:rsidRPr="00D9649B">
        <w:rPr>
          <w:rFonts w:ascii="Times New Roman" w:eastAsia="Times New Roman" w:hAnsi="Times New Roman" w:cs="Times New Roman"/>
          <w:shd w:val="clear" w:color="auto" w:fill="FFFFFF"/>
        </w:rPr>
        <w:t xml:space="preserve">increasingly abrasive </w:t>
      </w:r>
      <w:r w:rsidRPr="00D9649B">
        <w:rPr>
          <w:rFonts w:ascii="Times New Roman" w:eastAsia="Times New Roman" w:hAnsi="Times New Roman" w:cs="Times New Roman"/>
          <w:shd w:val="clear" w:color="auto" w:fill="FFFFFF"/>
        </w:rPr>
        <w:t xml:space="preserve">approach to the future relationship </w:t>
      </w:r>
      <w:r w:rsidR="00637907" w:rsidRPr="00D9649B">
        <w:rPr>
          <w:rFonts w:ascii="Times New Roman" w:eastAsia="Times New Roman" w:hAnsi="Times New Roman" w:cs="Times New Roman"/>
          <w:shd w:val="clear" w:color="auto" w:fill="FFFFFF"/>
        </w:rPr>
        <w:t xml:space="preserve">also poses </w:t>
      </w:r>
      <w:r w:rsidRPr="00D9649B">
        <w:rPr>
          <w:rFonts w:ascii="Times New Roman" w:eastAsia="Times New Roman" w:hAnsi="Times New Roman" w:cs="Times New Roman"/>
          <w:shd w:val="clear" w:color="auto" w:fill="FFFFFF"/>
        </w:rPr>
        <w:t xml:space="preserve">serious </w:t>
      </w:r>
      <w:r w:rsidR="00637907" w:rsidRPr="00D9649B">
        <w:rPr>
          <w:rFonts w:ascii="Times New Roman" w:eastAsia="Times New Roman" w:hAnsi="Times New Roman" w:cs="Times New Roman"/>
          <w:shd w:val="clear" w:color="auto" w:fill="FFFFFF"/>
        </w:rPr>
        <w:t xml:space="preserve">challenges for </w:t>
      </w:r>
      <w:r w:rsidRPr="00D9649B">
        <w:rPr>
          <w:rFonts w:ascii="Times New Roman" w:eastAsia="Times New Roman" w:hAnsi="Times New Roman" w:cs="Times New Roman"/>
          <w:shd w:val="clear" w:color="auto" w:fill="FFFFFF"/>
        </w:rPr>
        <w:t xml:space="preserve">the </w:t>
      </w:r>
      <w:r w:rsidR="00637907" w:rsidRPr="00D9649B">
        <w:rPr>
          <w:rFonts w:ascii="Times New Roman" w:eastAsia="Times New Roman" w:hAnsi="Times New Roman" w:cs="Times New Roman"/>
          <w:shd w:val="clear" w:color="auto" w:fill="FFFFFF"/>
        </w:rPr>
        <w:t>EU</w:t>
      </w:r>
      <w:r w:rsidRPr="00D9649B">
        <w:rPr>
          <w:rFonts w:ascii="Times New Roman" w:eastAsia="Times New Roman" w:hAnsi="Times New Roman" w:cs="Times New Roman"/>
          <w:shd w:val="clear" w:color="auto" w:fill="FFFFFF"/>
        </w:rPr>
        <w:t xml:space="preserve"> itself</w:t>
      </w:r>
      <w:r w:rsidR="00637907" w:rsidRPr="00D9649B">
        <w:rPr>
          <w:rFonts w:ascii="Times New Roman" w:eastAsia="Times New Roman" w:hAnsi="Times New Roman" w:cs="Times New Roman"/>
          <w:shd w:val="clear" w:color="auto" w:fill="FFFFFF"/>
        </w:rPr>
        <w:t xml:space="preserve">. </w:t>
      </w:r>
      <w:r w:rsidRPr="00D9649B">
        <w:rPr>
          <w:rFonts w:ascii="Times New Roman" w:eastAsia="Times New Roman" w:hAnsi="Times New Roman" w:cs="Times New Roman"/>
          <w:shd w:val="clear" w:color="auto" w:fill="FFFFFF"/>
        </w:rPr>
        <w:t xml:space="preserve"> </w:t>
      </w:r>
      <w:r w:rsidR="00637907" w:rsidRPr="00D9649B">
        <w:rPr>
          <w:rFonts w:ascii="Times New Roman" w:eastAsia="Times New Roman" w:hAnsi="Times New Roman" w:cs="Times New Roman"/>
          <w:shd w:val="clear" w:color="auto" w:fill="FFFFFF"/>
        </w:rPr>
        <w:t xml:space="preserve">Above all: </w:t>
      </w:r>
      <w:r w:rsidRPr="00D9649B">
        <w:rPr>
          <w:rFonts w:ascii="Times New Roman" w:eastAsia="Times New Roman" w:hAnsi="Times New Roman" w:cs="Times New Roman"/>
          <w:shd w:val="clear" w:color="auto" w:fill="FFFFFF"/>
        </w:rPr>
        <w:t xml:space="preserve">the </w:t>
      </w:r>
      <w:r w:rsidR="00637907" w:rsidRPr="00D9649B">
        <w:rPr>
          <w:rFonts w:ascii="Times New Roman" w:eastAsia="Times New Roman" w:hAnsi="Times New Roman" w:cs="Times New Roman"/>
          <w:shd w:val="clear" w:color="auto" w:fill="FFFFFF"/>
        </w:rPr>
        <w:t xml:space="preserve">risk of </w:t>
      </w:r>
      <w:r w:rsidRPr="00D9649B">
        <w:rPr>
          <w:rFonts w:ascii="Times New Roman" w:eastAsia="Times New Roman" w:hAnsi="Times New Roman" w:cs="Times New Roman"/>
          <w:shd w:val="clear" w:color="auto" w:fill="FFFFFF"/>
        </w:rPr>
        <w:t xml:space="preserve">an </w:t>
      </w:r>
      <w:r w:rsidR="00637907" w:rsidRPr="00D9649B">
        <w:rPr>
          <w:rFonts w:ascii="Times New Roman" w:eastAsia="Times New Roman" w:hAnsi="Times New Roman" w:cs="Times New Roman"/>
          <w:shd w:val="clear" w:color="auto" w:fill="FFFFFF"/>
        </w:rPr>
        <w:t xml:space="preserve">aggressive competitor on </w:t>
      </w:r>
      <w:r w:rsidRPr="00D9649B">
        <w:rPr>
          <w:rFonts w:ascii="Times New Roman" w:eastAsia="Times New Roman" w:hAnsi="Times New Roman" w:cs="Times New Roman"/>
          <w:shd w:val="clear" w:color="auto" w:fill="FFFFFF"/>
        </w:rPr>
        <w:t xml:space="preserve">our very </w:t>
      </w:r>
      <w:r w:rsidR="00637907" w:rsidRPr="00D9649B">
        <w:rPr>
          <w:rFonts w:ascii="Times New Roman" w:eastAsia="Times New Roman" w:hAnsi="Times New Roman" w:cs="Times New Roman"/>
          <w:shd w:val="clear" w:color="auto" w:fill="FFFFFF"/>
        </w:rPr>
        <w:t>doorstep</w:t>
      </w:r>
      <w:r w:rsidRPr="00D9649B">
        <w:rPr>
          <w:rFonts w:ascii="Times New Roman" w:eastAsia="Times New Roman" w:hAnsi="Times New Roman" w:cs="Times New Roman"/>
          <w:shd w:val="clear" w:color="auto" w:fill="FFFFFF"/>
        </w:rPr>
        <w:t>,</w:t>
      </w:r>
      <w:r w:rsidR="00637907" w:rsidRPr="00D9649B">
        <w:rPr>
          <w:rFonts w:ascii="Times New Roman" w:eastAsia="Times New Roman" w:hAnsi="Times New Roman" w:cs="Times New Roman"/>
          <w:shd w:val="clear" w:color="auto" w:fill="FFFFFF"/>
        </w:rPr>
        <w:t xml:space="preserve"> </w:t>
      </w:r>
      <w:r w:rsidRPr="00D9649B">
        <w:rPr>
          <w:rFonts w:ascii="Times New Roman" w:eastAsia="Times New Roman" w:hAnsi="Times New Roman" w:cs="Times New Roman"/>
          <w:shd w:val="clear" w:color="auto" w:fill="FFFFFF"/>
        </w:rPr>
        <w:t xml:space="preserve">actively </w:t>
      </w:r>
      <w:r w:rsidR="001C3DE4" w:rsidRPr="00D9649B">
        <w:rPr>
          <w:rFonts w:ascii="Times New Roman" w:eastAsia="Times New Roman" w:hAnsi="Times New Roman" w:cs="Times New Roman"/>
          <w:shd w:val="clear" w:color="auto" w:fill="FFFFFF"/>
        </w:rPr>
        <w:t xml:space="preserve">undertaking market </w:t>
      </w:r>
      <w:r w:rsidR="00637907" w:rsidRPr="00D9649B">
        <w:rPr>
          <w:rFonts w:ascii="Times New Roman" w:eastAsia="Times New Roman" w:hAnsi="Times New Roman" w:cs="Times New Roman"/>
          <w:shd w:val="clear" w:color="auto" w:fill="FFFFFF"/>
        </w:rPr>
        <w:t>deregulation</w:t>
      </w:r>
      <w:r w:rsidRPr="00D9649B">
        <w:rPr>
          <w:rFonts w:ascii="Times New Roman" w:eastAsia="Times New Roman" w:hAnsi="Times New Roman" w:cs="Times New Roman"/>
          <w:shd w:val="clear" w:color="auto" w:fill="FFFFFF"/>
        </w:rPr>
        <w:t xml:space="preserve"> and</w:t>
      </w:r>
      <w:r w:rsidR="00637907" w:rsidRPr="00D9649B">
        <w:rPr>
          <w:rFonts w:ascii="Times New Roman" w:eastAsia="Times New Roman" w:hAnsi="Times New Roman" w:cs="Times New Roman"/>
          <w:shd w:val="clear" w:color="auto" w:fill="FFFFFF"/>
        </w:rPr>
        <w:t xml:space="preserve"> </w:t>
      </w:r>
      <w:r w:rsidRPr="00D9649B">
        <w:rPr>
          <w:rFonts w:ascii="Times New Roman" w:eastAsia="Times New Roman" w:hAnsi="Times New Roman" w:cs="Times New Roman"/>
          <w:shd w:val="clear" w:color="auto" w:fill="FFFFFF"/>
        </w:rPr>
        <w:t xml:space="preserve">encouraging </w:t>
      </w:r>
      <w:r w:rsidR="00637907" w:rsidRPr="00D9649B">
        <w:rPr>
          <w:rFonts w:ascii="Times New Roman" w:eastAsia="Times New Roman" w:hAnsi="Times New Roman" w:cs="Times New Roman"/>
          <w:shd w:val="clear" w:color="auto" w:fill="FFFFFF"/>
        </w:rPr>
        <w:t>social dumping</w:t>
      </w:r>
      <w:r w:rsidRPr="00D9649B">
        <w:rPr>
          <w:rFonts w:ascii="Times New Roman" w:eastAsia="Times New Roman" w:hAnsi="Times New Roman" w:cs="Times New Roman"/>
          <w:shd w:val="clear" w:color="auto" w:fill="FFFFFF"/>
        </w:rPr>
        <w:t xml:space="preserve"> as </w:t>
      </w:r>
      <w:r w:rsidR="001C3DE4" w:rsidRPr="00D9649B">
        <w:rPr>
          <w:rFonts w:ascii="Times New Roman" w:eastAsia="Times New Roman" w:hAnsi="Times New Roman" w:cs="Times New Roman"/>
          <w:shd w:val="clear" w:color="auto" w:fill="FFFFFF"/>
        </w:rPr>
        <w:t>an alternative economic model</w:t>
      </w:r>
      <w:r w:rsidR="00637907" w:rsidRPr="00D9649B">
        <w:rPr>
          <w:rFonts w:ascii="Times New Roman" w:eastAsia="Times New Roman" w:hAnsi="Times New Roman" w:cs="Times New Roman"/>
          <w:shd w:val="clear" w:color="auto" w:fill="FFFFFF"/>
        </w:rPr>
        <w:t xml:space="preserve">; </w:t>
      </w:r>
      <w:r w:rsidR="001C3DE4" w:rsidRPr="00D9649B">
        <w:rPr>
          <w:rFonts w:ascii="Times New Roman" w:eastAsia="Times New Roman" w:hAnsi="Times New Roman" w:cs="Times New Roman"/>
          <w:shd w:val="clear" w:color="auto" w:fill="FFFFFF"/>
        </w:rPr>
        <w:t xml:space="preserve">as well as </w:t>
      </w:r>
      <w:r w:rsidR="00637907" w:rsidRPr="00D9649B">
        <w:rPr>
          <w:rFonts w:ascii="Times New Roman" w:eastAsia="Times New Roman" w:hAnsi="Times New Roman" w:cs="Times New Roman"/>
          <w:shd w:val="clear" w:color="auto" w:fill="FFFFFF"/>
        </w:rPr>
        <w:t>constant</w:t>
      </w:r>
      <w:r w:rsidR="001C3DE4" w:rsidRPr="00D9649B">
        <w:rPr>
          <w:rFonts w:ascii="Times New Roman" w:eastAsia="Times New Roman" w:hAnsi="Times New Roman" w:cs="Times New Roman"/>
          <w:shd w:val="clear" w:color="auto" w:fill="FFFFFF"/>
        </w:rPr>
        <w:t xml:space="preserve">ly engaging in </w:t>
      </w:r>
      <w:r w:rsidR="00637907" w:rsidRPr="00D9649B">
        <w:rPr>
          <w:rFonts w:ascii="Times New Roman" w:eastAsia="Times New Roman" w:hAnsi="Times New Roman" w:cs="Times New Roman"/>
          <w:shd w:val="clear" w:color="auto" w:fill="FFFFFF"/>
        </w:rPr>
        <w:t xml:space="preserve">attempts to </w:t>
      </w:r>
      <w:r w:rsidR="001C3DE4" w:rsidRPr="00D9649B">
        <w:rPr>
          <w:rFonts w:ascii="Times New Roman" w:eastAsia="Times New Roman" w:hAnsi="Times New Roman" w:cs="Times New Roman"/>
          <w:shd w:val="clear" w:color="auto" w:fill="FFFFFF"/>
        </w:rPr>
        <w:t>undermine the political unity and solidarity of the Member States</w:t>
      </w:r>
      <w:r w:rsidR="00637907" w:rsidRPr="00D9649B">
        <w:rPr>
          <w:rFonts w:ascii="Times New Roman" w:eastAsia="Times New Roman" w:hAnsi="Times New Roman" w:cs="Times New Roman"/>
          <w:shd w:val="clear" w:color="auto" w:fill="FFFFFF"/>
        </w:rPr>
        <w:t>.</w:t>
      </w:r>
      <w:r w:rsidR="00134BF8">
        <w:rPr>
          <w:rStyle w:val="FootnoteReference"/>
          <w:rFonts w:ascii="Times New Roman" w:eastAsia="Times New Roman" w:hAnsi="Times New Roman" w:cs="Times New Roman"/>
          <w:shd w:val="clear" w:color="auto" w:fill="FFFFFF"/>
        </w:rPr>
        <w:footnoteReference w:id="367"/>
      </w:r>
      <w:r w:rsidR="00637907" w:rsidRPr="00D9649B">
        <w:rPr>
          <w:rFonts w:ascii="Times New Roman" w:eastAsia="Times New Roman" w:hAnsi="Times New Roman" w:cs="Times New Roman"/>
          <w:shd w:val="clear" w:color="auto" w:fill="FFFFFF"/>
        </w:rPr>
        <w:t xml:space="preserve"> </w:t>
      </w:r>
      <w:r w:rsidR="001C3DE4" w:rsidRPr="00D9649B">
        <w:rPr>
          <w:rFonts w:ascii="Times New Roman" w:eastAsia="Times New Roman" w:hAnsi="Times New Roman" w:cs="Times New Roman"/>
          <w:shd w:val="clear" w:color="auto" w:fill="FFFFFF"/>
        </w:rPr>
        <w:t xml:space="preserve"> </w:t>
      </w:r>
      <w:r w:rsidR="007240C2" w:rsidRPr="00D9649B">
        <w:rPr>
          <w:rFonts w:ascii="Times New Roman" w:eastAsia="Times New Roman" w:hAnsi="Times New Roman" w:cs="Times New Roman"/>
          <w:shd w:val="clear" w:color="auto" w:fill="FFFFFF"/>
        </w:rPr>
        <w:t>E</w:t>
      </w:r>
      <w:r w:rsidR="001C3DE4" w:rsidRPr="00D9649B">
        <w:rPr>
          <w:rFonts w:ascii="Times New Roman" w:eastAsia="Times New Roman" w:hAnsi="Times New Roman" w:cs="Times New Roman"/>
          <w:shd w:val="clear" w:color="auto" w:fill="FFFFFF"/>
        </w:rPr>
        <w:t xml:space="preserve">ven looking </w:t>
      </w:r>
      <w:r w:rsidR="001C3DE4" w:rsidRPr="00D9649B">
        <w:rPr>
          <w:rFonts w:ascii="Times New Roman" w:eastAsia="Times New Roman" w:hAnsi="Times New Roman" w:cs="Times New Roman"/>
          <w:shd w:val="clear" w:color="auto" w:fill="FFFFFF"/>
        </w:rPr>
        <w:lastRenderedPageBreak/>
        <w:t xml:space="preserve">beyond the current generation of Tory politicians in office: the further </w:t>
      </w:r>
      <w:r w:rsidR="007240C2" w:rsidRPr="00D9649B">
        <w:rPr>
          <w:rFonts w:ascii="Times New Roman" w:eastAsia="Times New Roman" w:hAnsi="Times New Roman" w:cs="Times New Roman"/>
          <w:shd w:val="clear" w:color="auto" w:fill="FFFFFF"/>
        </w:rPr>
        <w:t xml:space="preserve">and harder </w:t>
      </w:r>
      <w:r w:rsidR="001C3DE4" w:rsidRPr="00D9649B">
        <w:rPr>
          <w:rFonts w:ascii="Times New Roman" w:eastAsia="Times New Roman" w:hAnsi="Times New Roman" w:cs="Times New Roman"/>
          <w:shd w:val="clear" w:color="auto" w:fill="FFFFFF"/>
        </w:rPr>
        <w:t xml:space="preserve">the </w:t>
      </w:r>
      <w:r w:rsidR="00637907" w:rsidRPr="00D9649B">
        <w:rPr>
          <w:rFonts w:ascii="Times New Roman" w:eastAsia="Times New Roman" w:hAnsi="Times New Roman" w:cs="Times New Roman"/>
          <w:shd w:val="clear" w:color="auto" w:fill="FFFFFF"/>
        </w:rPr>
        <w:t xml:space="preserve">UK </w:t>
      </w:r>
      <w:r w:rsidR="001C3DE4" w:rsidRPr="00D9649B">
        <w:rPr>
          <w:rFonts w:ascii="Times New Roman" w:eastAsia="Times New Roman" w:hAnsi="Times New Roman" w:cs="Times New Roman"/>
          <w:shd w:val="clear" w:color="auto" w:fill="FFFFFF"/>
        </w:rPr>
        <w:t>does drift</w:t>
      </w:r>
      <w:r w:rsidR="00637907" w:rsidRPr="00D9649B">
        <w:rPr>
          <w:rFonts w:ascii="Times New Roman" w:eastAsia="Times New Roman" w:hAnsi="Times New Roman" w:cs="Times New Roman"/>
          <w:shd w:val="clear" w:color="auto" w:fill="FFFFFF"/>
        </w:rPr>
        <w:t xml:space="preserve"> away</w:t>
      </w:r>
      <w:r w:rsidR="001C3DE4" w:rsidRPr="00D9649B">
        <w:rPr>
          <w:rFonts w:ascii="Times New Roman" w:eastAsia="Times New Roman" w:hAnsi="Times New Roman" w:cs="Times New Roman"/>
          <w:shd w:val="clear" w:color="auto" w:fill="FFFFFF"/>
        </w:rPr>
        <w:t xml:space="preserve"> from the European </w:t>
      </w:r>
      <w:r w:rsidR="00B16807">
        <w:rPr>
          <w:rFonts w:ascii="Times New Roman" w:eastAsia="Times New Roman" w:hAnsi="Times New Roman" w:cs="Times New Roman"/>
          <w:shd w:val="clear" w:color="auto" w:fill="FFFFFF"/>
        </w:rPr>
        <w:t>norm</w:t>
      </w:r>
      <w:r w:rsidR="001C3DE4" w:rsidRPr="00D9649B">
        <w:rPr>
          <w:rFonts w:ascii="Times New Roman" w:eastAsia="Times New Roman" w:hAnsi="Times New Roman" w:cs="Times New Roman"/>
          <w:shd w:val="clear" w:color="auto" w:fill="FFFFFF"/>
        </w:rPr>
        <w:t xml:space="preserve">, the more </w:t>
      </w:r>
      <w:r w:rsidR="00637907" w:rsidRPr="00D9649B">
        <w:rPr>
          <w:rFonts w:ascii="Times New Roman" w:eastAsia="Times New Roman" w:hAnsi="Times New Roman" w:cs="Times New Roman"/>
          <w:shd w:val="clear" w:color="auto" w:fill="FFFFFF"/>
        </w:rPr>
        <w:t xml:space="preserve">difficult </w:t>
      </w:r>
      <w:r w:rsidR="001C3DE4" w:rsidRPr="00D9649B">
        <w:rPr>
          <w:rFonts w:ascii="Times New Roman" w:eastAsia="Times New Roman" w:hAnsi="Times New Roman" w:cs="Times New Roman"/>
          <w:shd w:val="clear" w:color="auto" w:fill="FFFFFF"/>
        </w:rPr>
        <w:t xml:space="preserve">life will </w:t>
      </w:r>
      <w:r w:rsidR="007240C2" w:rsidRPr="00D9649B">
        <w:rPr>
          <w:rFonts w:ascii="Times New Roman" w:eastAsia="Times New Roman" w:hAnsi="Times New Roman" w:cs="Times New Roman"/>
          <w:shd w:val="clear" w:color="auto" w:fill="FFFFFF"/>
        </w:rPr>
        <w:t xml:space="preserve">eventually </w:t>
      </w:r>
      <w:r w:rsidR="001C3DE4" w:rsidRPr="00D9649B">
        <w:rPr>
          <w:rFonts w:ascii="Times New Roman" w:eastAsia="Times New Roman" w:hAnsi="Times New Roman" w:cs="Times New Roman"/>
          <w:shd w:val="clear" w:color="auto" w:fill="FFFFFF"/>
        </w:rPr>
        <w:t>be</w:t>
      </w:r>
      <w:r w:rsidR="007240C2" w:rsidRPr="00D9649B">
        <w:rPr>
          <w:rFonts w:ascii="Times New Roman" w:eastAsia="Times New Roman" w:hAnsi="Times New Roman" w:cs="Times New Roman"/>
          <w:shd w:val="clear" w:color="auto" w:fill="FFFFFF"/>
        </w:rPr>
        <w:t>,</w:t>
      </w:r>
      <w:r w:rsidR="001C3DE4" w:rsidRPr="00D9649B">
        <w:rPr>
          <w:rFonts w:ascii="Times New Roman" w:eastAsia="Times New Roman" w:hAnsi="Times New Roman" w:cs="Times New Roman"/>
          <w:shd w:val="clear" w:color="auto" w:fill="FFFFFF"/>
        </w:rPr>
        <w:t xml:space="preserve"> even for a new administration more sympathetic to close relations with or </w:t>
      </w:r>
      <w:r w:rsidR="007240C2" w:rsidRPr="00D9649B">
        <w:rPr>
          <w:rFonts w:ascii="Times New Roman" w:eastAsia="Times New Roman" w:hAnsi="Times New Roman" w:cs="Times New Roman"/>
          <w:shd w:val="clear" w:color="auto" w:fill="FFFFFF"/>
        </w:rPr>
        <w:t xml:space="preserve">indeed </w:t>
      </w:r>
      <w:r w:rsidR="001C3DE4" w:rsidRPr="00D9649B">
        <w:rPr>
          <w:rFonts w:ascii="Times New Roman" w:eastAsia="Times New Roman" w:hAnsi="Times New Roman" w:cs="Times New Roman"/>
          <w:shd w:val="clear" w:color="auto" w:fill="FFFFFF"/>
        </w:rPr>
        <w:t>renewed membership of the Union.</w:t>
      </w:r>
      <w:r w:rsidR="00D9649B" w:rsidRPr="00D9649B">
        <w:rPr>
          <w:rFonts w:ascii="Times New Roman" w:eastAsia="Times New Roman" w:hAnsi="Times New Roman" w:cs="Times New Roman"/>
          <w:shd w:val="clear" w:color="auto" w:fill="FFFFFF"/>
        </w:rPr>
        <w:t xml:space="preserve">  But in the meantime, we should continue firmly to locate the </w:t>
      </w:r>
      <w:r w:rsidR="00637907" w:rsidRPr="00D9649B">
        <w:rPr>
          <w:rFonts w:ascii="Times New Roman" w:eastAsia="Times New Roman" w:hAnsi="Times New Roman" w:cs="Times New Roman"/>
          <w:shd w:val="clear" w:color="auto" w:fill="FFFFFF"/>
        </w:rPr>
        <w:t xml:space="preserve">debate on </w:t>
      </w:r>
      <w:r w:rsidR="00D9649B" w:rsidRPr="00D9649B">
        <w:rPr>
          <w:rFonts w:ascii="Times New Roman" w:eastAsia="Times New Roman" w:hAnsi="Times New Roman" w:cs="Times New Roman"/>
          <w:shd w:val="clear" w:color="auto" w:fill="FFFFFF"/>
        </w:rPr>
        <w:t xml:space="preserve">future </w:t>
      </w:r>
      <w:r w:rsidR="00637907" w:rsidRPr="00D9649B">
        <w:rPr>
          <w:rFonts w:ascii="Times New Roman" w:eastAsia="Times New Roman" w:hAnsi="Times New Roman" w:cs="Times New Roman"/>
          <w:shd w:val="clear" w:color="auto" w:fill="FFFFFF"/>
        </w:rPr>
        <w:t xml:space="preserve">EU-UK </w:t>
      </w:r>
      <w:r w:rsidR="00D9649B" w:rsidRPr="00D9649B">
        <w:rPr>
          <w:rFonts w:ascii="Times New Roman" w:eastAsia="Times New Roman" w:hAnsi="Times New Roman" w:cs="Times New Roman"/>
          <w:shd w:val="clear" w:color="auto" w:fill="FFFFFF"/>
        </w:rPr>
        <w:t xml:space="preserve">relations </w:t>
      </w:r>
      <w:r w:rsidR="00637907" w:rsidRPr="00D9649B">
        <w:rPr>
          <w:rFonts w:ascii="Times New Roman" w:eastAsia="Times New Roman" w:hAnsi="Times New Roman" w:cs="Times New Roman"/>
          <w:shd w:val="clear" w:color="auto" w:fill="FFFFFF"/>
        </w:rPr>
        <w:t xml:space="preserve">within </w:t>
      </w:r>
      <w:r w:rsidR="00D9649B" w:rsidRPr="00D9649B">
        <w:rPr>
          <w:rFonts w:ascii="Times New Roman" w:eastAsia="Times New Roman" w:hAnsi="Times New Roman" w:cs="Times New Roman"/>
          <w:shd w:val="clear" w:color="auto" w:fill="FFFFFF"/>
        </w:rPr>
        <w:t xml:space="preserve">the </w:t>
      </w:r>
      <w:r w:rsidR="00637907" w:rsidRPr="00D9649B">
        <w:rPr>
          <w:rFonts w:ascii="Times New Roman" w:eastAsia="Times New Roman" w:hAnsi="Times New Roman" w:cs="Times New Roman"/>
          <w:shd w:val="clear" w:color="auto" w:fill="FFFFFF"/>
        </w:rPr>
        <w:t>wider geo-political landscape</w:t>
      </w:r>
      <w:r w:rsidR="00D9649B" w:rsidRPr="00D9649B">
        <w:rPr>
          <w:rFonts w:ascii="Times New Roman" w:eastAsia="Times New Roman" w:hAnsi="Times New Roman" w:cs="Times New Roman"/>
          <w:shd w:val="clear" w:color="auto" w:fill="FFFFFF"/>
        </w:rPr>
        <w:t xml:space="preserve"> currently afflicting the developed world: the UK </w:t>
      </w:r>
      <w:r w:rsidR="00637907" w:rsidRPr="00D9649B">
        <w:rPr>
          <w:rFonts w:ascii="Times New Roman" w:eastAsia="Times New Roman" w:hAnsi="Times New Roman" w:cs="Times New Roman"/>
          <w:shd w:val="clear" w:color="auto" w:fill="FFFFFF"/>
        </w:rPr>
        <w:t xml:space="preserve">Tories </w:t>
      </w:r>
      <w:r w:rsidR="00D9649B" w:rsidRPr="00D9649B">
        <w:rPr>
          <w:rFonts w:ascii="Times New Roman" w:eastAsia="Times New Roman" w:hAnsi="Times New Roman" w:cs="Times New Roman"/>
          <w:shd w:val="clear" w:color="auto" w:fill="FFFFFF"/>
        </w:rPr>
        <w:t xml:space="preserve">are </w:t>
      </w:r>
      <w:r w:rsidR="00637907" w:rsidRPr="00D9649B">
        <w:rPr>
          <w:rFonts w:ascii="Times New Roman" w:eastAsia="Times New Roman" w:hAnsi="Times New Roman" w:cs="Times New Roman"/>
          <w:shd w:val="clear" w:color="auto" w:fill="FFFFFF"/>
        </w:rPr>
        <w:t xml:space="preserve">now fully converted to </w:t>
      </w:r>
      <w:r w:rsidR="00D9649B" w:rsidRPr="00D9649B">
        <w:rPr>
          <w:rFonts w:ascii="Times New Roman" w:eastAsia="Times New Roman" w:hAnsi="Times New Roman" w:cs="Times New Roman"/>
          <w:shd w:val="clear" w:color="auto" w:fill="FFFFFF"/>
        </w:rPr>
        <w:t xml:space="preserve">the cause of </w:t>
      </w:r>
      <w:r w:rsidR="00637907" w:rsidRPr="00D9649B">
        <w:rPr>
          <w:rFonts w:ascii="Times New Roman" w:eastAsia="Times New Roman" w:hAnsi="Times New Roman" w:cs="Times New Roman"/>
          <w:shd w:val="clear" w:color="auto" w:fill="FFFFFF"/>
        </w:rPr>
        <w:t>hard right</w:t>
      </w:r>
      <w:r w:rsidR="00D9649B" w:rsidRPr="00D9649B">
        <w:rPr>
          <w:rFonts w:ascii="Times New Roman" w:eastAsia="Times New Roman" w:hAnsi="Times New Roman" w:cs="Times New Roman"/>
          <w:shd w:val="clear" w:color="auto" w:fill="FFFFFF"/>
        </w:rPr>
        <w:t xml:space="preserve">, post-truth </w:t>
      </w:r>
      <w:r w:rsidR="00637907" w:rsidRPr="00D9649B">
        <w:rPr>
          <w:rFonts w:ascii="Times New Roman" w:eastAsia="Times New Roman" w:hAnsi="Times New Roman" w:cs="Times New Roman"/>
          <w:shd w:val="clear" w:color="auto" w:fill="FFFFFF"/>
        </w:rPr>
        <w:t xml:space="preserve">populism, in </w:t>
      </w:r>
      <w:r w:rsidR="00D9649B" w:rsidRPr="00D9649B">
        <w:rPr>
          <w:rFonts w:ascii="Times New Roman" w:eastAsia="Times New Roman" w:hAnsi="Times New Roman" w:cs="Times New Roman"/>
          <w:shd w:val="clear" w:color="auto" w:fill="FFFFFF"/>
        </w:rPr>
        <w:t xml:space="preserve">international cahoots with their equally dangerous </w:t>
      </w:r>
      <w:r w:rsidR="00637907" w:rsidRPr="00D9649B">
        <w:rPr>
          <w:rFonts w:ascii="Times New Roman" w:eastAsia="Times New Roman" w:hAnsi="Times New Roman" w:cs="Times New Roman"/>
          <w:shd w:val="clear" w:color="auto" w:fill="FFFFFF"/>
        </w:rPr>
        <w:t xml:space="preserve">allies in </w:t>
      </w:r>
      <w:r w:rsidR="00DC41E9">
        <w:rPr>
          <w:rFonts w:ascii="Times New Roman" w:eastAsia="Times New Roman" w:hAnsi="Times New Roman" w:cs="Times New Roman"/>
          <w:shd w:val="clear" w:color="auto" w:fill="FFFFFF"/>
        </w:rPr>
        <w:t xml:space="preserve">the likes of </w:t>
      </w:r>
      <w:r w:rsidR="00D9649B" w:rsidRPr="00D9649B">
        <w:rPr>
          <w:rFonts w:ascii="Times New Roman" w:eastAsia="Times New Roman" w:hAnsi="Times New Roman" w:cs="Times New Roman"/>
          <w:shd w:val="clear" w:color="auto" w:fill="FFFFFF"/>
        </w:rPr>
        <w:t xml:space="preserve">Trump’s USA and </w:t>
      </w:r>
      <w:proofErr w:type="spellStart"/>
      <w:r w:rsidR="00D9649B" w:rsidRPr="00D9649B">
        <w:rPr>
          <w:rFonts w:ascii="Times New Roman" w:eastAsia="Times New Roman" w:hAnsi="Times New Roman" w:cs="Times New Roman"/>
          <w:shd w:val="clear" w:color="auto" w:fill="FFFFFF"/>
        </w:rPr>
        <w:t>Bolsonaro’s</w:t>
      </w:r>
      <w:proofErr w:type="spellEnd"/>
      <w:r w:rsidR="00D9649B" w:rsidRPr="00D9649B">
        <w:rPr>
          <w:rFonts w:ascii="Times New Roman" w:eastAsia="Times New Roman" w:hAnsi="Times New Roman" w:cs="Times New Roman"/>
          <w:shd w:val="clear" w:color="auto" w:fill="FFFFFF"/>
        </w:rPr>
        <w:t xml:space="preserve"> Brazil</w:t>
      </w:r>
      <w:r w:rsidR="00637907" w:rsidRPr="00D9649B">
        <w:rPr>
          <w:rFonts w:ascii="Times New Roman" w:eastAsia="Times New Roman" w:hAnsi="Times New Roman" w:cs="Times New Roman"/>
          <w:shd w:val="clear" w:color="auto" w:fill="FFFFFF"/>
        </w:rPr>
        <w:t xml:space="preserve">. </w:t>
      </w:r>
      <w:r w:rsidR="00D9649B" w:rsidRPr="00D9649B">
        <w:rPr>
          <w:rFonts w:ascii="Times New Roman" w:eastAsia="Times New Roman" w:hAnsi="Times New Roman" w:cs="Times New Roman"/>
          <w:shd w:val="clear" w:color="auto" w:fill="FFFFFF"/>
        </w:rPr>
        <w:t xml:space="preserve"> Until the </w:t>
      </w:r>
      <w:r w:rsidR="00D9649B">
        <w:rPr>
          <w:rFonts w:ascii="Times New Roman" w:eastAsia="Times New Roman" w:hAnsi="Times New Roman" w:cs="Times New Roman"/>
          <w:shd w:val="clear" w:color="auto" w:fill="FFFFFF"/>
        </w:rPr>
        <w:t xml:space="preserve">present </w:t>
      </w:r>
      <w:r w:rsidR="00D9649B" w:rsidRPr="00D9649B">
        <w:rPr>
          <w:rFonts w:ascii="Times New Roman" w:eastAsia="Times New Roman" w:hAnsi="Times New Roman" w:cs="Times New Roman"/>
          <w:shd w:val="clear" w:color="auto" w:fill="FFFFFF"/>
        </w:rPr>
        <w:t xml:space="preserve">crisis passes </w:t>
      </w:r>
      <w:r w:rsidR="00D9649B">
        <w:rPr>
          <w:rFonts w:ascii="Times New Roman" w:eastAsia="Times New Roman" w:hAnsi="Times New Roman" w:cs="Times New Roman"/>
          <w:shd w:val="clear" w:color="auto" w:fill="FFFFFF"/>
        </w:rPr>
        <w:t xml:space="preserve">or </w:t>
      </w:r>
      <w:r w:rsidR="00D9649B" w:rsidRPr="00D9649B">
        <w:rPr>
          <w:rFonts w:ascii="Times New Roman" w:eastAsia="Times New Roman" w:hAnsi="Times New Roman" w:cs="Times New Roman"/>
          <w:shd w:val="clear" w:color="auto" w:fill="FFFFFF"/>
        </w:rPr>
        <w:t xml:space="preserve">at least </w:t>
      </w:r>
      <w:r w:rsidR="00D9649B">
        <w:rPr>
          <w:rFonts w:ascii="Times New Roman" w:eastAsia="Times New Roman" w:hAnsi="Times New Roman" w:cs="Times New Roman"/>
          <w:shd w:val="clear" w:color="auto" w:fill="FFFFFF"/>
        </w:rPr>
        <w:t>recedes</w:t>
      </w:r>
      <w:r w:rsidR="00D9649B" w:rsidRPr="00D9649B">
        <w:rPr>
          <w:rFonts w:ascii="Times New Roman" w:eastAsia="Times New Roman" w:hAnsi="Times New Roman" w:cs="Times New Roman"/>
          <w:shd w:val="clear" w:color="auto" w:fill="FFFFFF"/>
        </w:rPr>
        <w:t xml:space="preserve">, the Union </w:t>
      </w:r>
      <w:r w:rsidR="00637907" w:rsidRPr="00D9649B">
        <w:rPr>
          <w:rFonts w:ascii="Times New Roman" w:eastAsia="Times New Roman" w:hAnsi="Times New Roman" w:cs="Times New Roman"/>
          <w:shd w:val="clear" w:color="auto" w:fill="FFFFFF"/>
        </w:rPr>
        <w:t xml:space="preserve">and its friends are </w:t>
      </w:r>
      <w:r w:rsidR="00D9649B" w:rsidRPr="00D9649B">
        <w:rPr>
          <w:rFonts w:ascii="Times New Roman" w:eastAsia="Times New Roman" w:hAnsi="Times New Roman" w:cs="Times New Roman"/>
          <w:shd w:val="clear" w:color="auto" w:fill="FFFFFF"/>
        </w:rPr>
        <w:t xml:space="preserve">effectively </w:t>
      </w:r>
      <w:r w:rsidR="00637907" w:rsidRPr="00D9649B">
        <w:rPr>
          <w:rFonts w:ascii="Times New Roman" w:eastAsia="Times New Roman" w:hAnsi="Times New Roman" w:cs="Times New Roman"/>
          <w:shd w:val="clear" w:color="auto" w:fill="FFFFFF"/>
        </w:rPr>
        <w:t>acting in existential defence of liberal social market democracy</w:t>
      </w:r>
      <w:r w:rsidR="00D9649B" w:rsidRPr="00D9649B">
        <w:rPr>
          <w:rFonts w:ascii="Times New Roman" w:eastAsia="Times New Roman" w:hAnsi="Times New Roman" w:cs="Times New Roman"/>
          <w:shd w:val="clear" w:color="auto" w:fill="FFFFFF"/>
        </w:rPr>
        <w:t xml:space="preserve"> – and that point should never drift far from the minds of those responsible for negotiations</w:t>
      </w:r>
      <w:r w:rsidR="00D9649B">
        <w:rPr>
          <w:rFonts w:ascii="Times New Roman" w:eastAsia="Times New Roman" w:hAnsi="Times New Roman" w:cs="Times New Roman"/>
          <w:shd w:val="clear" w:color="auto" w:fill="FFFFFF"/>
        </w:rPr>
        <w:t xml:space="preserve"> with the UK</w:t>
      </w:r>
      <w:r w:rsidR="00D9649B" w:rsidRPr="00D9649B">
        <w:rPr>
          <w:rFonts w:ascii="Times New Roman" w:eastAsia="Times New Roman" w:hAnsi="Times New Roman" w:cs="Times New Roman"/>
          <w:shd w:val="clear" w:color="auto" w:fill="FFFFFF"/>
        </w:rPr>
        <w:t>.</w:t>
      </w:r>
    </w:p>
    <w:p w14:paraId="3F159A6C" w14:textId="77777777" w:rsidR="002E6073" w:rsidRPr="004842AA" w:rsidRDefault="002E6073" w:rsidP="004842AA">
      <w:pPr>
        <w:rPr>
          <w:rFonts w:ascii="Times New Roman" w:hAnsi="Times New Roman" w:cs="Times New Roman"/>
          <w:b/>
          <w:highlight w:val="yellow"/>
        </w:rPr>
      </w:pPr>
    </w:p>
    <w:p w14:paraId="432B8322" w14:textId="2617F390" w:rsidR="00947667" w:rsidRPr="00085143" w:rsidRDefault="00AE693E" w:rsidP="004842AA">
      <w:pPr>
        <w:jc w:val="both"/>
        <w:rPr>
          <w:rFonts w:ascii="Times New Roman" w:hAnsi="Times New Roman" w:cs="Times New Roman"/>
          <w:b/>
        </w:rPr>
      </w:pPr>
      <w:r w:rsidRPr="00085143">
        <w:rPr>
          <w:rFonts w:ascii="Times New Roman" w:hAnsi="Times New Roman" w:cs="Times New Roman"/>
          <w:b/>
        </w:rPr>
        <w:t>5</w:t>
      </w:r>
      <w:r w:rsidR="008850A9" w:rsidRPr="00085143">
        <w:rPr>
          <w:rFonts w:ascii="Times New Roman" w:hAnsi="Times New Roman" w:cs="Times New Roman"/>
          <w:b/>
        </w:rPr>
        <w:t xml:space="preserve">. </w:t>
      </w:r>
      <w:r w:rsidR="008850A9" w:rsidRPr="00085143">
        <w:rPr>
          <w:rFonts w:ascii="Times New Roman" w:hAnsi="Times New Roman" w:cs="Times New Roman"/>
          <w:b/>
        </w:rPr>
        <w:tab/>
      </w:r>
      <w:r w:rsidR="004349E0" w:rsidRPr="00085143">
        <w:rPr>
          <w:rFonts w:ascii="Times New Roman" w:hAnsi="Times New Roman" w:cs="Times New Roman"/>
          <w:b/>
        </w:rPr>
        <w:t xml:space="preserve">Concluding Remarks </w:t>
      </w:r>
    </w:p>
    <w:p w14:paraId="09548112" w14:textId="77777777" w:rsidR="009F7C0A" w:rsidRDefault="009F7C0A" w:rsidP="004842AA">
      <w:pPr>
        <w:jc w:val="both"/>
        <w:rPr>
          <w:rFonts w:ascii="Times New Roman" w:hAnsi="Times New Roman" w:cs="Times New Roman"/>
          <w:highlight w:val="green"/>
        </w:rPr>
      </w:pPr>
    </w:p>
    <w:p w14:paraId="2F42345C" w14:textId="48A60097" w:rsidR="005F3860" w:rsidRDefault="004349E0" w:rsidP="004349E0">
      <w:pPr>
        <w:widowControl w:val="0"/>
        <w:autoSpaceDE w:val="0"/>
        <w:autoSpaceDN w:val="0"/>
        <w:adjustRightInd w:val="0"/>
        <w:jc w:val="both"/>
        <w:rPr>
          <w:rFonts w:ascii="Times New Roman" w:hAnsi="Times New Roman" w:cs="Times New Roman"/>
        </w:rPr>
      </w:pPr>
      <w:r w:rsidRPr="00121B2A">
        <w:rPr>
          <w:rFonts w:ascii="Times New Roman" w:hAnsi="Times New Roman" w:cs="Times New Roman"/>
        </w:rPr>
        <w:t xml:space="preserve">The UK’s Withdrawal Package is the product of certain empirical facts, </w:t>
      </w:r>
      <w:r w:rsidR="00085143" w:rsidRPr="00121B2A">
        <w:rPr>
          <w:rFonts w:ascii="Times New Roman" w:hAnsi="Times New Roman" w:cs="Times New Roman"/>
        </w:rPr>
        <w:t xml:space="preserve">as well as </w:t>
      </w:r>
      <w:r w:rsidRPr="00121B2A">
        <w:rPr>
          <w:rFonts w:ascii="Times New Roman" w:hAnsi="Times New Roman" w:cs="Times New Roman"/>
        </w:rPr>
        <w:t xml:space="preserve">various constitutional and legal constraints, </w:t>
      </w:r>
      <w:r w:rsidR="00085143" w:rsidRPr="00121B2A">
        <w:rPr>
          <w:rFonts w:ascii="Times New Roman" w:hAnsi="Times New Roman" w:cs="Times New Roman"/>
        </w:rPr>
        <w:t xml:space="preserve">together with myriad political choices – many of which, particularly those originating in the corridors of Westminster and Whitehall, only made an already challenging situation even more difficult to manage.  The Withdrawal Agreement has its strengths – not least in providing a much higher degree of certainty compared to the confusion and disruption that would otherwise have accompanied an entirely unilateral UK departure from the Union.  But the Agreement also has its weaknesses – particularly as regards the often formalistic and in </w:t>
      </w:r>
      <w:r w:rsidR="0028050A">
        <w:rPr>
          <w:rFonts w:ascii="Times New Roman" w:hAnsi="Times New Roman" w:cs="Times New Roman"/>
        </w:rPr>
        <w:t>several</w:t>
      </w:r>
      <w:r w:rsidR="00085143" w:rsidRPr="00121B2A">
        <w:rPr>
          <w:rFonts w:ascii="Times New Roman" w:hAnsi="Times New Roman" w:cs="Times New Roman"/>
        </w:rPr>
        <w:t xml:space="preserve"> respects limited protection afforded to migrant citizens; as well as the complex and potentially unstable settlement </w:t>
      </w:r>
      <w:r w:rsidR="00121B2A">
        <w:rPr>
          <w:rFonts w:ascii="Times New Roman" w:hAnsi="Times New Roman" w:cs="Times New Roman"/>
        </w:rPr>
        <w:t xml:space="preserve">forced upon </w:t>
      </w:r>
      <w:r w:rsidR="00085143" w:rsidRPr="00121B2A">
        <w:rPr>
          <w:rFonts w:ascii="Times New Roman" w:hAnsi="Times New Roman" w:cs="Times New Roman"/>
        </w:rPr>
        <w:t xml:space="preserve">Northern Ireland at the insistence of the Johnson Government.  As for the Political Declaration: </w:t>
      </w:r>
      <w:r w:rsidR="007C3498" w:rsidRPr="00121B2A">
        <w:rPr>
          <w:rFonts w:ascii="Times New Roman" w:hAnsi="Times New Roman" w:cs="Times New Roman"/>
        </w:rPr>
        <w:t xml:space="preserve">it took </w:t>
      </w:r>
      <w:r w:rsidR="00085143" w:rsidRPr="00121B2A">
        <w:rPr>
          <w:rFonts w:ascii="Times New Roman" w:hAnsi="Times New Roman" w:cs="Times New Roman"/>
        </w:rPr>
        <w:t>only a few weeks</w:t>
      </w:r>
      <w:r w:rsidR="007C3498" w:rsidRPr="00121B2A">
        <w:rPr>
          <w:rFonts w:ascii="Times New Roman" w:hAnsi="Times New Roman" w:cs="Times New Roman"/>
        </w:rPr>
        <w:t xml:space="preserve"> for </w:t>
      </w:r>
      <w:r w:rsidR="00085143" w:rsidRPr="00121B2A">
        <w:rPr>
          <w:rFonts w:ascii="Times New Roman" w:hAnsi="Times New Roman" w:cs="Times New Roman"/>
        </w:rPr>
        <w:t>its true value</w:t>
      </w:r>
      <w:r w:rsidR="007C3498" w:rsidRPr="00121B2A">
        <w:rPr>
          <w:rFonts w:ascii="Times New Roman" w:hAnsi="Times New Roman" w:cs="Times New Roman"/>
        </w:rPr>
        <w:t xml:space="preserve"> to be revealed,</w:t>
      </w:r>
      <w:r w:rsidR="00085143" w:rsidRPr="00121B2A">
        <w:rPr>
          <w:rFonts w:ascii="Times New Roman" w:hAnsi="Times New Roman" w:cs="Times New Roman"/>
        </w:rPr>
        <w:t xml:space="preserve"> as the UK se</w:t>
      </w:r>
      <w:r w:rsidR="000432A5">
        <w:rPr>
          <w:rFonts w:ascii="Times New Roman" w:hAnsi="Times New Roman" w:cs="Times New Roman"/>
        </w:rPr>
        <w:t>t about systematically back-peda</w:t>
      </w:r>
      <w:r w:rsidR="0045110D">
        <w:rPr>
          <w:rFonts w:ascii="Times New Roman" w:hAnsi="Times New Roman" w:cs="Times New Roman"/>
        </w:rPr>
        <w:t>l</w:t>
      </w:r>
      <w:r w:rsidR="00085143" w:rsidRPr="00121B2A">
        <w:rPr>
          <w:rFonts w:ascii="Times New Roman" w:hAnsi="Times New Roman" w:cs="Times New Roman"/>
        </w:rPr>
        <w:t xml:space="preserve">ling from </w:t>
      </w:r>
      <w:r w:rsidR="007C3498" w:rsidRPr="00121B2A">
        <w:rPr>
          <w:rFonts w:ascii="Times New Roman" w:hAnsi="Times New Roman" w:cs="Times New Roman"/>
        </w:rPr>
        <w:t xml:space="preserve">many of the </w:t>
      </w:r>
      <w:r w:rsidR="00085143" w:rsidRPr="00121B2A">
        <w:rPr>
          <w:rFonts w:ascii="Times New Roman" w:hAnsi="Times New Roman" w:cs="Times New Roman"/>
        </w:rPr>
        <w:t xml:space="preserve">commitments and aspirations </w:t>
      </w:r>
      <w:r w:rsidR="0028050A">
        <w:rPr>
          <w:rFonts w:ascii="Times New Roman" w:hAnsi="Times New Roman" w:cs="Times New Roman"/>
        </w:rPr>
        <w:t xml:space="preserve">it had </w:t>
      </w:r>
      <w:r w:rsidR="007C3498" w:rsidRPr="00121B2A">
        <w:rPr>
          <w:rFonts w:ascii="Times New Roman" w:hAnsi="Times New Roman" w:cs="Times New Roman"/>
        </w:rPr>
        <w:t>a</w:t>
      </w:r>
      <w:r w:rsidR="00121B2A">
        <w:rPr>
          <w:rFonts w:ascii="Times New Roman" w:hAnsi="Times New Roman" w:cs="Times New Roman"/>
        </w:rPr>
        <w:t>lready agreed with the Union.  And w</w:t>
      </w:r>
      <w:r w:rsidR="007C3498" w:rsidRPr="00121B2A">
        <w:rPr>
          <w:rFonts w:ascii="Times New Roman" w:hAnsi="Times New Roman" w:cs="Times New Roman"/>
        </w:rPr>
        <w:t xml:space="preserve">hatever new treaties are concluded </w:t>
      </w:r>
      <w:r w:rsidR="00F275CB" w:rsidRPr="00121B2A">
        <w:rPr>
          <w:rFonts w:ascii="Times New Roman" w:hAnsi="Times New Roman" w:cs="Times New Roman"/>
        </w:rPr>
        <w:t xml:space="preserve">in due course </w:t>
      </w:r>
      <w:r w:rsidR="007C3498" w:rsidRPr="00121B2A">
        <w:rPr>
          <w:rFonts w:ascii="Times New Roman" w:hAnsi="Times New Roman" w:cs="Times New Roman"/>
        </w:rPr>
        <w:t xml:space="preserve">between the </w:t>
      </w:r>
      <w:r w:rsidR="0028050A">
        <w:rPr>
          <w:rFonts w:ascii="Times New Roman" w:hAnsi="Times New Roman" w:cs="Times New Roman"/>
        </w:rPr>
        <w:t>EU</w:t>
      </w:r>
      <w:r w:rsidR="007C3498" w:rsidRPr="00121B2A">
        <w:rPr>
          <w:rFonts w:ascii="Times New Roman" w:hAnsi="Times New Roman" w:cs="Times New Roman"/>
        </w:rPr>
        <w:t xml:space="preserve"> and the UK, the Johnson Government appears determined to force through a far-reaching rupture in their political, economic, social, cultural and legal relations.</w:t>
      </w:r>
    </w:p>
    <w:p w14:paraId="08F9B9DA" w14:textId="77777777" w:rsidR="005F3860" w:rsidRDefault="00F275CB" w:rsidP="005F3860">
      <w:pPr>
        <w:widowControl w:val="0"/>
        <w:autoSpaceDE w:val="0"/>
        <w:autoSpaceDN w:val="0"/>
        <w:adjustRightInd w:val="0"/>
        <w:ind w:firstLine="720"/>
        <w:jc w:val="both"/>
        <w:rPr>
          <w:rFonts w:ascii="Times New Roman" w:hAnsi="Times New Roman" w:cs="Times New Roman"/>
        </w:rPr>
      </w:pPr>
      <w:r w:rsidRPr="00121B2A">
        <w:rPr>
          <w:rFonts w:ascii="Times New Roman" w:hAnsi="Times New Roman" w:cs="Times New Roman"/>
        </w:rPr>
        <w:t xml:space="preserve">The </w:t>
      </w:r>
      <w:r w:rsidR="00121B2A">
        <w:rPr>
          <w:rFonts w:ascii="Times New Roman" w:hAnsi="Times New Roman" w:cs="Times New Roman"/>
        </w:rPr>
        <w:t xml:space="preserve">triumph of post-truth political populism that brought about the dramatic </w:t>
      </w:r>
      <w:r w:rsidRPr="00121B2A">
        <w:rPr>
          <w:rFonts w:ascii="Times New Roman" w:hAnsi="Times New Roman" w:cs="Times New Roman"/>
        </w:rPr>
        <w:t xml:space="preserve">demise of the UK as a leading </w:t>
      </w:r>
      <w:r w:rsidR="0033137C">
        <w:rPr>
          <w:rFonts w:ascii="Times New Roman" w:hAnsi="Times New Roman" w:cs="Times New Roman"/>
        </w:rPr>
        <w:t>power with</w:t>
      </w:r>
      <w:r w:rsidRPr="00121B2A">
        <w:rPr>
          <w:rFonts w:ascii="Times New Roman" w:hAnsi="Times New Roman" w:cs="Times New Roman"/>
        </w:rPr>
        <w:t xml:space="preserve">in the world’s largest alliance of liberal social market democracies is a tragic and </w:t>
      </w:r>
      <w:r w:rsidR="00121B2A">
        <w:rPr>
          <w:rFonts w:ascii="Times New Roman" w:hAnsi="Times New Roman" w:cs="Times New Roman"/>
        </w:rPr>
        <w:t>cautionary</w:t>
      </w:r>
      <w:r w:rsidRPr="00121B2A">
        <w:rPr>
          <w:rFonts w:ascii="Times New Roman" w:hAnsi="Times New Roman" w:cs="Times New Roman"/>
        </w:rPr>
        <w:t xml:space="preserve"> tale</w:t>
      </w:r>
      <w:r w:rsidR="00121B2A">
        <w:rPr>
          <w:rFonts w:ascii="Times New Roman" w:hAnsi="Times New Roman" w:cs="Times New Roman"/>
        </w:rPr>
        <w:t xml:space="preserve"> from which the Union and its Member States must learn some serious lessons – about the dangers posed by </w:t>
      </w:r>
      <w:r w:rsidR="003F3D9A">
        <w:rPr>
          <w:rFonts w:ascii="Times New Roman" w:hAnsi="Times New Roman" w:cs="Times New Roman"/>
        </w:rPr>
        <w:t xml:space="preserve">rampant </w:t>
      </w:r>
      <w:r w:rsidR="00121B2A">
        <w:rPr>
          <w:rFonts w:ascii="Times New Roman" w:hAnsi="Times New Roman" w:cs="Times New Roman"/>
        </w:rPr>
        <w:t>Europhobic propaganda</w:t>
      </w:r>
      <w:r w:rsidR="003F3D9A">
        <w:rPr>
          <w:rFonts w:ascii="Times New Roman" w:hAnsi="Times New Roman" w:cs="Times New Roman"/>
        </w:rPr>
        <w:t xml:space="preserve"> and delusional </w:t>
      </w:r>
      <w:r w:rsidR="00121B2A">
        <w:rPr>
          <w:rFonts w:ascii="Times New Roman" w:hAnsi="Times New Roman" w:cs="Times New Roman"/>
        </w:rPr>
        <w:t xml:space="preserve">nationalist </w:t>
      </w:r>
      <w:r w:rsidR="003F3D9A">
        <w:rPr>
          <w:rFonts w:ascii="Times New Roman" w:hAnsi="Times New Roman" w:cs="Times New Roman"/>
        </w:rPr>
        <w:t xml:space="preserve">fantasies, as well as the risks of pandering to </w:t>
      </w:r>
      <w:r w:rsidR="00B94C22">
        <w:rPr>
          <w:rFonts w:ascii="Times New Roman" w:hAnsi="Times New Roman" w:cs="Times New Roman"/>
        </w:rPr>
        <w:t xml:space="preserve">political </w:t>
      </w:r>
      <w:r w:rsidR="003F3D9A">
        <w:rPr>
          <w:rFonts w:ascii="Times New Roman" w:hAnsi="Times New Roman" w:cs="Times New Roman"/>
        </w:rPr>
        <w:t xml:space="preserve">extremists who will never be satisfied, but only grow more </w:t>
      </w:r>
      <w:r w:rsidR="00B94C22">
        <w:rPr>
          <w:rFonts w:ascii="Times New Roman" w:hAnsi="Times New Roman" w:cs="Times New Roman"/>
        </w:rPr>
        <w:t xml:space="preserve">demanding </w:t>
      </w:r>
      <w:r w:rsidR="003F3D9A">
        <w:rPr>
          <w:rFonts w:ascii="Times New Roman" w:hAnsi="Times New Roman" w:cs="Times New Roman"/>
        </w:rPr>
        <w:t xml:space="preserve">with every concession and more </w:t>
      </w:r>
      <w:r w:rsidR="00B94C22">
        <w:rPr>
          <w:rFonts w:ascii="Times New Roman" w:hAnsi="Times New Roman" w:cs="Times New Roman"/>
        </w:rPr>
        <w:t xml:space="preserve">confident </w:t>
      </w:r>
      <w:r w:rsidR="003F3D9A">
        <w:rPr>
          <w:rFonts w:ascii="Times New Roman" w:hAnsi="Times New Roman" w:cs="Times New Roman"/>
        </w:rPr>
        <w:t>with every victory</w:t>
      </w:r>
      <w:r w:rsidRPr="00121B2A">
        <w:rPr>
          <w:rFonts w:ascii="Times New Roman" w:hAnsi="Times New Roman" w:cs="Times New Roman"/>
        </w:rPr>
        <w:t xml:space="preserve">.  </w:t>
      </w:r>
    </w:p>
    <w:p w14:paraId="516DE54D" w14:textId="7BA6DA44" w:rsidR="004349E0" w:rsidRPr="004349E0" w:rsidRDefault="00F275CB" w:rsidP="005F3860">
      <w:pPr>
        <w:widowControl w:val="0"/>
        <w:autoSpaceDE w:val="0"/>
        <w:autoSpaceDN w:val="0"/>
        <w:adjustRightInd w:val="0"/>
        <w:ind w:firstLine="720"/>
        <w:jc w:val="both"/>
        <w:rPr>
          <w:rFonts w:ascii="Times New Roman" w:hAnsi="Times New Roman" w:cs="Times New Roman"/>
        </w:rPr>
      </w:pPr>
      <w:r w:rsidRPr="00121B2A">
        <w:rPr>
          <w:rFonts w:ascii="Times New Roman" w:hAnsi="Times New Roman" w:cs="Times New Roman"/>
        </w:rPr>
        <w:t xml:space="preserve">But lawyers can always console themselves with the fact that even the </w:t>
      </w:r>
      <w:r w:rsidR="00BA7F24">
        <w:rPr>
          <w:rFonts w:ascii="Times New Roman" w:hAnsi="Times New Roman" w:cs="Times New Roman"/>
        </w:rPr>
        <w:t>bleakest</w:t>
      </w:r>
      <w:r w:rsidRPr="00121B2A">
        <w:rPr>
          <w:rFonts w:ascii="Times New Roman" w:hAnsi="Times New Roman" w:cs="Times New Roman"/>
        </w:rPr>
        <w:t xml:space="preserve"> of tragedies always manage to generate novel legal phenomena and fresh avenues for scholarly research.  </w:t>
      </w:r>
      <w:r w:rsidR="00FE6E85" w:rsidRPr="00121B2A">
        <w:rPr>
          <w:rFonts w:ascii="Times New Roman" w:hAnsi="Times New Roman" w:cs="Times New Roman"/>
        </w:rPr>
        <w:t xml:space="preserve">We now have an entire </w:t>
      </w:r>
      <w:r w:rsidRPr="00121B2A">
        <w:rPr>
          <w:rFonts w:ascii="Times New Roman" w:hAnsi="Times New Roman" w:cs="Times New Roman"/>
        </w:rPr>
        <w:t xml:space="preserve">branch of Union law </w:t>
      </w:r>
      <w:r w:rsidR="00FE6E85" w:rsidRPr="00121B2A">
        <w:rPr>
          <w:rFonts w:ascii="Times New Roman" w:hAnsi="Times New Roman" w:cs="Times New Roman"/>
        </w:rPr>
        <w:t xml:space="preserve">that barely existed before – the law of withdrawal – even if it is a field we hope never to study again.  Whatever the outcome of the future partnership negotiations, we will certainly have a </w:t>
      </w:r>
      <w:r w:rsidR="00FE6E85" w:rsidRPr="00121B2A">
        <w:rPr>
          <w:rFonts w:ascii="Times New Roman" w:hAnsi="Times New Roman" w:cs="Times New Roman"/>
        </w:rPr>
        <w:lastRenderedPageBreak/>
        <w:t xml:space="preserve">new </w:t>
      </w:r>
      <w:r w:rsidR="00BA7F24">
        <w:rPr>
          <w:rFonts w:ascii="Times New Roman" w:hAnsi="Times New Roman" w:cs="Times New Roman"/>
        </w:rPr>
        <w:t>frontier</w:t>
      </w:r>
      <w:r w:rsidR="00FE6E85" w:rsidRPr="00121B2A">
        <w:rPr>
          <w:rFonts w:ascii="Times New Roman" w:hAnsi="Times New Roman" w:cs="Times New Roman"/>
        </w:rPr>
        <w:t xml:space="preserve"> of </w:t>
      </w:r>
      <w:r w:rsidR="003F3D9A">
        <w:rPr>
          <w:rFonts w:ascii="Times New Roman" w:hAnsi="Times New Roman" w:cs="Times New Roman"/>
        </w:rPr>
        <w:t xml:space="preserve">EU </w:t>
      </w:r>
      <w:r w:rsidR="00FE6E85" w:rsidRPr="00121B2A">
        <w:rPr>
          <w:rFonts w:ascii="Times New Roman" w:hAnsi="Times New Roman" w:cs="Times New Roman"/>
        </w:rPr>
        <w:t>external relations to explore.  And sooner or later, we might have a</w:t>
      </w:r>
      <w:r w:rsidR="00BA7F24">
        <w:rPr>
          <w:rFonts w:ascii="Times New Roman" w:hAnsi="Times New Roman" w:cs="Times New Roman"/>
        </w:rPr>
        <w:t>n</w:t>
      </w:r>
      <w:r w:rsidR="00FE6E85" w:rsidRPr="00121B2A">
        <w:rPr>
          <w:rFonts w:ascii="Times New Roman" w:hAnsi="Times New Roman" w:cs="Times New Roman"/>
        </w:rPr>
        <w:t xml:space="preserve"> </w:t>
      </w:r>
      <w:r w:rsidR="00BA7F24">
        <w:rPr>
          <w:rFonts w:ascii="Times New Roman" w:hAnsi="Times New Roman" w:cs="Times New Roman"/>
        </w:rPr>
        <w:t xml:space="preserve">interesting </w:t>
      </w:r>
      <w:r w:rsidR="00FE6E85" w:rsidRPr="00121B2A">
        <w:rPr>
          <w:rFonts w:ascii="Times New Roman" w:hAnsi="Times New Roman" w:cs="Times New Roman"/>
        </w:rPr>
        <w:t xml:space="preserve">set of accession challenges to ponder, as and when a future generation of British </w:t>
      </w:r>
      <w:r w:rsidR="00B94C22">
        <w:rPr>
          <w:rFonts w:ascii="Times New Roman" w:hAnsi="Times New Roman" w:cs="Times New Roman"/>
        </w:rPr>
        <w:t xml:space="preserve">(or Scottish) </w:t>
      </w:r>
      <w:r w:rsidR="00FE6E85" w:rsidRPr="00121B2A">
        <w:rPr>
          <w:rFonts w:ascii="Times New Roman" w:hAnsi="Times New Roman" w:cs="Times New Roman"/>
        </w:rPr>
        <w:t xml:space="preserve">Europeans manage to </w:t>
      </w:r>
      <w:r w:rsidR="003F3D9A">
        <w:rPr>
          <w:rFonts w:ascii="Times New Roman" w:hAnsi="Times New Roman" w:cs="Times New Roman"/>
        </w:rPr>
        <w:t>steer</w:t>
      </w:r>
      <w:r w:rsidR="00FE6E85" w:rsidRPr="00121B2A">
        <w:rPr>
          <w:rFonts w:ascii="Times New Roman" w:hAnsi="Times New Roman" w:cs="Times New Roman"/>
        </w:rPr>
        <w:t xml:space="preserve"> the UK </w:t>
      </w:r>
      <w:r w:rsidR="00B94C22">
        <w:rPr>
          <w:rFonts w:ascii="Times New Roman" w:hAnsi="Times New Roman" w:cs="Times New Roman"/>
        </w:rPr>
        <w:t xml:space="preserve">(or an independent </w:t>
      </w:r>
      <w:r w:rsidR="0045110D">
        <w:rPr>
          <w:rFonts w:ascii="Times New Roman" w:hAnsi="Times New Roman" w:cs="Times New Roman"/>
        </w:rPr>
        <w:t>Scotland</w:t>
      </w:r>
      <w:r w:rsidR="00B94C22">
        <w:rPr>
          <w:rFonts w:ascii="Times New Roman" w:hAnsi="Times New Roman" w:cs="Times New Roman"/>
        </w:rPr>
        <w:t xml:space="preserve">) </w:t>
      </w:r>
      <w:r w:rsidR="00FE6E85" w:rsidRPr="00121B2A">
        <w:rPr>
          <w:rFonts w:ascii="Times New Roman" w:hAnsi="Times New Roman" w:cs="Times New Roman"/>
        </w:rPr>
        <w:t xml:space="preserve">back </w:t>
      </w:r>
      <w:r w:rsidR="003F3D9A">
        <w:rPr>
          <w:rFonts w:ascii="Times New Roman" w:hAnsi="Times New Roman" w:cs="Times New Roman"/>
        </w:rPr>
        <w:t xml:space="preserve">towards </w:t>
      </w:r>
      <w:r w:rsidR="00FE6E85" w:rsidRPr="00121B2A">
        <w:rPr>
          <w:rFonts w:ascii="Times New Roman" w:hAnsi="Times New Roman" w:cs="Times New Roman"/>
        </w:rPr>
        <w:t xml:space="preserve">the </w:t>
      </w:r>
      <w:r w:rsidR="003F3D9A">
        <w:rPr>
          <w:rFonts w:ascii="Times New Roman" w:hAnsi="Times New Roman" w:cs="Times New Roman"/>
        </w:rPr>
        <w:t>Union mainstream</w:t>
      </w:r>
      <w:r w:rsidR="00FE6E85" w:rsidRPr="00121B2A">
        <w:rPr>
          <w:rFonts w:ascii="Times New Roman" w:hAnsi="Times New Roman" w:cs="Times New Roman"/>
        </w:rPr>
        <w:t xml:space="preserve">.  In the meantime, Brexit has forced us all to address some vitally important questions – not least: </w:t>
      </w:r>
      <w:r w:rsidR="004349E0" w:rsidRPr="00121B2A">
        <w:rPr>
          <w:rFonts w:ascii="Times New Roman" w:hAnsi="Times New Roman" w:cs="Times New Roman"/>
        </w:rPr>
        <w:t xml:space="preserve">what </w:t>
      </w:r>
      <w:r w:rsidR="00FE6E85" w:rsidRPr="00121B2A">
        <w:rPr>
          <w:rFonts w:ascii="Times New Roman" w:hAnsi="Times New Roman" w:cs="Times New Roman"/>
        </w:rPr>
        <w:t>does it really mean,</w:t>
      </w:r>
      <w:r w:rsidR="004349E0" w:rsidRPr="00121B2A">
        <w:rPr>
          <w:rFonts w:ascii="Times New Roman" w:hAnsi="Times New Roman" w:cs="Times New Roman"/>
        </w:rPr>
        <w:t xml:space="preserve"> to be </w:t>
      </w:r>
      <w:r w:rsidR="00FE6E85" w:rsidRPr="00121B2A">
        <w:rPr>
          <w:rFonts w:ascii="Times New Roman" w:hAnsi="Times New Roman" w:cs="Times New Roman"/>
        </w:rPr>
        <w:t xml:space="preserve">a Member State of the European Union, and why should we regard </w:t>
      </w:r>
      <w:r w:rsidR="004349E0" w:rsidRPr="00121B2A">
        <w:rPr>
          <w:rFonts w:ascii="Times New Roman" w:hAnsi="Times New Roman" w:cs="Times New Roman"/>
        </w:rPr>
        <w:t xml:space="preserve">membership </w:t>
      </w:r>
      <w:r w:rsidR="00FE6E85" w:rsidRPr="00121B2A">
        <w:rPr>
          <w:rFonts w:ascii="Times New Roman" w:hAnsi="Times New Roman" w:cs="Times New Roman"/>
        </w:rPr>
        <w:t xml:space="preserve">as </w:t>
      </w:r>
      <w:r w:rsidR="003F3D9A">
        <w:rPr>
          <w:rFonts w:ascii="Times New Roman" w:hAnsi="Times New Roman" w:cs="Times New Roman"/>
        </w:rPr>
        <w:t xml:space="preserve">both </w:t>
      </w:r>
      <w:r w:rsidR="004349E0" w:rsidRPr="00121B2A">
        <w:rPr>
          <w:rFonts w:ascii="Times New Roman" w:hAnsi="Times New Roman" w:cs="Times New Roman"/>
        </w:rPr>
        <w:t>special</w:t>
      </w:r>
      <w:r w:rsidR="00FE6E85" w:rsidRPr="00121B2A">
        <w:rPr>
          <w:rFonts w:ascii="Times New Roman" w:hAnsi="Times New Roman" w:cs="Times New Roman"/>
        </w:rPr>
        <w:t xml:space="preserve"> and valuable</w:t>
      </w:r>
      <w:r w:rsidR="004349E0" w:rsidRPr="00121B2A">
        <w:rPr>
          <w:rFonts w:ascii="Times New Roman" w:hAnsi="Times New Roman" w:cs="Times New Roman"/>
        </w:rPr>
        <w:t>?</w:t>
      </w:r>
      <w:r w:rsidR="00FE6E85" w:rsidRPr="00121B2A">
        <w:rPr>
          <w:rFonts w:ascii="Times New Roman" w:hAnsi="Times New Roman" w:cs="Times New Roman"/>
        </w:rPr>
        <w:t xml:space="preserve">  And </w:t>
      </w:r>
      <w:r w:rsidR="003F3D9A">
        <w:rPr>
          <w:rFonts w:ascii="Times New Roman" w:hAnsi="Times New Roman" w:cs="Times New Roman"/>
        </w:rPr>
        <w:t xml:space="preserve">of course, </w:t>
      </w:r>
      <w:r w:rsidR="00FE6E85" w:rsidRPr="00121B2A">
        <w:rPr>
          <w:rFonts w:ascii="Times New Roman" w:hAnsi="Times New Roman" w:cs="Times New Roman"/>
        </w:rPr>
        <w:t xml:space="preserve">the UK’s departure will also profoundly affect the internal dynamics of the Union – </w:t>
      </w:r>
      <w:r w:rsidR="003F3D9A">
        <w:rPr>
          <w:rFonts w:ascii="Times New Roman" w:hAnsi="Times New Roman" w:cs="Times New Roman"/>
        </w:rPr>
        <w:t xml:space="preserve">not only </w:t>
      </w:r>
      <w:r w:rsidR="00FE6E85" w:rsidRPr="00121B2A">
        <w:rPr>
          <w:rFonts w:ascii="Times New Roman" w:hAnsi="Times New Roman" w:cs="Times New Roman"/>
        </w:rPr>
        <w:t xml:space="preserve">its institutions, </w:t>
      </w:r>
      <w:r w:rsidR="003F3D9A">
        <w:rPr>
          <w:rFonts w:ascii="Times New Roman" w:hAnsi="Times New Roman" w:cs="Times New Roman"/>
        </w:rPr>
        <w:t xml:space="preserve">but also </w:t>
      </w:r>
      <w:r w:rsidR="00FE6E85" w:rsidRPr="00121B2A">
        <w:rPr>
          <w:rFonts w:ascii="Times New Roman" w:hAnsi="Times New Roman" w:cs="Times New Roman"/>
        </w:rPr>
        <w:t xml:space="preserve">their interaction with the Member States, </w:t>
      </w:r>
      <w:r w:rsidR="003F3D9A">
        <w:rPr>
          <w:rFonts w:ascii="Times New Roman" w:hAnsi="Times New Roman" w:cs="Times New Roman"/>
        </w:rPr>
        <w:t xml:space="preserve">as well as </w:t>
      </w:r>
      <w:r w:rsidR="00FE6E85" w:rsidRPr="00121B2A">
        <w:rPr>
          <w:rFonts w:ascii="Times New Roman" w:hAnsi="Times New Roman" w:cs="Times New Roman"/>
        </w:rPr>
        <w:t xml:space="preserve">relations between the Member States themselves.  </w:t>
      </w:r>
      <w:r w:rsidR="003F3D9A">
        <w:rPr>
          <w:rFonts w:ascii="Times New Roman" w:hAnsi="Times New Roman" w:cs="Times New Roman"/>
        </w:rPr>
        <w:t>Having taken back control</w:t>
      </w:r>
      <w:r w:rsidR="005569BF">
        <w:rPr>
          <w:rFonts w:ascii="Times New Roman" w:hAnsi="Times New Roman" w:cs="Times New Roman"/>
        </w:rPr>
        <w:t xml:space="preserve"> from the British,</w:t>
      </w:r>
      <w:r w:rsidR="003F3D9A">
        <w:rPr>
          <w:rFonts w:ascii="Times New Roman" w:hAnsi="Times New Roman" w:cs="Times New Roman"/>
        </w:rPr>
        <w:t xml:space="preserve"> after a lifetime of </w:t>
      </w:r>
      <w:r w:rsidR="005569BF">
        <w:rPr>
          <w:rFonts w:ascii="Times New Roman" w:hAnsi="Times New Roman" w:cs="Times New Roman"/>
        </w:rPr>
        <w:t xml:space="preserve">their </w:t>
      </w:r>
      <w:r w:rsidR="003F3D9A">
        <w:rPr>
          <w:rFonts w:ascii="Times New Roman" w:hAnsi="Times New Roman" w:cs="Times New Roman"/>
        </w:rPr>
        <w:t xml:space="preserve">threats to veto and obstruct, the </w:t>
      </w:r>
      <w:r w:rsidR="00FE6E85" w:rsidRPr="00121B2A">
        <w:rPr>
          <w:rFonts w:ascii="Times New Roman" w:hAnsi="Times New Roman" w:cs="Times New Roman"/>
        </w:rPr>
        <w:t xml:space="preserve">Union will now evolve according to the wishes of the 27 – and when the UK finally </w:t>
      </w:r>
      <w:r w:rsidR="003F3D9A">
        <w:rPr>
          <w:rFonts w:ascii="Times New Roman" w:hAnsi="Times New Roman" w:cs="Times New Roman"/>
        </w:rPr>
        <w:t xml:space="preserve">returns </w:t>
      </w:r>
      <w:r w:rsidR="00FE6E85" w:rsidRPr="00121B2A">
        <w:rPr>
          <w:rFonts w:ascii="Times New Roman" w:hAnsi="Times New Roman" w:cs="Times New Roman"/>
        </w:rPr>
        <w:t xml:space="preserve">to </w:t>
      </w:r>
      <w:r w:rsidR="0079297C">
        <w:rPr>
          <w:rFonts w:ascii="Times New Roman" w:hAnsi="Times New Roman" w:cs="Times New Roman"/>
        </w:rPr>
        <w:t>the fold</w:t>
      </w:r>
      <w:r w:rsidR="00FE6E85" w:rsidRPr="00121B2A">
        <w:rPr>
          <w:rFonts w:ascii="Times New Roman" w:hAnsi="Times New Roman" w:cs="Times New Roman"/>
        </w:rPr>
        <w:t xml:space="preserve">, it will have to consider </w:t>
      </w:r>
      <w:proofErr w:type="spellStart"/>
      <w:r w:rsidR="00FE6E85" w:rsidRPr="00121B2A">
        <w:rPr>
          <w:rFonts w:ascii="Times New Roman" w:hAnsi="Times New Roman" w:cs="Times New Roman"/>
        </w:rPr>
        <w:t>rejoining</w:t>
      </w:r>
      <w:proofErr w:type="spellEnd"/>
      <w:r w:rsidR="00FE6E85" w:rsidRPr="00121B2A">
        <w:rPr>
          <w:rFonts w:ascii="Times New Roman" w:hAnsi="Times New Roman" w:cs="Times New Roman"/>
        </w:rPr>
        <w:t xml:space="preserve"> whatever the Union has </w:t>
      </w:r>
      <w:r w:rsidR="00121B2A" w:rsidRPr="00121B2A">
        <w:rPr>
          <w:rFonts w:ascii="Times New Roman" w:hAnsi="Times New Roman" w:cs="Times New Roman"/>
        </w:rPr>
        <w:t xml:space="preserve">decided to make </w:t>
      </w:r>
      <w:r w:rsidR="00FE6E85" w:rsidRPr="00121B2A">
        <w:rPr>
          <w:rFonts w:ascii="Times New Roman" w:hAnsi="Times New Roman" w:cs="Times New Roman"/>
        </w:rPr>
        <w:t>of itself</w:t>
      </w:r>
      <w:r w:rsidR="003F3D9A">
        <w:rPr>
          <w:rFonts w:ascii="Times New Roman" w:hAnsi="Times New Roman" w:cs="Times New Roman"/>
        </w:rPr>
        <w:t>, for itself</w:t>
      </w:r>
      <w:r w:rsidR="00FE6E85" w:rsidRPr="00121B2A">
        <w:rPr>
          <w:rFonts w:ascii="Times New Roman" w:hAnsi="Times New Roman" w:cs="Times New Roman"/>
        </w:rPr>
        <w:t>.</w:t>
      </w:r>
    </w:p>
    <w:sectPr w:rsidR="004349E0" w:rsidRPr="004349E0" w:rsidSect="0025291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CA59D" w14:textId="77777777" w:rsidR="00FD11BB" w:rsidRDefault="00FD11BB" w:rsidP="005567DC">
      <w:r>
        <w:separator/>
      </w:r>
    </w:p>
  </w:endnote>
  <w:endnote w:type="continuationSeparator" w:id="0">
    <w:p w14:paraId="215C0816" w14:textId="77777777" w:rsidR="00FD11BB" w:rsidRDefault="00FD11BB" w:rsidP="0055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C3A62" w14:textId="77777777" w:rsidR="00FD11BB" w:rsidRDefault="00FD11BB" w:rsidP="00876F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500C7F" w14:textId="77777777" w:rsidR="00FD11BB" w:rsidRDefault="00FD11BB" w:rsidP="003753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52AC0" w14:textId="77777777" w:rsidR="00FD11BB" w:rsidRPr="009F3C4D" w:rsidRDefault="00FD11BB" w:rsidP="00876FC6">
    <w:pPr>
      <w:pStyle w:val="Footer"/>
      <w:framePr w:wrap="around" w:vAnchor="text" w:hAnchor="margin" w:xAlign="center" w:y="1"/>
      <w:rPr>
        <w:rStyle w:val="PageNumber"/>
        <w:rFonts w:ascii="Times New Roman" w:hAnsi="Times New Roman" w:cs="Times New Roman"/>
      </w:rPr>
    </w:pPr>
    <w:r w:rsidRPr="009F3C4D">
      <w:rPr>
        <w:rStyle w:val="PageNumber"/>
        <w:rFonts w:ascii="Times New Roman" w:hAnsi="Times New Roman" w:cs="Times New Roman"/>
      </w:rPr>
      <w:fldChar w:fldCharType="begin"/>
    </w:r>
    <w:r w:rsidRPr="009F3C4D">
      <w:rPr>
        <w:rStyle w:val="PageNumber"/>
        <w:rFonts w:ascii="Times New Roman" w:hAnsi="Times New Roman" w:cs="Times New Roman"/>
      </w:rPr>
      <w:instrText xml:space="preserve">PAGE  </w:instrText>
    </w:r>
    <w:r w:rsidRPr="009F3C4D">
      <w:rPr>
        <w:rStyle w:val="PageNumber"/>
        <w:rFonts w:ascii="Times New Roman" w:hAnsi="Times New Roman" w:cs="Times New Roman"/>
      </w:rPr>
      <w:fldChar w:fldCharType="separate"/>
    </w:r>
    <w:r w:rsidR="0090529A">
      <w:rPr>
        <w:rStyle w:val="PageNumber"/>
        <w:rFonts w:ascii="Times New Roman" w:hAnsi="Times New Roman" w:cs="Times New Roman"/>
        <w:noProof/>
      </w:rPr>
      <w:t>29</w:t>
    </w:r>
    <w:r w:rsidRPr="009F3C4D">
      <w:rPr>
        <w:rStyle w:val="PageNumber"/>
        <w:rFonts w:ascii="Times New Roman" w:hAnsi="Times New Roman" w:cs="Times New Roman"/>
      </w:rPr>
      <w:fldChar w:fldCharType="end"/>
    </w:r>
  </w:p>
  <w:p w14:paraId="58F4ED69" w14:textId="447DB5C6" w:rsidR="00FD11BB" w:rsidRPr="003753C4" w:rsidRDefault="00FD11BB" w:rsidP="00F2611C">
    <w:pPr>
      <w:pStyle w:val="Footer"/>
      <w:ind w:right="360"/>
      <w:rPr>
        <w:rFonts w:ascii="Arial Narrow" w:hAnsi="Arial Narrow"/>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6EF30" w14:textId="77777777" w:rsidR="00FD11BB" w:rsidRDefault="00FD11BB" w:rsidP="005567DC">
      <w:r>
        <w:separator/>
      </w:r>
    </w:p>
  </w:footnote>
  <w:footnote w:type="continuationSeparator" w:id="0">
    <w:p w14:paraId="1B7453A3" w14:textId="77777777" w:rsidR="00FD11BB" w:rsidRDefault="00FD11BB" w:rsidP="005567DC">
      <w:r>
        <w:continuationSeparator/>
      </w:r>
    </w:p>
  </w:footnote>
  <w:footnote w:id="1">
    <w:p w14:paraId="5DA6F557" w14:textId="31D84E00" w:rsidR="00FD11BB" w:rsidRPr="00F979D1" w:rsidRDefault="00FD11BB" w:rsidP="00F979D1">
      <w:pPr>
        <w:pStyle w:val="FootnoteText"/>
        <w:jc w:val="both"/>
        <w:rPr>
          <w:rFonts w:ascii="Times New Roman" w:hAnsi="Times New Roman" w:cs="Times New Roman"/>
          <w:sz w:val="20"/>
          <w:szCs w:val="20"/>
        </w:rPr>
      </w:pPr>
      <w:r w:rsidRPr="00F979D1">
        <w:rPr>
          <w:rFonts w:ascii="Times New Roman" w:hAnsi="Times New Roman" w:cs="Times New Roman"/>
          <w:sz w:val="20"/>
          <w:szCs w:val="20"/>
        </w:rPr>
        <w:t>* University of Liverpool.  I am indebted to my colleagues on the CML Rev. Editorial Board for their invaluable comments and suggestions.  This article is based on the materials publicly available as at 1 March 2020.</w:t>
      </w:r>
    </w:p>
    <w:p w14:paraId="114C1045" w14:textId="2DC51163"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And </w:t>
      </w:r>
      <w:proofErr w:type="spellStart"/>
      <w:r w:rsidRPr="00F979D1">
        <w:rPr>
          <w:rFonts w:ascii="Times New Roman" w:hAnsi="Times New Roman" w:cs="Times New Roman"/>
          <w:sz w:val="20"/>
          <w:szCs w:val="20"/>
        </w:rPr>
        <w:t>Euratom</w:t>
      </w:r>
      <w:proofErr w:type="spellEnd"/>
      <w:r w:rsidRPr="00F979D1">
        <w:rPr>
          <w:rFonts w:ascii="Times New Roman" w:hAnsi="Times New Roman" w:cs="Times New Roman"/>
          <w:sz w:val="20"/>
          <w:szCs w:val="20"/>
        </w:rPr>
        <w:t>: Art 1 Withdrawal Agreement (hereafter: WA).</w:t>
      </w:r>
    </w:p>
  </w:footnote>
  <w:footnote w:id="2">
    <w:p w14:paraId="349C03D4" w14:textId="29742A3B"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OJ 2019, C 384 I.</w:t>
      </w:r>
      <w:proofErr w:type="gramEnd"/>
    </w:p>
  </w:footnote>
  <w:footnote w:id="3">
    <w:p w14:paraId="08BCEFD0" w14:textId="2C843C1F"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The present author described the Leave campaign as guilty of “dishonesty on an industrial scale”: see &lt;&lt;https://www.youtube.com/watch</w:t>
      </w:r>
      <w:proofErr w:type="gramStart"/>
      <w:r w:rsidRPr="00F979D1">
        <w:rPr>
          <w:rFonts w:ascii="Times New Roman" w:hAnsi="Times New Roman" w:cs="Times New Roman"/>
          <w:sz w:val="20"/>
          <w:szCs w:val="20"/>
          <w:lang w:val="en-US"/>
        </w:rPr>
        <w:t>?v</w:t>
      </w:r>
      <w:proofErr w:type="gramEnd"/>
      <w:r w:rsidRPr="00F979D1">
        <w:rPr>
          <w:rFonts w:ascii="Times New Roman" w:hAnsi="Times New Roman" w:cs="Times New Roman"/>
          <w:sz w:val="20"/>
          <w:szCs w:val="20"/>
          <w:lang w:val="en-US"/>
        </w:rPr>
        <w:t>=ic8A7KXFkKY&gt;&gt;.</w:t>
      </w:r>
    </w:p>
  </w:footnote>
  <w:footnote w:id="4">
    <w:p w14:paraId="1A9E34A2" w14:textId="4ABB05BF"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Further, e.g. </w:t>
      </w:r>
      <w:proofErr w:type="spellStart"/>
      <w:r w:rsidRPr="00F979D1">
        <w:rPr>
          <w:rFonts w:ascii="Times New Roman" w:hAnsi="Times New Roman" w:cs="Times New Roman"/>
          <w:sz w:val="20"/>
          <w:szCs w:val="20"/>
        </w:rPr>
        <w:t>Dashwood</w:t>
      </w:r>
      <w:proofErr w:type="spellEnd"/>
      <w:r w:rsidRPr="00F979D1">
        <w:rPr>
          <w:rFonts w:ascii="Times New Roman" w:hAnsi="Times New Roman" w:cs="Times New Roman"/>
          <w:sz w:val="20"/>
          <w:szCs w:val="20"/>
        </w:rPr>
        <w:t xml:space="preserve"> et al, “Draft Constitutional Treaty of the European Union and Related Documents”, 28 EL Rev. (2003), 3; </w:t>
      </w:r>
      <w:proofErr w:type="spellStart"/>
      <w:r w:rsidRPr="00F979D1">
        <w:rPr>
          <w:rFonts w:ascii="Times New Roman" w:hAnsi="Times New Roman" w:cs="Times New Roman"/>
          <w:sz w:val="20"/>
          <w:szCs w:val="20"/>
          <w:lang w:val="en-US"/>
        </w:rPr>
        <w:t>Łazowski</w:t>
      </w:r>
      <w:proofErr w:type="spellEnd"/>
      <w:r w:rsidRPr="00F979D1">
        <w:rPr>
          <w:rFonts w:ascii="Times New Roman" w:hAnsi="Times New Roman" w:cs="Times New Roman"/>
          <w:sz w:val="20"/>
          <w:szCs w:val="20"/>
          <w:lang w:val="en-US"/>
        </w:rPr>
        <w:t>, “Withdrawal from the European Union and Alternatives to Membership”, 37 EL Rev. (2012), 523</w:t>
      </w:r>
      <w:r w:rsidRPr="00F979D1">
        <w:rPr>
          <w:rFonts w:ascii="Times New Roman" w:hAnsi="Times New Roman" w:cs="Times New Roman"/>
          <w:sz w:val="20"/>
          <w:szCs w:val="20"/>
        </w:rPr>
        <w:t>.</w:t>
      </w:r>
    </w:p>
  </w:footnote>
  <w:footnote w:id="5">
    <w:p w14:paraId="0F712CE8" w14:textId="28952222"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Further, e.g. </w:t>
      </w:r>
      <w:proofErr w:type="spellStart"/>
      <w:r w:rsidRPr="00F979D1">
        <w:rPr>
          <w:rFonts w:ascii="Times New Roman" w:hAnsi="Times New Roman" w:cs="Times New Roman"/>
          <w:sz w:val="20"/>
          <w:szCs w:val="20"/>
          <w:lang w:val="en-US"/>
        </w:rPr>
        <w:t>Eeckhout</w:t>
      </w:r>
      <w:proofErr w:type="spellEnd"/>
      <w:r w:rsidRPr="00F979D1">
        <w:rPr>
          <w:rFonts w:ascii="Times New Roman" w:hAnsi="Times New Roman" w:cs="Times New Roman"/>
          <w:sz w:val="20"/>
          <w:szCs w:val="20"/>
          <w:lang w:val="en-US"/>
        </w:rPr>
        <w:t xml:space="preserve"> and </w:t>
      </w:r>
      <w:proofErr w:type="spellStart"/>
      <w:r w:rsidRPr="00F979D1">
        <w:rPr>
          <w:rFonts w:ascii="Times New Roman" w:hAnsi="Times New Roman" w:cs="Times New Roman"/>
          <w:sz w:val="20"/>
          <w:szCs w:val="20"/>
          <w:lang w:val="en-US"/>
        </w:rPr>
        <w:t>Frantziou</w:t>
      </w:r>
      <w:proofErr w:type="spellEnd"/>
      <w:r w:rsidRPr="00F979D1">
        <w:rPr>
          <w:rFonts w:ascii="Times New Roman" w:hAnsi="Times New Roman" w:cs="Times New Roman"/>
          <w:sz w:val="20"/>
          <w:szCs w:val="20"/>
          <w:lang w:val="en-US"/>
        </w:rPr>
        <w:t>, “Brexit and Article 50 TEU: A Constitutionalist Reading”, 54 CML Rev. (2017), 695</w:t>
      </w:r>
      <w:proofErr w:type="gramStart"/>
      <w:r w:rsidRPr="00F979D1">
        <w:rPr>
          <w:rFonts w:ascii="Times New Roman" w:hAnsi="Times New Roman" w:cs="Times New Roman"/>
          <w:sz w:val="20"/>
          <w:szCs w:val="20"/>
          <w:lang w:val="en-US"/>
        </w:rPr>
        <w:t>;</w:t>
      </w:r>
      <w:proofErr w:type="gramEnd"/>
      <w:r w:rsidRPr="00F979D1">
        <w:rPr>
          <w:rFonts w:ascii="Times New Roman" w:hAnsi="Times New Roman" w:cs="Times New Roman"/>
          <w:sz w:val="20"/>
          <w:szCs w:val="20"/>
          <w:lang w:val="en-US"/>
        </w:rPr>
        <w:t xml:space="preserve"> </w:t>
      </w:r>
      <w:proofErr w:type="spellStart"/>
      <w:r w:rsidRPr="00F979D1">
        <w:rPr>
          <w:rFonts w:ascii="Times New Roman" w:hAnsi="Times New Roman" w:cs="Times New Roman"/>
          <w:sz w:val="20"/>
          <w:szCs w:val="20"/>
          <w:lang w:val="en-US"/>
        </w:rPr>
        <w:t>Hillion</w:t>
      </w:r>
      <w:proofErr w:type="spellEnd"/>
      <w:r w:rsidRPr="00F979D1">
        <w:rPr>
          <w:rFonts w:ascii="Times New Roman" w:hAnsi="Times New Roman" w:cs="Times New Roman"/>
          <w:sz w:val="20"/>
          <w:szCs w:val="20"/>
          <w:lang w:val="en-US"/>
        </w:rPr>
        <w:t xml:space="preserve">, “Withdrawal under Article 50 TEU: An integration-friendly process”, 55 </w:t>
      </w:r>
      <w:r w:rsidRPr="00F979D1">
        <w:rPr>
          <w:rFonts w:ascii="Times New Roman" w:hAnsi="Times New Roman" w:cs="Times New Roman"/>
          <w:sz w:val="20"/>
          <w:szCs w:val="20"/>
        </w:rPr>
        <w:t>CML Rev. (2018), Special Issue 29.</w:t>
      </w:r>
    </w:p>
  </w:footnote>
  <w:footnote w:id="6">
    <w:p w14:paraId="37AF3A79" w14:textId="1A64E665"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lang w:val="en-US"/>
        </w:rPr>
        <w:t>European Medicines Agency (The Netherlands); European Banking Authority (France); Galileo Security Monitoring Centre back-up site (Spain).</w:t>
      </w:r>
      <w:proofErr w:type="gramEnd"/>
    </w:p>
  </w:footnote>
  <w:footnote w:id="7">
    <w:p w14:paraId="475D5D99" w14:textId="4F1023C1"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In particular: </w:t>
      </w:r>
      <w:proofErr w:type="gramStart"/>
      <w:r w:rsidRPr="00F979D1">
        <w:rPr>
          <w:rFonts w:ascii="Times New Roman" w:hAnsi="Times New Roman" w:cs="Times New Roman"/>
          <w:sz w:val="20"/>
          <w:szCs w:val="20"/>
        </w:rPr>
        <w:t>COM(</w:t>
      </w:r>
      <w:proofErr w:type="gramEnd"/>
      <w:r w:rsidRPr="00F979D1">
        <w:rPr>
          <w:rFonts w:ascii="Times New Roman" w:hAnsi="Times New Roman" w:cs="Times New Roman"/>
          <w:sz w:val="20"/>
          <w:szCs w:val="20"/>
        </w:rPr>
        <w:t>2018) 556 Final/2; COM(2018) 880 Final; COM(2018) 890 Final; COM(2019) 195 Final; COM(2019) 276 Final; COM(2019) 394 Final.  Those documents also contain examples of measures expected from Member States and private actors.</w:t>
      </w:r>
    </w:p>
  </w:footnote>
  <w:footnote w:id="8">
    <w:p w14:paraId="3F36D801" w14:textId="633967E2"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European Union (Withdrawal) Act 2018 (hereafter: </w:t>
      </w:r>
      <w:proofErr w:type="gramStart"/>
      <w:r w:rsidRPr="00F979D1">
        <w:rPr>
          <w:rFonts w:ascii="Times New Roman" w:hAnsi="Times New Roman" w:cs="Times New Roman"/>
          <w:sz w:val="20"/>
          <w:szCs w:val="20"/>
        </w:rPr>
        <w:t>EU(</w:t>
      </w:r>
      <w:proofErr w:type="gramEnd"/>
      <w:r w:rsidRPr="00F979D1">
        <w:rPr>
          <w:rFonts w:ascii="Times New Roman" w:hAnsi="Times New Roman" w:cs="Times New Roman"/>
          <w:sz w:val="20"/>
          <w:szCs w:val="20"/>
        </w:rPr>
        <w:t>W)A 2018) as amended by European Union (Withdrawal Agreement) Act 2020 (hereafter: EU(WA)A 2020).</w:t>
      </w:r>
    </w:p>
  </w:footnote>
  <w:footnote w:id="9">
    <w:p w14:paraId="191D24C1" w14:textId="685F0741"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Consider the “</w:t>
      </w:r>
      <w:proofErr w:type="spellStart"/>
      <w:r w:rsidRPr="00F979D1">
        <w:rPr>
          <w:rFonts w:ascii="Times New Roman" w:hAnsi="Times New Roman" w:cs="Times New Roman"/>
          <w:sz w:val="20"/>
          <w:szCs w:val="20"/>
        </w:rPr>
        <w:t>Brexit</w:t>
      </w:r>
      <w:proofErr w:type="spellEnd"/>
      <w:r w:rsidRPr="00F979D1">
        <w:rPr>
          <w:rFonts w:ascii="Times New Roman" w:hAnsi="Times New Roman" w:cs="Times New Roman"/>
          <w:sz w:val="20"/>
          <w:szCs w:val="20"/>
        </w:rPr>
        <w:t xml:space="preserve"> Bills” in the Government’s legislative agenda (Queens’ Speech) of 21 June 2017.</w:t>
      </w:r>
    </w:p>
  </w:footnote>
  <w:footnote w:id="10">
    <w:p w14:paraId="3DE37971" w14:textId="1BB63C6B"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Introduction to </w:t>
      </w:r>
      <w:r w:rsidRPr="00F979D1">
        <w:rPr>
          <w:rFonts w:ascii="Times New Roman" w:eastAsia="Times New Roman" w:hAnsi="Times New Roman" w:cs="Times New Roman"/>
          <w:sz w:val="20"/>
          <w:szCs w:val="20"/>
          <w:lang w:eastAsia="en-GB"/>
        </w:rPr>
        <w:t>Dougan (</w:t>
      </w:r>
      <w:proofErr w:type="spellStart"/>
      <w:r w:rsidRPr="00F979D1">
        <w:rPr>
          <w:rFonts w:ascii="Times New Roman" w:eastAsia="Times New Roman" w:hAnsi="Times New Roman" w:cs="Times New Roman"/>
          <w:sz w:val="20"/>
          <w:szCs w:val="20"/>
          <w:lang w:eastAsia="en-GB"/>
        </w:rPr>
        <w:t>ed</w:t>
      </w:r>
      <w:proofErr w:type="spellEnd"/>
      <w:r w:rsidRPr="00F979D1">
        <w:rPr>
          <w:rFonts w:ascii="Times New Roman" w:eastAsia="Times New Roman" w:hAnsi="Times New Roman" w:cs="Times New Roman"/>
          <w:sz w:val="20"/>
          <w:szCs w:val="20"/>
          <w:lang w:eastAsia="en-GB"/>
        </w:rPr>
        <w:t xml:space="preserve">), </w:t>
      </w:r>
      <w:r w:rsidRPr="00F979D1">
        <w:rPr>
          <w:rFonts w:ascii="Times New Roman" w:eastAsia="Times New Roman" w:hAnsi="Times New Roman" w:cs="Times New Roman"/>
          <w:i/>
          <w:sz w:val="20"/>
          <w:szCs w:val="20"/>
          <w:lang w:eastAsia="en-GB"/>
        </w:rPr>
        <w:t xml:space="preserve">The UK After </w:t>
      </w:r>
      <w:proofErr w:type="spellStart"/>
      <w:r w:rsidRPr="00F979D1">
        <w:rPr>
          <w:rFonts w:ascii="Times New Roman" w:eastAsia="Times New Roman" w:hAnsi="Times New Roman" w:cs="Times New Roman"/>
          <w:i/>
          <w:sz w:val="20"/>
          <w:szCs w:val="20"/>
          <w:lang w:eastAsia="en-GB"/>
        </w:rPr>
        <w:t>Brexit</w:t>
      </w:r>
      <w:proofErr w:type="spellEnd"/>
      <w:r w:rsidRPr="00F979D1">
        <w:rPr>
          <w:rFonts w:ascii="Times New Roman" w:eastAsia="Times New Roman" w:hAnsi="Times New Roman" w:cs="Times New Roman"/>
          <w:i/>
          <w:sz w:val="20"/>
          <w:szCs w:val="20"/>
          <w:lang w:eastAsia="en-GB"/>
        </w:rPr>
        <w:t xml:space="preserve">: Legal and Policy Challenges </w:t>
      </w:r>
      <w:r w:rsidRPr="00F979D1">
        <w:rPr>
          <w:rFonts w:ascii="Times New Roman" w:eastAsia="Times New Roman" w:hAnsi="Times New Roman" w:cs="Times New Roman"/>
          <w:sz w:val="20"/>
          <w:szCs w:val="20"/>
          <w:lang w:eastAsia="en-GB"/>
        </w:rPr>
        <w:t>(</w:t>
      </w:r>
      <w:proofErr w:type="spellStart"/>
      <w:r w:rsidRPr="00F979D1">
        <w:rPr>
          <w:rFonts w:ascii="Times New Roman" w:eastAsia="Times New Roman" w:hAnsi="Times New Roman" w:cs="Times New Roman"/>
          <w:sz w:val="20"/>
          <w:szCs w:val="20"/>
          <w:lang w:eastAsia="en-GB"/>
        </w:rPr>
        <w:t>Intersentia</w:t>
      </w:r>
      <w:proofErr w:type="spellEnd"/>
      <w:r w:rsidRPr="00F979D1">
        <w:rPr>
          <w:rFonts w:ascii="Times New Roman" w:eastAsia="Times New Roman" w:hAnsi="Times New Roman" w:cs="Times New Roman"/>
          <w:sz w:val="20"/>
          <w:szCs w:val="20"/>
          <w:lang w:eastAsia="en-GB"/>
        </w:rPr>
        <w:t>, 2017).</w:t>
      </w:r>
    </w:p>
  </w:footnote>
  <w:footnote w:id="11">
    <w:p w14:paraId="489584DE" w14:textId="6BA34D19"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Including under the process envisaged by the Conference on the Future of Europe: see European Council, Conclusions of 12 December 2019, </w:t>
      </w:r>
      <w:proofErr w:type="spellStart"/>
      <w:r w:rsidRPr="00F979D1">
        <w:rPr>
          <w:rFonts w:ascii="Times New Roman" w:hAnsi="Times New Roman" w:cs="Times New Roman"/>
          <w:sz w:val="20"/>
          <w:szCs w:val="20"/>
        </w:rPr>
        <w:t>paras</w:t>
      </w:r>
      <w:proofErr w:type="spellEnd"/>
      <w:r w:rsidRPr="00F979D1">
        <w:rPr>
          <w:rFonts w:ascii="Times New Roman" w:hAnsi="Times New Roman" w:cs="Times New Roman"/>
          <w:sz w:val="20"/>
          <w:szCs w:val="20"/>
        </w:rPr>
        <w:t xml:space="preserve"> 14-16.</w:t>
      </w:r>
    </w:p>
  </w:footnote>
  <w:footnote w:id="12">
    <w:p w14:paraId="69D38834" w14:textId="173C627D"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For the Union: see the documents listed in note 7 (above).  For the UK: HMG, </w:t>
      </w:r>
      <w:r w:rsidRPr="00F979D1">
        <w:rPr>
          <w:rFonts w:ascii="Times New Roman" w:hAnsi="Times New Roman" w:cs="Times New Roman"/>
          <w:i/>
          <w:sz w:val="20"/>
          <w:szCs w:val="20"/>
        </w:rPr>
        <w:t xml:space="preserve">UK Government’s preparations for a “no deal” scenario </w:t>
      </w:r>
      <w:r w:rsidRPr="00F979D1">
        <w:rPr>
          <w:rFonts w:ascii="Times New Roman" w:hAnsi="Times New Roman" w:cs="Times New Roman"/>
          <w:sz w:val="20"/>
          <w:szCs w:val="20"/>
        </w:rPr>
        <w:t>(first published 23 August 2018, updated thereafter)</w:t>
      </w:r>
      <w:proofErr w:type="gramStart"/>
      <w:r w:rsidRPr="00F979D1">
        <w:rPr>
          <w:rFonts w:ascii="Times New Roman" w:hAnsi="Times New Roman" w:cs="Times New Roman"/>
          <w:sz w:val="20"/>
          <w:szCs w:val="20"/>
        </w:rPr>
        <w:t>;</w:t>
      </w:r>
      <w:proofErr w:type="gramEnd"/>
      <w:r w:rsidRPr="00F979D1">
        <w:rPr>
          <w:rFonts w:ascii="Times New Roman" w:hAnsi="Times New Roman" w:cs="Times New Roman"/>
          <w:sz w:val="20"/>
          <w:szCs w:val="20"/>
        </w:rPr>
        <w:t xml:space="preserve"> but especially the “Operation Yellowhammer” report Parliament forced Government to publish on 11 September 2019.</w:t>
      </w:r>
    </w:p>
  </w:footnote>
  <w:footnote w:id="13">
    <w:p w14:paraId="46756676" w14:textId="10DEBC12"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Case C-621/18, </w:t>
      </w:r>
      <w:r w:rsidRPr="00F979D1">
        <w:rPr>
          <w:rFonts w:ascii="Times New Roman" w:hAnsi="Times New Roman" w:cs="Times New Roman"/>
          <w:i/>
          <w:sz w:val="20"/>
          <w:szCs w:val="20"/>
          <w:lang w:val="en-US"/>
        </w:rPr>
        <w:t>Wightman</w:t>
      </w:r>
      <w:r w:rsidRPr="00F979D1">
        <w:rPr>
          <w:rFonts w:ascii="Times New Roman" w:hAnsi="Times New Roman" w:cs="Times New Roman"/>
          <w:sz w:val="20"/>
          <w:szCs w:val="20"/>
          <w:lang w:val="en-US"/>
        </w:rPr>
        <w:t>, C</w:t>
      </w:r>
      <w:proofErr w:type="gramStart"/>
      <w:r w:rsidRPr="00F979D1">
        <w:rPr>
          <w:rFonts w:ascii="Times New Roman" w:hAnsi="Times New Roman" w:cs="Times New Roman"/>
          <w:sz w:val="20"/>
          <w:szCs w:val="20"/>
          <w:lang w:val="en-US"/>
        </w:rPr>
        <w:t>:2018:999</w:t>
      </w:r>
      <w:proofErr w:type="gramEnd"/>
      <w:r w:rsidRPr="00F979D1">
        <w:rPr>
          <w:rFonts w:ascii="Times New Roman" w:hAnsi="Times New Roman" w:cs="Times New Roman"/>
          <w:sz w:val="20"/>
          <w:szCs w:val="20"/>
          <w:lang w:val="en-US"/>
        </w:rPr>
        <w:t xml:space="preserve">.  </w:t>
      </w:r>
      <w:proofErr w:type="gramStart"/>
      <w:r w:rsidRPr="00F979D1">
        <w:rPr>
          <w:rFonts w:ascii="Times New Roman" w:hAnsi="Times New Roman" w:cs="Times New Roman"/>
          <w:sz w:val="20"/>
          <w:szCs w:val="20"/>
          <w:lang w:val="en-US"/>
        </w:rPr>
        <w:t xml:space="preserve">See further, e.g. </w:t>
      </w:r>
      <w:proofErr w:type="spellStart"/>
      <w:r w:rsidRPr="00F979D1">
        <w:rPr>
          <w:rFonts w:ascii="Times New Roman" w:hAnsi="Times New Roman" w:cs="Times New Roman"/>
          <w:sz w:val="20"/>
          <w:szCs w:val="20"/>
          <w:lang w:val="en-US"/>
        </w:rPr>
        <w:t>Cuyvers</w:t>
      </w:r>
      <w:proofErr w:type="spellEnd"/>
      <w:r w:rsidRPr="00F979D1">
        <w:rPr>
          <w:rFonts w:ascii="Times New Roman" w:hAnsi="Times New Roman" w:cs="Times New Roman"/>
          <w:sz w:val="20"/>
          <w:szCs w:val="20"/>
          <w:lang w:val="en-US"/>
        </w:rPr>
        <w:t>, 56 CML Rev. (2019), 1303.</w:t>
      </w:r>
      <w:proofErr w:type="gramEnd"/>
    </w:p>
  </w:footnote>
  <w:footnote w:id="14">
    <w:p w14:paraId="13FBD609" w14:textId="56146E2B"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lang w:val="en-US"/>
        </w:rPr>
        <w:t>Prime Minister’s notification letter to President of the European Council (29 March 2017).</w:t>
      </w:r>
      <w:proofErr w:type="gramEnd"/>
      <w:r w:rsidRPr="00F979D1">
        <w:rPr>
          <w:rFonts w:ascii="Times New Roman" w:hAnsi="Times New Roman" w:cs="Times New Roman"/>
          <w:sz w:val="20"/>
          <w:szCs w:val="20"/>
          <w:lang w:val="en-US"/>
        </w:rPr>
        <w:t xml:space="preserve">  </w:t>
      </w:r>
      <w:r w:rsidRPr="00F979D1">
        <w:rPr>
          <w:rFonts w:ascii="Times New Roman" w:hAnsi="Times New Roman" w:cs="Times New Roman"/>
          <w:sz w:val="20"/>
          <w:szCs w:val="20"/>
        </w:rPr>
        <w:t xml:space="preserve">The delay was partly due to the litigation culminating in the Supreme Court’s confirmation that notification must be directly sanctioned by Parliament: see </w:t>
      </w:r>
      <w:r w:rsidRPr="00F979D1">
        <w:rPr>
          <w:rFonts w:ascii="Times New Roman" w:hAnsi="Times New Roman" w:cs="Times New Roman"/>
          <w:i/>
          <w:sz w:val="20"/>
          <w:szCs w:val="20"/>
        </w:rPr>
        <w:t xml:space="preserve">Miller </w:t>
      </w:r>
      <w:r w:rsidRPr="00F979D1">
        <w:rPr>
          <w:rFonts w:ascii="Times New Roman" w:hAnsi="Times New Roman" w:cs="Times New Roman"/>
          <w:sz w:val="20"/>
          <w:szCs w:val="20"/>
        </w:rPr>
        <w:t xml:space="preserve">[2017] UKSC 5; European Union (Notification of Withdrawal) Act 2017.  Note other attempts to challenge the legality of the UK referendum / notification, e.g. </w:t>
      </w:r>
      <w:proofErr w:type="spellStart"/>
      <w:r w:rsidRPr="00F979D1">
        <w:rPr>
          <w:rFonts w:ascii="Times New Roman" w:hAnsi="Times New Roman" w:cs="Times New Roman"/>
          <w:i/>
          <w:sz w:val="20"/>
          <w:szCs w:val="20"/>
          <w:lang w:val="en-US"/>
        </w:rPr>
        <w:t>Shindler</w:t>
      </w:r>
      <w:proofErr w:type="spellEnd"/>
      <w:r w:rsidRPr="00F979D1">
        <w:rPr>
          <w:rFonts w:ascii="Times New Roman" w:hAnsi="Times New Roman" w:cs="Times New Roman"/>
          <w:i/>
          <w:sz w:val="20"/>
          <w:szCs w:val="20"/>
          <w:lang w:val="en-US"/>
        </w:rPr>
        <w:t xml:space="preserve"> </w:t>
      </w:r>
      <w:r w:rsidRPr="00F979D1">
        <w:rPr>
          <w:rFonts w:ascii="Times New Roman" w:hAnsi="Times New Roman" w:cs="Times New Roman"/>
          <w:sz w:val="20"/>
          <w:szCs w:val="20"/>
          <w:lang w:val="en-US"/>
        </w:rPr>
        <w:t xml:space="preserve">[2016] EWCA </w:t>
      </w:r>
      <w:proofErr w:type="spellStart"/>
      <w:r w:rsidRPr="00F979D1">
        <w:rPr>
          <w:rFonts w:ascii="Times New Roman" w:hAnsi="Times New Roman" w:cs="Times New Roman"/>
          <w:sz w:val="20"/>
          <w:szCs w:val="20"/>
          <w:lang w:val="en-US"/>
        </w:rPr>
        <w:t>Civ</w:t>
      </w:r>
      <w:proofErr w:type="spellEnd"/>
      <w:r w:rsidRPr="00F979D1">
        <w:rPr>
          <w:rFonts w:ascii="Times New Roman" w:hAnsi="Times New Roman" w:cs="Times New Roman"/>
          <w:sz w:val="20"/>
          <w:szCs w:val="20"/>
          <w:lang w:val="en-US"/>
        </w:rPr>
        <w:t xml:space="preserve"> 469</w:t>
      </w:r>
      <w:proofErr w:type="gramStart"/>
      <w:r w:rsidRPr="00F979D1">
        <w:rPr>
          <w:rFonts w:ascii="Times New Roman" w:hAnsi="Times New Roman" w:cs="Times New Roman"/>
          <w:sz w:val="20"/>
          <w:szCs w:val="20"/>
          <w:lang w:val="en-US"/>
        </w:rPr>
        <w:t>;</w:t>
      </w:r>
      <w:proofErr w:type="gramEnd"/>
      <w:r w:rsidRPr="00F979D1">
        <w:rPr>
          <w:rFonts w:ascii="Times New Roman" w:hAnsi="Times New Roman" w:cs="Times New Roman"/>
          <w:sz w:val="20"/>
          <w:szCs w:val="20"/>
          <w:lang w:val="en-US"/>
        </w:rPr>
        <w:t xml:space="preserve"> </w:t>
      </w:r>
      <w:r w:rsidRPr="00F979D1">
        <w:rPr>
          <w:rFonts w:ascii="Times New Roman" w:hAnsi="Times New Roman" w:cs="Times New Roman"/>
          <w:i/>
          <w:sz w:val="20"/>
          <w:szCs w:val="20"/>
          <w:lang w:val="en-US"/>
        </w:rPr>
        <w:t>Webster</w:t>
      </w:r>
      <w:r w:rsidRPr="00F979D1">
        <w:rPr>
          <w:rFonts w:ascii="Times New Roman" w:hAnsi="Times New Roman" w:cs="Times New Roman"/>
          <w:sz w:val="20"/>
          <w:szCs w:val="20"/>
          <w:lang w:val="en-US"/>
        </w:rPr>
        <w:t xml:space="preserve"> [2018] EWHC 1543 (Admin).  Including before the CJEU, e.g. Case T-458/17, </w:t>
      </w:r>
      <w:proofErr w:type="spellStart"/>
      <w:r w:rsidRPr="00F979D1">
        <w:rPr>
          <w:rFonts w:ascii="Times New Roman" w:hAnsi="Times New Roman" w:cs="Times New Roman"/>
          <w:i/>
          <w:sz w:val="20"/>
          <w:szCs w:val="20"/>
          <w:lang w:val="en-US"/>
        </w:rPr>
        <w:t>Shindler</w:t>
      </w:r>
      <w:proofErr w:type="spellEnd"/>
      <w:r w:rsidRPr="00F979D1">
        <w:rPr>
          <w:rFonts w:ascii="Times New Roman" w:hAnsi="Times New Roman" w:cs="Times New Roman"/>
          <w:sz w:val="20"/>
          <w:szCs w:val="20"/>
          <w:lang w:val="en-US"/>
        </w:rPr>
        <w:t>, T</w:t>
      </w:r>
      <w:proofErr w:type="gramStart"/>
      <w:r w:rsidRPr="00F979D1">
        <w:rPr>
          <w:rFonts w:ascii="Times New Roman" w:hAnsi="Times New Roman" w:cs="Times New Roman"/>
          <w:sz w:val="20"/>
          <w:szCs w:val="20"/>
          <w:lang w:val="en-US"/>
        </w:rPr>
        <w:t>:2018:838</w:t>
      </w:r>
      <w:proofErr w:type="gramEnd"/>
      <w:r w:rsidRPr="00F979D1">
        <w:rPr>
          <w:rFonts w:ascii="Times New Roman" w:hAnsi="Times New Roman" w:cs="Times New Roman"/>
          <w:sz w:val="20"/>
          <w:szCs w:val="20"/>
          <w:lang w:val="en-US"/>
        </w:rPr>
        <w:t>.</w:t>
      </w:r>
    </w:p>
  </w:footnote>
  <w:footnote w:id="15">
    <w:p w14:paraId="159397B2" w14:textId="278CE1CE"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European Council (Art 50), </w:t>
      </w:r>
      <w:r w:rsidRPr="00F979D1">
        <w:rPr>
          <w:rFonts w:ascii="Times New Roman" w:hAnsi="Times New Roman" w:cs="Times New Roman"/>
          <w:i/>
          <w:sz w:val="20"/>
          <w:szCs w:val="20"/>
          <w:lang w:val="en-US"/>
        </w:rPr>
        <w:t xml:space="preserve">Guidelines following the United Kingdom’s notification under Article 50 TEU </w:t>
      </w:r>
      <w:r w:rsidRPr="00F979D1">
        <w:rPr>
          <w:rFonts w:ascii="Times New Roman" w:hAnsi="Times New Roman" w:cs="Times New Roman"/>
          <w:sz w:val="20"/>
          <w:szCs w:val="20"/>
          <w:lang w:val="en-US"/>
        </w:rPr>
        <w:t>(29 April 2017).</w:t>
      </w:r>
    </w:p>
  </w:footnote>
  <w:footnote w:id="16">
    <w:p w14:paraId="5A2F5716" w14:textId="3DA2E137"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COM(</w:t>
      </w:r>
      <w:proofErr w:type="gramEnd"/>
      <w:r w:rsidRPr="00F979D1">
        <w:rPr>
          <w:rFonts w:ascii="Times New Roman" w:hAnsi="Times New Roman" w:cs="Times New Roman"/>
          <w:sz w:val="20"/>
          <w:szCs w:val="20"/>
        </w:rPr>
        <w:t>2017) 218 Final.</w:t>
      </w:r>
    </w:p>
  </w:footnote>
  <w:footnote w:id="17">
    <w:p w14:paraId="652CD582" w14:textId="5D66204D" w:rsidR="00FD11BB" w:rsidRPr="00F979D1" w:rsidRDefault="00FD11BB" w:rsidP="00F979D1">
      <w:pPr>
        <w:jc w:val="both"/>
        <w:rPr>
          <w:rFonts w:ascii="Times New Roman" w:eastAsia="Times New Roman" w:hAnsi="Times New Roman" w:cs="Times New Roman"/>
          <w:sz w:val="20"/>
          <w:szCs w:val="20"/>
          <w:lang w:eastAsia="en-GB"/>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eastAsia="Times New Roman" w:hAnsi="Times New Roman" w:cs="Times New Roman"/>
          <w:sz w:val="20"/>
          <w:szCs w:val="20"/>
          <w:shd w:val="clear" w:color="auto" w:fill="FFFFFF"/>
          <w:lang w:eastAsia="en-GB"/>
        </w:rPr>
        <w:t>Council Decision authorising the opening of negotiations with the United Kingdom of Great Britain and Northern Ireland for an agreement setting out the arrangements for its withdrawal from the European Union (22 May 2017).</w:t>
      </w:r>
    </w:p>
  </w:footnote>
  <w:footnote w:id="18">
    <w:p w14:paraId="0407D95C" w14:textId="0D08A8D2"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Terms of Reference for the Article 50 TEU negotiations (19 June 2017).</w:t>
      </w:r>
    </w:p>
  </w:footnote>
  <w:footnote w:id="19">
    <w:p w14:paraId="3C2A5EF0" w14:textId="77919ED6" w:rsidR="00FD11BB" w:rsidRPr="00F979D1" w:rsidRDefault="00FD11BB" w:rsidP="00F979D1">
      <w:pPr>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Council Decision 2017/900, OJ 2017, </w:t>
      </w:r>
      <w:proofErr w:type="gramStart"/>
      <w:r w:rsidRPr="00F979D1">
        <w:rPr>
          <w:rFonts w:ascii="Times New Roman" w:hAnsi="Times New Roman" w:cs="Times New Roman"/>
          <w:sz w:val="20"/>
          <w:szCs w:val="20"/>
        </w:rPr>
        <w:t>L</w:t>
      </w:r>
      <w:proofErr w:type="gramEnd"/>
      <w:r w:rsidRPr="00F979D1">
        <w:rPr>
          <w:rFonts w:ascii="Times New Roman" w:hAnsi="Times New Roman" w:cs="Times New Roman"/>
          <w:sz w:val="20"/>
          <w:szCs w:val="20"/>
        </w:rPr>
        <w:t xml:space="preserve"> 138/138.</w:t>
      </w:r>
    </w:p>
  </w:footnote>
  <w:footnote w:id="20">
    <w:p w14:paraId="4088DFB9" w14:textId="2E194033" w:rsidR="00FD11BB" w:rsidRPr="00F979D1" w:rsidRDefault="00FD11BB" w:rsidP="00F979D1">
      <w:pPr>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E.g. </w:t>
      </w:r>
      <w:proofErr w:type="gramStart"/>
      <w:r w:rsidRPr="00F979D1">
        <w:rPr>
          <w:rFonts w:ascii="Times New Roman" w:hAnsi="Times New Roman" w:cs="Times New Roman"/>
          <w:sz w:val="20"/>
          <w:szCs w:val="20"/>
        </w:rPr>
        <w:t>COM(</w:t>
      </w:r>
      <w:proofErr w:type="gramEnd"/>
      <w:r w:rsidRPr="00F979D1">
        <w:rPr>
          <w:rFonts w:ascii="Times New Roman" w:hAnsi="Times New Roman" w:cs="Times New Roman"/>
          <w:sz w:val="20"/>
          <w:szCs w:val="20"/>
        </w:rPr>
        <w:t>2017) 830 Final; Council Decision supplementing the Decision of 22 May 2017 (29 January 2018).</w:t>
      </w:r>
    </w:p>
  </w:footnote>
  <w:footnote w:id="21">
    <w:p w14:paraId="44409676" w14:textId="51D7C7BA"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For those purposes: Art 50 TEU provides that the relevant State is excluded from the calculation of voting thresholds in the Council; but its MEPs are still entitled to vote on the proposed withdrawal agreement in the European Parliament.  </w:t>
      </w:r>
    </w:p>
  </w:footnote>
  <w:footnote w:id="22">
    <w:p w14:paraId="045D7BB6" w14:textId="1C971BD2"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Note that only limited opportunities for input were afforded to other interested parties such as the EFTA-EEA states.  See further, e.g. </w:t>
      </w:r>
      <w:proofErr w:type="spellStart"/>
      <w:r w:rsidRPr="00F979D1">
        <w:rPr>
          <w:rFonts w:ascii="Times New Roman" w:hAnsi="Times New Roman" w:cs="Times New Roman"/>
          <w:sz w:val="20"/>
          <w:szCs w:val="20"/>
        </w:rPr>
        <w:t>Hillion</w:t>
      </w:r>
      <w:proofErr w:type="spellEnd"/>
      <w:r w:rsidRPr="00F979D1">
        <w:rPr>
          <w:rFonts w:ascii="Times New Roman" w:hAnsi="Times New Roman" w:cs="Times New Roman"/>
          <w:sz w:val="20"/>
          <w:szCs w:val="20"/>
        </w:rPr>
        <w:t xml:space="preserve">, “Brexit means </w:t>
      </w:r>
      <w:proofErr w:type="gramStart"/>
      <w:r w:rsidRPr="00F979D1">
        <w:rPr>
          <w:rFonts w:ascii="Times New Roman" w:hAnsi="Times New Roman" w:cs="Times New Roman"/>
          <w:sz w:val="20"/>
          <w:szCs w:val="20"/>
        </w:rPr>
        <w:t>Br(</w:t>
      </w:r>
      <w:proofErr w:type="gramEnd"/>
      <w:r w:rsidRPr="00F979D1">
        <w:rPr>
          <w:rFonts w:ascii="Times New Roman" w:hAnsi="Times New Roman" w:cs="Times New Roman"/>
          <w:sz w:val="20"/>
          <w:szCs w:val="20"/>
        </w:rPr>
        <w:t>EEA)</w:t>
      </w:r>
      <w:proofErr w:type="spellStart"/>
      <w:r w:rsidRPr="00F979D1">
        <w:rPr>
          <w:rFonts w:ascii="Times New Roman" w:hAnsi="Times New Roman" w:cs="Times New Roman"/>
          <w:sz w:val="20"/>
          <w:szCs w:val="20"/>
        </w:rPr>
        <w:t>xit</w:t>
      </w:r>
      <w:proofErr w:type="spellEnd"/>
      <w:r w:rsidRPr="00F979D1">
        <w:rPr>
          <w:rFonts w:ascii="Times New Roman" w:hAnsi="Times New Roman" w:cs="Times New Roman"/>
          <w:sz w:val="20"/>
          <w:szCs w:val="20"/>
        </w:rPr>
        <w:t>: The UK Withdrawal from the EU and its Implications for the EEA”, 55 CML Rev. (2018), 135.</w:t>
      </w:r>
    </w:p>
  </w:footnote>
  <w:footnote w:id="23">
    <w:p w14:paraId="05072409" w14:textId="0986B5ED"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A point already made, e.g. at the Informal meeting of the Heads of State or Government of 27 Member States as well as the Presidents of the European Council and the European Commission (15 December 2016) Annex, </w:t>
      </w:r>
      <w:proofErr w:type="spellStart"/>
      <w:r w:rsidRPr="00F979D1">
        <w:rPr>
          <w:rFonts w:ascii="Times New Roman" w:hAnsi="Times New Roman" w:cs="Times New Roman"/>
          <w:sz w:val="20"/>
          <w:szCs w:val="20"/>
          <w:lang w:val="en-US"/>
        </w:rPr>
        <w:t>para</w:t>
      </w:r>
      <w:proofErr w:type="spellEnd"/>
      <w:r w:rsidRPr="00F979D1">
        <w:rPr>
          <w:rFonts w:ascii="Times New Roman" w:hAnsi="Times New Roman" w:cs="Times New Roman"/>
          <w:sz w:val="20"/>
          <w:szCs w:val="20"/>
          <w:lang w:val="en-US"/>
        </w:rPr>
        <w:t xml:space="preserve"> 1.</w:t>
      </w:r>
    </w:p>
  </w:footnote>
  <w:footnote w:id="24">
    <w:p w14:paraId="5DFBA16F" w14:textId="32290ABE"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E.g. European Council (Art 50) meetings of 20 October 2017, 29 June 2018 and 17 October 2018.</w:t>
      </w:r>
      <w:proofErr w:type="gramEnd"/>
    </w:p>
  </w:footnote>
  <w:footnote w:id="25">
    <w:p w14:paraId="196D0860" w14:textId="106455D1"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E.g. European Council (Art 50) meeting of 15 December 2017.</w:t>
      </w:r>
      <w:proofErr w:type="gramEnd"/>
    </w:p>
  </w:footnote>
  <w:footnote w:id="26">
    <w:p w14:paraId="06E717AE" w14:textId="483EFE7D"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E.g. European Council (Art 50) meetings of 15 December 2017 and 23 March 2018.</w:t>
      </w:r>
      <w:proofErr w:type="gramEnd"/>
    </w:p>
  </w:footnote>
  <w:footnote w:id="27">
    <w:p w14:paraId="6A8428A7" w14:textId="4671147C"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E.g. European Council (Art 50) meetings of 25 November 2018 and 17 October 2019.</w:t>
      </w:r>
      <w:proofErr w:type="gramEnd"/>
    </w:p>
  </w:footnote>
  <w:footnote w:id="28">
    <w:p w14:paraId="6B188294" w14:textId="7B85B849"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lang w:val="en-US"/>
        </w:rPr>
        <w:t>Art 15(1) TEU.</w:t>
      </w:r>
      <w:proofErr w:type="gramEnd"/>
      <w:r w:rsidRPr="00F979D1">
        <w:rPr>
          <w:rFonts w:ascii="Times New Roman" w:hAnsi="Times New Roman" w:cs="Times New Roman"/>
          <w:sz w:val="20"/>
          <w:szCs w:val="20"/>
          <w:lang w:val="en-US"/>
        </w:rPr>
        <w:t xml:space="preserve">  </w:t>
      </w:r>
    </w:p>
  </w:footnote>
  <w:footnote w:id="29">
    <w:p w14:paraId="265667E5" w14:textId="6B86F820"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E.g. European Parliament, </w:t>
      </w:r>
      <w:r w:rsidRPr="00F979D1">
        <w:rPr>
          <w:rFonts w:ascii="Times New Roman" w:hAnsi="Times New Roman" w:cs="Times New Roman"/>
          <w:i/>
          <w:sz w:val="20"/>
          <w:szCs w:val="20"/>
        </w:rPr>
        <w:t xml:space="preserve">Resolution on the decision to leave the EU resulting from the UK referendum </w:t>
      </w:r>
      <w:r w:rsidRPr="00F979D1">
        <w:rPr>
          <w:rFonts w:ascii="Times New Roman" w:hAnsi="Times New Roman" w:cs="Times New Roman"/>
          <w:sz w:val="20"/>
          <w:szCs w:val="20"/>
        </w:rPr>
        <w:t>(28 June 2016).</w:t>
      </w:r>
    </w:p>
  </w:footnote>
  <w:footnote w:id="30">
    <w:p w14:paraId="5BDC870B" w14:textId="2F012BE6"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In particular: European Parliament, </w:t>
      </w:r>
      <w:r w:rsidRPr="00F979D1">
        <w:rPr>
          <w:rFonts w:ascii="Times New Roman" w:hAnsi="Times New Roman" w:cs="Times New Roman"/>
          <w:i/>
          <w:sz w:val="20"/>
          <w:szCs w:val="20"/>
        </w:rPr>
        <w:t xml:space="preserve">Resolution on negotiations with the UK following its notification that it intends to withdraw from the European Union </w:t>
      </w:r>
      <w:r w:rsidRPr="00F979D1">
        <w:rPr>
          <w:rFonts w:ascii="Times New Roman" w:hAnsi="Times New Roman" w:cs="Times New Roman"/>
          <w:sz w:val="20"/>
          <w:szCs w:val="20"/>
        </w:rPr>
        <w:t>(5 April 2017); plus subsequent resolutions of 3 October 2017, 13 December 2017, 14 March 2018 and 18 September 2019.</w:t>
      </w:r>
    </w:p>
  </w:footnote>
  <w:footnote w:id="31">
    <w:p w14:paraId="36359C72" w14:textId="3332B67D"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E.g. in the case of Ireland: the Commission maintained a regular dialogue with the Irish government; the European Council President held bilateral meetings with the </w:t>
      </w:r>
      <w:r w:rsidRPr="00F979D1">
        <w:rPr>
          <w:rFonts w:ascii="Times New Roman" w:hAnsi="Times New Roman" w:cs="Times New Roman"/>
          <w:sz w:val="20"/>
          <w:szCs w:val="20"/>
          <w:lang w:val="en-US"/>
        </w:rPr>
        <w:t xml:space="preserve">Taoiseach </w:t>
      </w:r>
      <w:r w:rsidRPr="00F979D1">
        <w:rPr>
          <w:rFonts w:ascii="Times New Roman" w:hAnsi="Times New Roman" w:cs="Times New Roman"/>
          <w:sz w:val="20"/>
          <w:szCs w:val="20"/>
        </w:rPr>
        <w:t>throughout the Art 50 TEU process.</w:t>
      </w:r>
    </w:p>
  </w:footnote>
  <w:footnote w:id="32">
    <w:p w14:paraId="45F41F03" w14:textId="3AC20E09"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Consider, e.g. Remarks by President Donald Tusk after his meetings with Taoiseach Leo </w:t>
      </w:r>
      <w:proofErr w:type="spellStart"/>
      <w:r w:rsidRPr="00F979D1">
        <w:rPr>
          <w:rFonts w:ascii="Times New Roman" w:hAnsi="Times New Roman" w:cs="Times New Roman"/>
          <w:sz w:val="20"/>
          <w:szCs w:val="20"/>
          <w:lang w:val="en-US"/>
        </w:rPr>
        <w:t>Varadkar</w:t>
      </w:r>
      <w:proofErr w:type="spellEnd"/>
      <w:r w:rsidRPr="00F979D1">
        <w:rPr>
          <w:rFonts w:ascii="Times New Roman" w:hAnsi="Times New Roman" w:cs="Times New Roman"/>
          <w:sz w:val="20"/>
          <w:szCs w:val="20"/>
          <w:lang w:val="en-US"/>
        </w:rPr>
        <w:t xml:space="preserve"> on 1 December 2017 and 8 March 2018.</w:t>
      </w:r>
    </w:p>
  </w:footnote>
  <w:footnote w:id="33">
    <w:p w14:paraId="46F05ECF" w14:textId="0E704CB4"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COM(</w:t>
      </w:r>
      <w:proofErr w:type="gramEnd"/>
      <w:r w:rsidRPr="00F979D1">
        <w:rPr>
          <w:rFonts w:ascii="Times New Roman" w:hAnsi="Times New Roman" w:cs="Times New Roman"/>
          <w:sz w:val="20"/>
          <w:szCs w:val="20"/>
        </w:rPr>
        <w:t>2017) 218 Final.</w:t>
      </w:r>
    </w:p>
  </w:footnote>
  <w:footnote w:id="34">
    <w:p w14:paraId="0E7209FD" w14:textId="4D7B88ED"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Council Decision of 22 May 2017.</w:t>
      </w:r>
    </w:p>
  </w:footnote>
  <w:footnote w:id="35">
    <w:p w14:paraId="06E8AF71" w14:textId="3B8F9847"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European Council, Guidelines of 29 April 2017</w:t>
      </w:r>
      <w:r w:rsidRPr="00F979D1">
        <w:rPr>
          <w:rFonts w:ascii="Times New Roman" w:hAnsi="Times New Roman" w:cs="Times New Roman"/>
          <w:sz w:val="20"/>
          <w:szCs w:val="20"/>
          <w:lang w:val="en-US"/>
        </w:rPr>
        <w:t xml:space="preserve">.  The key themes were already evident from European Council, </w:t>
      </w:r>
      <w:r w:rsidRPr="00F979D1">
        <w:rPr>
          <w:rFonts w:ascii="Times New Roman" w:hAnsi="Times New Roman" w:cs="Times New Roman"/>
          <w:i/>
          <w:sz w:val="20"/>
          <w:szCs w:val="20"/>
          <w:lang w:val="en-US"/>
        </w:rPr>
        <w:t xml:space="preserve">Statement from Informal Meeting at 27 </w:t>
      </w:r>
      <w:r w:rsidRPr="00F979D1">
        <w:rPr>
          <w:rFonts w:ascii="Times New Roman" w:hAnsi="Times New Roman" w:cs="Times New Roman"/>
          <w:sz w:val="20"/>
          <w:szCs w:val="20"/>
          <w:lang w:val="en-US"/>
        </w:rPr>
        <w:t>(29 June 2016).</w:t>
      </w:r>
    </w:p>
  </w:footnote>
  <w:footnote w:id="36">
    <w:p w14:paraId="63AE4E16" w14:textId="4EB9D0EF"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E.g. </w:t>
      </w:r>
      <w:r w:rsidRPr="00F979D1">
        <w:rPr>
          <w:rFonts w:ascii="Times New Roman" w:hAnsi="Times New Roman" w:cs="Times New Roman"/>
          <w:sz w:val="20"/>
          <w:szCs w:val="20"/>
          <w:lang w:val="en-US"/>
        </w:rPr>
        <w:t>Opinion 1/91, C</w:t>
      </w:r>
      <w:proofErr w:type="gramStart"/>
      <w:r w:rsidRPr="00F979D1">
        <w:rPr>
          <w:rFonts w:ascii="Times New Roman" w:hAnsi="Times New Roman" w:cs="Times New Roman"/>
          <w:sz w:val="20"/>
          <w:szCs w:val="20"/>
          <w:lang w:val="en-US"/>
        </w:rPr>
        <w:t>:1991:490</w:t>
      </w:r>
      <w:proofErr w:type="gramEnd"/>
      <w:r w:rsidRPr="00F979D1">
        <w:rPr>
          <w:rFonts w:ascii="Times New Roman" w:hAnsi="Times New Roman" w:cs="Times New Roman"/>
          <w:sz w:val="20"/>
          <w:szCs w:val="20"/>
          <w:lang w:val="en-US"/>
        </w:rPr>
        <w:t>; Opinion 1/92, C:1992:189; Opinion 1/00, C:2002:231; Opinion 1/09, C:2011:123; Opinion 1/17, C:2019:341.</w:t>
      </w:r>
    </w:p>
  </w:footnote>
  <w:footnote w:id="37">
    <w:p w14:paraId="56F74237" w14:textId="0C5F4FC8"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E.g. Case C-266/03, </w:t>
      </w:r>
      <w:r w:rsidRPr="00F979D1">
        <w:rPr>
          <w:rFonts w:ascii="Times New Roman" w:hAnsi="Times New Roman" w:cs="Times New Roman"/>
          <w:i/>
          <w:sz w:val="20"/>
          <w:szCs w:val="20"/>
        </w:rPr>
        <w:t xml:space="preserve">Commission </w:t>
      </w:r>
      <w:r w:rsidRPr="00F979D1">
        <w:rPr>
          <w:rFonts w:ascii="Times New Roman" w:hAnsi="Times New Roman" w:cs="Times New Roman"/>
          <w:sz w:val="20"/>
          <w:szCs w:val="20"/>
        </w:rPr>
        <w:t>v</w:t>
      </w:r>
      <w:r w:rsidRPr="00F979D1">
        <w:rPr>
          <w:rFonts w:ascii="Times New Roman" w:hAnsi="Times New Roman" w:cs="Times New Roman"/>
          <w:i/>
          <w:sz w:val="20"/>
          <w:szCs w:val="20"/>
        </w:rPr>
        <w:t>. Luxembourg,</w:t>
      </w:r>
      <w:r w:rsidRPr="00F979D1">
        <w:rPr>
          <w:rFonts w:ascii="Times New Roman" w:hAnsi="Times New Roman" w:cs="Times New Roman"/>
          <w:sz w:val="20"/>
          <w:szCs w:val="20"/>
        </w:rPr>
        <w:t xml:space="preserve"> C</w:t>
      </w:r>
      <w:proofErr w:type="gramStart"/>
      <w:r w:rsidRPr="00F979D1">
        <w:rPr>
          <w:rFonts w:ascii="Times New Roman" w:hAnsi="Times New Roman" w:cs="Times New Roman"/>
          <w:sz w:val="20"/>
          <w:szCs w:val="20"/>
        </w:rPr>
        <w:t>:2005:341</w:t>
      </w:r>
      <w:proofErr w:type="gramEnd"/>
      <w:r w:rsidRPr="00F979D1">
        <w:rPr>
          <w:rFonts w:ascii="Times New Roman" w:hAnsi="Times New Roman" w:cs="Times New Roman"/>
          <w:sz w:val="20"/>
          <w:szCs w:val="20"/>
        </w:rPr>
        <w:t xml:space="preserve">; Case C-433/03, </w:t>
      </w:r>
      <w:r w:rsidRPr="00F979D1">
        <w:rPr>
          <w:rFonts w:ascii="Times New Roman" w:hAnsi="Times New Roman" w:cs="Times New Roman"/>
          <w:i/>
          <w:sz w:val="20"/>
          <w:szCs w:val="20"/>
        </w:rPr>
        <w:t xml:space="preserve">Commission </w:t>
      </w:r>
      <w:r w:rsidRPr="00F979D1">
        <w:rPr>
          <w:rFonts w:ascii="Times New Roman" w:hAnsi="Times New Roman" w:cs="Times New Roman"/>
          <w:sz w:val="20"/>
          <w:szCs w:val="20"/>
        </w:rPr>
        <w:t xml:space="preserve">v. </w:t>
      </w:r>
      <w:r w:rsidRPr="00F979D1">
        <w:rPr>
          <w:rFonts w:ascii="Times New Roman" w:hAnsi="Times New Roman" w:cs="Times New Roman"/>
          <w:i/>
          <w:sz w:val="20"/>
          <w:szCs w:val="20"/>
        </w:rPr>
        <w:t>Germany,</w:t>
      </w:r>
      <w:r w:rsidRPr="00F979D1">
        <w:rPr>
          <w:rFonts w:ascii="Times New Roman" w:hAnsi="Times New Roman" w:cs="Times New Roman"/>
          <w:sz w:val="20"/>
          <w:szCs w:val="20"/>
        </w:rPr>
        <w:t xml:space="preserve"> C:2005:462.</w:t>
      </w:r>
    </w:p>
  </w:footnote>
  <w:footnote w:id="38">
    <w:p w14:paraId="59A3E395" w14:textId="55DA31E2"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Case C-327/18, </w:t>
      </w:r>
      <w:r w:rsidRPr="00F979D1">
        <w:rPr>
          <w:rFonts w:ascii="Times New Roman" w:hAnsi="Times New Roman" w:cs="Times New Roman"/>
          <w:i/>
          <w:sz w:val="20"/>
          <w:szCs w:val="20"/>
          <w:lang w:val="en-US"/>
        </w:rPr>
        <w:t>R O</w:t>
      </w:r>
      <w:r w:rsidRPr="00F979D1">
        <w:rPr>
          <w:rFonts w:ascii="Times New Roman" w:hAnsi="Times New Roman" w:cs="Times New Roman"/>
          <w:sz w:val="20"/>
          <w:szCs w:val="20"/>
          <w:lang w:val="en-US"/>
        </w:rPr>
        <w:t>, C</w:t>
      </w:r>
      <w:proofErr w:type="gramStart"/>
      <w:r w:rsidRPr="00F979D1">
        <w:rPr>
          <w:rFonts w:ascii="Times New Roman" w:hAnsi="Times New Roman" w:cs="Times New Roman"/>
          <w:sz w:val="20"/>
          <w:szCs w:val="20"/>
          <w:lang w:val="en-US"/>
        </w:rPr>
        <w:t>:2018:733</w:t>
      </w:r>
      <w:proofErr w:type="gramEnd"/>
      <w:r w:rsidRPr="00F979D1">
        <w:rPr>
          <w:rFonts w:ascii="Times New Roman" w:hAnsi="Times New Roman" w:cs="Times New Roman"/>
          <w:sz w:val="20"/>
          <w:szCs w:val="20"/>
          <w:lang w:val="en-US"/>
        </w:rPr>
        <w:t xml:space="preserve">; Case C-621/18, </w:t>
      </w:r>
      <w:r w:rsidRPr="00F979D1">
        <w:rPr>
          <w:rFonts w:ascii="Times New Roman" w:hAnsi="Times New Roman" w:cs="Times New Roman"/>
          <w:i/>
          <w:sz w:val="20"/>
          <w:szCs w:val="20"/>
          <w:lang w:val="en-US"/>
        </w:rPr>
        <w:t>Wightman</w:t>
      </w:r>
      <w:r w:rsidRPr="00F979D1">
        <w:rPr>
          <w:rFonts w:ascii="Times New Roman" w:hAnsi="Times New Roman" w:cs="Times New Roman"/>
          <w:sz w:val="20"/>
          <w:szCs w:val="20"/>
          <w:lang w:val="en-US"/>
        </w:rPr>
        <w:t xml:space="preserve">, C:2018:999.  Note also Case C-661/17, </w:t>
      </w:r>
      <w:r w:rsidRPr="00F979D1">
        <w:rPr>
          <w:rFonts w:ascii="Times New Roman" w:hAnsi="Times New Roman" w:cs="Times New Roman"/>
          <w:i/>
          <w:sz w:val="20"/>
          <w:szCs w:val="20"/>
          <w:lang w:val="en-US"/>
        </w:rPr>
        <w:t>M.A.</w:t>
      </w:r>
      <w:r w:rsidRPr="00F979D1">
        <w:rPr>
          <w:rFonts w:ascii="Times New Roman" w:hAnsi="Times New Roman" w:cs="Times New Roman"/>
          <w:sz w:val="20"/>
          <w:szCs w:val="20"/>
          <w:lang w:val="en-US"/>
        </w:rPr>
        <w:t>, C</w:t>
      </w:r>
      <w:proofErr w:type="gramStart"/>
      <w:r w:rsidRPr="00F979D1">
        <w:rPr>
          <w:rFonts w:ascii="Times New Roman" w:hAnsi="Times New Roman" w:cs="Times New Roman"/>
          <w:sz w:val="20"/>
          <w:szCs w:val="20"/>
          <w:lang w:val="en-US"/>
        </w:rPr>
        <w:t>:2019:53</w:t>
      </w:r>
      <w:proofErr w:type="gramEnd"/>
      <w:r w:rsidRPr="00F979D1">
        <w:rPr>
          <w:rFonts w:ascii="Times New Roman" w:hAnsi="Times New Roman" w:cs="Times New Roman"/>
          <w:sz w:val="20"/>
          <w:szCs w:val="20"/>
          <w:lang w:val="en-US"/>
        </w:rPr>
        <w:t xml:space="preserve">. </w:t>
      </w:r>
    </w:p>
  </w:footnote>
  <w:footnote w:id="39">
    <w:p w14:paraId="3F88A46D" w14:textId="588DD443"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Para 2.</w:t>
      </w:r>
    </w:p>
  </w:footnote>
  <w:footnote w:id="40">
    <w:p w14:paraId="680E9CDE" w14:textId="5414F2F8"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Para 1.</w:t>
      </w:r>
    </w:p>
  </w:footnote>
  <w:footnote w:id="41">
    <w:p w14:paraId="13A4DF9F" w14:textId="5455F6FC"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Further, on </w:t>
      </w:r>
      <w:r w:rsidRPr="00F979D1">
        <w:rPr>
          <w:rFonts w:ascii="Times New Roman" w:hAnsi="Times New Roman" w:cs="Times New Roman"/>
          <w:sz w:val="20"/>
          <w:szCs w:val="20"/>
          <w:lang w:val="en-US"/>
        </w:rPr>
        <w:t>the integrity of the Single Market as political and legal phenomena, e.g. Editorial Comments, “Is the ‘indivisibility’ of the four freedoms a principle of EU law?</w:t>
      </w:r>
      <w:proofErr w:type="gramStart"/>
      <w:r w:rsidRPr="00F979D1">
        <w:rPr>
          <w:rFonts w:ascii="Times New Roman" w:hAnsi="Times New Roman" w:cs="Times New Roman"/>
          <w:sz w:val="20"/>
          <w:szCs w:val="20"/>
          <w:lang w:val="en-US"/>
        </w:rPr>
        <w:t>”,</w:t>
      </w:r>
      <w:proofErr w:type="gramEnd"/>
      <w:r w:rsidRPr="00F979D1">
        <w:rPr>
          <w:rFonts w:ascii="Times New Roman" w:hAnsi="Times New Roman" w:cs="Times New Roman"/>
          <w:sz w:val="20"/>
          <w:szCs w:val="20"/>
          <w:lang w:val="en-US"/>
        </w:rPr>
        <w:t xml:space="preserve"> 56 CML Rev. (2019), 1189.</w:t>
      </w:r>
    </w:p>
  </w:footnote>
  <w:footnote w:id="42">
    <w:p w14:paraId="6989772F" w14:textId="62D0B115"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Paras 4-5.</w:t>
      </w:r>
    </w:p>
  </w:footnote>
  <w:footnote w:id="43">
    <w:p w14:paraId="0AA327CF" w14:textId="754714DC"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Paras 1 and 18.</w:t>
      </w:r>
      <w:proofErr w:type="gramEnd"/>
    </w:p>
  </w:footnote>
  <w:footnote w:id="44">
    <w:p w14:paraId="2194ACCE" w14:textId="679B0301"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[2017] UKSC 5.</w:t>
      </w:r>
      <w:proofErr w:type="gramEnd"/>
    </w:p>
  </w:footnote>
  <w:footnote w:id="45">
    <w:p w14:paraId="20217565" w14:textId="3B472FD7"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Further, e.g. House of Commons Library, </w:t>
      </w:r>
      <w:r w:rsidRPr="00F979D1">
        <w:rPr>
          <w:rFonts w:ascii="Times New Roman" w:hAnsi="Times New Roman" w:cs="Times New Roman"/>
          <w:i/>
          <w:sz w:val="20"/>
          <w:szCs w:val="20"/>
        </w:rPr>
        <w:t xml:space="preserve">Parliament’s Role in Ratifying Treaties </w:t>
      </w:r>
      <w:r w:rsidRPr="00F979D1">
        <w:rPr>
          <w:rFonts w:ascii="Times New Roman" w:hAnsi="Times New Roman" w:cs="Times New Roman"/>
          <w:sz w:val="20"/>
          <w:szCs w:val="20"/>
        </w:rPr>
        <w:t>(Briefing Paper 5855, 17 February 2017).</w:t>
      </w:r>
    </w:p>
  </w:footnote>
  <w:footnote w:id="46">
    <w:p w14:paraId="13F67820" w14:textId="7F289A86"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 xml:space="preserve">In accordance with </w:t>
      </w:r>
      <w:r w:rsidRPr="00F979D1">
        <w:rPr>
          <w:rFonts w:ascii="Times New Roman" w:hAnsi="Times New Roman" w:cs="Times New Roman"/>
          <w:sz w:val="20"/>
          <w:szCs w:val="20"/>
          <w:lang w:val="en-US"/>
        </w:rPr>
        <w:t>sections 20-25 Constitutional Reform and Governance Act 2010</w:t>
      </w:r>
      <w:r w:rsidRPr="00F979D1">
        <w:rPr>
          <w:rFonts w:ascii="Times New Roman" w:hAnsi="Times New Roman" w:cs="Times New Roman"/>
          <w:sz w:val="20"/>
          <w:szCs w:val="20"/>
        </w:rPr>
        <w:t>.</w:t>
      </w:r>
      <w:proofErr w:type="gramEnd"/>
    </w:p>
  </w:footnote>
  <w:footnote w:id="47">
    <w:p w14:paraId="481DF346" w14:textId="2C4F5572"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Note that the devolved administrations have no formal role in the negotiation / conclusion of international agreements by the central UK authorities</w:t>
      </w:r>
      <w:proofErr w:type="gramStart"/>
      <w:r w:rsidRPr="00F979D1">
        <w:rPr>
          <w:rFonts w:ascii="Times New Roman" w:hAnsi="Times New Roman" w:cs="Times New Roman"/>
          <w:sz w:val="20"/>
          <w:szCs w:val="20"/>
        </w:rPr>
        <w:t>;</w:t>
      </w:r>
      <w:proofErr w:type="gramEnd"/>
      <w:r w:rsidRPr="00F979D1">
        <w:rPr>
          <w:rFonts w:ascii="Times New Roman" w:hAnsi="Times New Roman" w:cs="Times New Roman"/>
          <w:sz w:val="20"/>
          <w:szCs w:val="20"/>
        </w:rPr>
        <w:t xml:space="preserve"> though they may well be closely involved in / responsible for their subsequent domestic implementation.  </w:t>
      </w:r>
    </w:p>
  </w:footnote>
  <w:footnote w:id="48">
    <w:p w14:paraId="2F3644C2" w14:textId="77076724"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HMG, </w:t>
      </w:r>
      <w:r w:rsidRPr="00F979D1">
        <w:rPr>
          <w:rFonts w:ascii="Times New Roman" w:hAnsi="Times New Roman" w:cs="Times New Roman"/>
          <w:i/>
          <w:sz w:val="20"/>
          <w:szCs w:val="20"/>
        </w:rPr>
        <w:t>The United Kingdom’s exit from and new partnership with the European Union</w:t>
      </w:r>
      <w:r w:rsidRPr="00F979D1">
        <w:rPr>
          <w:rFonts w:ascii="Times New Roman" w:hAnsi="Times New Roman" w:cs="Times New Roman"/>
          <w:sz w:val="20"/>
          <w:szCs w:val="20"/>
        </w:rPr>
        <w:t xml:space="preserve"> (Cm 9417, 2 February 2017) </w:t>
      </w:r>
      <w:proofErr w:type="spellStart"/>
      <w:r w:rsidRPr="00F979D1">
        <w:rPr>
          <w:rFonts w:ascii="Times New Roman" w:hAnsi="Times New Roman" w:cs="Times New Roman"/>
          <w:sz w:val="20"/>
          <w:szCs w:val="20"/>
        </w:rPr>
        <w:t>paras</w:t>
      </w:r>
      <w:proofErr w:type="spellEnd"/>
      <w:r w:rsidRPr="00F979D1">
        <w:rPr>
          <w:rFonts w:ascii="Times New Roman" w:hAnsi="Times New Roman" w:cs="Times New Roman"/>
          <w:sz w:val="20"/>
          <w:szCs w:val="20"/>
        </w:rPr>
        <w:t xml:space="preserve"> 1.11-1.12.</w:t>
      </w:r>
    </w:p>
  </w:footnote>
  <w:footnote w:id="49">
    <w:p w14:paraId="2AB7B7BF" w14:textId="2271D832"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Compare with the Government’s original proposals: HMG, </w:t>
      </w:r>
      <w:r w:rsidRPr="00F979D1">
        <w:rPr>
          <w:rFonts w:ascii="Times New Roman" w:hAnsi="Times New Roman" w:cs="Times New Roman"/>
          <w:i/>
          <w:sz w:val="20"/>
          <w:szCs w:val="20"/>
        </w:rPr>
        <w:t xml:space="preserve">Legislating for the United Kingdom’s withdrawal from the European Union </w:t>
      </w:r>
      <w:r w:rsidRPr="00F979D1">
        <w:rPr>
          <w:rFonts w:ascii="Times New Roman" w:hAnsi="Times New Roman" w:cs="Times New Roman"/>
          <w:sz w:val="20"/>
          <w:szCs w:val="20"/>
        </w:rPr>
        <w:t>(Cm 9446, 7 March 2017); European Union (Withdrawal) Bill 2017 (13 July 2017).</w:t>
      </w:r>
    </w:p>
  </w:footnote>
  <w:footnote w:id="50">
    <w:p w14:paraId="2B45A68B" w14:textId="134B3A0B"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Consider, e.g. section 10 </w:t>
      </w:r>
      <w:proofErr w:type="gramStart"/>
      <w:r w:rsidRPr="00F979D1">
        <w:rPr>
          <w:rFonts w:ascii="Times New Roman" w:hAnsi="Times New Roman" w:cs="Times New Roman"/>
          <w:sz w:val="20"/>
          <w:szCs w:val="20"/>
        </w:rPr>
        <w:t>EU(</w:t>
      </w:r>
      <w:proofErr w:type="gramEnd"/>
      <w:r w:rsidRPr="00F979D1">
        <w:rPr>
          <w:rFonts w:ascii="Times New Roman" w:hAnsi="Times New Roman" w:cs="Times New Roman"/>
          <w:sz w:val="20"/>
          <w:szCs w:val="20"/>
        </w:rPr>
        <w:t>W)A 2018 (as enacted); sections 54-55 Taxation (Cross Border Trade) Act 2018 (as enacted).</w:t>
      </w:r>
    </w:p>
  </w:footnote>
  <w:footnote w:id="51">
    <w:p w14:paraId="7AC3547E" w14:textId="60343F51"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In particular: Theresa May, </w:t>
      </w:r>
      <w:r w:rsidRPr="00F979D1">
        <w:rPr>
          <w:rFonts w:ascii="Times New Roman" w:hAnsi="Times New Roman" w:cs="Times New Roman"/>
          <w:i/>
          <w:sz w:val="20"/>
          <w:szCs w:val="20"/>
        </w:rPr>
        <w:t xml:space="preserve">Lancaster House Speech: The Government’s Negotiating Objectives for Exiting the EU </w:t>
      </w:r>
      <w:r w:rsidRPr="00F979D1">
        <w:rPr>
          <w:rFonts w:ascii="Times New Roman" w:hAnsi="Times New Roman" w:cs="Times New Roman"/>
          <w:sz w:val="20"/>
          <w:szCs w:val="20"/>
        </w:rPr>
        <w:t>(17 January 2017).</w:t>
      </w:r>
    </w:p>
  </w:footnote>
  <w:footnote w:id="52">
    <w:p w14:paraId="6CC0A759" w14:textId="2F3EDAF5"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In particular: Confidence and Supply Agreement between the Conservative and Unionist Party and the Democratic Unionist Party (26 June 2017).</w:t>
      </w:r>
    </w:p>
  </w:footnote>
  <w:footnote w:id="53">
    <w:p w14:paraId="4C5DF2ED" w14:textId="5B0EE487"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In particular: HMG, Cm 9417 of 2 February 2017.</w:t>
      </w:r>
    </w:p>
  </w:footnote>
  <w:footnote w:id="54">
    <w:p w14:paraId="18DD8E8F" w14:textId="0948BBCA"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This Review provided regular analysis of the withdrawal process through its Editorial Comments, e.g. 53 CML Rev. (2016), 875; 53 CML Rev. (2016), 1491; 54 CML Rev. (2017), 1309; 54 CML Rev. (2017), 1613; 55 CML Rev. (2018), 1; 56 CML Rev. (2019), 611; 56 CML Rev. (2019), 1447.  Also: </w:t>
      </w:r>
      <w:proofErr w:type="gramStart"/>
      <w:r w:rsidRPr="00F979D1">
        <w:rPr>
          <w:rFonts w:ascii="Times New Roman" w:hAnsi="Times New Roman" w:cs="Times New Roman"/>
          <w:sz w:val="20"/>
          <w:szCs w:val="20"/>
          <w:lang w:val="en-US"/>
        </w:rPr>
        <w:t xml:space="preserve">55 CML Rev. (2018) </w:t>
      </w:r>
      <w:r w:rsidRPr="00F979D1">
        <w:rPr>
          <w:rFonts w:ascii="Times New Roman" w:hAnsi="Times New Roman" w:cs="Times New Roman"/>
          <w:i/>
          <w:sz w:val="20"/>
          <w:szCs w:val="20"/>
          <w:lang w:val="en-US"/>
        </w:rPr>
        <w:t>Special Issue</w:t>
      </w:r>
      <w:proofErr w:type="gramEnd"/>
      <w:r w:rsidRPr="00F979D1">
        <w:rPr>
          <w:rFonts w:ascii="Times New Roman" w:hAnsi="Times New Roman" w:cs="Times New Roman"/>
          <w:i/>
          <w:sz w:val="20"/>
          <w:szCs w:val="20"/>
          <w:lang w:val="en-US"/>
        </w:rPr>
        <w:t xml:space="preserve"> on Brexit </w:t>
      </w:r>
      <w:r w:rsidRPr="00F979D1">
        <w:rPr>
          <w:rFonts w:ascii="Times New Roman" w:hAnsi="Times New Roman" w:cs="Times New Roman"/>
          <w:sz w:val="20"/>
          <w:szCs w:val="20"/>
          <w:lang w:val="en-US"/>
        </w:rPr>
        <w:t>(May 2018).</w:t>
      </w:r>
    </w:p>
  </w:footnote>
  <w:footnote w:id="55">
    <w:p w14:paraId="112F28F3" w14:textId="7F4628A4"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I.e. from 23 June 2016 to 19 June 2017 (including formal notification on 29 March 2017 and the general election on 8 June 2017).</w:t>
      </w:r>
    </w:p>
  </w:footnote>
  <w:footnote w:id="56">
    <w:p w14:paraId="377E9FFB" w14:textId="047FC4D8"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European Council, Guidelines of 29 April 2017, para 7.</w:t>
      </w:r>
    </w:p>
  </w:footnote>
  <w:footnote w:id="57">
    <w:p w14:paraId="0F928A70" w14:textId="497B1711"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the statements delivered by the EU and UK negotiators after their monthly talks during the earlier stages of the negotiations (e.g. on 20 July, 31 August, 28 September, 12 October and 10 November 2017).  Later “negotiation milestones” include: Joint Report from the EU and UK negotiators (8 December 2017); Colour-Coded Draft Withdrawal Agreement (19 March 2018)</w:t>
      </w:r>
      <w:proofErr w:type="gramStart"/>
      <w:r w:rsidRPr="00F979D1">
        <w:rPr>
          <w:rFonts w:ascii="Times New Roman" w:hAnsi="Times New Roman" w:cs="Times New Roman"/>
          <w:sz w:val="20"/>
          <w:szCs w:val="20"/>
        </w:rPr>
        <w:t>;</w:t>
      </w:r>
      <w:proofErr w:type="gramEnd"/>
      <w:r w:rsidRPr="00F979D1">
        <w:rPr>
          <w:rFonts w:ascii="Times New Roman" w:hAnsi="Times New Roman" w:cs="Times New Roman"/>
          <w:sz w:val="20"/>
          <w:szCs w:val="20"/>
        </w:rPr>
        <w:t xml:space="preserve"> Joint Statement on the Progress of Negotiations (19 June 2018).</w:t>
      </w:r>
    </w:p>
  </w:footnote>
  <w:footnote w:id="58">
    <w:p w14:paraId="630AB12A" w14:textId="5F166534"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 xml:space="preserve">HMG, </w:t>
      </w:r>
      <w:r w:rsidRPr="00F979D1">
        <w:rPr>
          <w:rFonts w:ascii="Times New Roman" w:hAnsi="Times New Roman" w:cs="Times New Roman"/>
          <w:i/>
          <w:sz w:val="20"/>
          <w:szCs w:val="20"/>
        </w:rPr>
        <w:t xml:space="preserve">The Future Relationship between the United Kingdom and the European Union </w:t>
      </w:r>
      <w:r w:rsidRPr="00F979D1">
        <w:rPr>
          <w:rFonts w:ascii="Times New Roman" w:hAnsi="Times New Roman" w:cs="Times New Roman"/>
          <w:sz w:val="20"/>
          <w:szCs w:val="20"/>
        </w:rPr>
        <w:t>(Cm 9593, 17 July 2018).</w:t>
      </w:r>
      <w:proofErr w:type="gramEnd"/>
    </w:p>
  </w:footnote>
  <w:footnote w:id="59">
    <w:p w14:paraId="5ECD9EF0" w14:textId="6ECB518A"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Including David Davis (Secretary of State for Exiting the EU) and Boris Johnson (Foreign Secretary).  </w:t>
      </w:r>
    </w:p>
  </w:footnote>
  <w:footnote w:id="60">
    <w:p w14:paraId="492BC499" w14:textId="1D1026A4"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Informal Summit of the Heads of State or Government meeting in Salzburg (19-20 September 2018).</w:t>
      </w:r>
      <w:proofErr w:type="gramEnd"/>
      <w:r w:rsidRPr="00F979D1">
        <w:rPr>
          <w:rFonts w:ascii="Times New Roman" w:hAnsi="Times New Roman" w:cs="Times New Roman"/>
          <w:sz w:val="20"/>
          <w:szCs w:val="20"/>
        </w:rPr>
        <w:t xml:space="preserve">  Note also Theresa May’s (rather disingenuous) response: </w:t>
      </w:r>
      <w:r w:rsidRPr="00F979D1">
        <w:rPr>
          <w:rFonts w:ascii="Times New Roman" w:hAnsi="Times New Roman" w:cs="Times New Roman"/>
          <w:i/>
          <w:sz w:val="20"/>
          <w:szCs w:val="20"/>
        </w:rPr>
        <w:t xml:space="preserve">PM </w:t>
      </w:r>
      <w:proofErr w:type="spellStart"/>
      <w:r w:rsidRPr="00F979D1">
        <w:rPr>
          <w:rFonts w:ascii="Times New Roman" w:hAnsi="Times New Roman" w:cs="Times New Roman"/>
          <w:i/>
          <w:sz w:val="20"/>
          <w:szCs w:val="20"/>
        </w:rPr>
        <w:t>Brexit</w:t>
      </w:r>
      <w:proofErr w:type="spellEnd"/>
      <w:r w:rsidRPr="00F979D1">
        <w:rPr>
          <w:rFonts w:ascii="Times New Roman" w:hAnsi="Times New Roman" w:cs="Times New Roman"/>
          <w:i/>
          <w:sz w:val="20"/>
          <w:szCs w:val="20"/>
        </w:rPr>
        <w:t xml:space="preserve"> Negotiations Statement</w:t>
      </w:r>
      <w:r w:rsidRPr="00F979D1">
        <w:rPr>
          <w:rFonts w:ascii="Times New Roman" w:hAnsi="Times New Roman" w:cs="Times New Roman"/>
          <w:sz w:val="20"/>
          <w:szCs w:val="20"/>
        </w:rPr>
        <w:t xml:space="preserve"> (21 September 2018).  </w:t>
      </w:r>
    </w:p>
  </w:footnote>
  <w:footnote w:id="61">
    <w:p w14:paraId="1FCBF92A" w14:textId="20A28D93"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e.g. Dominic </w:t>
      </w:r>
      <w:proofErr w:type="spellStart"/>
      <w:r w:rsidRPr="00F979D1">
        <w:rPr>
          <w:rFonts w:ascii="Times New Roman" w:hAnsi="Times New Roman" w:cs="Times New Roman"/>
          <w:sz w:val="20"/>
          <w:szCs w:val="20"/>
        </w:rPr>
        <w:t>Raab</w:t>
      </w:r>
      <w:proofErr w:type="spellEnd"/>
      <w:r w:rsidRPr="00F979D1">
        <w:rPr>
          <w:rFonts w:ascii="Times New Roman" w:hAnsi="Times New Roman" w:cs="Times New Roman"/>
          <w:sz w:val="20"/>
          <w:szCs w:val="20"/>
        </w:rPr>
        <w:t xml:space="preserve">, </w:t>
      </w:r>
      <w:r w:rsidRPr="00F979D1">
        <w:rPr>
          <w:rFonts w:ascii="Times New Roman" w:hAnsi="Times New Roman" w:cs="Times New Roman"/>
          <w:i/>
          <w:sz w:val="20"/>
          <w:szCs w:val="20"/>
        </w:rPr>
        <w:t xml:space="preserve">Commons Statement on the future relationship between the UK and the EU </w:t>
      </w:r>
      <w:r w:rsidRPr="00F979D1">
        <w:rPr>
          <w:rFonts w:ascii="Times New Roman" w:hAnsi="Times New Roman" w:cs="Times New Roman"/>
          <w:sz w:val="20"/>
          <w:szCs w:val="20"/>
        </w:rPr>
        <w:t xml:space="preserve">(12 July 2018).  </w:t>
      </w:r>
      <w:proofErr w:type="gramStart"/>
      <w:r w:rsidRPr="00F979D1">
        <w:rPr>
          <w:rFonts w:ascii="Times New Roman" w:hAnsi="Times New Roman" w:cs="Times New Roman"/>
          <w:sz w:val="20"/>
          <w:szCs w:val="20"/>
        </w:rPr>
        <w:t>Also, e.g. &lt;&lt;https://www.politico.eu/article/brexit-theresa-may-uk-to-eu-play-fair-or-we-wont-pay-our-bill/amp/&gt;&gt;; &lt;&lt;https://www.politico.eu/article/raab-britain-to-refuse-paying-divorce-bill-without-trade-deal/&gt;&gt;.</w:t>
      </w:r>
      <w:proofErr w:type="gramEnd"/>
    </w:p>
  </w:footnote>
  <w:footnote w:id="62">
    <w:p w14:paraId="2B3565E8" w14:textId="3113EA6E"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The phrase was famously used by Theresa May, </w:t>
      </w:r>
      <w:r w:rsidRPr="00F979D1">
        <w:rPr>
          <w:rFonts w:ascii="Times New Roman" w:hAnsi="Times New Roman" w:cs="Times New Roman"/>
          <w:i/>
          <w:sz w:val="20"/>
          <w:szCs w:val="20"/>
        </w:rPr>
        <w:t xml:space="preserve">Lancaster House Speech </w:t>
      </w:r>
      <w:r w:rsidRPr="00F979D1">
        <w:rPr>
          <w:rFonts w:ascii="Times New Roman" w:hAnsi="Times New Roman" w:cs="Times New Roman"/>
          <w:sz w:val="20"/>
          <w:szCs w:val="20"/>
        </w:rPr>
        <w:t xml:space="preserve">(17 January 2017) and repeated in the Conservative Party Manifesto for the June 2017 general election.  Still, e.g. by Theresa May, </w:t>
      </w:r>
      <w:r w:rsidRPr="00F979D1">
        <w:rPr>
          <w:rFonts w:ascii="Times New Roman" w:hAnsi="Times New Roman" w:cs="Times New Roman"/>
          <w:i/>
          <w:sz w:val="20"/>
          <w:szCs w:val="20"/>
        </w:rPr>
        <w:t xml:space="preserve">Brexit Negotiations Statement </w:t>
      </w:r>
      <w:r w:rsidRPr="00F979D1">
        <w:rPr>
          <w:rFonts w:ascii="Times New Roman" w:hAnsi="Times New Roman" w:cs="Times New Roman"/>
          <w:sz w:val="20"/>
          <w:szCs w:val="20"/>
        </w:rPr>
        <w:t xml:space="preserve">(21 September 2019).  By contrast, e.g. House of Commons Foreign Affairs Committee, </w:t>
      </w:r>
      <w:r w:rsidRPr="00F979D1">
        <w:rPr>
          <w:rFonts w:ascii="Times New Roman" w:hAnsi="Times New Roman" w:cs="Times New Roman"/>
          <w:i/>
          <w:sz w:val="20"/>
          <w:szCs w:val="20"/>
        </w:rPr>
        <w:t xml:space="preserve">Article 50 Negotiations: Implications of “No Deal” </w:t>
      </w:r>
      <w:r w:rsidRPr="00F979D1">
        <w:rPr>
          <w:rFonts w:ascii="Times New Roman" w:hAnsi="Times New Roman" w:cs="Times New Roman"/>
          <w:sz w:val="20"/>
          <w:szCs w:val="20"/>
        </w:rPr>
        <w:t xml:space="preserve">(HC1077, 12 March 2017); House of Commons Exiting the EU Committee, </w:t>
      </w:r>
      <w:r w:rsidRPr="00F979D1">
        <w:rPr>
          <w:rFonts w:ascii="Times New Roman" w:hAnsi="Times New Roman" w:cs="Times New Roman"/>
          <w:i/>
          <w:sz w:val="20"/>
          <w:szCs w:val="20"/>
        </w:rPr>
        <w:t xml:space="preserve">The Government’s negotiating objectives: the White Paper </w:t>
      </w:r>
      <w:r w:rsidRPr="00F979D1">
        <w:rPr>
          <w:rFonts w:ascii="Times New Roman" w:hAnsi="Times New Roman" w:cs="Times New Roman"/>
          <w:sz w:val="20"/>
          <w:szCs w:val="20"/>
        </w:rPr>
        <w:t xml:space="preserve">(HC1125, 4 April 2017); House of Lords EU Committee, </w:t>
      </w:r>
      <w:r w:rsidRPr="00F979D1">
        <w:rPr>
          <w:rFonts w:ascii="Times New Roman" w:hAnsi="Times New Roman" w:cs="Times New Roman"/>
          <w:i/>
          <w:sz w:val="20"/>
          <w:szCs w:val="20"/>
        </w:rPr>
        <w:t xml:space="preserve">Brexit: Deal or No Deal </w:t>
      </w:r>
      <w:r w:rsidRPr="00F979D1">
        <w:rPr>
          <w:rFonts w:ascii="Times New Roman" w:hAnsi="Times New Roman" w:cs="Times New Roman"/>
          <w:sz w:val="20"/>
          <w:szCs w:val="20"/>
        </w:rPr>
        <w:t xml:space="preserve">(HL46, 7 December 2017); House of Commons Exiting the EU Committee, </w:t>
      </w:r>
      <w:r w:rsidRPr="00F979D1">
        <w:rPr>
          <w:rFonts w:ascii="Times New Roman" w:hAnsi="Times New Roman" w:cs="Times New Roman"/>
          <w:i/>
          <w:sz w:val="20"/>
          <w:szCs w:val="20"/>
        </w:rPr>
        <w:t xml:space="preserve">The Consequences of No Deal for UK Business </w:t>
      </w:r>
      <w:r w:rsidRPr="00F979D1">
        <w:rPr>
          <w:rFonts w:ascii="Times New Roman" w:hAnsi="Times New Roman" w:cs="Times New Roman"/>
          <w:sz w:val="20"/>
          <w:szCs w:val="20"/>
        </w:rPr>
        <w:t>(HC2560, 19 July 2019).</w:t>
      </w:r>
    </w:p>
  </w:footnote>
  <w:footnote w:id="63">
    <w:p w14:paraId="3C28B106" w14:textId="641556D3"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OJ 2019, C 66 I.</w:t>
      </w:r>
      <w:proofErr w:type="gramEnd"/>
      <w:r w:rsidRPr="00F979D1">
        <w:rPr>
          <w:rFonts w:ascii="Times New Roman" w:hAnsi="Times New Roman" w:cs="Times New Roman"/>
          <w:sz w:val="20"/>
          <w:szCs w:val="20"/>
        </w:rPr>
        <w:t xml:space="preserve">  Note also European Council (Art 50), Conclusions of 25 November 2018 – including various statements to be entered in the minutes.  </w:t>
      </w:r>
    </w:p>
  </w:footnote>
  <w:footnote w:id="64">
    <w:p w14:paraId="574A260D" w14:textId="464707F8"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 xml:space="preserve">E.g. Theresa May, </w:t>
      </w:r>
      <w:r w:rsidRPr="00F979D1">
        <w:rPr>
          <w:rFonts w:ascii="Times New Roman" w:hAnsi="Times New Roman" w:cs="Times New Roman"/>
          <w:i/>
          <w:sz w:val="20"/>
          <w:szCs w:val="20"/>
        </w:rPr>
        <w:t xml:space="preserve">Statement on Exiting the European Union </w:t>
      </w:r>
      <w:r w:rsidRPr="00F979D1">
        <w:rPr>
          <w:rFonts w:ascii="Times New Roman" w:hAnsi="Times New Roman" w:cs="Times New Roman"/>
          <w:sz w:val="20"/>
          <w:szCs w:val="20"/>
        </w:rPr>
        <w:t xml:space="preserve">(10 December 2018); </w:t>
      </w:r>
      <w:r w:rsidRPr="00F979D1">
        <w:rPr>
          <w:rFonts w:ascii="Times New Roman" w:hAnsi="Times New Roman" w:cs="Times New Roman"/>
          <w:i/>
          <w:sz w:val="20"/>
          <w:szCs w:val="20"/>
        </w:rPr>
        <w:t>Statement to the House of Commons</w:t>
      </w:r>
      <w:r w:rsidRPr="00F979D1">
        <w:rPr>
          <w:rFonts w:ascii="Times New Roman" w:hAnsi="Times New Roman" w:cs="Times New Roman"/>
          <w:sz w:val="20"/>
          <w:szCs w:val="20"/>
        </w:rPr>
        <w:t xml:space="preserve"> (21 January 2019).</w:t>
      </w:r>
      <w:proofErr w:type="gramEnd"/>
      <w:r w:rsidRPr="00F979D1">
        <w:rPr>
          <w:rFonts w:ascii="Times New Roman" w:hAnsi="Times New Roman" w:cs="Times New Roman"/>
          <w:sz w:val="20"/>
          <w:szCs w:val="20"/>
        </w:rPr>
        <w:t xml:space="preserve">  </w:t>
      </w:r>
    </w:p>
  </w:footnote>
  <w:footnote w:id="65">
    <w:p w14:paraId="73E02988" w14:textId="39EEF277"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Section 3.4.3 (below).  Note May’s other attempts to win Commons support for her Withdrawal Package of November 2018, e.g. promises of greater parliamentary involvement in negotiations over future EU-UK relations; commitments to uphold employment standards under UK law; promises of investment in economically deprived towns (the so-called “cash-for-votes” fund announced on 4 March 2019).</w:t>
      </w:r>
    </w:p>
  </w:footnote>
  <w:footnote w:id="66">
    <w:p w14:paraId="28B51832" w14:textId="40455BCD"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Including the infamous “section 13” defeat in the Commons on 15 January 2019 – reputedly the worst government loss in Parliament in modern British history.  </w:t>
      </w:r>
      <w:proofErr w:type="gramStart"/>
      <w:r w:rsidRPr="00F979D1">
        <w:rPr>
          <w:rFonts w:ascii="Times New Roman" w:hAnsi="Times New Roman" w:cs="Times New Roman"/>
          <w:sz w:val="20"/>
          <w:szCs w:val="20"/>
        </w:rPr>
        <w:t>Also the further Commons defeats on 12 and 29 March 2019.</w:t>
      </w:r>
      <w:proofErr w:type="gramEnd"/>
      <w:r w:rsidRPr="00F979D1">
        <w:rPr>
          <w:rFonts w:ascii="Times New Roman" w:hAnsi="Times New Roman" w:cs="Times New Roman"/>
          <w:sz w:val="20"/>
          <w:szCs w:val="20"/>
        </w:rPr>
        <w:t xml:space="preserve">  Note that neither a series of backbench “indicative votes” in the Commons, nor Tory-Labour Party compromise talks, produced any meaningful breakthrough to the political deadlock in Westminster.  </w:t>
      </w:r>
    </w:p>
  </w:footnote>
  <w:footnote w:id="67">
    <w:p w14:paraId="39F851E4" w14:textId="3FDFAD00"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European Council, Decision 2019/476, OJ 2019, LI 80/1 and Decision 2019/584, OJ 2019, L 101/1.</w:t>
      </w:r>
    </w:p>
  </w:footnote>
  <w:footnote w:id="68">
    <w:p w14:paraId="626865CD" w14:textId="6D1D7A9C"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The Tories won less than 10% of the UK vote and took only 4 seats in the European Parliament.</w:t>
      </w:r>
    </w:p>
  </w:footnote>
  <w:footnote w:id="69">
    <w:p w14:paraId="717BAA51" w14:textId="341ACBA1"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e.g. Boris Johnson, </w:t>
      </w:r>
      <w:r w:rsidRPr="00F979D1">
        <w:rPr>
          <w:rFonts w:ascii="Times New Roman" w:hAnsi="Times New Roman" w:cs="Times New Roman"/>
          <w:i/>
          <w:sz w:val="20"/>
          <w:szCs w:val="20"/>
        </w:rPr>
        <w:t xml:space="preserve">First Speech as Prime Minster </w:t>
      </w:r>
      <w:r w:rsidRPr="00F979D1">
        <w:rPr>
          <w:rFonts w:ascii="Times New Roman" w:hAnsi="Times New Roman" w:cs="Times New Roman"/>
          <w:sz w:val="20"/>
          <w:szCs w:val="20"/>
        </w:rPr>
        <w:t xml:space="preserve">(24 July 2019); </w:t>
      </w:r>
      <w:r w:rsidRPr="00F979D1">
        <w:rPr>
          <w:rFonts w:ascii="Times New Roman" w:hAnsi="Times New Roman" w:cs="Times New Roman"/>
          <w:i/>
          <w:sz w:val="20"/>
          <w:szCs w:val="20"/>
        </w:rPr>
        <w:t xml:space="preserve">Statement on Priorities for the Government </w:t>
      </w:r>
      <w:r w:rsidRPr="00F979D1">
        <w:rPr>
          <w:rFonts w:ascii="Times New Roman" w:hAnsi="Times New Roman" w:cs="Times New Roman"/>
          <w:sz w:val="20"/>
          <w:szCs w:val="20"/>
        </w:rPr>
        <w:t xml:space="preserve">(25 July 2019); </w:t>
      </w:r>
      <w:r w:rsidRPr="00F979D1">
        <w:rPr>
          <w:rFonts w:ascii="Times New Roman" w:hAnsi="Times New Roman" w:cs="Times New Roman"/>
          <w:i/>
          <w:sz w:val="20"/>
          <w:szCs w:val="20"/>
        </w:rPr>
        <w:t xml:space="preserve">Letter to Donald Tusk </w:t>
      </w:r>
      <w:r w:rsidRPr="00F979D1">
        <w:rPr>
          <w:rFonts w:ascii="Times New Roman" w:hAnsi="Times New Roman" w:cs="Times New Roman"/>
          <w:sz w:val="20"/>
          <w:szCs w:val="20"/>
        </w:rPr>
        <w:t>(19 August 2019).  Note also the new UK Government’s announcements, e.g. to self-exclude from most EU meetings (20 August 2019)</w:t>
      </w:r>
      <w:proofErr w:type="gramStart"/>
      <w:r w:rsidRPr="00F979D1">
        <w:rPr>
          <w:rFonts w:ascii="Times New Roman" w:hAnsi="Times New Roman" w:cs="Times New Roman"/>
          <w:sz w:val="20"/>
          <w:szCs w:val="20"/>
        </w:rPr>
        <w:t>;</w:t>
      </w:r>
      <w:proofErr w:type="gramEnd"/>
      <w:r w:rsidRPr="00F979D1">
        <w:rPr>
          <w:rFonts w:ascii="Times New Roman" w:hAnsi="Times New Roman" w:cs="Times New Roman"/>
          <w:sz w:val="20"/>
          <w:szCs w:val="20"/>
        </w:rPr>
        <w:t xml:space="preserve"> and not to nominate a new Commissioner (23 August 2019).  </w:t>
      </w:r>
    </w:p>
  </w:footnote>
  <w:footnote w:id="70">
    <w:p w14:paraId="5A0C5C49" w14:textId="770A927C"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Taking into account, e.g. that Government claims about making progress in EU-UK talks were publicly contradicted by the Union; and that Johnson’s decision unlawfully to close Parliament (</w:t>
      </w:r>
      <w:r w:rsidRPr="00F979D1">
        <w:rPr>
          <w:rFonts w:ascii="Times New Roman" w:hAnsi="Times New Roman" w:cs="Times New Roman"/>
          <w:i/>
          <w:sz w:val="20"/>
          <w:szCs w:val="20"/>
        </w:rPr>
        <w:t xml:space="preserve">Miller </w:t>
      </w:r>
      <w:r w:rsidRPr="00F979D1">
        <w:rPr>
          <w:rFonts w:ascii="Times New Roman" w:hAnsi="Times New Roman" w:cs="Times New Roman"/>
          <w:sz w:val="20"/>
          <w:szCs w:val="20"/>
        </w:rPr>
        <w:t xml:space="preserve">[2019] UKSC 41) was generally attributed to his desire to prevent public scrutiny / thwart Commons attempts to block “no deal”.  </w:t>
      </w:r>
    </w:p>
  </w:footnote>
  <w:footnote w:id="71">
    <w:p w14:paraId="28E5EAF7" w14:textId="1368033B"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In particular: European Union (Withdrawal) (No 2) Act 2019.</w:t>
      </w:r>
    </w:p>
  </w:footnote>
  <w:footnote w:id="72">
    <w:p w14:paraId="4B945464" w14:textId="6BA28852"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OJ 2019, C 384 I.</w:t>
      </w:r>
      <w:proofErr w:type="gramEnd"/>
    </w:p>
  </w:footnote>
  <w:footnote w:id="73">
    <w:p w14:paraId="709B6944" w14:textId="7E97B9A4"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Section 3.4 (below).</w:t>
      </w:r>
      <w:proofErr w:type="gramEnd"/>
    </w:p>
  </w:footnote>
  <w:footnote w:id="74">
    <w:p w14:paraId="33BBF72E" w14:textId="1DB9BF0B"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Section 4 (below).</w:t>
      </w:r>
      <w:proofErr w:type="gramEnd"/>
    </w:p>
  </w:footnote>
  <w:footnote w:id="75">
    <w:p w14:paraId="2EFFC832" w14:textId="3C8FD62E"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On 19 October 2019.</w:t>
      </w:r>
    </w:p>
  </w:footnote>
  <w:footnote w:id="76">
    <w:p w14:paraId="0D335121" w14:textId="3D8C8778"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In accordance with the European Union (Withdrawal) (No 2) Act 2019.</w:t>
      </w:r>
      <w:proofErr w:type="gramEnd"/>
      <w:r w:rsidRPr="00F979D1">
        <w:rPr>
          <w:rFonts w:ascii="Times New Roman" w:hAnsi="Times New Roman" w:cs="Times New Roman"/>
          <w:sz w:val="20"/>
          <w:szCs w:val="20"/>
        </w:rPr>
        <w:t xml:space="preserve">  That request was granted by the European Council, Decision 2019/1810, OJ 2019, </w:t>
      </w:r>
      <w:proofErr w:type="gramStart"/>
      <w:r w:rsidRPr="00F979D1">
        <w:rPr>
          <w:rFonts w:ascii="Times New Roman" w:hAnsi="Times New Roman" w:cs="Times New Roman"/>
          <w:sz w:val="20"/>
          <w:szCs w:val="20"/>
        </w:rPr>
        <w:t>LI</w:t>
      </w:r>
      <w:proofErr w:type="gramEnd"/>
      <w:r w:rsidRPr="00F979D1">
        <w:rPr>
          <w:rFonts w:ascii="Times New Roman" w:hAnsi="Times New Roman" w:cs="Times New Roman"/>
          <w:sz w:val="20"/>
          <w:szCs w:val="20"/>
        </w:rPr>
        <w:t xml:space="preserve"> 278/1.</w:t>
      </w:r>
    </w:p>
  </w:footnote>
  <w:footnote w:id="77">
    <w:p w14:paraId="4CCE3AD1" w14:textId="55549392"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In Commons votes on 4 September, 9 September and 28 October 2019.  Note: the Fixed Term Parliaments Act 2011 effectively gave opposition parties a veto over attempts to call an election.</w:t>
      </w:r>
    </w:p>
  </w:footnote>
  <w:footnote w:id="78">
    <w:p w14:paraId="695BCD3D" w14:textId="7E640EEF"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Early Parliamentary General Election Act 2019.</w:t>
      </w:r>
      <w:proofErr w:type="gramEnd"/>
    </w:p>
  </w:footnote>
  <w:footnote w:id="79">
    <w:p w14:paraId="5680C9A3" w14:textId="52EB266D"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See Sections 3.2 and 4.3 (below).</w:t>
      </w:r>
    </w:p>
  </w:footnote>
  <w:footnote w:id="80">
    <w:p w14:paraId="413C197E" w14:textId="7BE2003D"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European Union (Withdrawal Agreement) Bill 2019 (19 December 2019).</w:t>
      </w:r>
      <w:proofErr w:type="gramEnd"/>
      <w:r w:rsidRPr="00F979D1">
        <w:rPr>
          <w:rFonts w:ascii="Times New Roman" w:hAnsi="Times New Roman" w:cs="Times New Roman"/>
          <w:sz w:val="20"/>
          <w:szCs w:val="20"/>
        </w:rPr>
        <w:t xml:space="preserve">  Contrast with the previous version (21 October 2019, especially Clause 31).  And with the May Government’s plans, e.g. HMG, </w:t>
      </w:r>
      <w:r w:rsidRPr="00F979D1">
        <w:rPr>
          <w:rFonts w:ascii="Times New Roman" w:hAnsi="Times New Roman" w:cs="Times New Roman"/>
          <w:i/>
          <w:sz w:val="20"/>
          <w:szCs w:val="20"/>
        </w:rPr>
        <w:t xml:space="preserve">Legislating for the Withdrawal Agreement between the UK and the EU </w:t>
      </w:r>
      <w:r w:rsidRPr="00F979D1">
        <w:rPr>
          <w:rFonts w:ascii="Times New Roman" w:hAnsi="Times New Roman" w:cs="Times New Roman"/>
          <w:sz w:val="20"/>
          <w:szCs w:val="20"/>
        </w:rPr>
        <w:t xml:space="preserve">(Cm 9674, 24 July 2018); Prime Minister, </w:t>
      </w:r>
      <w:r w:rsidRPr="00F979D1">
        <w:rPr>
          <w:rFonts w:ascii="Times New Roman" w:hAnsi="Times New Roman" w:cs="Times New Roman"/>
          <w:i/>
          <w:sz w:val="20"/>
          <w:szCs w:val="20"/>
        </w:rPr>
        <w:t xml:space="preserve">Commons Statement on New </w:t>
      </w:r>
      <w:proofErr w:type="spellStart"/>
      <w:r w:rsidRPr="00F979D1">
        <w:rPr>
          <w:rFonts w:ascii="Times New Roman" w:hAnsi="Times New Roman" w:cs="Times New Roman"/>
          <w:i/>
          <w:sz w:val="20"/>
          <w:szCs w:val="20"/>
        </w:rPr>
        <w:t>Brexit</w:t>
      </w:r>
      <w:proofErr w:type="spellEnd"/>
      <w:r w:rsidRPr="00F979D1">
        <w:rPr>
          <w:rFonts w:ascii="Times New Roman" w:hAnsi="Times New Roman" w:cs="Times New Roman"/>
          <w:i/>
          <w:sz w:val="20"/>
          <w:szCs w:val="20"/>
        </w:rPr>
        <w:t xml:space="preserve"> Deal </w:t>
      </w:r>
      <w:r w:rsidRPr="00F979D1">
        <w:rPr>
          <w:rFonts w:ascii="Times New Roman" w:hAnsi="Times New Roman" w:cs="Times New Roman"/>
          <w:sz w:val="20"/>
          <w:szCs w:val="20"/>
        </w:rPr>
        <w:t>(22 May 2019).</w:t>
      </w:r>
    </w:p>
  </w:footnote>
  <w:footnote w:id="81">
    <w:p w14:paraId="318CC614" w14:textId="4856AF11"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On 24 January 2020.  Note, in particular, sections 31-32 </w:t>
      </w:r>
      <w:proofErr w:type="gramStart"/>
      <w:r w:rsidRPr="00F979D1">
        <w:rPr>
          <w:rFonts w:ascii="Times New Roman" w:hAnsi="Times New Roman" w:cs="Times New Roman"/>
          <w:sz w:val="20"/>
          <w:szCs w:val="20"/>
        </w:rPr>
        <w:t>EU(</w:t>
      </w:r>
      <w:proofErr w:type="gramEnd"/>
      <w:r w:rsidRPr="00F979D1">
        <w:rPr>
          <w:rFonts w:ascii="Times New Roman" w:hAnsi="Times New Roman" w:cs="Times New Roman"/>
          <w:sz w:val="20"/>
          <w:szCs w:val="20"/>
        </w:rPr>
        <w:t xml:space="preserve">WA)A 2020.  </w:t>
      </w:r>
    </w:p>
  </w:footnote>
  <w:footnote w:id="82">
    <w:p w14:paraId="492BC82F" w14:textId="15E480D3"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On 29 and 30 January 2020 (respectively).</w:t>
      </w:r>
      <w:proofErr w:type="gramEnd"/>
    </w:p>
  </w:footnote>
  <w:footnote w:id="83">
    <w:p w14:paraId="299BF62A" w14:textId="24A8A126"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HMG, Cm 9417 of 2 February 2017.</w:t>
      </w:r>
    </w:p>
  </w:footnote>
  <w:footnote w:id="84">
    <w:p w14:paraId="5F3F7828" w14:textId="7B080A40"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E.g. Prime Minister’s notification letter to the European Council President (29 March 2017); HMG, Cm 9446 of 7 March 2017.</w:t>
      </w:r>
      <w:proofErr w:type="gramEnd"/>
      <w:r w:rsidRPr="00F979D1">
        <w:rPr>
          <w:rFonts w:ascii="Times New Roman" w:hAnsi="Times New Roman" w:cs="Times New Roman"/>
          <w:sz w:val="20"/>
          <w:szCs w:val="20"/>
        </w:rPr>
        <w:t xml:space="preserve">  And indeed, commanded broader Parliamentary support, e.g. House of Commons Exiting the EU Committee, </w:t>
      </w:r>
      <w:r w:rsidRPr="00F979D1">
        <w:rPr>
          <w:rFonts w:ascii="Times New Roman" w:hAnsi="Times New Roman" w:cs="Times New Roman"/>
          <w:i/>
          <w:sz w:val="20"/>
          <w:szCs w:val="20"/>
        </w:rPr>
        <w:t xml:space="preserve">The Process for exiting the European Union </w:t>
      </w:r>
      <w:r w:rsidRPr="00F979D1">
        <w:rPr>
          <w:rFonts w:ascii="Times New Roman" w:hAnsi="Times New Roman" w:cs="Times New Roman"/>
          <w:sz w:val="20"/>
          <w:szCs w:val="20"/>
        </w:rPr>
        <w:t>(HC815, 14 January 2017).</w:t>
      </w:r>
    </w:p>
  </w:footnote>
  <w:footnote w:id="85">
    <w:p w14:paraId="23C4E565" w14:textId="596667BB"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European Council, Guidelines of 29 April 2017, paras 4-6.</w:t>
      </w:r>
    </w:p>
  </w:footnote>
  <w:footnote w:id="86">
    <w:p w14:paraId="6AFA8C77" w14:textId="48A6551D"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E.g. European Parliament, Resolutions of 28 June 2016 and 5 April 2017.</w:t>
      </w:r>
    </w:p>
  </w:footnote>
  <w:footnote w:id="87">
    <w:p w14:paraId="28EB957C" w14:textId="6A137079" w:rsidR="00FD11BB" w:rsidRPr="00F979D1" w:rsidRDefault="00FD11BB" w:rsidP="00F979D1">
      <w:pPr>
        <w:widowControl w:val="0"/>
        <w:autoSpaceDE w:val="0"/>
        <w:autoSpaceDN w:val="0"/>
        <w:adjustRightInd w:val="0"/>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Council Decision of 22 May 2017.</w:t>
      </w:r>
    </w:p>
  </w:footnote>
  <w:footnote w:id="88">
    <w:p w14:paraId="70D29162" w14:textId="423F5816"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E.g. &lt;&lt;https://www.ft.com/content/01396086-38ae-11e7-821a-6027b8a20f23&gt;&gt;.</w:t>
      </w:r>
      <w:proofErr w:type="gramEnd"/>
    </w:p>
  </w:footnote>
  <w:footnote w:id="89">
    <w:p w14:paraId="48420A23" w14:textId="71DDC27A"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Theresa May, </w:t>
      </w:r>
      <w:r w:rsidRPr="00F979D1">
        <w:rPr>
          <w:rFonts w:ascii="Times New Roman" w:hAnsi="Times New Roman" w:cs="Times New Roman"/>
          <w:i/>
          <w:sz w:val="20"/>
          <w:szCs w:val="20"/>
          <w:lang w:val="en-US"/>
        </w:rPr>
        <w:t xml:space="preserve">Florence Speech: A New Era of Cooperation and Partnership between the UK and the EU </w:t>
      </w:r>
      <w:r w:rsidRPr="00F979D1">
        <w:rPr>
          <w:rFonts w:ascii="Times New Roman" w:hAnsi="Times New Roman" w:cs="Times New Roman"/>
          <w:sz w:val="20"/>
          <w:szCs w:val="20"/>
          <w:lang w:val="en-US"/>
        </w:rPr>
        <w:t xml:space="preserve">(22 September 2017).  Contrast, e.g. with </w:t>
      </w:r>
      <w:r w:rsidRPr="00F979D1">
        <w:rPr>
          <w:rFonts w:ascii="Times New Roman" w:hAnsi="Times New Roman" w:cs="Times New Roman"/>
          <w:sz w:val="20"/>
          <w:szCs w:val="20"/>
        </w:rPr>
        <w:t>David Davis’ comments at the 3</w:t>
      </w:r>
      <w:r w:rsidRPr="00F979D1">
        <w:rPr>
          <w:rFonts w:ascii="Times New Roman" w:hAnsi="Times New Roman" w:cs="Times New Roman"/>
          <w:sz w:val="20"/>
          <w:szCs w:val="20"/>
          <w:vertAlign w:val="superscript"/>
        </w:rPr>
        <w:t>rd</w:t>
      </w:r>
      <w:r w:rsidRPr="00F979D1">
        <w:rPr>
          <w:rFonts w:ascii="Times New Roman" w:hAnsi="Times New Roman" w:cs="Times New Roman"/>
          <w:sz w:val="20"/>
          <w:szCs w:val="20"/>
        </w:rPr>
        <w:t xml:space="preserve"> round of EU-UK negotiations (31 August 2017) and </w:t>
      </w:r>
      <w:r w:rsidRPr="00F979D1">
        <w:rPr>
          <w:rFonts w:ascii="Times New Roman" w:hAnsi="Times New Roman" w:cs="Times New Roman"/>
          <w:i/>
          <w:sz w:val="20"/>
          <w:szCs w:val="20"/>
        </w:rPr>
        <w:t xml:space="preserve">Update to the House of Commons </w:t>
      </w:r>
      <w:r w:rsidRPr="00F979D1">
        <w:rPr>
          <w:rFonts w:ascii="Times New Roman" w:hAnsi="Times New Roman" w:cs="Times New Roman"/>
          <w:sz w:val="20"/>
          <w:szCs w:val="20"/>
        </w:rPr>
        <w:t xml:space="preserve">(5 September 2017).  Though British grumbling continued for another while yet, e.g. David Davis, </w:t>
      </w:r>
      <w:r w:rsidRPr="00F979D1">
        <w:rPr>
          <w:rFonts w:ascii="Times New Roman" w:hAnsi="Times New Roman" w:cs="Times New Roman"/>
          <w:i/>
          <w:sz w:val="20"/>
          <w:szCs w:val="20"/>
        </w:rPr>
        <w:t xml:space="preserve">Update to the House of Commons </w:t>
      </w:r>
      <w:r w:rsidRPr="00F979D1">
        <w:rPr>
          <w:rFonts w:ascii="Times New Roman" w:hAnsi="Times New Roman" w:cs="Times New Roman"/>
          <w:sz w:val="20"/>
          <w:szCs w:val="20"/>
        </w:rPr>
        <w:t>(17 October 2017).</w:t>
      </w:r>
    </w:p>
  </w:footnote>
  <w:footnote w:id="90">
    <w:p w14:paraId="1BBE1C03" w14:textId="6A780EF6" w:rsidR="00FD11BB" w:rsidRPr="00F979D1" w:rsidRDefault="00FD11BB" w:rsidP="00F979D1">
      <w:pPr>
        <w:jc w:val="both"/>
        <w:rPr>
          <w:rFonts w:ascii="Times New Roman" w:eastAsia="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In French: “</w:t>
      </w:r>
      <w:r w:rsidRPr="00F979D1">
        <w:rPr>
          <w:rFonts w:ascii="Times New Roman" w:eastAsia="Times New Roman" w:hAnsi="Times New Roman" w:cs="Times New Roman"/>
          <w:sz w:val="20"/>
          <w:szCs w:val="20"/>
        </w:rPr>
        <w:t xml:space="preserve">en tenant </w:t>
      </w:r>
      <w:proofErr w:type="spellStart"/>
      <w:r w:rsidRPr="00F979D1">
        <w:rPr>
          <w:rFonts w:ascii="Times New Roman" w:eastAsia="Times New Roman" w:hAnsi="Times New Roman" w:cs="Times New Roman"/>
          <w:sz w:val="20"/>
          <w:szCs w:val="20"/>
        </w:rPr>
        <w:t>compte</w:t>
      </w:r>
      <w:proofErr w:type="spellEnd"/>
      <w:r w:rsidRPr="00F979D1">
        <w:rPr>
          <w:rFonts w:ascii="Times New Roman" w:eastAsia="Times New Roman" w:hAnsi="Times New Roman" w:cs="Times New Roman"/>
          <w:sz w:val="20"/>
          <w:szCs w:val="20"/>
        </w:rPr>
        <w:t xml:space="preserve"> du cadre de </w:t>
      </w:r>
      <w:proofErr w:type="spellStart"/>
      <w:r w:rsidRPr="00F979D1">
        <w:rPr>
          <w:rFonts w:ascii="Times New Roman" w:eastAsia="Times New Roman" w:hAnsi="Times New Roman" w:cs="Times New Roman"/>
          <w:sz w:val="20"/>
          <w:szCs w:val="20"/>
        </w:rPr>
        <w:t>ses</w:t>
      </w:r>
      <w:proofErr w:type="spellEnd"/>
      <w:r w:rsidRPr="00F979D1">
        <w:rPr>
          <w:rFonts w:ascii="Times New Roman" w:eastAsia="Times New Roman" w:hAnsi="Times New Roman" w:cs="Times New Roman"/>
          <w:sz w:val="20"/>
          <w:szCs w:val="20"/>
        </w:rPr>
        <w:t xml:space="preserve"> relations futures avec </w:t>
      </w:r>
      <w:proofErr w:type="spellStart"/>
      <w:r w:rsidRPr="00F979D1">
        <w:rPr>
          <w:rFonts w:ascii="Times New Roman" w:eastAsia="Times New Roman" w:hAnsi="Times New Roman" w:cs="Times New Roman"/>
          <w:sz w:val="20"/>
          <w:szCs w:val="20"/>
        </w:rPr>
        <w:t>l’Union</w:t>
      </w:r>
      <w:proofErr w:type="spellEnd"/>
      <w:r w:rsidRPr="00F979D1">
        <w:rPr>
          <w:rFonts w:ascii="Times New Roman" w:eastAsia="Times New Roman" w:hAnsi="Times New Roman" w:cs="Times New Roman"/>
          <w:sz w:val="20"/>
          <w:szCs w:val="20"/>
        </w:rPr>
        <w:t>”.  Similarly, e.g. in Spanish: “</w:t>
      </w:r>
      <w:proofErr w:type="spellStart"/>
      <w:r w:rsidRPr="00F979D1">
        <w:rPr>
          <w:rFonts w:ascii="Times New Roman" w:eastAsia="Times New Roman" w:hAnsi="Times New Roman" w:cs="Times New Roman"/>
          <w:sz w:val="20"/>
          <w:szCs w:val="20"/>
        </w:rPr>
        <w:t>teniendo</w:t>
      </w:r>
      <w:proofErr w:type="spellEnd"/>
      <w:r w:rsidRPr="00F979D1">
        <w:rPr>
          <w:rFonts w:ascii="Times New Roman" w:eastAsia="Times New Roman" w:hAnsi="Times New Roman" w:cs="Times New Roman"/>
          <w:sz w:val="20"/>
          <w:szCs w:val="20"/>
        </w:rPr>
        <w:t xml:space="preserve"> en </w:t>
      </w:r>
      <w:proofErr w:type="spellStart"/>
      <w:r w:rsidRPr="00F979D1">
        <w:rPr>
          <w:rFonts w:ascii="Times New Roman" w:eastAsia="Times New Roman" w:hAnsi="Times New Roman" w:cs="Times New Roman"/>
          <w:sz w:val="20"/>
          <w:szCs w:val="20"/>
        </w:rPr>
        <w:t>cuenta</w:t>
      </w:r>
      <w:proofErr w:type="spellEnd"/>
      <w:r w:rsidRPr="00F979D1">
        <w:rPr>
          <w:rFonts w:ascii="Times New Roman" w:eastAsia="Times New Roman" w:hAnsi="Times New Roman" w:cs="Times New Roman"/>
          <w:sz w:val="20"/>
          <w:szCs w:val="20"/>
        </w:rPr>
        <w:t xml:space="preserve"> el </w:t>
      </w:r>
      <w:proofErr w:type="spellStart"/>
      <w:proofErr w:type="gramStart"/>
      <w:r w:rsidRPr="00F979D1">
        <w:rPr>
          <w:rFonts w:ascii="Times New Roman" w:eastAsia="Times New Roman" w:hAnsi="Times New Roman" w:cs="Times New Roman"/>
          <w:sz w:val="20"/>
          <w:szCs w:val="20"/>
        </w:rPr>
        <w:t>marco</w:t>
      </w:r>
      <w:proofErr w:type="spellEnd"/>
      <w:proofErr w:type="gramEnd"/>
      <w:r w:rsidRPr="00F979D1">
        <w:rPr>
          <w:rFonts w:ascii="Times New Roman" w:eastAsia="Times New Roman" w:hAnsi="Times New Roman" w:cs="Times New Roman"/>
          <w:sz w:val="20"/>
          <w:szCs w:val="20"/>
        </w:rPr>
        <w:t xml:space="preserve"> de sus </w:t>
      </w:r>
      <w:proofErr w:type="spellStart"/>
      <w:r w:rsidRPr="00F979D1">
        <w:rPr>
          <w:rFonts w:ascii="Times New Roman" w:eastAsia="Times New Roman" w:hAnsi="Times New Roman" w:cs="Times New Roman"/>
          <w:sz w:val="20"/>
          <w:szCs w:val="20"/>
        </w:rPr>
        <w:t>relaciones</w:t>
      </w:r>
      <w:proofErr w:type="spellEnd"/>
      <w:r w:rsidRPr="00F979D1">
        <w:rPr>
          <w:rFonts w:ascii="Times New Roman" w:eastAsia="Times New Roman" w:hAnsi="Times New Roman" w:cs="Times New Roman"/>
          <w:sz w:val="20"/>
          <w:szCs w:val="20"/>
        </w:rPr>
        <w:t xml:space="preserve"> </w:t>
      </w:r>
      <w:proofErr w:type="spellStart"/>
      <w:r w:rsidRPr="00F979D1">
        <w:rPr>
          <w:rFonts w:ascii="Times New Roman" w:eastAsia="Times New Roman" w:hAnsi="Times New Roman" w:cs="Times New Roman"/>
          <w:sz w:val="20"/>
          <w:szCs w:val="20"/>
        </w:rPr>
        <w:t>futuras</w:t>
      </w:r>
      <w:proofErr w:type="spellEnd"/>
      <w:r w:rsidRPr="00F979D1">
        <w:rPr>
          <w:rFonts w:ascii="Times New Roman" w:eastAsia="Times New Roman" w:hAnsi="Times New Roman" w:cs="Times New Roman"/>
          <w:sz w:val="20"/>
          <w:szCs w:val="20"/>
        </w:rPr>
        <w:t xml:space="preserve"> con la Unión”.</w:t>
      </w:r>
    </w:p>
  </w:footnote>
  <w:footnote w:id="91">
    <w:p w14:paraId="39E32536" w14:textId="763127B4"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In particular: the original proposals contained in CONV 648/03; their amended version in CONV 850/03; and their final version in OJ 2004, C 310.</w:t>
      </w:r>
    </w:p>
  </w:footnote>
  <w:footnote w:id="92">
    <w:p w14:paraId="5FC48A32" w14:textId="231DDB4D"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Section 2.1.1 (above).</w:t>
      </w:r>
      <w:proofErr w:type="gramEnd"/>
    </w:p>
  </w:footnote>
  <w:footnote w:id="93">
    <w:p w14:paraId="51A9B1DF" w14:textId="7F854C00"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lang w:val="en-US"/>
        </w:rPr>
        <w:t>E.g. Arts 216 and 218 TFEU.</w:t>
      </w:r>
      <w:proofErr w:type="gramEnd"/>
    </w:p>
  </w:footnote>
  <w:footnote w:id="94">
    <w:p w14:paraId="761987A8" w14:textId="5539D28B"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Subject to the explicit qualifications contained in Art 50(4) TEU.</w:t>
      </w:r>
    </w:p>
  </w:footnote>
  <w:footnote w:id="95">
    <w:p w14:paraId="0A0FB2F3" w14:textId="56CD1408"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The ruling in Case C-621/18, </w:t>
      </w:r>
      <w:r w:rsidRPr="00F979D1">
        <w:rPr>
          <w:rFonts w:ascii="Times New Roman" w:hAnsi="Times New Roman" w:cs="Times New Roman"/>
          <w:i/>
          <w:sz w:val="20"/>
          <w:szCs w:val="20"/>
          <w:lang w:val="en-US"/>
        </w:rPr>
        <w:t>Wightman</w:t>
      </w:r>
      <w:r w:rsidRPr="00F979D1">
        <w:rPr>
          <w:rFonts w:ascii="Times New Roman" w:hAnsi="Times New Roman" w:cs="Times New Roman"/>
          <w:sz w:val="20"/>
          <w:szCs w:val="20"/>
          <w:lang w:val="en-US"/>
        </w:rPr>
        <w:t>, stressing that the purpose of Art 50 TEU is to deliver an orderly withdrawal, is hardly a conscious judicial endorsement of the Council’s interpretation.</w:t>
      </w:r>
    </w:p>
  </w:footnote>
  <w:footnote w:id="96">
    <w:p w14:paraId="1A2EBB1C" w14:textId="03314A1C"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182 WA: the Protocols and Annexes shall form an integral part of the Agreement.  </w:t>
      </w:r>
    </w:p>
  </w:footnote>
  <w:footnote w:id="97">
    <w:p w14:paraId="688FE574" w14:textId="6984596B"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Part Five WA.</w:t>
      </w:r>
    </w:p>
  </w:footnote>
  <w:footnote w:id="98">
    <w:p w14:paraId="44439617" w14:textId="15675F46"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Part Three WA.</w:t>
      </w:r>
    </w:p>
  </w:footnote>
  <w:footnote w:id="99">
    <w:p w14:paraId="533DCDA7" w14:textId="4BC8EEAE"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Protocol relating to the Sovereign Base Areas of the United Kingdom of Great Britain and Northern Ireland in Cyprus (hereafter: Cyprus Protocol).</w:t>
      </w:r>
    </w:p>
  </w:footnote>
  <w:footnote w:id="100">
    <w:p w14:paraId="01F599C8" w14:textId="74324C76"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Protocol on Gibraltar.</w:t>
      </w:r>
      <w:proofErr w:type="gramEnd"/>
      <w:r w:rsidRPr="00F979D1">
        <w:rPr>
          <w:rFonts w:ascii="Times New Roman" w:hAnsi="Times New Roman" w:cs="Times New Roman"/>
          <w:sz w:val="20"/>
          <w:szCs w:val="20"/>
        </w:rPr>
        <w:t xml:space="preserve">  </w:t>
      </w:r>
    </w:p>
  </w:footnote>
  <w:footnote w:id="101">
    <w:p w14:paraId="600FCD2E" w14:textId="038ED620"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Council Decision of 22 May 2017, Annex, para 10.  </w:t>
      </w:r>
      <w:r w:rsidRPr="00F979D1">
        <w:rPr>
          <w:rFonts w:ascii="Times New Roman" w:hAnsi="Times New Roman" w:cs="Times New Roman"/>
          <w:sz w:val="20"/>
          <w:szCs w:val="20"/>
          <w:lang w:val="en-US"/>
        </w:rPr>
        <w:t xml:space="preserve">Further, e.g. </w:t>
      </w:r>
      <w:proofErr w:type="spellStart"/>
      <w:r w:rsidRPr="00F979D1">
        <w:rPr>
          <w:rFonts w:ascii="Times New Roman" w:hAnsi="Times New Roman" w:cs="Times New Roman"/>
          <w:sz w:val="20"/>
          <w:szCs w:val="20"/>
          <w:lang w:val="en-US"/>
        </w:rPr>
        <w:t>Mariani</w:t>
      </w:r>
      <w:proofErr w:type="spellEnd"/>
      <w:r w:rsidRPr="00F979D1">
        <w:rPr>
          <w:rFonts w:ascii="Times New Roman" w:hAnsi="Times New Roman" w:cs="Times New Roman"/>
          <w:sz w:val="20"/>
          <w:szCs w:val="20"/>
          <w:lang w:val="en-US"/>
        </w:rPr>
        <w:t xml:space="preserve">, “La protection des </w:t>
      </w:r>
      <w:proofErr w:type="spellStart"/>
      <w:r w:rsidRPr="00F979D1">
        <w:rPr>
          <w:rFonts w:ascii="Times New Roman" w:hAnsi="Times New Roman" w:cs="Times New Roman"/>
          <w:sz w:val="20"/>
          <w:szCs w:val="20"/>
          <w:lang w:val="en-US"/>
        </w:rPr>
        <w:t>citoyens</w:t>
      </w:r>
      <w:proofErr w:type="spellEnd"/>
      <w:r w:rsidRPr="00F979D1">
        <w:rPr>
          <w:rFonts w:ascii="Times New Roman" w:hAnsi="Times New Roman" w:cs="Times New Roman"/>
          <w:sz w:val="20"/>
          <w:szCs w:val="20"/>
          <w:lang w:val="en-US"/>
        </w:rPr>
        <w:t xml:space="preserve"> </w:t>
      </w:r>
      <w:proofErr w:type="gramStart"/>
      <w:r w:rsidRPr="00F979D1">
        <w:rPr>
          <w:rFonts w:ascii="Times New Roman" w:hAnsi="Times New Roman" w:cs="Times New Roman"/>
          <w:sz w:val="20"/>
          <w:szCs w:val="20"/>
          <w:lang w:val="en-US"/>
        </w:rPr>
        <w:t>et</w:t>
      </w:r>
      <w:proofErr w:type="gramEnd"/>
      <w:r w:rsidRPr="00F979D1">
        <w:rPr>
          <w:rFonts w:ascii="Times New Roman" w:hAnsi="Times New Roman" w:cs="Times New Roman"/>
          <w:sz w:val="20"/>
          <w:szCs w:val="20"/>
          <w:lang w:val="en-US"/>
        </w:rPr>
        <w:t xml:space="preserve"> des </w:t>
      </w:r>
      <w:proofErr w:type="spellStart"/>
      <w:r w:rsidRPr="00F979D1">
        <w:rPr>
          <w:rFonts w:ascii="Times New Roman" w:hAnsi="Times New Roman" w:cs="Times New Roman"/>
          <w:sz w:val="20"/>
          <w:szCs w:val="20"/>
          <w:lang w:val="en-US"/>
        </w:rPr>
        <w:t>opérateurs</w:t>
      </w:r>
      <w:proofErr w:type="spellEnd"/>
      <w:r w:rsidRPr="00F979D1">
        <w:rPr>
          <w:rFonts w:ascii="Times New Roman" w:hAnsi="Times New Roman" w:cs="Times New Roman"/>
          <w:sz w:val="20"/>
          <w:szCs w:val="20"/>
          <w:lang w:val="en-US"/>
        </w:rPr>
        <w:t xml:space="preserve"> </w:t>
      </w:r>
      <w:proofErr w:type="spellStart"/>
      <w:r w:rsidRPr="00F979D1">
        <w:rPr>
          <w:rFonts w:ascii="Times New Roman" w:hAnsi="Times New Roman" w:cs="Times New Roman"/>
          <w:sz w:val="20"/>
          <w:szCs w:val="20"/>
          <w:lang w:val="en-US"/>
        </w:rPr>
        <w:t>économiques</w:t>
      </w:r>
      <w:proofErr w:type="spellEnd"/>
      <w:r w:rsidRPr="00F979D1">
        <w:rPr>
          <w:rFonts w:ascii="Times New Roman" w:hAnsi="Times New Roman" w:cs="Times New Roman"/>
          <w:sz w:val="20"/>
          <w:szCs w:val="20"/>
          <w:lang w:val="en-US"/>
        </w:rPr>
        <w:t xml:space="preserve"> à la suite de la sortie du </w:t>
      </w:r>
      <w:proofErr w:type="spellStart"/>
      <w:r w:rsidRPr="00F979D1">
        <w:rPr>
          <w:rFonts w:ascii="Times New Roman" w:hAnsi="Times New Roman" w:cs="Times New Roman"/>
          <w:sz w:val="20"/>
          <w:szCs w:val="20"/>
          <w:lang w:val="en-US"/>
        </w:rPr>
        <w:t>Royaume</w:t>
      </w:r>
      <w:proofErr w:type="spellEnd"/>
      <w:r w:rsidRPr="00F979D1">
        <w:rPr>
          <w:rFonts w:ascii="Times New Roman" w:hAnsi="Times New Roman" w:cs="Times New Roman"/>
          <w:sz w:val="20"/>
          <w:szCs w:val="20"/>
          <w:lang w:val="en-US"/>
        </w:rPr>
        <w:t xml:space="preserve"> </w:t>
      </w:r>
      <w:proofErr w:type="spellStart"/>
      <w:r w:rsidRPr="00F979D1">
        <w:rPr>
          <w:rFonts w:ascii="Times New Roman" w:hAnsi="Times New Roman" w:cs="Times New Roman"/>
          <w:sz w:val="20"/>
          <w:szCs w:val="20"/>
          <w:lang w:val="en-US"/>
        </w:rPr>
        <w:t>Uni</w:t>
      </w:r>
      <w:proofErr w:type="spellEnd"/>
      <w:r w:rsidRPr="00F979D1">
        <w:rPr>
          <w:rFonts w:ascii="Times New Roman" w:hAnsi="Times New Roman" w:cs="Times New Roman"/>
          <w:sz w:val="20"/>
          <w:szCs w:val="20"/>
          <w:lang w:val="en-US"/>
        </w:rPr>
        <w:t xml:space="preserve"> de </w:t>
      </w:r>
      <w:proofErr w:type="spellStart"/>
      <w:r w:rsidRPr="00F979D1">
        <w:rPr>
          <w:rFonts w:ascii="Times New Roman" w:hAnsi="Times New Roman" w:cs="Times New Roman"/>
          <w:sz w:val="20"/>
          <w:szCs w:val="20"/>
          <w:lang w:val="en-US"/>
        </w:rPr>
        <w:t>l’Union</w:t>
      </w:r>
      <w:proofErr w:type="spellEnd"/>
      <w:r w:rsidRPr="00F979D1">
        <w:rPr>
          <w:rFonts w:ascii="Times New Roman" w:hAnsi="Times New Roman" w:cs="Times New Roman"/>
          <w:sz w:val="20"/>
          <w:szCs w:val="20"/>
          <w:lang w:val="en-US"/>
        </w:rPr>
        <w:t xml:space="preserve"> </w:t>
      </w:r>
      <w:proofErr w:type="spellStart"/>
      <w:r w:rsidRPr="00F979D1">
        <w:rPr>
          <w:rFonts w:ascii="Times New Roman" w:hAnsi="Times New Roman" w:cs="Times New Roman"/>
          <w:sz w:val="20"/>
          <w:szCs w:val="20"/>
          <w:lang w:val="en-US"/>
        </w:rPr>
        <w:t>européenne</w:t>
      </w:r>
      <w:proofErr w:type="spellEnd"/>
      <w:r w:rsidRPr="00F979D1">
        <w:rPr>
          <w:rFonts w:ascii="Times New Roman" w:hAnsi="Times New Roman" w:cs="Times New Roman"/>
          <w:sz w:val="20"/>
          <w:szCs w:val="20"/>
          <w:lang w:val="en-US"/>
        </w:rPr>
        <w:t xml:space="preserve">: Régimes </w:t>
      </w:r>
      <w:proofErr w:type="spellStart"/>
      <w:r w:rsidRPr="00F979D1">
        <w:rPr>
          <w:rFonts w:ascii="Times New Roman" w:hAnsi="Times New Roman" w:cs="Times New Roman"/>
          <w:sz w:val="20"/>
          <w:szCs w:val="20"/>
          <w:lang w:val="en-US"/>
        </w:rPr>
        <w:t>transitoires</w:t>
      </w:r>
      <w:proofErr w:type="spellEnd"/>
      <w:r w:rsidRPr="00F979D1">
        <w:rPr>
          <w:rFonts w:ascii="Times New Roman" w:hAnsi="Times New Roman" w:cs="Times New Roman"/>
          <w:sz w:val="20"/>
          <w:szCs w:val="20"/>
          <w:lang w:val="en-US"/>
        </w:rPr>
        <w:t xml:space="preserve"> et </w:t>
      </w:r>
      <w:proofErr w:type="spellStart"/>
      <w:r w:rsidRPr="00F979D1">
        <w:rPr>
          <w:rFonts w:ascii="Times New Roman" w:hAnsi="Times New Roman" w:cs="Times New Roman"/>
          <w:sz w:val="20"/>
          <w:szCs w:val="20"/>
          <w:lang w:val="en-US"/>
        </w:rPr>
        <w:t>droits</w:t>
      </w:r>
      <w:proofErr w:type="spellEnd"/>
      <w:r w:rsidRPr="00F979D1">
        <w:rPr>
          <w:rFonts w:ascii="Times New Roman" w:hAnsi="Times New Roman" w:cs="Times New Roman"/>
          <w:sz w:val="20"/>
          <w:szCs w:val="20"/>
          <w:lang w:val="en-US"/>
        </w:rPr>
        <w:t xml:space="preserve"> </w:t>
      </w:r>
      <w:proofErr w:type="spellStart"/>
      <w:r w:rsidRPr="00F979D1">
        <w:rPr>
          <w:rFonts w:ascii="Times New Roman" w:hAnsi="Times New Roman" w:cs="Times New Roman"/>
          <w:sz w:val="20"/>
          <w:szCs w:val="20"/>
          <w:lang w:val="en-US"/>
        </w:rPr>
        <w:t>acquis</w:t>
      </w:r>
      <w:proofErr w:type="spellEnd"/>
      <w:r w:rsidRPr="00F979D1">
        <w:rPr>
          <w:rFonts w:ascii="Times New Roman" w:hAnsi="Times New Roman" w:cs="Times New Roman"/>
          <w:sz w:val="20"/>
          <w:szCs w:val="20"/>
          <w:lang w:val="en-US"/>
        </w:rPr>
        <w:t xml:space="preserve">”, 123 </w:t>
      </w:r>
      <w:r w:rsidRPr="00F979D1">
        <w:rPr>
          <w:rFonts w:ascii="Times New Roman" w:hAnsi="Times New Roman" w:cs="Times New Roman"/>
          <w:i/>
          <w:sz w:val="20"/>
          <w:szCs w:val="20"/>
          <w:lang w:val="en-US"/>
        </w:rPr>
        <w:t xml:space="preserve">Revue </w:t>
      </w:r>
      <w:proofErr w:type="spellStart"/>
      <w:r w:rsidRPr="00F979D1">
        <w:rPr>
          <w:rFonts w:ascii="Times New Roman" w:hAnsi="Times New Roman" w:cs="Times New Roman"/>
          <w:i/>
          <w:sz w:val="20"/>
          <w:szCs w:val="20"/>
          <w:lang w:val="en-US"/>
        </w:rPr>
        <w:t>Générale</w:t>
      </w:r>
      <w:proofErr w:type="spellEnd"/>
      <w:r w:rsidRPr="00F979D1">
        <w:rPr>
          <w:rFonts w:ascii="Times New Roman" w:hAnsi="Times New Roman" w:cs="Times New Roman"/>
          <w:i/>
          <w:sz w:val="20"/>
          <w:szCs w:val="20"/>
          <w:lang w:val="en-US"/>
        </w:rPr>
        <w:t xml:space="preserve"> de </w:t>
      </w:r>
      <w:proofErr w:type="spellStart"/>
      <w:r w:rsidRPr="00F979D1">
        <w:rPr>
          <w:rFonts w:ascii="Times New Roman" w:hAnsi="Times New Roman" w:cs="Times New Roman"/>
          <w:i/>
          <w:sz w:val="20"/>
          <w:szCs w:val="20"/>
          <w:lang w:val="en-US"/>
        </w:rPr>
        <w:t>Droit</w:t>
      </w:r>
      <w:proofErr w:type="spellEnd"/>
      <w:r w:rsidRPr="00F979D1">
        <w:rPr>
          <w:rFonts w:ascii="Times New Roman" w:hAnsi="Times New Roman" w:cs="Times New Roman"/>
          <w:i/>
          <w:sz w:val="20"/>
          <w:szCs w:val="20"/>
          <w:lang w:val="en-US"/>
        </w:rPr>
        <w:t xml:space="preserve"> International Public</w:t>
      </w:r>
      <w:r w:rsidRPr="00F979D1">
        <w:rPr>
          <w:rFonts w:ascii="Times New Roman" w:hAnsi="Times New Roman" w:cs="Times New Roman"/>
          <w:sz w:val="20"/>
          <w:szCs w:val="20"/>
          <w:lang w:val="en-US"/>
        </w:rPr>
        <w:t xml:space="preserve"> (2019), 653.   </w:t>
      </w:r>
    </w:p>
  </w:footnote>
  <w:footnote w:id="102">
    <w:p w14:paraId="366E032D" w14:textId="74470AA5"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E.g. Joint Letter from the Union and the UK to other WTO members (11 October 2017).  Further, e.g. Messenger, “Membership of the World Trade Organization” in Dougan (</w:t>
      </w:r>
      <w:proofErr w:type="spellStart"/>
      <w:r w:rsidRPr="00F979D1">
        <w:rPr>
          <w:rFonts w:ascii="Times New Roman" w:hAnsi="Times New Roman" w:cs="Times New Roman"/>
          <w:sz w:val="20"/>
          <w:szCs w:val="20"/>
          <w:lang w:val="en-US"/>
        </w:rPr>
        <w:t>ed</w:t>
      </w:r>
      <w:proofErr w:type="spellEnd"/>
      <w:r w:rsidRPr="00F979D1">
        <w:rPr>
          <w:rFonts w:ascii="Times New Roman" w:hAnsi="Times New Roman" w:cs="Times New Roman"/>
          <w:sz w:val="20"/>
          <w:szCs w:val="20"/>
          <w:lang w:val="en-US"/>
        </w:rPr>
        <w:t xml:space="preserve">), </w:t>
      </w:r>
      <w:r w:rsidRPr="00F979D1">
        <w:rPr>
          <w:rFonts w:ascii="Times New Roman" w:hAnsi="Times New Roman" w:cs="Times New Roman"/>
          <w:i/>
          <w:sz w:val="20"/>
          <w:szCs w:val="20"/>
          <w:lang w:val="en-US"/>
        </w:rPr>
        <w:t xml:space="preserve">The UK After </w:t>
      </w:r>
      <w:proofErr w:type="spellStart"/>
      <w:r w:rsidRPr="00F979D1">
        <w:rPr>
          <w:rFonts w:ascii="Times New Roman" w:hAnsi="Times New Roman" w:cs="Times New Roman"/>
          <w:i/>
          <w:sz w:val="20"/>
          <w:szCs w:val="20"/>
          <w:lang w:val="en-US"/>
        </w:rPr>
        <w:t>Brexit</w:t>
      </w:r>
      <w:proofErr w:type="spellEnd"/>
      <w:r w:rsidRPr="00F979D1">
        <w:rPr>
          <w:rFonts w:ascii="Times New Roman" w:hAnsi="Times New Roman" w:cs="Times New Roman"/>
          <w:i/>
          <w:sz w:val="20"/>
          <w:szCs w:val="20"/>
          <w:lang w:val="en-US"/>
        </w:rPr>
        <w:t xml:space="preserve">: Legal and Policy Challenges </w:t>
      </w:r>
      <w:r w:rsidRPr="00F979D1">
        <w:rPr>
          <w:rFonts w:ascii="Times New Roman" w:hAnsi="Times New Roman" w:cs="Times New Roman"/>
          <w:sz w:val="20"/>
          <w:szCs w:val="20"/>
          <w:lang w:val="en-US"/>
        </w:rPr>
        <w:t>(</w:t>
      </w:r>
      <w:proofErr w:type="spellStart"/>
      <w:r w:rsidRPr="00F979D1">
        <w:rPr>
          <w:rFonts w:ascii="Times New Roman" w:hAnsi="Times New Roman" w:cs="Times New Roman"/>
          <w:sz w:val="20"/>
          <w:szCs w:val="20"/>
          <w:lang w:val="en-US"/>
        </w:rPr>
        <w:t>Intersentia</w:t>
      </w:r>
      <w:proofErr w:type="spellEnd"/>
      <w:r w:rsidRPr="00F979D1">
        <w:rPr>
          <w:rFonts w:ascii="Times New Roman" w:hAnsi="Times New Roman" w:cs="Times New Roman"/>
          <w:sz w:val="20"/>
          <w:szCs w:val="20"/>
          <w:lang w:val="en-US"/>
        </w:rPr>
        <w:t xml:space="preserve">, 2017).  </w:t>
      </w:r>
    </w:p>
  </w:footnote>
  <w:footnote w:id="103">
    <w:p w14:paraId="1E9F09C0" w14:textId="14B32E0D"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also Annex VIII on the Rules of Procedure of the Joint Committee and Specialised Committees.  Note sections 15B-15C </w:t>
      </w:r>
      <w:proofErr w:type="gramStart"/>
      <w:r w:rsidRPr="00F979D1">
        <w:rPr>
          <w:rFonts w:ascii="Times New Roman" w:hAnsi="Times New Roman" w:cs="Times New Roman"/>
          <w:sz w:val="20"/>
          <w:szCs w:val="20"/>
        </w:rPr>
        <w:t>EU(</w:t>
      </w:r>
      <w:proofErr w:type="gramEnd"/>
      <w:r w:rsidRPr="00F979D1">
        <w:rPr>
          <w:rFonts w:ascii="Times New Roman" w:hAnsi="Times New Roman" w:cs="Times New Roman"/>
          <w:sz w:val="20"/>
          <w:szCs w:val="20"/>
        </w:rPr>
        <w:t xml:space="preserve">W)A 2018 (as amended).  </w:t>
      </w:r>
    </w:p>
  </w:footnote>
  <w:footnote w:id="104">
    <w:p w14:paraId="62841057" w14:textId="0BC5EF95"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164 </w:t>
      </w:r>
      <w:proofErr w:type="gramStart"/>
      <w:r w:rsidRPr="00F979D1">
        <w:rPr>
          <w:rFonts w:ascii="Times New Roman" w:hAnsi="Times New Roman" w:cs="Times New Roman"/>
          <w:sz w:val="20"/>
          <w:szCs w:val="20"/>
        </w:rPr>
        <w:t>WA.</w:t>
      </w:r>
      <w:proofErr w:type="gramEnd"/>
    </w:p>
  </w:footnote>
  <w:footnote w:id="105">
    <w:p w14:paraId="0A45CFF9" w14:textId="58A3F66C"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166 </w:t>
      </w:r>
      <w:proofErr w:type="gramStart"/>
      <w:r w:rsidRPr="00F979D1">
        <w:rPr>
          <w:rFonts w:ascii="Times New Roman" w:hAnsi="Times New Roman" w:cs="Times New Roman"/>
          <w:sz w:val="20"/>
          <w:szCs w:val="20"/>
        </w:rPr>
        <w:t>WA.</w:t>
      </w:r>
      <w:proofErr w:type="gramEnd"/>
    </w:p>
  </w:footnote>
  <w:footnote w:id="106">
    <w:p w14:paraId="696B4BC1" w14:textId="69436D48"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E.g. Art 36(4) WA (cross-border social security coordination); Art 172 WA (dispute settlement rules of procedure); Art 181 WA (arbitration panel code of conduct); Art 10(1) Cyprus Protocol (references to Union law in the Protocol).</w:t>
      </w:r>
      <w:proofErr w:type="gramEnd"/>
    </w:p>
  </w:footnote>
  <w:footnote w:id="107">
    <w:p w14:paraId="5BD892FE" w14:textId="09C82F25"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Though not in relation to Parts One, Four and Six; only for four years after the end of the transition period; and provided such decisions do not amend essential elements of the Agreement.  </w:t>
      </w:r>
    </w:p>
  </w:footnote>
  <w:footnote w:id="108">
    <w:p w14:paraId="56DD4C79" w14:textId="1CB9CA11"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166 </w:t>
      </w:r>
      <w:proofErr w:type="gramStart"/>
      <w:r w:rsidRPr="00F979D1">
        <w:rPr>
          <w:rFonts w:ascii="Times New Roman" w:hAnsi="Times New Roman" w:cs="Times New Roman"/>
          <w:sz w:val="20"/>
          <w:szCs w:val="20"/>
        </w:rPr>
        <w:t>WA.</w:t>
      </w:r>
      <w:proofErr w:type="gramEnd"/>
    </w:p>
  </w:footnote>
  <w:footnote w:id="109">
    <w:p w14:paraId="6B011695" w14:textId="1A90015D"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Art 2(a) WA.</w:t>
      </w:r>
      <w:proofErr w:type="gramEnd"/>
      <w:r w:rsidRPr="00F979D1">
        <w:rPr>
          <w:rFonts w:ascii="Times New Roman" w:hAnsi="Times New Roman" w:cs="Times New Roman"/>
          <w:sz w:val="20"/>
          <w:szCs w:val="20"/>
        </w:rPr>
        <w:t xml:space="preserve">  Note also Art 7(2) WA: unless otherwise provided for in the Agreement, references to the Union include </w:t>
      </w:r>
      <w:proofErr w:type="spellStart"/>
      <w:r w:rsidRPr="00F979D1">
        <w:rPr>
          <w:rFonts w:ascii="Times New Roman" w:hAnsi="Times New Roman" w:cs="Times New Roman"/>
          <w:sz w:val="20"/>
          <w:szCs w:val="20"/>
        </w:rPr>
        <w:t>Euratom</w:t>
      </w:r>
      <w:proofErr w:type="spellEnd"/>
      <w:r w:rsidRPr="00F979D1">
        <w:rPr>
          <w:rFonts w:ascii="Times New Roman" w:hAnsi="Times New Roman" w:cs="Times New Roman"/>
          <w:sz w:val="20"/>
          <w:szCs w:val="20"/>
        </w:rPr>
        <w:t>.</w:t>
      </w:r>
    </w:p>
  </w:footnote>
  <w:footnote w:id="110">
    <w:p w14:paraId="29D22C2F" w14:textId="350E3D77"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Art 6 WA: except for Parts Four (transition) and Five (financial settlement); and unless otherwise provided for under the Agreement, e.g. in the Protocol on Ireland/Northern Ireland (see Section 3.4.4 (below)) and under the Cyprus Protocol (Art 1(4)).</w:t>
      </w:r>
      <w:proofErr w:type="gramEnd"/>
      <w:r w:rsidRPr="00F979D1">
        <w:rPr>
          <w:rFonts w:ascii="Times New Roman" w:hAnsi="Times New Roman" w:cs="Times New Roman"/>
          <w:sz w:val="20"/>
          <w:szCs w:val="20"/>
        </w:rPr>
        <w:t xml:space="preserve">  Note that various provisions also govern the potential incorporation into the Agreement of certain future amendments to Union instruments made applicable by the Agreement, e.g. in the Protocol on Ireland/Northern Ireland (see Section 3.4.4 (below)); and under Art 36 WA on future amendments to Union social security legislation (see Section 3.3.2 (below)).   </w:t>
      </w:r>
    </w:p>
  </w:footnote>
  <w:footnote w:id="111">
    <w:p w14:paraId="37601A04" w14:textId="47A6BBFF"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3 </w:t>
      </w:r>
      <w:proofErr w:type="gramStart"/>
      <w:r w:rsidRPr="00F979D1">
        <w:rPr>
          <w:rFonts w:ascii="Times New Roman" w:hAnsi="Times New Roman" w:cs="Times New Roman"/>
          <w:sz w:val="20"/>
          <w:szCs w:val="20"/>
        </w:rPr>
        <w:t>WA.</w:t>
      </w:r>
      <w:proofErr w:type="gramEnd"/>
    </w:p>
  </w:footnote>
  <w:footnote w:id="112">
    <w:p w14:paraId="428F3762" w14:textId="7042FA25"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185 </w:t>
      </w:r>
      <w:proofErr w:type="gramStart"/>
      <w:r w:rsidRPr="00F979D1">
        <w:rPr>
          <w:rFonts w:ascii="Times New Roman" w:hAnsi="Times New Roman" w:cs="Times New Roman"/>
          <w:sz w:val="20"/>
          <w:szCs w:val="20"/>
        </w:rPr>
        <w:t>WA.</w:t>
      </w:r>
      <w:proofErr w:type="gramEnd"/>
    </w:p>
  </w:footnote>
  <w:footnote w:id="113">
    <w:p w14:paraId="75041FCE" w14:textId="7DF03AC7"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See, e.g. Art 34(1) WA; Art 1(5) Cyprus Protocol; also Sections 3.2.1 and 3.4.4 (below).</w:t>
      </w:r>
    </w:p>
  </w:footnote>
  <w:footnote w:id="114">
    <w:p w14:paraId="31B51E10" w14:textId="0ED592D7"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However, see Section 3.1.3 (below) on internal legal effects of the Agreement, particularly for the UK</w:t>
      </w:r>
      <w:r>
        <w:rPr>
          <w:rFonts w:ascii="Times New Roman" w:hAnsi="Times New Roman" w:cs="Times New Roman"/>
          <w:sz w:val="20"/>
          <w:szCs w:val="20"/>
        </w:rPr>
        <w:t>’s</w:t>
      </w:r>
      <w:r w:rsidRPr="00F979D1">
        <w:rPr>
          <w:rFonts w:ascii="Times New Roman" w:hAnsi="Times New Roman" w:cs="Times New Roman"/>
          <w:sz w:val="20"/>
          <w:szCs w:val="20"/>
        </w:rPr>
        <w:t xml:space="preserve"> judicial and administrative authorities.  Note also that the Agreement contains certain specific provisions on dynamic interpretation in accordance with evolving CJEU </w:t>
      </w:r>
      <w:proofErr w:type="spellStart"/>
      <w:r w:rsidRPr="00F979D1">
        <w:rPr>
          <w:rFonts w:ascii="Times New Roman" w:hAnsi="Times New Roman" w:cs="Times New Roman"/>
          <w:sz w:val="20"/>
          <w:szCs w:val="20"/>
        </w:rPr>
        <w:t>caselaw</w:t>
      </w:r>
      <w:proofErr w:type="spellEnd"/>
      <w:r w:rsidRPr="00F979D1">
        <w:rPr>
          <w:rFonts w:ascii="Times New Roman" w:hAnsi="Times New Roman" w:cs="Times New Roman"/>
          <w:sz w:val="20"/>
          <w:szCs w:val="20"/>
        </w:rPr>
        <w:t>, e.g. Art 13(2) Protocol on Ireland/Northern Ireland (hereafter: PINI)</w:t>
      </w:r>
      <w:proofErr w:type="gramStart"/>
      <w:r w:rsidRPr="00F979D1">
        <w:rPr>
          <w:rFonts w:ascii="Times New Roman" w:hAnsi="Times New Roman" w:cs="Times New Roman"/>
          <w:sz w:val="20"/>
          <w:szCs w:val="20"/>
        </w:rPr>
        <w:t>;</w:t>
      </w:r>
      <w:proofErr w:type="gramEnd"/>
      <w:r w:rsidRPr="00F979D1">
        <w:rPr>
          <w:rFonts w:ascii="Times New Roman" w:hAnsi="Times New Roman" w:cs="Times New Roman"/>
          <w:sz w:val="20"/>
          <w:szCs w:val="20"/>
        </w:rPr>
        <w:t xml:space="preserve"> Art 1(2) Cyprus Protocol.  </w:t>
      </w:r>
    </w:p>
  </w:footnote>
  <w:footnote w:id="115">
    <w:p w14:paraId="320F17E3" w14:textId="1C53872A"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168 </w:t>
      </w:r>
      <w:proofErr w:type="gramStart"/>
      <w:r w:rsidRPr="00F979D1">
        <w:rPr>
          <w:rFonts w:ascii="Times New Roman" w:hAnsi="Times New Roman" w:cs="Times New Roman"/>
          <w:sz w:val="20"/>
          <w:szCs w:val="20"/>
        </w:rPr>
        <w:t>WA.</w:t>
      </w:r>
      <w:proofErr w:type="gramEnd"/>
    </w:p>
  </w:footnote>
  <w:footnote w:id="116">
    <w:p w14:paraId="414623E5" w14:textId="61F072C5"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w:t>
      </w:r>
      <w:r w:rsidRPr="00F979D1">
        <w:rPr>
          <w:rFonts w:ascii="Times New Roman" w:hAnsi="Times New Roman" w:cs="Times New Roman"/>
          <w:sz w:val="20"/>
          <w:szCs w:val="20"/>
          <w:lang w:val="en-US"/>
        </w:rPr>
        <w:t xml:space="preserve">Commission, </w:t>
      </w:r>
      <w:r w:rsidRPr="00F979D1">
        <w:rPr>
          <w:rFonts w:ascii="Times New Roman" w:hAnsi="Times New Roman" w:cs="Times New Roman"/>
          <w:i/>
          <w:sz w:val="20"/>
          <w:szCs w:val="20"/>
          <w:lang w:val="en-US"/>
        </w:rPr>
        <w:t>Position Paper on Governance</w:t>
      </w:r>
      <w:r w:rsidRPr="00F979D1">
        <w:rPr>
          <w:rFonts w:ascii="Times New Roman" w:hAnsi="Times New Roman" w:cs="Times New Roman"/>
          <w:sz w:val="20"/>
          <w:szCs w:val="20"/>
          <w:lang w:val="en-US"/>
        </w:rPr>
        <w:t xml:space="preserve"> (12 July 2017).  </w:t>
      </w:r>
    </w:p>
  </w:footnote>
  <w:footnote w:id="117">
    <w:p w14:paraId="3ADBD585" w14:textId="77777777"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w:t>
      </w:r>
      <w:r w:rsidRPr="00F979D1">
        <w:rPr>
          <w:rFonts w:ascii="Times New Roman" w:hAnsi="Times New Roman" w:cs="Times New Roman"/>
          <w:sz w:val="20"/>
          <w:szCs w:val="20"/>
          <w:lang w:val="en-US"/>
        </w:rPr>
        <w:t xml:space="preserve">UK, </w:t>
      </w:r>
      <w:r w:rsidRPr="00F979D1">
        <w:rPr>
          <w:rFonts w:ascii="Times New Roman" w:hAnsi="Times New Roman" w:cs="Times New Roman"/>
          <w:i/>
          <w:sz w:val="20"/>
          <w:szCs w:val="20"/>
          <w:lang w:val="en-US"/>
        </w:rPr>
        <w:t>Technical Note on Implementing the Withdrawal Agreement</w:t>
      </w:r>
      <w:r w:rsidRPr="00F979D1">
        <w:rPr>
          <w:rFonts w:ascii="Times New Roman" w:hAnsi="Times New Roman" w:cs="Times New Roman"/>
          <w:sz w:val="20"/>
          <w:szCs w:val="20"/>
          <w:lang w:val="en-US"/>
        </w:rPr>
        <w:t xml:space="preserve"> (13 July 2017).  Also: </w:t>
      </w:r>
      <w:r w:rsidRPr="00B0195D">
        <w:rPr>
          <w:rFonts w:ascii="Times New Roman" w:hAnsi="Times New Roman" w:cs="Times New Roman"/>
          <w:sz w:val="20"/>
          <w:szCs w:val="20"/>
          <w:lang w:val="en-US"/>
        </w:rPr>
        <w:t>UK,</w:t>
      </w:r>
      <w:r w:rsidRPr="00F979D1">
        <w:rPr>
          <w:rFonts w:ascii="Times New Roman" w:hAnsi="Times New Roman" w:cs="Times New Roman"/>
          <w:i/>
          <w:sz w:val="20"/>
          <w:szCs w:val="20"/>
          <w:lang w:val="en-US"/>
        </w:rPr>
        <w:t xml:space="preserve"> Future Partnership Paper on Enforcement and Dispute Resolution</w:t>
      </w:r>
      <w:r w:rsidRPr="00F979D1">
        <w:rPr>
          <w:rFonts w:ascii="Times New Roman" w:hAnsi="Times New Roman" w:cs="Times New Roman"/>
          <w:sz w:val="20"/>
          <w:szCs w:val="20"/>
          <w:lang w:val="en-US"/>
        </w:rPr>
        <w:t xml:space="preserve"> (23 August 2017)</w:t>
      </w:r>
      <w:r w:rsidRPr="00F979D1">
        <w:rPr>
          <w:rFonts w:ascii="Times New Roman" w:hAnsi="Times New Roman" w:cs="Times New Roman"/>
          <w:sz w:val="20"/>
          <w:szCs w:val="20"/>
        </w:rPr>
        <w:t>.</w:t>
      </w:r>
    </w:p>
  </w:footnote>
  <w:footnote w:id="118">
    <w:p w14:paraId="1E9B142E" w14:textId="690DB959"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Though note certain special provisions on enforcement, e.g. CJEU enforcement proceedings against the UK as</w:t>
      </w:r>
      <w:r>
        <w:rPr>
          <w:rFonts w:ascii="Times New Roman" w:hAnsi="Times New Roman" w:cs="Times New Roman"/>
          <w:sz w:val="20"/>
          <w:szCs w:val="20"/>
        </w:rPr>
        <w:t xml:space="preserve"> regards elements of Part Five: Arts 160 and 161 WA</w:t>
      </w:r>
      <w:r w:rsidRPr="00F979D1">
        <w:rPr>
          <w:rFonts w:ascii="Times New Roman" w:hAnsi="Times New Roman" w:cs="Times New Roman"/>
          <w:sz w:val="20"/>
          <w:szCs w:val="20"/>
        </w:rPr>
        <w:t>.</w:t>
      </w:r>
    </w:p>
  </w:footnote>
  <w:footnote w:id="119">
    <w:p w14:paraId="3E61D96A" w14:textId="1D0D2EE7"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E.g. </w:t>
      </w:r>
      <w:r w:rsidRPr="00F979D1">
        <w:rPr>
          <w:rFonts w:ascii="Times New Roman" w:hAnsi="Times New Roman" w:cs="Times New Roman"/>
          <w:sz w:val="20"/>
          <w:szCs w:val="20"/>
          <w:lang w:val="en-US"/>
        </w:rPr>
        <w:t>Opinion 1/91, C</w:t>
      </w:r>
      <w:proofErr w:type="gramStart"/>
      <w:r w:rsidRPr="00F979D1">
        <w:rPr>
          <w:rFonts w:ascii="Times New Roman" w:hAnsi="Times New Roman" w:cs="Times New Roman"/>
          <w:sz w:val="20"/>
          <w:szCs w:val="20"/>
          <w:lang w:val="en-US"/>
        </w:rPr>
        <w:t>:1991:490</w:t>
      </w:r>
      <w:proofErr w:type="gramEnd"/>
      <w:r w:rsidRPr="00F979D1">
        <w:rPr>
          <w:rFonts w:ascii="Times New Roman" w:hAnsi="Times New Roman" w:cs="Times New Roman"/>
          <w:sz w:val="20"/>
          <w:szCs w:val="20"/>
          <w:lang w:val="en-US"/>
        </w:rPr>
        <w:t xml:space="preserve">; Opinion 1/92, C:1992:189; Opinion 1/00, C:2002:231; Cases C-402/05 &amp; C-415/05, </w:t>
      </w:r>
      <w:proofErr w:type="spellStart"/>
      <w:r w:rsidRPr="00F979D1">
        <w:rPr>
          <w:rFonts w:ascii="Times New Roman" w:hAnsi="Times New Roman" w:cs="Times New Roman"/>
          <w:i/>
          <w:sz w:val="20"/>
          <w:szCs w:val="20"/>
          <w:lang w:val="en-US"/>
        </w:rPr>
        <w:t>Kadi</w:t>
      </w:r>
      <w:proofErr w:type="spellEnd"/>
      <w:r w:rsidRPr="00F979D1">
        <w:rPr>
          <w:rFonts w:ascii="Times New Roman" w:hAnsi="Times New Roman" w:cs="Times New Roman"/>
          <w:i/>
          <w:sz w:val="20"/>
          <w:szCs w:val="20"/>
          <w:lang w:val="en-US"/>
        </w:rPr>
        <w:t>,</w:t>
      </w:r>
      <w:r w:rsidRPr="00F979D1">
        <w:rPr>
          <w:rFonts w:ascii="Times New Roman" w:hAnsi="Times New Roman" w:cs="Times New Roman"/>
          <w:sz w:val="20"/>
          <w:szCs w:val="20"/>
          <w:lang w:val="en-US"/>
        </w:rPr>
        <w:t xml:space="preserve"> C:2008:461; Opinion 1/09, C:2011:123; Opinion 2/13, C:2014:2454; Opinion 1/17, C:2019:341.</w:t>
      </w:r>
    </w:p>
  </w:footnote>
  <w:footnote w:id="120">
    <w:p w14:paraId="46117F55" w14:textId="11387034"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Art 185 WA on the entry into force of the post-transition dispute settlement mechanism.  Note other provisions governing continuation of CJEU jurisdiction even post-transition: e.g. Title X, Part Three on winding up ongoing procedures; Art 158 WA on citizens’ rights; Art 160 WA on the financial settlement; Art 13(1) PINI on Irish border arrangements; Art 12 Cyprus Protocol on UK Sovereign Base Area arrangements.  For disputes arising during the transition period, see Section 3.2.1 (below).  </w:t>
      </w:r>
    </w:p>
  </w:footnote>
  <w:footnote w:id="121">
    <w:p w14:paraId="1E19ABD9" w14:textId="3E06C963"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169 </w:t>
      </w:r>
      <w:proofErr w:type="gramStart"/>
      <w:r w:rsidRPr="00F979D1">
        <w:rPr>
          <w:rFonts w:ascii="Times New Roman" w:hAnsi="Times New Roman" w:cs="Times New Roman"/>
          <w:sz w:val="20"/>
          <w:szCs w:val="20"/>
        </w:rPr>
        <w:t>WA.</w:t>
      </w:r>
      <w:proofErr w:type="gramEnd"/>
    </w:p>
  </w:footnote>
  <w:footnote w:id="122">
    <w:p w14:paraId="1B3479E8" w14:textId="3D041379"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170 </w:t>
      </w:r>
      <w:proofErr w:type="gramStart"/>
      <w:r w:rsidRPr="00F979D1">
        <w:rPr>
          <w:rFonts w:ascii="Times New Roman" w:hAnsi="Times New Roman" w:cs="Times New Roman"/>
          <w:sz w:val="20"/>
          <w:szCs w:val="20"/>
        </w:rPr>
        <w:t>WA.</w:t>
      </w:r>
      <w:proofErr w:type="gramEnd"/>
    </w:p>
  </w:footnote>
  <w:footnote w:id="123">
    <w:p w14:paraId="568D0C08" w14:textId="7D90172A"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Arts 171-173 WA.</w:t>
      </w:r>
      <w:proofErr w:type="gramEnd"/>
      <w:r w:rsidRPr="00F979D1">
        <w:rPr>
          <w:rFonts w:ascii="Times New Roman" w:hAnsi="Times New Roman" w:cs="Times New Roman"/>
          <w:sz w:val="20"/>
          <w:szCs w:val="20"/>
        </w:rPr>
        <w:t xml:space="preserve">  Note Art 181 WA on independence and immunity</w:t>
      </w:r>
      <w:r>
        <w:rPr>
          <w:rFonts w:ascii="Times New Roman" w:hAnsi="Times New Roman" w:cs="Times New Roman"/>
          <w:sz w:val="20"/>
          <w:szCs w:val="20"/>
        </w:rPr>
        <w:t>;</w:t>
      </w:r>
      <w:r w:rsidRPr="00F979D1">
        <w:rPr>
          <w:rFonts w:ascii="Times New Roman" w:hAnsi="Times New Roman" w:cs="Times New Roman"/>
          <w:sz w:val="20"/>
          <w:szCs w:val="20"/>
        </w:rPr>
        <w:t xml:space="preserve"> Annex IX on Rules of Procedure.</w:t>
      </w:r>
    </w:p>
  </w:footnote>
  <w:footnote w:id="124">
    <w:p w14:paraId="3D44ADE5" w14:textId="78CFFBB0"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Or a question about whether the UK has complied with its obligations under Art 89(2) WA.</w:t>
      </w:r>
      <w:proofErr w:type="gramEnd"/>
    </w:p>
  </w:footnote>
  <w:footnote w:id="125">
    <w:p w14:paraId="472FFC84" w14:textId="79D15123"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The relevant provisions of Art 161 WA shall apply.</w:t>
      </w:r>
    </w:p>
  </w:footnote>
  <w:footnote w:id="126">
    <w:p w14:paraId="5E3E7F61" w14:textId="422A53B4"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Note also Art 180 WA: the arbitration panel shall make every effort to decide by consensus but may act by majority (though without issuing dissenting opinions).  All rulings are binding on the EU and the UK and shall be made public (subject to the protection of confidential information).</w:t>
      </w:r>
    </w:p>
  </w:footnote>
  <w:footnote w:id="127">
    <w:p w14:paraId="11854273" w14:textId="0D107C0E"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176 WA contains detailed provisions on determining </w:t>
      </w:r>
      <w:r>
        <w:rPr>
          <w:rFonts w:ascii="Times New Roman" w:hAnsi="Times New Roman" w:cs="Times New Roman"/>
          <w:sz w:val="20"/>
          <w:szCs w:val="20"/>
        </w:rPr>
        <w:t>a “</w:t>
      </w:r>
      <w:r w:rsidRPr="00F979D1">
        <w:rPr>
          <w:rFonts w:ascii="Times New Roman" w:hAnsi="Times New Roman" w:cs="Times New Roman"/>
          <w:sz w:val="20"/>
          <w:szCs w:val="20"/>
        </w:rPr>
        <w:t>reasonable time</w:t>
      </w:r>
      <w:r>
        <w:rPr>
          <w:rFonts w:ascii="Times New Roman" w:hAnsi="Times New Roman" w:cs="Times New Roman"/>
          <w:sz w:val="20"/>
          <w:szCs w:val="20"/>
        </w:rPr>
        <w:t>”</w:t>
      </w:r>
      <w:r w:rsidRPr="00F979D1">
        <w:rPr>
          <w:rFonts w:ascii="Times New Roman" w:hAnsi="Times New Roman" w:cs="Times New Roman"/>
          <w:sz w:val="20"/>
          <w:szCs w:val="20"/>
        </w:rPr>
        <w:t xml:space="preserve"> for compliance.</w:t>
      </w:r>
    </w:p>
  </w:footnote>
  <w:footnote w:id="128">
    <w:p w14:paraId="7B6CCA8E" w14:textId="5CC44E4B"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177 </w:t>
      </w:r>
      <w:proofErr w:type="gramStart"/>
      <w:r w:rsidRPr="00F979D1">
        <w:rPr>
          <w:rFonts w:ascii="Times New Roman" w:hAnsi="Times New Roman" w:cs="Times New Roman"/>
          <w:sz w:val="20"/>
          <w:szCs w:val="20"/>
        </w:rPr>
        <w:t>WA.</w:t>
      </w:r>
      <w:proofErr w:type="gramEnd"/>
    </w:p>
  </w:footnote>
  <w:footnote w:id="129">
    <w:p w14:paraId="379DCB74" w14:textId="00E55DA3"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178 </w:t>
      </w:r>
      <w:proofErr w:type="gramStart"/>
      <w:r w:rsidRPr="00F979D1">
        <w:rPr>
          <w:rFonts w:ascii="Times New Roman" w:hAnsi="Times New Roman" w:cs="Times New Roman"/>
          <w:sz w:val="20"/>
          <w:szCs w:val="20"/>
        </w:rPr>
        <w:t>WA.</w:t>
      </w:r>
      <w:proofErr w:type="gramEnd"/>
    </w:p>
  </w:footnote>
  <w:footnote w:id="130">
    <w:p w14:paraId="2B23E247" w14:textId="64EF9652"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178 </w:t>
      </w:r>
      <w:proofErr w:type="gramStart"/>
      <w:r w:rsidRPr="00F979D1">
        <w:rPr>
          <w:rFonts w:ascii="Times New Roman" w:hAnsi="Times New Roman" w:cs="Times New Roman"/>
          <w:sz w:val="20"/>
          <w:szCs w:val="20"/>
        </w:rPr>
        <w:t>WA.</w:t>
      </w:r>
      <w:proofErr w:type="gramEnd"/>
      <w:r w:rsidRPr="00F979D1">
        <w:rPr>
          <w:rFonts w:ascii="Times New Roman" w:hAnsi="Times New Roman" w:cs="Times New Roman"/>
          <w:sz w:val="20"/>
          <w:szCs w:val="20"/>
        </w:rPr>
        <w:t xml:space="preserve">  If the respondent considers that the extent of suspension is not proportionate, it may request a temporary standstill pending another arbitration panel ruling.</w:t>
      </w:r>
    </w:p>
  </w:footnote>
  <w:footnote w:id="131">
    <w:p w14:paraId="7AF76B1A" w14:textId="5666AED0"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179 </w:t>
      </w:r>
      <w:proofErr w:type="gramStart"/>
      <w:r w:rsidRPr="00F979D1">
        <w:rPr>
          <w:rFonts w:ascii="Times New Roman" w:hAnsi="Times New Roman" w:cs="Times New Roman"/>
          <w:sz w:val="20"/>
          <w:szCs w:val="20"/>
        </w:rPr>
        <w:t>WA.</w:t>
      </w:r>
      <w:proofErr w:type="gramEnd"/>
    </w:p>
  </w:footnote>
  <w:footnote w:id="132">
    <w:p w14:paraId="64417FDD" w14:textId="024E817C"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Contrast, e.g. the sophisticated enforcement provisions of the EEA Agreement with the limited internal legal effects of the EU-Canada agreement.</w:t>
      </w:r>
      <w:proofErr w:type="gramEnd"/>
      <w:r w:rsidRPr="00F979D1">
        <w:rPr>
          <w:rFonts w:ascii="Times New Roman" w:hAnsi="Times New Roman" w:cs="Times New Roman"/>
          <w:sz w:val="20"/>
          <w:szCs w:val="20"/>
        </w:rPr>
        <w:t xml:space="preserve">  Sometimes the CJEU itself addresses asymmetries through </w:t>
      </w:r>
      <w:r>
        <w:rPr>
          <w:rFonts w:ascii="Times New Roman" w:hAnsi="Times New Roman" w:cs="Times New Roman"/>
          <w:sz w:val="20"/>
          <w:szCs w:val="20"/>
        </w:rPr>
        <w:t xml:space="preserve">the </w:t>
      </w:r>
      <w:r w:rsidRPr="00F979D1">
        <w:rPr>
          <w:rFonts w:ascii="Times New Roman" w:hAnsi="Times New Roman" w:cs="Times New Roman"/>
          <w:sz w:val="20"/>
          <w:szCs w:val="20"/>
        </w:rPr>
        <w:t>criteria for direct internal legal effects of particular international agreements</w:t>
      </w:r>
      <w:r>
        <w:rPr>
          <w:rFonts w:ascii="Times New Roman" w:hAnsi="Times New Roman" w:cs="Times New Roman"/>
          <w:sz w:val="20"/>
          <w:szCs w:val="20"/>
        </w:rPr>
        <w:t xml:space="preserve">, e.g. as with </w:t>
      </w:r>
      <w:r w:rsidRPr="00F979D1">
        <w:rPr>
          <w:rFonts w:ascii="Times New Roman" w:hAnsi="Times New Roman" w:cs="Times New Roman"/>
          <w:sz w:val="20"/>
          <w:szCs w:val="20"/>
        </w:rPr>
        <w:t xml:space="preserve">the WTO agreements </w:t>
      </w:r>
      <w:r>
        <w:rPr>
          <w:rFonts w:ascii="Times New Roman" w:hAnsi="Times New Roman" w:cs="Times New Roman"/>
          <w:sz w:val="20"/>
          <w:szCs w:val="20"/>
        </w:rPr>
        <w:t>(</w:t>
      </w:r>
      <w:r w:rsidRPr="00F979D1">
        <w:rPr>
          <w:rFonts w:ascii="Times New Roman" w:hAnsi="Times New Roman" w:cs="Times New Roman"/>
          <w:sz w:val="20"/>
          <w:szCs w:val="20"/>
        </w:rPr>
        <w:t xml:space="preserve">Case C-149/96, </w:t>
      </w:r>
      <w:r w:rsidRPr="00F979D1">
        <w:rPr>
          <w:rFonts w:ascii="Times New Roman" w:hAnsi="Times New Roman" w:cs="Times New Roman"/>
          <w:i/>
          <w:sz w:val="20"/>
          <w:szCs w:val="20"/>
        </w:rPr>
        <w:t xml:space="preserve">Portugal </w:t>
      </w:r>
      <w:r w:rsidRPr="00F979D1">
        <w:rPr>
          <w:rFonts w:ascii="Times New Roman" w:hAnsi="Times New Roman" w:cs="Times New Roman"/>
          <w:sz w:val="20"/>
          <w:szCs w:val="20"/>
        </w:rPr>
        <w:t>v</w:t>
      </w:r>
      <w:r w:rsidRPr="00F979D1">
        <w:rPr>
          <w:rFonts w:ascii="Times New Roman" w:hAnsi="Times New Roman" w:cs="Times New Roman"/>
          <w:i/>
          <w:sz w:val="20"/>
          <w:szCs w:val="20"/>
        </w:rPr>
        <w:t xml:space="preserve">. Council, </w:t>
      </w:r>
      <w:r w:rsidRPr="00F979D1">
        <w:rPr>
          <w:rFonts w:ascii="Times New Roman" w:hAnsi="Times New Roman" w:cs="Times New Roman"/>
          <w:sz w:val="20"/>
          <w:szCs w:val="20"/>
        </w:rPr>
        <w:t>C</w:t>
      </w:r>
      <w:proofErr w:type="gramStart"/>
      <w:r w:rsidRPr="00F979D1">
        <w:rPr>
          <w:rFonts w:ascii="Times New Roman" w:hAnsi="Times New Roman" w:cs="Times New Roman"/>
          <w:sz w:val="20"/>
          <w:szCs w:val="20"/>
        </w:rPr>
        <w:t>:1999:574</w:t>
      </w:r>
      <w:proofErr w:type="gramEnd"/>
      <w:r w:rsidRPr="00F979D1">
        <w:rPr>
          <w:rFonts w:ascii="Times New Roman" w:hAnsi="Times New Roman" w:cs="Times New Roman"/>
          <w:sz w:val="20"/>
          <w:szCs w:val="20"/>
        </w:rPr>
        <w:t xml:space="preserve">; Case C-377/02, </w:t>
      </w:r>
      <w:r w:rsidRPr="00F979D1">
        <w:rPr>
          <w:rFonts w:ascii="Times New Roman" w:hAnsi="Times New Roman" w:cs="Times New Roman"/>
          <w:i/>
          <w:sz w:val="20"/>
          <w:szCs w:val="20"/>
        </w:rPr>
        <w:t xml:space="preserve">Van Parys, </w:t>
      </w:r>
      <w:r w:rsidRPr="00F979D1">
        <w:rPr>
          <w:rFonts w:ascii="Times New Roman" w:hAnsi="Times New Roman" w:cs="Times New Roman"/>
          <w:sz w:val="20"/>
          <w:szCs w:val="20"/>
        </w:rPr>
        <w:t>C:2005:121</w:t>
      </w:r>
      <w:r>
        <w:rPr>
          <w:rFonts w:ascii="Times New Roman" w:hAnsi="Times New Roman" w:cs="Times New Roman"/>
          <w:sz w:val="20"/>
          <w:szCs w:val="20"/>
        </w:rPr>
        <w:t>)</w:t>
      </w:r>
      <w:r w:rsidRPr="00F979D1">
        <w:rPr>
          <w:rFonts w:ascii="Times New Roman" w:hAnsi="Times New Roman" w:cs="Times New Roman"/>
          <w:sz w:val="20"/>
          <w:szCs w:val="20"/>
        </w:rPr>
        <w:t>.</w:t>
      </w:r>
    </w:p>
  </w:footnote>
  <w:footnote w:id="133">
    <w:p w14:paraId="01B122A8" w14:textId="18CA1378" w:rsidR="00FD11BB" w:rsidRPr="00F979D1" w:rsidRDefault="00FD11BB" w:rsidP="00F979D1">
      <w:pPr>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Note also certain special provisions concerning post-transition domestic legal effects within / as regards the UK: e.g. preliminary references as regards Part Two on citizens’ rights (Arts 158 and 161 WA); the independent monitoring authority (Art 159 WA); preliminary references as regards elements of Part Five on the financial settlement (Arts 160 and 161 WA); under Arts 12-13 Cyprus Protocol.</w:t>
      </w:r>
    </w:p>
  </w:footnote>
  <w:footnote w:id="134">
    <w:p w14:paraId="16733A93" w14:textId="3BCDD297" w:rsidR="00FD11BB" w:rsidRPr="00F979D1" w:rsidRDefault="00FD11BB" w:rsidP="00F979D1">
      <w:pPr>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Note also the provisions on post-transition cooperation as regards domestic judicial enforcement under Arts 161-163 WA.</w:t>
      </w:r>
    </w:p>
  </w:footnote>
  <w:footnote w:id="135">
    <w:p w14:paraId="6101F7DB" w14:textId="04D987D8"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In particular: </w:t>
      </w:r>
      <w:proofErr w:type="gramStart"/>
      <w:r w:rsidRPr="00F979D1">
        <w:rPr>
          <w:rFonts w:ascii="Times New Roman" w:hAnsi="Times New Roman" w:cs="Times New Roman"/>
          <w:sz w:val="20"/>
          <w:szCs w:val="20"/>
        </w:rPr>
        <w:t>EU(</w:t>
      </w:r>
      <w:proofErr w:type="gramEnd"/>
      <w:r w:rsidRPr="00F979D1">
        <w:rPr>
          <w:rFonts w:ascii="Times New Roman" w:hAnsi="Times New Roman" w:cs="Times New Roman"/>
          <w:sz w:val="20"/>
          <w:szCs w:val="20"/>
        </w:rPr>
        <w:t xml:space="preserve">W)A 2018 </w:t>
      </w:r>
      <w:r>
        <w:rPr>
          <w:rFonts w:ascii="Times New Roman" w:hAnsi="Times New Roman" w:cs="Times New Roman"/>
          <w:sz w:val="20"/>
          <w:szCs w:val="20"/>
        </w:rPr>
        <w:t>(</w:t>
      </w:r>
      <w:r w:rsidRPr="00F979D1">
        <w:rPr>
          <w:rFonts w:ascii="Times New Roman" w:hAnsi="Times New Roman" w:cs="Times New Roman"/>
          <w:sz w:val="20"/>
          <w:szCs w:val="20"/>
        </w:rPr>
        <w:t>as amended</w:t>
      </w:r>
      <w:r>
        <w:rPr>
          <w:rFonts w:ascii="Times New Roman" w:hAnsi="Times New Roman" w:cs="Times New Roman"/>
          <w:sz w:val="20"/>
          <w:szCs w:val="20"/>
        </w:rPr>
        <w:t>)</w:t>
      </w:r>
      <w:r w:rsidRPr="00F979D1">
        <w:rPr>
          <w:rFonts w:ascii="Times New Roman" w:hAnsi="Times New Roman" w:cs="Times New Roman"/>
          <w:sz w:val="20"/>
          <w:szCs w:val="20"/>
        </w:rPr>
        <w:t>; as well as the substantive provisions of EU(WA)A 2020.</w:t>
      </w:r>
    </w:p>
  </w:footnote>
  <w:footnote w:id="136">
    <w:p w14:paraId="1D8C5EA1" w14:textId="7C0B85F0"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Particularly having regard to section 38 </w:t>
      </w:r>
      <w:proofErr w:type="gramStart"/>
      <w:r w:rsidRPr="00F979D1">
        <w:rPr>
          <w:rFonts w:ascii="Times New Roman" w:hAnsi="Times New Roman" w:cs="Times New Roman"/>
          <w:sz w:val="20"/>
          <w:szCs w:val="20"/>
        </w:rPr>
        <w:t>EU(</w:t>
      </w:r>
      <w:proofErr w:type="gramEnd"/>
      <w:r w:rsidRPr="00F979D1">
        <w:rPr>
          <w:rFonts w:ascii="Times New Roman" w:hAnsi="Times New Roman" w:cs="Times New Roman"/>
          <w:sz w:val="20"/>
          <w:szCs w:val="20"/>
        </w:rPr>
        <w:t>WA)A 2020: parliamentary sovereignty subsists notwithstanding the domestic legal effects attributed to parts of the Agreement and nothing in the legislation derogates from the sovereignty of Parliament.</w:t>
      </w:r>
    </w:p>
  </w:footnote>
  <w:footnote w:id="137">
    <w:p w14:paraId="26F06518" w14:textId="2C16E5A0"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HMG, Cm 9417 of 2 February 2017.</w:t>
      </w:r>
    </w:p>
  </w:footnote>
  <w:footnote w:id="138">
    <w:p w14:paraId="78AB2BF4" w14:textId="5C196229"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European Council, Guidelines of 29 April 2017, paras 4-6.</w:t>
      </w:r>
    </w:p>
  </w:footnote>
  <w:footnote w:id="139">
    <w:p w14:paraId="49BED7BF" w14:textId="4ACBAA40"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Though for a considerable time, the UK Government </w:t>
      </w:r>
      <w:r>
        <w:rPr>
          <w:rFonts w:ascii="Times New Roman" w:hAnsi="Times New Roman" w:cs="Times New Roman"/>
          <w:sz w:val="20"/>
          <w:szCs w:val="20"/>
        </w:rPr>
        <w:t xml:space="preserve">still </w:t>
      </w:r>
      <w:r w:rsidRPr="00F979D1">
        <w:rPr>
          <w:rFonts w:ascii="Times New Roman" w:hAnsi="Times New Roman" w:cs="Times New Roman"/>
          <w:sz w:val="20"/>
          <w:szCs w:val="20"/>
        </w:rPr>
        <w:t xml:space="preserve">referred to transition as the “implementation period” (and </w:t>
      </w:r>
      <w:r>
        <w:rPr>
          <w:rFonts w:ascii="Times New Roman" w:hAnsi="Times New Roman" w:cs="Times New Roman"/>
          <w:sz w:val="20"/>
          <w:szCs w:val="20"/>
        </w:rPr>
        <w:t xml:space="preserve">even </w:t>
      </w:r>
      <w:r w:rsidRPr="00F979D1">
        <w:rPr>
          <w:rFonts w:ascii="Times New Roman" w:hAnsi="Times New Roman" w:cs="Times New Roman"/>
          <w:sz w:val="20"/>
          <w:szCs w:val="20"/>
        </w:rPr>
        <w:t>insisted upon an explicit reference in the Agreement itself: Art 126 WA).</w:t>
      </w:r>
    </w:p>
  </w:footnote>
  <w:footnote w:id="140">
    <w:p w14:paraId="2B772B09" w14:textId="4F0F3678"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Note also </w:t>
      </w:r>
      <w:r w:rsidRPr="00F979D1">
        <w:rPr>
          <w:rFonts w:ascii="Times New Roman" w:hAnsi="Times New Roman" w:cs="Times New Roman"/>
          <w:sz w:val="20"/>
          <w:szCs w:val="20"/>
          <w:lang w:val="en-US"/>
        </w:rPr>
        <w:t xml:space="preserve">Art 127(6) WA: during transition, references to a “Member State” in applicable Union law shall generally be understood as including the UK.  </w:t>
      </w:r>
    </w:p>
  </w:footnote>
  <w:footnote w:id="141">
    <w:p w14:paraId="49393489" w14:textId="4DF157F8"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Though under slightly different terms and conditions: see Art 132 WA.</w:t>
      </w:r>
    </w:p>
  </w:footnote>
  <w:footnote w:id="142">
    <w:p w14:paraId="56D4F8E1" w14:textId="227BC6F4"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127(3) WA.  </w:t>
      </w:r>
    </w:p>
  </w:footnote>
  <w:footnote w:id="143">
    <w:p w14:paraId="6490650E" w14:textId="5F2EFACB"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 point publicly contested by the UK Government, e.g. D Davis, </w:t>
      </w:r>
      <w:proofErr w:type="spellStart"/>
      <w:r w:rsidRPr="00F979D1">
        <w:rPr>
          <w:rFonts w:ascii="Times New Roman" w:hAnsi="Times New Roman" w:cs="Times New Roman"/>
          <w:i/>
          <w:sz w:val="20"/>
          <w:szCs w:val="20"/>
        </w:rPr>
        <w:t>Teesport</w:t>
      </w:r>
      <w:proofErr w:type="spellEnd"/>
      <w:r w:rsidRPr="00F979D1">
        <w:rPr>
          <w:rFonts w:ascii="Times New Roman" w:hAnsi="Times New Roman" w:cs="Times New Roman"/>
          <w:i/>
          <w:sz w:val="20"/>
          <w:szCs w:val="20"/>
        </w:rPr>
        <w:t xml:space="preserve"> Speech: Implementation Period – A Bridge to the Future Partnership between the UK and EU</w:t>
      </w:r>
      <w:r w:rsidRPr="00F979D1">
        <w:rPr>
          <w:rFonts w:ascii="Times New Roman" w:hAnsi="Times New Roman" w:cs="Times New Roman"/>
          <w:sz w:val="20"/>
          <w:szCs w:val="20"/>
        </w:rPr>
        <w:t xml:space="preserve"> (26 January 2018).</w:t>
      </w:r>
    </w:p>
  </w:footnote>
  <w:footnote w:id="144">
    <w:p w14:paraId="6122ADE2" w14:textId="7C5CC432"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See HMG, </w:t>
      </w:r>
      <w:r w:rsidRPr="00F979D1">
        <w:rPr>
          <w:rFonts w:ascii="Times New Roman" w:hAnsi="Times New Roman" w:cs="Times New Roman"/>
          <w:i/>
          <w:sz w:val="20"/>
          <w:szCs w:val="20"/>
          <w:lang w:val="en-US"/>
        </w:rPr>
        <w:t xml:space="preserve">Draft Text for Discussion: Implementation Period </w:t>
      </w:r>
      <w:r w:rsidRPr="00F979D1">
        <w:rPr>
          <w:rFonts w:ascii="Times New Roman" w:hAnsi="Times New Roman" w:cs="Times New Roman"/>
          <w:sz w:val="20"/>
          <w:szCs w:val="20"/>
          <w:lang w:val="en-US"/>
        </w:rPr>
        <w:t xml:space="preserve">(21 February 2018).  See instead </w:t>
      </w:r>
      <w:r w:rsidRPr="00F979D1">
        <w:rPr>
          <w:rFonts w:ascii="Times New Roman" w:hAnsi="Times New Roman" w:cs="Times New Roman"/>
          <w:sz w:val="20"/>
          <w:szCs w:val="20"/>
        </w:rPr>
        <w:t>Art 128(7) WA on limited consultation with the UK as regards certain draft Union acts during transition</w:t>
      </w:r>
      <w:proofErr w:type="gramStart"/>
      <w:r w:rsidRPr="00F979D1">
        <w:rPr>
          <w:rFonts w:ascii="Times New Roman" w:hAnsi="Times New Roman" w:cs="Times New Roman"/>
          <w:sz w:val="20"/>
          <w:szCs w:val="20"/>
        </w:rPr>
        <w:t>;</w:t>
      </w:r>
      <w:proofErr w:type="gramEnd"/>
      <w:r w:rsidRPr="00F979D1">
        <w:rPr>
          <w:rFonts w:ascii="Times New Roman" w:hAnsi="Times New Roman" w:cs="Times New Roman"/>
          <w:sz w:val="20"/>
          <w:szCs w:val="20"/>
        </w:rPr>
        <w:t xml:space="preserve"> and Art 129(5) WA on case-by-case coordination with the UK in respect of Union external relations.</w:t>
      </w:r>
    </w:p>
  </w:footnote>
  <w:footnote w:id="145">
    <w:p w14:paraId="3D313C44" w14:textId="7E07DC59"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E.g. D Davis, </w:t>
      </w:r>
      <w:r w:rsidRPr="00F979D1">
        <w:rPr>
          <w:rFonts w:ascii="Times New Roman" w:hAnsi="Times New Roman" w:cs="Times New Roman"/>
          <w:i/>
          <w:sz w:val="20"/>
          <w:szCs w:val="20"/>
        </w:rPr>
        <w:t>Statement on EU-UK Article 50 Negotiations</w:t>
      </w:r>
      <w:r w:rsidRPr="00F979D1">
        <w:rPr>
          <w:rFonts w:ascii="Times New Roman" w:hAnsi="Times New Roman" w:cs="Times New Roman"/>
          <w:sz w:val="20"/>
          <w:szCs w:val="20"/>
        </w:rPr>
        <w:t xml:space="preserve"> (19 March 2018).</w:t>
      </w:r>
    </w:p>
  </w:footnote>
  <w:footnote w:id="146">
    <w:p w14:paraId="4BE7527B" w14:textId="0DDF9B85"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Arts 5, third paragraph and 164 WA.</w:t>
      </w:r>
    </w:p>
  </w:footnote>
  <w:footnote w:id="147">
    <w:p w14:paraId="513F8D68" w14:textId="1C05F08D"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section 13A </w:t>
      </w:r>
      <w:proofErr w:type="gramStart"/>
      <w:r w:rsidRPr="00F979D1">
        <w:rPr>
          <w:rFonts w:ascii="Times New Roman" w:hAnsi="Times New Roman" w:cs="Times New Roman"/>
          <w:sz w:val="20"/>
          <w:szCs w:val="20"/>
        </w:rPr>
        <w:t>EU(</w:t>
      </w:r>
      <w:proofErr w:type="gramEnd"/>
      <w:r w:rsidRPr="00F979D1">
        <w:rPr>
          <w:rFonts w:ascii="Times New Roman" w:hAnsi="Times New Roman" w:cs="Times New Roman"/>
          <w:sz w:val="20"/>
          <w:szCs w:val="20"/>
        </w:rPr>
        <w:t xml:space="preserve">W)A 2018 </w:t>
      </w:r>
      <w:r>
        <w:rPr>
          <w:rFonts w:ascii="Times New Roman" w:hAnsi="Times New Roman" w:cs="Times New Roman"/>
          <w:sz w:val="20"/>
          <w:szCs w:val="20"/>
        </w:rPr>
        <w:t>(</w:t>
      </w:r>
      <w:r w:rsidRPr="00F979D1">
        <w:rPr>
          <w:rFonts w:ascii="Times New Roman" w:hAnsi="Times New Roman" w:cs="Times New Roman"/>
          <w:sz w:val="20"/>
          <w:szCs w:val="20"/>
        </w:rPr>
        <w:t>as amended</w:t>
      </w:r>
      <w:r>
        <w:rPr>
          <w:rFonts w:ascii="Times New Roman" w:hAnsi="Times New Roman" w:cs="Times New Roman"/>
          <w:sz w:val="20"/>
          <w:szCs w:val="20"/>
        </w:rPr>
        <w:t>)</w:t>
      </w:r>
      <w:r w:rsidRPr="00F979D1">
        <w:rPr>
          <w:rFonts w:ascii="Times New Roman" w:hAnsi="Times New Roman" w:cs="Times New Roman"/>
          <w:sz w:val="20"/>
          <w:szCs w:val="20"/>
        </w:rPr>
        <w:t xml:space="preserve">.  </w:t>
      </w:r>
    </w:p>
  </w:footnote>
  <w:footnote w:id="148">
    <w:p w14:paraId="7592F9B5" w14:textId="15CCF219"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127(1), second paragraph, </w:t>
      </w:r>
      <w:proofErr w:type="gramStart"/>
      <w:r w:rsidRPr="00F979D1">
        <w:rPr>
          <w:rFonts w:ascii="Times New Roman" w:hAnsi="Times New Roman" w:cs="Times New Roman"/>
          <w:sz w:val="20"/>
          <w:szCs w:val="20"/>
        </w:rPr>
        <w:t>subparagraph</w:t>
      </w:r>
      <w:proofErr w:type="gramEnd"/>
      <w:r w:rsidRPr="00F979D1">
        <w:rPr>
          <w:rFonts w:ascii="Times New Roman" w:hAnsi="Times New Roman" w:cs="Times New Roman"/>
          <w:sz w:val="20"/>
          <w:szCs w:val="20"/>
        </w:rPr>
        <w:t xml:space="preserve"> (a) WA.</w:t>
      </w:r>
    </w:p>
  </w:footnote>
  <w:footnote w:id="149">
    <w:p w14:paraId="0FEC9735" w14:textId="72706A58" w:rsidR="00FD11BB" w:rsidRPr="00F979D1" w:rsidRDefault="00FD11BB" w:rsidP="00F979D1">
      <w:pPr>
        <w:widowControl w:val="0"/>
        <w:autoSpaceDE w:val="0"/>
        <w:autoSpaceDN w:val="0"/>
        <w:adjustRightInd w:val="0"/>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127(1), second paragraph, </w:t>
      </w:r>
      <w:proofErr w:type="gramStart"/>
      <w:r w:rsidRPr="00F979D1">
        <w:rPr>
          <w:rFonts w:ascii="Times New Roman" w:hAnsi="Times New Roman" w:cs="Times New Roman"/>
          <w:sz w:val="20"/>
          <w:szCs w:val="20"/>
        </w:rPr>
        <w:t>subparagraph</w:t>
      </w:r>
      <w:proofErr w:type="gramEnd"/>
      <w:r w:rsidRPr="00F979D1">
        <w:rPr>
          <w:rFonts w:ascii="Times New Roman" w:hAnsi="Times New Roman" w:cs="Times New Roman"/>
          <w:sz w:val="20"/>
          <w:szCs w:val="20"/>
        </w:rPr>
        <w:t xml:space="preserve"> (b) WA.  </w:t>
      </w:r>
    </w:p>
  </w:footnote>
  <w:footnote w:id="150">
    <w:p w14:paraId="5F392A09" w14:textId="5DAC93D3"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127(4) WA.</w:t>
      </w:r>
    </w:p>
  </w:footnote>
  <w:footnote w:id="151">
    <w:p w14:paraId="5BB056DA" w14:textId="7634BC96"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127(5) WA.  The </w:t>
      </w:r>
      <w:r w:rsidRPr="00F979D1">
        <w:rPr>
          <w:rFonts w:ascii="Times New Roman" w:hAnsi="Times New Roman" w:cs="Times New Roman"/>
          <w:sz w:val="20"/>
          <w:szCs w:val="20"/>
          <w:lang w:val="en-US"/>
        </w:rPr>
        <w:t xml:space="preserve">UK had requested more extensive opt-in rights as regards AFSJ measures: see </w:t>
      </w:r>
      <w:r w:rsidRPr="00F979D1">
        <w:rPr>
          <w:rFonts w:ascii="Times New Roman" w:hAnsi="Times New Roman" w:cs="Times New Roman"/>
          <w:i/>
          <w:sz w:val="20"/>
          <w:szCs w:val="20"/>
          <w:lang w:val="en-US"/>
        </w:rPr>
        <w:t>Draft Text for Discussion</w:t>
      </w:r>
      <w:r>
        <w:rPr>
          <w:rFonts w:ascii="Times New Roman" w:hAnsi="Times New Roman" w:cs="Times New Roman"/>
          <w:i/>
          <w:sz w:val="20"/>
          <w:szCs w:val="20"/>
          <w:lang w:val="en-US"/>
        </w:rPr>
        <w:t xml:space="preserve">, </w:t>
      </w:r>
      <w:r>
        <w:rPr>
          <w:rFonts w:ascii="Times New Roman" w:hAnsi="Times New Roman" w:cs="Times New Roman"/>
          <w:sz w:val="20"/>
          <w:szCs w:val="20"/>
          <w:lang w:val="en-US"/>
        </w:rPr>
        <w:t>note 144 above</w:t>
      </w:r>
      <w:r w:rsidRPr="00F979D1">
        <w:rPr>
          <w:rFonts w:ascii="Times New Roman" w:hAnsi="Times New Roman" w:cs="Times New Roman"/>
          <w:sz w:val="20"/>
          <w:szCs w:val="20"/>
          <w:lang w:val="en-US"/>
        </w:rPr>
        <w:t>.</w:t>
      </w:r>
    </w:p>
  </w:footnote>
  <w:footnote w:id="152">
    <w:p w14:paraId="62B0F3D2" w14:textId="376B2772"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127(7)(a) </w:t>
      </w:r>
      <w:proofErr w:type="gramStart"/>
      <w:r w:rsidRPr="00F979D1">
        <w:rPr>
          <w:rFonts w:ascii="Times New Roman" w:hAnsi="Times New Roman" w:cs="Times New Roman"/>
          <w:sz w:val="20"/>
          <w:szCs w:val="20"/>
        </w:rPr>
        <w:t>WA.</w:t>
      </w:r>
      <w:proofErr w:type="gramEnd"/>
    </w:p>
  </w:footnote>
  <w:footnote w:id="153">
    <w:p w14:paraId="38767F4D" w14:textId="24D5081F"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127(7)(b) WA.</w:t>
      </w:r>
    </w:p>
  </w:footnote>
  <w:footnote w:id="154">
    <w:p w14:paraId="671BC2EA" w14:textId="1BA56096"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127(7)(c) </w:t>
      </w:r>
      <w:proofErr w:type="gramStart"/>
      <w:r w:rsidRPr="00F979D1">
        <w:rPr>
          <w:rFonts w:ascii="Times New Roman" w:hAnsi="Times New Roman" w:cs="Times New Roman"/>
          <w:sz w:val="20"/>
          <w:szCs w:val="20"/>
        </w:rPr>
        <w:t>WA.</w:t>
      </w:r>
      <w:proofErr w:type="gramEnd"/>
    </w:p>
  </w:footnote>
  <w:footnote w:id="155">
    <w:p w14:paraId="1A6528C8" w14:textId="548A5C9E"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185 WA – in which case, </w:t>
      </w:r>
      <w:r w:rsidRPr="00F979D1">
        <w:rPr>
          <w:rFonts w:ascii="Times New Roman" w:hAnsi="Times New Roman" w:cs="Times New Roman"/>
          <w:sz w:val="20"/>
          <w:szCs w:val="20"/>
          <w:lang w:val="en-US"/>
        </w:rPr>
        <w:t>the UK may take reciprocal (</w:t>
      </w:r>
      <w:proofErr w:type="gramStart"/>
      <w:r w:rsidRPr="00F979D1">
        <w:rPr>
          <w:rFonts w:ascii="Times New Roman" w:hAnsi="Times New Roman" w:cs="Times New Roman"/>
          <w:sz w:val="20"/>
          <w:szCs w:val="20"/>
          <w:lang w:val="en-US"/>
        </w:rPr>
        <w:t>in)action</w:t>
      </w:r>
      <w:proofErr w:type="gramEnd"/>
      <w:r w:rsidRPr="00F979D1">
        <w:rPr>
          <w:rFonts w:ascii="Times New Roman" w:hAnsi="Times New Roman" w:cs="Times New Roman"/>
          <w:sz w:val="20"/>
          <w:szCs w:val="20"/>
          <w:lang w:val="en-US"/>
        </w:rPr>
        <w:t xml:space="preserve">.  See </w:t>
      </w:r>
      <w:r w:rsidRPr="00F979D1">
        <w:rPr>
          <w:rFonts w:ascii="Times New Roman" w:hAnsi="Times New Roman" w:cs="Times New Roman"/>
          <w:sz w:val="20"/>
          <w:szCs w:val="20"/>
          <w:shd w:val="clear" w:color="auto" w:fill="FFFFFF"/>
        </w:rPr>
        <w:t xml:space="preserve">Declaration by the European Union (made in accordance with Art 185 WA), OJ 2020, </w:t>
      </w:r>
      <w:proofErr w:type="gramStart"/>
      <w:r w:rsidRPr="00F979D1">
        <w:rPr>
          <w:rFonts w:ascii="Times New Roman" w:hAnsi="Times New Roman" w:cs="Times New Roman"/>
          <w:sz w:val="20"/>
          <w:szCs w:val="20"/>
          <w:shd w:val="clear" w:color="auto" w:fill="FFFFFF"/>
        </w:rPr>
        <w:t>L29</w:t>
      </w:r>
      <w:proofErr w:type="gramEnd"/>
      <w:r w:rsidRPr="00F979D1">
        <w:rPr>
          <w:rFonts w:ascii="Times New Roman" w:hAnsi="Times New Roman" w:cs="Times New Roman"/>
          <w:sz w:val="20"/>
          <w:szCs w:val="20"/>
          <w:shd w:val="clear" w:color="auto" w:fill="FFFFFF"/>
        </w:rPr>
        <w:t>/188, listing Germany, Austria and Slovenia.</w:t>
      </w:r>
      <w:r w:rsidRPr="00F979D1">
        <w:rPr>
          <w:rFonts w:ascii="Times New Roman" w:hAnsi="Times New Roman" w:cs="Times New Roman"/>
          <w:sz w:val="20"/>
          <w:szCs w:val="20"/>
          <w:lang w:val="en-US"/>
        </w:rPr>
        <w:t xml:space="preserve">  The Agreement contains other specific derogations from the “status quo” principle underpinning transition, e.g. in Part </w:t>
      </w:r>
      <w:proofErr w:type="gramStart"/>
      <w:r w:rsidRPr="00F979D1">
        <w:rPr>
          <w:rFonts w:ascii="Times New Roman" w:hAnsi="Times New Roman" w:cs="Times New Roman"/>
          <w:sz w:val="20"/>
          <w:szCs w:val="20"/>
          <w:lang w:val="en-US"/>
        </w:rPr>
        <w:t>Five</w:t>
      </w:r>
      <w:proofErr w:type="gramEnd"/>
      <w:r w:rsidRPr="00F979D1">
        <w:rPr>
          <w:rFonts w:ascii="Times New Roman" w:hAnsi="Times New Roman" w:cs="Times New Roman"/>
          <w:sz w:val="20"/>
          <w:szCs w:val="20"/>
          <w:lang w:val="en-US"/>
        </w:rPr>
        <w:t xml:space="preserve"> on the financial settlement.   </w:t>
      </w:r>
    </w:p>
  </w:footnote>
  <w:footnote w:id="156">
    <w:p w14:paraId="6176C177" w14:textId="5DFEE43B"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Art 128(1) WA.</w:t>
      </w:r>
      <w:proofErr w:type="gramEnd"/>
      <w:r w:rsidRPr="00F979D1">
        <w:rPr>
          <w:rFonts w:ascii="Times New Roman" w:hAnsi="Times New Roman" w:cs="Times New Roman"/>
          <w:sz w:val="20"/>
          <w:szCs w:val="20"/>
        </w:rPr>
        <w:t xml:space="preserve">  </w:t>
      </w:r>
    </w:p>
  </w:footnote>
  <w:footnote w:id="157">
    <w:p w14:paraId="3081E779" w14:textId="412C862E"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128(5) WA.  See also Art 34(1) WA on administrative cooperation as regards social security coordination.</w:t>
      </w:r>
    </w:p>
  </w:footnote>
  <w:footnote w:id="158">
    <w:p w14:paraId="23C94BA5" w14:textId="64246DF9"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128(2) WA.</w:t>
      </w:r>
    </w:p>
  </w:footnote>
  <w:footnote w:id="159">
    <w:p w14:paraId="63F08122" w14:textId="5FD03F7D"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128(3) WA.  See also Art 128(4) WA on the ECB / ESCB; Art 128(6) WA</w:t>
      </w:r>
      <w:r w:rsidRPr="00F979D1">
        <w:rPr>
          <w:rFonts w:ascii="Times New Roman" w:hAnsi="Times New Roman" w:cs="Times New Roman"/>
          <w:sz w:val="20"/>
          <w:szCs w:val="20"/>
          <w:lang w:val="en-US"/>
        </w:rPr>
        <w:t xml:space="preserve"> on lead authorities for risk assessments </w:t>
      </w:r>
      <w:proofErr w:type="spellStart"/>
      <w:r w:rsidRPr="00F979D1">
        <w:rPr>
          <w:rFonts w:ascii="Times New Roman" w:hAnsi="Times New Roman" w:cs="Times New Roman"/>
          <w:sz w:val="20"/>
          <w:szCs w:val="20"/>
          <w:lang w:val="en-US"/>
        </w:rPr>
        <w:t>etc</w:t>
      </w:r>
      <w:proofErr w:type="spellEnd"/>
      <w:r w:rsidRPr="00F979D1">
        <w:rPr>
          <w:rFonts w:ascii="Times New Roman" w:hAnsi="Times New Roman" w:cs="Times New Roman"/>
          <w:sz w:val="20"/>
          <w:szCs w:val="20"/>
          <w:lang w:val="en-US"/>
        </w:rPr>
        <w:t xml:space="preserve"> under Union law; Art 129(7) WA on operational leadership under the CFSP / CSDP.  </w:t>
      </w:r>
    </w:p>
  </w:footnote>
  <w:footnote w:id="160">
    <w:p w14:paraId="49DAB169" w14:textId="7B025C87"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The UK had requested the need for prior EU-UK agreement on the UK’s fishing quotas (see </w:t>
      </w:r>
      <w:r w:rsidRPr="00F979D1">
        <w:rPr>
          <w:rFonts w:ascii="Times New Roman" w:hAnsi="Times New Roman" w:cs="Times New Roman"/>
          <w:i/>
          <w:sz w:val="20"/>
          <w:szCs w:val="20"/>
          <w:lang w:val="en-US"/>
        </w:rPr>
        <w:t>Draft Text for Discussion</w:t>
      </w:r>
      <w:r>
        <w:rPr>
          <w:rFonts w:ascii="Times New Roman" w:hAnsi="Times New Roman" w:cs="Times New Roman"/>
          <w:i/>
          <w:sz w:val="20"/>
          <w:szCs w:val="20"/>
          <w:lang w:val="en-US"/>
        </w:rPr>
        <w:t>,</w:t>
      </w:r>
      <w:r w:rsidRPr="00F979D1">
        <w:rPr>
          <w:rFonts w:ascii="Times New Roman" w:hAnsi="Times New Roman" w:cs="Times New Roman"/>
          <w:i/>
          <w:sz w:val="20"/>
          <w:szCs w:val="20"/>
          <w:lang w:val="en-US"/>
        </w:rPr>
        <w:t xml:space="preserve"> </w:t>
      </w:r>
      <w:r>
        <w:rPr>
          <w:rFonts w:ascii="Times New Roman" w:hAnsi="Times New Roman" w:cs="Times New Roman"/>
          <w:sz w:val="20"/>
          <w:szCs w:val="20"/>
          <w:lang w:val="en-US"/>
        </w:rPr>
        <w:t>note 144 above</w:t>
      </w:r>
      <w:r w:rsidRPr="00F979D1">
        <w:rPr>
          <w:rFonts w:ascii="Times New Roman" w:hAnsi="Times New Roman" w:cs="Times New Roman"/>
          <w:sz w:val="20"/>
          <w:szCs w:val="20"/>
          <w:lang w:val="en-US"/>
        </w:rPr>
        <w:t xml:space="preserve">) but this was refused.  </w:t>
      </w:r>
    </w:p>
  </w:footnote>
  <w:footnote w:id="161">
    <w:p w14:paraId="3EE1A0BD" w14:textId="5C1E28B8"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 point specifically reinforced in respect of Union external relations: </w:t>
      </w:r>
      <w:r>
        <w:rPr>
          <w:rFonts w:ascii="Times New Roman" w:hAnsi="Times New Roman" w:cs="Times New Roman"/>
          <w:sz w:val="20"/>
          <w:szCs w:val="20"/>
        </w:rPr>
        <w:t>Art</w:t>
      </w:r>
      <w:r w:rsidRPr="00F979D1">
        <w:rPr>
          <w:rFonts w:ascii="Times New Roman" w:hAnsi="Times New Roman" w:cs="Times New Roman"/>
          <w:sz w:val="20"/>
          <w:szCs w:val="20"/>
        </w:rPr>
        <w:t xml:space="preserve"> 129(3) WA.  </w:t>
      </w:r>
    </w:p>
  </w:footnote>
  <w:footnote w:id="162">
    <w:p w14:paraId="3AB01BE2" w14:textId="6E9FECBE"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Note that various provisions concerning supervision and enforcement (e.g. UK preliminary references and independent monitoring authority as regards citizens’ rights; e.g. dispute settlement via Joint Committee and by arbitration panel) will only apply from the end of transition: Art 185 WA.</w:t>
      </w:r>
    </w:p>
  </w:footnote>
  <w:footnote w:id="163">
    <w:p w14:paraId="18A16841" w14:textId="40D19BEF"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Also: Art 95 WA on the binding force and enforceability of Union decisions vis-à-vis the UK.</w:t>
      </w:r>
    </w:p>
  </w:footnote>
  <w:footnote w:id="164">
    <w:p w14:paraId="3655730C" w14:textId="11ABA59C"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Also: Art 89 WA on the binding force and enforceability of CJEU rulings vis-à-vis the UK.</w:t>
      </w:r>
    </w:p>
  </w:footnote>
  <w:footnote w:id="165">
    <w:p w14:paraId="1516D2AF" w14:textId="6895096D"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w:t>
      </w:r>
      <w:r w:rsidRPr="00F979D1">
        <w:rPr>
          <w:rFonts w:ascii="Times New Roman" w:hAnsi="Times New Roman" w:cs="Times New Roman"/>
          <w:sz w:val="20"/>
          <w:szCs w:val="20"/>
          <w:lang w:val="en-US"/>
        </w:rPr>
        <w:t>Title X</w:t>
      </w:r>
      <w:r>
        <w:rPr>
          <w:rFonts w:ascii="Times New Roman" w:hAnsi="Times New Roman" w:cs="Times New Roman"/>
          <w:sz w:val="20"/>
          <w:szCs w:val="20"/>
          <w:lang w:val="en-US"/>
        </w:rPr>
        <w:t>,</w:t>
      </w:r>
      <w:r w:rsidRPr="00F979D1">
        <w:rPr>
          <w:rFonts w:ascii="Times New Roman" w:hAnsi="Times New Roman" w:cs="Times New Roman"/>
          <w:sz w:val="20"/>
          <w:szCs w:val="20"/>
          <w:lang w:val="en-US"/>
        </w:rPr>
        <w:t xml:space="preserve"> Part Three</w:t>
      </w:r>
      <w:proofErr w:type="gramStart"/>
      <w:r w:rsidRPr="00F979D1">
        <w:rPr>
          <w:rFonts w:ascii="Times New Roman" w:hAnsi="Times New Roman" w:cs="Times New Roman"/>
          <w:sz w:val="20"/>
          <w:szCs w:val="20"/>
          <w:lang w:val="en-US"/>
        </w:rPr>
        <w:t>;</w:t>
      </w:r>
      <w:proofErr w:type="gramEnd"/>
      <w:r w:rsidRPr="00F979D1">
        <w:rPr>
          <w:rFonts w:ascii="Times New Roman" w:hAnsi="Times New Roman" w:cs="Times New Roman"/>
          <w:sz w:val="20"/>
          <w:szCs w:val="20"/>
          <w:lang w:val="en-US"/>
        </w:rPr>
        <w:t xml:space="preserve"> especially Arts 86-87 (judicial proceedings) and 92-93 (administrative proceedings).  Note other provisions governing the CJEU’s continuing jurisdiction after transition, e.g. Arts 158 and 160 WA; Art 13(1) PINI; Art 12 Cyprus Protocol. </w:t>
      </w:r>
    </w:p>
  </w:footnote>
  <w:footnote w:id="166">
    <w:p w14:paraId="4382A079" w14:textId="38977A5B"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See</w:t>
      </w:r>
      <w:r>
        <w:rPr>
          <w:rFonts w:ascii="Times New Roman" w:hAnsi="Times New Roman" w:cs="Times New Roman"/>
          <w:sz w:val="20"/>
          <w:szCs w:val="20"/>
          <w:lang w:val="en-US"/>
        </w:rPr>
        <w:t>:</w:t>
      </w:r>
      <w:r w:rsidRPr="00F979D1">
        <w:rPr>
          <w:rFonts w:ascii="Times New Roman" w:hAnsi="Times New Roman" w:cs="Times New Roman"/>
          <w:sz w:val="20"/>
          <w:szCs w:val="20"/>
          <w:lang w:val="en-US"/>
        </w:rPr>
        <w:t xml:space="preserve"> Commission, </w:t>
      </w:r>
      <w:r w:rsidRPr="00F979D1">
        <w:rPr>
          <w:rFonts w:ascii="Times New Roman" w:hAnsi="Times New Roman" w:cs="Times New Roman"/>
          <w:i/>
          <w:sz w:val="20"/>
          <w:szCs w:val="20"/>
          <w:lang w:val="en-US"/>
        </w:rPr>
        <w:t>Position Paper on Transitional Arrangements</w:t>
      </w:r>
      <w:r w:rsidRPr="00F979D1">
        <w:rPr>
          <w:rFonts w:ascii="Times New Roman" w:hAnsi="Times New Roman" w:cs="Times New Roman"/>
          <w:sz w:val="20"/>
          <w:szCs w:val="20"/>
          <w:lang w:val="en-US"/>
        </w:rPr>
        <w:t>, TF50 (2018) 30; proposed Art 165 of the draft Withdrawal Agreement (TF50 (2018) 33/2).</w:t>
      </w:r>
    </w:p>
  </w:footnote>
  <w:footnote w:id="167">
    <w:p w14:paraId="71CF3E03" w14:textId="44D1341F"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Consider, e.g. the Commission’s numerous “preparedness” notices available via &lt;&lt;https://ec.europa.eu/info/brexit/brexit-preparedness/preparedness-notices_en&gt;&gt;.</w:t>
      </w:r>
    </w:p>
  </w:footnote>
  <w:footnote w:id="168">
    <w:p w14:paraId="45D04E0B" w14:textId="72D35E1D"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Section 2 (above).</w:t>
      </w:r>
    </w:p>
  </w:footnote>
  <w:footnote w:id="169">
    <w:p w14:paraId="09EA3BFE" w14:textId="65E9F346"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I.e. from 1</w:t>
      </w:r>
      <w:r w:rsidRPr="00F979D1">
        <w:rPr>
          <w:rFonts w:ascii="Times New Roman" w:hAnsi="Times New Roman" w:cs="Times New Roman"/>
          <w:sz w:val="20"/>
          <w:szCs w:val="20"/>
          <w:vertAlign w:val="superscript"/>
        </w:rPr>
        <w:t>st</w:t>
      </w:r>
      <w:r w:rsidRPr="00F979D1">
        <w:rPr>
          <w:rFonts w:ascii="Times New Roman" w:hAnsi="Times New Roman" w:cs="Times New Roman"/>
          <w:sz w:val="20"/>
          <w:szCs w:val="20"/>
        </w:rPr>
        <w:t xml:space="preserve"> February – 31</w:t>
      </w:r>
      <w:r w:rsidRPr="00F979D1">
        <w:rPr>
          <w:rFonts w:ascii="Times New Roman" w:hAnsi="Times New Roman" w:cs="Times New Roman"/>
          <w:sz w:val="20"/>
          <w:szCs w:val="20"/>
          <w:vertAlign w:val="superscript"/>
        </w:rPr>
        <w:t>st</w:t>
      </w:r>
      <w:r w:rsidRPr="00F979D1">
        <w:rPr>
          <w:rFonts w:ascii="Times New Roman" w:hAnsi="Times New Roman" w:cs="Times New Roman"/>
          <w:sz w:val="20"/>
          <w:szCs w:val="20"/>
        </w:rPr>
        <w:t xml:space="preserve"> December 2020.  </w:t>
      </w:r>
    </w:p>
  </w:footnote>
  <w:footnote w:id="170">
    <w:p w14:paraId="2B183195" w14:textId="2D00562D"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E.g. the UK Government only announced its new plans for post-Brexit immigration in February 2020: see Home Office, </w:t>
      </w:r>
      <w:r w:rsidRPr="00F979D1">
        <w:rPr>
          <w:rFonts w:ascii="Times New Roman" w:hAnsi="Times New Roman" w:cs="Times New Roman"/>
          <w:i/>
          <w:sz w:val="20"/>
          <w:szCs w:val="20"/>
        </w:rPr>
        <w:t xml:space="preserve">The UK’s Points-Based Immigration System </w:t>
      </w:r>
      <w:r w:rsidRPr="00F979D1">
        <w:rPr>
          <w:rFonts w:ascii="Times New Roman" w:hAnsi="Times New Roman" w:cs="Times New Roman"/>
          <w:sz w:val="20"/>
          <w:szCs w:val="20"/>
        </w:rPr>
        <w:t xml:space="preserve">(19 February 2020).  At the time of writing, Parliament is still to adopt primary legislation setting out the framework for post-Brexit regimes in fields such as agriculture and fisheries.  </w:t>
      </w:r>
    </w:p>
  </w:footnote>
  <w:footnote w:id="171">
    <w:p w14:paraId="1EAF9F6F" w14:textId="6B5E48D3"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Confirmed by the European Council President in remarks to the European Parliament (24 October 2018).</w:t>
      </w:r>
    </w:p>
  </w:footnote>
  <w:footnote w:id="172">
    <w:p w14:paraId="75D596D3" w14:textId="3F64476F"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Section 3.4 (below).</w:t>
      </w:r>
    </w:p>
  </w:footnote>
  <w:footnote w:id="173">
    <w:p w14:paraId="780C5470" w14:textId="385944A7"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E</w:t>
      </w:r>
      <w:r w:rsidRPr="00F979D1">
        <w:rPr>
          <w:rFonts w:ascii="Times New Roman" w:hAnsi="Times New Roman" w:cs="Times New Roman"/>
          <w:sz w:val="20"/>
          <w:szCs w:val="20"/>
          <w:lang w:val="en-US"/>
        </w:rPr>
        <w:t xml:space="preserve">.g. Theresa May, </w:t>
      </w:r>
      <w:r w:rsidRPr="00F979D1">
        <w:rPr>
          <w:rFonts w:ascii="Times New Roman" w:hAnsi="Times New Roman" w:cs="Times New Roman"/>
          <w:i/>
          <w:sz w:val="20"/>
          <w:szCs w:val="20"/>
          <w:lang w:val="en-US"/>
        </w:rPr>
        <w:t>Statement on European Council</w:t>
      </w:r>
      <w:r w:rsidRPr="00F979D1">
        <w:rPr>
          <w:rFonts w:ascii="Times New Roman" w:hAnsi="Times New Roman" w:cs="Times New Roman"/>
          <w:sz w:val="20"/>
          <w:szCs w:val="20"/>
          <w:lang w:val="en-US"/>
        </w:rPr>
        <w:t xml:space="preserve"> (22 October 2018).</w:t>
      </w:r>
    </w:p>
  </w:footnote>
  <w:footnote w:id="174">
    <w:p w14:paraId="52AE3414" w14:textId="133CFB4C"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Section 3.4 (below).</w:t>
      </w:r>
    </w:p>
  </w:footnote>
  <w:footnote w:id="175">
    <w:p w14:paraId="5B73892D" w14:textId="1B07A2ED"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Section 4.3 (below).</w:t>
      </w:r>
    </w:p>
  </w:footnote>
  <w:footnote w:id="176">
    <w:p w14:paraId="6FD1B3C4" w14:textId="531E47D3"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Note reports about the UK Government’s attempts to restrict the official use of words such as “Brexit” after 31 January 2020, e.g. &lt;&lt;https://www.theguardian.com/politics/2020/feb/04/no-more-deal-or-no-deal-no-10s-brexit-diktat-to-foreign-office&gt;&gt;.</w:t>
      </w:r>
    </w:p>
  </w:footnote>
  <w:footnote w:id="177">
    <w:p w14:paraId="35C9114E" w14:textId="1D606F69"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e.g. &lt;&lt;https://www.theguardian.com/politics/2018/jan/24/david-davis-rejects-vassal-state-claim-over-brexit-transition&gt;&gt;.</w:t>
      </w:r>
    </w:p>
  </w:footnote>
  <w:footnote w:id="178">
    <w:p w14:paraId="14F2294C" w14:textId="024E3B3B"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UK Policy Statement, </w:t>
      </w:r>
      <w:r w:rsidRPr="00F979D1">
        <w:rPr>
          <w:rFonts w:ascii="Times New Roman" w:hAnsi="Times New Roman" w:cs="Times New Roman"/>
          <w:i/>
          <w:sz w:val="20"/>
          <w:szCs w:val="20"/>
        </w:rPr>
        <w:t xml:space="preserve">EU Citizens Arriving in the UK During the Implementation Period </w:t>
      </w:r>
      <w:r w:rsidRPr="00F979D1">
        <w:rPr>
          <w:rFonts w:ascii="Times New Roman" w:hAnsi="Times New Roman" w:cs="Times New Roman"/>
          <w:sz w:val="20"/>
          <w:szCs w:val="20"/>
        </w:rPr>
        <w:t>(28 February 2018).</w:t>
      </w:r>
    </w:p>
  </w:footnote>
  <w:footnote w:id="179">
    <w:p w14:paraId="68719D42" w14:textId="66C3A64D"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129(4) WA.  See the UK proposals contained in </w:t>
      </w:r>
      <w:r w:rsidRPr="00F979D1">
        <w:rPr>
          <w:rFonts w:ascii="Times New Roman" w:hAnsi="Times New Roman" w:cs="Times New Roman"/>
          <w:i/>
          <w:sz w:val="20"/>
          <w:szCs w:val="20"/>
        </w:rPr>
        <w:t>Draft Text for Discussion</w:t>
      </w:r>
      <w:r>
        <w:rPr>
          <w:rFonts w:ascii="Times New Roman" w:hAnsi="Times New Roman" w:cs="Times New Roman"/>
          <w:i/>
          <w:sz w:val="20"/>
          <w:szCs w:val="20"/>
        </w:rPr>
        <w:t xml:space="preserve">, </w:t>
      </w:r>
      <w:r>
        <w:rPr>
          <w:rFonts w:ascii="Times New Roman" w:hAnsi="Times New Roman" w:cs="Times New Roman"/>
          <w:sz w:val="20"/>
          <w:szCs w:val="20"/>
        </w:rPr>
        <w:t>note 144 above</w:t>
      </w:r>
      <w:r w:rsidRPr="00F979D1">
        <w:rPr>
          <w:rFonts w:ascii="Times New Roman" w:hAnsi="Times New Roman" w:cs="Times New Roman"/>
          <w:sz w:val="20"/>
          <w:szCs w:val="20"/>
        </w:rPr>
        <w:t>.</w:t>
      </w:r>
    </w:p>
  </w:footnote>
  <w:footnote w:id="180">
    <w:p w14:paraId="7DFAF4E7" w14:textId="3B66256E"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129(6) WA – though the UK must then refrain from action likely to conflict with / impede Union action based on that decision.  </w:t>
      </w:r>
    </w:p>
  </w:footnote>
  <w:footnote w:id="181">
    <w:p w14:paraId="7FCA2F97" w14:textId="35F8A33B"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127(2) WA – though this possibility appears to have been rendered defunct by the Johnson Government’s decision not to </w:t>
      </w:r>
      <w:r>
        <w:rPr>
          <w:rFonts w:ascii="Times New Roman" w:hAnsi="Times New Roman" w:cs="Times New Roman"/>
          <w:sz w:val="20"/>
          <w:szCs w:val="20"/>
        </w:rPr>
        <w:t>pursue</w:t>
      </w:r>
      <w:r w:rsidRPr="00F979D1">
        <w:rPr>
          <w:rFonts w:ascii="Times New Roman" w:hAnsi="Times New Roman" w:cs="Times New Roman"/>
          <w:sz w:val="20"/>
          <w:szCs w:val="20"/>
        </w:rPr>
        <w:t xml:space="preserve"> any new agreement with the Union in the field of CFSP / CSDP: see Section 4.3 (below).  </w:t>
      </w:r>
      <w:r w:rsidRPr="00F979D1">
        <w:rPr>
          <w:rFonts w:ascii="Times New Roman" w:hAnsi="Times New Roman" w:cs="Times New Roman"/>
          <w:sz w:val="20"/>
          <w:szCs w:val="20"/>
          <w:lang w:val="en-US"/>
        </w:rPr>
        <w:t xml:space="preserve">Note that the UK sought but failed to secure a similar “displacement” provision also in respect of AFSJ measures: see </w:t>
      </w:r>
      <w:r w:rsidRPr="00F979D1">
        <w:rPr>
          <w:rFonts w:ascii="Times New Roman" w:hAnsi="Times New Roman" w:cs="Times New Roman"/>
          <w:i/>
          <w:sz w:val="20"/>
          <w:szCs w:val="20"/>
          <w:lang w:val="en-US"/>
        </w:rPr>
        <w:t>Draft Text for Discussion</w:t>
      </w:r>
      <w:r>
        <w:rPr>
          <w:rFonts w:ascii="Times New Roman" w:hAnsi="Times New Roman" w:cs="Times New Roman"/>
          <w:sz w:val="20"/>
          <w:szCs w:val="20"/>
          <w:lang w:val="en-US"/>
        </w:rPr>
        <w:t>, note 144 above</w:t>
      </w:r>
      <w:r w:rsidRPr="00F979D1">
        <w:rPr>
          <w:rFonts w:ascii="Times New Roman" w:hAnsi="Times New Roman" w:cs="Times New Roman"/>
          <w:sz w:val="20"/>
          <w:szCs w:val="20"/>
          <w:lang w:val="en-US"/>
        </w:rPr>
        <w:t>.</w:t>
      </w:r>
    </w:p>
  </w:footnote>
  <w:footnote w:id="182">
    <w:p w14:paraId="742EF323" w14:textId="36E4C194"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Pr>
          <w:rFonts w:ascii="Times New Roman" w:hAnsi="Times New Roman" w:cs="Times New Roman"/>
          <w:sz w:val="20"/>
          <w:szCs w:val="20"/>
        </w:rPr>
        <w:t>F</w:t>
      </w:r>
      <w:r w:rsidRPr="00F979D1">
        <w:rPr>
          <w:rFonts w:ascii="Times New Roman" w:hAnsi="Times New Roman" w:cs="Times New Roman"/>
          <w:sz w:val="20"/>
          <w:szCs w:val="20"/>
        </w:rPr>
        <w:t xml:space="preserve">urther, e.g. Dougan, “An airbag for the crash test dummies?  </w:t>
      </w:r>
      <w:proofErr w:type="gramStart"/>
      <w:r w:rsidRPr="00F979D1">
        <w:rPr>
          <w:rFonts w:ascii="Times New Roman" w:hAnsi="Times New Roman" w:cs="Times New Roman"/>
          <w:sz w:val="20"/>
          <w:szCs w:val="20"/>
        </w:rPr>
        <w:t>EU-UK negotiations for a post-withdrawal ‘status quo’ transitional regime under Article 50 TEU”, 55 CML Rev. (2018), Special Issue 57.</w:t>
      </w:r>
      <w:proofErr w:type="gramEnd"/>
    </w:p>
  </w:footnote>
  <w:footnote w:id="183">
    <w:p w14:paraId="7440A2E5" w14:textId="2337148C"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E.g. House of </w:t>
      </w:r>
      <w:r w:rsidRPr="00F979D1">
        <w:rPr>
          <w:rFonts w:ascii="Times New Roman" w:hAnsi="Times New Roman" w:cs="Times New Roman"/>
          <w:sz w:val="20"/>
          <w:szCs w:val="20"/>
        </w:rPr>
        <w:t xml:space="preserve">Commons Exiting the EU Committee, </w:t>
      </w:r>
      <w:r w:rsidRPr="00F979D1">
        <w:rPr>
          <w:rFonts w:ascii="Times New Roman" w:hAnsi="Times New Roman" w:cs="Times New Roman"/>
          <w:i/>
          <w:sz w:val="20"/>
          <w:szCs w:val="20"/>
        </w:rPr>
        <w:t>The progress of the UK’s negotiations with the EU on withdrawal</w:t>
      </w:r>
      <w:r w:rsidRPr="00F979D1">
        <w:rPr>
          <w:rFonts w:ascii="Times New Roman" w:hAnsi="Times New Roman" w:cs="Times New Roman"/>
          <w:sz w:val="20"/>
          <w:szCs w:val="20"/>
        </w:rPr>
        <w:t xml:space="preserve"> (HC372, 1 December 2017); House of Lords </w:t>
      </w:r>
      <w:r>
        <w:rPr>
          <w:rFonts w:ascii="Times New Roman" w:hAnsi="Times New Roman" w:cs="Times New Roman"/>
          <w:sz w:val="20"/>
          <w:szCs w:val="20"/>
        </w:rPr>
        <w:t xml:space="preserve">EU </w:t>
      </w:r>
      <w:r w:rsidRPr="00F979D1">
        <w:rPr>
          <w:rFonts w:ascii="Times New Roman" w:hAnsi="Times New Roman" w:cs="Times New Roman"/>
          <w:sz w:val="20"/>
          <w:szCs w:val="20"/>
        </w:rPr>
        <w:t xml:space="preserve">Committee, </w:t>
      </w:r>
      <w:r w:rsidRPr="00F979D1">
        <w:rPr>
          <w:rFonts w:ascii="Times New Roman" w:hAnsi="Times New Roman" w:cs="Times New Roman"/>
          <w:i/>
          <w:sz w:val="20"/>
          <w:szCs w:val="20"/>
        </w:rPr>
        <w:t xml:space="preserve">Brexit: Deal or No Deal </w:t>
      </w:r>
      <w:r w:rsidRPr="00F979D1">
        <w:rPr>
          <w:rFonts w:ascii="Times New Roman" w:hAnsi="Times New Roman" w:cs="Times New Roman"/>
          <w:sz w:val="20"/>
          <w:szCs w:val="20"/>
        </w:rPr>
        <w:t>(HL46, 7 December 2017).</w:t>
      </w:r>
    </w:p>
  </w:footnote>
  <w:footnote w:id="184">
    <w:p w14:paraId="75181CA4" w14:textId="10AD379E"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Section 2.1.1 (above).  </w:t>
      </w:r>
    </w:p>
  </w:footnote>
  <w:footnote w:id="185">
    <w:p w14:paraId="4C8FC16F" w14:textId="74BB5B72"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Further, e.g. </w:t>
      </w:r>
      <w:proofErr w:type="spellStart"/>
      <w:r w:rsidRPr="00F979D1">
        <w:rPr>
          <w:rFonts w:ascii="Times New Roman" w:hAnsi="Times New Roman" w:cs="Times New Roman"/>
          <w:sz w:val="20"/>
          <w:szCs w:val="20"/>
          <w:lang w:val="en-US"/>
        </w:rPr>
        <w:t>Łazowski</w:t>
      </w:r>
      <w:proofErr w:type="spellEnd"/>
      <w:r w:rsidRPr="00F979D1">
        <w:rPr>
          <w:rFonts w:ascii="Times New Roman" w:hAnsi="Times New Roman" w:cs="Times New Roman"/>
          <w:sz w:val="20"/>
          <w:szCs w:val="20"/>
          <w:lang w:val="en-US"/>
        </w:rPr>
        <w:t xml:space="preserve">, “Exercises in Legal Acrobatics: The </w:t>
      </w:r>
      <w:proofErr w:type="spellStart"/>
      <w:r w:rsidRPr="00F979D1">
        <w:rPr>
          <w:rFonts w:ascii="Times New Roman" w:hAnsi="Times New Roman" w:cs="Times New Roman"/>
          <w:sz w:val="20"/>
          <w:szCs w:val="20"/>
          <w:lang w:val="en-US"/>
        </w:rPr>
        <w:t>Brexit</w:t>
      </w:r>
      <w:proofErr w:type="spellEnd"/>
      <w:r w:rsidRPr="00F979D1">
        <w:rPr>
          <w:rFonts w:ascii="Times New Roman" w:hAnsi="Times New Roman" w:cs="Times New Roman"/>
          <w:sz w:val="20"/>
          <w:szCs w:val="20"/>
          <w:lang w:val="en-US"/>
        </w:rPr>
        <w:t xml:space="preserve"> Transitional Arrangements”, 2 </w:t>
      </w:r>
      <w:r w:rsidRPr="00F979D1">
        <w:rPr>
          <w:rFonts w:ascii="Times New Roman" w:hAnsi="Times New Roman" w:cs="Times New Roman"/>
          <w:i/>
          <w:sz w:val="20"/>
          <w:szCs w:val="20"/>
          <w:lang w:val="en-US"/>
        </w:rPr>
        <w:t xml:space="preserve">European Papers </w:t>
      </w:r>
      <w:r w:rsidRPr="00F979D1">
        <w:rPr>
          <w:rFonts w:ascii="Times New Roman" w:hAnsi="Times New Roman" w:cs="Times New Roman"/>
          <w:sz w:val="20"/>
          <w:szCs w:val="20"/>
          <w:lang w:val="en-US"/>
        </w:rPr>
        <w:t>(2017), 845.</w:t>
      </w:r>
    </w:p>
  </w:footnote>
  <w:footnote w:id="186">
    <w:p w14:paraId="7349B567" w14:textId="6C54340D" w:rsidR="00FD11BB" w:rsidRPr="00F979D1" w:rsidRDefault="00FD11BB" w:rsidP="00F979D1">
      <w:pPr>
        <w:widowControl w:val="0"/>
        <w:autoSpaceDE w:val="0"/>
        <w:autoSpaceDN w:val="0"/>
        <w:adjustRightInd w:val="0"/>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Also: Art 129(2) WA </w:t>
      </w:r>
      <w:r w:rsidRPr="00F979D1">
        <w:rPr>
          <w:rFonts w:ascii="Times New Roman" w:hAnsi="Times New Roman" w:cs="Times New Roman"/>
          <w:sz w:val="20"/>
          <w:szCs w:val="20"/>
          <w:lang w:val="en-US"/>
        </w:rPr>
        <w:t xml:space="preserve">making limited provision for UK participation in any bodies </w:t>
      </w:r>
      <w:proofErr w:type="spellStart"/>
      <w:r w:rsidRPr="00F979D1">
        <w:rPr>
          <w:rFonts w:ascii="Times New Roman" w:hAnsi="Times New Roman" w:cs="Times New Roman"/>
          <w:sz w:val="20"/>
          <w:szCs w:val="20"/>
          <w:lang w:val="en-US"/>
        </w:rPr>
        <w:t>etc</w:t>
      </w:r>
      <w:proofErr w:type="spellEnd"/>
      <w:r w:rsidRPr="00F979D1">
        <w:rPr>
          <w:rFonts w:ascii="Times New Roman" w:hAnsi="Times New Roman" w:cs="Times New Roman"/>
          <w:sz w:val="20"/>
          <w:szCs w:val="20"/>
          <w:lang w:val="en-US"/>
        </w:rPr>
        <w:t xml:space="preserve"> established by / under such agreements.  Note the UK’s request for more extensive rights of attendance: see </w:t>
      </w:r>
      <w:r w:rsidRPr="00F979D1">
        <w:rPr>
          <w:rFonts w:ascii="Times New Roman" w:hAnsi="Times New Roman" w:cs="Times New Roman"/>
          <w:i/>
          <w:sz w:val="20"/>
          <w:szCs w:val="20"/>
          <w:lang w:val="en-US"/>
        </w:rPr>
        <w:t>Draft Text for Discussion</w:t>
      </w:r>
      <w:r>
        <w:rPr>
          <w:rFonts w:ascii="Times New Roman" w:hAnsi="Times New Roman" w:cs="Times New Roman"/>
          <w:i/>
          <w:sz w:val="20"/>
          <w:szCs w:val="20"/>
          <w:lang w:val="en-US"/>
        </w:rPr>
        <w:t xml:space="preserve">, </w:t>
      </w:r>
      <w:r w:rsidRPr="00A50012">
        <w:rPr>
          <w:rFonts w:ascii="Times New Roman" w:hAnsi="Times New Roman" w:cs="Times New Roman"/>
          <w:sz w:val="20"/>
          <w:szCs w:val="20"/>
          <w:lang w:val="en-US"/>
        </w:rPr>
        <w:t>note 144 above</w:t>
      </w:r>
      <w:r w:rsidRPr="00F979D1">
        <w:rPr>
          <w:rFonts w:ascii="Times New Roman" w:hAnsi="Times New Roman" w:cs="Times New Roman"/>
          <w:sz w:val="20"/>
          <w:szCs w:val="20"/>
          <w:lang w:val="en-US"/>
        </w:rPr>
        <w:t xml:space="preserve">.  See also the specific provision relating to fisheries: Art 130(3) WA.  </w:t>
      </w:r>
    </w:p>
  </w:footnote>
  <w:footnote w:id="187">
    <w:p w14:paraId="189F86C3" w14:textId="3D4855B8"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Another footnote, to Art 132(1) WA, provides for further notification by the Union in the event of an extension to transition. </w:t>
      </w:r>
      <w:r w:rsidRPr="00F979D1">
        <w:rPr>
          <w:rFonts w:ascii="Times New Roman" w:hAnsi="Times New Roman" w:cs="Times New Roman"/>
          <w:sz w:val="20"/>
          <w:szCs w:val="20"/>
          <w:lang w:val="en-US"/>
        </w:rPr>
        <w:t xml:space="preserve">See Commission, </w:t>
      </w:r>
      <w:r w:rsidRPr="00F979D1">
        <w:rPr>
          <w:rFonts w:ascii="Times New Roman" w:hAnsi="Times New Roman" w:cs="Times New Roman"/>
          <w:i/>
          <w:sz w:val="20"/>
          <w:szCs w:val="20"/>
          <w:lang w:val="en-US"/>
        </w:rPr>
        <w:t xml:space="preserve">Template for the Note </w:t>
      </w:r>
      <w:proofErr w:type="spellStart"/>
      <w:r w:rsidRPr="00F979D1">
        <w:rPr>
          <w:rFonts w:ascii="Times New Roman" w:hAnsi="Times New Roman" w:cs="Times New Roman"/>
          <w:i/>
          <w:sz w:val="20"/>
          <w:szCs w:val="20"/>
          <w:lang w:val="en-US"/>
        </w:rPr>
        <w:t>Verbale</w:t>
      </w:r>
      <w:proofErr w:type="spellEnd"/>
      <w:r w:rsidRPr="00F979D1">
        <w:rPr>
          <w:rFonts w:ascii="Times New Roman" w:hAnsi="Times New Roman" w:cs="Times New Roman"/>
          <w:i/>
          <w:sz w:val="20"/>
          <w:szCs w:val="20"/>
          <w:lang w:val="en-US"/>
        </w:rPr>
        <w:t xml:space="preserve"> sent to International Partners after signature of the Withdrawal Agreement </w:t>
      </w:r>
      <w:r w:rsidRPr="00F979D1">
        <w:rPr>
          <w:rFonts w:ascii="Times New Roman" w:hAnsi="Times New Roman" w:cs="Times New Roman"/>
          <w:sz w:val="20"/>
          <w:szCs w:val="20"/>
          <w:lang w:val="en-US"/>
        </w:rPr>
        <w:t>(31 January 2020).</w:t>
      </w:r>
    </w:p>
  </w:footnote>
  <w:footnote w:id="188">
    <w:p w14:paraId="162214EE" w14:textId="5EB148F3"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As acknowledged by Michel </w:t>
      </w:r>
      <w:proofErr w:type="spellStart"/>
      <w:r w:rsidRPr="00F979D1">
        <w:rPr>
          <w:rFonts w:ascii="Times New Roman" w:hAnsi="Times New Roman" w:cs="Times New Roman"/>
          <w:sz w:val="20"/>
          <w:szCs w:val="20"/>
          <w:lang w:val="en-US"/>
        </w:rPr>
        <w:t>Barnier</w:t>
      </w:r>
      <w:proofErr w:type="spellEnd"/>
      <w:r w:rsidRPr="00F979D1">
        <w:rPr>
          <w:rFonts w:ascii="Times New Roman" w:hAnsi="Times New Roman" w:cs="Times New Roman"/>
          <w:sz w:val="20"/>
          <w:szCs w:val="20"/>
          <w:lang w:val="en-US"/>
        </w:rPr>
        <w:t xml:space="preserve">, </w:t>
      </w:r>
      <w:r w:rsidRPr="00F979D1">
        <w:rPr>
          <w:rFonts w:ascii="Times New Roman" w:hAnsi="Times New Roman" w:cs="Times New Roman"/>
          <w:i/>
          <w:sz w:val="20"/>
          <w:szCs w:val="20"/>
          <w:lang w:val="en-US"/>
        </w:rPr>
        <w:t xml:space="preserve">Press Statement on the adoption of negotiating directives on transitional arrangements </w:t>
      </w:r>
      <w:r>
        <w:rPr>
          <w:rFonts w:ascii="Times New Roman" w:hAnsi="Times New Roman" w:cs="Times New Roman"/>
          <w:sz w:val="20"/>
          <w:szCs w:val="20"/>
          <w:lang w:val="en-US"/>
        </w:rPr>
        <w:t>(29 January 2018);</w:t>
      </w:r>
      <w:r w:rsidRPr="00F979D1">
        <w:rPr>
          <w:rFonts w:ascii="Times New Roman" w:hAnsi="Times New Roman" w:cs="Times New Roman"/>
          <w:sz w:val="20"/>
          <w:szCs w:val="20"/>
          <w:lang w:val="en-US"/>
        </w:rPr>
        <w:t xml:space="preserve"> HMG, </w:t>
      </w:r>
      <w:r w:rsidRPr="00F979D1">
        <w:rPr>
          <w:rFonts w:ascii="Times New Roman" w:hAnsi="Times New Roman" w:cs="Times New Roman"/>
          <w:i/>
          <w:sz w:val="20"/>
          <w:szCs w:val="20"/>
          <w:lang w:val="en-US"/>
        </w:rPr>
        <w:t xml:space="preserve">Technical Note on International Agreements during the Implementation Period </w:t>
      </w:r>
      <w:r w:rsidRPr="00F979D1">
        <w:rPr>
          <w:rFonts w:ascii="Times New Roman" w:hAnsi="Times New Roman" w:cs="Times New Roman"/>
          <w:sz w:val="20"/>
          <w:szCs w:val="20"/>
          <w:lang w:val="en-US"/>
        </w:rPr>
        <w:t xml:space="preserve">(8 February 2018).  </w:t>
      </w:r>
      <w:r>
        <w:rPr>
          <w:rFonts w:ascii="Times New Roman" w:hAnsi="Times New Roman" w:cs="Times New Roman"/>
          <w:sz w:val="20"/>
          <w:szCs w:val="20"/>
          <w:lang w:val="en-US"/>
        </w:rPr>
        <w:t>See</w:t>
      </w:r>
      <w:r w:rsidRPr="00F979D1">
        <w:rPr>
          <w:rFonts w:ascii="Times New Roman" w:hAnsi="Times New Roman" w:cs="Times New Roman"/>
          <w:sz w:val="20"/>
          <w:szCs w:val="20"/>
          <w:lang w:val="en-US"/>
        </w:rPr>
        <w:t xml:space="preserve">, e.g. Wessel, “Consequences of Brexit for international agreements concluded by the EU and </w:t>
      </w:r>
      <w:proofErr w:type="gramStart"/>
      <w:r w:rsidRPr="00F979D1">
        <w:rPr>
          <w:rFonts w:ascii="Times New Roman" w:hAnsi="Times New Roman" w:cs="Times New Roman"/>
          <w:sz w:val="20"/>
          <w:szCs w:val="20"/>
          <w:lang w:val="en-US"/>
        </w:rPr>
        <w:t>its</w:t>
      </w:r>
      <w:proofErr w:type="gramEnd"/>
      <w:r w:rsidRPr="00F979D1">
        <w:rPr>
          <w:rFonts w:ascii="Times New Roman" w:hAnsi="Times New Roman" w:cs="Times New Roman"/>
          <w:sz w:val="20"/>
          <w:szCs w:val="20"/>
          <w:lang w:val="en-US"/>
        </w:rPr>
        <w:t xml:space="preserve"> Member States”, 55 CML Rev. </w:t>
      </w:r>
      <w:r w:rsidRPr="00F979D1">
        <w:rPr>
          <w:rFonts w:ascii="Times New Roman" w:hAnsi="Times New Roman" w:cs="Times New Roman"/>
          <w:sz w:val="20"/>
          <w:szCs w:val="20"/>
        </w:rPr>
        <w:t>(2018), Special Issue 101.</w:t>
      </w:r>
    </w:p>
  </w:footnote>
  <w:footnote w:id="189">
    <w:p w14:paraId="3C8488C6" w14:textId="6311D416"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Sections 3.3 and 3.4 (below).</w:t>
      </w:r>
    </w:p>
  </w:footnote>
  <w:footnote w:id="190">
    <w:p w14:paraId="49D7054F" w14:textId="4111F96E"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185 WA: with only limited exceptions, the “other separation provisions” contained in Part </w:t>
      </w:r>
      <w:proofErr w:type="gramStart"/>
      <w:r w:rsidRPr="00F979D1">
        <w:rPr>
          <w:rFonts w:ascii="Times New Roman" w:hAnsi="Times New Roman" w:cs="Times New Roman"/>
          <w:sz w:val="20"/>
          <w:szCs w:val="20"/>
        </w:rPr>
        <w:t>Three</w:t>
      </w:r>
      <w:proofErr w:type="gramEnd"/>
      <w:r w:rsidRPr="00F979D1">
        <w:rPr>
          <w:rFonts w:ascii="Times New Roman" w:hAnsi="Times New Roman" w:cs="Times New Roman"/>
          <w:sz w:val="20"/>
          <w:szCs w:val="20"/>
        </w:rPr>
        <w:t xml:space="preserve"> become applicable from the end of transition.  Note also Art 8 WA on ceasing the UK’s access to Union networks, information systems and databases; which is nevertheless subject to a series of exceptions, e.g. under Arts 29(2) and 34(2) WA </w:t>
      </w:r>
      <w:r>
        <w:rPr>
          <w:rFonts w:ascii="Times New Roman" w:hAnsi="Times New Roman" w:cs="Times New Roman"/>
          <w:sz w:val="20"/>
          <w:szCs w:val="20"/>
        </w:rPr>
        <w:t>as regards</w:t>
      </w:r>
      <w:r w:rsidRPr="00F979D1">
        <w:rPr>
          <w:rFonts w:ascii="Times New Roman" w:hAnsi="Times New Roman" w:cs="Times New Roman"/>
          <w:sz w:val="20"/>
          <w:szCs w:val="20"/>
        </w:rPr>
        <w:t xml:space="preserve"> citizens’ rights.  </w:t>
      </w:r>
    </w:p>
  </w:footnote>
  <w:footnote w:id="191">
    <w:p w14:paraId="6A70B9E2" w14:textId="4670A5F1"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Consider, e.g. the “continuity agreements” negotiated between the UK and various other third countries with a view to replicating existing EU agreements (particularly in the field of trade) either in the event of a “no deal” Brexit or upon expiry of the transition period.</w:t>
      </w:r>
    </w:p>
  </w:footnote>
  <w:footnote w:id="192">
    <w:p w14:paraId="0CC21A1F" w14:textId="72E72631"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 xml:space="preserve">Perhaps the </w:t>
      </w:r>
      <w:r>
        <w:rPr>
          <w:rFonts w:ascii="Times New Roman" w:hAnsi="Times New Roman" w:cs="Times New Roman"/>
          <w:sz w:val="20"/>
          <w:szCs w:val="20"/>
        </w:rPr>
        <w:t xml:space="preserve">worst </w:t>
      </w:r>
      <w:r w:rsidRPr="00F979D1">
        <w:rPr>
          <w:rFonts w:ascii="Times New Roman" w:hAnsi="Times New Roman" w:cs="Times New Roman"/>
          <w:sz w:val="20"/>
          <w:szCs w:val="20"/>
        </w:rPr>
        <w:t>example being Nigel Farage’s “Breaking Point” poster campaign (June 2016).</w:t>
      </w:r>
      <w:proofErr w:type="gramEnd"/>
    </w:p>
  </w:footnote>
  <w:footnote w:id="193">
    <w:p w14:paraId="6708D537" w14:textId="180F51AB"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 xml:space="preserve">E.g. Theresa May, </w:t>
      </w:r>
      <w:r w:rsidRPr="00F979D1">
        <w:rPr>
          <w:rFonts w:ascii="Times New Roman" w:hAnsi="Times New Roman" w:cs="Times New Roman"/>
          <w:i/>
          <w:sz w:val="20"/>
          <w:szCs w:val="20"/>
        </w:rPr>
        <w:t>Speech at Conservative Party conference</w:t>
      </w:r>
      <w:r w:rsidRPr="00F979D1">
        <w:rPr>
          <w:rFonts w:ascii="Times New Roman" w:hAnsi="Times New Roman" w:cs="Times New Roman"/>
          <w:sz w:val="20"/>
          <w:szCs w:val="20"/>
        </w:rPr>
        <w:t xml:space="preserve"> (5 October 2016); </w:t>
      </w:r>
      <w:r w:rsidRPr="00F979D1">
        <w:rPr>
          <w:rFonts w:ascii="Times New Roman" w:hAnsi="Times New Roman" w:cs="Times New Roman"/>
          <w:i/>
          <w:sz w:val="20"/>
          <w:szCs w:val="20"/>
        </w:rPr>
        <w:t xml:space="preserve">Lancaster House Speech </w:t>
      </w:r>
      <w:r w:rsidRPr="00F979D1">
        <w:rPr>
          <w:rFonts w:ascii="Times New Roman" w:hAnsi="Times New Roman" w:cs="Times New Roman"/>
          <w:sz w:val="20"/>
          <w:szCs w:val="20"/>
        </w:rPr>
        <w:t xml:space="preserve">(17 January 2017); </w:t>
      </w:r>
      <w:r w:rsidRPr="00F979D1">
        <w:rPr>
          <w:rFonts w:ascii="Times New Roman" w:hAnsi="Times New Roman" w:cs="Times New Roman"/>
          <w:i/>
          <w:sz w:val="20"/>
          <w:szCs w:val="20"/>
        </w:rPr>
        <w:t xml:space="preserve">Speech to CBI </w:t>
      </w:r>
      <w:r w:rsidRPr="00F979D1">
        <w:rPr>
          <w:rFonts w:ascii="Times New Roman" w:hAnsi="Times New Roman" w:cs="Times New Roman"/>
          <w:sz w:val="20"/>
          <w:szCs w:val="20"/>
        </w:rPr>
        <w:t>(19 November 2018).</w:t>
      </w:r>
      <w:proofErr w:type="gramEnd"/>
    </w:p>
  </w:footnote>
  <w:footnote w:id="194">
    <w:p w14:paraId="627D92CC" w14:textId="595A0319"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Section 4 (below).</w:t>
      </w:r>
    </w:p>
  </w:footnote>
  <w:footnote w:id="195">
    <w:p w14:paraId="7093A98C" w14:textId="70DDD4F4"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E.g. House of Lords </w:t>
      </w:r>
      <w:r>
        <w:rPr>
          <w:rFonts w:ascii="Times New Roman" w:hAnsi="Times New Roman" w:cs="Times New Roman"/>
          <w:sz w:val="20"/>
          <w:szCs w:val="20"/>
        </w:rPr>
        <w:t>EU</w:t>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Select Committee</w:t>
      </w:r>
      <w:proofErr w:type="gramEnd"/>
      <w:r w:rsidRPr="00F979D1">
        <w:rPr>
          <w:rFonts w:ascii="Times New Roman" w:hAnsi="Times New Roman" w:cs="Times New Roman"/>
          <w:sz w:val="20"/>
          <w:szCs w:val="20"/>
        </w:rPr>
        <w:t xml:space="preserve">, </w:t>
      </w:r>
      <w:r w:rsidRPr="00F979D1">
        <w:rPr>
          <w:rFonts w:ascii="Times New Roman" w:hAnsi="Times New Roman" w:cs="Times New Roman"/>
          <w:i/>
          <w:sz w:val="20"/>
          <w:szCs w:val="20"/>
        </w:rPr>
        <w:t xml:space="preserve">Brexit: Acquired Rights </w:t>
      </w:r>
      <w:r w:rsidRPr="00F979D1">
        <w:rPr>
          <w:rFonts w:ascii="Times New Roman" w:hAnsi="Times New Roman" w:cs="Times New Roman"/>
          <w:sz w:val="20"/>
          <w:szCs w:val="20"/>
        </w:rPr>
        <w:t xml:space="preserve">(HL82, 14 December 2016).  Testimonials from affected EU citizens in the UK are recorded in </w:t>
      </w:r>
      <w:proofErr w:type="spellStart"/>
      <w:r w:rsidRPr="00F979D1">
        <w:rPr>
          <w:rFonts w:ascii="Times New Roman" w:hAnsi="Times New Roman" w:cs="Times New Roman"/>
          <w:sz w:val="20"/>
          <w:szCs w:val="20"/>
        </w:rPr>
        <w:t>Remigi</w:t>
      </w:r>
      <w:proofErr w:type="spellEnd"/>
      <w:r w:rsidRPr="00F979D1">
        <w:rPr>
          <w:rFonts w:ascii="Times New Roman" w:hAnsi="Times New Roman" w:cs="Times New Roman"/>
          <w:sz w:val="20"/>
          <w:szCs w:val="20"/>
        </w:rPr>
        <w:t xml:space="preserve">, Martin and Sykes, </w:t>
      </w:r>
      <w:r w:rsidRPr="00F979D1">
        <w:rPr>
          <w:rFonts w:ascii="Times New Roman" w:hAnsi="Times New Roman" w:cs="Times New Roman"/>
          <w:i/>
          <w:sz w:val="20"/>
          <w:szCs w:val="20"/>
        </w:rPr>
        <w:t>In Limbo</w:t>
      </w:r>
      <w:r w:rsidRPr="00F979D1">
        <w:rPr>
          <w:rFonts w:ascii="Times New Roman" w:hAnsi="Times New Roman" w:cs="Times New Roman"/>
          <w:sz w:val="20"/>
          <w:szCs w:val="20"/>
        </w:rPr>
        <w:t xml:space="preserve"> (2017: ISBN 9781548026080).  </w:t>
      </w:r>
      <w:r>
        <w:rPr>
          <w:rFonts w:ascii="Times New Roman" w:hAnsi="Times New Roman" w:cs="Times New Roman"/>
          <w:sz w:val="20"/>
          <w:szCs w:val="20"/>
        </w:rPr>
        <w:t xml:space="preserve">For </w:t>
      </w:r>
      <w:r w:rsidRPr="00F979D1">
        <w:rPr>
          <w:rFonts w:ascii="Times New Roman" w:hAnsi="Times New Roman" w:cs="Times New Roman"/>
          <w:sz w:val="20"/>
          <w:szCs w:val="20"/>
        </w:rPr>
        <w:t>the experience of UK citizens across the EU27</w:t>
      </w:r>
      <w:r>
        <w:rPr>
          <w:rFonts w:ascii="Times New Roman" w:hAnsi="Times New Roman" w:cs="Times New Roman"/>
          <w:sz w:val="20"/>
          <w:szCs w:val="20"/>
        </w:rPr>
        <w:t xml:space="preserve">, see </w:t>
      </w:r>
      <w:proofErr w:type="spellStart"/>
      <w:r w:rsidRPr="00F979D1">
        <w:rPr>
          <w:rFonts w:ascii="Times New Roman" w:hAnsi="Times New Roman" w:cs="Times New Roman"/>
          <w:sz w:val="20"/>
          <w:szCs w:val="20"/>
        </w:rPr>
        <w:t>Remigi</w:t>
      </w:r>
      <w:proofErr w:type="spellEnd"/>
      <w:r w:rsidRPr="00F979D1">
        <w:rPr>
          <w:rFonts w:ascii="Times New Roman" w:hAnsi="Times New Roman" w:cs="Times New Roman"/>
          <w:sz w:val="20"/>
          <w:szCs w:val="20"/>
        </w:rPr>
        <w:t xml:space="preserve">, Williams, De Cruz, </w:t>
      </w:r>
      <w:proofErr w:type="spellStart"/>
      <w:r w:rsidRPr="00F979D1">
        <w:rPr>
          <w:rFonts w:ascii="Times New Roman" w:hAnsi="Times New Roman" w:cs="Times New Roman"/>
          <w:sz w:val="20"/>
          <w:szCs w:val="20"/>
        </w:rPr>
        <w:t>Pybus</w:t>
      </w:r>
      <w:proofErr w:type="spellEnd"/>
      <w:r w:rsidRPr="00F979D1">
        <w:rPr>
          <w:rFonts w:ascii="Times New Roman" w:hAnsi="Times New Roman" w:cs="Times New Roman"/>
          <w:sz w:val="20"/>
          <w:szCs w:val="20"/>
        </w:rPr>
        <w:t xml:space="preserve">, </w:t>
      </w:r>
      <w:proofErr w:type="spellStart"/>
      <w:r w:rsidRPr="00F979D1">
        <w:rPr>
          <w:rFonts w:ascii="Times New Roman" w:hAnsi="Times New Roman" w:cs="Times New Roman"/>
          <w:sz w:val="20"/>
          <w:szCs w:val="20"/>
        </w:rPr>
        <w:t>Killwick</w:t>
      </w:r>
      <w:proofErr w:type="spellEnd"/>
      <w:r w:rsidRPr="00F979D1">
        <w:rPr>
          <w:rFonts w:ascii="Times New Roman" w:hAnsi="Times New Roman" w:cs="Times New Roman"/>
          <w:sz w:val="20"/>
          <w:szCs w:val="20"/>
        </w:rPr>
        <w:t xml:space="preserve"> and Blackburn, </w:t>
      </w:r>
      <w:r w:rsidRPr="00F979D1">
        <w:rPr>
          <w:rFonts w:ascii="Times New Roman" w:hAnsi="Times New Roman" w:cs="Times New Roman"/>
          <w:i/>
          <w:sz w:val="20"/>
          <w:szCs w:val="20"/>
        </w:rPr>
        <w:t xml:space="preserve">In Limbo Too </w:t>
      </w:r>
      <w:r w:rsidRPr="00F979D1">
        <w:rPr>
          <w:rFonts w:ascii="Times New Roman" w:hAnsi="Times New Roman" w:cs="Times New Roman"/>
          <w:sz w:val="20"/>
          <w:szCs w:val="20"/>
        </w:rPr>
        <w:t>(2018: ISBN 9781721674244).</w:t>
      </w:r>
    </w:p>
  </w:footnote>
  <w:footnote w:id="196">
    <w:p w14:paraId="71947312" w14:textId="62661B65"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E.g. House of Lords </w:t>
      </w:r>
      <w:r>
        <w:rPr>
          <w:rFonts w:ascii="Times New Roman" w:hAnsi="Times New Roman" w:cs="Times New Roman"/>
          <w:sz w:val="20"/>
          <w:szCs w:val="20"/>
          <w:lang w:val="en-US"/>
        </w:rPr>
        <w:t xml:space="preserve">EU </w:t>
      </w:r>
      <w:r w:rsidRPr="00F979D1">
        <w:rPr>
          <w:rFonts w:ascii="Times New Roman" w:hAnsi="Times New Roman" w:cs="Times New Roman"/>
          <w:sz w:val="20"/>
          <w:szCs w:val="20"/>
          <w:lang w:val="en-US"/>
        </w:rPr>
        <w:t xml:space="preserve">Committee, </w:t>
      </w:r>
      <w:r w:rsidRPr="00F979D1">
        <w:rPr>
          <w:rFonts w:ascii="Times New Roman" w:hAnsi="Times New Roman" w:cs="Times New Roman"/>
          <w:i/>
          <w:sz w:val="20"/>
          <w:szCs w:val="20"/>
          <w:lang w:val="en-US"/>
        </w:rPr>
        <w:t xml:space="preserve">Brexit: Acquired Rights </w:t>
      </w:r>
      <w:r w:rsidRPr="00F979D1">
        <w:rPr>
          <w:rFonts w:ascii="Times New Roman" w:hAnsi="Times New Roman" w:cs="Times New Roman"/>
          <w:sz w:val="20"/>
          <w:szCs w:val="20"/>
          <w:lang w:val="en-US"/>
        </w:rPr>
        <w:t xml:space="preserve">(HL82, 14 December 2016); House of Commons Exiting the EU Committee, </w:t>
      </w:r>
      <w:r w:rsidRPr="00F979D1">
        <w:rPr>
          <w:rFonts w:ascii="Times New Roman" w:hAnsi="Times New Roman" w:cs="Times New Roman"/>
          <w:i/>
          <w:sz w:val="20"/>
          <w:szCs w:val="20"/>
          <w:lang w:val="en-US"/>
        </w:rPr>
        <w:t xml:space="preserve">The Government’s Negotiating Objectives: The Rights of UK and EU Citizens </w:t>
      </w:r>
      <w:r w:rsidRPr="00F979D1">
        <w:rPr>
          <w:rFonts w:ascii="Times New Roman" w:hAnsi="Times New Roman" w:cs="Times New Roman"/>
          <w:sz w:val="20"/>
          <w:szCs w:val="20"/>
          <w:lang w:val="en-US"/>
        </w:rPr>
        <w:t xml:space="preserve">(HC1071, 5 March 2017); House of Lords </w:t>
      </w:r>
      <w:r>
        <w:rPr>
          <w:rFonts w:ascii="Times New Roman" w:hAnsi="Times New Roman" w:cs="Times New Roman"/>
          <w:sz w:val="20"/>
          <w:szCs w:val="20"/>
          <w:lang w:val="en-US"/>
        </w:rPr>
        <w:t xml:space="preserve">EU </w:t>
      </w:r>
      <w:r w:rsidRPr="00F979D1">
        <w:rPr>
          <w:rFonts w:ascii="Times New Roman" w:hAnsi="Times New Roman" w:cs="Times New Roman"/>
          <w:sz w:val="20"/>
          <w:szCs w:val="20"/>
          <w:lang w:val="en-US"/>
        </w:rPr>
        <w:t xml:space="preserve">Committee, </w:t>
      </w:r>
      <w:r w:rsidRPr="00F979D1">
        <w:rPr>
          <w:rFonts w:ascii="Times New Roman" w:hAnsi="Times New Roman" w:cs="Times New Roman"/>
          <w:i/>
          <w:sz w:val="20"/>
          <w:szCs w:val="20"/>
          <w:lang w:val="en-US"/>
        </w:rPr>
        <w:t xml:space="preserve">Brexit: UK-EU Movement of People </w:t>
      </w:r>
      <w:r w:rsidRPr="00F979D1">
        <w:rPr>
          <w:rFonts w:ascii="Times New Roman" w:hAnsi="Times New Roman" w:cs="Times New Roman"/>
          <w:sz w:val="20"/>
          <w:szCs w:val="20"/>
          <w:lang w:val="en-US"/>
        </w:rPr>
        <w:t xml:space="preserve">(HL121, March 2017).  The UK Government eventually offered a unilateral guarantee for Union citizens’ rights: </w:t>
      </w:r>
      <w:r>
        <w:rPr>
          <w:rFonts w:ascii="Times New Roman" w:hAnsi="Times New Roman" w:cs="Times New Roman"/>
          <w:sz w:val="20"/>
          <w:szCs w:val="20"/>
          <w:lang w:val="en-US"/>
        </w:rPr>
        <w:t>HMG</w:t>
      </w:r>
      <w:r w:rsidRPr="00F979D1">
        <w:rPr>
          <w:rFonts w:ascii="Times New Roman" w:hAnsi="Times New Roman" w:cs="Times New Roman"/>
          <w:sz w:val="20"/>
          <w:szCs w:val="20"/>
          <w:lang w:val="en-US"/>
        </w:rPr>
        <w:t xml:space="preserve">, </w:t>
      </w:r>
      <w:r w:rsidRPr="00F979D1">
        <w:rPr>
          <w:rFonts w:ascii="Times New Roman" w:hAnsi="Times New Roman" w:cs="Times New Roman"/>
          <w:i/>
          <w:sz w:val="20"/>
          <w:szCs w:val="20"/>
          <w:lang w:val="en-US"/>
        </w:rPr>
        <w:t>Citizens’ Rights: EU Citizens in the UK and UK Nationals in the EU</w:t>
      </w:r>
      <w:r w:rsidRPr="00F979D1">
        <w:rPr>
          <w:rFonts w:ascii="Times New Roman" w:hAnsi="Times New Roman" w:cs="Times New Roman"/>
          <w:sz w:val="20"/>
          <w:szCs w:val="20"/>
          <w:lang w:val="en-US"/>
        </w:rPr>
        <w:t xml:space="preserve"> (6 December 2018); note also Home Office, </w:t>
      </w:r>
      <w:r w:rsidRPr="00F979D1">
        <w:rPr>
          <w:rFonts w:ascii="Times New Roman" w:hAnsi="Times New Roman" w:cs="Times New Roman"/>
          <w:i/>
          <w:sz w:val="20"/>
          <w:szCs w:val="20"/>
          <w:lang w:val="en-US"/>
        </w:rPr>
        <w:t xml:space="preserve">European Temporary Leave to Remain in the UK </w:t>
      </w:r>
      <w:r w:rsidRPr="00F979D1">
        <w:rPr>
          <w:rFonts w:ascii="Times New Roman" w:hAnsi="Times New Roman" w:cs="Times New Roman"/>
          <w:sz w:val="20"/>
          <w:szCs w:val="20"/>
          <w:lang w:val="en-US"/>
        </w:rPr>
        <w:t>(28 January 2019).</w:t>
      </w:r>
    </w:p>
  </w:footnote>
  <w:footnote w:id="197">
    <w:p w14:paraId="084CFF12" w14:textId="12924750"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While suggesting that the EU was preventing progress here: </w:t>
      </w:r>
      <w:r w:rsidRPr="00F979D1">
        <w:rPr>
          <w:rFonts w:ascii="Times New Roman" w:hAnsi="Times New Roman" w:cs="Times New Roman"/>
          <w:sz w:val="20"/>
          <w:szCs w:val="20"/>
        </w:rPr>
        <w:t>HMG, Cm 9417 of 2 February 2017.</w:t>
      </w:r>
    </w:p>
  </w:footnote>
  <w:footnote w:id="198">
    <w:p w14:paraId="226596FD" w14:textId="11254DCF"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Contrast </w:t>
      </w:r>
      <w:r w:rsidRPr="00F979D1">
        <w:rPr>
          <w:rFonts w:ascii="Times New Roman" w:hAnsi="Times New Roman" w:cs="Times New Roman"/>
          <w:sz w:val="20"/>
          <w:szCs w:val="20"/>
          <w:lang w:val="en-US"/>
        </w:rPr>
        <w:t xml:space="preserve">Commission, </w:t>
      </w:r>
      <w:r w:rsidRPr="00F979D1">
        <w:rPr>
          <w:rFonts w:ascii="Times New Roman" w:hAnsi="Times New Roman" w:cs="Times New Roman"/>
          <w:i/>
          <w:sz w:val="20"/>
          <w:szCs w:val="20"/>
          <w:lang w:val="en-US"/>
        </w:rPr>
        <w:t>Position Paper on Essential Principles on Citizens’ Rights</w:t>
      </w:r>
      <w:r w:rsidRPr="00F979D1">
        <w:rPr>
          <w:rFonts w:ascii="Times New Roman" w:hAnsi="Times New Roman" w:cs="Times New Roman"/>
          <w:sz w:val="20"/>
          <w:szCs w:val="20"/>
          <w:lang w:val="en-US"/>
        </w:rPr>
        <w:t xml:space="preserve"> (12 June 2017) with HMG, </w:t>
      </w:r>
      <w:r w:rsidRPr="00F979D1">
        <w:rPr>
          <w:rFonts w:ascii="Times New Roman" w:hAnsi="Times New Roman" w:cs="Times New Roman"/>
          <w:i/>
          <w:sz w:val="20"/>
          <w:szCs w:val="20"/>
          <w:lang w:val="en-US"/>
        </w:rPr>
        <w:t xml:space="preserve">Safeguarding the position of EU citizens living in the UK and UK nationals living in the EU </w:t>
      </w:r>
      <w:r w:rsidRPr="00F979D1">
        <w:rPr>
          <w:rFonts w:ascii="Times New Roman" w:hAnsi="Times New Roman" w:cs="Times New Roman"/>
          <w:sz w:val="20"/>
          <w:szCs w:val="20"/>
          <w:lang w:val="en-US"/>
        </w:rPr>
        <w:t>(26 June 2017).</w:t>
      </w:r>
    </w:p>
  </w:footnote>
  <w:footnote w:id="199">
    <w:p w14:paraId="41BE9C70" w14:textId="1B874DC5"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e.g. the “joint technical notes” on citizens’ rights published by the Commission and the UK (e.g. on 20 July, 31 August and 28 September 2017); culminating in the Joint Report from the </w:t>
      </w:r>
      <w:r>
        <w:rPr>
          <w:rFonts w:ascii="Times New Roman" w:hAnsi="Times New Roman" w:cs="Times New Roman"/>
          <w:sz w:val="20"/>
          <w:szCs w:val="20"/>
        </w:rPr>
        <w:t xml:space="preserve">EU and UK </w:t>
      </w:r>
      <w:r w:rsidRPr="00F979D1">
        <w:rPr>
          <w:rFonts w:ascii="Times New Roman" w:hAnsi="Times New Roman" w:cs="Times New Roman"/>
          <w:sz w:val="20"/>
          <w:szCs w:val="20"/>
        </w:rPr>
        <w:t>negotiators (8 December 201</w:t>
      </w:r>
      <w:r>
        <w:rPr>
          <w:rFonts w:ascii="Times New Roman" w:hAnsi="Times New Roman" w:cs="Times New Roman"/>
          <w:sz w:val="20"/>
          <w:szCs w:val="20"/>
        </w:rPr>
        <w:t xml:space="preserve">7) and </w:t>
      </w:r>
      <w:r w:rsidRPr="00F979D1">
        <w:rPr>
          <w:rFonts w:ascii="Times New Roman" w:hAnsi="Times New Roman" w:cs="Times New Roman"/>
          <w:sz w:val="20"/>
          <w:szCs w:val="20"/>
        </w:rPr>
        <w:t xml:space="preserve">Joint Technical Note on Citizens’ Rights (TF50 (2017) 20).  </w:t>
      </w:r>
    </w:p>
  </w:footnote>
  <w:footnote w:id="200">
    <w:p w14:paraId="75772BFB" w14:textId="672C4D68" w:rsidR="00FD11BB" w:rsidRPr="00F979D1" w:rsidRDefault="00FD11BB" w:rsidP="00F979D1">
      <w:pPr>
        <w:widowControl w:val="0"/>
        <w:autoSpaceDE w:val="0"/>
        <w:autoSpaceDN w:val="0"/>
        <w:adjustRightInd w:val="0"/>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185 WA: with only limited exceptions, the provisions of Part Two (as well as Arts 158-159 WA) are applicable only from the end of transition.  Note that separate agreements protecting citizens’ rights have been concluded between the UK and the </w:t>
      </w:r>
      <w:r w:rsidRPr="00F979D1">
        <w:rPr>
          <w:rFonts w:ascii="Times New Roman" w:hAnsi="Times New Roman" w:cs="Times New Roman"/>
          <w:sz w:val="20"/>
          <w:szCs w:val="20"/>
          <w:lang w:val="en-US"/>
        </w:rPr>
        <w:t>EFTA-EEA states (as part of the EFTA</w:t>
      </w:r>
      <w:r>
        <w:rPr>
          <w:rFonts w:ascii="Times New Roman" w:hAnsi="Times New Roman" w:cs="Times New Roman"/>
          <w:sz w:val="20"/>
          <w:szCs w:val="20"/>
          <w:lang w:val="en-US"/>
        </w:rPr>
        <w:t>-EEA</w:t>
      </w:r>
      <w:r w:rsidRPr="00F979D1">
        <w:rPr>
          <w:rFonts w:ascii="Times New Roman" w:hAnsi="Times New Roman" w:cs="Times New Roman"/>
          <w:sz w:val="20"/>
          <w:szCs w:val="20"/>
          <w:lang w:val="en-US"/>
        </w:rPr>
        <w:t xml:space="preserve"> Separation Agreement) as well as with Switzerland (under the dedicated Swiss Citizens’ Rights Agreement).  The Agreement allows those extraneous </w:t>
      </w:r>
      <w:r>
        <w:rPr>
          <w:rFonts w:ascii="Times New Roman" w:hAnsi="Times New Roman" w:cs="Times New Roman"/>
          <w:sz w:val="20"/>
          <w:szCs w:val="20"/>
          <w:lang w:val="en-US"/>
        </w:rPr>
        <w:t>treaties</w:t>
      </w:r>
      <w:r w:rsidRPr="00F979D1">
        <w:rPr>
          <w:rFonts w:ascii="Times New Roman" w:hAnsi="Times New Roman" w:cs="Times New Roman"/>
          <w:sz w:val="20"/>
          <w:szCs w:val="20"/>
          <w:lang w:val="en-US"/>
        </w:rPr>
        <w:t xml:space="preserve"> to be linked into the EU-UK provisions concerning cross-border social security coordination: Art 33 WA.  </w:t>
      </w:r>
    </w:p>
  </w:footnote>
  <w:footnote w:id="201">
    <w:p w14:paraId="3AE7077B" w14:textId="25744E89"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Art 38(1) WA – excluding the social security coordination rules under Arts 30-36 WA.</w:t>
      </w:r>
    </w:p>
  </w:footnote>
  <w:footnote w:id="202">
    <w:p w14:paraId="05524DEF" w14:textId="29A28C83"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Specific provision is also made for frontier workers: Arts 9(b) and 10(1)(c)-(d) WA.  Note also Art 1, Protocol on Gibraltar.  </w:t>
      </w:r>
    </w:p>
  </w:footnote>
  <w:footnote w:id="203">
    <w:p w14:paraId="5BEC26D7" w14:textId="7B44A9EE"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Art 39 </w:t>
      </w:r>
      <w:proofErr w:type="gramStart"/>
      <w:r w:rsidRPr="00F979D1">
        <w:rPr>
          <w:rFonts w:ascii="Times New Roman" w:hAnsi="Times New Roman" w:cs="Times New Roman"/>
          <w:sz w:val="20"/>
          <w:szCs w:val="20"/>
          <w:lang w:val="en-US"/>
        </w:rPr>
        <w:t>WA.</w:t>
      </w:r>
      <w:proofErr w:type="gramEnd"/>
    </w:p>
  </w:footnote>
  <w:footnote w:id="204">
    <w:p w14:paraId="26CE8FA4" w14:textId="330DD4D8"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Arts 13(1) and (4) WA.</w:t>
      </w:r>
      <w:proofErr w:type="gramEnd"/>
      <w:r w:rsidRPr="00F979D1">
        <w:rPr>
          <w:rFonts w:ascii="Times New Roman" w:hAnsi="Times New Roman" w:cs="Times New Roman"/>
          <w:sz w:val="20"/>
          <w:szCs w:val="20"/>
        </w:rPr>
        <w:t xml:space="preserve">  Art 14 WA covers rights of exit and entry.</w:t>
      </w:r>
    </w:p>
  </w:footnote>
  <w:footnote w:id="205">
    <w:p w14:paraId="7305BAAE" w14:textId="34AB31F8"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Arts 11, 15 and 16 WA.</w:t>
      </w:r>
      <w:proofErr w:type="gramEnd"/>
    </w:p>
  </w:footnote>
  <w:footnote w:id="206">
    <w:p w14:paraId="013E32C3" w14:textId="26A8C638"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17 </w:t>
      </w:r>
      <w:proofErr w:type="gramStart"/>
      <w:r w:rsidRPr="00F979D1">
        <w:rPr>
          <w:rFonts w:ascii="Times New Roman" w:hAnsi="Times New Roman" w:cs="Times New Roman"/>
          <w:sz w:val="20"/>
          <w:szCs w:val="20"/>
        </w:rPr>
        <w:t>WA.</w:t>
      </w:r>
      <w:proofErr w:type="gramEnd"/>
    </w:p>
  </w:footnote>
  <w:footnote w:id="207">
    <w:p w14:paraId="71AD210D" w14:textId="33C924FE" w:rsidR="00FD11BB" w:rsidRPr="00F979D1" w:rsidRDefault="00FD11BB" w:rsidP="00F979D1">
      <w:pPr>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Arts 12 and 23-25 WA.</w:t>
      </w:r>
      <w:proofErr w:type="gramEnd"/>
    </w:p>
  </w:footnote>
  <w:footnote w:id="208">
    <w:p w14:paraId="39BDC186" w14:textId="469CE529"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Arts 27-29 WA.</w:t>
      </w:r>
      <w:proofErr w:type="gramEnd"/>
    </w:p>
  </w:footnote>
  <w:footnote w:id="209">
    <w:p w14:paraId="6CCB88F1" w14:textId="486B51B1"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Note also Annex I.</w:t>
      </w:r>
    </w:p>
  </w:footnote>
  <w:footnote w:id="210">
    <w:p w14:paraId="04384F09" w14:textId="65BEBD0D"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further, on the vulnerable position of Union citizens within the UK, O’Brien, </w:t>
      </w:r>
      <w:proofErr w:type="gramStart"/>
      <w:r w:rsidRPr="00F979D1">
        <w:rPr>
          <w:rFonts w:ascii="Times New Roman" w:hAnsi="Times New Roman" w:cs="Times New Roman"/>
          <w:i/>
          <w:sz w:val="20"/>
          <w:szCs w:val="20"/>
        </w:rPr>
        <w:t>Unity</w:t>
      </w:r>
      <w:proofErr w:type="gramEnd"/>
      <w:r w:rsidRPr="00F979D1">
        <w:rPr>
          <w:rFonts w:ascii="Times New Roman" w:hAnsi="Times New Roman" w:cs="Times New Roman"/>
          <w:i/>
          <w:sz w:val="20"/>
          <w:szCs w:val="20"/>
        </w:rPr>
        <w:t xml:space="preserve"> in Adversity: EU Citizenship, Social Justice and the Cautionary Tale of the UK </w:t>
      </w:r>
      <w:r w:rsidRPr="00F979D1">
        <w:rPr>
          <w:rFonts w:ascii="Times New Roman" w:hAnsi="Times New Roman" w:cs="Times New Roman"/>
          <w:sz w:val="20"/>
          <w:szCs w:val="20"/>
        </w:rPr>
        <w:t>(Hart, 2017).</w:t>
      </w:r>
    </w:p>
  </w:footnote>
  <w:footnote w:id="211">
    <w:p w14:paraId="7168CEBA" w14:textId="2856AB55"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The Agreement contains certain standards of fair treatment, e.g. Art 18(1) WA contains a principle of evidential flexibility</w:t>
      </w:r>
      <w:r>
        <w:rPr>
          <w:rFonts w:ascii="Times New Roman" w:hAnsi="Times New Roman" w:cs="Times New Roman"/>
          <w:sz w:val="20"/>
          <w:szCs w:val="20"/>
        </w:rPr>
        <w:t>;</w:t>
      </w:r>
      <w:r w:rsidRPr="00F979D1">
        <w:rPr>
          <w:rFonts w:ascii="Times New Roman" w:hAnsi="Times New Roman" w:cs="Times New Roman"/>
          <w:sz w:val="20"/>
          <w:szCs w:val="20"/>
        </w:rPr>
        <w:t xml:space="preserve"> Art 13(4) WA provides that discretion in applying the relevant limitations / conditions shall be applied only in favour of the applicant.  However, such benefits still presuppose that the claimant meets the objective requirements laid down in the Agreement </w:t>
      </w:r>
      <w:r>
        <w:rPr>
          <w:rFonts w:ascii="Times New Roman" w:hAnsi="Times New Roman" w:cs="Times New Roman"/>
          <w:sz w:val="20"/>
          <w:szCs w:val="20"/>
        </w:rPr>
        <w:t>/</w:t>
      </w:r>
      <w:r w:rsidRPr="00F979D1">
        <w:rPr>
          <w:rFonts w:ascii="Times New Roman" w:hAnsi="Times New Roman" w:cs="Times New Roman"/>
          <w:sz w:val="20"/>
          <w:szCs w:val="20"/>
        </w:rPr>
        <w:t xml:space="preserve"> imposed under applicable Union law.</w:t>
      </w:r>
    </w:p>
  </w:footnote>
  <w:footnote w:id="212">
    <w:p w14:paraId="7861182B" w14:textId="76AA44C2"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w:t>
      </w:r>
      <w:proofErr w:type="spellStart"/>
      <w:r w:rsidRPr="00F979D1">
        <w:rPr>
          <w:rFonts w:ascii="Times New Roman" w:hAnsi="Times New Roman" w:cs="Times New Roman"/>
          <w:sz w:val="20"/>
          <w:szCs w:val="20"/>
        </w:rPr>
        <w:t>Spaventa</w:t>
      </w:r>
      <w:proofErr w:type="spellEnd"/>
      <w:r w:rsidRPr="00F979D1">
        <w:rPr>
          <w:rFonts w:ascii="Times New Roman" w:hAnsi="Times New Roman" w:cs="Times New Roman"/>
          <w:sz w:val="20"/>
          <w:szCs w:val="20"/>
        </w:rPr>
        <w:t xml:space="preserve">, </w:t>
      </w:r>
      <w:r w:rsidRPr="00F979D1">
        <w:rPr>
          <w:rFonts w:ascii="Times New Roman" w:hAnsi="Times New Roman" w:cs="Times New Roman"/>
          <w:i/>
          <w:sz w:val="20"/>
          <w:szCs w:val="20"/>
        </w:rPr>
        <w:t>Update of the Study on the Impact of Brexit in Relation to the Right to Petition and on the Competences, Responsibilities and Activities of the Committee on Petitions</w:t>
      </w:r>
      <w:r w:rsidRPr="00F979D1">
        <w:rPr>
          <w:rFonts w:ascii="Times New Roman" w:hAnsi="Times New Roman" w:cs="Times New Roman"/>
          <w:sz w:val="20"/>
          <w:szCs w:val="20"/>
        </w:rPr>
        <w:t xml:space="preserve"> </w:t>
      </w:r>
      <w:r w:rsidRPr="00F979D1">
        <w:rPr>
          <w:rFonts w:ascii="Times New Roman" w:eastAsia="Times New Roman" w:hAnsi="Times New Roman" w:cs="Times New Roman"/>
          <w:sz w:val="20"/>
          <w:szCs w:val="20"/>
        </w:rPr>
        <w:t xml:space="preserve">(European Parliament, Policy Department for Citizens’ Rights and Constitutional Affairs: PE 604.959, April 2018).  Note the very limited exception provided for in Art 19(4) WA.  </w:t>
      </w:r>
    </w:p>
  </w:footnote>
  <w:footnote w:id="213">
    <w:p w14:paraId="48D8E709" w14:textId="7D1B6F4B"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Home Office, </w:t>
      </w:r>
      <w:r w:rsidRPr="00F979D1">
        <w:rPr>
          <w:rFonts w:ascii="Times New Roman" w:hAnsi="Times New Roman" w:cs="Times New Roman"/>
          <w:i/>
          <w:sz w:val="20"/>
          <w:szCs w:val="20"/>
        </w:rPr>
        <w:t>EU Settlement Scheme: Statement of Intent</w:t>
      </w:r>
      <w:r w:rsidRPr="00F979D1">
        <w:rPr>
          <w:rFonts w:ascii="Times New Roman" w:hAnsi="Times New Roman" w:cs="Times New Roman"/>
          <w:sz w:val="20"/>
          <w:szCs w:val="20"/>
        </w:rPr>
        <w:t xml:space="preserve"> (21 June 2018).</w:t>
      </w:r>
    </w:p>
  </w:footnote>
  <w:footnote w:id="214">
    <w:p w14:paraId="72B223E3" w14:textId="2DB07ABB" w:rsidR="00FD11BB" w:rsidRPr="00F979D1" w:rsidRDefault="00FD11BB" w:rsidP="00F979D1">
      <w:pPr>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 strict approach (e.g. akin to </w:t>
      </w:r>
      <w:r w:rsidRPr="00F979D1">
        <w:rPr>
          <w:rFonts w:ascii="Times New Roman" w:hAnsi="Times New Roman" w:cs="Times New Roman"/>
          <w:sz w:val="20"/>
          <w:szCs w:val="20"/>
          <w:shd w:val="clear" w:color="auto" w:fill="FFFFFF"/>
        </w:rPr>
        <w:t>Joined Cases C</w:t>
      </w:r>
      <w:r w:rsidRPr="00F979D1">
        <w:rPr>
          <w:rFonts w:ascii="Times New Roman" w:hAnsi="Times New Roman" w:cs="Times New Roman"/>
          <w:sz w:val="20"/>
          <w:szCs w:val="20"/>
          <w:shd w:val="clear" w:color="auto" w:fill="FFFFFF"/>
        </w:rPr>
        <w:noBreakHyphen/>
        <w:t>424/10 and C</w:t>
      </w:r>
      <w:r w:rsidRPr="00F979D1">
        <w:rPr>
          <w:rFonts w:ascii="Times New Roman" w:hAnsi="Times New Roman" w:cs="Times New Roman"/>
          <w:sz w:val="20"/>
          <w:szCs w:val="20"/>
          <w:shd w:val="clear" w:color="auto" w:fill="FFFFFF"/>
        </w:rPr>
        <w:noBreakHyphen/>
        <w:t xml:space="preserve">425/10, </w:t>
      </w:r>
      <w:proofErr w:type="spellStart"/>
      <w:r w:rsidRPr="00F979D1">
        <w:rPr>
          <w:rFonts w:ascii="Times New Roman" w:hAnsi="Times New Roman" w:cs="Times New Roman"/>
          <w:bCs/>
          <w:i/>
          <w:sz w:val="20"/>
          <w:szCs w:val="20"/>
        </w:rPr>
        <w:t>Ziolkowski</w:t>
      </w:r>
      <w:proofErr w:type="spellEnd"/>
      <w:r w:rsidRPr="00F979D1">
        <w:rPr>
          <w:rFonts w:ascii="Times New Roman" w:hAnsi="Times New Roman" w:cs="Times New Roman"/>
          <w:i/>
          <w:sz w:val="20"/>
          <w:szCs w:val="20"/>
        </w:rPr>
        <w:t xml:space="preserve"> </w:t>
      </w:r>
      <w:r w:rsidRPr="00F979D1">
        <w:rPr>
          <w:rFonts w:ascii="Times New Roman" w:hAnsi="Times New Roman" w:cs="Times New Roman"/>
          <w:i/>
          <w:sz w:val="20"/>
          <w:szCs w:val="20"/>
          <w:shd w:val="clear" w:color="auto" w:fill="FFFFFF"/>
        </w:rPr>
        <w:t xml:space="preserve">and </w:t>
      </w:r>
      <w:proofErr w:type="spellStart"/>
      <w:r w:rsidRPr="00F979D1">
        <w:rPr>
          <w:rFonts w:ascii="Times New Roman" w:hAnsi="Times New Roman" w:cs="Times New Roman"/>
          <w:i/>
          <w:sz w:val="20"/>
          <w:szCs w:val="20"/>
          <w:shd w:val="clear" w:color="auto" w:fill="FFFFFF"/>
        </w:rPr>
        <w:t>Szeja</w:t>
      </w:r>
      <w:proofErr w:type="spellEnd"/>
      <w:r w:rsidRPr="00F979D1">
        <w:rPr>
          <w:rFonts w:ascii="Times New Roman" w:hAnsi="Times New Roman" w:cs="Times New Roman"/>
          <w:sz w:val="20"/>
          <w:szCs w:val="20"/>
          <w:shd w:val="clear" w:color="auto" w:fill="FFFFFF"/>
        </w:rPr>
        <w:t>, C</w:t>
      </w:r>
      <w:proofErr w:type="gramStart"/>
      <w:r w:rsidRPr="00F979D1">
        <w:rPr>
          <w:rFonts w:ascii="Times New Roman" w:hAnsi="Times New Roman" w:cs="Times New Roman"/>
          <w:sz w:val="20"/>
          <w:szCs w:val="20"/>
          <w:shd w:val="clear" w:color="auto" w:fill="FFFFFF"/>
        </w:rPr>
        <w:t>:2011:866</w:t>
      </w:r>
      <w:proofErr w:type="gramEnd"/>
      <w:r w:rsidRPr="00F979D1">
        <w:rPr>
          <w:rFonts w:ascii="Times New Roman" w:hAnsi="Times New Roman" w:cs="Times New Roman"/>
          <w:sz w:val="20"/>
          <w:szCs w:val="20"/>
          <w:shd w:val="clear" w:color="auto" w:fill="FFFFFF"/>
        </w:rPr>
        <w:t xml:space="preserve"> and </w:t>
      </w:r>
      <w:r w:rsidRPr="00F979D1">
        <w:rPr>
          <w:rFonts w:ascii="Times New Roman" w:hAnsi="Times New Roman" w:cs="Times New Roman"/>
          <w:sz w:val="20"/>
          <w:szCs w:val="20"/>
        </w:rPr>
        <w:t xml:space="preserve">Case C-333/13, </w:t>
      </w:r>
      <w:proofErr w:type="spellStart"/>
      <w:r w:rsidRPr="00F979D1">
        <w:rPr>
          <w:rFonts w:ascii="Times New Roman" w:hAnsi="Times New Roman" w:cs="Times New Roman"/>
          <w:i/>
          <w:sz w:val="20"/>
          <w:szCs w:val="20"/>
        </w:rPr>
        <w:t>Dano</w:t>
      </w:r>
      <w:proofErr w:type="spellEnd"/>
      <w:r w:rsidRPr="00F979D1">
        <w:rPr>
          <w:rFonts w:ascii="Times New Roman" w:hAnsi="Times New Roman" w:cs="Times New Roman"/>
          <w:sz w:val="20"/>
          <w:szCs w:val="20"/>
        </w:rPr>
        <w:t xml:space="preserve">, C:2014:2358) might argue that only legal qualification under the strict terms of Union law counts for protection under the Agreement; whereas a more generous approach (e.g. akin to Case C-85/96, </w:t>
      </w:r>
      <w:r w:rsidRPr="00F979D1">
        <w:rPr>
          <w:rFonts w:ascii="Times New Roman" w:hAnsi="Times New Roman" w:cs="Times New Roman"/>
          <w:i/>
          <w:sz w:val="20"/>
          <w:szCs w:val="20"/>
        </w:rPr>
        <w:t xml:space="preserve">Sala, </w:t>
      </w:r>
      <w:r w:rsidRPr="00F979D1">
        <w:rPr>
          <w:rFonts w:ascii="Times New Roman" w:hAnsi="Times New Roman" w:cs="Times New Roman"/>
          <w:sz w:val="20"/>
          <w:szCs w:val="20"/>
        </w:rPr>
        <w:t>C:1998:217</w:t>
      </w:r>
      <w:r w:rsidRPr="00F979D1">
        <w:rPr>
          <w:rFonts w:ascii="Times New Roman" w:hAnsi="Times New Roman" w:cs="Times New Roman"/>
          <w:i/>
          <w:sz w:val="20"/>
          <w:szCs w:val="20"/>
        </w:rPr>
        <w:t xml:space="preserve"> </w:t>
      </w:r>
      <w:r w:rsidRPr="00F979D1">
        <w:rPr>
          <w:rFonts w:ascii="Times New Roman" w:hAnsi="Times New Roman" w:cs="Times New Roman"/>
          <w:sz w:val="20"/>
          <w:szCs w:val="20"/>
        </w:rPr>
        <w:t xml:space="preserve">and Case C-456/02, </w:t>
      </w:r>
      <w:proofErr w:type="spellStart"/>
      <w:r w:rsidRPr="00F979D1">
        <w:rPr>
          <w:rFonts w:ascii="Times New Roman" w:hAnsi="Times New Roman" w:cs="Times New Roman"/>
          <w:i/>
          <w:sz w:val="20"/>
          <w:szCs w:val="20"/>
        </w:rPr>
        <w:t>Trojani</w:t>
      </w:r>
      <w:proofErr w:type="spellEnd"/>
      <w:r w:rsidRPr="00F979D1">
        <w:rPr>
          <w:rFonts w:ascii="Times New Roman" w:hAnsi="Times New Roman" w:cs="Times New Roman"/>
          <w:sz w:val="20"/>
          <w:szCs w:val="20"/>
        </w:rPr>
        <w:t>, C:2004:488) would suggest that, if the host state offers or recognises protected status under the Agreement, the individual is entitled to its full range of protections (even if they do not strictly satisfy its basic requirements).</w:t>
      </w:r>
    </w:p>
  </w:footnote>
  <w:footnote w:id="215">
    <w:p w14:paraId="3840DA72" w14:textId="52A8C246"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Art 38(2) WA.  See further Section 3.4.1 (below).  </w:t>
      </w:r>
    </w:p>
  </w:footnote>
  <w:footnote w:id="216">
    <w:p w14:paraId="7C097F33" w14:textId="35B3BB53"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further below, on the treatment of the family members of protected Union citizens: although limited, those provisions may still be more generous than those applicable to the family members of UK and Irish nationals under purely domestic UK immigration law.</w:t>
      </w:r>
    </w:p>
  </w:footnote>
  <w:footnote w:id="217">
    <w:p w14:paraId="5B0D29B1" w14:textId="450607BA"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Arts 11 and 15(3) WA.</w:t>
      </w:r>
      <w:proofErr w:type="gramEnd"/>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Contrast with Art 20(3) Directive 2004/38, OJ 2004, L 158/77.</w:t>
      </w:r>
      <w:proofErr w:type="gramEnd"/>
    </w:p>
  </w:footnote>
  <w:footnote w:id="218">
    <w:p w14:paraId="1307DC43" w14:textId="2E48ACF1" w:rsidR="00FD11BB" w:rsidRPr="00F979D1" w:rsidRDefault="00FD11BB" w:rsidP="00F979D1">
      <w:pPr>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w:t>
      </w:r>
      <w:r w:rsidRPr="00F979D1">
        <w:rPr>
          <w:rFonts w:ascii="Times New Roman" w:hAnsi="Times New Roman" w:cs="Times New Roman"/>
          <w:sz w:val="20"/>
          <w:szCs w:val="20"/>
          <w:lang w:val="en-US"/>
        </w:rPr>
        <w:t xml:space="preserve">Arts 9(a), </w:t>
      </w:r>
      <w:r w:rsidRPr="00F979D1">
        <w:rPr>
          <w:rFonts w:ascii="Times New Roman" w:hAnsi="Times New Roman" w:cs="Times New Roman"/>
          <w:sz w:val="20"/>
          <w:szCs w:val="20"/>
        </w:rPr>
        <w:t xml:space="preserve">10(1)(e)-(f), 10(2)-(5), 24(2) and 25(2) WA.  Contrast with the relevant provisions of Directive 2004/38, especially Arts 2 and 3.  Note that family members qualifying for protection under the Agreement are offered a series of rights: e.g. Arts 13(2)-(4) WA on continuing residency in accordance with </w:t>
      </w:r>
      <w:r>
        <w:rPr>
          <w:rFonts w:ascii="Times New Roman" w:hAnsi="Times New Roman" w:cs="Times New Roman"/>
          <w:sz w:val="20"/>
          <w:szCs w:val="20"/>
        </w:rPr>
        <w:t xml:space="preserve">applicable </w:t>
      </w:r>
      <w:r w:rsidRPr="00F979D1">
        <w:rPr>
          <w:rFonts w:ascii="Times New Roman" w:hAnsi="Times New Roman" w:cs="Times New Roman"/>
          <w:sz w:val="20"/>
          <w:szCs w:val="20"/>
        </w:rPr>
        <w:t>Union law; e.g. Art 14 WA on rights of exit and entry; e.g. Arts 15 and 16 WA on acquisition of permanent residence; e.g. Art 22 WA on the pursuit of economic activities in their own right; e.g. Arts 12 and 23 WA on equal treatment with own nationals.  However, the Agreement imposes certain restrictions on the ability of family members to change their status under Part Two: Art 17 WA.</w:t>
      </w:r>
    </w:p>
  </w:footnote>
  <w:footnote w:id="219">
    <w:p w14:paraId="773CEC6D" w14:textId="5797F7DC"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Art 18 </w:t>
      </w:r>
      <w:proofErr w:type="gramStart"/>
      <w:r w:rsidRPr="00F979D1">
        <w:rPr>
          <w:rFonts w:ascii="Times New Roman" w:hAnsi="Times New Roman" w:cs="Times New Roman"/>
          <w:sz w:val="20"/>
          <w:szCs w:val="20"/>
          <w:lang w:val="en-US"/>
        </w:rPr>
        <w:t>WA.</w:t>
      </w:r>
      <w:proofErr w:type="gramEnd"/>
      <w:r w:rsidRPr="00F979D1">
        <w:rPr>
          <w:rFonts w:ascii="Times New Roman" w:hAnsi="Times New Roman" w:cs="Times New Roman"/>
          <w:sz w:val="20"/>
          <w:szCs w:val="20"/>
          <w:lang w:val="en-US"/>
        </w:rPr>
        <w:t xml:space="preserve">  Note also Art 26 WA on compulsory documentary certification by frontier workers.</w:t>
      </w:r>
    </w:p>
  </w:footnote>
  <w:footnote w:id="220">
    <w:p w14:paraId="24E36ED6" w14:textId="75EE386A"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Home Office, </w:t>
      </w:r>
      <w:r w:rsidRPr="00F979D1">
        <w:rPr>
          <w:rFonts w:ascii="Times New Roman" w:hAnsi="Times New Roman" w:cs="Times New Roman"/>
          <w:i/>
          <w:sz w:val="20"/>
          <w:szCs w:val="20"/>
        </w:rPr>
        <w:t>EU Settlement Scheme: Statement of Intent</w:t>
      </w:r>
      <w:r w:rsidRPr="00F979D1">
        <w:rPr>
          <w:rFonts w:ascii="Times New Roman" w:hAnsi="Times New Roman" w:cs="Times New Roman"/>
          <w:sz w:val="20"/>
          <w:szCs w:val="20"/>
        </w:rPr>
        <w:t xml:space="preserve"> (21 June 2018).</w:t>
      </w:r>
    </w:p>
  </w:footnote>
  <w:footnote w:id="221">
    <w:p w14:paraId="45ABDE97" w14:textId="7CF72ED6"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Art 18(1) WA (emphasis added) – an approach also reflected in the drafting of other provisions throughout Part Two.  Note also, e.g. HMG, </w:t>
      </w:r>
      <w:r w:rsidRPr="00F979D1">
        <w:rPr>
          <w:rFonts w:ascii="Times New Roman" w:hAnsi="Times New Roman" w:cs="Times New Roman"/>
          <w:i/>
          <w:sz w:val="20"/>
          <w:szCs w:val="20"/>
          <w:lang w:val="en-US"/>
        </w:rPr>
        <w:t xml:space="preserve">Technical Note: Citizens’ Rights – Administrative Procedures in the UK </w:t>
      </w:r>
      <w:r w:rsidRPr="00F979D1">
        <w:rPr>
          <w:rFonts w:ascii="Times New Roman" w:hAnsi="Times New Roman" w:cs="Times New Roman"/>
          <w:sz w:val="20"/>
          <w:szCs w:val="20"/>
          <w:lang w:val="en-US"/>
        </w:rPr>
        <w:t>(8 November 2017).</w:t>
      </w:r>
    </w:p>
  </w:footnote>
  <w:footnote w:id="222">
    <w:p w14:paraId="234D7061" w14:textId="34DFC2BB"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The registration system is allowed to run, on a voluntary basis, during the transition period: Art 19 WA.</w:t>
      </w:r>
    </w:p>
  </w:footnote>
  <w:footnote w:id="223">
    <w:p w14:paraId="3ED31C18" w14:textId="073E4ACA"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Though no fees can be charged for exchanging existing permanent residence or equivalent documents: Art 18(1)(h) WA.  Note that the UK eventually decided to waive the fee for its “settled status” scheme: Theresa May, </w:t>
      </w:r>
      <w:r w:rsidRPr="00F979D1">
        <w:rPr>
          <w:rFonts w:ascii="Times New Roman" w:hAnsi="Times New Roman" w:cs="Times New Roman"/>
          <w:i/>
          <w:sz w:val="20"/>
          <w:szCs w:val="20"/>
        </w:rPr>
        <w:t>Statement to the House of Commons on Brexit</w:t>
      </w:r>
      <w:r w:rsidRPr="00F979D1">
        <w:rPr>
          <w:rFonts w:ascii="Times New Roman" w:hAnsi="Times New Roman" w:cs="Times New Roman"/>
          <w:sz w:val="20"/>
          <w:szCs w:val="20"/>
        </w:rPr>
        <w:t xml:space="preserve"> (21 January 2019).</w:t>
      </w:r>
    </w:p>
  </w:footnote>
  <w:footnote w:id="224">
    <w:p w14:paraId="14CC4AA0" w14:textId="5715A254"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Arts 18(2)-(3) and 19-21 WA.</w:t>
      </w:r>
      <w:proofErr w:type="gramEnd"/>
    </w:p>
  </w:footnote>
  <w:footnote w:id="225">
    <w:p w14:paraId="577EFB6C" w14:textId="708E56BA"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Art 18(1)(p) WA.</w:t>
      </w:r>
      <w:proofErr w:type="gramEnd"/>
    </w:p>
  </w:footnote>
  <w:footnote w:id="226">
    <w:p w14:paraId="6654AC39" w14:textId="115E633B"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E.g. </w:t>
      </w:r>
      <w:proofErr w:type="spellStart"/>
      <w:r w:rsidRPr="00F979D1">
        <w:rPr>
          <w:rFonts w:ascii="Times New Roman" w:hAnsi="Times New Roman" w:cs="Times New Roman"/>
          <w:sz w:val="20"/>
          <w:szCs w:val="20"/>
        </w:rPr>
        <w:t>Spaventa</w:t>
      </w:r>
      <w:proofErr w:type="spellEnd"/>
      <w:r w:rsidRPr="00F979D1">
        <w:rPr>
          <w:rFonts w:ascii="Times New Roman" w:hAnsi="Times New Roman" w:cs="Times New Roman"/>
          <w:sz w:val="20"/>
          <w:szCs w:val="20"/>
        </w:rPr>
        <w:t xml:space="preserve">, </w:t>
      </w:r>
      <w:r w:rsidRPr="00F979D1">
        <w:rPr>
          <w:rFonts w:ascii="Times New Roman" w:hAnsi="Times New Roman" w:cs="Times New Roman"/>
          <w:i/>
          <w:sz w:val="20"/>
          <w:szCs w:val="20"/>
        </w:rPr>
        <w:t>Update of the Study</w:t>
      </w:r>
      <w:r>
        <w:rPr>
          <w:rFonts w:ascii="Times New Roman" w:hAnsi="Times New Roman" w:cs="Times New Roman"/>
          <w:sz w:val="20"/>
          <w:szCs w:val="20"/>
        </w:rPr>
        <w:t>, note 212 above</w:t>
      </w:r>
      <w:r w:rsidRPr="00F979D1">
        <w:rPr>
          <w:rFonts w:ascii="Times New Roman" w:hAnsi="Times New Roman" w:cs="Times New Roman"/>
          <w:sz w:val="20"/>
          <w:szCs w:val="20"/>
        </w:rPr>
        <w:t>.</w:t>
      </w:r>
    </w:p>
  </w:footnote>
  <w:footnote w:id="227">
    <w:p w14:paraId="4C962B7E" w14:textId="25ED3E22"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Case C-370/90, </w:t>
      </w:r>
      <w:proofErr w:type="spellStart"/>
      <w:r w:rsidRPr="00F979D1">
        <w:rPr>
          <w:rFonts w:ascii="Times New Roman" w:hAnsi="Times New Roman" w:cs="Times New Roman"/>
          <w:i/>
          <w:sz w:val="20"/>
          <w:szCs w:val="20"/>
        </w:rPr>
        <w:t>Surinder</w:t>
      </w:r>
      <w:proofErr w:type="spellEnd"/>
      <w:r w:rsidRPr="00F979D1">
        <w:rPr>
          <w:rFonts w:ascii="Times New Roman" w:hAnsi="Times New Roman" w:cs="Times New Roman"/>
          <w:i/>
          <w:sz w:val="20"/>
          <w:szCs w:val="20"/>
        </w:rPr>
        <w:t xml:space="preserve"> Singh</w:t>
      </w:r>
      <w:r w:rsidRPr="00F979D1">
        <w:rPr>
          <w:rFonts w:ascii="Times New Roman" w:hAnsi="Times New Roman" w:cs="Times New Roman"/>
          <w:sz w:val="20"/>
          <w:szCs w:val="20"/>
        </w:rPr>
        <w:t>, C</w:t>
      </w:r>
      <w:proofErr w:type="gramStart"/>
      <w:r w:rsidRPr="00F979D1">
        <w:rPr>
          <w:rFonts w:ascii="Times New Roman" w:hAnsi="Times New Roman" w:cs="Times New Roman"/>
          <w:sz w:val="20"/>
          <w:szCs w:val="20"/>
        </w:rPr>
        <w:t>:1992:296</w:t>
      </w:r>
      <w:proofErr w:type="gramEnd"/>
      <w:r w:rsidRPr="00F979D1">
        <w:rPr>
          <w:rFonts w:ascii="Times New Roman" w:hAnsi="Times New Roman" w:cs="Times New Roman"/>
          <w:sz w:val="20"/>
          <w:szCs w:val="20"/>
        </w:rPr>
        <w:t>.</w:t>
      </w:r>
    </w:p>
  </w:footnote>
  <w:footnote w:id="228">
    <w:p w14:paraId="233C5C6F" w14:textId="75CDC8EF"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Case C-34/09, </w:t>
      </w:r>
      <w:r w:rsidRPr="00F979D1">
        <w:rPr>
          <w:rFonts w:ascii="Times New Roman" w:hAnsi="Times New Roman" w:cs="Times New Roman"/>
          <w:i/>
          <w:sz w:val="20"/>
          <w:szCs w:val="20"/>
        </w:rPr>
        <w:t>Ruiz Zambrano</w:t>
      </w:r>
      <w:r w:rsidRPr="00F979D1">
        <w:rPr>
          <w:rFonts w:ascii="Times New Roman" w:hAnsi="Times New Roman" w:cs="Times New Roman"/>
          <w:sz w:val="20"/>
          <w:szCs w:val="20"/>
        </w:rPr>
        <w:t>, C</w:t>
      </w:r>
      <w:proofErr w:type="gramStart"/>
      <w:r w:rsidRPr="00F979D1">
        <w:rPr>
          <w:rFonts w:ascii="Times New Roman" w:hAnsi="Times New Roman" w:cs="Times New Roman"/>
          <w:sz w:val="20"/>
          <w:szCs w:val="20"/>
        </w:rPr>
        <w:t>:2011:124</w:t>
      </w:r>
      <w:proofErr w:type="gramEnd"/>
      <w:r w:rsidRPr="00F979D1">
        <w:rPr>
          <w:rFonts w:ascii="Times New Roman" w:hAnsi="Times New Roman" w:cs="Times New Roman"/>
          <w:sz w:val="20"/>
          <w:szCs w:val="20"/>
        </w:rPr>
        <w:t>.</w:t>
      </w:r>
    </w:p>
  </w:footnote>
  <w:footnote w:id="229">
    <w:p w14:paraId="7ED3A8A3" w14:textId="1E8ACC7D"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Home Office, </w:t>
      </w:r>
      <w:r w:rsidRPr="00F979D1">
        <w:rPr>
          <w:rFonts w:ascii="Times New Roman" w:hAnsi="Times New Roman" w:cs="Times New Roman"/>
          <w:i/>
          <w:sz w:val="20"/>
          <w:szCs w:val="20"/>
        </w:rPr>
        <w:t>EU Settlement Scheme: Statement of Intent</w:t>
      </w:r>
      <w:r w:rsidRPr="00F979D1">
        <w:rPr>
          <w:rFonts w:ascii="Times New Roman" w:hAnsi="Times New Roman" w:cs="Times New Roman"/>
          <w:sz w:val="20"/>
          <w:szCs w:val="20"/>
        </w:rPr>
        <w:t xml:space="preserve"> (21 June 2018), </w:t>
      </w:r>
      <w:proofErr w:type="gramStart"/>
      <w:r w:rsidRPr="00F979D1">
        <w:rPr>
          <w:rFonts w:ascii="Times New Roman" w:hAnsi="Times New Roman" w:cs="Times New Roman"/>
          <w:sz w:val="20"/>
          <w:szCs w:val="20"/>
        </w:rPr>
        <w:t>para</w:t>
      </w:r>
      <w:proofErr w:type="gramEnd"/>
      <w:r w:rsidRPr="00F979D1">
        <w:rPr>
          <w:rFonts w:ascii="Times New Roman" w:hAnsi="Times New Roman" w:cs="Times New Roman"/>
          <w:sz w:val="20"/>
          <w:szCs w:val="20"/>
        </w:rPr>
        <w:t xml:space="preserve"> 6.12.  Th</w:t>
      </w:r>
      <w:r>
        <w:rPr>
          <w:rFonts w:ascii="Times New Roman" w:hAnsi="Times New Roman" w:cs="Times New Roman"/>
          <w:sz w:val="20"/>
          <w:szCs w:val="20"/>
        </w:rPr>
        <w:t>e Agreement’s restrictive scope</w:t>
      </w:r>
      <w:r w:rsidRPr="00F979D1">
        <w:rPr>
          <w:rFonts w:ascii="Times New Roman" w:hAnsi="Times New Roman" w:cs="Times New Roman"/>
          <w:sz w:val="20"/>
          <w:szCs w:val="20"/>
        </w:rPr>
        <w:t xml:space="preserve"> in this </w:t>
      </w:r>
      <w:r>
        <w:rPr>
          <w:rFonts w:ascii="Times New Roman" w:hAnsi="Times New Roman" w:cs="Times New Roman"/>
          <w:sz w:val="20"/>
          <w:szCs w:val="20"/>
        </w:rPr>
        <w:t>regard</w:t>
      </w:r>
      <w:r w:rsidRPr="00F979D1">
        <w:rPr>
          <w:rFonts w:ascii="Times New Roman" w:hAnsi="Times New Roman" w:cs="Times New Roman"/>
          <w:sz w:val="20"/>
          <w:szCs w:val="20"/>
        </w:rPr>
        <w:t xml:space="preserve"> appears less significant for Union citizens, i.e. who either return to their home state from the UK with a non-EU family member (covered by </w:t>
      </w:r>
      <w:r w:rsidRPr="00F979D1">
        <w:rPr>
          <w:rFonts w:ascii="Times New Roman" w:hAnsi="Times New Roman" w:cs="Times New Roman"/>
          <w:i/>
          <w:sz w:val="20"/>
          <w:szCs w:val="20"/>
        </w:rPr>
        <w:t xml:space="preserve">Singh </w:t>
      </w:r>
      <w:r w:rsidRPr="00F979D1">
        <w:rPr>
          <w:rFonts w:ascii="Times New Roman" w:hAnsi="Times New Roman" w:cs="Times New Roman"/>
          <w:sz w:val="20"/>
          <w:szCs w:val="20"/>
        </w:rPr>
        <w:t xml:space="preserve">through natural extension) or are resident in their home state with a non-EU </w:t>
      </w:r>
      <w:r>
        <w:rPr>
          <w:rFonts w:ascii="Times New Roman" w:hAnsi="Times New Roman" w:cs="Times New Roman"/>
          <w:sz w:val="20"/>
          <w:szCs w:val="20"/>
        </w:rPr>
        <w:t xml:space="preserve">(including UK) </w:t>
      </w:r>
      <w:r w:rsidRPr="00F979D1">
        <w:rPr>
          <w:rFonts w:ascii="Times New Roman" w:hAnsi="Times New Roman" w:cs="Times New Roman"/>
          <w:sz w:val="20"/>
          <w:szCs w:val="20"/>
        </w:rPr>
        <w:t xml:space="preserve">primary carer (protected directly by </w:t>
      </w:r>
      <w:proofErr w:type="spellStart"/>
      <w:r w:rsidRPr="00F979D1">
        <w:rPr>
          <w:rFonts w:ascii="Times New Roman" w:hAnsi="Times New Roman" w:cs="Times New Roman"/>
          <w:i/>
          <w:sz w:val="20"/>
          <w:szCs w:val="20"/>
        </w:rPr>
        <w:t>Zambrano</w:t>
      </w:r>
      <w:proofErr w:type="spellEnd"/>
      <w:r w:rsidRPr="00F979D1">
        <w:rPr>
          <w:rFonts w:ascii="Times New Roman" w:hAnsi="Times New Roman" w:cs="Times New Roman"/>
          <w:sz w:val="20"/>
          <w:szCs w:val="20"/>
        </w:rPr>
        <w:t xml:space="preserve">). </w:t>
      </w:r>
    </w:p>
  </w:footnote>
  <w:footnote w:id="230">
    <w:p w14:paraId="5950BCB4" w14:textId="4EE1A98C"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Art 14(1) WA.</w:t>
      </w:r>
      <w:proofErr w:type="gramEnd"/>
      <w:r w:rsidRPr="00F979D1">
        <w:rPr>
          <w:rFonts w:ascii="Times New Roman" w:hAnsi="Times New Roman" w:cs="Times New Roman"/>
          <w:sz w:val="20"/>
          <w:szCs w:val="20"/>
        </w:rPr>
        <w:t xml:space="preserve">  </w:t>
      </w:r>
    </w:p>
  </w:footnote>
  <w:footnote w:id="231">
    <w:p w14:paraId="60603CAB" w14:textId="1BEAB90E"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the detailed provisions contained in Art 36 WA.  </w:t>
      </w:r>
    </w:p>
  </w:footnote>
  <w:footnote w:id="232">
    <w:p w14:paraId="2BAEAD7C" w14:textId="4924C562"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E.g. TF50 (2017) 10; TF50 (2017) 17, #34.  The UK has instead reached bilateral arrangements on maintaining local voting rights with </w:t>
      </w:r>
      <w:r>
        <w:rPr>
          <w:rFonts w:ascii="Times New Roman" w:hAnsi="Times New Roman" w:cs="Times New Roman"/>
          <w:sz w:val="20"/>
          <w:szCs w:val="20"/>
        </w:rPr>
        <w:t xml:space="preserve">several </w:t>
      </w:r>
      <w:r w:rsidRPr="00F979D1">
        <w:rPr>
          <w:rFonts w:ascii="Times New Roman" w:hAnsi="Times New Roman" w:cs="Times New Roman"/>
          <w:sz w:val="20"/>
          <w:szCs w:val="20"/>
        </w:rPr>
        <w:t>Member States, e.g. treaties announced with Spain (21 January 2019) and Portugal (13 June 2019).</w:t>
      </w:r>
    </w:p>
  </w:footnote>
  <w:footnote w:id="233">
    <w:p w14:paraId="2614D021" w14:textId="732BFAEB"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E.g. Joint Technical Note on Citizens’ Rights, TF50 (2017) 20, #58.</w:t>
      </w:r>
      <w:proofErr w:type="gramEnd"/>
      <w:r w:rsidRPr="00F979D1">
        <w:rPr>
          <w:rFonts w:ascii="Times New Roman" w:hAnsi="Times New Roman" w:cs="Times New Roman"/>
          <w:sz w:val="20"/>
          <w:szCs w:val="20"/>
        </w:rPr>
        <w:t xml:space="preserve">  See further Section 4 (below).</w:t>
      </w:r>
    </w:p>
  </w:footnote>
  <w:footnote w:id="234">
    <w:p w14:paraId="5D134608" w14:textId="79460E84"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See Art 9(c) WA and, e.g. Joint Technical Note on Citizens’ Rights, TF50 (2017) 20, #58.</w:t>
      </w:r>
      <w:proofErr w:type="gramEnd"/>
      <w:r w:rsidRPr="00F979D1">
        <w:rPr>
          <w:rFonts w:ascii="Times New Roman" w:hAnsi="Times New Roman" w:cs="Times New Roman"/>
          <w:sz w:val="20"/>
          <w:szCs w:val="20"/>
        </w:rPr>
        <w:t xml:space="preserve">  Note that the European Parliament sought to apply pressure for the Union to be more generous towards migrant UK nationals here, e.g. Resolution of 13 December 2017, para 3; Resolution of 14 March 2018, para 52.  Also the UK Parliament, e.g. House of Commons Exiting the EU Committee</w:t>
      </w:r>
      <w:r w:rsidRPr="00F979D1">
        <w:rPr>
          <w:rFonts w:ascii="Times New Roman" w:hAnsi="Times New Roman" w:cs="Times New Roman"/>
          <w:i/>
          <w:sz w:val="20"/>
          <w:szCs w:val="20"/>
        </w:rPr>
        <w:t xml:space="preserve">, The Progress of the UK’s negotiations on EU withdrawal: December 2017 to Match 2018 </w:t>
      </w:r>
      <w:r w:rsidRPr="00F979D1">
        <w:rPr>
          <w:rFonts w:ascii="Times New Roman" w:hAnsi="Times New Roman" w:cs="Times New Roman"/>
          <w:sz w:val="20"/>
          <w:szCs w:val="20"/>
        </w:rPr>
        <w:t xml:space="preserve">(HC884, 18 March 2018).  </w:t>
      </w:r>
    </w:p>
  </w:footnote>
  <w:footnote w:id="235">
    <w:p w14:paraId="0271CEDF" w14:textId="6E13E1FC"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In particular: Directive 2003/109 concerning the status of third country nationals who are long term residents, OJ 2004, L 16/44.  For an alternative perspective, see </w:t>
      </w:r>
      <w:proofErr w:type="spellStart"/>
      <w:r w:rsidRPr="00F979D1">
        <w:rPr>
          <w:rFonts w:ascii="Times New Roman" w:hAnsi="Times New Roman" w:cs="Times New Roman"/>
          <w:sz w:val="20"/>
          <w:szCs w:val="20"/>
        </w:rPr>
        <w:t>Spaventa</w:t>
      </w:r>
      <w:proofErr w:type="spellEnd"/>
      <w:r w:rsidRPr="00F979D1">
        <w:rPr>
          <w:rFonts w:ascii="Times New Roman" w:hAnsi="Times New Roman" w:cs="Times New Roman"/>
          <w:sz w:val="20"/>
          <w:szCs w:val="20"/>
        </w:rPr>
        <w:t xml:space="preserve">, “Mice or Horses?  British Citizens in the EU27 after </w:t>
      </w:r>
      <w:proofErr w:type="spellStart"/>
      <w:r w:rsidRPr="00F979D1">
        <w:rPr>
          <w:rFonts w:ascii="Times New Roman" w:hAnsi="Times New Roman" w:cs="Times New Roman"/>
          <w:sz w:val="20"/>
          <w:szCs w:val="20"/>
        </w:rPr>
        <w:t>Brexit</w:t>
      </w:r>
      <w:proofErr w:type="spellEnd"/>
      <w:r w:rsidRPr="00F979D1">
        <w:rPr>
          <w:rFonts w:ascii="Times New Roman" w:hAnsi="Times New Roman" w:cs="Times New Roman"/>
          <w:sz w:val="20"/>
          <w:szCs w:val="20"/>
        </w:rPr>
        <w:t xml:space="preserve"> as ‘Former EU Citizens’”, 44 EL Rev. (2019), 589.  </w:t>
      </w:r>
    </w:p>
  </w:footnote>
  <w:footnote w:id="236">
    <w:p w14:paraId="4E1B67C7" w14:textId="59DF5B14"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Section 3.1 (above).</w:t>
      </w:r>
    </w:p>
  </w:footnote>
  <w:footnote w:id="237">
    <w:p w14:paraId="01FCEFA7" w14:textId="34BAC506"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Further, e.g. House of Commons Exiting the EU Committee, </w:t>
      </w:r>
      <w:r w:rsidRPr="00F979D1">
        <w:rPr>
          <w:rFonts w:ascii="Times New Roman" w:hAnsi="Times New Roman" w:cs="Times New Roman"/>
          <w:i/>
          <w:sz w:val="20"/>
          <w:szCs w:val="20"/>
        </w:rPr>
        <w:t xml:space="preserve">The Progress of the UK’s Negotiations on EU Withdrawal: The Rights of UK and EU Citizens </w:t>
      </w:r>
      <w:r w:rsidRPr="00F979D1">
        <w:rPr>
          <w:rFonts w:ascii="Times New Roman" w:hAnsi="Times New Roman" w:cs="Times New Roman"/>
          <w:sz w:val="20"/>
          <w:szCs w:val="20"/>
        </w:rPr>
        <w:t xml:space="preserve">(HC1439, 23 July 2018); House of Commons Home Affairs Committee, </w:t>
      </w:r>
      <w:r w:rsidRPr="00F979D1">
        <w:rPr>
          <w:rFonts w:ascii="Times New Roman" w:hAnsi="Times New Roman" w:cs="Times New Roman"/>
          <w:i/>
          <w:sz w:val="20"/>
          <w:szCs w:val="20"/>
        </w:rPr>
        <w:t xml:space="preserve">EU Settlement Scheme </w:t>
      </w:r>
      <w:r w:rsidRPr="00F979D1">
        <w:rPr>
          <w:rFonts w:ascii="Times New Roman" w:hAnsi="Times New Roman" w:cs="Times New Roman"/>
          <w:sz w:val="20"/>
          <w:szCs w:val="20"/>
        </w:rPr>
        <w:t>(HC1945, 30 May 2019).</w:t>
      </w:r>
    </w:p>
  </w:footnote>
  <w:footnote w:id="238">
    <w:p w14:paraId="50B6C4B5" w14:textId="11010A60"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See Sections 3.1.1 and 3.1.3 (above).</w:t>
      </w:r>
    </w:p>
  </w:footnote>
  <w:footnote w:id="239">
    <w:p w14:paraId="71AFA23C" w14:textId="5706BE08"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Pr>
          <w:rFonts w:ascii="Times New Roman" w:hAnsi="Times New Roman" w:cs="Times New Roman"/>
          <w:sz w:val="20"/>
          <w:szCs w:val="20"/>
        </w:rPr>
        <w:t>I</w:t>
      </w:r>
      <w:r w:rsidRPr="00F979D1">
        <w:rPr>
          <w:rFonts w:ascii="Times New Roman" w:hAnsi="Times New Roman" w:cs="Times New Roman"/>
          <w:sz w:val="20"/>
          <w:szCs w:val="20"/>
        </w:rPr>
        <w:t>n respect of decisions about an application for protection under the UK’s compulsory registration scheme, the eight-year time limit begins to run from the date of the scheme’s (voluntary) introduction.</w:t>
      </w:r>
    </w:p>
  </w:footnote>
  <w:footnote w:id="240">
    <w:p w14:paraId="134500E5" w14:textId="1991052E"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Note other provisions on continuing CJEU jurisdiction even post-transition: e.g. Title X, Part Three on winding up </w:t>
      </w:r>
      <w:proofErr w:type="spellStart"/>
      <w:r w:rsidRPr="00F979D1">
        <w:rPr>
          <w:rFonts w:ascii="Times New Roman" w:hAnsi="Times New Roman" w:cs="Times New Roman"/>
          <w:sz w:val="20"/>
          <w:szCs w:val="20"/>
        </w:rPr>
        <w:t>ongoing</w:t>
      </w:r>
      <w:proofErr w:type="spellEnd"/>
      <w:r w:rsidRPr="00F979D1">
        <w:rPr>
          <w:rFonts w:ascii="Times New Roman" w:hAnsi="Times New Roman" w:cs="Times New Roman"/>
          <w:sz w:val="20"/>
          <w:szCs w:val="20"/>
        </w:rPr>
        <w:t xml:space="preserve"> procedures; Art 160 WA on the financial settlement; Art 13(1) PINI on Irish border arrangements; Art 12 Cyprus Protocol on UK Sovereign Base Area arrangements.  </w:t>
      </w:r>
    </w:p>
  </w:footnote>
  <w:footnote w:id="241">
    <w:p w14:paraId="3A0AD7CA" w14:textId="3B468528"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E.g. Remarks by Michel </w:t>
      </w:r>
      <w:proofErr w:type="spellStart"/>
      <w:r w:rsidRPr="00F979D1">
        <w:rPr>
          <w:rFonts w:ascii="Times New Roman" w:hAnsi="Times New Roman" w:cs="Times New Roman"/>
          <w:sz w:val="20"/>
          <w:szCs w:val="20"/>
          <w:lang w:val="en-US"/>
        </w:rPr>
        <w:t>Barnier</w:t>
      </w:r>
      <w:proofErr w:type="spellEnd"/>
      <w:r w:rsidRPr="00F979D1">
        <w:rPr>
          <w:rFonts w:ascii="Times New Roman" w:hAnsi="Times New Roman" w:cs="Times New Roman"/>
          <w:sz w:val="20"/>
          <w:szCs w:val="20"/>
          <w:lang w:val="en-US"/>
        </w:rPr>
        <w:t xml:space="preserve"> at the press conference on the Joint Report (8 December 2017).  </w:t>
      </w:r>
    </w:p>
  </w:footnote>
  <w:footnote w:id="242">
    <w:p w14:paraId="669CBD7B" w14:textId="68FEFFAB"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See Section 3.1.3 (above).</w:t>
      </w:r>
    </w:p>
  </w:footnote>
  <w:footnote w:id="243">
    <w:p w14:paraId="1A78AC80" w14:textId="386FC6B0"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Arts 18(1)(r) and 19-21 WA.</w:t>
      </w:r>
    </w:p>
  </w:footnote>
  <w:footnote w:id="244">
    <w:p w14:paraId="0D5F1557" w14:textId="007752A1"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In particular: section 15 and Schedule 2 </w:t>
      </w:r>
      <w:proofErr w:type="gramStart"/>
      <w:r w:rsidRPr="00F979D1">
        <w:rPr>
          <w:rFonts w:ascii="Times New Roman" w:hAnsi="Times New Roman" w:cs="Times New Roman"/>
          <w:sz w:val="20"/>
          <w:szCs w:val="20"/>
        </w:rPr>
        <w:t>EU(</w:t>
      </w:r>
      <w:proofErr w:type="gramEnd"/>
      <w:r w:rsidRPr="00F979D1">
        <w:rPr>
          <w:rFonts w:ascii="Times New Roman" w:hAnsi="Times New Roman" w:cs="Times New Roman"/>
          <w:sz w:val="20"/>
          <w:szCs w:val="20"/>
        </w:rPr>
        <w:t>WA)A 2020.  The Joint Committee may decide (after eight years from the end of transition) that the UK may abolish the monitoring authority: Art 159(3) WA.</w:t>
      </w:r>
    </w:p>
  </w:footnote>
  <w:footnote w:id="245">
    <w:p w14:paraId="0A5FC554" w14:textId="33B0C1B9"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E.g. House of Commons Exiting the EU Committee, </w:t>
      </w:r>
      <w:r w:rsidRPr="00F979D1">
        <w:rPr>
          <w:rFonts w:ascii="Times New Roman" w:hAnsi="Times New Roman" w:cs="Times New Roman"/>
          <w:i/>
          <w:sz w:val="20"/>
          <w:szCs w:val="20"/>
        </w:rPr>
        <w:t xml:space="preserve">The Progress of the UK’s Negotiations on EU Withdrawal: The Rights of UK and EU Citizens </w:t>
      </w:r>
      <w:r w:rsidRPr="00F979D1">
        <w:rPr>
          <w:rFonts w:ascii="Times New Roman" w:hAnsi="Times New Roman" w:cs="Times New Roman"/>
          <w:sz w:val="20"/>
          <w:szCs w:val="20"/>
        </w:rPr>
        <w:t>(HC1439, 23 July 2018).  Concerns shared by the European Parliament:</w:t>
      </w:r>
      <w:r>
        <w:rPr>
          <w:rFonts w:ascii="Times New Roman" w:hAnsi="Times New Roman" w:cs="Times New Roman"/>
          <w:sz w:val="20"/>
          <w:szCs w:val="20"/>
        </w:rPr>
        <w:t xml:space="preserve"> </w:t>
      </w:r>
      <w:r w:rsidRPr="00F979D1">
        <w:rPr>
          <w:rFonts w:ascii="Times New Roman" w:hAnsi="Times New Roman" w:cs="Times New Roman"/>
          <w:i/>
          <w:sz w:val="20"/>
          <w:szCs w:val="20"/>
        </w:rPr>
        <w:t>Resolution on implementing and monitoring the provisions on citizens’ rights in the Withdrawal Agreement</w:t>
      </w:r>
      <w:r w:rsidRPr="00F979D1">
        <w:rPr>
          <w:rFonts w:ascii="Times New Roman" w:hAnsi="Times New Roman" w:cs="Times New Roman"/>
          <w:sz w:val="20"/>
          <w:szCs w:val="20"/>
        </w:rPr>
        <w:t xml:space="preserve"> (15 January 2020).  </w:t>
      </w:r>
    </w:p>
  </w:footnote>
  <w:footnote w:id="246">
    <w:p w14:paraId="168D1B32" w14:textId="2DC20E88"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Most recently: by rejecting attempts </w:t>
      </w:r>
      <w:r>
        <w:rPr>
          <w:rFonts w:ascii="Times New Roman" w:hAnsi="Times New Roman" w:cs="Times New Roman"/>
          <w:sz w:val="20"/>
          <w:szCs w:val="20"/>
        </w:rPr>
        <w:t>in</w:t>
      </w:r>
      <w:r w:rsidRPr="00F979D1">
        <w:rPr>
          <w:rFonts w:ascii="Times New Roman" w:hAnsi="Times New Roman" w:cs="Times New Roman"/>
          <w:sz w:val="20"/>
          <w:szCs w:val="20"/>
        </w:rPr>
        <w:t xml:space="preserve"> the House of Lords to amend the European Union (Withdrawal Agreement) Bill 2019 so as to provide protected Union citizens with a form</w:t>
      </w:r>
      <w:r>
        <w:rPr>
          <w:rFonts w:ascii="Times New Roman" w:hAnsi="Times New Roman" w:cs="Times New Roman"/>
          <w:sz w:val="20"/>
          <w:szCs w:val="20"/>
        </w:rPr>
        <w:t>al</w:t>
      </w:r>
      <w:r w:rsidRPr="00F979D1">
        <w:rPr>
          <w:rFonts w:ascii="Times New Roman" w:hAnsi="Times New Roman" w:cs="Times New Roman"/>
          <w:sz w:val="20"/>
          <w:szCs w:val="20"/>
        </w:rPr>
        <w:t xml:space="preserve"> residency document.  See House of Commons, </w:t>
      </w:r>
      <w:r w:rsidRPr="00F979D1">
        <w:rPr>
          <w:rFonts w:ascii="Times New Roman" w:hAnsi="Times New Roman" w:cs="Times New Roman"/>
          <w:i/>
          <w:sz w:val="20"/>
          <w:szCs w:val="20"/>
        </w:rPr>
        <w:t>European Union (Withdrawal Agreement) Bill: Explanatory Notes on Lords Amendments</w:t>
      </w:r>
      <w:r w:rsidRPr="00F979D1">
        <w:rPr>
          <w:rFonts w:ascii="Times New Roman" w:hAnsi="Times New Roman" w:cs="Times New Roman"/>
          <w:sz w:val="20"/>
          <w:szCs w:val="20"/>
        </w:rPr>
        <w:t xml:space="preserve"> (21 January 2020).</w:t>
      </w:r>
    </w:p>
  </w:footnote>
  <w:footnote w:id="247">
    <w:p w14:paraId="377DB2A0" w14:textId="03ACE877"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Further, e.g. </w:t>
      </w:r>
      <w:r w:rsidRPr="00F979D1">
        <w:rPr>
          <w:rFonts w:ascii="Times New Roman" w:hAnsi="Times New Roman" w:cs="Times New Roman"/>
          <w:sz w:val="20"/>
          <w:szCs w:val="20"/>
          <w:lang w:val="en-US"/>
        </w:rPr>
        <w:t xml:space="preserve">House of Lords </w:t>
      </w:r>
      <w:r>
        <w:rPr>
          <w:rFonts w:ascii="Times New Roman" w:hAnsi="Times New Roman" w:cs="Times New Roman"/>
          <w:sz w:val="20"/>
          <w:szCs w:val="20"/>
          <w:lang w:val="en-US"/>
        </w:rPr>
        <w:t>EU</w:t>
      </w:r>
      <w:r w:rsidRPr="00F979D1">
        <w:rPr>
          <w:rFonts w:ascii="Times New Roman" w:hAnsi="Times New Roman" w:cs="Times New Roman"/>
          <w:sz w:val="20"/>
          <w:szCs w:val="20"/>
          <w:lang w:val="en-US"/>
        </w:rPr>
        <w:t xml:space="preserve"> Committee, </w:t>
      </w:r>
      <w:r w:rsidRPr="00F979D1">
        <w:rPr>
          <w:rFonts w:ascii="Times New Roman" w:hAnsi="Times New Roman" w:cs="Times New Roman"/>
          <w:i/>
          <w:sz w:val="20"/>
          <w:szCs w:val="20"/>
          <w:lang w:val="en-US"/>
        </w:rPr>
        <w:t xml:space="preserve">Brexit: UK-Irish Relations </w:t>
      </w:r>
      <w:r w:rsidRPr="00F979D1">
        <w:rPr>
          <w:rFonts w:ascii="Times New Roman" w:hAnsi="Times New Roman" w:cs="Times New Roman"/>
          <w:sz w:val="20"/>
          <w:szCs w:val="20"/>
          <w:lang w:val="en-US"/>
        </w:rPr>
        <w:t>(HL76, 12 December 2016)</w:t>
      </w:r>
      <w:r w:rsidRPr="00F979D1">
        <w:rPr>
          <w:rFonts w:ascii="Times New Roman" w:hAnsi="Times New Roman" w:cs="Times New Roman"/>
          <w:sz w:val="20"/>
          <w:szCs w:val="20"/>
        </w:rPr>
        <w:t>.</w:t>
      </w:r>
    </w:p>
  </w:footnote>
  <w:footnote w:id="248">
    <w:p w14:paraId="33E445AF" w14:textId="756D84AF"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Belfast (or Good Friday) Agreement of 10 April 1998.</w:t>
      </w:r>
    </w:p>
  </w:footnote>
  <w:footnote w:id="249">
    <w:p w14:paraId="04DF8D1E" w14:textId="78E39C3C"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Similar to the German experience following reunification between the GDR and West Germany in 1990.</w:t>
      </w:r>
      <w:proofErr w:type="gramEnd"/>
    </w:p>
  </w:footnote>
  <w:footnote w:id="250">
    <w:p w14:paraId="21244A1D" w14:textId="0B9D3669"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Further, e.g. House of Commons Northern Ireland Affairs Committee, </w:t>
      </w:r>
      <w:r w:rsidRPr="00F979D1">
        <w:rPr>
          <w:rFonts w:ascii="Times New Roman" w:hAnsi="Times New Roman" w:cs="Times New Roman"/>
          <w:i/>
          <w:sz w:val="20"/>
          <w:szCs w:val="20"/>
        </w:rPr>
        <w:t xml:space="preserve">Northern Ireland and the EU Referendum </w:t>
      </w:r>
      <w:r w:rsidRPr="00F979D1">
        <w:rPr>
          <w:rFonts w:ascii="Times New Roman" w:hAnsi="Times New Roman" w:cs="Times New Roman"/>
          <w:sz w:val="20"/>
          <w:szCs w:val="20"/>
        </w:rPr>
        <w:t>(HC48, 26 May 2016)</w:t>
      </w:r>
      <w:proofErr w:type="gramStart"/>
      <w:r w:rsidRPr="00F979D1">
        <w:rPr>
          <w:rFonts w:ascii="Times New Roman" w:hAnsi="Times New Roman" w:cs="Times New Roman"/>
          <w:sz w:val="20"/>
          <w:szCs w:val="20"/>
        </w:rPr>
        <w:t>;</w:t>
      </w:r>
      <w:proofErr w:type="gramEnd"/>
      <w:r w:rsidRPr="00F979D1">
        <w:rPr>
          <w:rFonts w:ascii="Times New Roman" w:hAnsi="Times New Roman" w:cs="Times New Roman"/>
          <w:sz w:val="20"/>
          <w:szCs w:val="20"/>
        </w:rPr>
        <w:t xml:space="preserve"> J Temple Lang, </w:t>
      </w:r>
      <w:r w:rsidRPr="00F979D1">
        <w:rPr>
          <w:rFonts w:ascii="Times New Roman" w:hAnsi="Times New Roman" w:cs="Times New Roman"/>
          <w:i/>
          <w:sz w:val="20"/>
          <w:szCs w:val="20"/>
        </w:rPr>
        <w:t xml:space="preserve">Brexit and Ireland: Legal, Political and Economic Considerations </w:t>
      </w:r>
      <w:r w:rsidRPr="00F979D1">
        <w:rPr>
          <w:rFonts w:ascii="Times New Roman" w:hAnsi="Times New Roman" w:cs="Times New Roman"/>
          <w:sz w:val="20"/>
          <w:szCs w:val="20"/>
        </w:rPr>
        <w:t>(</w:t>
      </w:r>
      <w:r w:rsidRPr="00F979D1">
        <w:rPr>
          <w:rFonts w:ascii="Times New Roman" w:eastAsia="Times New Roman" w:hAnsi="Times New Roman" w:cs="Times New Roman"/>
          <w:sz w:val="20"/>
          <w:szCs w:val="20"/>
        </w:rPr>
        <w:t>European Parliament, Policy Department for Citizens’ Rights and Constitutional Affairs: PE 596.825, November 2017)</w:t>
      </w:r>
      <w:r w:rsidRPr="00F979D1">
        <w:rPr>
          <w:rFonts w:ascii="Times New Roman" w:hAnsi="Times New Roman" w:cs="Times New Roman"/>
          <w:sz w:val="20"/>
          <w:szCs w:val="20"/>
        </w:rPr>
        <w:t>.</w:t>
      </w:r>
    </w:p>
  </w:footnote>
  <w:footnote w:id="251">
    <w:p w14:paraId="3E5278D4" w14:textId="2E08CC01"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Section 4 (below).  </w:t>
      </w:r>
    </w:p>
  </w:footnote>
  <w:footnote w:id="252">
    <w:p w14:paraId="2B9692C4" w14:textId="20EF309E"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Further, e.g. House of Lords </w:t>
      </w:r>
      <w:r>
        <w:rPr>
          <w:rFonts w:ascii="Times New Roman" w:hAnsi="Times New Roman" w:cs="Times New Roman"/>
          <w:sz w:val="20"/>
          <w:szCs w:val="20"/>
        </w:rPr>
        <w:t>EU</w:t>
      </w:r>
      <w:r w:rsidRPr="00F979D1">
        <w:rPr>
          <w:rFonts w:ascii="Times New Roman" w:hAnsi="Times New Roman" w:cs="Times New Roman"/>
          <w:sz w:val="20"/>
          <w:szCs w:val="20"/>
        </w:rPr>
        <w:t xml:space="preserve"> Select Committee, </w:t>
      </w:r>
      <w:r w:rsidRPr="00F979D1">
        <w:rPr>
          <w:rFonts w:ascii="Times New Roman" w:hAnsi="Times New Roman" w:cs="Times New Roman"/>
          <w:i/>
          <w:sz w:val="20"/>
          <w:szCs w:val="20"/>
        </w:rPr>
        <w:t xml:space="preserve">Brexit: The Proposed UK-EU Security Treaty </w:t>
      </w:r>
      <w:r w:rsidRPr="00F979D1">
        <w:rPr>
          <w:rFonts w:ascii="Times New Roman" w:hAnsi="Times New Roman" w:cs="Times New Roman"/>
          <w:sz w:val="20"/>
          <w:szCs w:val="20"/>
        </w:rPr>
        <w:t xml:space="preserve">(HL164, 11 July 2018) </w:t>
      </w:r>
      <w:proofErr w:type="spellStart"/>
      <w:r w:rsidRPr="00F979D1">
        <w:rPr>
          <w:rFonts w:ascii="Times New Roman" w:hAnsi="Times New Roman" w:cs="Times New Roman"/>
          <w:sz w:val="20"/>
          <w:szCs w:val="20"/>
        </w:rPr>
        <w:t>Ch</w:t>
      </w:r>
      <w:proofErr w:type="spellEnd"/>
      <w:r w:rsidRPr="00F979D1">
        <w:rPr>
          <w:rFonts w:ascii="Times New Roman" w:hAnsi="Times New Roman" w:cs="Times New Roman"/>
          <w:sz w:val="20"/>
          <w:szCs w:val="20"/>
        </w:rPr>
        <w:t xml:space="preserve"> 7.</w:t>
      </w:r>
    </w:p>
  </w:footnote>
  <w:footnote w:id="253">
    <w:p w14:paraId="240DBD66" w14:textId="1190EF2D"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2 PINI (applicable as from the end of transition: Art 185 WA).  Note section 23 and Schedule 3 </w:t>
      </w:r>
      <w:proofErr w:type="gramStart"/>
      <w:r w:rsidRPr="00F979D1">
        <w:rPr>
          <w:rFonts w:ascii="Times New Roman" w:hAnsi="Times New Roman" w:cs="Times New Roman"/>
          <w:sz w:val="20"/>
          <w:szCs w:val="20"/>
        </w:rPr>
        <w:t>EU(</w:t>
      </w:r>
      <w:proofErr w:type="gramEnd"/>
      <w:r w:rsidRPr="00F979D1">
        <w:rPr>
          <w:rFonts w:ascii="Times New Roman" w:hAnsi="Times New Roman" w:cs="Times New Roman"/>
          <w:sz w:val="20"/>
          <w:szCs w:val="20"/>
        </w:rPr>
        <w:t xml:space="preserve">WA)A 2020.  Further, e.g. </w:t>
      </w:r>
      <w:proofErr w:type="spellStart"/>
      <w:r w:rsidRPr="00F979D1">
        <w:rPr>
          <w:rFonts w:ascii="Times New Roman" w:hAnsi="Times New Roman" w:cs="Times New Roman"/>
          <w:sz w:val="20"/>
          <w:szCs w:val="20"/>
        </w:rPr>
        <w:t>Phinnemore</w:t>
      </w:r>
      <w:proofErr w:type="spellEnd"/>
      <w:r w:rsidRPr="00F979D1">
        <w:rPr>
          <w:rFonts w:ascii="Times New Roman" w:hAnsi="Times New Roman" w:cs="Times New Roman"/>
          <w:sz w:val="20"/>
          <w:szCs w:val="20"/>
        </w:rPr>
        <w:t xml:space="preserve"> and Hayward, </w:t>
      </w:r>
      <w:r w:rsidRPr="00F979D1">
        <w:rPr>
          <w:rFonts w:ascii="Times New Roman" w:hAnsi="Times New Roman" w:cs="Times New Roman"/>
          <w:i/>
          <w:sz w:val="20"/>
          <w:szCs w:val="20"/>
        </w:rPr>
        <w:t>UK Withdrawal and the Good Friday Agreement</w:t>
      </w:r>
      <w:r w:rsidRPr="00F979D1">
        <w:rPr>
          <w:rFonts w:ascii="Times New Roman" w:hAnsi="Times New Roman" w:cs="Times New Roman"/>
          <w:sz w:val="20"/>
          <w:szCs w:val="20"/>
        </w:rPr>
        <w:t xml:space="preserve"> (</w:t>
      </w:r>
      <w:r w:rsidRPr="00F979D1">
        <w:rPr>
          <w:rFonts w:ascii="Times New Roman" w:eastAsia="Times New Roman" w:hAnsi="Times New Roman" w:cs="Times New Roman"/>
          <w:sz w:val="20"/>
          <w:szCs w:val="20"/>
        </w:rPr>
        <w:t>European Parliament, Policy Department for Citizens’ Rights and Constitutional Affairs: PE 596.826, November 2017)</w:t>
      </w:r>
      <w:r w:rsidRPr="00F979D1">
        <w:rPr>
          <w:rFonts w:ascii="Times New Roman" w:hAnsi="Times New Roman" w:cs="Times New Roman"/>
          <w:sz w:val="20"/>
          <w:szCs w:val="20"/>
        </w:rPr>
        <w:t>.</w:t>
      </w:r>
    </w:p>
  </w:footnote>
  <w:footnote w:id="254">
    <w:p w14:paraId="5EC97CBB" w14:textId="31BC5116"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9 PINI (applicable as from the end of transition: Art 185 WA).  </w:t>
      </w:r>
    </w:p>
  </w:footnote>
  <w:footnote w:id="255">
    <w:p w14:paraId="7397450C" w14:textId="695C1268"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Art 11 PINI </w:t>
      </w:r>
      <w:r w:rsidRPr="00F979D1">
        <w:rPr>
          <w:rFonts w:ascii="Times New Roman" w:hAnsi="Times New Roman" w:cs="Times New Roman"/>
          <w:sz w:val="20"/>
          <w:szCs w:val="20"/>
        </w:rPr>
        <w:t>(applicable as from the end of transition: Art 185 WA)</w:t>
      </w:r>
      <w:r w:rsidRPr="00F979D1">
        <w:rPr>
          <w:rFonts w:ascii="Times New Roman" w:hAnsi="Times New Roman" w:cs="Times New Roman"/>
          <w:sz w:val="20"/>
          <w:szCs w:val="20"/>
          <w:lang w:val="en-US"/>
        </w:rPr>
        <w:t xml:space="preserve">.  Note the outcomes of the EU-UK joint “mapping exercise”: TF50 (2019) 63.  Note also section 10(3) </w:t>
      </w:r>
      <w:proofErr w:type="gramStart"/>
      <w:r w:rsidRPr="00F979D1">
        <w:rPr>
          <w:rFonts w:ascii="Times New Roman" w:hAnsi="Times New Roman" w:cs="Times New Roman"/>
          <w:sz w:val="20"/>
          <w:szCs w:val="20"/>
          <w:lang w:val="en-US"/>
        </w:rPr>
        <w:t>EU(</w:t>
      </w:r>
      <w:proofErr w:type="gramEnd"/>
      <w:r w:rsidRPr="00F979D1">
        <w:rPr>
          <w:rFonts w:ascii="Times New Roman" w:hAnsi="Times New Roman" w:cs="Times New Roman"/>
          <w:sz w:val="20"/>
          <w:szCs w:val="20"/>
          <w:lang w:val="en-US"/>
        </w:rPr>
        <w:t xml:space="preserve">W)A 2018 </w:t>
      </w:r>
      <w:r>
        <w:rPr>
          <w:rFonts w:ascii="Times New Roman" w:hAnsi="Times New Roman" w:cs="Times New Roman"/>
          <w:sz w:val="20"/>
          <w:szCs w:val="20"/>
          <w:lang w:val="en-US"/>
        </w:rPr>
        <w:t>(</w:t>
      </w:r>
      <w:r w:rsidRPr="00F979D1">
        <w:rPr>
          <w:rFonts w:ascii="Times New Roman" w:hAnsi="Times New Roman" w:cs="Times New Roman"/>
          <w:sz w:val="20"/>
          <w:szCs w:val="20"/>
          <w:lang w:val="en-US"/>
        </w:rPr>
        <w:t>as amended</w:t>
      </w:r>
      <w:r>
        <w:rPr>
          <w:rFonts w:ascii="Times New Roman" w:hAnsi="Times New Roman" w:cs="Times New Roman"/>
          <w:sz w:val="20"/>
          <w:szCs w:val="20"/>
          <w:lang w:val="en-US"/>
        </w:rPr>
        <w:t>)</w:t>
      </w:r>
      <w:r w:rsidRPr="00F979D1">
        <w:rPr>
          <w:rFonts w:ascii="Times New Roman" w:hAnsi="Times New Roman" w:cs="Times New Roman"/>
          <w:sz w:val="20"/>
          <w:szCs w:val="20"/>
          <w:lang w:val="en-US"/>
        </w:rPr>
        <w:t xml:space="preserve">.   </w:t>
      </w:r>
    </w:p>
  </w:footnote>
  <w:footnote w:id="256">
    <w:p w14:paraId="0AF7CED4" w14:textId="6FCE297F"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Further, e.g. Dougan, </w:t>
      </w:r>
      <w:r w:rsidRPr="00F979D1">
        <w:rPr>
          <w:rFonts w:ascii="Times New Roman" w:eastAsia="Times New Roman" w:hAnsi="Times New Roman" w:cs="Times New Roman"/>
          <w:sz w:val="20"/>
          <w:szCs w:val="20"/>
          <w:lang w:eastAsia="en-GB"/>
        </w:rPr>
        <w:t>“The ‘Brexit’ Threat to the Northern Irish Border: Clarifying the Constitutional Framework” in Dougan (</w:t>
      </w:r>
      <w:proofErr w:type="spellStart"/>
      <w:r w:rsidRPr="00F979D1">
        <w:rPr>
          <w:rFonts w:ascii="Times New Roman" w:eastAsia="Times New Roman" w:hAnsi="Times New Roman" w:cs="Times New Roman"/>
          <w:sz w:val="20"/>
          <w:szCs w:val="20"/>
          <w:lang w:eastAsia="en-GB"/>
        </w:rPr>
        <w:t>ed</w:t>
      </w:r>
      <w:proofErr w:type="spellEnd"/>
      <w:r w:rsidRPr="00F979D1">
        <w:rPr>
          <w:rFonts w:ascii="Times New Roman" w:eastAsia="Times New Roman" w:hAnsi="Times New Roman" w:cs="Times New Roman"/>
          <w:sz w:val="20"/>
          <w:szCs w:val="20"/>
          <w:lang w:eastAsia="en-GB"/>
        </w:rPr>
        <w:t xml:space="preserve">), </w:t>
      </w:r>
      <w:r w:rsidRPr="00F979D1">
        <w:rPr>
          <w:rFonts w:ascii="Times New Roman" w:eastAsia="Times New Roman" w:hAnsi="Times New Roman" w:cs="Times New Roman"/>
          <w:i/>
          <w:sz w:val="20"/>
          <w:szCs w:val="20"/>
          <w:lang w:eastAsia="en-GB"/>
        </w:rPr>
        <w:t xml:space="preserve">The UK After Brexit: Legal and Policy Challenges </w:t>
      </w:r>
      <w:r w:rsidRPr="00F979D1">
        <w:rPr>
          <w:rFonts w:ascii="Times New Roman" w:eastAsia="Times New Roman" w:hAnsi="Times New Roman" w:cs="Times New Roman"/>
          <w:sz w:val="20"/>
          <w:szCs w:val="20"/>
          <w:lang w:eastAsia="en-GB"/>
        </w:rPr>
        <w:t>(</w:t>
      </w:r>
      <w:proofErr w:type="spellStart"/>
      <w:r w:rsidRPr="00F979D1">
        <w:rPr>
          <w:rFonts w:ascii="Times New Roman" w:eastAsia="Times New Roman" w:hAnsi="Times New Roman" w:cs="Times New Roman"/>
          <w:sz w:val="20"/>
          <w:szCs w:val="20"/>
          <w:lang w:eastAsia="en-GB"/>
        </w:rPr>
        <w:t>Intersentia</w:t>
      </w:r>
      <w:proofErr w:type="spellEnd"/>
      <w:r w:rsidRPr="00F979D1">
        <w:rPr>
          <w:rFonts w:ascii="Times New Roman" w:eastAsia="Times New Roman" w:hAnsi="Times New Roman" w:cs="Times New Roman"/>
          <w:sz w:val="20"/>
          <w:szCs w:val="20"/>
          <w:lang w:eastAsia="en-GB"/>
        </w:rPr>
        <w:t>, 2017)</w:t>
      </w:r>
      <w:r w:rsidRPr="00F979D1">
        <w:rPr>
          <w:rFonts w:ascii="Times New Roman" w:hAnsi="Times New Roman" w:cs="Times New Roman"/>
          <w:sz w:val="20"/>
          <w:szCs w:val="20"/>
        </w:rPr>
        <w:t>.</w:t>
      </w:r>
    </w:p>
  </w:footnote>
  <w:footnote w:id="257">
    <w:p w14:paraId="27A215E5" w14:textId="320A928A"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Note Art 1 PINI (applicable as from the entry into force of the Agreement: Art 185 WA).</w:t>
      </w:r>
    </w:p>
  </w:footnote>
  <w:footnote w:id="258">
    <w:p w14:paraId="6D38AF5F" w14:textId="058CB41D"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Protocols 19-21 to the Treaties.</w:t>
      </w:r>
    </w:p>
  </w:footnote>
  <w:footnote w:id="259">
    <w:p w14:paraId="34333413" w14:textId="179A843E"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The CTA is already recognised under existing Union law: Art 2, Protocol 20 to the Treaties.  Further, e.g. Ryan, “The Common Travel Area between Britain and Ireland”, 64 MLR (2013), 831</w:t>
      </w:r>
      <w:proofErr w:type="gramStart"/>
      <w:r w:rsidRPr="00F979D1">
        <w:rPr>
          <w:rFonts w:ascii="Times New Roman" w:hAnsi="Times New Roman" w:cs="Times New Roman"/>
          <w:sz w:val="20"/>
          <w:szCs w:val="20"/>
        </w:rPr>
        <w:t>;</w:t>
      </w:r>
      <w:proofErr w:type="gramEnd"/>
      <w:r w:rsidRPr="00F979D1">
        <w:rPr>
          <w:rFonts w:ascii="Times New Roman" w:hAnsi="Times New Roman" w:cs="Times New Roman"/>
          <w:sz w:val="20"/>
          <w:szCs w:val="20"/>
        </w:rPr>
        <w:t xml:space="preserve"> House of Commons Library, </w:t>
      </w:r>
      <w:r w:rsidRPr="00F979D1">
        <w:rPr>
          <w:rFonts w:ascii="Times New Roman" w:hAnsi="Times New Roman" w:cs="Times New Roman"/>
          <w:i/>
          <w:sz w:val="20"/>
          <w:szCs w:val="20"/>
        </w:rPr>
        <w:t xml:space="preserve">The Common Travel Area and the Special Status of Irish Nationals in UK Law </w:t>
      </w:r>
      <w:r w:rsidRPr="00F979D1">
        <w:rPr>
          <w:rFonts w:ascii="Times New Roman" w:hAnsi="Times New Roman" w:cs="Times New Roman"/>
          <w:sz w:val="20"/>
          <w:szCs w:val="20"/>
        </w:rPr>
        <w:t>(Briefing Paper 7661, 15 July 2016).</w:t>
      </w:r>
    </w:p>
  </w:footnote>
  <w:footnote w:id="260">
    <w:p w14:paraId="4B55F5DD" w14:textId="59CC5F95"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Art 3 </w:t>
      </w:r>
      <w:proofErr w:type="gramStart"/>
      <w:r w:rsidRPr="00F979D1">
        <w:rPr>
          <w:rFonts w:ascii="Times New Roman" w:hAnsi="Times New Roman" w:cs="Times New Roman"/>
          <w:sz w:val="20"/>
          <w:szCs w:val="20"/>
          <w:lang w:val="en-US"/>
        </w:rPr>
        <w:t>PINI.</w:t>
      </w:r>
      <w:proofErr w:type="gramEnd"/>
      <w:r w:rsidRPr="00F979D1">
        <w:rPr>
          <w:rFonts w:ascii="Times New Roman" w:hAnsi="Times New Roman" w:cs="Times New Roman"/>
          <w:sz w:val="20"/>
          <w:szCs w:val="20"/>
          <w:lang w:val="en-US"/>
        </w:rPr>
        <w:t xml:space="preserve">  See also Section 3.3.2 (above).</w:t>
      </w:r>
    </w:p>
  </w:footnote>
  <w:footnote w:id="261">
    <w:p w14:paraId="337F03C7" w14:textId="21733A9E"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That stance was not entirely obvious from HMG, Cm 9417 of 2 February 2017; but was set out more clearly in HMG, </w:t>
      </w:r>
      <w:r w:rsidRPr="00F979D1">
        <w:rPr>
          <w:rFonts w:ascii="Times New Roman" w:hAnsi="Times New Roman" w:cs="Times New Roman"/>
          <w:i/>
          <w:sz w:val="20"/>
          <w:szCs w:val="20"/>
        </w:rPr>
        <w:t>Position Paper on Northern Ireland and Ireland</w:t>
      </w:r>
      <w:r w:rsidRPr="00F979D1">
        <w:rPr>
          <w:rFonts w:ascii="Times New Roman" w:hAnsi="Times New Roman" w:cs="Times New Roman"/>
          <w:sz w:val="20"/>
          <w:szCs w:val="20"/>
        </w:rPr>
        <w:t xml:space="preserve"> (16 August 2017) Section 2.</w:t>
      </w:r>
    </w:p>
  </w:footnote>
  <w:footnote w:id="262">
    <w:p w14:paraId="373A4A13" w14:textId="411275E5"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Memorandum of Understanding between the Government of Ireland the Government of the UK concerning the Common Travel Area and Associated Reciprocal Rights and Privileges (8 May 2019).</w:t>
      </w:r>
      <w:proofErr w:type="gramEnd"/>
    </w:p>
  </w:footnote>
  <w:footnote w:id="263">
    <w:p w14:paraId="7EA48533" w14:textId="4FC2A1CE"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E.g. HMG, Position Paper of 16 August 2017, para 33.</w:t>
      </w:r>
      <w:proofErr w:type="gramEnd"/>
    </w:p>
  </w:footnote>
  <w:footnote w:id="264">
    <w:p w14:paraId="2F5DBAE1" w14:textId="2B8BE129"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In accordance with Art 4, Protocol 19 and Art 8, Protocol 21 to the Treaties.</w:t>
      </w:r>
    </w:p>
  </w:footnote>
  <w:footnote w:id="265">
    <w:p w14:paraId="41830168" w14:textId="3B5E785C"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Arts 2(1) and 3 TFEU.</w:t>
      </w:r>
      <w:proofErr w:type="gramEnd"/>
    </w:p>
  </w:footnote>
  <w:footnote w:id="266">
    <w:p w14:paraId="6EAEB045" w14:textId="2F996CE3"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In particular: HMG, Cm 9417 of 2 February 2017.</w:t>
      </w:r>
    </w:p>
  </w:footnote>
  <w:footnote w:id="267">
    <w:p w14:paraId="097BDCCB" w14:textId="534EE5D1"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Once again: that stance was not entirely obvious from HMG, Cm 9417 of 2 February 2017; but was set out more clearly in HMG, Position Paper of 16 August 2017, section 3 (to be read alongside HMG, </w:t>
      </w:r>
      <w:r w:rsidRPr="00F979D1">
        <w:rPr>
          <w:rFonts w:ascii="Times New Roman" w:hAnsi="Times New Roman" w:cs="Times New Roman"/>
          <w:i/>
          <w:sz w:val="20"/>
          <w:szCs w:val="20"/>
        </w:rPr>
        <w:t>Future Customs Arrangements</w:t>
      </w:r>
      <w:r w:rsidRPr="00F979D1">
        <w:rPr>
          <w:rFonts w:ascii="Times New Roman" w:hAnsi="Times New Roman" w:cs="Times New Roman"/>
          <w:sz w:val="20"/>
          <w:szCs w:val="20"/>
        </w:rPr>
        <w:t xml:space="preserve"> (16 August 2017)).</w:t>
      </w:r>
    </w:p>
  </w:footnote>
  <w:footnote w:id="268">
    <w:p w14:paraId="37C8711E" w14:textId="69EB9E27"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 xml:space="preserve">E.g. HMG, Position Paper of 16 August 2017, </w:t>
      </w:r>
      <w:proofErr w:type="spellStart"/>
      <w:r w:rsidRPr="00F979D1">
        <w:rPr>
          <w:rFonts w:ascii="Times New Roman" w:hAnsi="Times New Roman" w:cs="Times New Roman"/>
          <w:sz w:val="20"/>
          <w:szCs w:val="20"/>
        </w:rPr>
        <w:t>para</w:t>
      </w:r>
      <w:proofErr w:type="spellEnd"/>
      <w:r w:rsidRPr="00F979D1">
        <w:rPr>
          <w:rFonts w:ascii="Times New Roman" w:hAnsi="Times New Roman" w:cs="Times New Roman"/>
          <w:sz w:val="20"/>
          <w:szCs w:val="20"/>
        </w:rPr>
        <w:t xml:space="preserve"> 45.</w:t>
      </w:r>
      <w:proofErr w:type="gramEnd"/>
      <w:r w:rsidRPr="00F979D1">
        <w:rPr>
          <w:rFonts w:ascii="Times New Roman" w:hAnsi="Times New Roman" w:cs="Times New Roman"/>
          <w:sz w:val="20"/>
          <w:szCs w:val="20"/>
        </w:rPr>
        <w:t xml:space="preserve">  Note that, throughout many crucial points in the Art 50 TEU negotiations, Northern Ireland’s devolved institutions were effectively in abeyance and the population was thus deprived of any cross-community leadership.</w:t>
      </w:r>
    </w:p>
  </w:footnote>
  <w:footnote w:id="269">
    <w:p w14:paraId="00CAA838" w14:textId="4E0DECA6"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In addition to the European Council Guidelines of April 2017 and the Council Decision of 22 May 2017, see Commission, </w:t>
      </w:r>
      <w:r w:rsidRPr="00F979D1">
        <w:rPr>
          <w:rFonts w:ascii="Times New Roman" w:hAnsi="Times New Roman" w:cs="Times New Roman"/>
          <w:i/>
          <w:sz w:val="20"/>
          <w:szCs w:val="20"/>
          <w:lang w:val="en-US"/>
        </w:rPr>
        <w:t xml:space="preserve">Guiding Principles for the Dialogue on Ireland / Northern Ireland </w:t>
      </w:r>
      <w:r w:rsidRPr="00F979D1">
        <w:rPr>
          <w:rFonts w:ascii="Times New Roman" w:hAnsi="Times New Roman" w:cs="Times New Roman"/>
          <w:sz w:val="20"/>
          <w:szCs w:val="20"/>
          <w:lang w:val="en-US"/>
        </w:rPr>
        <w:t>(20 September 2017).</w:t>
      </w:r>
    </w:p>
  </w:footnote>
  <w:footnote w:id="270">
    <w:p w14:paraId="566C976C" w14:textId="6E36EA32" w:rsidR="00FD11BB" w:rsidRPr="00F979D1" w:rsidRDefault="00FD11BB" w:rsidP="00F979D1">
      <w:pPr>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 xml:space="preserve">Joint Report from the </w:t>
      </w:r>
      <w:r>
        <w:rPr>
          <w:rFonts w:ascii="Times New Roman" w:hAnsi="Times New Roman" w:cs="Times New Roman"/>
          <w:sz w:val="20"/>
          <w:szCs w:val="20"/>
        </w:rPr>
        <w:t xml:space="preserve">EU and UK </w:t>
      </w:r>
      <w:r w:rsidRPr="00F979D1">
        <w:rPr>
          <w:rFonts w:ascii="Times New Roman" w:hAnsi="Times New Roman" w:cs="Times New Roman"/>
          <w:sz w:val="20"/>
          <w:szCs w:val="20"/>
        </w:rPr>
        <w:t>negotiators (8 December 2017).</w:t>
      </w:r>
      <w:proofErr w:type="gramEnd"/>
    </w:p>
  </w:footnote>
  <w:footnote w:id="271">
    <w:p w14:paraId="3CCE9742" w14:textId="16D15031" w:rsidR="00FD11BB" w:rsidRPr="00F979D1" w:rsidRDefault="00FD11BB" w:rsidP="00F979D1">
      <w:pPr>
        <w:pStyle w:val="FootnoteText"/>
        <w:jc w:val="both"/>
        <w:rPr>
          <w:rFonts w:ascii="Times New Roman" w:hAnsi="Times New Roman" w:cs="Times New Roman"/>
          <w:i/>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Joint Report</w:t>
      </w:r>
      <w:r>
        <w:rPr>
          <w:rFonts w:ascii="Times New Roman" w:hAnsi="Times New Roman" w:cs="Times New Roman"/>
          <w:sz w:val="20"/>
          <w:szCs w:val="20"/>
        </w:rPr>
        <w:t xml:space="preserve">, </w:t>
      </w:r>
      <w:proofErr w:type="spellStart"/>
      <w:r>
        <w:rPr>
          <w:rFonts w:ascii="Times New Roman" w:hAnsi="Times New Roman" w:cs="Times New Roman"/>
          <w:sz w:val="20"/>
          <w:szCs w:val="20"/>
        </w:rPr>
        <w:t>para</w:t>
      </w:r>
      <w:proofErr w:type="spellEnd"/>
      <w:r>
        <w:rPr>
          <w:rFonts w:ascii="Times New Roman" w:hAnsi="Times New Roman" w:cs="Times New Roman"/>
          <w:sz w:val="20"/>
          <w:szCs w:val="20"/>
        </w:rPr>
        <w:t xml:space="preserve"> 49</w:t>
      </w:r>
      <w:r w:rsidRPr="00F979D1">
        <w:rPr>
          <w:rFonts w:ascii="Times New Roman" w:hAnsi="Times New Roman" w:cs="Times New Roman"/>
          <w:sz w:val="20"/>
          <w:szCs w:val="20"/>
        </w:rPr>
        <w:t>.</w:t>
      </w:r>
      <w:proofErr w:type="gramEnd"/>
      <w:r w:rsidRPr="00F979D1">
        <w:rPr>
          <w:rFonts w:ascii="Times New Roman" w:hAnsi="Times New Roman" w:cs="Times New Roman"/>
          <w:sz w:val="20"/>
          <w:szCs w:val="20"/>
        </w:rPr>
        <w:t xml:space="preserve">  Note also Joint Report</w:t>
      </w:r>
      <w:r>
        <w:rPr>
          <w:rFonts w:ascii="Times New Roman" w:hAnsi="Times New Roman" w:cs="Times New Roman"/>
          <w:sz w:val="20"/>
          <w:szCs w:val="20"/>
        </w:rPr>
        <w:t xml:space="preserve">, </w:t>
      </w:r>
      <w:proofErr w:type="spellStart"/>
      <w:r>
        <w:rPr>
          <w:rFonts w:ascii="Times New Roman" w:hAnsi="Times New Roman" w:cs="Times New Roman"/>
          <w:sz w:val="20"/>
          <w:szCs w:val="20"/>
        </w:rPr>
        <w:t>para</w:t>
      </w:r>
      <w:proofErr w:type="spellEnd"/>
      <w:r>
        <w:rPr>
          <w:rFonts w:ascii="Times New Roman" w:hAnsi="Times New Roman" w:cs="Times New Roman"/>
          <w:sz w:val="20"/>
          <w:szCs w:val="20"/>
        </w:rPr>
        <w:t xml:space="preserve"> 50</w:t>
      </w:r>
      <w:r w:rsidRPr="00F979D1">
        <w:rPr>
          <w:rFonts w:ascii="Times New Roman" w:hAnsi="Times New Roman" w:cs="Times New Roman"/>
          <w:sz w:val="20"/>
          <w:szCs w:val="20"/>
        </w:rPr>
        <w:t xml:space="preserve"> and Prime Minister, </w:t>
      </w:r>
      <w:r w:rsidRPr="00F979D1">
        <w:rPr>
          <w:rFonts w:ascii="Times New Roman" w:hAnsi="Times New Roman" w:cs="Times New Roman"/>
          <w:i/>
          <w:sz w:val="20"/>
          <w:szCs w:val="20"/>
        </w:rPr>
        <w:t xml:space="preserve">Open Letter on Commitments to Northern Ireland </w:t>
      </w:r>
      <w:r w:rsidRPr="00F979D1">
        <w:rPr>
          <w:rFonts w:ascii="Times New Roman" w:hAnsi="Times New Roman" w:cs="Times New Roman"/>
          <w:sz w:val="20"/>
          <w:szCs w:val="20"/>
        </w:rPr>
        <w:t xml:space="preserve">(8 December 2017) – both intended to reassure unionists about Northern Ireland’s </w:t>
      </w:r>
      <w:r>
        <w:rPr>
          <w:rFonts w:ascii="Times New Roman" w:hAnsi="Times New Roman" w:cs="Times New Roman"/>
          <w:sz w:val="20"/>
          <w:szCs w:val="20"/>
        </w:rPr>
        <w:t>position</w:t>
      </w:r>
      <w:r w:rsidRPr="00F979D1">
        <w:rPr>
          <w:rFonts w:ascii="Times New Roman" w:hAnsi="Times New Roman" w:cs="Times New Roman"/>
          <w:sz w:val="20"/>
          <w:szCs w:val="20"/>
        </w:rPr>
        <w:t xml:space="preserve"> within the UK. </w:t>
      </w:r>
    </w:p>
  </w:footnote>
  <w:footnote w:id="272">
    <w:p w14:paraId="4C9C4DCD" w14:textId="124EF818"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Consider, in particular, the proposals contained in HMG, Cm 9593 of 17 July 2018.  Note that ardent Leave campaigners insisted on technological solutions to the Irish border problem, despite the lack of evidence from international practice to demonstrate their feasibility: consider, e.g. </w:t>
      </w:r>
      <w:proofErr w:type="spellStart"/>
      <w:r w:rsidRPr="00F979D1">
        <w:rPr>
          <w:rFonts w:ascii="Times New Roman" w:hAnsi="Times New Roman" w:cs="Times New Roman"/>
          <w:sz w:val="20"/>
          <w:szCs w:val="20"/>
        </w:rPr>
        <w:t>Karlsson</w:t>
      </w:r>
      <w:proofErr w:type="spellEnd"/>
      <w:r w:rsidRPr="00F979D1">
        <w:rPr>
          <w:rFonts w:ascii="Times New Roman" w:hAnsi="Times New Roman" w:cs="Times New Roman"/>
          <w:sz w:val="20"/>
          <w:szCs w:val="20"/>
        </w:rPr>
        <w:t xml:space="preserve">, </w:t>
      </w:r>
      <w:r w:rsidRPr="00F979D1">
        <w:rPr>
          <w:rFonts w:ascii="Times New Roman" w:hAnsi="Times New Roman" w:cs="Times New Roman"/>
          <w:i/>
          <w:sz w:val="20"/>
          <w:szCs w:val="20"/>
        </w:rPr>
        <w:t xml:space="preserve">Smart Border 2.0: Avoiding a hard border on the island of Ireland for customs control and the free movement of persons </w:t>
      </w:r>
      <w:r w:rsidRPr="00F979D1">
        <w:rPr>
          <w:rFonts w:ascii="Times New Roman" w:hAnsi="Times New Roman" w:cs="Times New Roman"/>
          <w:sz w:val="20"/>
          <w:szCs w:val="20"/>
        </w:rPr>
        <w:t>(</w:t>
      </w:r>
      <w:r w:rsidRPr="00F979D1">
        <w:rPr>
          <w:rFonts w:ascii="Times New Roman" w:eastAsia="Times New Roman" w:hAnsi="Times New Roman" w:cs="Times New Roman"/>
          <w:sz w:val="20"/>
          <w:szCs w:val="20"/>
        </w:rPr>
        <w:t xml:space="preserve">European Parliament, Policy Department for Citizens’ Rights and Constitutional Affairs: </w:t>
      </w:r>
      <w:r w:rsidRPr="00F979D1">
        <w:rPr>
          <w:rFonts w:ascii="Times New Roman" w:hAnsi="Times New Roman" w:cs="Times New Roman"/>
          <w:sz w:val="20"/>
          <w:szCs w:val="20"/>
        </w:rPr>
        <w:t xml:space="preserve">PE 596.828, November 2017); House of Commons Northern Ireland Affairs Committee, </w:t>
      </w:r>
      <w:r w:rsidRPr="00F979D1">
        <w:rPr>
          <w:rFonts w:ascii="Times New Roman" w:hAnsi="Times New Roman" w:cs="Times New Roman"/>
          <w:i/>
          <w:sz w:val="20"/>
          <w:szCs w:val="20"/>
        </w:rPr>
        <w:t xml:space="preserve">The Land Border between Northern Ireland and Ireland </w:t>
      </w:r>
      <w:r w:rsidRPr="00F979D1">
        <w:rPr>
          <w:rFonts w:ascii="Times New Roman" w:hAnsi="Times New Roman" w:cs="Times New Roman"/>
          <w:sz w:val="20"/>
          <w:szCs w:val="20"/>
        </w:rPr>
        <w:t>(HC329, 16 March 2018).</w:t>
      </w:r>
    </w:p>
  </w:footnote>
  <w:footnote w:id="273">
    <w:p w14:paraId="0C1D477F" w14:textId="0F1F2280"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TF50 (2018) 33.</w:t>
      </w:r>
      <w:proofErr w:type="gramEnd"/>
    </w:p>
  </w:footnote>
  <w:footnote w:id="274">
    <w:p w14:paraId="009611C6" w14:textId="7E15E8AA"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 xml:space="preserve">E.g. &lt;&lt;https://www.bbc.co.uk/news/uk-politics-43224785&gt;&gt;; Theresa May, </w:t>
      </w:r>
      <w:r w:rsidRPr="00F979D1">
        <w:rPr>
          <w:rFonts w:ascii="Times New Roman" w:hAnsi="Times New Roman" w:cs="Times New Roman"/>
          <w:i/>
          <w:sz w:val="20"/>
          <w:szCs w:val="20"/>
        </w:rPr>
        <w:t xml:space="preserve">Letter to Donald Tusk </w:t>
      </w:r>
      <w:r w:rsidRPr="00F979D1">
        <w:rPr>
          <w:rFonts w:ascii="Times New Roman" w:hAnsi="Times New Roman" w:cs="Times New Roman"/>
          <w:sz w:val="20"/>
          <w:szCs w:val="20"/>
        </w:rPr>
        <w:t>(19 March 2018).</w:t>
      </w:r>
      <w:proofErr w:type="gramEnd"/>
      <w:r w:rsidRPr="00F979D1">
        <w:rPr>
          <w:rFonts w:ascii="Times New Roman" w:hAnsi="Times New Roman" w:cs="Times New Roman"/>
          <w:sz w:val="20"/>
          <w:szCs w:val="20"/>
        </w:rPr>
        <w:t xml:space="preserve">  Also: House of Commons Northern Ireland Affairs Committee, </w:t>
      </w:r>
      <w:r>
        <w:rPr>
          <w:rFonts w:ascii="Times New Roman" w:hAnsi="Times New Roman" w:cs="Times New Roman"/>
          <w:sz w:val="20"/>
          <w:szCs w:val="20"/>
        </w:rPr>
        <w:t>HC329 of 16 March 2018</w:t>
      </w:r>
      <w:r w:rsidRPr="00F979D1">
        <w:rPr>
          <w:rFonts w:ascii="Times New Roman" w:hAnsi="Times New Roman" w:cs="Times New Roman"/>
          <w:sz w:val="20"/>
          <w:szCs w:val="20"/>
        </w:rPr>
        <w:t>.</w:t>
      </w:r>
    </w:p>
  </w:footnote>
  <w:footnote w:id="275">
    <w:p w14:paraId="4F824388" w14:textId="62C29800"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Note that Northern Ireland was only recently brought into line with the rest of the UK on issues such as marriage equality</w:t>
      </w:r>
      <w:r>
        <w:rPr>
          <w:rFonts w:ascii="Times New Roman" w:hAnsi="Times New Roman" w:cs="Times New Roman"/>
          <w:sz w:val="20"/>
          <w:szCs w:val="20"/>
        </w:rPr>
        <w:t>,</w:t>
      </w:r>
      <w:r w:rsidRPr="00F979D1">
        <w:rPr>
          <w:rFonts w:ascii="Times New Roman" w:hAnsi="Times New Roman" w:cs="Times New Roman"/>
          <w:sz w:val="20"/>
          <w:szCs w:val="20"/>
        </w:rPr>
        <w:t xml:space="preserve"> in the face of </w:t>
      </w:r>
      <w:r>
        <w:rPr>
          <w:rFonts w:ascii="Times New Roman" w:hAnsi="Times New Roman" w:cs="Times New Roman"/>
          <w:sz w:val="20"/>
          <w:szCs w:val="20"/>
        </w:rPr>
        <w:t>the DUP’s</w:t>
      </w:r>
      <w:r w:rsidRPr="00F979D1">
        <w:rPr>
          <w:rFonts w:ascii="Times New Roman" w:hAnsi="Times New Roman" w:cs="Times New Roman"/>
          <w:sz w:val="20"/>
          <w:szCs w:val="20"/>
        </w:rPr>
        <w:t xml:space="preserve"> insistence that Northern Ireland be treated entirely differently.</w:t>
      </w:r>
    </w:p>
  </w:footnote>
  <w:footnote w:id="276">
    <w:p w14:paraId="26855205" w14:textId="4C957DFD"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Published in OJ 2019, C 66 I.  Note that, in the interim, the UK did offer other (half-baked) Irish border suggestions, e.g. HMG, </w:t>
      </w:r>
      <w:r w:rsidRPr="00F979D1">
        <w:rPr>
          <w:rFonts w:ascii="Times New Roman" w:hAnsi="Times New Roman" w:cs="Times New Roman"/>
          <w:i/>
          <w:sz w:val="20"/>
          <w:szCs w:val="20"/>
        </w:rPr>
        <w:t xml:space="preserve">Technical Note on Temporary Customs Arrangement </w:t>
      </w:r>
      <w:r w:rsidRPr="00F979D1">
        <w:rPr>
          <w:rFonts w:ascii="Times New Roman" w:hAnsi="Times New Roman" w:cs="Times New Roman"/>
          <w:sz w:val="20"/>
          <w:szCs w:val="20"/>
        </w:rPr>
        <w:t>(7 June 2018)</w:t>
      </w:r>
      <w:proofErr w:type="gramStart"/>
      <w:r w:rsidRPr="00F979D1">
        <w:rPr>
          <w:rFonts w:ascii="Times New Roman" w:hAnsi="Times New Roman" w:cs="Times New Roman"/>
          <w:sz w:val="20"/>
          <w:szCs w:val="20"/>
        </w:rPr>
        <w:t>;</w:t>
      </w:r>
      <w:proofErr w:type="gramEnd"/>
      <w:r w:rsidRPr="00F979D1">
        <w:rPr>
          <w:rFonts w:ascii="Times New Roman" w:hAnsi="Times New Roman" w:cs="Times New Roman"/>
          <w:sz w:val="20"/>
          <w:szCs w:val="20"/>
        </w:rPr>
        <w:t xml:space="preserve"> to which the Commission swiftly reacted, e.g. TF50 (2018) 39.</w:t>
      </w:r>
    </w:p>
  </w:footnote>
  <w:footnote w:id="277">
    <w:p w14:paraId="2B443BC8" w14:textId="2B54AB53"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E.g. European Council (Art 50), Conclusions of 13 December 2018; Exchange of Letters between the President of the European Council, the President of the Commission and the UK Prime Minister of 14 January 2019; “Strasbourg Deal” of 11 March 2019 </w:t>
      </w:r>
      <w:r>
        <w:rPr>
          <w:rFonts w:ascii="Times New Roman" w:hAnsi="Times New Roman" w:cs="Times New Roman"/>
          <w:sz w:val="20"/>
          <w:szCs w:val="20"/>
        </w:rPr>
        <w:t>(</w:t>
      </w:r>
      <w:r w:rsidRPr="00F979D1">
        <w:rPr>
          <w:rFonts w:ascii="Times New Roman" w:hAnsi="Times New Roman" w:cs="Times New Roman"/>
          <w:sz w:val="20"/>
          <w:szCs w:val="20"/>
        </w:rPr>
        <w:t>Instrument relating to the Withdrawal Agreement and Joint Statement relating to Political Declaration</w:t>
      </w:r>
      <w:r>
        <w:rPr>
          <w:rFonts w:ascii="Times New Roman" w:hAnsi="Times New Roman" w:cs="Times New Roman"/>
          <w:sz w:val="20"/>
          <w:szCs w:val="20"/>
        </w:rPr>
        <w:t>)</w:t>
      </w:r>
      <w:r w:rsidRPr="00F979D1">
        <w:rPr>
          <w:rFonts w:ascii="Times New Roman" w:hAnsi="Times New Roman" w:cs="Times New Roman"/>
          <w:sz w:val="20"/>
          <w:szCs w:val="20"/>
        </w:rPr>
        <w:t xml:space="preserve">.  Note also HMG, </w:t>
      </w:r>
      <w:r w:rsidRPr="00F979D1">
        <w:rPr>
          <w:rFonts w:ascii="Times New Roman" w:hAnsi="Times New Roman" w:cs="Times New Roman"/>
          <w:i/>
          <w:sz w:val="20"/>
          <w:szCs w:val="20"/>
        </w:rPr>
        <w:t xml:space="preserve">Commitments to Northern Ireland and its integral place in the United Kingdom </w:t>
      </w:r>
      <w:r w:rsidRPr="00F979D1">
        <w:rPr>
          <w:rFonts w:ascii="Times New Roman" w:hAnsi="Times New Roman" w:cs="Times New Roman"/>
          <w:sz w:val="20"/>
          <w:szCs w:val="20"/>
        </w:rPr>
        <w:t xml:space="preserve">(9 January 2019); Prime Minister, </w:t>
      </w:r>
      <w:r w:rsidRPr="00F979D1">
        <w:rPr>
          <w:rFonts w:ascii="Times New Roman" w:hAnsi="Times New Roman" w:cs="Times New Roman"/>
          <w:i/>
          <w:sz w:val="20"/>
          <w:szCs w:val="20"/>
        </w:rPr>
        <w:t xml:space="preserve">Speech in Belfast </w:t>
      </w:r>
      <w:r w:rsidRPr="00F979D1">
        <w:rPr>
          <w:rFonts w:ascii="Times New Roman" w:hAnsi="Times New Roman" w:cs="Times New Roman"/>
          <w:sz w:val="20"/>
          <w:szCs w:val="20"/>
        </w:rPr>
        <w:t xml:space="preserve">(5 February 2019); HMG, </w:t>
      </w:r>
      <w:r w:rsidRPr="00F979D1">
        <w:rPr>
          <w:rFonts w:ascii="Times New Roman" w:hAnsi="Times New Roman" w:cs="Times New Roman"/>
          <w:i/>
          <w:sz w:val="20"/>
          <w:szCs w:val="20"/>
        </w:rPr>
        <w:t xml:space="preserve">Unilateral Declaration concerning the Northern Ireland Protocol </w:t>
      </w:r>
      <w:r w:rsidRPr="00F979D1">
        <w:rPr>
          <w:rFonts w:ascii="Times New Roman" w:hAnsi="Times New Roman" w:cs="Times New Roman"/>
          <w:sz w:val="20"/>
          <w:szCs w:val="20"/>
        </w:rPr>
        <w:t xml:space="preserve">(12 March 2019).  </w:t>
      </w:r>
    </w:p>
  </w:footnote>
  <w:footnote w:id="278">
    <w:p w14:paraId="61FE22C9" w14:textId="5005F48D"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Pr>
          <w:rFonts w:ascii="Times New Roman" w:hAnsi="Times New Roman" w:cs="Times New Roman"/>
          <w:sz w:val="20"/>
          <w:szCs w:val="20"/>
        </w:rPr>
        <w:t>Note</w:t>
      </w:r>
      <w:r w:rsidRPr="00F979D1">
        <w:rPr>
          <w:rFonts w:ascii="Times New Roman" w:hAnsi="Times New Roman" w:cs="Times New Roman"/>
          <w:sz w:val="20"/>
          <w:szCs w:val="20"/>
        </w:rPr>
        <w:t xml:space="preserve"> Attorney General’s Legal Advice of 13 November 2018; Theresa May, </w:t>
      </w:r>
      <w:r w:rsidRPr="00F979D1">
        <w:rPr>
          <w:rFonts w:ascii="Times New Roman" w:hAnsi="Times New Roman" w:cs="Times New Roman"/>
          <w:i/>
          <w:sz w:val="20"/>
          <w:szCs w:val="20"/>
        </w:rPr>
        <w:t xml:space="preserve">Statement to the House of Commons on Brexit </w:t>
      </w:r>
      <w:r w:rsidRPr="00F979D1">
        <w:rPr>
          <w:rFonts w:ascii="Times New Roman" w:hAnsi="Times New Roman" w:cs="Times New Roman"/>
          <w:sz w:val="20"/>
          <w:szCs w:val="20"/>
        </w:rPr>
        <w:t>(12 February 2019); Attorney General’s Revised Legal Advice of 12 March 2019.</w:t>
      </w:r>
    </w:p>
  </w:footnote>
  <w:footnote w:id="279">
    <w:p w14:paraId="6606E687" w14:textId="3372B685"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i/>
          <w:sz w:val="20"/>
          <w:szCs w:val="20"/>
          <w:lang w:val="en-US"/>
        </w:rPr>
        <w:t>Letter from the Prime Minister to the President of the European Commission</w:t>
      </w:r>
      <w:r w:rsidRPr="00F979D1">
        <w:rPr>
          <w:rFonts w:ascii="Times New Roman" w:hAnsi="Times New Roman" w:cs="Times New Roman"/>
          <w:sz w:val="20"/>
          <w:szCs w:val="20"/>
          <w:lang w:val="en-US"/>
        </w:rPr>
        <w:t xml:space="preserve"> and </w:t>
      </w:r>
      <w:r w:rsidRPr="00F979D1">
        <w:rPr>
          <w:rFonts w:ascii="Times New Roman" w:hAnsi="Times New Roman" w:cs="Times New Roman"/>
          <w:i/>
          <w:sz w:val="20"/>
          <w:szCs w:val="20"/>
          <w:lang w:val="en-US"/>
        </w:rPr>
        <w:t xml:space="preserve">Explanatory Note on UK proposals for an amended Protocol on Ireland / Northern Ireland </w:t>
      </w:r>
      <w:r w:rsidRPr="00F979D1">
        <w:rPr>
          <w:rFonts w:ascii="Times New Roman" w:hAnsi="Times New Roman" w:cs="Times New Roman"/>
          <w:sz w:val="20"/>
          <w:szCs w:val="20"/>
          <w:lang w:val="en-US"/>
        </w:rPr>
        <w:t>(2 October 2019).</w:t>
      </w:r>
      <w:proofErr w:type="gramEnd"/>
    </w:p>
  </w:footnote>
  <w:footnote w:id="280">
    <w:p w14:paraId="336B8831" w14:textId="0F839746"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Having been rejected, in and of themselves, by the Commission: e.g. Michel </w:t>
      </w:r>
      <w:proofErr w:type="spellStart"/>
      <w:r w:rsidRPr="00F979D1">
        <w:rPr>
          <w:rFonts w:ascii="Times New Roman" w:hAnsi="Times New Roman" w:cs="Times New Roman"/>
          <w:sz w:val="20"/>
          <w:szCs w:val="20"/>
          <w:lang w:val="en-US"/>
        </w:rPr>
        <w:t>Barnier</w:t>
      </w:r>
      <w:proofErr w:type="spellEnd"/>
      <w:r w:rsidRPr="00F979D1">
        <w:rPr>
          <w:rFonts w:ascii="Times New Roman" w:hAnsi="Times New Roman" w:cs="Times New Roman"/>
          <w:sz w:val="20"/>
          <w:szCs w:val="20"/>
          <w:lang w:val="en-US"/>
        </w:rPr>
        <w:t xml:space="preserve">, </w:t>
      </w:r>
      <w:r w:rsidRPr="00F979D1">
        <w:rPr>
          <w:rFonts w:ascii="Times New Roman" w:hAnsi="Times New Roman" w:cs="Times New Roman"/>
          <w:i/>
          <w:sz w:val="20"/>
          <w:szCs w:val="20"/>
          <w:lang w:val="en-US"/>
        </w:rPr>
        <w:t xml:space="preserve">Statement at the European Parliament Plenary Session </w:t>
      </w:r>
      <w:r w:rsidRPr="00F979D1">
        <w:rPr>
          <w:rFonts w:ascii="Times New Roman" w:hAnsi="Times New Roman" w:cs="Times New Roman"/>
          <w:sz w:val="20"/>
          <w:szCs w:val="20"/>
          <w:lang w:val="en-US"/>
        </w:rPr>
        <w:t xml:space="preserve">(9 October 2019). </w:t>
      </w:r>
    </w:p>
  </w:footnote>
  <w:footnote w:id="281">
    <w:p w14:paraId="6429069E" w14:textId="464F07EF"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OJ 2019, C 384 I.</w:t>
      </w:r>
      <w:proofErr w:type="gramEnd"/>
      <w:r w:rsidRPr="00F979D1">
        <w:rPr>
          <w:rFonts w:ascii="Times New Roman" w:hAnsi="Times New Roman" w:cs="Times New Roman"/>
          <w:sz w:val="20"/>
          <w:szCs w:val="20"/>
        </w:rPr>
        <w:t xml:space="preserve">  Note the detailed rules on entry into force of the Protocol contained in Art 185 WA.  </w:t>
      </w:r>
    </w:p>
  </w:footnote>
  <w:footnote w:id="282">
    <w:p w14:paraId="09DDE31B" w14:textId="77391EAE"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Note the Statement from the Democratic Unionist Party (17 October 2019).</w:t>
      </w:r>
    </w:p>
  </w:footnote>
  <w:footnote w:id="283">
    <w:p w14:paraId="1F59C162" w14:textId="7B2A661E"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In particular: Arts 5, 7, 8 and 10 PINI – which include various </w:t>
      </w:r>
      <w:r w:rsidRPr="00F979D1">
        <w:rPr>
          <w:rFonts w:ascii="Times New Roman" w:hAnsi="Times New Roman" w:cs="Times New Roman"/>
          <w:sz w:val="20"/>
          <w:szCs w:val="20"/>
          <w:lang w:val="en-US"/>
        </w:rPr>
        <w:t xml:space="preserve">specific exceptions / modifications, e.g. Art 5(3) PINI on fisheries and aquaculture products; Art 7 PINI on Northern Ireland matching the VAT exemptions / reductions application in Ireland; Art 10(2) PINI on state aid for Northern Irish agriculture.  </w:t>
      </w:r>
    </w:p>
  </w:footnote>
  <w:footnote w:id="284">
    <w:p w14:paraId="33A2A306" w14:textId="4A53B3AB"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Art 13(3) PINI (unless otherwise provided for).</w:t>
      </w:r>
      <w:proofErr w:type="gramEnd"/>
      <w:r w:rsidRPr="00F979D1">
        <w:rPr>
          <w:rFonts w:ascii="Times New Roman" w:hAnsi="Times New Roman" w:cs="Times New Roman"/>
          <w:sz w:val="20"/>
          <w:szCs w:val="20"/>
        </w:rPr>
        <w:t xml:space="preserve">  </w:t>
      </w:r>
    </w:p>
  </w:footnote>
  <w:footnote w:id="285">
    <w:p w14:paraId="09CE8213" w14:textId="08207247"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Art 13(4) PINI.  </w:t>
      </w:r>
    </w:p>
  </w:footnote>
  <w:footnote w:id="286">
    <w:p w14:paraId="11DB836F" w14:textId="5FCCC863"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13(2) PINI.</w:t>
      </w:r>
    </w:p>
  </w:footnote>
  <w:footnote w:id="287">
    <w:p w14:paraId="241BA4A7" w14:textId="4E305974"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Art 5(5) PINI.</w:t>
      </w:r>
    </w:p>
  </w:footnote>
  <w:footnote w:id="288">
    <w:p w14:paraId="3C66BFED" w14:textId="2FE488AA"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Art 5(5) PINI.</w:t>
      </w:r>
    </w:p>
  </w:footnote>
  <w:footnote w:id="289">
    <w:p w14:paraId="639F7B3F" w14:textId="6D5BAD35"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lang w:val="en-US"/>
        </w:rPr>
        <w:t>Art 7(1) PINI.</w:t>
      </w:r>
      <w:proofErr w:type="gramEnd"/>
    </w:p>
  </w:footnote>
  <w:footnote w:id="290">
    <w:p w14:paraId="261C6D57" w14:textId="38D95526"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spellStart"/>
      <w:r w:rsidRPr="00F979D1">
        <w:rPr>
          <w:rFonts w:ascii="Times New Roman" w:hAnsi="Times New Roman" w:cs="Times New Roman"/>
          <w:sz w:val="20"/>
          <w:szCs w:val="20"/>
        </w:rPr>
        <w:t>Weatherill</w:t>
      </w:r>
      <w:proofErr w:type="spellEnd"/>
      <w:r w:rsidRPr="00F979D1">
        <w:rPr>
          <w:rFonts w:ascii="Times New Roman" w:hAnsi="Times New Roman" w:cs="Times New Roman"/>
          <w:sz w:val="20"/>
          <w:szCs w:val="20"/>
        </w:rPr>
        <w:t xml:space="preserve">, “The Protocol on Ireland / Northern Ireland: Protecting the EU’s internal market at the expense of the UK’s” in (forthcoming) </w:t>
      </w:r>
      <w:r w:rsidRPr="00F979D1">
        <w:rPr>
          <w:rFonts w:ascii="Times New Roman" w:hAnsi="Times New Roman" w:cs="Times New Roman"/>
          <w:i/>
          <w:sz w:val="20"/>
          <w:szCs w:val="20"/>
        </w:rPr>
        <w:t xml:space="preserve">European Law Review </w:t>
      </w:r>
      <w:r w:rsidRPr="00F979D1">
        <w:rPr>
          <w:rFonts w:ascii="Times New Roman" w:hAnsi="Times New Roman" w:cs="Times New Roman"/>
          <w:sz w:val="20"/>
          <w:szCs w:val="20"/>
        </w:rPr>
        <w:t>Special Issue on the Withdrawal Package.</w:t>
      </w:r>
    </w:p>
  </w:footnote>
  <w:footnote w:id="291">
    <w:p w14:paraId="4ACEFAD4" w14:textId="242318AD" w:rsidR="00FD11BB" w:rsidRPr="00F979D1" w:rsidRDefault="00FD11BB" w:rsidP="00F979D1">
      <w:pPr>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 xml:space="preserve">E.g. </w:t>
      </w:r>
      <w:r w:rsidRPr="00F979D1">
        <w:rPr>
          <w:rFonts w:ascii="Times New Roman" w:hAnsi="Times New Roman" w:cs="Times New Roman"/>
          <w:sz w:val="20"/>
          <w:szCs w:val="20"/>
          <w:lang w:val="en-US"/>
        </w:rPr>
        <w:t xml:space="preserve">Michel </w:t>
      </w:r>
      <w:proofErr w:type="spellStart"/>
      <w:r w:rsidRPr="00F979D1">
        <w:rPr>
          <w:rFonts w:ascii="Times New Roman" w:hAnsi="Times New Roman" w:cs="Times New Roman"/>
          <w:sz w:val="20"/>
          <w:szCs w:val="20"/>
          <w:lang w:val="en-US"/>
        </w:rPr>
        <w:t>Barnier</w:t>
      </w:r>
      <w:proofErr w:type="spellEnd"/>
      <w:r w:rsidRPr="00F979D1">
        <w:rPr>
          <w:rFonts w:ascii="Times New Roman" w:hAnsi="Times New Roman" w:cs="Times New Roman"/>
          <w:sz w:val="20"/>
          <w:szCs w:val="20"/>
          <w:lang w:val="en-US"/>
        </w:rPr>
        <w:t xml:space="preserve">, </w:t>
      </w:r>
      <w:r w:rsidRPr="00F979D1">
        <w:rPr>
          <w:rFonts w:ascii="Times New Roman" w:hAnsi="Times New Roman" w:cs="Times New Roman"/>
          <w:i/>
          <w:sz w:val="20"/>
          <w:szCs w:val="20"/>
          <w:lang w:val="en-US"/>
        </w:rPr>
        <w:t xml:space="preserve">Speech at the William J Clinton Leadership Institute </w:t>
      </w:r>
      <w:r w:rsidRPr="00F979D1">
        <w:rPr>
          <w:rFonts w:ascii="Times New Roman" w:hAnsi="Times New Roman" w:cs="Times New Roman"/>
          <w:sz w:val="20"/>
          <w:szCs w:val="20"/>
          <w:lang w:val="en-US"/>
        </w:rPr>
        <w:t>(27 January 2020).</w:t>
      </w:r>
      <w:proofErr w:type="gramEnd"/>
    </w:p>
  </w:footnote>
  <w:footnote w:id="292">
    <w:p w14:paraId="458D6E86" w14:textId="60F03BCE" w:rsidR="00FD11BB" w:rsidRPr="00F979D1" w:rsidRDefault="00FD11BB" w:rsidP="00F979D1">
      <w:pPr>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lang w:val="en-US"/>
        </w:rPr>
        <w:t>Art 12(1) PINI.</w:t>
      </w:r>
      <w:proofErr w:type="gramEnd"/>
      <w:r w:rsidRPr="00F979D1">
        <w:rPr>
          <w:rFonts w:ascii="Times New Roman" w:hAnsi="Times New Roman" w:cs="Times New Roman"/>
          <w:sz w:val="20"/>
          <w:szCs w:val="20"/>
          <w:lang w:val="en-US"/>
        </w:rPr>
        <w:t xml:space="preserve">  Note a similar acceptance, in a less controversial context, under the Cyprus Protocol.  Contrast, e.g. with Michel </w:t>
      </w:r>
      <w:proofErr w:type="spellStart"/>
      <w:r w:rsidRPr="00F979D1">
        <w:rPr>
          <w:rFonts w:ascii="Times New Roman" w:hAnsi="Times New Roman" w:cs="Times New Roman"/>
          <w:sz w:val="20"/>
          <w:szCs w:val="20"/>
          <w:lang w:val="en-US"/>
        </w:rPr>
        <w:t>Barnier</w:t>
      </w:r>
      <w:proofErr w:type="spellEnd"/>
      <w:r w:rsidRPr="00F979D1">
        <w:rPr>
          <w:rFonts w:ascii="Times New Roman" w:hAnsi="Times New Roman" w:cs="Times New Roman"/>
          <w:sz w:val="20"/>
          <w:szCs w:val="20"/>
          <w:lang w:val="en-US"/>
        </w:rPr>
        <w:t xml:space="preserve">, </w:t>
      </w:r>
      <w:r w:rsidRPr="00F979D1">
        <w:rPr>
          <w:rFonts w:ascii="Times New Roman" w:hAnsi="Times New Roman" w:cs="Times New Roman"/>
          <w:i/>
          <w:sz w:val="20"/>
          <w:szCs w:val="20"/>
          <w:lang w:val="en-US"/>
        </w:rPr>
        <w:t xml:space="preserve">Speech on German Employers’ Day 2017 </w:t>
      </w:r>
      <w:r w:rsidRPr="00F979D1">
        <w:rPr>
          <w:rFonts w:ascii="Times New Roman" w:hAnsi="Times New Roman" w:cs="Times New Roman"/>
          <w:sz w:val="20"/>
          <w:szCs w:val="20"/>
          <w:lang w:val="en-US"/>
        </w:rPr>
        <w:t>(29 November 2017).</w:t>
      </w:r>
    </w:p>
  </w:footnote>
  <w:footnote w:id="293">
    <w:p w14:paraId="1CFA8B34" w14:textId="71766522"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 xml:space="preserve">Case C-213/19, </w:t>
      </w:r>
      <w:r w:rsidRPr="00F979D1">
        <w:rPr>
          <w:rFonts w:ascii="Times New Roman" w:hAnsi="Times New Roman" w:cs="Times New Roman"/>
          <w:i/>
          <w:sz w:val="20"/>
          <w:szCs w:val="20"/>
        </w:rPr>
        <w:t xml:space="preserve">Commission </w:t>
      </w:r>
      <w:r w:rsidRPr="00F979D1">
        <w:rPr>
          <w:rFonts w:ascii="Times New Roman" w:hAnsi="Times New Roman" w:cs="Times New Roman"/>
          <w:sz w:val="20"/>
          <w:szCs w:val="20"/>
        </w:rPr>
        <w:t xml:space="preserve">v. </w:t>
      </w:r>
      <w:r w:rsidRPr="00F979D1">
        <w:rPr>
          <w:rFonts w:ascii="Times New Roman" w:hAnsi="Times New Roman" w:cs="Times New Roman"/>
          <w:i/>
          <w:sz w:val="20"/>
          <w:szCs w:val="20"/>
        </w:rPr>
        <w:t xml:space="preserve">United Kingdom </w:t>
      </w:r>
      <w:r w:rsidRPr="00F979D1">
        <w:rPr>
          <w:rFonts w:ascii="Times New Roman" w:hAnsi="Times New Roman" w:cs="Times New Roman"/>
          <w:sz w:val="20"/>
          <w:szCs w:val="20"/>
        </w:rPr>
        <w:t>(pending).</w:t>
      </w:r>
      <w:proofErr w:type="gramEnd"/>
      <w:r w:rsidRPr="00F979D1">
        <w:rPr>
          <w:rFonts w:ascii="Times New Roman" w:hAnsi="Times New Roman" w:cs="Times New Roman"/>
          <w:sz w:val="20"/>
          <w:szCs w:val="20"/>
        </w:rPr>
        <w:t xml:space="preserve">  But note Art 5(6) PINI: Union customs duties collected by the UK are not remitted to the Union; and (subject to Union state aid rules) the UK may (e.g.) reimburse such duties or compensate undertakings to offset the impact of Union customs legislation.  See also Art 7 PINI on the remission of VAT and excise duties.  </w:t>
      </w:r>
    </w:p>
  </w:footnote>
  <w:footnote w:id="294">
    <w:p w14:paraId="19062B22" w14:textId="2F5F15A4"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Arts 12(2)-(3) PINI.</w:t>
      </w:r>
      <w:proofErr w:type="gramEnd"/>
      <w:r w:rsidRPr="00F979D1">
        <w:rPr>
          <w:rFonts w:ascii="Times New Roman" w:hAnsi="Times New Roman" w:cs="Times New Roman"/>
          <w:sz w:val="20"/>
          <w:szCs w:val="20"/>
        </w:rPr>
        <w:t xml:space="preserve">  Note also Arts 13(5)-(6) PINI on limits to access to Union databases </w:t>
      </w:r>
      <w:proofErr w:type="spellStart"/>
      <w:r w:rsidRPr="00F979D1">
        <w:rPr>
          <w:rFonts w:ascii="Times New Roman" w:hAnsi="Times New Roman" w:cs="Times New Roman"/>
          <w:sz w:val="20"/>
          <w:szCs w:val="20"/>
        </w:rPr>
        <w:t>etc</w:t>
      </w:r>
      <w:proofErr w:type="spellEnd"/>
      <w:r w:rsidRPr="00F979D1">
        <w:rPr>
          <w:rFonts w:ascii="Times New Roman" w:hAnsi="Times New Roman" w:cs="Times New Roman"/>
          <w:sz w:val="20"/>
          <w:szCs w:val="20"/>
        </w:rPr>
        <w:t xml:space="preserve"> / acting as lead authorities </w:t>
      </w:r>
      <w:proofErr w:type="spellStart"/>
      <w:r w:rsidRPr="00F979D1">
        <w:rPr>
          <w:rFonts w:ascii="Times New Roman" w:hAnsi="Times New Roman" w:cs="Times New Roman"/>
          <w:sz w:val="20"/>
          <w:szCs w:val="20"/>
        </w:rPr>
        <w:t>etc</w:t>
      </w:r>
      <w:proofErr w:type="spellEnd"/>
      <w:r w:rsidRPr="00F979D1">
        <w:rPr>
          <w:rFonts w:ascii="Times New Roman" w:hAnsi="Times New Roman" w:cs="Times New Roman"/>
          <w:sz w:val="20"/>
          <w:szCs w:val="20"/>
        </w:rPr>
        <w:t xml:space="preserve"> by UK authorities.  </w:t>
      </w:r>
    </w:p>
  </w:footnote>
  <w:footnote w:id="295">
    <w:p w14:paraId="51377D39" w14:textId="7707CFF7"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Specifically: Art 5 PINI on customs and goods; Art 7 PINI on technical assessments and approvals </w:t>
      </w:r>
      <w:proofErr w:type="spellStart"/>
      <w:r w:rsidRPr="00F979D1">
        <w:rPr>
          <w:rFonts w:ascii="Times New Roman" w:hAnsi="Times New Roman" w:cs="Times New Roman"/>
          <w:sz w:val="20"/>
          <w:szCs w:val="20"/>
          <w:lang w:val="en-US"/>
        </w:rPr>
        <w:t>etc</w:t>
      </w:r>
      <w:proofErr w:type="spellEnd"/>
      <w:r w:rsidRPr="00F979D1">
        <w:rPr>
          <w:rFonts w:ascii="Times New Roman" w:hAnsi="Times New Roman" w:cs="Times New Roman"/>
          <w:sz w:val="20"/>
          <w:szCs w:val="20"/>
          <w:lang w:val="en-US"/>
        </w:rPr>
        <w:t>; Art 8 PINI on VAT and excise; Art 9 PINI on the Single Electricity Market; Art 10 PINI on state aid; and Art 12(2), second subparagraph PINI on monthly information exchanges as regards liability to pay customs duties in accordance with Arts 5(1)-(2) PINI.</w:t>
      </w:r>
    </w:p>
  </w:footnote>
  <w:footnote w:id="296">
    <w:p w14:paraId="42784E17" w14:textId="75671BCD"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Art 12(4) PINI.  Note, in particular, Art 13(1) PINI: Part Six of the Agreement shall apply without prejudice to the provisions of this Protocol.</w:t>
      </w:r>
    </w:p>
  </w:footnote>
  <w:footnote w:id="297">
    <w:p w14:paraId="223C2462" w14:textId="2179FB9E"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See also Arts 12(6)-(7) PINI.  </w:t>
      </w:r>
    </w:p>
  </w:footnote>
  <w:footnote w:id="298">
    <w:p w14:paraId="36EEE35A" w14:textId="5FB69EDC"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Art 12(5) PINI.</w:t>
      </w:r>
    </w:p>
  </w:footnote>
  <w:footnote w:id="299">
    <w:p w14:paraId="45351818" w14:textId="23869DE2"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Art 4 </w:t>
      </w:r>
      <w:proofErr w:type="gramStart"/>
      <w:r w:rsidRPr="00F979D1">
        <w:rPr>
          <w:rFonts w:ascii="Times New Roman" w:hAnsi="Times New Roman" w:cs="Times New Roman"/>
          <w:sz w:val="20"/>
          <w:szCs w:val="20"/>
          <w:lang w:val="en-US"/>
        </w:rPr>
        <w:t>PINI.</w:t>
      </w:r>
      <w:proofErr w:type="gramEnd"/>
    </w:p>
  </w:footnote>
  <w:footnote w:id="300">
    <w:p w14:paraId="3A4A4853" w14:textId="51EE063E"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lang w:val="en-US"/>
        </w:rPr>
        <w:t>Art 7(1) PINI.</w:t>
      </w:r>
      <w:proofErr w:type="gramEnd"/>
    </w:p>
  </w:footnote>
  <w:footnote w:id="301">
    <w:p w14:paraId="6AA4AE6A" w14:textId="78EAE86B"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E.g. &lt;&lt;https://www.theguardian.com/politics/2019/nov/08/boris-johnson-goods-from-northern-ireland-to-gb-wont-be-checked-brexit&gt;&gt;.</w:t>
      </w:r>
      <w:proofErr w:type="gramEnd"/>
    </w:p>
  </w:footnote>
  <w:footnote w:id="302">
    <w:p w14:paraId="0E45B57D" w14:textId="3372568F"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lang w:val="en-US"/>
        </w:rPr>
        <w:t>Arts 4 and 7(1) PINI.</w:t>
      </w:r>
      <w:proofErr w:type="gramEnd"/>
    </w:p>
  </w:footnote>
  <w:footnote w:id="303">
    <w:p w14:paraId="790436FF" w14:textId="258F13FD"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E.g. Theresa May, </w:t>
      </w:r>
      <w:r w:rsidRPr="00F979D1">
        <w:rPr>
          <w:rFonts w:ascii="Times New Roman" w:hAnsi="Times New Roman" w:cs="Times New Roman"/>
          <w:i/>
          <w:sz w:val="20"/>
          <w:szCs w:val="20"/>
        </w:rPr>
        <w:t xml:space="preserve">Statement on the Salzburg Summit </w:t>
      </w:r>
      <w:r w:rsidRPr="00F979D1">
        <w:rPr>
          <w:rFonts w:ascii="Times New Roman" w:hAnsi="Times New Roman" w:cs="Times New Roman"/>
          <w:sz w:val="20"/>
          <w:szCs w:val="20"/>
        </w:rPr>
        <w:t>(21 September 2019).</w:t>
      </w:r>
    </w:p>
  </w:footnote>
  <w:footnote w:id="304">
    <w:p w14:paraId="672EEFA7" w14:textId="7B3341D2" w:rsidR="00FD11BB" w:rsidRPr="00F979D1" w:rsidRDefault="00FD11BB" w:rsidP="00F979D1">
      <w:pPr>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E.g. M </w:t>
      </w:r>
      <w:proofErr w:type="spellStart"/>
      <w:r w:rsidRPr="00F979D1">
        <w:rPr>
          <w:rFonts w:ascii="Times New Roman" w:hAnsi="Times New Roman" w:cs="Times New Roman"/>
          <w:sz w:val="20"/>
          <w:szCs w:val="20"/>
        </w:rPr>
        <w:t>Barnier</w:t>
      </w:r>
      <w:proofErr w:type="spellEnd"/>
      <w:r w:rsidRPr="00F979D1">
        <w:rPr>
          <w:rFonts w:ascii="Times New Roman" w:hAnsi="Times New Roman" w:cs="Times New Roman"/>
          <w:sz w:val="20"/>
          <w:szCs w:val="20"/>
        </w:rPr>
        <w:t xml:space="preserve">, </w:t>
      </w:r>
      <w:r w:rsidRPr="00F979D1">
        <w:rPr>
          <w:rFonts w:ascii="Times New Roman" w:hAnsi="Times New Roman" w:cs="Times New Roman"/>
          <w:i/>
          <w:sz w:val="20"/>
          <w:szCs w:val="20"/>
        </w:rPr>
        <w:t xml:space="preserve">Le </w:t>
      </w:r>
      <w:proofErr w:type="spellStart"/>
      <w:r w:rsidRPr="00F979D1">
        <w:rPr>
          <w:rFonts w:ascii="Times New Roman" w:hAnsi="Times New Roman" w:cs="Times New Roman"/>
          <w:i/>
          <w:sz w:val="20"/>
          <w:szCs w:val="20"/>
        </w:rPr>
        <w:t>choix</w:t>
      </w:r>
      <w:proofErr w:type="spellEnd"/>
      <w:r w:rsidRPr="00F979D1">
        <w:rPr>
          <w:rFonts w:ascii="Times New Roman" w:hAnsi="Times New Roman" w:cs="Times New Roman"/>
          <w:i/>
          <w:sz w:val="20"/>
          <w:szCs w:val="20"/>
        </w:rPr>
        <w:t xml:space="preserve"> de la </w:t>
      </w:r>
      <w:proofErr w:type="spellStart"/>
      <w:r w:rsidRPr="00F979D1">
        <w:rPr>
          <w:rFonts w:ascii="Times New Roman" w:hAnsi="Times New Roman" w:cs="Times New Roman"/>
          <w:i/>
          <w:sz w:val="20"/>
          <w:szCs w:val="20"/>
        </w:rPr>
        <w:t>responsabilite</w:t>
      </w:r>
      <w:proofErr w:type="spellEnd"/>
      <w:r w:rsidRPr="00F979D1">
        <w:rPr>
          <w:rFonts w:ascii="Times New Roman" w:hAnsi="Times New Roman" w:cs="Times New Roman"/>
          <w:i/>
          <w:sz w:val="20"/>
          <w:szCs w:val="20"/>
        </w:rPr>
        <w:t xml:space="preserve">́, le </w:t>
      </w:r>
      <w:proofErr w:type="spellStart"/>
      <w:r w:rsidRPr="00F979D1">
        <w:rPr>
          <w:rFonts w:ascii="Times New Roman" w:hAnsi="Times New Roman" w:cs="Times New Roman"/>
          <w:i/>
          <w:sz w:val="20"/>
          <w:szCs w:val="20"/>
        </w:rPr>
        <w:t>choix</w:t>
      </w:r>
      <w:proofErr w:type="spellEnd"/>
      <w:r w:rsidRPr="00F979D1">
        <w:rPr>
          <w:rFonts w:ascii="Times New Roman" w:hAnsi="Times New Roman" w:cs="Times New Roman"/>
          <w:i/>
          <w:sz w:val="20"/>
          <w:szCs w:val="20"/>
        </w:rPr>
        <w:t xml:space="preserve"> du </w:t>
      </w:r>
      <w:proofErr w:type="spellStart"/>
      <w:r w:rsidRPr="00F979D1">
        <w:rPr>
          <w:rFonts w:ascii="Times New Roman" w:hAnsi="Times New Roman" w:cs="Times New Roman"/>
          <w:i/>
          <w:sz w:val="20"/>
          <w:szCs w:val="20"/>
        </w:rPr>
        <w:t>partenariat</w:t>
      </w:r>
      <w:proofErr w:type="spellEnd"/>
      <w:r w:rsidRPr="00F979D1">
        <w:rPr>
          <w:rFonts w:ascii="Times New Roman" w:hAnsi="Times New Roman" w:cs="Times New Roman"/>
          <w:sz w:val="20"/>
          <w:szCs w:val="20"/>
        </w:rPr>
        <w:t xml:space="preserve"> (30 October 2019).</w:t>
      </w:r>
    </w:p>
  </w:footnote>
  <w:footnote w:id="305">
    <w:p w14:paraId="11FDCDF6" w14:textId="05300AC6"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Art 6(2) PINI.  </w:t>
      </w:r>
    </w:p>
  </w:footnote>
  <w:footnote w:id="306">
    <w:p w14:paraId="75A67F0A" w14:textId="451C144A"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Indeed, in the very text of </w:t>
      </w:r>
      <w:r w:rsidRPr="00F979D1">
        <w:rPr>
          <w:rFonts w:ascii="Times New Roman" w:hAnsi="Times New Roman" w:cs="Times New Roman"/>
          <w:sz w:val="20"/>
          <w:szCs w:val="20"/>
          <w:lang w:val="en-US"/>
        </w:rPr>
        <w:t xml:space="preserve">Art 6(1) PINI.  Cp. </w:t>
      </w:r>
      <w:proofErr w:type="spellStart"/>
      <w:r w:rsidRPr="00F979D1">
        <w:rPr>
          <w:rFonts w:ascii="Times New Roman" w:hAnsi="Times New Roman" w:cs="Times New Roman"/>
          <w:sz w:val="20"/>
          <w:szCs w:val="20"/>
          <w:lang w:val="en-US"/>
        </w:rPr>
        <w:t>para</w:t>
      </w:r>
      <w:proofErr w:type="spellEnd"/>
      <w:r w:rsidRPr="00F979D1">
        <w:rPr>
          <w:rFonts w:ascii="Times New Roman" w:hAnsi="Times New Roman" w:cs="Times New Roman"/>
          <w:sz w:val="20"/>
          <w:szCs w:val="20"/>
          <w:lang w:val="en-US"/>
        </w:rPr>
        <w:t xml:space="preserve"> 50 of the Joint Report from 8 December 2017.</w:t>
      </w:r>
    </w:p>
  </w:footnote>
  <w:footnote w:id="307">
    <w:p w14:paraId="14BEE81A" w14:textId="67C3ABFA"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lang w:val="en-US"/>
        </w:rPr>
        <w:t>Art 6(1) PINI.</w:t>
      </w:r>
      <w:proofErr w:type="gramEnd"/>
    </w:p>
  </w:footnote>
  <w:footnote w:id="308">
    <w:p w14:paraId="61AA44CD" w14:textId="24E171AA"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I.e. the “most favoured nation” principle.</w:t>
      </w:r>
      <w:proofErr w:type="gramEnd"/>
    </w:p>
  </w:footnote>
  <w:footnote w:id="309">
    <w:p w14:paraId="1EC95E10" w14:textId="2CC14A22"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Further, e.g. &lt;&lt;https://www.youtube.com/watch</w:t>
      </w:r>
      <w:proofErr w:type="gramStart"/>
      <w:r w:rsidRPr="00F979D1">
        <w:rPr>
          <w:rFonts w:ascii="Times New Roman" w:hAnsi="Times New Roman" w:cs="Times New Roman"/>
          <w:sz w:val="20"/>
          <w:szCs w:val="20"/>
        </w:rPr>
        <w:t>?v</w:t>
      </w:r>
      <w:proofErr w:type="gramEnd"/>
      <w:r w:rsidRPr="00F979D1">
        <w:rPr>
          <w:rFonts w:ascii="Times New Roman" w:hAnsi="Times New Roman" w:cs="Times New Roman"/>
          <w:sz w:val="20"/>
          <w:szCs w:val="20"/>
        </w:rPr>
        <w:t>=kLRMjDUbOA8&gt;&gt;.</w:t>
      </w:r>
    </w:p>
  </w:footnote>
  <w:footnote w:id="310">
    <w:p w14:paraId="4BAFBD98" w14:textId="26FB9835"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E.g. HMG, Cm 9593 of 17 July 2018.</w:t>
      </w:r>
    </w:p>
  </w:footnote>
  <w:footnote w:id="311">
    <w:p w14:paraId="3DEFE51A" w14:textId="49F5A7BA"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Further, e.g. Dougan, </w:t>
      </w:r>
      <w:r w:rsidRPr="00F979D1">
        <w:rPr>
          <w:rFonts w:ascii="Times New Roman" w:hAnsi="Times New Roman" w:cs="Times New Roman"/>
          <w:i/>
          <w:sz w:val="20"/>
          <w:szCs w:val="20"/>
        </w:rPr>
        <w:t xml:space="preserve">Briefing Paper on the UK Internal Market, </w:t>
      </w:r>
      <w:r w:rsidRPr="00F979D1">
        <w:rPr>
          <w:rFonts w:ascii="Times New Roman" w:hAnsi="Times New Roman" w:cs="Times New Roman"/>
          <w:sz w:val="20"/>
          <w:szCs w:val="20"/>
        </w:rPr>
        <w:t>Finance and Constitution Committee of the Scottish Parliament (June 2019) available at &lt;&lt; https://www.parliament.scot/S5_Finance/Meeting%20Papers/</w:t>
      </w:r>
      <w:proofErr w:type="gramStart"/>
      <w:r w:rsidRPr="00F979D1">
        <w:rPr>
          <w:rFonts w:ascii="Times New Roman" w:hAnsi="Times New Roman" w:cs="Times New Roman"/>
          <w:sz w:val="20"/>
          <w:szCs w:val="20"/>
        </w:rPr>
        <w:t>Public(</w:t>
      </w:r>
      <w:proofErr w:type="gramEnd"/>
      <w:r w:rsidRPr="00F979D1">
        <w:rPr>
          <w:rFonts w:ascii="Times New Roman" w:hAnsi="Times New Roman" w:cs="Times New Roman"/>
          <w:sz w:val="20"/>
          <w:szCs w:val="20"/>
        </w:rPr>
        <w:t>6).pdf&gt;&gt;.</w:t>
      </w:r>
    </w:p>
  </w:footnote>
  <w:footnote w:id="312">
    <w:p w14:paraId="578C6686" w14:textId="3F40EB75"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Art 4 </w:t>
      </w:r>
      <w:proofErr w:type="gramStart"/>
      <w:r w:rsidRPr="00F979D1">
        <w:rPr>
          <w:rFonts w:ascii="Times New Roman" w:hAnsi="Times New Roman" w:cs="Times New Roman"/>
          <w:sz w:val="20"/>
          <w:szCs w:val="20"/>
          <w:lang w:val="en-US"/>
        </w:rPr>
        <w:t>PINI.</w:t>
      </w:r>
      <w:proofErr w:type="gramEnd"/>
      <w:r w:rsidRPr="00F979D1">
        <w:rPr>
          <w:rFonts w:ascii="Times New Roman" w:hAnsi="Times New Roman" w:cs="Times New Roman"/>
          <w:sz w:val="20"/>
          <w:szCs w:val="20"/>
          <w:lang w:val="en-US"/>
        </w:rPr>
        <w:t xml:space="preserve">  Note the widespread suspicion that one of Johnson’s primary motivations in this regard was to allow the UK Government to avoid infringing the statutory limitations imposed under section </w:t>
      </w:r>
      <w:r w:rsidRPr="00F979D1">
        <w:rPr>
          <w:rFonts w:ascii="Times New Roman" w:hAnsi="Times New Roman" w:cs="Times New Roman"/>
          <w:sz w:val="20"/>
          <w:szCs w:val="20"/>
        </w:rPr>
        <w:t>55 Taxation (Cross Border Trade) Act 2018</w:t>
      </w:r>
      <w:r w:rsidRPr="00F979D1">
        <w:rPr>
          <w:rFonts w:ascii="Times New Roman" w:hAnsi="Times New Roman" w:cs="Times New Roman"/>
          <w:sz w:val="20"/>
          <w:szCs w:val="20"/>
          <w:lang w:val="en-US"/>
        </w:rPr>
        <w:t>.</w:t>
      </w:r>
    </w:p>
  </w:footnote>
  <w:footnote w:id="313">
    <w:p w14:paraId="56DCE2A4" w14:textId="6335A981"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Art 5 </w:t>
      </w:r>
      <w:proofErr w:type="gramStart"/>
      <w:r w:rsidRPr="00F979D1">
        <w:rPr>
          <w:rFonts w:ascii="Times New Roman" w:hAnsi="Times New Roman" w:cs="Times New Roman"/>
          <w:sz w:val="20"/>
          <w:szCs w:val="20"/>
          <w:lang w:val="en-US"/>
        </w:rPr>
        <w:t>PINI.</w:t>
      </w:r>
      <w:proofErr w:type="gramEnd"/>
    </w:p>
  </w:footnote>
  <w:footnote w:id="314">
    <w:p w14:paraId="3075702D" w14:textId="03CF60B2"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Art 5 PINI </w:t>
      </w:r>
      <w:r>
        <w:rPr>
          <w:rFonts w:ascii="Times New Roman" w:hAnsi="Times New Roman" w:cs="Times New Roman"/>
          <w:sz w:val="20"/>
          <w:szCs w:val="20"/>
          <w:lang w:val="en-US"/>
        </w:rPr>
        <w:t xml:space="preserve">also </w:t>
      </w:r>
      <w:r w:rsidRPr="00F979D1">
        <w:rPr>
          <w:rFonts w:ascii="Times New Roman" w:hAnsi="Times New Roman" w:cs="Times New Roman"/>
          <w:sz w:val="20"/>
          <w:szCs w:val="20"/>
          <w:lang w:val="en-US"/>
        </w:rPr>
        <w:t xml:space="preserve">provides for certain customs exemptions, e.g. personal property of UK residents; consignments of negligible value; goods sent between individuals; goods contained in travelers’ personal baggage.  </w:t>
      </w:r>
    </w:p>
  </w:footnote>
  <w:footnote w:id="315">
    <w:p w14:paraId="07986903" w14:textId="3A3E9F55"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Art 5(6) PINI.</w:t>
      </w:r>
    </w:p>
  </w:footnote>
  <w:footnote w:id="316">
    <w:p w14:paraId="14A58ADF" w14:textId="1D3E9A28"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HMG, Cm 9593 of 17 July 2018.</w:t>
      </w:r>
    </w:p>
  </w:footnote>
  <w:footnote w:id="317">
    <w:p w14:paraId="0FF7F76F" w14:textId="4B255203"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Art 13(8) PINI.</w:t>
      </w:r>
    </w:p>
  </w:footnote>
  <w:footnote w:id="318">
    <w:p w14:paraId="05B7FA34" w14:textId="42A641F5"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Section 4 (below).</w:t>
      </w:r>
    </w:p>
  </w:footnote>
  <w:footnote w:id="319">
    <w:p w14:paraId="395672A9" w14:textId="4F375648"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eastAsia="Times New Roman" w:hAnsi="Times New Roman" w:cs="Times New Roman"/>
          <w:sz w:val="20"/>
          <w:szCs w:val="20"/>
          <w:shd w:val="clear" w:color="auto" w:fill="FFFFFF"/>
        </w:rPr>
        <w:t xml:space="preserve">E.g. M </w:t>
      </w:r>
      <w:proofErr w:type="spellStart"/>
      <w:r w:rsidRPr="00F979D1">
        <w:rPr>
          <w:rFonts w:ascii="Times New Roman" w:eastAsia="Times New Roman" w:hAnsi="Times New Roman" w:cs="Times New Roman"/>
          <w:sz w:val="20"/>
          <w:szCs w:val="20"/>
          <w:shd w:val="clear" w:color="auto" w:fill="FFFFFF"/>
        </w:rPr>
        <w:t>Barnier</w:t>
      </w:r>
      <w:proofErr w:type="spellEnd"/>
      <w:r w:rsidRPr="00F979D1">
        <w:rPr>
          <w:rFonts w:ascii="Times New Roman" w:eastAsia="Times New Roman" w:hAnsi="Times New Roman" w:cs="Times New Roman"/>
          <w:sz w:val="20"/>
          <w:szCs w:val="20"/>
          <w:shd w:val="clear" w:color="auto" w:fill="FFFFFF"/>
        </w:rPr>
        <w:t xml:space="preserve">, </w:t>
      </w:r>
      <w:r w:rsidRPr="00F979D1">
        <w:rPr>
          <w:rFonts w:ascii="Times New Roman" w:eastAsia="Times New Roman" w:hAnsi="Times New Roman" w:cs="Times New Roman"/>
          <w:i/>
          <w:sz w:val="20"/>
          <w:szCs w:val="20"/>
          <w:shd w:val="clear" w:color="auto" w:fill="FFFFFF"/>
        </w:rPr>
        <w:t>Remarks at the press conference on the Commission Recommendation to the European Council to endorse the agreement reached on the revised Protocol on Ireland/Northern Ireland and revised Political Declaration</w:t>
      </w:r>
      <w:r w:rsidRPr="00F979D1">
        <w:rPr>
          <w:rFonts w:ascii="Times New Roman" w:eastAsia="Times New Roman" w:hAnsi="Times New Roman" w:cs="Times New Roman"/>
          <w:sz w:val="20"/>
          <w:szCs w:val="20"/>
          <w:shd w:val="clear" w:color="auto" w:fill="FFFFFF"/>
        </w:rPr>
        <w:t xml:space="preserve"> (17 October 2019).  In particular, note the deletion, from the final version of the Protocol, of original Arts 1(4), 2-3 and 20 PINI as agreed in November 2018 (which stressed the purely temporary nature of the “backstop” provisions): see OJ 2019, C 66 I.</w:t>
      </w:r>
    </w:p>
  </w:footnote>
  <w:footnote w:id="320">
    <w:p w14:paraId="0017DF05" w14:textId="1F337454"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lang w:val="en-US"/>
        </w:rPr>
        <w:t>Art 14 PINI (</w:t>
      </w:r>
      <w:proofErr w:type="spellStart"/>
      <w:r w:rsidRPr="00F979D1">
        <w:rPr>
          <w:rFonts w:ascii="Times New Roman" w:hAnsi="Times New Roman" w:cs="Times New Roman"/>
          <w:sz w:val="20"/>
          <w:szCs w:val="20"/>
          <w:lang w:val="en-US"/>
        </w:rPr>
        <w:t>specialised</w:t>
      </w:r>
      <w:proofErr w:type="spellEnd"/>
      <w:r w:rsidRPr="00F979D1">
        <w:rPr>
          <w:rFonts w:ascii="Times New Roman" w:hAnsi="Times New Roman" w:cs="Times New Roman"/>
          <w:sz w:val="20"/>
          <w:szCs w:val="20"/>
          <w:lang w:val="en-US"/>
        </w:rPr>
        <w:t xml:space="preserve"> committee) and Art 15 PINI (joint consultative working group).</w:t>
      </w:r>
      <w:proofErr w:type="gramEnd"/>
    </w:p>
  </w:footnote>
  <w:footnote w:id="321">
    <w:p w14:paraId="02EE993E" w14:textId="412202D1"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Specifically: Arts 5-10 PINI.  </w:t>
      </w:r>
    </w:p>
  </w:footnote>
  <w:footnote w:id="322">
    <w:p w14:paraId="1A4F8893" w14:textId="2EC74449"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the detailed provisions contained in </w:t>
      </w:r>
      <w:r w:rsidRPr="00F979D1">
        <w:rPr>
          <w:rFonts w:ascii="Times New Roman" w:hAnsi="Times New Roman" w:cs="Times New Roman"/>
          <w:sz w:val="20"/>
          <w:szCs w:val="20"/>
          <w:lang w:val="en-US"/>
        </w:rPr>
        <w:t xml:space="preserve">Art 18 PINI.  Also: HMG, </w:t>
      </w:r>
      <w:r w:rsidRPr="00F979D1">
        <w:rPr>
          <w:rFonts w:ascii="Times New Roman" w:hAnsi="Times New Roman" w:cs="Times New Roman"/>
          <w:i/>
          <w:sz w:val="20"/>
          <w:szCs w:val="20"/>
          <w:lang w:val="en-US"/>
        </w:rPr>
        <w:t>Declaration concerning the operation of the “Democratic Consent in Northern Ireland” Provision of the Protocol on Ireland/Northern Ireland</w:t>
      </w:r>
      <w:r w:rsidRPr="00F979D1">
        <w:rPr>
          <w:rFonts w:ascii="Times New Roman" w:hAnsi="Times New Roman" w:cs="Times New Roman"/>
          <w:sz w:val="20"/>
          <w:szCs w:val="20"/>
          <w:lang w:val="en-US"/>
        </w:rPr>
        <w:t xml:space="preserve"> (19 October 2019).  Cp. the original consent provisions contained in </w:t>
      </w:r>
      <w:proofErr w:type="spellStart"/>
      <w:r w:rsidRPr="00F979D1">
        <w:rPr>
          <w:rFonts w:ascii="Times New Roman" w:hAnsi="Times New Roman" w:cs="Times New Roman"/>
          <w:sz w:val="20"/>
          <w:szCs w:val="20"/>
          <w:lang w:val="en-US"/>
        </w:rPr>
        <w:t>para</w:t>
      </w:r>
      <w:proofErr w:type="spellEnd"/>
      <w:r w:rsidRPr="00F979D1">
        <w:rPr>
          <w:rFonts w:ascii="Times New Roman" w:hAnsi="Times New Roman" w:cs="Times New Roman"/>
          <w:sz w:val="20"/>
          <w:szCs w:val="20"/>
          <w:lang w:val="en-US"/>
        </w:rPr>
        <w:t xml:space="preserve"> 50 of the Joint Report from 8 December 2017.</w:t>
      </w:r>
    </w:p>
  </w:footnote>
  <w:footnote w:id="323">
    <w:p w14:paraId="6D719996" w14:textId="72F41D20"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See Section 2.4 (above).  </w:t>
      </w:r>
    </w:p>
  </w:footnote>
  <w:footnote w:id="324">
    <w:p w14:paraId="5EB824AB" w14:textId="2D9383AE"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Even allowing for the various safeguard clauses contained in the Protocol: Arts 13(7), 16 and 17 PINI.  </w:t>
      </w:r>
    </w:p>
  </w:footnote>
  <w:footnote w:id="325">
    <w:p w14:paraId="31E05959" w14:textId="4DF3E7D0"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Terms of Reference on the UK-EU Future Relationship Negotiations (28 February 2020).</w:t>
      </w:r>
    </w:p>
  </w:footnote>
  <w:footnote w:id="326">
    <w:p w14:paraId="6DD52921" w14:textId="2B180D59"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Further, e.g. Dougan, </w:t>
      </w:r>
      <w:r w:rsidRPr="00F979D1">
        <w:rPr>
          <w:rFonts w:ascii="Times New Roman" w:eastAsia="Times New Roman" w:hAnsi="Times New Roman" w:cs="Times New Roman"/>
          <w:i/>
          <w:sz w:val="20"/>
          <w:szCs w:val="20"/>
        </w:rPr>
        <w:t>The Institutional Consequences of a Bespoke Agreement with the UK Based on a “Close Cooperation” Model</w:t>
      </w:r>
      <w:r w:rsidRPr="00F979D1">
        <w:rPr>
          <w:rFonts w:ascii="Times New Roman" w:eastAsia="Times New Roman" w:hAnsi="Times New Roman" w:cs="Times New Roman"/>
          <w:sz w:val="20"/>
          <w:szCs w:val="20"/>
        </w:rPr>
        <w:t xml:space="preserve"> (European Parliament, Policy Department for Citizens’ Rights and Constitutional Affairs, at the request of the Constitutional Affairs Committee: PE 604.962, May 2018)</w:t>
      </w:r>
      <w:r w:rsidRPr="00F979D1">
        <w:rPr>
          <w:rFonts w:ascii="Times New Roman" w:hAnsi="Times New Roman" w:cs="Times New Roman"/>
          <w:sz w:val="20"/>
          <w:szCs w:val="20"/>
        </w:rPr>
        <w:t>.</w:t>
      </w:r>
    </w:p>
  </w:footnote>
  <w:footnote w:id="327">
    <w:p w14:paraId="1700E1CC" w14:textId="08C8BA68"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Further, e.g. </w:t>
      </w:r>
      <w:proofErr w:type="spellStart"/>
      <w:r w:rsidRPr="00F979D1">
        <w:rPr>
          <w:rFonts w:ascii="Times New Roman" w:hAnsi="Times New Roman" w:cs="Times New Roman"/>
          <w:sz w:val="20"/>
          <w:szCs w:val="20"/>
          <w:lang w:val="en-US"/>
        </w:rPr>
        <w:t>Tobler</w:t>
      </w:r>
      <w:proofErr w:type="spellEnd"/>
      <w:r w:rsidRPr="00F979D1">
        <w:rPr>
          <w:rFonts w:ascii="Times New Roman" w:hAnsi="Times New Roman" w:cs="Times New Roman"/>
          <w:sz w:val="20"/>
          <w:szCs w:val="20"/>
          <w:lang w:val="en-US"/>
        </w:rPr>
        <w:t>, “The Institutional Framework of an Alternative Agreement: Lessons from Switzerland and Elsewhere?</w:t>
      </w:r>
      <w:proofErr w:type="gramStart"/>
      <w:r w:rsidRPr="00F979D1">
        <w:rPr>
          <w:rFonts w:ascii="Times New Roman" w:hAnsi="Times New Roman" w:cs="Times New Roman"/>
          <w:sz w:val="20"/>
          <w:szCs w:val="20"/>
          <w:lang w:val="en-US"/>
        </w:rPr>
        <w:t>”,</w:t>
      </w:r>
      <w:proofErr w:type="gramEnd"/>
      <w:r w:rsidRPr="00F979D1">
        <w:rPr>
          <w:rFonts w:ascii="Times New Roman" w:hAnsi="Times New Roman" w:cs="Times New Roman"/>
          <w:sz w:val="20"/>
          <w:szCs w:val="20"/>
          <w:lang w:val="en-US"/>
        </w:rPr>
        <w:t xml:space="preserve"> 23 MJ (2016), 575; </w:t>
      </w:r>
      <w:proofErr w:type="spellStart"/>
      <w:r w:rsidRPr="00F979D1">
        <w:rPr>
          <w:rFonts w:ascii="Times New Roman" w:hAnsi="Times New Roman" w:cs="Times New Roman"/>
          <w:sz w:val="20"/>
          <w:szCs w:val="20"/>
          <w:lang w:val="en-US"/>
        </w:rPr>
        <w:t>Norberg</w:t>
      </w:r>
      <w:proofErr w:type="spellEnd"/>
      <w:r w:rsidRPr="00F979D1">
        <w:rPr>
          <w:rFonts w:ascii="Times New Roman" w:hAnsi="Times New Roman" w:cs="Times New Roman"/>
          <w:sz w:val="20"/>
          <w:szCs w:val="20"/>
          <w:lang w:val="en-US"/>
        </w:rPr>
        <w:t xml:space="preserve">, “UK-EU Relations after </w:t>
      </w:r>
      <w:proofErr w:type="spellStart"/>
      <w:r w:rsidRPr="00F979D1">
        <w:rPr>
          <w:rFonts w:ascii="Times New Roman" w:hAnsi="Times New Roman" w:cs="Times New Roman"/>
          <w:sz w:val="20"/>
          <w:szCs w:val="20"/>
          <w:lang w:val="en-US"/>
        </w:rPr>
        <w:t>Brexit</w:t>
      </w:r>
      <w:proofErr w:type="spellEnd"/>
      <w:r w:rsidRPr="00F979D1">
        <w:rPr>
          <w:rFonts w:ascii="Times New Roman" w:hAnsi="Times New Roman" w:cs="Times New Roman"/>
          <w:sz w:val="20"/>
          <w:szCs w:val="20"/>
          <w:lang w:val="en-US"/>
        </w:rPr>
        <w:t xml:space="preserve">: Which arrangements are possible?” [2017] </w:t>
      </w:r>
      <w:proofErr w:type="spellStart"/>
      <w:r w:rsidRPr="00F979D1">
        <w:rPr>
          <w:rFonts w:ascii="Times New Roman" w:hAnsi="Times New Roman" w:cs="Times New Roman"/>
          <w:i/>
          <w:sz w:val="20"/>
          <w:szCs w:val="20"/>
          <w:lang w:val="en-US"/>
        </w:rPr>
        <w:t>Europarättslig</w:t>
      </w:r>
      <w:proofErr w:type="spellEnd"/>
      <w:r w:rsidRPr="00F979D1">
        <w:rPr>
          <w:rFonts w:ascii="Times New Roman" w:hAnsi="Times New Roman" w:cs="Times New Roman"/>
          <w:i/>
          <w:sz w:val="20"/>
          <w:szCs w:val="20"/>
          <w:lang w:val="en-US"/>
        </w:rPr>
        <w:t xml:space="preserve"> </w:t>
      </w:r>
      <w:proofErr w:type="spellStart"/>
      <w:r w:rsidRPr="00F979D1">
        <w:rPr>
          <w:rFonts w:ascii="Times New Roman" w:hAnsi="Times New Roman" w:cs="Times New Roman"/>
          <w:i/>
          <w:sz w:val="20"/>
          <w:szCs w:val="20"/>
          <w:lang w:val="en-US"/>
        </w:rPr>
        <w:t>Tidskrift</w:t>
      </w:r>
      <w:proofErr w:type="spellEnd"/>
      <w:r w:rsidRPr="00F979D1">
        <w:rPr>
          <w:rFonts w:ascii="Times New Roman" w:hAnsi="Times New Roman" w:cs="Times New Roman"/>
          <w:i/>
          <w:sz w:val="20"/>
          <w:szCs w:val="20"/>
          <w:lang w:val="en-US"/>
        </w:rPr>
        <w:t xml:space="preserve"> </w:t>
      </w:r>
      <w:r w:rsidRPr="00F979D1">
        <w:rPr>
          <w:rFonts w:ascii="Times New Roman" w:hAnsi="Times New Roman" w:cs="Times New Roman"/>
          <w:sz w:val="20"/>
          <w:szCs w:val="20"/>
          <w:lang w:val="en-US"/>
        </w:rPr>
        <w:t xml:space="preserve">469.  </w:t>
      </w:r>
    </w:p>
  </w:footnote>
  <w:footnote w:id="328">
    <w:p w14:paraId="0B9689AA" w14:textId="45BD337A"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Recently, e.g. Opinion 2/15, C</w:t>
      </w:r>
      <w:proofErr w:type="gramStart"/>
      <w:r w:rsidRPr="00F979D1">
        <w:rPr>
          <w:rFonts w:ascii="Times New Roman" w:hAnsi="Times New Roman" w:cs="Times New Roman"/>
          <w:sz w:val="20"/>
          <w:szCs w:val="20"/>
        </w:rPr>
        <w:t>:2017:376</w:t>
      </w:r>
      <w:proofErr w:type="gramEnd"/>
      <w:r w:rsidRPr="00F979D1">
        <w:rPr>
          <w:rFonts w:ascii="Times New Roman" w:hAnsi="Times New Roman" w:cs="Times New Roman"/>
          <w:sz w:val="20"/>
          <w:szCs w:val="20"/>
        </w:rPr>
        <w:t xml:space="preserve">; Case C-600/14, </w:t>
      </w:r>
      <w:r w:rsidRPr="00F979D1">
        <w:rPr>
          <w:rFonts w:ascii="Times New Roman" w:hAnsi="Times New Roman" w:cs="Times New Roman"/>
          <w:i/>
          <w:sz w:val="20"/>
          <w:szCs w:val="20"/>
        </w:rPr>
        <w:t xml:space="preserve">Germany </w:t>
      </w:r>
      <w:r w:rsidRPr="00F979D1">
        <w:rPr>
          <w:rFonts w:ascii="Times New Roman" w:hAnsi="Times New Roman" w:cs="Times New Roman"/>
          <w:sz w:val="20"/>
          <w:szCs w:val="20"/>
        </w:rPr>
        <w:t xml:space="preserve">v. </w:t>
      </w:r>
      <w:r w:rsidRPr="00F979D1">
        <w:rPr>
          <w:rFonts w:ascii="Times New Roman" w:hAnsi="Times New Roman" w:cs="Times New Roman"/>
          <w:i/>
          <w:sz w:val="20"/>
          <w:szCs w:val="20"/>
        </w:rPr>
        <w:t>Council</w:t>
      </w:r>
      <w:r w:rsidRPr="00F979D1">
        <w:rPr>
          <w:rFonts w:ascii="Times New Roman" w:hAnsi="Times New Roman" w:cs="Times New Roman"/>
          <w:sz w:val="20"/>
          <w:szCs w:val="20"/>
        </w:rPr>
        <w:t>, C:2017:935.</w:t>
      </w:r>
    </w:p>
  </w:footnote>
  <w:footnote w:id="329">
    <w:p w14:paraId="75E8CEB2" w14:textId="1226959F"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Recently, e.g. </w:t>
      </w:r>
      <w:r w:rsidRPr="00F979D1">
        <w:rPr>
          <w:rFonts w:ascii="Times New Roman" w:hAnsi="Times New Roman" w:cs="Times New Roman"/>
          <w:sz w:val="20"/>
          <w:szCs w:val="20"/>
          <w:lang w:val="en-US"/>
        </w:rPr>
        <w:t>Opinion 2/13, C</w:t>
      </w:r>
      <w:proofErr w:type="gramStart"/>
      <w:r w:rsidRPr="00F979D1">
        <w:rPr>
          <w:rFonts w:ascii="Times New Roman" w:hAnsi="Times New Roman" w:cs="Times New Roman"/>
          <w:sz w:val="20"/>
          <w:szCs w:val="20"/>
          <w:lang w:val="en-US"/>
        </w:rPr>
        <w:t>:2014:2454</w:t>
      </w:r>
      <w:proofErr w:type="gramEnd"/>
      <w:r w:rsidRPr="00F979D1">
        <w:rPr>
          <w:rFonts w:ascii="Times New Roman" w:hAnsi="Times New Roman" w:cs="Times New Roman"/>
          <w:sz w:val="20"/>
          <w:szCs w:val="20"/>
          <w:lang w:val="en-US"/>
        </w:rPr>
        <w:t>; Opinion 1/17, C:2019:341.</w:t>
      </w:r>
    </w:p>
  </w:footnote>
  <w:footnote w:id="330">
    <w:p w14:paraId="0BCE8F05" w14:textId="5F84F3F9"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I.e. in the light of the </w:t>
      </w:r>
      <w:proofErr w:type="spellStart"/>
      <w:r w:rsidRPr="00F979D1">
        <w:rPr>
          <w:rFonts w:ascii="Times New Roman" w:hAnsi="Times New Roman" w:cs="Times New Roman"/>
          <w:sz w:val="20"/>
          <w:szCs w:val="20"/>
        </w:rPr>
        <w:t>caselaw</w:t>
      </w:r>
      <w:proofErr w:type="spellEnd"/>
      <w:r w:rsidRPr="00F979D1">
        <w:rPr>
          <w:rFonts w:ascii="Times New Roman" w:hAnsi="Times New Roman" w:cs="Times New Roman"/>
          <w:sz w:val="20"/>
          <w:szCs w:val="20"/>
        </w:rPr>
        <w:t xml:space="preserve"> based on Case 12/86, </w:t>
      </w:r>
      <w:proofErr w:type="spellStart"/>
      <w:r w:rsidRPr="00F979D1">
        <w:rPr>
          <w:rFonts w:ascii="Times New Roman" w:hAnsi="Times New Roman" w:cs="Times New Roman"/>
          <w:i/>
          <w:sz w:val="20"/>
          <w:szCs w:val="20"/>
        </w:rPr>
        <w:t>Demirel</w:t>
      </w:r>
      <w:proofErr w:type="spellEnd"/>
      <w:r w:rsidRPr="00F979D1">
        <w:rPr>
          <w:rFonts w:ascii="Times New Roman" w:hAnsi="Times New Roman" w:cs="Times New Roman"/>
          <w:sz w:val="20"/>
          <w:szCs w:val="20"/>
        </w:rPr>
        <w:t>, C</w:t>
      </w:r>
      <w:proofErr w:type="gramStart"/>
      <w:r w:rsidRPr="00F979D1">
        <w:rPr>
          <w:rFonts w:ascii="Times New Roman" w:hAnsi="Times New Roman" w:cs="Times New Roman"/>
          <w:sz w:val="20"/>
          <w:szCs w:val="20"/>
        </w:rPr>
        <w:t>:1987:400</w:t>
      </w:r>
      <w:proofErr w:type="gramEnd"/>
      <w:r w:rsidRPr="00F979D1">
        <w:rPr>
          <w:rFonts w:ascii="Times New Roman" w:hAnsi="Times New Roman" w:cs="Times New Roman"/>
          <w:sz w:val="20"/>
          <w:szCs w:val="20"/>
        </w:rPr>
        <w:t>.</w:t>
      </w:r>
    </w:p>
  </w:footnote>
  <w:footnote w:id="331">
    <w:p w14:paraId="6E4693C3" w14:textId="0E6A7A1A"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As the experience of section 13 </w:t>
      </w:r>
      <w:proofErr w:type="gramStart"/>
      <w:r w:rsidRPr="00F979D1">
        <w:rPr>
          <w:rFonts w:ascii="Times New Roman" w:hAnsi="Times New Roman" w:cs="Times New Roman"/>
          <w:sz w:val="20"/>
          <w:szCs w:val="20"/>
        </w:rPr>
        <w:t>EU(</w:t>
      </w:r>
      <w:proofErr w:type="gramEnd"/>
      <w:r w:rsidRPr="00F979D1">
        <w:rPr>
          <w:rFonts w:ascii="Times New Roman" w:hAnsi="Times New Roman" w:cs="Times New Roman"/>
          <w:sz w:val="20"/>
          <w:szCs w:val="20"/>
        </w:rPr>
        <w:t>W)A 2018, repealed by section 31 EU(WA)A 2020, so vividly demonstrates.</w:t>
      </w:r>
    </w:p>
  </w:footnote>
  <w:footnote w:id="332">
    <w:p w14:paraId="203AC325" w14:textId="32980E89"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European Council, Guidelines of 29 April 2017.</w:t>
      </w:r>
    </w:p>
  </w:footnote>
  <w:footnote w:id="333">
    <w:p w14:paraId="370C6E2E" w14:textId="0E726A33"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European Council, Guidelines of 23 March 2018.  See also European Council (Art 50), Conclusions of 25 November 2018 and 13 December 2019.</w:t>
      </w:r>
    </w:p>
  </w:footnote>
  <w:footnote w:id="334">
    <w:p w14:paraId="055C4C5A" w14:textId="0F9BF3AC"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See further the Commission’s extensive series of slides on internal EU preparatory discussions concerning the framework for future relations (published between January and June 2018).  </w:t>
      </w:r>
    </w:p>
  </w:footnote>
  <w:footnote w:id="335">
    <w:p w14:paraId="54C66A3C" w14:textId="0FBBCFD6"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Readers may recall the famous “staircase slide” produced by the Commission: TF50 (2017) 21.  </w:t>
      </w:r>
    </w:p>
  </w:footnote>
  <w:footnote w:id="336">
    <w:p w14:paraId="61E051B5" w14:textId="4AF5FABA"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In particular: HMG, Cm 9417 of 2 February 2017.  </w:t>
      </w:r>
      <w:r w:rsidRPr="00F979D1">
        <w:rPr>
          <w:rFonts w:ascii="Times New Roman" w:hAnsi="Times New Roman" w:cs="Times New Roman"/>
          <w:sz w:val="20"/>
          <w:szCs w:val="20"/>
          <w:lang w:val="en-US"/>
        </w:rPr>
        <w:t xml:space="preserve">See further the UK’s extensive series of “Future Partnership Papers” (published between August 2017 and July 2018).  Note </w:t>
      </w:r>
      <w:r w:rsidRPr="00F979D1">
        <w:rPr>
          <w:rFonts w:ascii="Times New Roman" w:hAnsi="Times New Roman" w:cs="Times New Roman"/>
          <w:sz w:val="20"/>
          <w:szCs w:val="20"/>
        </w:rPr>
        <w:t xml:space="preserve">House of Commons Exiting the EU Committee, </w:t>
      </w:r>
      <w:r w:rsidRPr="00F979D1">
        <w:rPr>
          <w:rFonts w:ascii="Times New Roman" w:hAnsi="Times New Roman" w:cs="Times New Roman"/>
          <w:i/>
          <w:sz w:val="20"/>
          <w:szCs w:val="20"/>
        </w:rPr>
        <w:t xml:space="preserve">The future UK-EU relationship </w:t>
      </w:r>
      <w:r w:rsidRPr="00F979D1">
        <w:rPr>
          <w:rFonts w:ascii="Times New Roman" w:hAnsi="Times New Roman" w:cs="Times New Roman"/>
          <w:sz w:val="20"/>
          <w:szCs w:val="20"/>
        </w:rPr>
        <w:t xml:space="preserve">(HC935, 4 April 2018); House of Lords </w:t>
      </w:r>
      <w:r>
        <w:rPr>
          <w:rFonts w:ascii="Times New Roman" w:hAnsi="Times New Roman" w:cs="Times New Roman"/>
          <w:sz w:val="20"/>
          <w:szCs w:val="20"/>
        </w:rPr>
        <w:t xml:space="preserve">EU </w:t>
      </w:r>
      <w:r w:rsidRPr="00F979D1">
        <w:rPr>
          <w:rFonts w:ascii="Times New Roman" w:hAnsi="Times New Roman" w:cs="Times New Roman"/>
          <w:sz w:val="20"/>
          <w:szCs w:val="20"/>
        </w:rPr>
        <w:t xml:space="preserve">Committee, </w:t>
      </w:r>
      <w:r w:rsidRPr="00F979D1">
        <w:rPr>
          <w:rFonts w:ascii="Times New Roman" w:hAnsi="Times New Roman" w:cs="Times New Roman"/>
          <w:i/>
          <w:sz w:val="20"/>
          <w:szCs w:val="20"/>
        </w:rPr>
        <w:t xml:space="preserve">UK-EU relations after </w:t>
      </w:r>
      <w:proofErr w:type="spellStart"/>
      <w:r w:rsidRPr="00F979D1">
        <w:rPr>
          <w:rFonts w:ascii="Times New Roman" w:hAnsi="Times New Roman" w:cs="Times New Roman"/>
          <w:i/>
          <w:sz w:val="20"/>
          <w:szCs w:val="20"/>
        </w:rPr>
        <w:t>Brexit</w:t>
      </w:r>
      <w:proofErr w:type="spellEnd"/>
      <w:r w:rsidRPr="00F979D1">
        <w:rPr>
          <w:rFonts w:ascii="Times New Roman" w:hAnsi="Times New Roman" w:cs="Times New Roman"/>
          <w:i/>
          <w:sz w:val="20"/>
          <w:szCs w:val="20"/>
        </w:rPr>
        <w:t xml:space="preserve"> </w:t>
      </w:r>
      <w:r w:rsidRPr="00F979D1">
        <w:rPr>
          <w:rFonts w:ascii="Times New Roman" w:hAnsi="Times New Roman" w:cs="Times New Roman"/>
          <w:sz w:val="20"/>
          <w:szCs w:val="20"/>
        </w:rPr>
        <w:t>(HL149, 8 June 2018).</w:t>
      </w:r>
    </w:p>
  </w:footnote>
  <w:footnote w:id="337">
    <w:p w14:paraId="1585318C" w14:textId="5088B583"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HMG, Cm 9593 of 17 July 2018.</w:t>
      </w:r>
    </w:p>
  </w:footnote>
  <w:footnote w:id="338">
    <w:p w14:paraId="2E5716FB" w14:textId="59A09B4B"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OJ 2019, C 66 I/185.</w:t>
      </w:r>
      <w:proofErr w:type="gramEnd"/>
    </w:p>
  </w:footnote>
  <w:footnote w:id="339">
    <w:p w14:paraId="1679963C" w14:textId="76114390"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Section 3.4.3 (above).</w:t>
      </w:r>
    </w:p>
  </w:footnote>
  <w:footnote w:id="340">
    <w:p w14:paraId="0000B0CE" w14:textId="01727167"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OJ 2019, C 384 I/178.</w:t>
      </w:r>
      <w:proofErr w:type="gramEnd"/>
    </w:p>
  </w:footnote>
  <w:footnote w:id="341">
    <w:p w14:paraId="14C021BC" w14:textId="0F59E440"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Section 3.4.4 (above).</w:t>
      </w:r>
    </w:p>
  </w:footnote>
  <w:footnote w:id="342">
    <w:p w14:paraId="7B58FFA2" w14:textId="5E12BFC0"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OJ 2019, C 66 I/185, para 79.</w:t>
      </w:r>
    </w:p>
  </w:footnote>
  <w:footnote w:id="343">
    <w:p w14:paraId="39DB1240" w14:textId="10530B49"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OJ 2019, C 384 I/178, </w:t>
      </w:r>
      <w:r w:rsidRPr="00F979D1">
        <w:rPr>
          <w:rFonts w:ascii="Times New Roman" w:hAnsi="Times New Roman" w:cs="Times New Roman"/>
          <w:sz w:val="20"/>
          <w:szCs w:val="20"/>
          <w:lang w:val="en-US"/>
        </w:rPr>
        <w:t>para 77.</w:t>
      </w:r>
    </w:p>
  </w:footnote>
  <w:footnote w:id="344">
    <w:p w14:paraId="4B8F033E" w14:textId="5CE49D86"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OJ 2019, C 384 I/178, para 1.</w:t>
      </w:r>
    </w:p>
  </w:footnote>
  <w:footnote w:id="345">
    <w:p w14:paraId="6592BCAF" w14:textId="1E753823"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E.g. </w:t>
      </w:r>
      <w:proofErr w:type="spellStart"/>
      <w:r w:rsidRPr="00F979D1">
        <w:rPr>
          <w:rFonts w:ascii="Times New Roman" w:hAnsi="Times New Roman" w:cs="Times New Roman"/>
          <w:sz w:val="20"/>
          <w:szCs w:val="20"/>
          <w:lang w:val="en-US"/>
        </w:rPr>
        <w:t>para</w:t>
      </w:r>
      <w:proofErr w:type="spellEnd"/>
      <w:r w:rsidRPr="00F979D1">
        <w:rPr>
          <w:rFonts w:ascii="Times New Roman" w:hAnsi="Times New Roman" w:cs="Times New Roman"/>
          <w:sz w:val="20"/>
          <w:szCs w:val="20"/>
          <w:lang w:val="en-US"/>
        </w:rPr>
        <w:t xml:space="preserve"> 105: “[</w:t>
      </w:r>
      <w:proofErr w:type="gramStart"/>
      <w:r w:rsidRPr="00F979D1">
        <w:rPr>
          <w:rFonts w:ascii="Times New Roman" w:hAnsi="Times New Roman" w:cs="Times New Roman"/>
          <w:sz w:val="20"/>
          <w:szCs w:val="20"/>
          <w:lang w:val="en-US"/>
        </w:rPr>
        <w:t>t]he</w:t>
      </w:r>
      <w:proofErr w:type="gramEnd"/>
      <w:r w:rsidRPr="00F979D1">
        <w:rPr>
          <w:rFonts w:ascii="Times New Roman" w:hAnsi="Times New Roman" w:cs="Times New Roman"/>
          <w:sz w:val="20"/>
          <w:szCs w:val="20"/>
          <w:lang w:val="en-US"/>
        </w:rPr>
        <w:t xml:space="preserve"> Parties should consider appropriate arrangements for cooperation on space”.  </w:t>
      </w:r>
    </w:p>
  </w:footnote>
  <w:footnote w:id="346">
    <w:p w14:paraId="5FEBE985" w14:textId="5713810E"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Section 3.2 (above).</w:t>
      </w:r>
    </w:p>
  </w:footnote>
  <w:footnote w:id="347">
    <w:p w14:paraId="678ECCB0" w14:textId="3DA685BF"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Council Decision authorising the opening of negotiations with the United Kingdom for a new partnership agreement (25 February 2020); based on Commission recommendation </w:t>
      </w:r>
      <w:proofErr w:type="gramStart"/>
      <w:r w:rsidRPr="00F979D1">
        <w:rPr>
          <w:rFonts w:ascii="Times New Roman" w:hAnsi="Times New Roman" w:cs="Times New Roman"/>
          <w:sz w:val="20"/>
          <w:szCs w:val="20"/>
        </w:rPr>
        <w:t>COM(</w:t>
      </w:r>
      <w:proofErr w:type="gramEnd"/>
      <w:r w:rsidRPr="00F979D1">
        <w:rPr>
          <w:rFonts w:ascii="Times New Roman" w:hAnsi="Times New Roman" w:cs="Times New Roman"/>
          <w:sz w:val="20"/>
          <w:szCs w:val="20"/>
        </w:rPr>
        <w:t>2020) 35 Final.</w:t>
      </w:r>
    </w:p>
  </w:footnote>
  <w:footnote w:id="348">
    <w:p w14:paraId="21557B78" w14:textId="224DAC9D"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See also the Commission’s series of slides on internal EU preparatory discussions concerning the future relationship (published in January-February 2020 as UKTF (2020) 1-13).</w:t>
      </w:r>
    </w:p>
  </w:footnote>
  <w:footnote w:id="349">
    <w:p w14:paraId="54144D8A" w14:textId="6DCB89C3"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HMG, </w:t>
      </w:r>
      <w:r w:rsidRPr="00F979D1">
        <w:rPr>
          <w:rFonts w:ascii="Times New Roman" w:hAnsi="Times New Roman" w:cs="Times New Roman"/>
          <w:i/>
          <w:sz w:val="20"/>
          <w:szCs w:val="20"/>
        </w:rPr>
        <w:t xml:space="preserve">Written Statement to Parliament: The Future Relationship between the UK and the EU </w:t>
      </w:r>
      <w:r w:rsidRPr="00F979D1">
        <w:rPr>
          <w:rFonts w:ascii="Times New Roman" w:hAnsi="Times New Roman" w:cs="Times New Roman"/>
          <w:sz w:val="20"/>
          <w:szCs w:val="20"/>
        </w:rPr>
        <w:t xml:space="preserve">(3 February 2020).  </w:t>
      </w:r>
    </w:p>
  </w:footnote>
  <w:footnote w:id="350">
    <w:p w14:paraId="31199AF8" w14:textId="6E7E15C7"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HMG, </w:t>
      </w:r>
      <w:r w:rsidRPr="00F979D1">
        <w:rPr>
          <w:rFonts w:ascii="Times New Roman" w:hAnsi="Times New Roman" w:cs="Times New Roman"/>
          <w:i/>
          <w:sz w:val="20"/>
          <w:szCs w:val="20"/>
        </w:rPr>
        <w:t xml:space="preserve">The Future Relationship with the EU: The UK’s Approach to Negotiations </w:t>
      </w:r>
      <w:r w:rsidRPr="00F979D1">
        <w:rPr>
          <w:rFonts w:ascii="Times New Roman" w:hAnsi="Times New Roman" w:cs="Times New Roman"/>
          <w:sz w:val="20"/>
          <w:szCs w:val="20"/>
        </w:rPr>
        <w:t>(CP211, 27 February 2020).</w:t>
      </w:r>
    </w:p>
  </w:footnote>
  <w:footnote w:id="351">
    <w:p w14:paraId="778B6E62" w14:textId="5F6044CB"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There are many other detailed issues on which the parties’ public positions already reveal actual or potential divergences: </w:t>
      </w:r>
      <w:r w:rsidRPr="00F979D1">
        <w:rPr>
          <w:rFonts w:ascii="Times New Roman" w:hAnsi="Times New Roman" w:cs="Times New Roman"/>
          <w:sz w:val="20"/>
          <w:szCs w:val="20"/>
          <w:lang w:val="en-US"/>
        </w:rPr>
        <w:t xml:space="preserve">e.g. inclusion of audiovisual services; protection of geographical indications of origin; withdrawal of autonomous equivalency decisions </w:t>
      </w:r>
      <w:r>
        <w:rPr>
          <w:rFonts w:ascii="Times New Roman" w:hAnsi="Times New Roman" w:cs="Times New Roman"/>
          <w:sz w:val="20"/>
          <w:szCs w:val="20"/>
          <w:lang w:val="en-US"/>
        </w:rPr>
        <w:t>on</w:t>
      </w:r>
      <w:r w:rsidRPr="00F979D1">
        <w:rPr>
          <w:rFonts w:ascii="Times New Roman" w:hAnsi="Times New Roman" w:cs="Times New Roman"/>
          <w:sz w:val="20"/>
          <w:szCs w:val="20"/>
          <w:lang w:val="en-US"/>
        </w:rPr>
        <w:t xml:space="preserve"> financial services; treatment of Gibraltar.</w:t>
      </w:r>
    </w:p>
  </w:footnote>
  <w:footnote w:id="352">
    <w:p w14:paraId="1930653E" w14:textId="705BF753"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HMG, CP211 of 27 February 2020, </w:t>
      </w:r>
      <w:r w:rsidRPr="00F979D1">
        <w:rPr>
          <w:rFonts w:ascii="Times New Roman" w:hAnsi="Times New Roman" w:cs="Times New Roman"/>
          <w:sz w:val="20"/>
          <w:szCs w:val="20"/>
          <w:lang w:val="en-US"/>
        </w:rPr>
        <w:t>para 2.  For an earlier insight</w:t>
      </w:r>
      <w:r>
        <w:rPr>
          <w:rFonts w:ascii="Times New Roman" w:hAnsi="Times New Roman" w:cs="Times New Roman"/>
          <w:sz w:val="20"/>
          <w:szCs w:val="20"/>
          <w:lang w:val="en-US"/>
        </w:rPr>
        <w:t xml:space="preserve"> into Johnson’s views, consider </w:t>
      </w:r>
      <w:r w:rsidRPr="00F979D1">
        <w:rPr>
          <w:rFonts w:ascii="Times New Roman" w:hAnsi="Times New Roman" w:cs="Times New Roman"/>
          <w:i/>
          <w:sz w:val="20"/>
          <w:szCs w:val="20"/>
          <w:lang w:val="en-US"/>
        </w:rPr>
        <w:t xml:space="preserve">Uniting for a Great </w:t>
      </w:r>
      <w:proofErr w:type="spellStart"/>
      <w:r w:rsidRPr="00F979D1">
        <w:rPr>
          <w:rFonts w:ascii="Times New Roman" w:hAnsi="Times New Roman" w:cs="Times New Roman"/>
          <w:i/>
          <w:sz w:val="20"/>
          <w:szCs w:val="20"/>
          <w:lang w:val="en-US"/>
        </w:rPr>
        <w:t>Brexit</w:t>
      </w:r>
      <w:proofErr w:type="spellEnd"/>
      <w:r w:rsidRPr="00F979D1">
        <w:rPr>
          <w:rFonts w:ascii="Times New Roman" w:hAnsi="Times New Roman" w:cs="Times New Roman"/>
          <w:i/>
          <w:sz w:val="20"/>
          <w:szCs w:val="20"/>
          <w:lang w:val="en-US"/>
        </w:rPr>
        <w:t xml:space="preserve">: Foreign Secretary’s Speech </w:t>
      </w:r>
      <w:r w:rsidRPr="00F979D1">
        <w:rPr>
          <w:rFonts w:ascii="Times New Roman" w:hAnsi="Times New Roman" w:cs="Times New Roman"/>
          <w:sz w:val="20"/>
          <w:szCs w:val="20"/>
          <w:lang w:val="en-US"/>
        </w:rPr>
        <w:t>(14 February 2018).</w:t>
      </w:r>
    </w:p>
  </w:footnote>
  <w:footnote w:id="353">
    <w:p w14:paraId="23E8FC58" w14:textId="5C6141FD"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In which regard: note the public rebuke issued by the European Council President on 4 October 2018.  </w:t>
      </w:r>
      <w:r>
        <w:rPr>
          <w:rFonts w:ascii="Times New Roman" w:hAnsi="Times New Roman" w:cs="Times New Roman"/>
          <w:sz w:val="20"/>
          <w:szCs w:val="20"/>
          <w:lang w:val="en-US"/>
        </w:rPr>
        <w:t>Recall</w:t>
      </w:r>
      <w:r w:rsidRPr="00F979D1">
        <w:rPr>
          <w:rFonts w:ascii="Times New Roman" w:hAnsi="Times New Roman" w:cs="Times New Roman"/>
          <w:sz w:val="20"/>
          <w:szCs w:val="20"/>
          <w:lang w:val="en-US"/>
        </w:rPr>
        <w:t xml:space="preserve"> that, during the 2016 referendum campaign, Johnson compared the EU to Nazi Germany: see, e.g. &lt;&lt;https://www.politico.eu/article/boris-johnson-compares-eu-to-nazi-superstate-brexit-ukip/&gt;&gt;.  </w:t>
      </w:r>
    </w:p>
  </w:footnote>
  <w:footnote w:id="354">
    <w:p w14:paraId="2A90D7CA" w14:textId="776604B6"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Note concerns that the UK might </w:t>
      </w:r>
      <w:r>
        <w:rPr>
          <w:rFonts w:ascii="Times New Roman" w:hAnsi="Times New Roman" w:cs="Times New Roman"/>
          <w:sz w:val="20"/>
          <w:szCs w:val="20"/>
        </w:rPr>
        <w:t>attempt</w:t>
      </w:r>
      <w:r w:rsidRPr="00F979D1">
        <w:rPr>
          <w:rFonts w:ascii="Times New Roman" w:hAnsi="Times New Roman" w:cs="Times New Roman"/>
          <w:sz w:val="20"/>
          <w:szCs w:val="20"/>
        </w:rPr>
        <w:t xml:space="preserve"> to use security cooperation as leverage in trade negotiations, e.g. “Boris Johnson ‘is turning security into </w:t>
      </w:r>
      <w:proofErr w:type="spellStart"/>
      <w:r w:rsidRPr="00F979D1">
        <w:rPr>
          <w:rFonts w:ascii="Times New Roman" w:hAnsi="Times New Roman" w:cs="Times New Roman"/>
          <w:sz w:val="20"/>
          <w:szCs w:val="20"/>
        </w:rPr>
        <w:t>Brexit</w:t>
      </w:r>
      <w:proofErr w:type="spellEnd"/>
      <w:r w:rsidRPr="00F979D1">
        <w:rPr>
          <w:rFonts w:ascii="Times New Roman" w:hAnsi="Times New Roman" w:cs="Times New Roman"/>
          <w:sz w:val="20"/>
          <w:szCs w:val="20"/>
        </w:rPr>
        <w:t xml:space="preserve"> trade talks bargaining chip’” (</w:t>
      </w:r>
      <w:r w:rsidRPr="00F979D1">
        <w:rPr>
          <w:rFonts w:ascii="Times New Roman" w:hAnsi="Times New Roman" w:cs="Times New Roman"/>
          <w:i/>
          <w:sz w:val="20"/>
          <w:szCs w:val="20"/>
        </w:rPr>
        <w:t>The Guardian</w:t>
      </w:r>
      <w:r w:rsidRPr="00F979D1">
        <w:rPr>
          <w:rFonts w:ascii="Times New Roman" w:hAnsi="Times New Roman" w:cs="Times New Roman"/>
          <w:sz w:val="20"/>
          <w:szCs w:val="20"/>
        </w:rPr>
        <w:t xml:space="preserve">, 1 March 2020).  Note </w:t>
      </w:r>
      <w:r>
        <w:rPr>
          <w:rFonts w:ascii="Times New Roman" w:hAnsi="Times New Roman" w:cs="Times New Roman"/>
          <w:sz w:val="20"/>
          <w:szCs w:val="20"/>
        </w:rPr>
        <w:t xml:space="preserve">also </w:t>
      </w:r>
      <w:r w:rsidRPr="00F979D1">
        <w:rPr>
          <w:rFonts w:ascii="Times New Roman" w:hAnsi="Times New Roman" w:cs="Times New Roman"/>
          <w:sz w:val="20"/>
          <w:szCs w:val="20"/>
        </w:rPr>
        <w:t xml:space="preserve">that </w:t>
      </w:r>
      <w:r w:rsidRPr="00F979D1">
        <w:rPr>
          <w:rFonts w:ascii="Times New Roman" w:hAnsi="Times New Roman" w:cs="Times New Roman"/>
          <w:sz w:val="20"/>
          <w:szCs w:val="20"/>
          <w:lang w:val="en-US"/>
        </w:rPr>
        <w:t xml:space="preserve">other important topics are barely mentioned either, e.g. public procurement; rail and maritime transport; global cooperation; </w:t>
      </w:r>
      <w:proofErr w:type="gramStart"/>
      <w:r w:rsidRPr="00F979D1">
        <w:rPr>
          <w:rFonts w:ascii="Times New Roman" w:hAnsi="Times New Roman" w:cs="Times New Roman"/>
          <w:sz w:val="20"/>
          <w:szCs w:val="20"/>
          <w:lang w:val="en-US"/>
        </w:rPr>
        <w:t>money-laundering</w:t>
      </w:r>
      <w:proofErr w:type="gramEnd"/>
      <w:r w:rsidRPr="00F979D1">
        <w:rPr>
          <w:rFonts w:ascii="Times New Roman" w:hAnsi="Times New Roman" w:cs="Times New Roman"/>
          <w:sz w:val="20"/>
          <w:szCs w:val="20"/>
          <w:lang w:val="en-US"/>
        </w:rPr>
        <w:t xml:space="preserve"> and terrorist financing; cyber-security.</w:t>
      </w:r>
    </w:p>
  </w:footnote>
  <w:footnote w:id="355">
    <w:p w14:paraId="0ADA530D" w14:textId="6B1BC2D3"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HMG, CP211 of 27 February 2020, especially </w:t>
      </w:r>
      <w:r w:rsidRPr="00F979D1">
        <w:rPr>
          <w:rFonts w:ascii="Times New Roman" w:hAnsi="Times New Roman" w:cs="Times New Roman"/>
          <w:sz w:val="20"/>
          <w:szCs w:val="20"/>
          <w:lang w:val="en-US"/>
        </w:rPr>
        <w:t>paras 4-8 and 83.</w:t>
      </w:r>
    </w:p>
  </w:footnote>
  <w:footnote w:id="356">
    <w:p w14:paraId="41AB60AB" w14:textId="2610522B"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E.g. Michel </w:t>
      </w:r>
      <w:proofErr w:type="spellStart"/>
      <w:r w:rsidRPr="00F979D1">
        <w:rPr>
          <w:rFonts w:ascii="Times New Roman" w:hAnsi="Times New Roman" w:cs="Times New Roman"/>
          <w:sz w:val="20"/>
          <w:szCs w:val="20"/>
          <w:lang w:val="en-US"/>
        </w:rPr>
        <w:t>Barnier</w:t>
      </w:r>
      <w:proofErr w:type="spellEnd"/>
      <w:r w:rsidRPr="00F979D1">
        <w:rPr>
          <w:rFonts w:ascii="Times New Roman" w:hAnsi="Times New Roman" w:cs="Times New Roman"/>
          <w:sz w:val="20"/>
          <w:szCs w:val="20"/>
          <w:lang w:val="en-US"/>
        </w:rPr>
        <w:t xml:space="preserve">, </w:t>
      </w:r>
      <w:r w:rsidRPr="00F979D1">
        <w:rPr>
          <w:rFonts w:ascii="Times New Roman" w:hAnsi="Times New Roman" w:cs="Times New Roman"/>
          <w:i/>
          <w:sz w:val="20"/>
          <w:szCs w:val="20"/>
        </w:rPr>
        <w:t xml:space="preserve">Le </w:t>
      </w:r>
      <w:proofErr w:type="spellStart"/>
      <w:r w:rsidRPr="00F979D1">
        <w:rPr>
          <w:rFonts w:ascii="Times New Roman" w:hAnsi="Times New Roman" w:cs="Times New Roman"/>
          <w:i/>
          <w:sz w:val="20"/>
          <w:szCs w:val="20"/>
        </w:rPr>
        <w:t>choix</w:t>
      </w:r>
      <w:proofErr w:type="spellEnd"/>
      <w:r w:rsidRPr="00F979D1">
        <w:rPr>
          <w:rFonts w:ascii="Times New Roman" w:hAnsi="Times New Roman" w:cs="Times New Roman"/>
          <w:i/>
          <w:sz w:val="20"/>
          <w:szCs w:val="20"/>
        </w:rPr>
        <w:t xml:space="preserve"> de la </w:t>
      </w:r>
      <w:proofErr w:type="spellStart"/>
      <w:r w:rsidRPr="00F979D1">
        <w:rPr>
          <w:rFonts w:ascii="Times New Roman" w:hAnsi="Times New Roman" w:cs="Times New Roman"/>
          <w:i/>
          <w:sz w:val="20"/>
          <w:szCs w:val="20"/>
        </w:rPr>
        <w:t>responsabilite</w:t>
      </w:r>
      <w:proofErr w:type="spellEnd"/>
      <w:r w:rsidRPr="00F979D1">
        <w:rPr>
          <w:rFonts w:ascii="Times New Roman" w:hAnsi="Times New Roman" w:cs="Times New Roman"/>
          <w:i/>
          <w:sz w:val="20"/>
          <w:szCs w:val="20"/>
        </w:rPr>
        <w:t xml:space="preserve">́, le </w:t>
      </w:r>
      <w:proofErr w:type="spellStart"/>
      <w:r w:rsidRPr="00F979D1">
        <w:rPr>
          <w:rFonts w:ascii="Times New Roman" w:hAnsi="Times New Roman" w:cs="Times New Roman"/>
          <w:i/>
          <w:sz w:val="20"/>
          <w:szCs w:val="20"/>
        </w:rPr>
        <w:t>choix</w:t>
      </w:r>
      <w:proofErr w:type="spellEnd"/>
      <w:r w:rsidRPr="00F979D1">
        <w:rPr>
          <w:rFonts w:ascii="Times New Roman" w:hAnsi="Times New Roman" w:cs="Times New Roman"/>
          <w:i/>
          <w:sz w:val="20"/>
          <w:szCs w:val="20"/>
        </w:rPr>
        <w:t xml:space="preserve"> du </w:t>
      </w:r>
      <w:proofErr w:type="spellStart"/>
      <w:r w:rsidRPr="00F979D1">
        <w:rPr>
          <w:rFonts w:ascii="Times New Roman" w:hAnsi="Times New Roman" w:cs="Times New Roman"/>
          <w:i/>
          <w:sz w:val="20"/>
          <w:szCs w:val="20"/>
        </w:rPr>
        <w:t>partenariat</w:t>
      </w:r>
      <w:proofErr w:type="spellEnd"/>
      <w:r w:rsidRPr="00F979D1">
        <w:rPr>
          <w:rFonts w:ascii="Times New Roman" w:hAnsi="Times New Roman" w:cs="Times New Roman"/>
          <w:sz w:val="20"/>
          <w:szCs w:val="20"/>
        </w:rPr>
        <w:t xml:space="preserve"> (30 October 2019); Commission President von der </w:t>
      </w:r>
      <w:proofErr w:type="spellStart"/>
      <w:r w:rsidRPr="00F979D1">
        <w:rPr>
          <w:rFonts w:ascii="Times New Roman" w:hAnsi="Times New Roman" w:cs="Times New Roman"/>
          <w:sz w:val="20"/>
          <w:szCs w:val="20"/>
        </w:rPr>
        <w:t>Leyen</w:t>
      </w:r>
      <w:proofErr w:type="spellEnd"/>
      <w:r w:rsidRPr="00F979D1">
        <w:rPr>
          <w:rFonts w:ascii="Times New Roman" w:hAnsi="Times New Roman" w:cs="Times New Roman"/>
          <w:sz w:val="20"/>
          <w:szCs w:val="20"/>
        </w:rPr>
        <w:t xml:space="preserve">, “Time for the EU and the UK to build a new future together” (8 January 2020); Remarks by Michel </w:t>
      </w:r>
      <w:proofErr w:type="spellStart"/>
      <w:r w:rsidRPr="00F979D1">
        <w:rPr>
          <w:rFonts w:ascii="Times New Roman" w:hAnsi="Times New Roman" w:cs="Times New Roman"/>
          <w:sz w:val="20"/>
          <w:szCs w:val="20"/>
        </w:rPr>
        <w:t>Barnier</w:t>
      </w:r>
      <w:proofErr w:type="spellEnd"/>
      <w:r w:rsidRPr="00F979D1">
        <w:rPr>
          <w:rFonts w:ascii="Times New Roman" w:hAnsi="Times New Roman" w:cs="Times New Roman"/>
          <w:sz w:val="20"/>
          <w:szCs w:val="20"/>
        </w:rPr>
        <w:t xml:space="preserve"> at the European Commission Representation in Sweden (9 January 2020).  </w:t>
      </w:r>
    </w:p>
  </w:footnote>
  <w:footnote w:id="357">
    <w:p w14:paraId="155DAE5F" w14:textId="228EACDD"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In line with other recent Union FTAs, e.g. Art 12.1(3) EU-Singapore Agreement; Art 16.2(2) EU-Japan Agreement; Art 23.4 EU-Canada Agreement.</w:t>
      </w:r>
      <w:proofErr w:type="gramEnd"/>
      <w:r w:rsidRPr="00F979D1">
        <w:rPr>
          <w:rFonts w:ascii="Times New Roman" w:hAnsi="Times New Roman" w:cs="Times New Roman"/>
          <w:sz w:val="20"/>
          <w:szCs w:val="20"/>
        </w:rPr>
        <w:t xml:space="preserve">  </w:t>
      </w:r>
    </w:p>
  </w:footnote>
  <w:footnote w:id="358">
    <w:p w14:paraId="58B36B31" w14:textId="34FCAA5B"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Note the assumption of continued UK adherence to the ECHR which seemed to underpin the CJEU’s ruling</w:t>
      </w:r>
      <w:r w:rsidR="00CF7F16">
        <w:rPr>
          <w:rFonts w:ascii="Times New Roman" w:hAnsi="Times New Roman" w:cs="Times New Roman"/>
          <w:sz w:val="20"/>
          <w:szCs w:val="20"/>
          <w:lang w:val="en-US"/>
        </w:rPr>
        <w:t>s</w:t>
      </w:r>
      <w:r w:rsidRPr="00F979D1">
        <w:rPr>
          <w:rFonts w:ascii="Times New Roman" w:hAnsi="Times New Roman" w:cs="Times New Roman"/>
          <w:sz w:val="20"/>
          <w:szCs w:val="20"/>
          <w:lang w:val="en-US"/>
        </w:rPr>
        <w:t xml:space="preserve"> in Case C-327/18, </w:t>
      </w:r>
      <w:r w:rsidRPr="00F979D1">
        <w:rPr>
          <w:rFonts w:ascii="Times New Roman" w:hAnsi="Times New Roman" w:cs="Times New Roman"/>
          <w:i/>
          <w:sz w:val="20"/>
          <w:szCs w:val="20"/>
          <w:lang w:val="en-US"/>
        </w:rPr>
        <w:t>R O</w:t>
      </w:r>
      <w:r w:rsidR="00CF7F16">
        <w:rPr>
          <w:rFonts w:ascii="Times New Roman" w:hAnsi="Times New Roman" w:cs="Times New Roman"/>
          <w:sz w:val="20"/>
          <w:szCs w:val="20"/>
          <w:lang w:val="en-US"/>
        </w:rPr>
        <w:t xml:space="preserve"> </w:t>
      </w:r>
      <w:r w:rsidRPr="00F979D1">
        <w:rPr>
          <w:rFonts w:ascii="Times New Roman" w:hAnsi="Times New Roman" w:cs="Times New Roman"/>
          <w:sz w:val="20"/>
          <w:szCs w:val="20"/>
          <w:lang w:val="en-US"/>
        </w:rPr>
        <w:t xml:space="preserve">and Case C-661/17, </w:t>
      </w:r>
      <w:r w:rsidRPr="00F979D1">
        <w:rPr>
          <w:rFonts w:ascii="Times New Roman" w:hAnsi="Times New Roman" w:cs="Times New Roman"/>
          <w:i/>
          <w:sz w:val="20"/>
          <w:szCs w:val="20"/>
          <w:lang w:val="en-US"/>
        </w:rPr>
        <w:t>M.A</w:t>
      </w:r>
      <w:proofErr w:type="gramStart"/>
      <w:r w:rsidRPr="00F979D1">
        <w:rPr>
          <w:rFonts w:ascii="Times New Roman" w:hAnsi="Times New Roman" w:cs="Times New Roman"/>
          <w:i/>
          <w:sz w:val="20"/>
          <w:szCs w:val="20"/>
          <w:lang w:val="en-US"/>
        </w:rPr>
        <w:t>.</w:t>
      </w:r>
      <w:r w:rsidRPr="00F979D1">
        <w:rPr>
          <w:rFonts w:ascii="Times New Roman" w:hAnsi="Times New Roman" w:cs="Times New Roman"/>
          <w:sz w:val="20"/>
          <w:szCs w:val="20"/>
          <w:lang w:val="en-US"/>
        </w:rPr>
        <w:t>.</w:t>
      </w:r>
      <w:proofErr w:type="gramEnd"/>
    </w:p>
  </w:footnote>
  <w:footnote w:id="359">
    <w:p w14:paraId="0319389B" w14:textId="3FD32345" w:rsidR="00FD11BB" w:rsidRPr="00F979D1" w:rsidRDefault="00FD11BB" w:rsidP="00F979D1">
      <w:pPr>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According to the Conservative Manifesto 2019: “[</w:t>
      </w:r>
      <w:proofErr w:type="gramStart"/>
      <w:r w:rsidRPr="00F979D1">
        <w:rPr>
          <w:rFonts w:ascii="Times New Roman" w:hAnsi="Times New Roman" w:cs="Times New Roman"/>
          <w:sz w:val="20"/>
          <w:szCs w:val="20"/>
        </w:rPr>
        <w:t>w]</w:t>
      </w:r>
      <w:r w:rsidRPr="00F979D1">
        <w:rPr>
          <w:rFonts w:ascii="Times New Roman" w:hAnsi="Times New Roman" w:cs="Times New Roman"/>
          <w:sz w:val="20"/>
          <w:szCs w:val="20"/>
          <w:shd w:val="clear" w:color="auto" w:fill="FFFFFF"/>
        </w:rPr>
        <w:t>e</w:t>
      </w:r>
      <w:proofErr w:type="gramEnd"/>
      <w:r w:rsidRPr="00F979D1">
        <w:rPr>
          <w:rFonts w:ascii="Times New Roman" w:hAnsi="Times New Roman" w:cs="Times New Roman"/>
          <w:sz w:val="20"/>
          <w:szCs w:val="20"/>
          <w:shd w:val="clear" w:color="auto" w:fill="FFFFFF"/>
        </w:rPr>
        <w:t xml:space="preserve"> will negotiate a trade agreement next year… and </w:t>
      </w:r>
      <w:r w:rsidRPr="00F979D1">
        <w:rPr>
          <w:rFonts w:ascii="Times New Roman" w:hAnsi="Times New Roman" w:cs="Times New Roman"/>
          <w:bCs/>
          <w:sz w:val="20"/>
          <w:szCs w:val="20"/>
        </w:rPr>
        <w:t>we will not extend the implementation period beyond December 2020”.</w:t>
      </w:r>
    </w:p>
  </w:footnote>
  <w:footnote w:id="360">
    <w:p w14:paraId="33ED6420" w14:textId="54BB40E2"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proofErr w:type="gramStart"/>
      <w:r w:rsidRPr="00F979D1">
        <w:rPr>
          <w:rFonts w:ascii="Times New Roman" w:hAnsi="Times New Roman" w:cs="Times New Roman"/>
          <w:sz w:val="20"/>
          <w:szCs w:val="20"/>
        </w:rPr>
        <w:t>E.g. HMG, CP211 of 27 February 2020, para 9.</w:t>
      </w:r>
      <w:proofErr w:type="gramEnd"/>
    </w:p>
  </w:footnote>
  <w:footnote w:id="361">
    <w:p w14:paraId="3905877F" w14:textId="0959E7B3"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section 15A </w:t>
      </w:r>
      <w:proofErr w:type="gramStart"/>
      <w:r w:rsidRPr="00F979D1">
        <w:rPr>
          <w:rFonts w:ascii="Times New Roman" w:hAnsi="Times New Roman" w:cs="Times New Roman"/>
          <w:sz w:val="20"/>
          <w:szCs w:val="20"/>
        </w:rPr>
        <w:t>EU(</w:t>
      </w:r>
      <w:proofErr w:type="gramEnd"/>
      <w:r w:rsidRPr="00F979D1">
        <w:rPr>
          <w:rFonts w:ascii="Times New Roman" w:hAnsi="Times New Roman" w:cs="Times New Roman"/>
          <w:sz w:val="20"/>
          <w:szCs w:val="20"/>
        </w:rPr>
        <w:t xml:space="preserve">W)A 2018 as amended by section 33 EU(WA)A 2020. </w:t>
      </w:r>
    </w:p>
  </w:footnote>
  <w:footnote w:id="362">
    <w:p w14:paraId="7AC0F968" w14:textId="2DA4C69B"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HMG, CP211 of 27 February 2020, </w:t>
      </w:r>
      <w:r w:rsidRPr="00F979D1">
        <w:rPr>
          <w:rFonts w:ascii="Times New Roman" w:hAnsi="Times New Roman" w:cs="Times New Roman"/>
          <w:sz w:val="20"/>
          <w:szCs w:val="20"/>
          <w:lang w:val="en-US"/>
        </w:rPr>
        <w:t>para 9.</w:t>
      </w:r>
    </w:p>
  </w:footnote>
  <w:footnote w:id="363">
    <w:p w14:paraId="46328B7B" w14:textId="065A7882"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In accordance with Art 218(11) TFEU.</w:t>
      </w:r>
    </w:p>
  </w:footnote>
  <w:footnote w:id="364">
    <w:p w14:paraId="5E9D485A" w14:textId="7D3A2229"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The legal basis of any EU-UK agreement, the </w:t>
      </w:r>
      <w:r w:rsidR="00CF7F16">
        <w:rPr>
          <w:rFonts w:ascii="Times New Roman" w:hAnsi="Times New Roman" w:cs="Times New Roman"/>
          <w:sz w:val="20"/>
          <w:szCs w:val="20"/>
        </w:rPr>
        <w:t>division</w:t>
      </w:r>
      <w:r w:rsidRPr="00F979D1">
        <w:rPr>
          <w:rFonts w:ascii="Times New Roman" w:hAnsi="Times New Roman" w:cs="Times New Roman"/>
          <w:sz w:val="20"/>
          <w:szCs w:val="20"/>
        </w:rPr>
        <w:t xml:space="preserve"> </w:t>
      </w:r>
      <w:r w:rsidR="00CF7F16">
        <w:rPr>
          <w:rFonts w:ascii="Times New Roman" w:hAnsi="Times New Roman" w:cs="Times New Roman"/>
          <w:sz w:val="20"/>
          <w:szCs w:val="20"/>
        </w:rPr>
        <w:t>between Union and Member State competences,</w:t>
      </w:r>
      <w:r w:rsidRPr="00F979D1">
        <w:rPr>
          <w:rFonts w:ascii="Times New Roman" w:hAnsi="Times New Roman" w:cs="Times New Roman"/>
          <w:sz w:val="20"/>
          <w:szCs w:val="20"/>
        </w:rPr>
        <w:t xml:space="preserve"> and the possible need for national ratifications, are all left to be determined in due course: Commission, </w:t>
      </w:r>
      <w:r w:rsidRPr="00F979D1">
        <w:rPr>
          <w:rFonts w:ascii="Times New Roman" w:hAnsi="Times New Roman" w:cs="Times New Roman"/>
          <w:i/>
          <w:sz w:val="20"/>
          <w:szCs w:val="20"/>
        </w:rPr>
        <w:t xml:space="preserve">Future EU-UK Partnership: Questions and Answers on the Negotiating Directives </w:t>
      </w:r>
      <w:r w:rsidRPr="00F979D1">
        <w:rPr>
          <w:rFonts w:ascii="Times New Roman" w:hAnsi="Times New Roman" w:cs="Times New Roman"/>
          <w:sz w:val="20"/>
          <w:szCs w:val="20"/>
        </w:rPr>
        <w:t>(25 February 2020).</w:t>
      </w:r>
    </w:p>
  </w:footnote>
  <w:footnote w:id="365">
    <w:p w14:paraId="28C543B5" w14:textId="3EF1678A" w:rsidR="00FD11BB" w:rsidRPr="00F979D1" w:rsidRDefault="00FD11BB" w:rsidP="00F979D1">
      <w:pPr>
        <w:pStyle w:val="FootnoteText"/>
        <w:jc w:val="both"/>
        <w:rPr>
          <w:rFonts w:ascii="Times New Roman" w:hAnsi="Times New Roman" w:cs="Times New Roman"/>
          <w:sz w:val="20"/>
          <w:szCs w:val="20"/>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See Section 3.2.2 (above).</w:t>
      </w:r>
    </w:p>
  </w:footnote>
  <w:footnote w:id="366">
    <w:p w14:paraId="67A0FC3E" w14:textId="3A3D7369"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Note the (rather disingenuous) claims made by Boris Johnson, </w:t>
      </w:r>
      <w:r w:rsidRPr="00F979D1">
        <w:rPr>
          <w:rFonts w:ascii="Times New Roman" w:hAnsi="Times New Roman" w:cs="Times New Roman"/>
          <w:i/>
          <w:sz w:val="20"/>
          <w:szCs w:val="20"/>
          <w:lang w:val="en-US"/>
        </w:rPr>
        <w:t xml:space="preserve">Speech in Greenwich </w:t>
      </w:r>
      <w:r w:rsidRPr="00F979D1">
        <w:rPr>
          <w:rFonts w:ascii="Times New Roman" w:hAnsi="Times New Roman" w:cs="Times New Roman"/>
          <w:sz w:val="20"/>
          <w:szCs w:val="20"/>
          <w:lang w:val="en-US"/>
        </w:rPr>
        <w:t>(3 February 2020).</w:t>
      </w:r>
    </w:p>
  </w:footnote>
  <w:footnote w:id="367">
    <w:p w14:paraId="1B717FA9" w14:textId="01072728" w:rsidR="00FD11BB" w:rsidRPr="00F979D1" w:rsidRDefault="00FD11BB" w:rsidP="00F979D1">
      <w:pPr>
        <w:pStyle w:val="FootnoteText"/>
        <w:jc w:val="both"/>
        <w:rPr>
          <w:rFonts w:ascii="Times New Roman" w:hAnsi="Times New Roman" w:cs="Times New Roman"/>
          <w:sz w:val="20"/>
          <w:szCs w:val="20"/>
          <w:lang w:val="en-US"/>
        </w:rPr>
      </w:pPr>
      <w:r w:rsidRPr="00F979D1">
        <w:rPr>
          <w:rStyle w:val="FootnoteReference"/>
          <w:rFonts w:ascii="Times New Roman" w:hAnsi="Times New Roman" w:cs="Times New Roman"/>
          <w:sz w:val="20"/>
          <w:szCs w:val="20"/>
        </w:rPr>
        <w:footnoteRef/>
      </w:r>
      <w:r w:rsidRPr="00F979D1">
        <w:rPr>
          <w:rFonts w:ascii="Times New Roman" w:hAnsi="Times New Roman" w:cs="Times New Roman"/>
          <w:sz w:val="20"/>
          <w:szCs w:val="20"/>
        </w:rPr>
        <w:t xml:space="preserve"> </w:t>
      </w:r>
      <w:r w:rsidRPr="00F979D1">
        <w:rPr>
          <w:rFonts w:ascii="Times New Roman" w:hAnsi="Times New Roman" w:cs="Times New Roman"/>
          <w:sz w:val="20"/>
          <w:szCs w:val="20"/>
          <w:lang w:val="en-US"/>
        </w:rPr>
        <w:t xml:space="preserve">Note that Michel </w:t>
      </w:r>
      <w:proofErr w:type="spellStart"/>
      <w:r w:rsidRPr="00F979D1">
        <w:rPr>
          <w:rFonts w:ascii="Times New Roman" w:hAnsi="Times New Roman" w:cs="Times New Roman"/>
          <w:sz w:val="20"/>
          <w:szCs w:val="20"/>
          <w:lang w:val="en-US"/>
        </w:rPr>
        <w:t>Barnier</w:t>
      </w:r>
      <w:proofErr w:type="spellEnd"/>
      <w:r w:rsidRPr="00F979D1">
        <w:rPr>
          <w:rFonts w:ascii="Times New Roman" w:hAnsi="Times New Roman" w:cs="Times New Roman"/>
          <w:sz w:val="20"/>
          <w:szCs w:val="20"/>
          <w:lang w:val="en-US"/>
        </w:rPr>
        <w:t xml:space="preserve"> has already, for a considerable time, challenged the UK to clarify whether it intends to depart from the European socio-economic model, e.g. </w:t>
      </w:r>
      <w:r w:rsidRPr="00F979D1">
        <w:rPr>
          <w:rFonts w:ascii="Times New Roman" w:hAnsi="Times New Roman" w:cs="Times New Roman"/>
          <w:i/>
          <w:sz w:val="20"/>
          <w:szCs w:val="20"/>
          <w:lang w:val="en-US"/>
        </w:rPr>
        <w:t xml:space="preserve">Intervention à la </w:t>
      </w:r>
      <w:proofErr w:type="spellStart"/>
      <w:r w:rsidRPr="00F979D1">
        <w:rPr>
          <w:rFonts w:ascii="Times New Roman" w:hAnsi="Times New Roman" w:cs="Times New Roman"/>
          <w:i/>
          <w:sz w:val="20"/>
          <w:szCs w:val="20"/>
          <w:lang w:val="en-US"/>
        </w:rPr>
        <w:t>conférence</w:t>
      </w:r>
      <w:proofErr w:type="spellEnd"/>
      <w:r w:rsidRPr="00F979D1">
        <w:rPr>
          <w:rFonts w:ascii="Times New Roman" w:hAnsi="Times New Roman" w:cs="Times New Roman"/>
          <w:i/>
          <w:sz w:val="20"/>
          <w:szCs w:val="20"/>
          <w:lang w:val="en-US"/>
        </w:rPr>
        <w:t xml:space="preserve"> “Obbligati a </w:t>
      </w:r>
      <w:proofErr w:type="spellStart"/>
      <w:r w:rsidRPr="00F979D1">
        <w:rPr>
          <w:rFonts w:ascii="Times New Roman" w:hAnsi="Times New Roman" w:cs="Times New Roman"/>
          <w:i/>
          <w:sz w:val="20"/>
          <w:szCs w:val="20"/>
          <w:lang w:val="en-US"/>
        </w:rPr>
        <w:t>crescere</w:t>
      </w:r>
      <w:proofErr w:type="spellEnd"/>
      <w:r w:rsidRPr="00F979D1">
        <w:rPr>
          <w:rFonts w:ascii="Times New Roman" w:hAnsi="Times New Roman" w:cs="Times New Roman"/>
          <w:i/>
          <w:sz w:val="20"/>
          <w:szCs w:val="20"/>
          <w:lang w:val="en-US"/>
        </w:rPr>
        <w:t xml:space="preserve"> – </w:t>
      </w:r>
      <w:proofErr w:type="spellStart"/>
      <w:r w:rsidRPr="00F979D1">
        <w:rPr>
          <w:rFonts w:ascii="Times New Roman" w:hAnsi="Times New Roman" w:cs="Times New Roman"/>
          <w:i/>
          <w:sz w:val="20"/>
          <w:szCs w:val="20"/>
          <w:lang w:val="en-US"/>
        </w:rPr>
        <w:t>l’Europa</w:t>
      </w:r>
      <w:proofErr w:type="spellEnd"/>
      <w:r w:rsidRPr="00F979D1">
        <w:rPr>
          <w:rFonts w:ascii="Times New Roman" w:hAnsi="Times New Roman" w:cs="Times New Roman"/>
          <w:i/>
          <w:sz w:val="20"/>
          <w:szCs w:val="20"/>
          <w:lang w:val="en-US"/>
        </w:rPr>
        <w:t xml:space="preserve"> </w:t>
      </w:r>
      <w:proofErr w:type="spellStart"/>
      <w:r w:rsidRPr="00F979D1">
        <w:rPr>
          <w:rFonts w:ascii="Times New Roman" w:hAnsi="Times New Roman" w:cs="Times New Roman"/>
          <w:i/>
          <w:sz w:val="20"/>
          <w:szCs w:val="20"/>
          <w:lang w:val="en-US"/>
        </w:rPr>
        <w:t>dopo</w:t>
      </w:r>
      <w:proofErr w:type="spellEnd"/>
      <w:r w:rsidRPr="00F979D1">
        <w:rPr>
          <w:rFonts w:ascii="Times New Roman" w:hAnsi="Times New Roman" w:cs="Times New Roman"/>
          <w:i/>
          <w:sz w:val="20"/>
          <w:szCs w:val="20"/>
          <w:lang w:val="en-US"/>
        </w:rPr>
        <w:t xml:space="preserve"> </w:t>
      </w:r>
      <w:proofErr w:type="spellStart"/>
      <w:r w:rsidRPr="00F979D1">
        <w:rPr>
          <w:rFonts w:ascii="Times New Roman" w:hAnsi="Times New Roman" w:cs="Times New Roman"/>
          <w:i/>
          <w:sz w:val="20"/>
          <w:szCs w:val="20"/>
          <w:lang w:val="en-US"/>
        </w:rPr>
        <w:t>Brexit</w:t>
      </w:r>
      <w:proofErr w:type="spellEnd"/>
      <w:r w:rsidRPr="00F979D1">
        <w:rPr>
          <w:rFonts w:ascii="Times New Roman" w:hAnsi="Times New Roman" w:cs="Times New Roman"/>
          <w:i/>
          <w:sz w:val="20"/>
          <w:szCs w:val="20"/>
          <w:lang w:val="en-US"/>
        </w:rPr>
        <w:t xml:space="preserve">” </w:t>
      </w:r>
      <w:r w:rsidRPr="00F979D1">
        <w:rPr>
          <w:rFonts w:ascii="Times New Roman" w:hAnsi="Times New Roman" w:cs="Times New Roman"/>
          <w:sz w:val="20"/>
          <w:szCs w:val="20"/>
          <w:lang w:val="en-US"/>
        </w:rPr>
        <w:t xml:space="preserve">(9 November 2017); </w:t>
      </w:r>
      <w:r w:rsidRPr="00F979D1">
        <w:rPr>
          <w:rFonts w:ascii="Times New Roman" w:hAnsi="Times New Roman" w:cs="Times New Roman"/>
          <w:i/>
          <w:sz w:val="20"/>
          <w:szCs w:val="20"/>
          <w:lang w:val="en-US"/>
        </w:rPr>
        <w:t xml:space="preserve">Speech at the Centre for European Reform on “The Future of the EU” </w:t>
      </w:r>
      <w:r w:rsidRPr="00F979D1">
        <w:rPr>
          <w:rFonts w:ascii="Times New Roman" w:hAnsi="Times New Roman" w:cs="Times New Roman"/>
          <w:sz w:val="20"/>
          <w:szCs w:val="20"/>
          <w:lang w:val="en-US"/>
        </w:rPr>
        <w:t xml:space="preserve">(20 November 2017).  And continues to do so, e.g. </w:t>
      </w:r>
      <w:r w:rsidRPr="00F979D1">
        <w:rPr>
          <w:rFonts w:ascii="Times New Roman" w:hAnsi="Times New Roman" w:cs="Times New Roman"/>
          <w:i/>
          <w:sz w:val="20"/>
          <w:szCs w:val="20"/>
          <w:lang w:val="en-US"/>
        </w:rPr>
        <w:t xml:space="preserve">Statement at the presentation of the Commission’s proposal for a Council recommendation on directives for the negotiation of a new partnership with the UK </w:t>
      </w:r>
      <w:r w:rsidRPr="00F979D1">
        <w:rPr>
          <w:rFonts w:ascii="Times New Roman" w:hAnsi="Times New Roman" w:cs="Times New Roman"/>
          <w:sz w:val="20"/>
          <w:szCs w:val="20"/>
          <w:lang w:val="en-US"/>
        </w:rPr>
        <w:t>(3 February 2020).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3F5"/>
    <w:multiLevelType w:val="hybridMultilevel"/>
    <w:tmpl w:val="D33644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7F3DA1"/>
    <w:multiLevelType w:val="hybridMultilevel"/>
    <w:tmpl w:val="E4BEC8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9A7B84"/>
    <w:multiLevelType w:val="hybridMultilevel"/>
    <w:tmpl w:val="E1FAC154"/>
    <w:lvl w:ilvl="0" w:tplc="F7CCDCAA">
      <w:start w:val="3"/>
      <w:numFmt w:val="bullet"/>
      <w:lvlText w:val="-"/>
      <w:lvlJc w:val="left"/>
      <w:pPr>
        <w:ind w:left="720" w:hanging="360"/>
      </w:pPr>
      <w:rPr>
        <w:rFonts w:ascii="Arial Narrow" w:eastAsiaTheme="minorEastAsia"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743E6"/>
    <w:multiLevelType w:val="hybridMultilevel"/>
    <w:tmpl w:val="39DACB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BD11EF"/>
    <w:multiLevelType w:val="hybridMultilevel"/>
    <w:tmpl w:val="01A69F2C"/>
    <w:lvl w:ilvl="0" w:tplc="1A962C76">
      <w:start w:val="1"/>
      <w:numFmt w:val="bullet"/>
      <w:lvlText w:val="-"/>
      <w:lvlJc w:val="left"/>
      <w:pPr>
        <w:ind w:left="720" w:hanging="360"/>
      </w:pPr>
      <w:rPr>
        <w:rFonts w:ascii="Arial Narrow" w:eastAsiaTheme="minorEastAsia"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706E96"/>
    <w:multiLevelType w:val="hybridMultilevel"/>
    <w:tmpl w:val="3FC60D4C"/>
    <w:lvl w:ilvl="0" w:tplc="39A24D70">
      <w:start w:val="1"/>
      <w:numFmt w:val="bullet"/>
      <w:lvlText w:val="-"/>
      <w:lvlJc w:val="left"/>
      <w:pPr>
        <w:ind w:left="720" w:hanging="360"/>
      </w:pPr>
      <w:rPr>
        <w:rFonts w:ascii="Arial Narrow" w:eastAsiaTheme="minorEastAs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C75F5"/>
    <w:multiLevelType w:val="hybridMultilevel"/>
    <w:tmpl w:val="8DCAF248"/>
    <w:lvl w:ilvl="0" w:tplc="393280EE">
      <w:start w:val="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C767B"/>
    <w:multiLevelType w:val="hybridMultilevel"/>
    <w:tmpl w:val="49F83E30"/>
    <w:lvl w:ilvl="0" w:tplc="B1742650">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15FF9"/>
    <w:multiLevelType w:val="hybridMultilevel"/>
    <w:tmpl w:val="6E8A1D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BF633C"/>
    <w:multiLevelType w:val="hybridMultilevel"/>
    <w:tmpl w:val="C8C0F6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D4E485C"/>
    <w:multiLevelType w:val="hybridMultilevel"/>
    <w:tmpl w:val="36163C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284E66"/>
    <w:multiLevelType w:val="hybridMultilevel"/>
    <w:tmpl w:val="7E6460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807116"/>
    <w:multiLevelType w:val="multilevel"/>
    <w:tmpl w:val="66FAF0B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4B1856"/>
    <w:multiLevelType w:val="hybridMultilevel"/>
    <w:tmpl w:val="1E10C5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666B35"/>
    <w:multiLevelType w:val="hybridMultilevel"/>
    <w:tmpl w:val="45FE79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E032DA"/>
    <w:multiLevelType w:val="hybridMultilevel"/>
    <w:tmpl w:val="C602B3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B46A27"/>
    <w:multiLevelType w:val="hybridMultilevel"/>
    <w:tmpl w:val="F26A4F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5C06B6"/>
    <w:multiLevelType w:val="hybridMultilevel"/>
    <w:tmpl w:val="8362AB92"/>
    <w:lvl w:ilvl="0" w:tplc="5FDCDA7C">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2D3B27"/>
    <w:multiLevelType w:val="hybridMultilevel"/>
    <w:tmpl w:val="2826AE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151CD6"/>
    <w:multiLevelType w:val="hybridMultilevel"/>
    <w:tmpl w:val="6EAA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7A1768B"/>
    <w:multiLevelType w:val="hybridMultilevel"/>
    <w:tmpl w:val="2B3E3F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CC7230"/>
    <w:multiLevelType w:val="hybridMultilevel"/>
    <w:tmpl w:val="DB2222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151A3E"/>
    <w:multiLevelType w:val="hybridMultilevel"/>
    <w:tmpl w:val="7CC036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B061A5"/>
    <w:multiLevelType w:val="hybridMultilevel"/>
    <w:tmpl w:val="913E7B9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C8E58CD"/>
    <w:multiLevelType w:val="hybridMultilevel"/>
    <w:tmpl w:val="E93E7798"/>
    <w:lvl w:ilvl="0" w:tplc="72AEDF42">
      <w:start w:val="2"/>
      <w:numFmt w:val="bullet"/>
      <w:lvlText w:val="-"/>
      <w:lvlJc w:val="left"/>
      <w:pPr>
        <w:ind w:left="720" w:hanging="360"/>
      </w:pPr>
      <w:rPr>
        <w:rFonts w:ascii="Arial Narrow" w:eastAsiaTheme="minorEastAsia" w:hAnsi="Arial Narrow"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9CA1229"/>
    <w:multiLevelType w:val="hybridMultilevel"/>
    <w:tmpl w:val="91ECA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24"/>
  </w:num>
  <w:num w:numId="5">
    <w:abstractNumId w:val="23"/>
  </w:num>
  <w:num w:numId="6">
    <w:abstractNumId w:val="9"/>
  </w:num>
  <w:num w:numId="7">
    <w:abstractNumId w:val="4"/>
  </w:num>
  <w:num w:numId="8">
    <w:abstractNumId w:val="15"/>
  </w:num>
  <w:num w:numId="9">
    <w:abstractNumId w:val="20"/>
  </w:num>
  <w:num w:numId="10">
    <w:abstractNumId w:val="7"/>
  </w:num>
  <w:num w:numId="11">
    <w:abstractNumId w:val="22"/>
  </w:num>
  <w:num w:numId="12">
    <w:abstractNumId w:val="10"/>
  </w:num>
  <w:num w:numId="13">
    <w:abstractNumId w:val="3"/>
  </w:num>
  <w:num w:numId="14">
    <w:abstractNumId w:val="21"/>
  </w:num>
  <w:num w:numId="15">
    <w:abstractNumId w:val="14"/>
  </w:num>
  <w:num w:numId="16">
    <w:abstractNumId w:val="18"/>
  </w:num>
  <w:num w:numId="17">
    <w:abstractNumId w:val="13"/>
  </w:num>
  <w:num w:numId="18">
    <w:abstractNumId w:val="5"/>
  </w:num>
  <w:num w:numId="19">
    <w:abstractNumId w:val="17"/>
  </w:num>
  <w:num w:numId="20">
    <w:abstractNumId w:val="25"/>
  </w:num>
  <w:num w:numId="21">
    <w:abstractNumId w:val="0"/>
  </w:num>
  <w:num w:numId="22">
    <w:abstractNumId w:val="16"/>
  </w:num>
  <w:num w:numId="23">
    <w:abstractNumId w:val="11"/>
  </w:num>
  <w:num w:numId="24">
    <w:abstractNumId w:val="1"/>
  </w:num>
  <w:num w:numId="25">
    <w:abstractNumId w:val="8"/>
  </w:num>
  <w:num w:numId="26">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20"/>
    <w:rsid w:val="0000009A"/>
    <w:rsid w:val="00001354"/>
    <w:rsid w:val="00003DF6"/>
    <w:rsid w:val="00006D18"/>
    <w:rsid w:val="000100EB"/>
    <w:rsid w:val="0001030C"/>
    <w:rsid w:val="00012128"/>
    <w:rsid w:val="00012A40"/>
    <w:rsid w:val="0001519F"/>
    <w:rsid w:val="000159B8"/>
    <w:rsid w:val="00017247"/>
    <w:rsid w:val="00022026"/>
    <w:rsid w:val="00023968"/>
    <w:rsid w:val="000239E7"/>
    <w:rsid w:val="0002534D"/>
    <w:rsid w:val="00025B9A"/>
    <w:rsid w:val="00025F0B"/>
    <w:rsid w:val="00030E6B"/>
    <w:rsid w:val="0003179B"/>
    <w:rsid w:val="00032F94"/>
    <w:rsid w:val="00033A3D"/>
    <w:rsid w:val="00033F8B"/>
    <w:rsid w:val="000346FA"/>
    <w:rsid w:val="00035486"/>
    <w:rsid w:val="00035FEA"/>
    <w:rsid w:val="000377A5"/>
    <w:rsid w:val="00037F9D"/>
    <w:rsid w:val="00040223"/>
    <w:rsid w:val="00041341"/>
    <w:rsid w:val="00041C94"/>
    <w:rsid w:val="00042DEE"/>
    <w:rsid w:val="000432A5"/>
    <w:rsid w:val="0004489E"/>
    <w:rsid w:val="000478FB"/>
    <w:rsid w:val="00050636"/>
    <w:rsid w:val="00051C1D"/>
    <w:rsid w:val="00052820"/>
    <w:rsid w:val="000531D4"/>
    <w:rsid w:val="00054FF0"/>
    <w:rsid w:val="00055550"/>
    <w:rsid w:val="00055DC6"/>
    <w:rsid w:val="00056349"/>
    <w:rsid w:val="000630D0"/>
    <w:rsid w:val="00065FB3"/>
    <w:rsid w:val="00066A09"/>
    <w:rsid w:val="000751B1"/>
    <w:rsid w:val="00077363"/>
    <w:rsid w:val="00077D72"/>
    <w:rsid w:val="00081A7A"/>
    <w:rsid w:val="000826CA"/>
    <w:rsid w:val="00083E04"/>
    <w:rsid w:val="00085143"/>
    <w:rsid w:val="000852C1"/>
    <w:rsid w:val="00085912"/>
    <w:rsid w:val="0008608D"/>
    <w:rsid w:val="000904C6"/>
    <w:rsid w:val="00090514"/>
    <w:rsid w:val="000910D3"/>
    <w:rsid w:val="00091783"/>
    <w:rsid w:val="00091C8C"/>
    <w:rsid w:val="00092FE0"/>
    <w:rsid w:val="00094552"/>
    <w:rsid w:val="00095338"/>
    <w:rsid w:val="00095538"/>
    <w:rsid w:val="0009578E"/>
    <w:rsid w:val="000A1D89"/>
    <w:rsid w:val="000A613A"/>
    <w:rsid w:val="000A628A"/>
    <w:rsid w:val="000A715A"/>
    <w:rsid w:val="000B1B5A"/>
    <w:rsid w:val="000B2E1C"/>
    <w:rsid w:val="000B2FD2"/>
    <w:rsid w:val="000B476F"/>
    <w:rsid w:val="000B756B"/>
    <w:rsid w:val="000C14F6"/>
    <w:rsid w:val="000C2B94"/>
    <w:rsid w:val="000C5446"/>
    <w:rsid w:val="000C6807"/>
    <w:rsid w:val="000C7732"/>
    <w:rsid w:val="000D49DF"/>
    <w:rsid w:val="000D6FBB"/>
    <w:rsid w:val="000E0FA2"/>
    <w:rsid w:val="000E1524"/>
    <w:rsid w:val="000E2824"/>
    <w:rsid w:val="000E2E33"/>
    <w:rsid w:val="000E64B9"/>
    <w:rsid w:val="000E7DF1"/>
    <w:rsid w:val="000E7E50"/>
    <w:rsid w:val="000F0D39"/>
    <w:rsid w:val="000F20D2"/>
    <w:rsid w:val="000F2AB9"/>
    <w:rsid w:val="000F5EB2"/>
    <w:rsid w:val="0010268A"/>
    <w:rsid w:val="0010378D"/>
    <w:rsid w:val="001040A1"/>
    <w:rsid w:val="00110C6C"/>
    <w:rsid w:val="00110F63"/>
    <w:rsid w:val="00115C50"/>
    <w:rsid w:val="00115E20"/>
    <w:rsid w:val="001179E0"/>
    <w:rsid w:val="00117D55"/>
    <w:rsid w:val="00120361"/>
    <w:rsid w:val="001204FE"/>
    <w:rsid w:val="00121B2A"/>
    <w:rsid w:val="0012296F"/>
    <w:rsid w:val="00124F19"/>
    <w:rsid w:val="001269FA"/>
    <w:rsid w:val="00131847"/>
    <w:rsid w:val="001333BA"/>
    <w:rsid w:val="00134857"/>
    <w:rsid w:val="00134BF8"/>
    <w:rsid w:val="00136E30"/>
    <w:rsid w:val="00137B39"/>
    <w:rsid w:val="001422C5"/>
    <w:rsid w:val="001434A0"/>
    <w:rsid w:val="0014627E"/>
    <w:rsid w:val="001465B8"/>
    <w:rsid w:val="00147907"/>
    <w:rsid w:val="00147B77"/>
    <w:rsid w:val="00147EF4"/>
    <w:rsid w:val="00160BD3"/>
    <w:rsid w:val="0016421F"/>
    <w:rsid w:val="00170881"/>
    <w:rsid w:val="00174204"/>
    <w:rsid w:val="0017441C"/>
    <w:rsid w:val="00177147"/>
    <w:rsid w:val="00180B43"/>
    <w:rsid w:val="00181121"/>
    <w:rsid w:val="0018348B"/>
    <w:rsid w:val="001864F7"/>
    <w:rsid w:val="0019108E"/>
    <w:rsid w:val="001919E7"/>
    <w:rsid w:val="0019255E"/>
    <w:rsid w:val="00195B48"/>
    <w:rsid w:val="001976CA"/>
    <w:rsid w:val="001A3D67"/>
    <w:rsid w:val="001A414B"/>
    <w:rsid w:val="001A4F89"/>
    <w:rsid w:val="001A7859"/>
    <w:rsid w:val="001B07F9"/>
    <w:rsid w:val="001B2383"/>
    <w:rsid w:val="001B48B8"/>
    <w:rsid w:val="001B5A39"/>
    <w:rsid w:val="001B69FE"/>
    <w:rsid w:val="001B7376"/>
    <w:rsid w:val="001B7765"/>
    <w:rsid w:val="001C121B"/>
    <w:rsid w:val="001C31C0"/>
    <w:rsid w:val="001C3DE4"/>
    <w:rsid w:val="001D34AA"/>
    <w:rsid w:val="001D6369"/>
    <w:rsid w:val="001D75F2"/>
    <w:rsid w:val="001E0C8C"/>
    <w:rsid w:val="001E0F7C"/>
    <w:rsid w:val="001E1497"/>
    <w:rsid w:val="001E2860"/>
    <w:rsid w:val="001E2F18"/>
    <w:rsid w:val="001E322E"/>
    <w:rsid w:val="001E34EC"/>
    <w:rsid w:val="001E40ED"/>
    <w:rsid w:val="001E4556"/>
    <w:rsid w:val="001E4EB9"/>
    <w:rsid w:val="001E4FD4"/>
    <w:rsid w:val="001E525C"/>
    <w:rsid w:val="001E5331"/>
    <w:rsid w:val="001E560C"/>
    <w:rsid w:val="001E5CA7"/>
    <w:rsid w:val="001E5CC4"/>
    <w:rsid w:val="001E6540"/>
    <w:rsid w:val="001E6668"/>
    <w:rsid w:val="001F0240"/>
    <w:rsid w:val="001F106B"/>
    <w:rsid w:val="001F6201"/>
    <w:rsid w:val="001F626E"/>
    <w:rsid w:val="0020006B"/>
    <w:rsid w:val="0020250E"/>
    <w:rsid w:val="00203E51"/>
    <w:rsid w:val="00203FC1"/>
    <w:rsid w:val="0020706E"/>
    <w:rsid w:val="0021124A"/>
    <w:rsid w:val="0021188A"/>
    <w:rsid w:val="00212E96"/>
    <w:rsid w:val="0021514D"/>
    <w:rsid w:val="002171BA"/>
    <w:rsid w:val="0022058A"/>
    <w:rsid w:val="00221212"/>
    <w:rsid w:val="002243FD"/>
    <w:rsid w:val="00233157"/>
    <w:rsid w:val="00235E17"/>
    <w:rsid w:val="0023760D"/>
    <w:rsid w:val="00237BDD"/>
    <w:rsid w:val="0024130E"/>
    <w:rsid w:val="002413D6"/>
    <w:rsid w:val="00241515"/>
    <w:rsid w:val="002418E6"/>
    <w:rsid w:val="00245066"/>
    <w:rsid w:val="00252562"/>
    <w:rsid w:val="00252918"/>
    <w:rsid w:val="00256D9D"/>
    <w:rsid w:val="0025794E"/>
    <w:rsid w:val="002621DB"/>
    <w:rsid w:val="00262CFC"/>
    <w:rsid w:val="00264FDF"/>
    <w:rsid w:val="00266443"/>
    <w:rsid w:val="00267314"/>
    <w:rsid w:val="0028050A"/>
    <w:rsid w:val="00283BAF"/>
    <w:rsid w:val="00283EA8"/>
    <w:rsid w:val="00283EDE"/>
    <w:rsid w:val="00284063"/>
    <w:rsid w:val="00284F0F"/>
    <w:rsid w:val="0028669E"/>
    <w:rsid w:val="002925A1"/>
    <w:rsid w:val="002953D1"/>
    <w:rsid w:val="00295D0A"/>
    <w:rsid w:val="00295E36"/>
    <w:rsid w:val="00297491"/>
    <w:rsid w:val="00297AFF"/>
    <w:rsid w:val="002A1BBE"/>
    <w:rsid w:val="002A1DC2"/>
    <w:rsid w:val="002A263A"/>
    <w:rsid w:val="002A638E"/>
    <w:rsid w:val="002A6CF7"/>
    <w:rsid w:val="002A78FA"/>
    <w:rsid w:val="002A7FC7"/>
    <w:rsid w:val="002B01ED"/>
    <w:rsid w:val="002B1375"/>
    <w:rsid w:val="002B139C"/>
    <w:rsid w:val="002B21E1"/>
    <w:rsid w:val="002B7151"/>
    <w:rsid w:val="002B7E99"/>
    <w:rsid w:val="002C253C"/>
    <w:rsid w:val="002C4516"/>
    <w:rsid w:val="002C4ED8"/>
    <w:rsid w:val="002C5ADD"/>
    <w:rsid w:val="002C5D84"/>
    <w:rsid w:val="002C74A7"/>
    <w:rsid w:val="002C7A8B"/>
    <w:rsid w:val="002D11F3"/>
    <w:rsid w:val="002D1861"/>
    <w:rsid w:val="002D640E"/>
    <w:rsid w:val="002D6817"/>
    <w:rsid w:val="002D7270"/>
    <w:rsid w:val="002D74FD"/>
    <w:rsid w:val="002D7E71"/>
    <w:rsid w:val="002E1719"/>
    <w:rsid w:val="002E1C20"/>
    <w:rsid w:val="002E26DB"/>
    <w:rsid w:val="002E2EC0"/>
    <w:rsid w:val="002E3E2B"/>
    <w:rsid w:val="002E4196"/>
    <w:rsid w:val="002E41FC"/>
    <w:rsid w:val="002E5E2B"/>
    <w:rsid w:val="002E5F6F"/>
    <w:rsid w:val="002E6073"/>
    <w:rsid w:val="002F0DC9"/>
    <w:rsid w:val="002F11A2"/>
    <w:rsid w:val="002F12ED"/>
    <w:rsid w:val="002F2815"/>
    <w:rsid w:val="002F2D95"/>
    <w:rsid w:val="002F426A"/>
    <w:rsid w:val="00303E3E"/>
    <w:rsid w:val="00303F33"/>
    <w:rsid w:val="0030431C"/>
    <w:rsid w:val="003059F5"/>
    <w:rsid w:val="0031012B"/>
    <w:rsid w:val="00310305"/>
    <w:rsid w:val="0031279D"/>
    <w:rsid w:val="00313F1A"/>
    <w:rsid w:val="003145C2"/>
    <w:rsid w:val="00314734"/>
    <w:rsid w:val="00314B6E"/>
    <w:rsid w:val="003166D0"/>
    <w:rsid w:val="00322DF2"/>
    <w:rsid w:val="00323F1E"/>
    <w:rsid w:val="00324C0A"/>
    <w:rsid w:val="00326294"/>
    <w:rsid w:val="003268AA"/>
    <w:rsid w:val="0033137C"/>
    <w:rsid w:val="003314D0"/>
    <w:rsid w:val="00331C7D"/>
    <w:rsid w:val="00332CDE"/>
    <w:rsid w:val="00333A7D"/>
    <w:rsid w:val="00333AFC"/>
    <w:rsid w:val="00334A81"/>
    <w:rsid w:val="00335888"/>
    <w:rsid w:val="003364E8"/>
    <w:rsid w:val="00337474"/>
    <w:rsid w:val="00337E8A"/>
    <w:rsid w:val="00343C53"/>
    <w:rsid w:val="00345B90"/>
    <w:rsid w:val="003515C6"/>
    <w:rsid w:val="003522C6"/>
    <w:rsid w:val="003564DB"/>
    <w:rsid w:val="003569A8"/>
    <w:rsid w:val="00360049"/>
    <w:rsid w:val="0036246B"/>
    <w:rsid w:val="00362C15"/>
    <w:rsid w:val="00363A9C"/>
    <w:rsid w:val="00363FD8"/>
    <w:rsid w:val="00364D44"/>
    <w:rsid w:val="00364FE6"/>
    <w:rsid w:val="0036553C"/>
    <w:rsid w:val="003666F6"/>
    <w:rsid w:val="0036743A"/>
    <w:rsid w:val="0037030B"/>
    <w:rsid w:val="003753C4"/>
    <w:rsid w:val="00380AA2"/>
    <w:rsid w:val="00383F3B"/>
    <w:rsid w:val="0038467C"/>
    <w:rsid w:val="00385286"/>
    <w:rsid w:val="0038541F"/>
    <w:rsid w:val="00385D6B"/>
    <w:rsid w:val="00385E11"/>
    <w:rsid w:val="003862C3"/>
    <w:rsid w:val="00390F95"/>
    <w:rsid w:val="0039285F"/>
    <w:rsid w:val="0039294B"/>
    <w:rsid w:val="00396760"/>
    <w:rsid w:val="00397290"/>
    <w:rsid w:val="003A1D6E"/>
    <w:rsid w:val="003A1D89"/>
    <w:rsid w:val="003A485E"/>
    <w:rsid w:val="003A5094"/>
    <w:rsid w:val="003A5A49"/>
    <w:rsid w:val="003B15B2"/>
    <w:rsid w:val="003B1722"/>
    <w:rsid w:val="003B3151"/>
    <w:rsid w:val="003B4BF6"/>
    <w:rsid w:val="003B5215"/>
    <w:rsid w:val="003B566A"/>
    <w:rsid w:val="003B67F2"/>
    <w:rsid w:val="003B716D"/>
    <w:rsid w:val="003C4BCA"/>
    <w:rsid w:val="003C5314"/>
    <w:rsid w:val="003C6A4B"/>
    <w:rsid w:val="003C7E39"/>
    <w:rsid w:val="003D05AC"/>
    <w:rsid w:val="003D1432"/>
    <w:rsid w:val="003D23D1"/>
    <w:rsid w:val="003D2CAB"/>
    <w:rsid w:val="003D32DD"/>
    <w:rsid w:val="003D3647"/>
    <w:rsid w:val="003D5B18"/>
    <w:rsid w:val="003E29F9"/>
    <w:rsid w:val="003E475E"/>
    <w:rsid w:val="003E5A8D"/>
    <w:rsid w:val="003E6E8D"/>
    <w:rsid w:val="003F1E55"/>
    <w:rsid w:val="003F24EF"/>
    <w:rsid w:val="003F3D9A"/>
    <w:rsid w:val="003F400E"/>
    <w:rsid w:val="003F7ADE"/>
    <w:rsid w:val="00403655"/>
    <w:rsid w:val="0040624F"/>
    <w:rsid w:val="00412E93"/>
    <w:rsid w:val="00413C29"/>
    <w:rsid w:val="00414AD0"/>
    <w:rsid w:val="00416720"/>
    <w:rsid w:val="004209A2"/>
    <w:rsid w:val="00420A2C"/>
    <w:rsid w:val="00423F2A"/>
    <w:rsid w:val="0042645A"/>
    <w:rsid w:val="00427658"/>
    <w:rsid w:val="00430059"/>
    <w:rsid w:val="00430273"/>
    <w:rsid w:val="004309F7"/>
    <w:rsid w:val="004322D9"/>
    <w:rsid w:val="0043381F"/>
    <w:rsid w:val="004349E0"/>
    <w:rsid w:val="00434B79"/>
    <w:rsid w:val="00435255"/>
    <w:rsid w:val="00436A41"/>
    <w:rsid w:val="00444097"/>
    <w:rsid w:val="00447FE1"/>
    <w:rsid w:val="00450E57"/>
    <w:rsid w:val="0045110D"/>
    <w:rsid w:val="00452958"/>
    <w:rsid w:val="004542B6"/>
    <w:rsid w:val="00454516"/>
    <w:rsid w:val="00454551"/>
    <w:rsid w:val="004554E6"/>
    <w:rsid w:val="00457F8F"/>
    <w:rsid w:val="0046234D"/>
    <w:rsid w:val="0046335D"/>
    <w:rsid w:val="00464890"/>
    <w:rsid w:val="004657D6"/>
    <w:rsid w:val="00466CDC"/>
    <w:rsid w:val="0046750D"/>
    <w:rsid w:val="00474360"/>
    <w:rsid w:val="00474FA3"/>
    <w:rsid w:val="004753EC"/>
    <w:rsid w:val="00480467"/>
    <w:rsid w:val="00481467"/>
    <w:rsid w:val="0048151A"/>
    <w:rsid w:val="004842AA"/>
    <w:rsid w:val="00485335"/>
    <w:rsid w:val="00485F96"/>
    <w:rsid w:val="0048762B"/>
    <w:rsid w:val="00492FCB"/>
    <w:rsid w:val="00495400"/>
    <w:rsid w:val="00495A84"/>
    <w:rsid w:val="00496BA9"/>
    <w:rsid w:val="0049775D"/>
    <w:rsid w:val="00497FB4"/>
    <w:rsid w:val="004A3E01"/>
    <w:rsid w:val="004B05AA"/>
    <w:rsid w:val="004B159C"/>
    <w:rsid w:val="004B20B4"/>
    <w:rsid w:val="004B4424"/>
    <w:rsid w:val="004C043D"/>
    <w:rsid w:val="004C3411"/>
    <w:rsid w:val="004C643F"/>
    <w:rsid w:val="004D14AC"/>
    <w:rsid w:val="004D27DF"/>
    <w:rsid w:val="004D5245"/>
    <w:rsid w:val="004D5F73"/>
    <w:rsid w:val="004D6E24"/>
    <w:rsid w:val="004D7F6D"/>
    <w:rsid w:val="004E099B"/>
    <w:rsid w:val="004E2447"/>
    <w:rsid w:val="004E2EC3"/>
    <w:rsid w:val="004E395A"/>
    <w:rsid w:val="004F217E"/>
    <w:rsid w:val="004F39FD"/>
    <w:rsid w:val="004F457C"/>
    <w:rsid w:val="004F4903"/>
    <w:rsid w:val="004F4FE2"/>
    <w:rsid w:val="004F5415"/>
    <w:rsid w:val="004F6F5C"/>
    <w:rsid w:val="005011DD"/>
    <w:rsid w:val="005014ED"/>
    <w:rsid w:val="00502FEA"/>
    <w:rsid w:val="0050377A"/>
    <w:rsid w:val="005050DF"/>
    <w:rsid w:val="00513B5B"/>
    <w:rsid w:val="00517642"/>
    <w:rsid w:val="00523A1E"/>
    <w:rsid w:val="00523DEB"/>
    <w:rsid w:val="005241DC"/>
    <w:rsid w:val="005244A1"/>
    <w:rsid w:val="0052773E"/>
    <w:rsid w:val="00530641"/>
    <w:rsid w:val="00531455"/>
    <w:rsid w:val="005332DE"/>
    <w:rsid w:val="00534974"/>
    <w:rsid w:val="00534FC0"/>
    <w:rsid w:val="00535F38"/>
    <w:rsid w:val="005372A1"/>
    <w:rsid w:val="00540A9F"/>
    <w:rsid w:val="00541EC1"/>
    <w:rsid w:val="00542BC0"/>
    <w:rsid w:val="00544685"/>
    <w:rsid w:val="0054618F"/>
    <w:rsid w:val="00546E02"/>
    <w:rsid w:val="0054746B"/>
    <w:rsid w:val="00547997"/>
    <w:rsid w:val="005505E2"/>
    <w:rsid w:val="00552971"/>
    <w:rsid w:val="00553992"/>
    <w:rsid w:val="00554EAD"/>
    <w:rsid w:val="0055574B"/>
    <w:rsid w:val="005558AA"/>
    <w:rsid w:val="005567DC"/>
    <w:rsid w:val="005569BF"/>
    <w:rsid w:val="00556F23"/>
    <w:rsid w:val="00557D83"/>
    <w:rsid w:val="00560562"/>
    <w:rsid w:val="00561FB8"/>
    <w:rsid w:val="0056211E"/>
    <w:rsid w:val="005627B6"/>
    <w:rsid w:val="00563737"/>
    <w:rsid w:val="005640C6"/>
    <w:rsid w:val="00567C66"/>
    <w:rsid w:val="00567D24"/>
    <w:rsid w:val="00573968"/>
    <w:rsid w:val="00574483"/>
    <w:rsid w:val="00576E1B"/>
    <w:rsid w:val="00577DBB"/>
    <w:rsid w:val="00582794"/>
    <w:rsid w:val="0058432B"/>
    <w:rsid w:val="0058456B"/>
    <w:rsid w:val="005851C5"/>
    <w:rsid w:val="00585FAA"/>
    <w:rsid w:val="00586152"/>
    <w:rsid w:val="00586DEF"/>
    <w:rsid w:val="005937C3"/>
    <w:rsid w:val="00594131"/>
    <w:rsid w:val="005950EE"/>
    <w:rsid w:val="005957D5"/>
    <w:rsid w:val="005A117E"/>
    <w:rsid w:val="005A32D3"/>
    <w:rsid w:val="005A43CC"/>
    <w:rsid w:val="005A6F18"/>
    <w:rsid w:val="005B4CCC"/>
    <w:rsid w:val="005B5CAC"/>
    <w:rsid w:val="005B746C"/>
    <w:rsid w:val="005C1AC4"/>
    <w:rsid w:val="005C2789"/>
    <w:rsid w:val="005C44A8"/>
    <w:rsid w:val="005C660F"/>
    <w:rsid w:val="005C72D1"/>
    <w:rsid w:val="005D3138"/>
    <w:rsid w:val="005D4748"/>
    <w:rsid w:val="005D4E37"/>
    <w:rsid w:val="005D5240"/>
    <w:rsid w:val="005D740A"/>
    <w:rsid w:val="005E2420"/>
    <w:rsid w:val="005E32FD"/>
    <w:rsid w:val="005E5B9E"/>
    <w:rsid w:val="005E5BF9"/>
    <w:rsid w:val="005E6297"/>
    <w:rsid w:val="005E6770"/>
    <w:rsid w:val="005E6BF6"/>
    <w:rsid w:val="005F3860"/>
    <w:rsid w:val="005F45FE"/>
    <w:rsid w:val="005F6DE2"/>
    <w:rsid w:val="005F6EFF"/>
    <w:rsid w:val="0060120B"/>
    <w:rsid w:val="00603D08"/>
    <w:rsid w:val="006041DA"/>
    <w:rsid w:val="00606050"/>
    <w:rsid w:val="00607B8C"/>
    <w:rsid w:val="0061343B"/>
    <w:rsid w:val="006167A3"/>
    <w:rsid w:val="006170F7"/>
    <w:rsid w:val="006174EE"/>
    <w:rsid w:val="0062177E"/>
    <w:rsid w:val="00621975"/>
    <w:rsid w:val="006238BE"/>
    <w:rsid w:val="00625A55"/>
    <w:rsid w:val="0063059D"/>
    <w:rsid w:val="00633492"/>
    <w:rsid w:val="00633E8A"/>
    <w:rsid w:val="00637907"/>
    <w:rsid w:val="006427CA"/>
    <w:rsid w:val="006433A6"/>
    <w:rsid w:val="0064508C"/>
    <w:rsid w:val="00645D2D"/>
    <w:rsid w:val="00645D32"/>
    <w:rsid w:val="006475AF"/>
    <w:rsid w:val="006530A7"/>
    <w:rsid w:val="00656A8C"/>
    <w:rsid w:val="00660CCC"/>
    <w:rsid w:val="0066250E"/>
    <w:rsid w:val="00662FCC"/>
    <w:rsid w:val="00670503"/>
    <w:rsid w:val="00670FAA"/>
    <w:rsid w:val="006711A8"/>
    <w:rsid w:val="006742FC"/>
    <w:rsid w:val="00674662"/>
    <w:rsid w:val="00680418"/>
    <w:rsid w:val="00681BA6"/>
    <w:rsid w:val="00682AA8"/>
    <w:rsid w:val="006838C8"/>
    <w:rsid w:val="006843B7"/>
    <w:rsid w:val="00684EFB"/>
    <w:rsid w:val="006861A1"/>
    <w:rsid w:val="006865B8"/>
    <w:rsid w:val="006866E4"/>
    <w:rsid w:val="00687FBB"/>
    <w:rsid w:val="0069239A"/>
    <w:rsid w:val="00696E6F"/>
    <w:rsid w:val="00696EDB"/>
    <w:rsid w:val="00696F90"/>
    <w:rsid w:val="006A233E"/>
    <w:rsid w:val="006A78A4"/>
    <w:rsid w:val="006B280D"/>
    <w:rsid w:val="006B3230"/>
    <w:rsid w:val="006B5562"/>
    <w:rsid w:val="006B5C20"/>
    <w:rsid w:val="006B5E03"/>
    <w:rsid w:val="006B65D0"/>
    <w:rsid w:val="006C459B"/>
    <w:rsid w:val="006C5351"/>
    <w:rsid w:val="006C6B57"/>
    <w:rsid w:val="006C706B"/>
    <w:rsid w:val="006D44BA"/>
    <w:rsid w:val="006E440E"/>
    <w:rsid w:val="006E5C3B"/>
    <w:rsid w:val="006E6079"/>
    <w:rsid w:val="006F0C47"/>
    <w:rsid w:val="006F3EAF"/>
    <w:rsid w:val="006F43BD"/>
    <w:rsid w:val="006F7872"/>
    <w:rsid w:val="0070194B"/>
    <w:rsid w:val="007027AA"/>
    <w:rsid w:val="00704A0F"/>
    <w:rsid w:val="00704B43"/>
    <w:rsid w:val="00706F47"/>
    <w:rsid w:val="0071163D"/>
    <w:rsid w:val="00715AB3"/>
    <w:rsid w:val="00720DD8"/>
    <w:rsid w:val="00722648"/>
    <w:rsid w:val="00723861"/>
    <w:rsid w:val="007240C2"/>
    <w:rsid w:val="00725ADA"/>
    <w:rsid w:val="00736492"/>
    <w:rsid w:val="007366BB"/>
    <w:rsid w:val="0073795D"/>
    <w:rsid w:val="00740CCD"/>
    <w:rsid w:val="00741E58"/>
    <w:rsid w:val="00742E9A"/>
    <w:rsid w:val="00743717"/>
    <w:rsid w:val="00743B49"/>
    <w:rsid w:val="007506D3"/>
    <w:rsid w:val="00750E9E"/>
    <w:rsid w:val="007520DA"/>
    <w:rsid w:val="00753FCF"/>
    <w:rsid w:val="00754D4A"/>
    <w:rsid w:val="007558F3"/>
    <w:rsid w:val="00756AE5"/>
    <w:rsid w:val="0075700F"/>
    <w:rsid w:val="007604E6"/>
    <w:rsid w:val="00760509"/>
    <w:rsid w:val="00761D66"/>
    <w:rsid w:val="00761EF0"/>
    <w:rsid w:val="00765401"/>
    <w:rsid w:val="00765C0F"/>
    <w:rsid w:val="0076752A"/>
    <w:rsid w:val="007802FA"/>
    <w:rsid w:val="00780892"/>
    <w:rsid w:val="007817DA"/>
    <w:rsid w:val="00784180"/>
    <w:rsid w:val="00785E7D"/>
    <w:rsid w:val="00787E1B"/>
    <w:rsid w:val="0079297C"/>
    <w:rsid w:val="00793AA8"/>
    <w:rsid w:val="0079468C"/>
    <w:rsid w:val="00794BA7"/>
    <w:rsid w:val="00795CC0"/>
    <w:rsid w:val="0079632B"/>
    <w:rsid w:val="00796AE0"/>
    <w:rsid w:val="007A1488"/>
    <w:rsid w:val="007A23C7"/>
    <w:rsid w:val="007A43C8"/>
    <w:rsid w:val="007A4A48"/>
    <w:rsid w:val="007A6E91"/>
    <w:rsid w:val="007A7600"/>
    <w:rsid w:val="007A7659"/>
    <w:rsid w:val="007B0564"/>
    <w:rsid w:val="007B1C29"/>
    <w:rsid w:val="007B4459"/>
    <w:rsid w:val="007B50A1"/>
    <w:rsid w:val="007B5414"/>
    <w:rsid w:val="007B5ADB"/>
    <w:rsid w:val="007B5C32"/>
    <w:rsid w:val="007C1E80"/>
    <w:rsid w:val="007C2137"/>
    <w:rsid w:val="007C32F5"/>
    <w:rsid w:val="007C3498"/>
    <w:rsid w:val="007C38D5"/>
    <w:rsid w:val="007C41CB"/>
    <w:rsid w:val="007C4A6E"/>
    <w:rsid w:val="007C5F5D"/>
    <w:rsid w:val="007C6A0B"/>
    <w:rsid w:val="007C7828"/>
    <w:rsid w:val="007D078F"/>
    <w:rsid w:val="007D100B"/>
    <w:rsid w:val="007D2C42"/>
    <w:rsid w:val="007D3F25"/>
    <w:rsid w:val="007D5FA7"/>
    <w:rsid w:val="007E0CED"/>
    <w:rsid w:val="007E1DEF"/>
    <w:rsid w:val="007F0A15"/>
    <w:rsid w:val="007F1110"/>
    <w:rsid w:val="007F16D8"/>
    <w:rsid w:val="007F1B66"/>
    <w:rsid w:val="007F3781"/>
    <w:rsid w:val="00801981"/>
    <w:rsid w:val="00802DCD"/>
    <w:rsid w:val="00802E6A"/>
    <w:rsid w:val="008046BF"/>
    <w:rsid w:val="00810960"/>
    <w:rsid w:val="00810B26"/>
    <w:rsid w:val="008110B8"/>
    <w:rsid w:val="0081229A"/>
    <w:rsid w:val="00812F39"/>
    <w:rsid w:val="00815979"/>
    <w:rsid w:val="00816D9B"/>
    <w:rsid w:val="00817484"/>
    <w:rsid w:val="008178EA"/>
    <w:rsid w:val="00821545"/>
    <w:rsid w:val="00824CAE"/>
    <w:rsid w:val="00827B12"/>
    <w:rsid w:val="00831075"/>
    <w:rsid w:val="00831B22"/>
    <w:rsid w:val="00833D68"/>
    <w:rsid w:val="0083622F"/>
    <w:rsid w:val="008422C6"/>
    <w:rsid w:val="00842809"/>
    <w:rsid w:val="00843156"/>
    <w:rsid w:val="008464A4"/>
    <w:rsid w:val="008477EB"/>
    <w:rsid w:val="00847834"/>
    <w:rsid w:val="0085066C"/>
    <w:rsid w:val="00852567"/>
    <w:rsid w:val="00854CB2"/>
    <w:rsid w:val="008559C5"/>
    <w:rsid w:val="00857E2C"/>
    <w:rsid w:val="00860672"/>
    <w:rsid w:val="00860715"/>
    <w:rsid w:val="00861101"/>
    <w:rsid w:val="00862BC8"/>
    <w:rsid w:val="0086361A"/>
    <w:rsid w:val="00871B83"/>
    <w:rsid w:val="00872D4E"/>
    <w:rsid w:val="00873C6F"/>
    <w:rsid w:val="00876FC6"/>
    <w:rsid w:val="0087758D"/>
    <w:rsid w:val="00880174"/>
    <w:rsid w:val="008813D6"/>
    <w:rsid w:val="008820BA"/>
    <w:rsid w:val="008846C6"/>
    <w:rsid w:val="008850A9"/>
    <w:rsid w:val="00885DF3"/>
    <w:rsid w:val="0088654B"/>
    <w:rsid w:val="0088717F"/>
    <w:rsid w:val="00890BD1"/>
    <w:rsid w:val="00891DC8"/>
    <w:rsid w:val="008924F0"/>
    <w:rsid w:val="00894E17"/>
    <w:rsid w:val="008954A1"/>
    <w:rsid w:val="0089634F"/>
    <w:rsid w:val="008969FE"/>
    <w:rsid w:val="008A1027"/>
    <w:rsid w:val="008A53EC"/>
    <w:rsid w:val="008A5678"/>
    <w:rsid w:val="008A5E8F"/>
    <w:rsid w:val="008A73E8"/>
    <w:rsid w:val="008B01C0"/>
    <w:rsid w:val="008B2083"/>
    <w:rsid w:val="008B2715"/>
    <w:rsid w:val="008B30B5"/>
    <w:rsid w:val="008B4A39"/>
    <w:rsid w:val="008B697B"/>
    <w:rsid w:val="008C201F"/>
    <w:rsid w:val="008C326F"/>
    <w:rsid w:val="008C32A9"/>
    <w:rsid w:val="008C4BDD"/>
    <w:rsid w:val="008C6EDB"/>
    <w:rsid w:val="008D242F"/>
    <w:rsid w:val="008D2EBD"/>
    <w:rsid w:val="008D3B9F"/>
    <w:rsid w:val="008D3C48"/>
    <w:rsid w:val="008D53BD"/>
    <w:rsid w:val="008D6281"/>
    <w:rsid w:val="008E0988"/>
    <w:rsid w:val="008E1A1A"/>
    <w:rsid w:val="008E2605"/>
    <w:rsid w:val="008E4057"/>
    <w:rsid w:val="008E443B"/>
    <w:rsid w:val="008E6AE6"/>
    <w:rsid w:val="008F018A"/>
    <w:rsid w:val="008F0501"/>
    <w:rsid w:val="008F1974"/>
    <w:rsid w:val="008F2C1E"/>
    <w:rsid w:val="008F39C3"/>
    <w:rsid w:val="009041F4"/>
    <w:rsid w:val="0090529A"/>
    <w:rsid w:val="00905D67"/>
    <w:rsid w:val="00905F6B"/>
    <w:rsid w:val="0090767F"/>
    <w:rsid w:val="009078D6"/>
    <w:rsid w:val="00910FD4"/>
    <w:rsid w:val="009116D5"/>
    <w:rsid w:val="00923467"/>
    <w:rsid w:val="00926CC7"/>
    <w:rsid w:val="009335B1"/>
    <w:rsid w:val="009412EA"/>
    <w:rsid w:val="00941D38"/>
    <w:rsid w:val="00947667"/>
    <w:rsid w:val="00953E99"/>
    <w:rsid w:val="0095788C"/>
    <w:rsid w:val="00957CB3"/>
    <w:rsid w:val="00960AF8"/>
    <w:rsid w:val="00961AC8"/>
    <w:rsid w:val="009628B3"/>
    <w:rsid w:val="00963D18"/>
    <w:rsid w:val="0096501B"/>
    <w:rsid w:val="0096565E"/>
    <w:rsid w:val="0096713D"/>
    <w:rsid w:val="00967D31"/>
    <w:rsid w:val="0097008D"/>
    <w:rsid w:val="009711B9"/>
    <w:rsid w:val="0097246E"/>
    <w:rsid w:val="00972653"/>
    <w:rsid w:val="009729D5"/>
    <w:rsid w:val="00976B40"/>
    <w:rsid w:val="00977545"/>
    <w:rsid w:val="00977712"/>
    <w:rsid w:val="00986779"/>
    <w:rsid w:val="00987A22"/>
    <w:rsid w:val="00987B2E"/>
    <w:rsid w:val="00987C86"/>
    <w:rsid w:val="0099170E"/>
    <w:rsid w:val="009919B4"/>
    <w:rsid w:val="00992AA1"/>
    <w:rsid w:val="0099342D"/>
    <w:rsid w:val="00995C3F"/>
    <w:rsid w:val="00997E2B"/>
    <w:rsid w:val="009A036B"/>
    <w:rsid w:val="009A049D"/>
    <w:rsid w:val="009A2E5A"/>
    <w:rsid w:val="009A3314"/>
    <w:rsid w:val="009A6A4D"/>
    <w:rsid w:val="009A6C4E"/>
    <w:rsid w:val="009A6F8F"/>
    <w:rsid w:val="009A7188"/>
    <w:rsid w:val="009B0B0F"/>
    <w:rsid w:val="009B2470"/>
    <w:rsid w:val="009B53FA"/>
    <w:rsid w:val="009C0571"/>
    <w:rsid w:val="009C325E"/>
    <w:rsid w:val="009C3BEE"/>
    <w:rsid w:val="009C4FC8"/>
    <w:rsid w:val="009D1FD7"/>
    <w:rsid w:val="009D482F"/>
    <w:rsid w:val="009D4A5E"/>
    <w:rsid w:val="009D4A67"/>
    <w:rsid w:val="009D5BC2"/>
    <w:rsid w:val="009D60BE"/>
    <w:rsid w:val="009D7258"/>
    <w:rsid w:val="009E27A0"/>
    <w:rsid w:val="009E27D0"/>
    <w:rsid w:val="009E4049"/>
    <w:rsid w:val="009E4339"/>
    <w:rsid w:val="009E53B8"/>
    <w:rsid w:val="009E7889"/>
    <w:rsid w:val="009F23CB"/>
    <w:rsid w:val="009F2FB0"/>
    <w:rsid w:val="009F3C4D"/>
    <w:rsid w:val="009F4830"/>
    <w:rsid w:val="009F7C0A"/>
    <w:rsid w:val="00A00996"/>
    <w:rsid w:val="00A04963"/>
    <w:rsid w:val="00A06029"/>
    <w:rsid w:val="00A072F8"/>
    <w:rsid w:val="00A07E84"/>
    <w:rsid w:val="00A12659"/>
    <w:rsid w:val="00A14F68"/>
    <w:rsid w:val="00A155F6"/>
    <w:rsid w:val="00A20BA8"/>
    <w:rsid w:val="00A27930"/>
    <w:rsid w:val="00A279D0"/>
    <w:rsid w:val="00A30143"/>
    <w:rsid w:val="00A3053B"/>
    <w:rsid w:val="00A316E4"/>
    <w:rsid w:val="00A33326"/>
    <w:rsid w:val="00A33F1B"/>
    <w:rsid w:val="00A3414F"/>
    <w:rsid w:val="00A346AD"/>
    <w:rsid w:val="00A36412"/>
    <w:rsid w:val="00A36434"/>
    <w:rsid w:val="00A4048D"/>
    <w:rsid w:val="00A427A0"/>
    <w:rsid w:val="00A43DF6"/>
    <w:rsid w:val="00A50012"/>
    <w:rsid w:val="00A504DA"/>
    <w:rsid w:val="00A53025"/>
    <w:rsid w:val="00A610AE"/>
    <w:rsid w:val="00A64D02"/>
    <w:rsid w:val="00A66223"/>
    <w:rsid w:val="00A71D02"/>
    <w:rsid w:val="00A72461"/>
    <w:rsid w:val="00A7368A"/>
    <w:rsid w:val="00A757C1"/>
    <w:rsid w:val="00A7654F"/>
    <w:rsid w:val="00A77680"/>
    <w:rsid w:val="00A77864"/>
    <w:rsid w:val="00A77C56"/>
    <w:rsid w:val="00A81E91"/>
    <w:rsid w:val="00A81EE6"/>
    <w:rsid w:val="00A821A4"/>
    <w:rsid w:val="00A856A1"/>
    <w:rsid w:val="00A87193"/>
    <w:rsid w:val="00A90304"/>
    <w:rsid w:val="00A910D6"/>
    <w:rsid w:val="00A916CD"/>
    <w:rsid w:val="00A9384B"/>
    <w:rsid w:val="00A94AAC"/>
    <w:rsid w:val="00A96C8B"/>
    <w:rsid w:val="00AA10B1"/>
    <w:rsid w:val="00AA180D"/>
    <w:rsid w:val="00AA402B"/>
    <w:rsid w:val="00AA50EB"/>
    <w:rsid w:val="00AA6000"/>
    <w:rsid w:val="00AA7A78"/>
    <w:rsid w:val="00AB0F5C"/>
    <w:rsid w:val="00AB21E3"/>
    <w:rsid w:val="00AB3893"/>
    <w:rsid w:val="00AB4E8B"/>
    <w:rsid w:val="00AB566E"/>
    <w:rsid w:val="00AB582E"/>
    <w:rsid w:val="00AB650E"/>
    <w:rsid w:val="00AC4275"/>
    <w:rsid w:val="00AC559E"/>
    <w:rsid w:val="00AC5D56"/>
    <w:rsid w:val="00AC622D"/>
    <w:rsid w:val="00AC7BCD"/>
    <w:rsid w:val="00AD032C"/>
    <w:rsid w:val="00AD18D1"/>
    <w:rsid w:val="00AD2ADD"/>
    <w:rsid w:val="00AD3B95"/>
    <w:rsid w:val="00AD5542"/>
    <w:rsid w:val="00AD59D7"/>
    <w:rsid w:val="00AE0E61"/>
    <w:rsid w:val="00AE3B30"/>
    <w:rsid w:val="00AE3D97"/>
    <w:rsid w:val="00AE42C3"/>
    <w:rsid w:val="00AE4605"/>
    <w:rsid w:val="00AE693E"/>
    <w:rsid w:val="00AE75E4"/>
    <w:rsid w:val="00AF39A2"/>
    <w:rsid w:val="00AF4493"/>
    <w:rsid w:val="00AF49A9"/>
    <w:rsid w:val="00AF5BB1"/>
    <w:rsid w:val="00AF64A0"/>
    <w:rsid w:val="00B0195D"/>
    <w:rsid w:val="00B04E1B"/>
    <w:rsid w:val="00B057EF"/>
    <w:rsid w:val="00B060D3"/>
    <w:rsid w:val="00B063AA"/>
    <w:rsid w:val="00B11C5B"/>
    <w:rsid w:val="00B13CEB"/>
    <w:rsid w:val="00B16807"/>
    <w:rsid w:val="00B203A7"/>
    <w:rsid w:val="00B22AE6"/>
    <w:rsid w:val="00B23721"/>
    <w:rsid w:val="00B23CB1"/>
    <w:rsid w:val="00B262D9"/>
    <w:rsid w:val="00B2756B"/>
    <w:rsid w:val="00B301AD"/>
    <w:rsid w:val="00B30AE6"/>
    <w:rsid w:val="00B30C51"/>
    <w:rsid w:val="00B3111C"/>
    <w:rsid w:val="00B339AB"/>
    <w:rsid w:val="00B3565F"/>
    <w:rsid w:val="00B3654D"/>
    <w:rsid w:val="00B365A3"/>
    <w:rsid w:val="00B37A59"/>
    <w:rsid w:val="00B411F7"/>
    <w:rsid w:val="00B43B78"/>
    <w:rsid w:val="00B4782F"/>
    <w:rsid w:val="00B51F90"/>
    <w:rsid w:val="00B520EF"/>
    <w:rsid w:val="00B5614C"/>
    <w:rsid w:val="00B5782C"/>
    <w:rsid w:val="00B579F2"/>
    <w:rsid w:val="00B6228B"/>
    <w:rsid w:val="00B62BF3"/>
    <w:rsid w:val="00B63579"/>
    <w:rsid w:val="00B63707"/>
    <w:rsid w:val="00B648E5"/>
    <w:rsid w:val="00B65AA6"/>
    <w:rsid w:val="00B7382D"/>
    <w:rsid w:val="00B86F3D"/>
    <w:rsid w:val="00B871C7"/>
    <w:rsid w:val="00B87742"/>
    <w:rsid w:val="00B920E5"/>
    <w:rsid w:val="00B922E4"/>
    <w:rsid w:val="00B92720"/>
    <w:rsid w:val="00B936EB"/>
    <w:rsid w:val="00B93BC1"/>
    <w:rsid w:val="00B93C2C"/>
    <w:rsid w:val="00B941BE"/>
    <w:rsid w:val="00B94309"/>
    <w:rsid w:val="00B94C22"/>
    <w:rsid w:val="00B973B2"/>
    <w:rsid w:val="00BA1217"/>
    <w:rsid w:val="00BA1D23"/>
    <w:rsid w:val="00BA345C"/>
    <w:rsid w:val="00BA354C"/>
    <w:rsid w:val="00BA47AA"/>
    <w:rsid w:val="00BA48FA"/>
    <w:rsid w:val="00BA7F24"/>
    <w:rsid w:val="00BB073A"/>
    <w:rsid w:val="00BB0B6C"/>
    <w:rsid w:val="00BB0D6F"/>
    <w:rsid w:val="00BB5C9D"/>
    <w:rsid w:val="00BB7FD6"/>
    <w:rsid w:val="00BC0E87"/>
    <w:rsid w:val="00BC0F66"/>
    <w:rsid w:val="00BC19F7"/>
    <w:rsid w:val="00BC2EC9"/>
    <w:rsid w:val="00BC3415"/>
    <w:rsid w:val="00BC4143"/>
    <w:rsid w:val="00BC68E9"/>
    <w:rsid w:val="00BD0B08"/>
    <w:rsid w:val="00BD0CDD"/>
    <w:rsid w:val="00BD0EF1"/>
    <w:rsid w:val="00BD2A37"/>
    <w:rsid w:val="00BE0982"/>
    <w:rsid w:val="00BE1108"/>
    <w:rsid w:val="00BE1FC0"/>
    <w:rsid w:val="00BE2037"/>
    <w:rsid w:val="00BE2C1A"/>
    <w:rsid w:val="00BE338F"/>
    <w:rsid w:val="00BE36CE"/>
    <w:rsid w:val="00BE521D"/>
    <w:rsid w:val="00BE5502"/>
    <w:rsid w:val="00BE6612"/>
    <w:rsid w:val="00BE7D68"/>
    <w:rsid w:val="00BF1D76"/>
    <w:rsid w:val="00BF1EC1"/>
    <w:rsid w:val="00BF3B55"/>
    <w:rsid w:val="00BF57E6"/>
    <w:rsid w:val="00C0113D"/>
    <w:rsid w:val="00C014FB"/>
    <w:rsid w:val="00C01D6D"/>
    <w:rsid w:val="00C03BE5"/>
    <w:rsid w:val="00C06BE2"/>
    <w:rsid w:val="00C10184"/>
    <w:rsid w:val="00C113EE"/>
    <w:rsid w:val="00C115DE"/>
    <w:rsid w:val="00C13307"/>
    <w:rsid w:val="00C172C0"/>
    <w:rsid w:val="00C17902"/>
    <w:rsid w:val="00C20C5B"/>
    <w:rsid w:val="00C211E4"/>
    <w:rsid w:val="00C236D3"/>
    <w:rsid w:val="00C24E59"/>
    <w:rsid w:val="00C31157"/>
    <w:rsid w:val="00C32CB4"/>
    <w:rsid w:val="00C33EA5"/>
    <w:rsid w:val="00C36693"/>
    <w:rsid w:val="00C36F19"/>
    <w:rsid w:val="00C373C1"/>
    <w:rsid w:val="00C37999"/>
    <w:rsid w:val="00C40883"/>
    <w:rsid w:val="00C41DB0"/>
    <w:rsid w:val="00C430B9"/>
    <w:rsid w:val="00C43734"/>
    <w:rsid w:val="00C439D1"/>
    <w:rsid w:val="00C45D79"/>
    <w:rsid w:val="00C45F98"/>
    <w:rsid w:val="00C46EAE"/>
    <w:rsid w:val="00C51251"/>
    <w:rsid w:val="00C54586"/>
    <w:rsid w:val="00C5513F"/>
    <w:rsid w:val="00C55B77"/>
    <w:rsid w:val="00C57454"/>
    <w:rsid w:val="00C57BB8"/>
    <w:rsid w:val="00C60126"/>
    <w:rsid w:val="00C6151B"/>
    <w:rsid w:val="00C61E56"/>
    <w:rsid w:val="00C6223B"/>
    <w:rsid w:val="00C6248B"/>
    <w:rsid w:val="00C63883"/>
    <w:rsid w:val="00C63CCA"/>
    <w:rsid w:val="00C63DFA"/>
    <w:rsid w:val="00C63EFF"/>
    <w:rsid w:val="00C65C99"/>
    <w:rsid w:val="00C66A99"/>
    <w:rsid w:val="00C66D47"/>
    <w:rsid w:val="00C67328"/>
    <w:rsid w:val="00C67C70"/>
    <w:rsid w:val="00C7041E"/>
    <w:rsid w:val="00C73663"/>
    <w:rsid w:val="00C750E4"/>
    <w:rsid w:val="00C76E88"/>
    <w:rsid w:val="00C80E78"/>
    <w:rsid w:val="00C8260E"/>
    <w:rsid w:val="00C83C18"/>
    <w:rsid w:val="00C8518B"/>
    <w:rsid w:val="00C862A2"/>
    <w:rsid w:val="00C9046E"/>
    <w:rsid w:val="00C90CC6"/>
    <w:rsid w:val="00C91387"/>
    <w:rsid w:val="00C923AF"/>
    <w:rsid w:val="00C9386E"/>
    <w:rsid w:val="00C944A7"/>
    <w:rsid w:val="00C94CA4"/>
    <w:rsid w:val="00C9693C"/>
    <w:rsid w:val="00C978AD"/>
    <w:rsid w:val="00CA12E6"/>
    <w:rsid w:val="00CA22D8"/>
    <w:rsid w:val="00CA7303"/>
    <w:rsid w:val="00CA7E57"/>
    <w:rsid w:val="00CB0160"/>
    <w:rsid w:val="00CB06B5"/>
    <w:rsid w:val="00CB1430"/>
    <w:rsid w:val="00CB1613"/>
    <w:rsid w:val="00CB19FA"/>
    <w:rsid w:val="00CB1AA0"/>
    <w:rsid w:val="00CB1BDB"/>
    <w:rsid w:val="00CB4272"/>
    <w:rsid w:val="00CB48B9"/>
    <w:rsid w:val="00CB5D45"/>
    <w:rsid w:val="00CB6731"/>
    <w:rsid w:val="00CC0135"/>
    <w:rsid w:val="00CC06F8"/>
    <w:rsid w:val="00CC0795"/>
    <w:rsid w:val="00CC1B5C"/>
    <w:rsid w:val="00CC269B"/>
    <w:rsid w:val="00CC3185"/>
    <w:rsid w:val="00CC4BDB"/>
    <w:rsid w:val="00CC77EC"/>
    <w:rsid w:val="00CD0BE3"/>
    <w:rsid w:val="00CD29F4"/>
    <w:rsid w:val="00CD3E48"/>
    <w:rsid w:val="00CD55F5"/>
    <w:rsid w:val="00CD5EE8"/>
    <w:rsid w:val="00CE19D0"/>
    <w:rsid w:val="00CE50A3"/>
    <w:rsid w:val="00CE6D0B"/>
    <w:rsid w:val="00CF0232"/>
    <w:rsid w:val="00CF2284"/>
    <w:rsid w:val="00CF3AA6"/>
    <w:rsid w:val="00CF7C80"/>
    <w:rsid w:val="00CF7F16"/>
    <w:rsid w:val="00D008D6"/>
    <w:rsid w:val="00D02157"/>
    <w:rsid w:val="00D035CD"/>
    <w:rsid w:val="00D10943"/>
    <w:rsid w:val="00D13B05"/>
    <w:rsid w:val="00D172CE"/>
    <w:rsid w:val="00D17F85"/>
    <w:rsid w:val="00D2165D"/>
    <w:rsid w:val="00D23A83"/>
    <w:rsid w:val="00D24101"/>
    <w:rsid w:val="00D24240"/>
    <w:rsid w:val="00D24CC7"/>
    <w:rsid w:val="00D25AC0"/>
    <w:rsid w:val="00D308BD"/>
    <w:rsid w:val="00D30963"/>
    <w:rsid w:val="00D313CA"/>
    <w:rsid w:val="00D33059"/>
    <w:rsid w:val="00D37A27"/>
    <w:rsid w:val="00D41D2E"/>
    <w:rsid w:val="00D42FF5"/>
    <w:rsid w:val="00D442B1"/>
    <w:rsid w:val="00D45C84"/>
    <w:rsid w:val="00D4676D"/>
    <w:rsid w:val="00D46F91"/>
    <w:rsid w:val="00D5081F"/>
    <w:rsid w:val="00D540AB"/>
    <w:rsid w:val="00D54175"/>
    <w:rsid w:val="00D630F4"/>
    <w:rsid w:val="00D644F4"/>
    <w:rsid w:val="00D65EBE"/>
    <w:rsid w:val="00D6649F"/>
    <w:rsid w:val="00D66933"/>
    <w:rsid w:val="00D67F2B"/>
    <w:rsid w:val="00D70410"/>
    <w:rsid w:val="00D72929"/>
    <w:rsid w:val="00D72956"/>
    <w:rsid w:val="00D7475F"/>
    <w:rsid w:val="00D74929"/>
    <w:rsid w:val="00D74B90"/>
    <w:rsid w:val="00D769AD"/>
    <w:rsid w:val="00D81D59"/>
    <w:rsid w:val="00D82A02"/>
    <w:rsid w:val="00D900E2"/>
    <w:rsid w:val="00D90399"/>
    <w:rsid w:val="00D9649B"/>
    <w:rsid w:val="00D96BE3"/>
    <w:rsid w:val="00DA20E2"/>
    <w:rsid w:val="00DA4BA3"/>
    <w:rsid w:val="00DA55B2"/>
    <w:rsid w:val="00DA5F6A"/>
    <w:rsid w:val="00DA70D7"/>
    <w:rsid w:val="00DB39F3"/>
    <w:rsid w:val="00DC24DE"/>
    <w:rsid w:val="00DC2D1E"/>
    <w:rsid w:val="00DC40DD"/>
    <w:rsid w:val="00DC41E9"/>
    <w:rsid w:val="00DC4F64"/>
    <w:rsid w:val="00DC60B5"/>
    <w:rsid w:val="00DC6A0D"/>
    <w:rsid w:val="00DC7033"/>
    <w:rsid w:val="00DC7C1B"/>
    <w:rsid w:val="00DD44DC"/>
    <w:rsid w:val="00DD59F6"/>
    <w:rsid w:val="00DD61CD"/>
    <w:rsid w:val="00DD65DC"/>
    <w:rsid w:val="00DE4625"/>
    <w:rsid w:val="00DE7D5C"/>
    <w:rsid w:val="00DF259E"/>
    <w:rsid w:val="00DF32E9"/>
    <w:rsid w:val="00DF3322"/>
    <w:rsid w:val="00DF67A6"/>
    <w:rsid w:val="00DF721C"/>
    <w:rsid w:val="00E00B13"/>
    <w:rsid w:val="00E00DE0"/>
    <w:rsid w:val="00E010C1"/>
    <w:rsid w:val="00E033A4"/>
    <w:rsid w:val="00E04179"/>
    <w:rsid w:val="00E0506A"/>
    <w:rsid w:val="00E0513D"/>
    <w:rsid w:val="00E1093A"/>
    <w:rsid w:val="00E11F01"/>
    <w:rsid w:val="00E126F1"/>
    <w:rsid w:val="00E12B6C"/>
    <w:rsid w:val="00E13538"/>
    <w:rsid w:val="00E154AE"/>
    <w:rsid w:val="00E206AE"/>
    <w:rsid w:val="00E20C63"/>
    <w:rsid w:val="00E2248D"/>
    <w:rsid w:val="00E22C62"/>
    <w:rsid w:val="00E24688"/>
    <w:rsid w:val="00E27D77"/>
    <w:rsid w:val="00E307F7"/>
    <w:rsid w:val="00E32816"/>
    <w:rsid w:val="00E33268"/>
    <w:rsid w:val="00E33269"/>
    <w:rsid w:val="00E34F67"/>
    <w:rsid w:val="00E43B57"/>
    <w:rsid w:val="00E46918"/>
    <w:rsid w:val="00E46F4B"/>
    <w:rsid w:val="00E4733B"/>
    <w:rsid w:val="00E50137"/>
    <w:rsid w:val="00E53AE6"/>
    <w:rsid w:val="00E540A9"/>
    <w:rsid w:val="00E561B2"/>
    <w:rsid w:val="00E564E8"/>
    <w:rsid w:val="00E578D3"/>
    <w:rsid w:val="00E65A14"/>
    <w:rsid w:val="00E67177"/>
    <w:rsid w:val="00E718F2"/>
    <w:rsid w:val="00E75446"/>
    <w:rsid w:val="00E75939"/>
    <w:rsid w:val="00E769FF"/>
    <w:rsid w:val="00E772DB"/>
    <w:rsid w:val="00E77C86"/>
    <w:rsid w:val="00E80F62"/>
    <w:rsid w:val="00E852AF"/>
    <w:rsid w:val="00E86C42"/>
    <w:rsid w:val="00E873AE"/>
    <w:rsid w:val="00E917B1"/>
    <w:rsid w:val="00E92C49"/>
    <w:rsid w:val="00E9356C"/>
    <w:rsid w:val="00E93DD4"/>
    <w:rsid w:val="00E97AD2"/>
    <w:rsid w:val="00EA5E24"/>
    <w:rsid w:val="00EA6541"/>
    <w:rsid w:val="00EA7E62"/>
    <w:rsid w:val="00EA7EE1"/>
    <w:rsid w:val="00EA7FD9"/>
    <w:rsid w:val="00EB20FF"/>
    <w:rsid w:val="00EB2BCF"/>
    <w:rsid w:val="00EB45D0"/>
    <w:rsid w:val="00EB5E3A"/>
    <w:rsid w:val="00EB78A9"/>
    <w:rsid w:val="00EC2CEB"/>
    <w:rsid w:val="00EC7952"/>
    <w:rsid w:val="00ED0000"/>
    <w:rsid w:val="00ED1909"/>
    <w:rsid w:val="00ED363D"/>
    <w:rsid w:val="00ED5934"/>
    <w:rsid w:val="00ED5AC9"/>
    <w:rsid w:val="00ED74B9"/>
    <w:rsid w:val="00EE0CD1"/>
    <w:rsid w:val="00EE306D"/>
    <w:rsid w:val="00EE3579"/>
    <w:rsid w:val="00EE62C2"/>
    <w:rsid w:val="00EE753C"/>
    <w:rsid w:val="00EF0418"/>
    <w:rsid w:val="00EF048B"/>
    <w:rsid w:val="00EF52D5"/>
    <w:rsid w:val="00EF578B"/>
    <w:rsid w:val="00EF6558"/>
    <w:rsid w:val="00EF6878"/>
    <w:rsid w:val="00EF763E"/>
    <w:rsid w:val="00F00A94"/>
    <w:rsid w:val="00F03234"/>
    <w:rsid w:val="00F06077"/>
    <w:rsid w:val="00F07A36"/>
    <w:rsid w:val="00F12DBE"/>
    <w:rsid w:val="00F13028"/>
    <w:rsid w:val="00F148F6"/>
    <w:rsid w:val="00F17ACE"/>
    <w:rsid w:val="00F206EF"/>
    <w:rsid w:val="00F217F8"/>
    <w:rsid w:val="00F22030"/>
    <w:rsid w:val="00F24348"/>
    <w:rsid w:val="00F2611C"/>
    <w:rsid w:val="00F26C5A"/>
    <w:rsid w:val="00F26F31"/>
    <w:rsid w:val="00F275CB"/>
    <w:rsid w:val="00F278DA"/>
    <w:rsid w:val="00F30730"/>
    <w:rsid w:val="00F31515"/>
    <w:rsid w:val="00F369A7"/>
    <w:rsid w:val="00F37052"/>
    <w:rsid w:val="00F408BA"/>
    <w:rsid w:val="00F42D84"/>
    <w:rsid w:val="00F444FD"/>
    <w:rsid w:val="00F45B51"/>
    <w:rsid w:val="00F506C9"/>
    <w:rsid w:val="00F50C75"/>
    <w:rsid w:val="00F52311"/>
    <w:rsid w:val="00F54484"/>
    <w:rsid w:val="00F545D0"/>
    <w:rsid w:val="00F548B9"/>
    <w:rsid w:val="00F55F73"/>
    <w:rsid w:val="00F5635C"/>
    <w:rsid w:val="00F568D7"/>
    <w:rsid w:val="00F62DA8"/>
    <w:rsid w:val="00F65133"/>
    <w:rsid w:val="00F6572F"/>
    <w:rsid w:val="00F65FBF"/>
    <w:rsid w:val="00F66282"/>
    <w:rsid w:val="00F72214"/>
    <w:rsid w:val="00F73E0B"/>
    <w:rsid w:val="00F74B0F"/>
    <w:rsid w:val="00F75E74"/>
    <w:rsid w:val="00F760E3"/>
    <w:rsid w:val="00F76A4F"/>
    <w:rsid w:val="00F77945"/>
    <w:rsid w:val="00F8464C"/>
    <w:rsid w:val="00F91D22"/>
    <w:rsid w:val="00F91E76"/>
    <w:rsid w:val="00F93E30"/>
    <w:rsid w:val="00F941DC"/>
    <w:rsid w:val="00F94E06"/>
    <w:rsid w:val="00F97491"/>
    <w:rsid w:val="00F979D1"/>
    <w:rsid w:val="00FA0043"/>
    <w:rsid w:val="00FA1709"/>
    <w:rsid w:val="00FA2D5A"/>
    <w:rsid w:val="00FA2D7A"/>
    <w:rsid w:val="00FA3097"/>
    <w:rsid w:val="00FA32AE"/>
    <w:rsid w:val="00FA6C69"/>
    <w:rsid w:val="00FA76DD"/>
    <w:rsid w:val="00FB0967"/>
    <w:rsid w:val="00FB3ECD"/>
    <w:rsid w:val="00FB40C3"/>
    <w:rsid w:val="00FB44C5"/>
    <w:rsid w:val="00FB61C0"/>
    <w:rsid w:val="00FB6513"/>
    <w:rsid w:val="00FB6B3D"/>
    <w:rsid w:val="00FC1115"/>
    <w:rsid w:val="00FC3293"/>
    <w:rsid w:val="00FC4186"/>
    <w:rsid w:val="00FD09A9"/>
    <w:rsid w:val="00FD0F2E"/>
    <w:rsid w:val="00FD11BB"/>
    <w:rsid w:val="00FD27B2"/>
    <w:rsid w:val="00FD4E7E"/>
    <w:rsid w:val="00FD6B0D"/>
    <w:rsid w:val="00FE21E2"/>
    <w:rsid w:val="00FE4941"/>
    <w:rsid w:val="00FE6E85"/>
    <w:rsid w:val="00FF0225"/>
    <w:rsid w:val="00FF0A58"/>
    <w:rsid w:val="00FF3EDB"/>
    <w:rsid w:val="00FF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311F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918"/>
    <w:pPr>
      <w:ind w:left="720"/>
      <w:contextualSpacing/>
    </w:pPr>
  </w:style>
  <w:style w:type="paragraph" w:styleId="Footer">
    <w:name w:val="footer"/>
    <w:basedOn w:val="Normal"/>
    <w:link w:val="FooterChar"/>
    <w:uiPriority w:val="99"/>
    <w:unhideWhenUsed/>
    <w:rsid w:val="005567DC"/>
    <w:pPr>
      <w:tabs>
        <w:tab w:val="center" w:pos="4320"/>
        <w:tab w:val="right" w:pos="8640"/>
      </w:tabs>
    </w:pPr>
  </w:style>
  <w:style w:type="character" w:customStyle="1" w:styleId="FooterChar">
    <w:name w:val="Footer Char"/>
    <w:basedOn w:val="DefaultParagraphFont"/>
    <w:link w:val="Footer"/>
    <w:uiPriority w:val="99"/>
    <w:rsid w:val="005567DC"/>
    <w:rPr>
      <w:lang w:val="en-GB"/>
    </w:rPr>
  </w:style>
  <w:style w:type="character" w:styleId="PageNumber">
    <w:name w:val="page number"/>
    <w:basedOn w:val="DefaultParagraphFont"/>
    <w:uiPriority w:val="99"/>
    <w:semiHidden/>
    <w:unhideWhenUsed/>
    <w:rsid w:val="005567DC"/>
  </w:style>
  <w:style w:type="paragraph" w:styleId="Header">
    <w:name w:val="header"/>
    <w:basedOn w:val="Normal"/>
    <w:link w:val="HeaderChar"/>
    <w:uiPriority w:val="99"/>
    <w:unhideWhenUsed/>
    <w:rsid w:val="005567DC"/>
    <w:pPr>
      <w:tabs>
        <w:tab w:val="center" w:pos="4320"/>
        <w:tab w:val="right" w:pos="8640"/>
      </w:tabs>
    </w:pPr>
  </w:style>
  <w:style w:type="character" w:customStyle="1" w:styleId="HeaderChar">
    <w:name w:val="Header Char"/>
    <w:basedOn w:val="DefaultParagraphFont"/>
    <w:link w:val="Header"/>
    <w:uiPriority w:val="99"/>
    <w:rsid w:val="005567DC"/>
    <w:rPr>
      <w:lang w:val="en-GB"/>
    </w:rPr>
  </w:style>
  <w:style w:type="paragraph" w:styleId="NoSpacing">
    <w:name w:val="No Spacing"/>
    <w:uiPriority w:val="1"/>
    <w:qFormat/>
    <w:rsid w:val="00D308BD"/>
    <w:rPr>
      <w:rFonts w:eastAsiaTheme="minorHAnsi"/>
      <w:sz w:val="22"/>
      <w:szCs w:val="22"/>
      <w:lang w:val="en-GB"/>
    </w:rPr>
  </w:style>
  <w:style w:type="paragraph" w:styleId="FootnoteText">
    <w:name w:val="footnote text"/>
    <w:basedOn w:val="Normal"/>
    <w:link w:val="FootnoteTextChar"/>
    <w:uiPriority w:val="99"/>
    <w:unhideWhenUsed/>
    <w:rsid w:val="0049775D"/>
  </w:style>
  <w:style w:type="character" w:customStyle="1" w:styleId="FootnoteTextChar">
    <w:name w:val="Footnote Text Char"/>
    <w:basedOn w:val="DefaultParagraphFont"/>
    <w:link w:val="FootnoteText"/>
    <w:uiPriority w:val="99"/>
    <w:rsid w:val="0049775D"/>
    <w:rPr>
      <w:lang w:val="en-GB"/>
    </w:rPr>
  </w:style>
  <w:style w:type="character" w:styleId="FootnoteReference">
    <w:name w:val="footnote reference"/>
    <w:basedOn w:val="DefaultParagraphFont"/>
    <w:uiPriority w:val="99"/>
    <w:unhideWhenUsed/>
    <w:rsid w:val="0049775D"/>
    <w:rPr>
      <w:vertAlign w:val="superscript"/>
    </w:rPr>
  </w:style>
  <w:style w:type="character" w:styleId="Hyperlink">
    <w:name w:val="Hyperlink"/>
    <w:basedOn w:val="DefaultParagraphFont"/>
    <w:uiPriority w:val="99"/>
    <w:unhideWhenUsed/>
    <w:rsid w:val="0049775D"/>
    <w:rPr>
      <w:color w:val="0000FF" w:themeColor="hyperlink"/>
      <w:u w:val="single"/>
    </w:rPr>
  </w:style>
  <w:style w:type="paragraph" w:customStyle="1" w:styleId="Default">
    <w:name w:val="Default"/>
    <w:rsid w:val="00976B40"/>
    <w:pPr>
      <w:autoSpaceDE w:val="0"/>
      <w:autoSpaceDN w:val="0"/>
      <w:adjustRightInd w:val="0"/>
    </w:pPr>
    <w:rPr>
      <w:rFonts w:ascii="Arial" w:hAnsi="Arial" w:cs="Arial"/>
      <w:color w:val="000000"/>
      <w:lang w:val="en-GB"/>
    </w:rPr>
  </w:style>
  <w:style w:type="paragraph" w:customStyle="1" w:styleId="Pa5">
    <w:name w:val="Pa5"/>
    <w:basedOn w:val="Default"/>
    <w:next w:val="Default"/>
    <w:uiPriority w:val="99"/>
    <w:rsid w:val="00976B40"/>
    <w:pPr>
      <w:spacing w:line="221" w:lineRule="atLeast"/>
    </w:pPr>
    <w:rPr>
      <w:color w:val="auto"/>
    </w:rPr>
  </w:style>
  <w:style w:type="character" w:customStyle="1" w:styleId="A7">
    <w:name w:val="A7"/>
    <w:uiPriority w:val="99"/>
    <w:rsid w:val="00976B40"/>
    <w:rPr>
      <w:color w:val="000000"/>
      <w:sz w:val="12"/>
      <w:szCs w:val="12"/>
    </w:rPr>
  </w:style>
  <w:style w:type="character" w:customStyle="1" w:styleId="A6">
    <w:name w:val="A6"/>
    <w:uiPriority w:val="99"/>
    <w:rsid w:val="00976B40"/>
    <w:rPr>
      <w:color w:val="000000"/>
      <w:sz w:val="22"/>
      <w:szCs w:val="22"/>
    </w:rPr>
  </w:style>
  <w:style w:type="character" w:customStyle="1" w:styleId="legds2">
    <w:name w:val="legds2"/>
    <w:basedOn w:val="DefaultParagraphFont"/>
    <w:rsid w:val="00380AA2"/>
    <w:rPr>
      <w:vanish w:val="0"/>
      <w:webHidden w:val="0"/>
      <w:specVanish w:val="0"/>
    </w:rPr>
  </w:style>
  <w:style w:type="table" w:styleId="TableGrid">
    <w:name w:val="Table Grid"/>
    <w:basedOn w:val="TableNormal"/>
    <w:uiPriority w:val="39"/>
    <w:rsid w:val="00380AA2"/>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basedOn w:val="DefaultParagraphFont"/>
    <w:uiPriority w:val="99"/>
    <w:semiHidden/>
    <w:unhideWhenUsed/>
    <w:rsid w:val="00380AA2"/>
  </w:style>
  <w:style w:type="character" w:styleId="CommentReference">
    <w:name w:val="annotation reference"/>
    <w:basedOn w:val="DefaultParagraphFont"/>
    <w:uiPriority w:val="99"/>
    <w:semiHidden/>
    <w:unhideWhenUsed/>
    <w:rsid w:val="00852567"/>
    <w:rPr>
      <w:sz w:val="18"/>
      <w:szCs w:val="18"/>
    </w:rPr>
  </w:style>
  <w:style w:type="paragraph" w:styleId="CommentText">
    <w:name w:val="annotation text"/>
    <w:basedOn w:val="Normal"/>
    <w:link w:val="CommentTextChar"/>
    <w:uiPriority w:val="99"/>
    <w:semiHidden/>
    <w:unhideWhenUsed/>
    <w:rsid w:val="00852567"/>
  </w:style>
  <w:style w:type="character" w:customStyle="1" w:styleId="CommentTextChar">
    <w:name w:val="Comment Text Char"/>
    <w:basedOn w:val="DefaultParagraphFont"/>
    <w:link w:val="CommentText"/>
    <w:uiPriority w:val="99"/>
    <w:semiHidden/>
    <w:rsid w:val="00852567"/>
    <w:rPr>
      <w:lang w:val="en-GB"/>
    </w:rPr>
  </w:style>
  <w:style w:type="paragraph" w:styleId="CommentSubject">
    <w:name w:val="annotation subject"/>
    <w:basedOn w:val="CommentText"/>
    <w:next w:val="CommentText"/>
    <w:link w:val="CommentSubjectChar"/>
    <w:uiPriority w:val="99"/>
    <w:semiHidden/>
    <w:unhideWhenUsed/>
    <w:rsid w:val="00852567"/>
    <w:rPr>
      <w:b/>
      <w:bCs/>
      <w:sz w:val="20"/>
      <w:szCs w:val="20"/>
    </w:rPr>
  </w:style>
  <w:style w:type="character" w:customStyle="1" w:styleId="CommentSubjectChar">
    <w:name w:val="Comment Subject Char"/>
    <w:basedOn w:val="CommentTextChar"/>
    <w:link w:val="CommentSubject"/>
    <w:uiPriority w:val="99"/>
    <w:semiHidden/>
    <w:rsid w:val="00852567"/>
    <w:rPr>
      <w:b/>
      <w:bCs/>
      <w:sz w:val="20"/>
      <w:szCs w:val="20"/>
      <w:lang w:val="en-GB"/>
    </w:rPr>
  </w:style>
  <w:style w:type="paragraph" w:styleId="BalloonText">
    <w:name w:val="Balloon Text"/>
    <w:basedOn w:val="Normal"/>
    <w:link w:val="BalloonTextChar"/>
    <w:uiPriority w:val="99"/>
    <w:semiHidden/>
    <w:unhideWhenUsed/>
    <w:rsid w:val="00852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567"/>
    <w:rPr>
      <w:rFonts w:ascii="Lucida Grande" w:hAnsi="Lucida Grande" w:cs="Lucida Grande"/>
      <w:sz w:val="18"/>
      <w:szCs w:val="18"/>
      <w:lang w:val="en-GB"/>
    </w:rPr>
  </w:style>
  <w:style w:type="paragraph" w:styleId="NormalWeb">
    <w:name w:val="Normal (Web)"/>
    <w:basedOn w:val="Normal"/>
    <w:uiPriority w:val="99"/>
    <w:unhideWhenUsed/>
    <w:rsid w:val="005A117E"/>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363FD8"/>
  </w:style>
  <w:style w:type="character" w:styleId="Strong">
    <w:name w:val="Strong"/>
    <w:basedOn w:val="DefaultParagraphFont"/>
    <w:uiPriority w:val="22"/>
    <w:qFormat/>
    <w:rsid w:val="00363FD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918"/>
    <w:pPr>
      <w:ind w:left="720"/>
      <w:contextualSpacing/>
    </w:pPr>
  </w:style>
  <w:style w:type="paragraph" w:styleId="Footer">
    <w:name w:val="footer"/>
    <w:basedOn w:val="Normal"/>
    <w:link w:val="FooterChar"/>
    <w:uiPriority w:val="99"/>
    <w:unhideWhenUsed/>
    <w:rsid w:val="005567DC"/>
    <w:pPr>
      <w:tabs>
        <w:tab w:val="center" w:pos="4320"/>
        <w:tab w:val="right" w:pos="8640"/>
      </w:tabs>
    </w:pPr>
  </w:style>
  <w:style w:type="character" w:customStyle="1" w:styleId="FooterChar">
    <w:name w:val="Footer Char"/>
    <w:basedOn w:val="DefaultParagraphFont"/>
    <w:link w:val="Footer"/>
    <w:uiPriority w:val="99"/>
    <w:rsid w:val="005567DC"/>
    <w:rPr>
      <w:lang w:val="en-GB"/>
    </w:rPr>
  </w:style>
  <w:style w:type="character" w:styleId="PageNumber">
    <w:name w:val="page number"/>
    <w:basedOn w:val="DefaultParagraphFont"/>
    <w:uiPriority w:val="99"/>
    <w:semiHidden/>
    <w:unhideWhenUsed/>
    <w:rsid w:val="005567DC"/>
  </w:style>
  <w:style w:type="paragraph" w:styleId="Header">
    <w:name w:val="header"/>
    <w:basedOn w:val="Normal"/>
    <w:link w:val="HeaderChar"/>
    <w:uiPriority w:val="99"/>
    <w:unhideWhenUsed/>
    <w:rsid w:val="005567DC"/>
    <w:pPr>
      <w:tabs>
        <w:tab w:val="center" w:pos="4320"/>
        <w:tab w:val="right" w:pos="8640"/>
      </w:tabs>
    </w:pPr>
  </w:style>
  <w:style w:type="character" w:customStyle="1" w:styleId="HeaderChar">
    <w:name w:val="Header Char"/>
    <w:basedOn w:val="DefaultParagraphFont"/>
    <w:link w:val="Header"/>
    <w:uiPriority w:val="99"/>
    <w:rsid w:val="005567DC"/>
    <w:rPr>
      <w:lang w:val="en-GB"/>
    </w:rPr>
  </w:style>
  <w:style w:type="paragraph" w:styleId="NoSpacing">
    <w:name w:val="No Spacing"/>
    <w:uiPriority w:val="1"/>
    <w:qFormat/>
    <w:rsid w:val="00D308BD"/>
    <w:rPr>
      <w:rFonts w:eastAsiaTheme="minorHAnsi"/>
      <w:sz w:val="22"/>
      <w:szCs w:val="22"/>
      <w:lang w:val="en-GB"/>
    </w:rPr>
  </w:style>
  <w:style w:type="paragraph" w:styleId="FootnoteText">
    <w:name w:val="footnote text"/>
    <w:basedOn w:val="Normal"/>
    <w:link w:val="FootnoteTextChar"/>
    <w:uiPriority w:val="99"/>
    <w:unhideWhenUsed/>
    <w:rsid w:val="0049775D"/>
  </w:style>
  <w:style w:type="character" w:customStyle="1" w:styleId="FootnoteTextChar">
    <w:name w:val="Footnote Text Char"/>
    <w:basedOn w:val="DefaultParagraphFont"/>
    <w:link w:val="FootnoteText"/>
    <w:uiPriority w:val="99"/>
    <w:rsid w:val="0049775D"/>
    <w:rPr>
      <w:lang w:val="en-GB"/>
    </w:rPr>
  </w:style>
  <w:style w:type="character" w:styleId="FootnoteReference">
    <w:name w:val="footnote reference"/>
    <w:basedOn w:val="DefaultParagraphFont"/>
    <w:uiPriority w:val="99"/>
    <w:unhideWhenUsed/>
    <w:rsid w:val="0049775D"/>
    <w:rPr>
      <w:vertAlign w:val="superscript"/>
    </w:rPr>
  </w:style>
  <w:style w:type="character" w:styleId="Hyperlink">
    <w:name w:val="Hyperlink"/>
    <w:basedOn w:val="DefaultParagraphFont"/>
    <w:uiPriority w:val="99"/>
    <w:unhideWhenUsed/>
    <w:rsid w:val="0049775D"/>
    <w:rPr>
      <w:color w:val="0000FF" w:themeColor="hyperlink"/>
      <w:u w:val="single"/>
    </w:rPr>
  </w:style>
  <w:style w:type="paragraph" w:customStyle="1" w:styleId="Default">
    <w:name w:val="Default"/>
    <w:rsid w:val="00976B40"/>
    <w:pPr>
      <w:autoSpaceDE w:val="0"/>
      <w:autoSpaceDN w:val="0"/>
      <w:adjustRightInd w:val="0"/>
    </w:pPr>
    <w:rPr>
      <w:rFonts w:ascii="Arial" w:hAnsi="Arial" w:cs="Arial"/>
      <w:color w:val="000000"/>
      <w:lang w:val="en-GB"/>
    </w:rPr>
  </w:style>
  <w:style w:type="paragraph" w:customStyle="1" w:styleId="Pa5">
    <w:name w:val="Pa5"/>
    <w:basedOn w:val="Default"/>
    <w:next w:val="Default"/>
    <w:uiPriority w:val="99"/>
    <w:rsid w:val="00976B40"/>
    <w:pPr>
      <w:spacing w:line="221" w:lineRule="atLeast"/>
    </w:pPr>
    <w:rPr>
      <w:color w:val="auto"/>
    </w:rPr>
  </w:style>
  <w:style w:type="character" w:customStyle="1" w:styleId="A7">
    <w:name w:val="A7"/>
    <w:uiPriority w:val="99"/>
    <w:rsid w:val="00976B40"/>
    <w:rPr>
      <w:color w:val="000000"/>
      <w:sz w:val="12"/>
      <w:szCs w:val="12"/>
    </w:rPr>
  </w:style>
  <w:style w:type="character" w:customStyle="1" w:styleId="A6">
    <w:name w:val="A6"/>
    <w:uiPriority w:val="99"/>
    <w:rsid w:val="00976B40"/>
    <w:rPr>
      <w:color w:val="000000"/>
      <w:sz w:val="22"/>
      <w:szCs w:val="22"/>
    </w:rPr>
  </w:style>
  <w:style w:type="character" w:customStyle="1" w:styleId="legds2">
    <w:name w:val="legds2"/>
    <w:basedOn w:val="DefaultParagraphFont"/>
    <w:rsid w:val="00380AA2"/>
    <w:rPr>
      <w:vanish w:val="0"/>
      <w:webHidden w:val="0"/>
      <w:specVanish w:val="0"/>
    </w:rPr>
  </w:style>
  <w:style w:type="table" w:styleId="TableGrid">
    <w:name w:val="Table Grid"/>
    <w:basedOn w:val="TableNormal"/>
    <w:uiPriority w:val="39"/>
    <w:rsid w:val="00380AA2"/>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basedOn w:val="DefaultParagraphFont"/>
    <w:uiPriority w:val="99"/>
    <w:semiHidden/>
    <w:unhideWhenUsed/>
    <w:rsid w:val="00380AA2"/>
  </w:style>
  <w:style w:type="character" w:styleId="CommentReference">
    <w:name w:val="annotation reference"/>
    <w:basedOn w:val="DefaultParagraphFont"/>
    <w:uiPriority w:val="99"/>
    <w:semiHidden/>
    <w:unhideWhenUsed/>
    <w:rsid w:val="00852567"/>
    <w:rPr>
      <w:sz w:val="18"/>
      <w:szCs w:val="18"/>
    </w:rPr>
  </w:style>
  <w:style w:type="paragraph" w:styleId="CommentText">
    <w:name w:val="annotation text"/>
    <w:basedOn w:val="Normal"/>
    <w:link w:val="CommentTextChar"/>
    <w:uiPriority w:val="99"/>
    <w:semiHidden/>
    <w:unhideWhenUsed/>
    <w:rsid w:val="00852567"/>
  </w:style>
  <w:style w:type="character" w:customStyle="1" w:styleId="CommentTextChar">
    <w:name w:val="Comment Text Char"/>
    <w:basedOn w:val="DefaultParagraphFont"/>
    <w:link w:val="CommentText"/>
    <w:uiPriority w:val="99"/>
    <w:semiHidden/>
    <w:rsid w:val="00852567"/>
    <w:rPr>
      <w:lang w:val="en-GB"/>
    </w:rPr>
  </w:style>
  <w:style w:type="paragraph" w:styleId="CommentSubject">
    <w:name w:val="annotation subject"/>
    <w:basedOn w:val="CommentText"/>
    <w:next w:val="CommentText"/>
    <w:link w:val="CommentSubjectChar"/>
    <w:uiPriority w:val="99"/>
    <w:semiHidden/>
    <w:unhideWhenUsed/>
    <w:rsid w:val="00852567"/>
    <w:rPr>
      <w:b/>
      <w:bCs/>
      <w:sz w:val="20"/>
      <w:szCs w:val="20"/>
    </w:rPr>
  </w:style>
  <w:style w:type="character" w:customStyle="1" w:styleId="CommentSubjectChar">
    <w:name w:val="Comment Subject Char"/>
    <w:basedOn w:val="CommentTextChar"/>
    <w:link w:val="CommentSubject"/>
    <w:uiPriority w:val="99"/>
    <w:semiHidden/>
    <w:rsid w:val="00852567"/>
    <w:rPr>
      <w:b/>
      <w:bCs/>
      <w:sz w:val="20"/>
      <w:szCs w:val="20"/>
      <w:lang w:val="en-GB"/>
    </w:rPr>
  </w:style>
  <w:style w:type="paragraph" w:styleId="BalloonText">
    <w:name w:val="Balloon Text"/>
    <w:basedOn w:val="Normal"/>
    <w:link w:val="BalloonTextChar"/>
    <w:uiPriority w:val="99"/>
    <w:semiHidden/>
    <w:unhideWhenUsed/>
    <w:rsid w:val="00852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567"/>
    <w:rPr>
      <w:rFonts w:ascii="Lucida Grande" w:hAnsi="Lucida Grande" w:cs="Lucida Grande"/>
      <w:sz w:val="18"/>
      <w:szCs w:val="18"/>
      <w:lang w:val="en-GB"/>
    </w:rPr>
  </w:style>
  <w:style w:type="paragraph" w:styleId="NormalWeb">
    <w:name w:val="Normal (Web)"/>
    <w:basedOn w:val="Normal"/>
    <w:uiPriority w:val="99"/>
    <w:unhideWhenUsed/>
    <w:rsid w:val="005A117E"/>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363FD8"/>
  </w:style>
  <w:style w:type="character" w:styleId="Strong">
    <w:name w:val="Strong"/>
    <w:basedOn w:val="DefaultParagraphFont"/>
    <w:uiPriority w:val="22"/>
    <w:qFormat/>
    <w:rsid w:val="00363F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16112">
      <w:bodyDiv w:val="1"/>
      <w:marLeft w:val="0"/>
      <w:marRight w:val="0"/>
      <w:marTop w:val="0"/>
      <w:marBottom w:val="0"/>
      <w:divBdr>
        <w:top w:val="none" w:sz="0" w:space="0" w:color="auto"/>
        <w:left w:val="none" w:sz="0" w:space="0" w:color="auto"/>
        <w:bottom w:val="none" w:sz="0" w:space="0" w:color="auto"/>
        <w:right w:val="none" w:sz="0" w:space="0" w:color="auto"/>
      </w:divBdr>
    </w:div>
    <w:div w:id="335771237">
      <w:bodyDiv w:val="1"/>
      <w:marLeft w:val="0"/>
      <w:marRight w:val="0"/>
      <w:marTop w:val="0"/>
      <w:marBottom w:val="0"/>
      <w:divBdr>
        <w:top w:val="none" w:sz="0" w:space="0" w:color="auto"/>
        <w:left w:val="none" w:sz="0" w:space="0" w:color="auto"/>
        <w:bottom w:val="none" w:sz="0" w:space="0" w:color="auto"/>
        <w:right w:val="none" w:sz="0" w:space="0" w:color="auto"/>
      </w:divBdr>
      <w:divsChild>
        <w:div w:id="340400684">
          <w:marLeft w:val="0"/>
          <w:marRight w:val="0"/>
          <w:marTop w:val="0"/>
          <w:marBottom w:val="0"/>
          <w:divBdr>
            <w:top w:val="none" w:sz="0" w:space="0" w:color="auto"/>
            <w:left w:val="none" w:sz="0" w:space="0" w:color="auto"/>
            <w:bottom w:val="none" w:sz="0" w:space="0" w:color="auto"/>
            <w:right w:val="none" w:sz="0" w:space="0" w:color="auto"/>
          </w:divBdr>
          <w:divsChild>
            <w:div w:id="856432933">
              <w:marLeft w:val="0"/>
              <w:marRight w:val="0"/>
              <w:marTop w:val="0"/>
              <w:marBottom w:val="0"/>
              <w:divBdr>
                <w:top w:val="none" w:sz="0" w:space="0" w:color="auto"/>
                <w:left w:val="none" w:sz="0" w:space="0" w:color="auto"/>
                <w:bottom w:val="none" w:sz="0" w:space="0" w:color="auto"/>
                <w:right w:val="none" w:sz="0" w:space="0" w:color="auto"/>
              </w:divBdr>
              <w:divsChild>
                <w:div w:id="879366550">
                  <w:marLeft w:val="0"/>
                  <w:marRight w:val="0"/>
                  <w:marTop w:val="0"/>
                  <w:marBottom w:val="0"/>
                  <w:divBdr>
                    <w:top w:val="none" w:sz="0" w:space="0" w:color="auto"/>
                    <w:left w:val="none" w:sz="0" w:space="0" w:color="auto"/>
                    <w:bottom w:val="none" w:sz="0" w:space="0" w:color="auto"/>
                    <w:right w:val="none" w:sz="0" w:space="0" w:color="auto"/>
                  </w:divBdr>
                  <w:divsChild>
                    <w:div w:id="4937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536405">
      <w:bodyDiv w:val="1"/>
      <w:marLeft w:val="0"/>
      <w:marRight w:val="0"/>
      <w:marTop w:val="0"/>
      <w:marBottom w:val="0"/>
      <w:divBdr>
        <w:top w:val="none" w:sz="0" w:space="0" w:color="auto"/>
        <w:left w:val="none" w:sz="0" w:space="0" w:color="auto"/>
        <w:bottom w:val="none" w:sz="0" w:space="0" w:color="auto"/>
        <w:right w:val="none" w:sz="0" w:space="0" w:color="auto"/>
      </w:divBdr>
    </w:div>
    <w:div w:id="520824630">
      <w:bodyDiv w:val="1"/>
      <w:marLeft w:val="0"/>
      <w:marRight w:val="0"/>
      <w:marTop w:val="0"/>
      <w:marBottom w:val="0"/>
      <w:divBdr>
        <w:top w:val="none" w:sz="0" w:space="0" w:color="auto"/>
        <w:left w:val="none" w:sz="0" w:space="0" w:color="auto"/>
        <w:bottom w:val="none" w:sz="0" w:space="0" w:color="auto"/>
        <w:right w:val="none" w:sz="0" w:space="0" w:color="auto"/>
      </w:divBdr>
    </w:div>
    <w:div w:id="561915002">
      <w:bodyDiv w:val="1"/>
      <w:marLeft w:val="0"/>
      <w:marRight w:val="0"/>
      <w:marTop w:val="0"/>
      <w:marBottom w:val="0"/>
      <w:divBdr>
        <w:top w:val="none" w:sz="0" w:space="0" w:color="auto"/>
        <w:left w:val="none" w:sz="0" w:space="0" w:color="auto"/>
        <w:bottom w:val="none" w:sz="0" w:space="0" w:color="auto"/>
        <w:right w:val="none" w:sz="0" w:space="0" w:color="auto"/>
      </w:divBdr>
    </w:div>
    <w:div w:id="730691193">
      <w:bodyDiv w:val="1"/>
      <w:marLeft w:val="0"/>
      <w:marRight w:val="0"/>
      <w:marTop w:val="0"/>
      <w:marBottom w:val="0"/>
      <w:divBdr>
        <w:top w:val="none" w:sz="0" w:space="0" w:color="auto"/>
        <w:left w:val="none" w:sz="0" w:space="0" w:color="auto"/>
        <w:bottom w:val="none" w:sz="0" w:space="0" w:color="auto"/>
        <w:right w:val="none" w:sz="0" w:space="0" w:color="auto"/>
      </w:divBdr>
    </w:div>
    <w:div w:id="992180927">
      <w:bodyDiv w:val="1"/>
      <w:marLeft w:val="0"/>
      <w:marRight w:val="0"/>
      <w:marTop w:val="0"/>
      <w:marBottom w:val="0"/>
      <w:divBdr>
        <w:top w:val="none" w:sz="0" w:space="0" w:color="auto"/>
        <w:left w:val="none" w:sz="0" w:space="0" w:color="auto"/>
        <w:bottom w:val="none" w:sz="0" w:space="0" w:color="auto"/>
        <w:right w:val="none" w:sz="0" w:space="0" w:color="auto"/>
      </w:divBdr>
    </w:div>
    <w:div w:id="1027676229">
      <w:bodyDiv w:val="1"/>
      <w:marLeft w:val="0"/>
      <w:marRight w:val="0"/>
      <w:marTop w:val="0"/>
      <w:marBottom w:val="0"/>
      <w:divBdr>
        <w:top w:val="none" w:sz="0" w:space="0" w:color="auto"/>
        <w:left w:val="none" w:sz="0" w:space="0" w:color="auto"/>
        <w:bottom w:val="none" w:sz="0" w:space="0" w:color="auto"/>
        <w:right w:val="none" w:sz="0" w:space="0" w:color="auto"/>
      </w:divBdr>
    </w:div>
    <w:div w:id="1087192662">
      <w:bodyDiv w:val="1"/>
      <w:marLeft w:val="0"/>
      <w:marRight w:val="0"/>
      <w:marTop w:val="0"/>
      <w:marBottom w:val="0"/>
      <w:divBdr>
        <w:top w:val="none" w:sz="0" w:space="0" w:color="auto"/>
        <w:left w:val="none" w:sz="0" w:space="0" w:color="auto"/>
        <w:bottom w:val="none" w:sz="0" w:space="0" w:color="auto"/>
        <w:right w:val="none" w:sz="0" w:space="0" w:color="auto"/>
      </w:divBdr>
    </w:div>
    <w:div w:id="1235241451">
      <w:bodyDiv w:val="1"/>
      <w:marLeft w:val="0"/>
      <w:marRight w:val="0"/>
      <w:marTop w:val="0"/>
      <w:marBottom w:val="0"/>
      <w:divBdr>
        <w:top w:val="none" w:sz="0" w:space="0" w:color="auto"/>
        <w:left w:val="none" w:sz="0" w:space="0" w:color="auto"/>
        <w:bottom w:val="none" w:sz="0" w:space="0" w:color="auto"/>
        <w:right w:val="none" w:sz="0" w:space="0" w:color="auto"/>
      </w:divBdr>
    </w:div>
    <w:div w:id="1311902242">
      <w:bodyDiv w:val="1"/>
      <w:marLeft w:val="0"/>
      <w:marRight w:val="0"/>
      <w:marTop w:val="0"/>
      <w:marBottom w:val="0"/>
      <w:divBdr>
        <w:top w:val="none" w:sz="0" w:space="0" w:color="auto"/>
        <w:left w:val="none" w:sz="0" w:space="0" w:color="auto"/>
        <w:bottom w:val="none" w:sz="0" w:space="0" w:color="auto"/>
        <w:right w:val="none" w:sz="0" w:space="0" w:color="auto"/>
      </w:divBdr>
    </w:div>
    <w:div w:id="1404983185">
      <w:bodyDiv w:val="1"/>
      <w:marLeft w:val="0"/>
      <w:marRight w:val="0"/>
      <w:marTop w:val="0"/>
      <w:marBottom w:val="0"/>
      <w:divBdr>
        <w:top w:val="none" w:sz="0" w:space="0" w:color="auto"/>
        <w:left w:val="none" w:sz="0" w:space="0" w:color="auto"/>
        <w:bottom w:val="none" w:sz="0" w:space="0" w:color="auto"/>
        <w:right w:val="none" w:sz="0" w:space="0" w:color="auto"/>
      </w:divBdr>
    </w:div>
    <w:div w:id="1588690438">
      <w:bodyDiv w:val="1"/>
      <w:marLeft w:val="0"/>
      <w:marRight w:val="0"/>
      <w:marTop w:val="0"/>
      <w:marBottom w:val="0"/>
      <w:divBdr>
        <w:top w:val="none" w:sz="0" w:space="0" w:color="auto"/>
        <w:left w:val="none" w:sz="0" w:space="0" w:color="auto"/>
        <w:bottom w:val="none" w:sz="0" w:space="0" w:color="auto"/>
        <w:right w:val="none" w:sz="0" w:space="0" w:color="auto"/>
      </w:divBdr>
    </w:div>
    <w:div w:id="1730299593">
      <w:bodyDiv w:val="1"/>
      <w:marLeft w:val="0"/>
      <w:marRight w:val="0"/>
      <w:marTop w:val="0"/>
      <w:marBottom w:val="0"/>
      <w:divBdr>
        <w:top w:val="none" w:sz="0" w:space="0" w:color="auto"/>
        <w:left w:val="none" w:sz="0" w:space="0" w:color="auto"/>
        <w:bottom w:val="none" w:sz="0" w:space="0" w:color="auto"/>
        <w:right w:val="none" w:sz="0" w:space="0" w:color="auto"/>
      </w:divBdr>
    </w:div>
    <w:div w:id="1782260824">
      <w:bodyDiv w:val="1"/>
      <w:marLeft w:val="0"/>
      <w:marRight w:val="0"/>
      <w:marTop w:val="0"/>
      <w:marBottom w:val="0"/>
      <w:divBdr>
        <w:top w:val="none" w:sz="0" w:space="0" w:color="auto"/>
        <w:left w:val="none" w:sz="0" w:space="0" w:color="auto"/>
        <w:bottom w:val="none" w:sz="0" w:space="0" w:color="auto"/>
        <w:right w:val="none" w:sz="0" w:space="0" w:color="auto"/>
      </w:divBdr>
    </w:div>
    <w:div w:id="1857495908">
      <w:bodyDiv w:val="1"/>
      <w:marLeft w:val="0"/>
      <w:marRight w:val="0"/>
      <w:marTop w:val="0"/>
      <w:marBottom w:val="0"/>
      <w:divBdr>
        <w:top w:val="none" w:sz="0" w:space="0" w:color="auto"/>
        <w:left w:val="none" w:sz="0" w:space="0" w:color="auto"/>
        <w:bottom w:val="none" w:sz="0" w:space="0" w:color="auto"/>
        <w:right w:val="none" w:sz="0" w:space="0" w:color="auto"/>
      </w:divBdr>
    </w:div>
    <w:div w:id="2094546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FC6E6-728C-BF43-9D26-1AB78496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58</Pages>
  <Words>23769</Words>
  <Characters>135485</Characters>
  <Application>Microsoft Macintosh Word</Application>
  <DocSecurity>0</DocSecurity>
  <Lines>1129</Lines>
  <Paragraphs>317</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158937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Dougan</dc:creator>
  <cp:keywords/>
  <dc:description/>
  <cp:lastModifiedBy>Michael Dougan</cp:lastModifiedBy>
  <cp:revision>3</cp:revision>
  <cp:lastPrinted>2020-03-03T11:43:00Z</cp:lastPrinted>
  <dcterms:created xsi:type="dcterms:W3CDTF">2020-03-19T13:18:00Z</dcterms:created>
  <dcterms:modified xsi:type="dcterms:W3CDTF">2020-03-19T13:23:00Z</dcterms:modified>
</cp:coreProperties>
</file>